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footer2.xml" ContentType="application/vnd.openxmlformats-officedocument.wordprocessingml.footer+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5.xml" ContentType="application/vnd.openxmlformats-officedocument.drawingml.chartshapes+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6.xml" ContentType="application/vnd.openxmlformats-officedocument.drawingml.chartshapes+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7.xml" ContentType="application/vnd.openxmlformats-officedocument.drawingml.chartshapes+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8.xml" ContentType="application/vnd.openxmlformats-officedocument.drawingml.chartshapes+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9.xml" ContentType="application/vnd.openxmlformats-officedocument.drawingml.chartshapes+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0.xml" ContentType="application/vnd.openxmlformats-officedocument.drawingml.chartshapes+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1.xml" ContentType="application/vnd.openxmlformats-officedocument.drawingml.chartshapes+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2.xml" ContentType="application/vnd.openxmlformats-officedocument.drawingml.chartshapes+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4.xml" ContentType="application/vnd.openxmlformats-officedocument.drawingml.chart+xml"/>
  <Override PartName="/word/charts/style28.xml" ContentType="application/vnd.ms-office.chartstyle+xml"/>
  <Override PartName="/word/charts/colors28.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B4BC5" w14:textId="769AA742" w:rsidR="00B76B0C" w:rsidRPr="005970E9" w:rsidRDefault="00270C3B" w:rsidP="00270C3B">
      <w:pPr>
        <w:pStyle w:val="Caption"/>
        <w:jc w:val="right"/>
        <w:rPr>
          <w:rFonts w:ascii="Century Schoolbook" w:eastAsia="Century Schoolbook" w:hAnsi="Century Schoolbook" w:cs="Century Schoolbook"/>
        </w:rPr>
      </w:pPr>
      <w:r w:rsidRPr="005970E9">
        <w:rPr>
          <w:rFonts w:ascii="Century Schoolbook" w:hAnsi="Century Schoolbook"/>
          <w:noProof/>
        </w:rPr>
        <w:drawing>
          <wp:anchor distT="0" distB="0" distL="114300" distR="114300" simplePos="0" relativeHeight="251779113" behindDoc="0" locked="0" layoutInCell="1" allowOverlap="1" wp14:anchorId="56B6C74C" wp14:editId="7A6A2FD6">
            <wp:simplePos x="0" y="0"/>
            <wp:positionH relativeFrom="column">
              <wp:posOffset>948250</wp:posOffset>
            </wp:positionH>
            <wp:positionV relativeFrom="paragraph">
              <wp:posOffset>74295</wp:posOffset>
            </wp:positionV>
            <wp:extent cx="620395" cy="465455"/>
            <wp:effectExtent l="0" t="0" r="8255" b="0"/>
            <wp:wrapTight wrapText="bothSides">
              <wp:wrapPolygon edited="0">
                <wp:start x="0" y="0"/>
                <wp:lineTo x="0" y="20333"/>
                <wp:lineTo x="21224" y="20333"/>
                <wp:lineTo x="21224" y="0"/>
                <wp:lineTo x="0" y="0"/>
              </wp:wrapPolygon>
            </wp:wrapTight>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UNICEF-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395" cy="465455"/>
                    </a:xfrm>
                    <a:prstGeom prst="rect">
                      <a:avLst/>
                    </a:prstGeom>
                  </pic:spPr>
                </pic:pic>
              </a:graphicData>
            </a:graphic>
            <wp14:sizeRelH relativeFrom="margin">
              <wp14:pctWidth>0</wp14:pctWidth>
            </wp14:sizeRelH>
            <wp14:sizeRelV relativeFrom="margin">
              <wp14:pctHeight>0</wp14:pctHeight>
            </wp14:sizeRelV>
          </wp:anchor>
        </w:drawing>
      </w:r>
      <w:r w:rsidRPr="005970E9">
        <w:rPr>
          <w:rFonts w:ascii="Century Schoolbook" w:hAnsi="Century Schoolbook"/>
          <w:noProof/>
        </w:rPr>
        <w:drawing>
          <wp:anchor distT="0" distB="0" distL="114300" distR="114300" simplePos="0" relativeHeight="251777065" behindDoc="0" locked="0" layoutInCell="1" allowOverlap="1" wp14:anchorId="3606464A" wp14:editId="6A3E9482">
            <wp:simplePos x="0" y="0"/>
            <wp:positionH relativeFrom="column">
              <wp:posOffset>1864596</wp:posOffset>
            </wp:positionH>
            <wp:positionV relativeFrom="paragraph">
              <wp:posOffset>594</wp:posOffset>
            </wp:positionV>
            <wp:extent cx="403386" cy="794260"/>
            <wp:effectExtent l="0" t="0" r="0" b="6350"/>
            <wp:wrapTight wrapText="bothSides">
              <wp:wrapPolygon edited="0">
                <wp:start x="0" y="0"/>
                <wp:lineTo x="0" y="21254"/>
                <wp:lineTo x="20409" y="21254"/>
                <wp:lineTo x="20409" y="0"/>
                <wp:lineTo x="0" y="0"/>
              </wp:wrapPolygon>
            </wp:wrapTight>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logo pnud.png"/>
                    <pic:cNvPicPr/>
                  </pic:nvPicPr>
                  <pic:blipFill>
                    <a:blip r:embed="rId14">
                      <a:extLst>
                        <a:ext uri="{28A0092B-C50C-407E-A947-70E740481C1C}">
                          <a14:useLocalDpi xmlns:a14="http://schemas.microsoft.com/office/drawing/2010/main" val="0"/>
                        </a:ext>
                      </a:extLst>
                    </a:blip>
                    <a:stretch>
                      <a:fillRect/>
                    </a:stretch>
                  </pic:blipFill>
                  <pic:spPr>
                    <a:xfrm>
                      <a:off x="0" y="0"/>
                      <a:ext cx="403386" cy="794260"/>
                    </a:xfrm>
                    <a:prstGeom prst="rect">
                      <a:avLst/>
                    </a:prstGeom>
                  </pic:spPr>
                </pic:pic>
              </a:graphicData>
            </a:graphic>
            <wp14:sizeRelH relativeFrom="margin">
              <wp14:pctWidth>0</wp14:pctWidth>
            </wp14:sizeRelH>
            <wp14:sizeRelV relativeFrom="margin">
              <wp14:pctHeight>0</wp14:pctHeight>
            </wp14:sizeRelV>
          </wp:anchor>
        </w:drawing>
      </w:r>
      <w:r w:rsidRPr="005970E9">
        <w:rPr>
          <w:rFonts w:ascii="Century Schoolbook" w:hAnsi="Century Schoolbook"/>
          <w:noProof/>
        </w:rPr>
        <w:drawing>
          <wp:anchor distT="0" distB="0" distL="114300" distR="114300" simplePos="0" relativeHeight="251776041" behindDoc="0" locked="0" layoutInCell="1" allowOverlap="1" wp14:anchorId="56C9DC71" wp14:editId="43F23586">
            <wp:simplePos x="0" y="0"/>
            <wp:positionH relativeFrom="column">
              <wp:posOffset>2610267</wp:posOffset>
            </wp:positionH>
            <wp:positionV relativeFrom="paragraph">
              <wp:posOffset>495</wp:posOffset>
            </wp:positionV>
            <wp:extent cx="860425" cy="860425"/>
            <wp:effectExtent l="0" t="0" r="0" b="0"/>
            <wp:wrapTight wrapText="bothSides">
              <wp:wrapPolygon edited="0">
                <wp:start x="0" y="0"/>
                <wp:lineTo x="0" y="21042"/>
                <wp:lineTo x="21042" y="21042"/>
                <wp:lineTo x="21042" y="0"/>
                <wp:lineTo x="0" y="0"/>
              </wp:wrapPolygon>
            </wp:wrapTight>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logo fa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0425" cy="860425"/>
                    </a:xfrm>
                    <a:prstGeom prst="rect">
                      <a:avLst/>
                    </a:prstGeom>
                  </pic:spPr>
                </pic:pic>
              </a:graphicData>
            </a:graphic>
            <wp14:sizeRelH relativeFrom="margin">
              <wp14:pctWidth>0</wp14:pctWidth>
            </wp14:sizeRelH>
            <wp14:sizeRelV relativeFrom="margin">
              <wp14:pctHeight>0</wp14:pctHeight>
            </wp14:sizeRelV>
          </wp:anchor>
        </w:drawing>
      </w:r>
      <w:r w:rsidRPr="005970E9">
        <w:rPr>
          <w:rFonts w:ascii="Century Schoolbook" w:hAnsi="Century Schoolbook"/>
          <w:noProof/>
        </w:rPr>
        <w:drawing>
          <wp:anchor distT="0" distB="0" distL="114300" distR="114300" simplePos="0" relativeHeight="251778089" behindDoc="0" locked="0" layoutInCell="1" allowOverlap="1" wp14:anchorId="2CEC7271" wp14:editId="1CC05CC1">
            <wp:simplePos x="0" y="0"/>
            <wp:positionH relativeFrom="column">
              <wp:posOffset>-172859</wp:posOffset>
            </wp:positionH>
            <wp:positionV relativeFrom="paragraph">
              <wp:posOffset>74295</wp:posOffset>
            </wp:positionV>
            <wp:extent cx="873760" cy="616585"/>
            <wp:effectExtent l="0" t="0" r="2540" b="0"/>
            <wp:wrapTight wrapText="bothSides">
              <wp:wrapPolygon edited="0">
                <wp:start x="0" y="0"/>
                <wp:lineTo x="0" y="20688"/>
                <wp:lineTo x="21192" y="20688"/>
                <wp:lineTo x="21192" y="0"/>
                <wp:lineTo x="0" y="0"/>
              </wp:wrapPolygon>
            </wp:wrapTight>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unfpa mejor.jpg"/>
                    <pic:cNvPicPr/>
                  </pic:nvPicPr>
                  <pic:blipFill>
                    <a:blip r:embed="rId16">
                      <a:extLst>
                        <a:ext uri="{28A0092B-C50C-407E-A947-70E740481C1C}">
                          <a14:useLocalDpi xmlns:a14="http://schemas.microsoft.com/office/drawing/2010/main" val="0"/>
                        </a:ext>
                      </a:extLst>
                    </a:blip>
                    <a:stretch>
                      <a:fillRect/>
                    </a:stretch>
                  </pic:blipFill>
                  <pic:spPr>
                    <a:xfrm>
                      <a:off x="0" y="0"/>
                      <a:ext cx="873760" cy="616585"/>
                    </a:xfrm>
                    <a:prstGeom prst="rect">
                      <a:avLst/>
                    </a:prstGeom>
                  </pic:spPr>
                </pic:pic>
              </a:graphicData>
            </a:graphic>
            <wp14:sizeRelH relativeFrom="margin">
              <wp14:pctWidth>0</wp14:pctWidth>
            </wp14:sizeRelH>
            <wp14:sizeRelV relativeFrom="margin">
              <wp14:pctHeight>0</wp14:pctHeight>
            </wp14:sizeRelV>
          </wp:anchor>
        </w:drawing>
      </w:r>
      <w:r w:rsidR="002868BD" w:rsidRPr="005970E9">
        <w:rPr>
          <w:rFonts w:ascii="Century Schoolbook" w:hAnsi="Century Schoolbook"/>
          <w:noProof/>
        </w:rPr>
        <w:drawing>
          <wp:inline distT="0" distB="0" distL="0" distR="0" wp14:anchorId="42FF66EC" wp14:editId="517F58E0">
            <wp:extent cx="1986215" cy="616585"/>
            <wp:effectExtent l="0" t="0" r="0" b="0"/>
            <wp:docPr id="2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992901" cy="618661"/>
                    </a:xfrm>
                    <a:prstGeom prst="rect">
                      <a:avLst/>
                    </a:prstGeom>
                    <a:ln/>
                  </pic:spPr>
                </pic:pic>
              </a:graphicData>
            </a:graphic>
          </wp:inline>
        </w:drawing>
      </w:r>
      <w:bookmarkStart w:id="0" w:name="_Hlk43278013"/>
    </w:p>
    <w:p w14:paraId="0D16B689" w14:textId="3A7C717F" w:rsidR="00B76B0C" w:rsidRPr="005970E9" w:rsidRDefault="00B76B0C">
      <w:pPr>
        <w:spacing w:before="120" w:after="120" w:line="276" w:lineRule="auto"/>
        <w:jc w:val="center"/>
        <w:rPr>
          <w:rFonts w:eastAsia="Century Schoolbook" w:cs="Century Schoolbook"/>
          <w:b/>
        </w:rPr>
      </w:pPr>
    </w:p>
    <w:p w14:paraId="3BB2E553" w14:textId="5B91274E" w:rsidR="00B76B0C" w:rsidRPr="00441AF7" w:rsidRDefault="003B5C05">
      <w:pPr>
        <w:spacing w:before="120" w:after="120" w:line="276" w:lineRule="auto"/>
        <w:jc w:val="center"/>
        <w:rPr>
          <w:rFonts w:eastAsia="Century Schoolbook" w:cs="Century Schoolbook"/>
          <w:color w:val="365F91" w:themeColor="accent1" w:themeShade="BF"/>
          <w:sz w:val="32"/>
          <w:szCs w:val="32"/>
        </w:rPr>
      </w:pPr>
      <w:r w:rsidRPr="00441AF7">
        <w:rPr>
          <w:rFonts w:eastAsia="Century Schoolbook" w:cs="Century Schoolbook"/>
          <w:color w:val="365F91" w:themeColor="accent1" w:themeShade="BF"/>
          <w:sz w:val="32"/>
          <w:szCs w:val="32"/>
        </w:rPr>
        <w:t>Perfil de País según Igualdad de Género</w:t>
      </w:r>
      <w:r w:rsidR="002868BD" w:rsidRPr="00441AF7">
        <w:rPr>
          <w:rFonts w:eastAsia="Century Schoolbook" w:cs="Century Schoolbook"/>
          <w:color w:val="365F91" w:themeColor="accent1" w:themeShade="BF"/>
          <w:sz w:val="32"/>
          <w:szCs w:val="32"/>
        </w:rPr>
        <w:t xml:space="preserve"> </w:t>
      </w:r>
      <w:r w:rsidRPr="00441AF7">
        <w:rPr>
          <w:rFonts w:eastAsia="Century Schoolbook" w:cs="Century Schoolbook"/>
          <w:color w:val="365F91" w:themeColor="accent1" w:themeShade="BF"/>
          <w:sz w:val="32"/>
          <w:szCs w:val="32"/>
        </w:rPr>
        <w:t>(PPIG)</w:t>
      </w:r>
    </w:p>
    <w:p w14:paraId="43022591" w14:textId="77777777" w:rsidR="00441AF7" w:rsidRPr="00441AF7" w:rsidRDefault="00441AF7" w:rsidP="00441AF7">
      <w:pPr>
        <w:pStyle w:val="TOCHeading"/>
        <w:jc w:val="center"/>
        <w:rPr>
          <w:rFonts w:ascii="Century Schoolbook" w:eastAsia="Century Schoolbook" w:hAnsi="Century Schoolbook" w:cs="Century Schoolbook"/>
          <w:sz w:val="28"/>
          <w:szCs w:val="28"/>
        </w:rPr>
      </w:pPr>
      <w:r w:rsidRPr="00441AF7">
        <w:rPr>
          <w:rFonts w:ascii="Century Schoolbook" w:eastAsia="Century Schoolbook" w:hAnsi="Century Schoolbook" w:cs="Century Schoolbook"/>
          <w:sz w:val="28"/>
          <w:szCs w:val="28"/>
        </w:rPr>
        <w:t>Grupo Interagencial de Género de las Naciones Unidas en Panamá</w:t>
      </w:r>
    </w:p>
    <w:p w14:paraId="00D65E6D" w14:textId="77777777" w:rsidR="00B76B0C" w:rsidRPr="005970E9" w:rsidRDefault="003B5C05">
      <w:pPr>
        <w:spacing w:before="120" w:after="120" w:line="276" w:lineRule="auto"/>
        <w:jc w:val="center"/>
        <w:rPr>
          <w:rFonts w:eastAsia="Century Schoolbook" w:cs="Century Schoolbook"/>
        </w:rPr>
      </w:pPr>
      <w:r w:rsidRPr="005970E9">
        <w:rPr>
          <w:noProof/>
        </w:rPr>
        <w:drawing>
          <wp:inline distT="0" distB="0" distL="0" distR="7620" wp14:anchorId="3A85A884" wp14:editId="2461AD35">
            <wp:extent cx="5612130" cy="3032760"/>
            <wp:effectExtent l="0" t="0" r="7620" b="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b="31367"/>
                    <a:stretch>
                      <a:fillRect/>
                    </a:stretch>
                  </pic:blipFill>
                  <pic:spPr>
                    <a:xfrm>
                      <a:off x="0" y="0"/>
                      <a:ext cx="5612130" cy="3032760"/>
                    </a:xfrm>
                    <a:prstGeom prst="rect">
                      <a:avLst/>
                    </a:prstGeom>
                    <a:ln/>
                  </pic:spPr>
                </pic:pic>
              </a:graphicData>
            </a:graphic>
          </wp:inline>
        </w:drawing>
      </w:r>
    </w:p>
    <w:p w14:paraId="4FDEB223" w14:textId="7FAE7BFC" w:rsidR="00B76B0C" w:rsidRPr="00441AF7" w:rsidRDefault="008A11EA">
      <w:pPr>
        <w:spacing w:before="120" w:after="120"/>
        <w:jc w:val="center"/>
        <w:rPr>
          <w:rFonts w:eastAsia="Century Schoolbook" w:cs="Century Schoolbook"/>
          <w:sz w:val="18"/>
          <w:szCs w:val="18"/>
        </w:rPr>
      </w:pPr>
      <w:r w:rsidRPr="00441AF7">
        <w:rPr>
          <w:rFonts w:eastAsia="Century Schoolbook" w:cs="Century Schoolbook"/>
          <w:sz w:val="18"/>
          <w:szCs w:val="18"/>
        </w:rPr>
        <w:t>E</w:t>
      </w:r>
      <w:r w:rsidR="003B5C05" w:rsidRPr="00441AF7">
        <w:rPr>
          <w:rFonts w:eastAsia="Century Schoolbook" w:cs="Century Schoolbook"/>
          <w:sz w:val="18"/>
          <w:szCs w:val="18"/>
        </w:rPr>
        <w:t>quipo de trabajo</w:t>
      </w:r>
      <w:r w:rsidR="000659FA" w:rsidRPr="00441AF7">
        <w:rPr>
          <w:rFonts w:eastAsia="Century Schoolbook" w:cs="Century Schoolbook"/>
          <w:sz w:val="18"/>
          <w:szCs w:val="18"/>
        </w:rPr>
        <w:t xml:space="preserve"> de Consultoría</w:t>
      </w:r>
    </w:p>
    <w:p w14:paraId="2D64D0A4" w14:textId="77777777" w:rsidR="00B76B0C" w:rsidRPr="00441AF7" w:rsidRDefault="003B5C05">
      <w:pPr>
        <w:jc w:val="center"/>
        <w:rPr>
          <w:rFonts w:eastAsia="Century Schoolbook" w:cs="Century Schoolbook"/>
          <w:sz w:val="18"/>
          <w:szCs w:val="18"/>
        </w:rPr>
      </w:pPr>
      <w:r w:rsidRPr="00441AF7">
        <w:rPr>
          <w:rFonts w:eastAsia="Century Schoolbook" w:cs="Century Schoolbook"/>
          <w:sz w:val="18"/>
          <w:szCs w:val="18"/>
        </w:rPr>
        <w:t>Juana Camargo</w:t>
      </w:r>
    </w:p>
    <w:p w14:paraId="0FA4FAF3" w14:textId="77777777" w:rsidR="00B76B0C" w:rsidRPr="00441AF7" w:rsidRDefault="003B5C05">
      <w:pPr>
        <w:jc w:val="center"/>
        <w:rPr>
          <w:rFonts w:eastAsia="Century Schoolbook" w:cs="Century Schoolbook"/>
          <w:sz w:val="18"/>
          <w:szCs w:val="18"/>
        </w:rPr>
      </w:pPr>
      <w:r w:rsidRPr="00441AF7">
        <w:rPr>
          <w:rFonts w:eastAsia="Century Schoolbook" w:cs="Century Schoolbook"/>
          <w:sz w:val="18"/>
          <w:szCs w:val="18"/>
        </w:rPr>
        <w:t>Xiomara Rodríguez</w:t>
      </w:r>
    </w:p>
    <w:p w14:paraId="473BE7D0" w14:textId="77777777" w:rsidR="00B76B0C" w:rsidRPr="00441AF7" w:rsidRDefault="003B5C05">
      <w:pPr>
        <w:jc w:val="center"/>
        <w:rPr>
          <w:rFonts w:eastAsia="Century Schoolbook" w:cs="Century Schoolbook"/>
          <w:sz w:val="18"/>
          <w:szCs w:val="18"/>
        </w:rPr>
      </w:pPr>
      <w:r w:rsidRPr="00441AF7">
        <w:rPr>
          <w:rFonts w:eastAsia="Century Schoolbook" w:cs="Century Schoolbook"/>
          <w:sz w:val="18"/>
          <w:szCs w:val="18"/>
        </w:rPr>
        <w:t>Eusebia Solís</w:t>
      </w:r>
    </w:p>
    <w:p w14:paraId="6038DE7E" w14:textId="77777777" w:rsidR="00B76B0C" w:rsidRPr="00441AF7" w:rsidRDefault="003B5C05">
      <w:pPr>
        <w:jc w:val="center"/>
        <w:rPr>
          <w:rFonts w:eastAsia="Century Schoolbook" w:cs="Century Schoolbook"/>
          <w:sz w:val="18"/>
          <w:szCs w:val="18"/>
        </w:rPr>
      </w:pPr>
      <w:r w:rsidRPr="00441AF7">
        <w:rPr>
          <w:rFonts w:eastAsia="Century Schoolbook" w:cs="Century Schoolbook"/>
          <w:sz w:val="18"/>
          <w:szCs w:val="18"/>
        </w:rPr>
        <w:t xml:space="preserve">René Guillén </w:t>
      </w:r>
    </w:p>
    <w:p w14:paraId="297EE317" w14:textId="03DAB0EA" w:rsidR="00441AF7" w:rsidRPr="00441AF7" w:rsidRDefault="00441AF7" w:rsidP="00441AF7">
      <w:pPr>
        <w:rPr>
          <w:sz w:val="18"/>
          <w:szCs w:val="18"/>
        </w:rPr>
      </w:pPr>
    </w:p>
    <w:p w14:paraId="77C1C663" w14:textId="70B2245B" w:rsidR="00441AF7" w:rsidRPr="00441AF7" w:rsidRDefault="00441AF7" w:rsidP="00441AF7">
      <w:pPr>
        <w:jc w:val="center"/>
        <w:rPr>
          <w:sz w:val="18"/>
          <w:szCs w:val="18"/>
        </w:rPr>
      </w:pPr>
      <w:r w:rsidRPr="00441AF7">
        <w:rPr>
          <w:sz w:val="18"/>
          <w:szCs w:val="18"/>
        </w:rPr>
        <w:t>Con aportes del Equipo Revisor</w:t>
      </w:r>
    </w:p>
    <w:p w14:paraId="7D299BFC" w14:textId="77777777" w:rsidR="00441AF7" w:rsidRPr="00441AF7" w:rsidRDefault="00441AF7" w:rsidP="00441AF7">
      <w:pPr>
        <w:jc w:val="center"/>
        <w:rPr>
          <w:sz w:val="18"/>
          <w:szCs w:val="18"/>
        </w:rPr>
      </w:pPr>
    </w:p>
    <w:p w14:paraId="7686BA70" w14:textId="31A085F4" w:rsidR="00441AF7" w:rsidRPr="00441AF7" w:rsidRDefault="00441AF7" w:rsidP="00441AF7">
      <w:pPr>
        <w:jc w:val="center"/>
        <w:rPr>
          <w:sz w:val="18"/>
          <w:szCs w:val="18"/>
        </w:rPr>
      </w:pPr>
      <w:r w:rsidRPr="00441AF7">
        <w:rPr>
          <w:sz w:val="18"/>
          <w:szCs w:val="18"/>
        </w:rPr>
        <w:t>Elisabeth Díaz, ONU Mujeres</w:t>
      </w:r>
    </w:p>
    <w:p w14:paraId="763FBC60" w14:textId="3E05A11E" w:rsidR="00441AF7" w:rsidRPr="00441AF7" w:rsidRDefault="00441AF7" w:rsidP="00441AF7">
      <w:pPr>
        <w:jc w:val="center"/>
        <w:rPr>
          <w:sz w:val="18"/>
          <w:szCs w:val="18"/>
        </w:rPr>
      </w:pPr>
      <w:r w:rsidRPr="00441AF7">
        <w:rPr>
          <w:sz w:val="18"/>
          <w:szCs w:val="18"/>
        </w:rPr>
        <w:t>Gerald Mora, ONU Mujeres</w:t>
      </w:r>
    </w:p>
    <w:p w14:paraId="7902DCED" w14:textId="51B410F7" w:rsidR="00441AF7" w:rsidRPr="00441AF7" w:rsidRDefault="00441AF7" w:rsidP="00441AF7">
      <w:pPr>
        <w:jc w:val="center"/>
        <w:rPr>
          <w:sz w:val="18"/>
          <w:szCs w:val="18"/>
        </w:rPr>
      </w:pPr>
      <w:r w:rsidRPr="00441AF7">
        <w:rPr>
          <w:sz w:val="18"/>
          <w:szCs w:val="18"/>
        </w:rPr>
        <w:t>Dayanara Salazar, ONU Mujeres</w:t>
      </w:r>
    </w:p>
    <w:p w14:paraId="03FBAA34" w14:textId="7EB573A2" w:rsidR="00441AF7" w:rsidRPr="00441AF7" w:rsidRDefault="00441AF7" w:rsidP="00441AF7">
      <w:pPr>
        <w:jc w:val="center"/>
        <w:rPr>
          <w:sz w:val="18"/>
          <w:szCs w:val="18"/>
        </w:rPr>
      </w:pPr>
      <w:r w:rsidRPr="00441AF7">
        <w:rPr>
          <w:sz w:val="18"/>
          <w:szCs w:val="18"/>
        </w:rPr>
        <w:t>María Fernández Trueba, PNUD</w:t>
      </w:r>
    </w:p>
    <w:p w14:paraId="1E8F1CCF" w14:textId="0C5113F9" w:rsidR="00441AF7" w:rsidRDefault="00441AF7" w:rsidP="00441AF7">
      <w:pPr>
        <w:jc w:val="center"/>
        <w:rPr>
          <w:sz w:val="18"/>
          <w:szCs w:val="18"/>
        </w:rPr>
      </w:pPr>
      <w:r>
        <w:rPr>
          <w:sz w:val="18"/>
          <w:szCs w:val="18"/>
        </w:rPr>
        <w:t>Verónica Chicas, FAO</w:t>
      </w:r>
    </w:p>
    <w:p w14:paraId="1D77EEC2" w14:textId="6532A709" w:rsidR="00441AF7" w:rsidRDefault="00441AF7" w:rsidP="00441AF7">
      <w:pPr>
        <w:jc w:val="center"/>
        <w:rPr>
          <w:sz w:val="18"/>
          <w:szCs w:val="18"/>
        </w:rPr>
      </w:pPr>
      <w:r>
        <w:rPr>
          <w:sz w:val="18"/>
          <w:szCs w:val="18"/>
        </w:rPr>
        <w:t>Gina De La Guardi</w:t>
      </w:r>
      <w:r w:rsidR="005E1679">
        <w:rPr>
          <w:sz w:val="18"/>
          <w:szCs w:val="18"/>
        </w:rPr>
        <w:t>a, UNICEF</w:t>
      </w:r>
    </w:p>
    <w:p w14:paraId="6EDF612C" w14:textId="467446E4" w:rsidR="00441AF7" w:rsidRDefault="00441AF7" w:rsidP="00441AF7">
      <w:pPr>
        <w:jc w:val="center"/>
        <w:rPr>
          <w:sz w:val="18"/>
          <w:szCs w:val="18"/>
        </w:rPr>
      </w:pPr>
      <w:r>
        <w:rPr>
          <w:sz w:val="18"/>
          <w:szCs w:val="18"/>
        </w:rPr>
        <w:t>Dora Arosemena, UNFPA</w:t>
      </w:r>
    </w:p>
    <w:p w14:paraId="75D07835" w14:textId="1FA56440" w:rsidR="00C6604E" w:rsidRPr="00441AF7" w:rsidRDefault="00C6604E" w:rsidP="00441AF7">
      <w:pPr>
        <w:jc w:val="center"/>
        <w:rPr>
          <w:sz w:val="18"/>
          <w:szCs w:val="18"/>
        </w:rPr>
      </w:pPr>
      <w:r>
        <w:rPr>
          <w:sz w:val="18"/>
          <w:szCs w:val="18"/>
        </w:rPr>
        <w:t>Zagrario Pérez, Oficina de la Coordinadora Residente</w:t>
      </w:r>
    </w:p>
    <w:p w14:paraId="794F425F" w14:textId="77777777" w:rsidR="00441AF7" w:rsidRPr="00441AF7" w:rsidRDefault="00441AF7" w:rsidP="00441AF7">
      <w:pPr>
        <w:jc w:val="center"/>
        <w:rPr>
          <w:sz w:val="18"/>
          <w:szCs w:val="18"/>
        </w:rPr>
      </w:pPr>
    </w:p>
    <w:p w14:paraId="7E92ABD9" w14:textId="77777777" w:rsidR="00441AF7" w:rsidRPr="00441AF7" w:rsidRDefault="00441AF7" w:rsidP="00441AF7">
      <w:pPr>
        <w:jc w:val="center"/>
        <w:rPr>
          <w:sz w:val="18"/>
          <w:szCs w:val="18"/>
        </w:rPr>
      </w:pPr>
    </w:p>
    <w:bookmarkEnd w:id="0"/>
    <w:p w14:paraId="15C0B89B" w14:textId="6F1A16DB" w:rsidR="00270C3B" w:rsidRPr="005970E9" w:rsidRDefault="003B5C05" w:rsidP="00270C3B">
      <w:pPr>
        <w:pStyle w:val="TOCHeading"/>
        <w:jc w:val="center"/>
        <w:rPr>
          <w:rFonts w:ascii="Century Schoolbook" w:eastAsia="Century Schoolbook" w:hAnsi="Century Schoolbook" w:cs="Century Schoolbook"/>
        </w:rPr>
      </w:pPr>
      <w:r w:rsidRPr="005970E9">
        <w:rPr>
          <w:rFonts w:ascii="Century Schoolbook" w:eastAsia="Century Schoolbook" w:hAnsi="Century Schoolbook" w:cs="Century Schoolbook"/>
        </w:rPr>
        <w:lastRenderedPageBreak/>
        <w:t xml:space="preserve">Panamá, </w:t>
      </w:r>
      <w:r w:rsidR="00B11B22" w:rsidRPr="005970E9">
        <w:rPr>
          <w:rFonts w:ascii="Century Schoolbook" w:eastAsia="Century Schoolbook" w:hAnsi="Century Schoolbook" w:cs="Century Schoolbook"/>
        </w:rPr>
        <w:t xml:space="preserve">junio </w:t>
      </w:r>
      <w:r w:rsidRPr="005970E9">
        <w:rPr>
          <w:rFonts w:ascii="Century Schoolbook" w:eastAsia="Century Schoolbook" w:hAnsi="Century Schoolbook" w:cs="Century Schoolbook"/>
        </w:rPr>
        <w:t>2020.</w:t>
      </w:r>
      <w:bookmarkStart w:id="1" w:name="_gjdgxs" w:colFirst="0" w:colLast="0"/>
      <w:bookmarkEnd w:id="1"/>
    </w:p>
    <w:p w14:paraId="74F266E3" w14:textId="18B7C4BE" w:rsidR="00270C3B" w:rsidRPr="005970E9" w:rsidRDefault="00270C3B">
      <w:r w:rsidRPr="005970E9">
        <w:br w:type="page"/>
      </w:r>
    </w:p>
    <w:sdt>
      <w:sdtPr>
        <w:rPr>
          <w:rFonts w:ascii="Century Schoolbook" w:eastAsia="Calibri" w:hAnsi="Century Schoolbook" w:cs="Calibri"/>
          <w:color w:val="5F497A" w:themeColor="accent4" w:themeShade="BF"/>
          <w:sz w:val="22"/>
          <w:szCs w:val="22"/>
          <w:lang w:val="es-ES"/>
        </w:rPr>
        <w:id w:val="-1801903762"/>
        <w:docPartObj>
          <w:docPartGallery w:val="Table of Contents"/>
          <w:docPartUnique/>
        </w:docPartObj>
      </w:sdtPr>
      <w:sdtEndPr>
        <w:rPr>
          <w:b/>
          <w:bCs/>
          <w:color w:val="auto"/>
        </w:rPr>
      </w:sdtEndPr>
      <w:sdtContent>
        <w:p w14:paraId="68452D41" w14:textId="29B2B808" w:rsidR="00636BA6" w:rsidRPr="005970E9" w:rsidRDefault="00636BA6">
          <w:pPr>
            <w:pStyle w:val="TOCHeading"/>
            <w:rPr>
              <w:rFonts w:ascii="Century Schoolbook" w:hAnsi="Century Schoolbook"/>
              <w:color w:val="5F497A" w:themeColor="accent4" w:themeShade="BF"/>
            </w:rPr>
          </w:pPr>
          <w:r w:rsidRPr="005970E9">
            <w:rPr>
              <w:rFonts w:ascii="Century Schoolbook" w:hAnsi="Century Schoolbook"/>
              <w:color w:val="5F497A" w:themeColor="accent4" w:themeShade="BF"/>
              <w:lang w:val="es-ES"/>
            </w:rPr>
            <w:t>Contenido</w:t>
          </w:r>
        </w:p>
        <w:p w14:paraId="6FEB04BA" w14:textId="32E25D67" w:rsidR="006A2415" w:rsidRDefault="00636BA6">
          <w:pPr>
            <w:pStyle w:val="TOC1"/>
            <w:tabs>
              <w:tab w:val="right" w:leader="dot" w:pos="8828"/>
            </w:tabs>
            <w:rPr>
              <w:rFonts w:asciiTheme="minorHAnsi" w:eastAsiaTheme="minorEastAsia" w:hAnsiTheme="minorHAnsi" w:cstheme="minorBidi"/>
              <w:noProof/>
            </w:rPr>
          </w:pPr>
          <w:r w:rsidRPr="005970E9">
            <w:fldChar w:fldCharType="begin"/>
          </w:r>
          <w:r w:rsidRPr="005970E9">
            <w:instrText xml:space="preserve"> TOC \o "1-3" \h \z \u </w:instrText>
          </w:r>
          <w:r w:rsidRPr="005970E9">
            <w:fldChar w:fldCharType="separate"/>
          </w:r>
          <w:hyperlink w:anchor="_Toc42549413" w:history="1">
            <w:r w:rsidR="006A2415" w:rsidRPr="005B72B1">
              <w:rPr>
                <w:rStyle w:val="Hyperlink"/>
                <w:noProof/>
              </w:rPr>
              <w:t>SIGLAS Y ABREVIATURAS</w:t>
            </w:r>
            <w:r w:rsidR="006A2415">
              <w:rPr>
                <w:noProof/>
                <w:webHidden/>
              </w:rPr>
              <w:tab/>
            </w:r>
            <w:r w:rsidR="006A2415">
              <w:rPr>
                <w:noProof/>
                <w:webHidden/>
              </w:rPr>
              <w:fldChar w:fldCharType="begin"/>
            </w:r>
            <w:r w:rsidR="006A2415">
              <w:rPr>
                <w:noProof/>
                <w:webHidden/>
              </w:rPr>
              <w:instrText xml:space="preserve"> PAGEREF _Toc42549413 \h </w:instrText>
            </w:r>
            <w:r w:rsidR="006A2415">
              <w:rPr>
                <w:noProof/>
                <w:webHidden/>
              </w:rPr>
            </w:r>
            <w:r w:rsidR="006A2415">
              <w:rPr>
                <w:noProof/>
                <w:webHidden/>
              </w:rPr>
              <w:fldChar w:fldCharType="separate"/>
            </w:r>
            <w:r w:rsidR="006A2415">
              <w:rPr>
                <w:noProof/>
                <w:webHidden/>
              </w:rPr>
              <w:t>10</w:t>
            </w:r>
            <w:r w:rsidR="006A2415">
              <w:rPr>
                <w:noProof/>
                <w:webHidden/>
              </w:rPr>
              <w:fldChar w:fldCharType="end"/>
            </w:r>
          </w:hyperlink>
        </w:p>
        <w:p w14:paraId="26213C79" w14:textId="01EA562A" w:rsidR="006A2415" w:rsidRDefault="00062ABE">
          <w:pPr>
            <w:pStyle w:val="TOC1"/>
            <w:tabs>
              <w:tab w:val="right" w:leader="dot" w:pos="8828"/>
            </w:tabs>
            <w:rPr>
              <w:rFonts w:asciiTheme="minorHAnsi" w:eastAsiaTheme="minorEastAsia" w:hAnsiTheme="minorHAnsi" w:cstheme="minorBidi"/>
              <w:noProof/>
            </w:rPr>
          </w:pPr>
          <w:hyperlink w:anchor="_Toc42549414" w:history="1">
            <w:r w:rsidR="006A2415" w:rsidRPr="005B72B1">
              <w:rPr>
                <w:rStyle w:val="Hyperlink"/>
                <w:noProof/>
              </w:rPr>
              <w:t>RESUMEN EJECUTIVO</w:t>
            </w:r>
            <w:r w:rsidR="006A2415">
              <w:rPr>
                <w:noProof/>
                <w:webHidden/>
              </w:rPr>
              <w:tab/>
            </w:r>
            <w:r w:rsidR="006A2415">
              <w:rPr>
                <w:noProof/>
                <w:webHidden/>
              </w:rPr>
              <w:fldChar w:fldCharType="begin"/>
            </w:r>
            <w:r w:rsidR="006A2415">
              <w:rPr>
                <w:noProof/>
                <w:webHidden/>
              </w:rPr>
              <w:instrText xml:space="preserve"> PAGEREF _Toc42549414 \h </w:instrText>
            </w:r>
            <w:r w:rsidR="006A2415">
              <w:rPr>
                <w:noProof/>
                <w:webHidden/>
              </w:rPr>
            </w:r>
            <w:r w:rsidR="006A2415">
              <w:rPr>
                <w:noProof/>
                <w:webHidden/>
              </w:rPr>
              <w:fldChar w:fldCharType="separate"/>
            </w:r>
            <w:r w:rsidR="006A2415">
              <w:rPr>
                <w:noProof/>
                <w:webHidden/>
              </w:rPr>
              <w:t>14</w:t>
            </w:r>
            <w:r w:rsidR="006A2415">
              <w:rPr>
                <w:noProof/>
                <w:webHidden/>
              </w:rPr>
              <w:fldChar w:fldCharType="end"/>
            </w:r>
          </w:hyperlink>
        </w:p>
        <w:p w14:paraId="6419ACD2" w14:textId="7CCA85A1" w:rsidR="006A2415" w:rsidRDefault="00062ABE">
          <w:pPr>
            <w:pStyle w:val="TOC2"/>
            <w:tabs>
              <w:tab w:val="left" w:pos="880"/>
              <w:tab w:val="right" w:leader="dot" w:pos="8828"/>
            </w:tabs>
            <w:rPr>
              <w:rFonts w:asciiTheme="minorHAnsi" w:eastAsiaTheme="minorEastAsia" w:hAnsiTheme="minorHAnsi" w:cstheme="minorBidi"/>
              <w:noProof/>
            </w:rPr>
          </w:pPr>
          <w:hyperlink w:anchor="_Toc42549415" w:history="1">
            <w:r w:rsidR="006A2415" w:rsidRPr="005B72B1">
              <w:rPr>
                <w:rStyle w:val="Hyperlink"/>
                <w:noProof/>
              </w:rPr>
              <w:t>A.</w:t>
            </w:r>
            <w:r w:rsidR="006A2415">
              <w:rPr>
                <w:rFonts w:asciiTheme="minorHAnsi" w:eastAsiaTheme="minorEastAsia" w:hAnsiTheme="minorHAnsi" w:cstheme="minorBidi"/>
                <w:noProof/>
              </w:rPr>
              <w:tab/>
            </w:r>
            <w:r w:rsidR="006A2415" w:rsidRPr="005B72B1">
              <w:rPr>
                <w:rStyle w:val="Hyperlink"/>
                <w:noProof/>
              </w:rPr>
              <w:t>Finalidad del Perfil de País según Igualdad de Género</w:t>
            </w:r>
            <w:r w:rsidR="006A2415">
              <w:rPr>
                <w:noProof/>
                <w:webHidden/>
              </w:rPr>
              <w:tab/>
            </w:r>
            <w:r w:rsidR="006A2415">
              <w:rPr>
                <w:noProof/>
                <w:webHidden/>
              </w:rPr>
              <w:fldChar w:fldCharType="begin"/>
            </w:r>
            <w:r w:rsidR="006A2415">
              <w:rPr>
                <w:noProof/>
                <w:webHidden/>
              </w:rPr>
              <w:instrText xml:space="preserve"> PAGEREF _Toc42549415 \h </w:instrText>
            </w:r>
            <w:r w:rsidR="006A2415">
              <w:rPr>
                <w:noProof/>
                <w:webHidden/>
              </w:rPr>
            </w:r>
            <w:r w:rsidR="006A2415">
              <w:rPr>
                <w:noProof/>
                <w:webHidden/>
              </w:rPr>
              <w:fldChar w:fldCharType="separate"/>
            </w:r>
            <w:r w:rsidR="006A2415">
              <w:rPr>
                <w:noProof/>
                <w:webHidden/>
              </w:rPr>
              <w:t>18</w:t>
            </w:r>
            <w:r w:rsidR="006A2415">
              <w:rPr>
                <w:noProof/>
                <w:webHidden/>
              </w:rPr>
              <w:fldChar w:fldCharType="end"/>
            </w:r>
          </w:hyperlink>
        </w:p>
        <w:p w14:paraId="4807DD57" w14:textId="2A5179E7" w:rsidR="006A2415" w:rsidRDefault="00062ABE">
          <w:pPr>
            <w:pStyle w:val="TOC2"/>
            <w:tabs>
              <w:tab w:val="left" w:pos="880"/>
              <w:tab w:val="right" w:leader="dot" w:pos="8828"/>
            </w:tabs>
            <w:rPr>
              <w:rFonts w:asciiTheme="minorHAnsi" w:eastAsiaTheme="minorEastAsia" w:hAnsiTheme="minorHAnsi" w:cstheme="minorBidi"/>
              <w:noProof/>
            </w:rPr>
          </w:pPr>
          <w:hyperlink w:anchor="_Toc42549416" w:history="1">
            <w:r w:rsidR="006A2415" w:rsidRPr="005B72B1">
              <w:rPr>
                <w:rStyle w:val="Hyperlink"/>
                <w:noProof/>
              </w:rPr>
              <w:t>B.</w:t>
            </w:r>
            <w:r w:rsidR="006A2415">
              <w:rPr>
                <w:rFonts w:asciiTheme="minorHAnsi" w:eastAsiaTheme="minorEastAsia" w:hAnsiTheme="minorHAnsi" w:cstheme="minorBidi"/>
                <w:noProof/>
              </w:rPr>
              <w:tab/>
            </w:r>
            <w:r w:rsidR="006A2415" w:rsidRPr="005B72B1">
              <w:rPr>
                <w:rStyle w:val="Hyperlink"/>
                <w:noProof/>
              </w:rPr>
              <w:t>Metodología PPIG</w:t>
            </w:r>
            <w:r w:rsidR="006A2415">
              <w:rPr>
                <w:noProof/>
                <w:webHidden/>
              </w:rPr>
              <w:tab/>
            </w:r>
            <w:r w:rsidR="006A2415">
              <w:rPr>
                <w:noProof/>
                <w:webHidden/>
              </w:rPr>
              <w:fldChar w:fldCharType="begin"/>
            </w:r>
            <w:r w:rsidR="006A2415">
              <w:rPr>
                <w:noProof/>
                <w:webHidden/>
              </w:rPr>
              <w:instrText xml:space="preserve"> PAGEREF _Toc42549416 \h </w:instrText>
            </w:r>
            <w:r w:rsidR="006A2415">
              <w:rPr>
                <w:noProof/>
                <w:webHidden/>
              </w:rPr>
            </w:r>
            <w:r w:rsidR="006A2415">
              <w:rPr>
                <w:noProof/>
                <w:webHidden/>
              </w:rPr>
              <w:fldChar w:fldCharType="separate"/>
            </w:r>
            <w:r w:rsidR="006A2415">
              <w:rPr>
                <w:noProof/>
                <w:webHidden/>
              </w:rPr>
              <w:t>19</w:t>
            </w:r>
            <w:r w:rsidR="006A2415">
              <w:rPr>
                <w:noProof/>
                <w:webHidden/>
              </w:rPr>
              <w:fldChar w:fldCharType="end"/>
            </w:r>
          </w:hyperlink>
        </w:p>
        <w:p w14:paraId="70C31F68" w14:textId="563E324F" w:rsidR="006A2415" w:rsidRDefault="00062ABE">
          <w:pPr>
            <w:pStyle w:val="TOC2"/>
            <w:tabs>
              <w:tab w:val="left" w:pos="880"/>
              <w:tab w:val="right" w:leader="dot" w:pos="8828"/>
            </w:tabs>
            <w:rPr>
              <w:rFonts w:asciiTheme="minorHAnsi" w:eastAsiaTheme="minorEastAsia" w:hAnsiTheme="minorHAnsi" w:cstheme="minorBidi"/>
              <w:noProof/>
            </w:rPr>
          </w:pPr>
          <w:hyperlink w:anchor="_Toc42549417" w:history="1">
            <w:r w:rsidR="006A2415" w:rsidRPr="005B72B1">
              <w:rPr>
                <w:rStyle w:val="Hyperlink"/>
                <w:noProof/>
              </w:rPr>
              <w:t>C.</w:t>
            </w:r>
            <w:r w:rsidR="006A2415">
              <w:rPr>
                <w:rFonts w:asciiTheme="minorHAnsi" w:eastAsiaTheme="minorEastAsia" w:hAnsiTheme="minorHAnsi" w:cstheme="minorBidi"/>
                <w:noProof/>
              </w:rPr>
              <w:tab/>
            </w:r>
            <w:r w:rsidR="006A2415" w:rsidRPr="005B72B1">
              <w:rPr>
                <w:rStyle w:val="Hyperlink"/>
                <w:noProof/>
              </w:rPr>
              <w:t>Estructura del Perfil de País según Igualdad de Género</w:t>
            </w:r>
            <w:r w:rsidR="006A2415">
              <w:rPr>
                <w:noProof/>
                <w:webHidden/>
              </w:rPr>
              <w:tab/>
            </w:r>
            <w:r w:rsidR="006A2415">
              <w:rPr>
                <w:noProof/>
                <w:webHidden/>
              </w:rPr>
              <w:fldChar w:fldCharType="begin"/>
            </w:r>
            <w:r w:rsidR="006A2415">
              <w:rPr>
                <w:noProof/>
                <w:webHidden/>
              </w:rPr>
              <w:instrText xml:space="preserve"> PAGEREF _Toc42549417 \h </w:instrText>
            </w:r>
            <w:r w:rsidR="006A2415">
              <w:rPr>
                <w:noProof/>
                <w:webHidden/>
              </w:rPr>
            </w:r>
            <w:r w:rsidR="006A2415">
              <w:rPr>
                <w:noProof/>
                <w:webHidden/>
              </w:rPr>
              <w:fldChar w:fldCharType="separate"/>
            </w:r>
            <w:r w:rsidR="006A2415">
              <w:rPr>
                <w:noProof/>
                <w:webHidden/>
              </w:rPr>
              <w:t>20</w:t>
            </w:r>
            <w:r w:rsidR="006A2415">
              <w:rPr>
                <w:noProof/>
                <w:webHidden/>
              </w:rPr>
              <w:fldChar w:fldCharType="end"/>
            </w:r>
          </w:hyperlink>
        </w:p>
        <w:p w14:paraId="0898B998" w14:textId="604C2286" w:rsidR="006A2415" w:rsidRDefault="00062ABE">
          <w:pPr>
            <w:pStyle w:val="TOC1"/>
            <w:tabs>
              <w:tab w:val="left" w:pos="440"/>
              <w:tab w:val="right" w:leader="dot" w:pos="8828"/>
            </w:tabs>
            <w:rPr>
              <w:rFonts w:asciiTheme="minorHAnsi" w:eastAsiaTheme="minorEastAsia" w:hAnsiTheme="minorHAnsi" w:cstheme="minorBidi"/>
              <w:noProof/>
            </w:rPr>
          </w:pPr>
          <w:hyperlink w:anchor="_Toc42549418" w:history="1">
            <w:r w:rsidR="006A2415" w:rsidRPr="005B72B1">
              <w:rPr>
                <w:rStyle w:val="Hyperlink"/>
                <w:noProof/>
              </w:rPr>
              <w:t>I.</w:t>
            </w:r>
            <w:r w:rsidR="006A2415">
              <w:rPr>
                <w:rFonts w:asciiTheme="minorHAnsi" w:eastAsiaTheme="minorEastAsia" w:hAnsiTheme="minorHAnsi" w:cstheme="minorBidi"/>
                <w:noProof/>
              </w:rPr>
              <w:tab/>
            </w:r>
            <w:r w:rsidR="006A2415" w:rsidRPr="005B72B1">
              <w:rPr>
                <w:rStyle w:val="Hyperlink"/>
                <w:noProof/>
              </w:rPr>
              <w:t>IGUALDAD DE GENERO EN PANAMA</w:t>
            </w:r>
            <w:r w:rsidR="006A2415">
              <w:rPr>
                <w:noProof/>
                <w:webHidden/>
              </w:rPr>
              <w:tab/>
            </w:r>
            <w:r w:rsidR="006A2415">
              <w:rPr>
                <w:noProof/>
                <w:webHidden/>
              </w:rPr>
              <w:fldChar w:fldCharType="begin"/>
            </w:r>
            <w:r w:rsidR="006A2415">
              <w:rPr>
                <w:noProof/>
                <w:webHidden/>
              </w:rPr>
              <w:instrText xml:space="preserve"> PAGEREF _Toc42549418 \h </w:instrText>
            </w:r>
            <w:r w:rsidR="006A2415">
              <w:rPr>
                <w:noProof/>
                <w:webHidden/>
              </w:rPr>
            </w:r>
            <w:r w:rsidR="006A2415">
              <w:rPr>
                <w:noProof/>
                <w:webHidden/>
              </w:rPr>
              <w:fldChar w:fldCharType="separate"/>
            </w:r>
            <w:r w:rsidR="006A2415">
              <w:rPr>
                <w:noProof/>
                <w:webHidden/>
              </w:rPr>
              <w:t>21</w:t>
            </w:r>
            <w:r w:rsidR="006A2415">
              <w:rPr>
                <w:noProof/>
                <w:webHidden/>
              </w:rPr>
              <w:fldChar w:fldCharType="end"/>
            </w:r>
          </w:hyperlink>
        </w:p>
        <w:p w14:paraId="6614A367" w14:textId="7F9F3063" w:rsidR="006A2415" w:rsidRDefault="00062ABE">
          <w:pPr>
            <w:pStyle w:val="TOC2"/>
            <w:tabs>
              <w:tab w:val="left" w:pos="880"/>
              <w:tab w:val="right" w:leader="dot" w:pos="8828"/>
            </w:tabs>
            <w:rPr>
              <w:rFonts w:asciiTheme="minorHAnsi" w:eastAsiaTheme="minorEastAsia" w:hAnsiTheme="minorHAnsi" w:cstheme="minorBidi"/>
              <w:noProof/>
            </w:rPr>
          </w:pPr>
          <w:hyperlink w:anchor="_Toc42549419" w:history="1">
            <w:r w:rsidR="006A2415" w:rsidRPr="005B72B1">
              <w:rPr>
                <w:rStyle w:val="Hyperlink"/>
                <w:noProof/>
              </w:rPr>
              <w:t>1.1.</w:t>
            </w:r>
            <w:r w:rsidR="006A2415">
              <w:rPr>
                <w:rFonts w:asciiTheme="minorHAnsi" w:eastAsiaTheme="minorEastAsia" w:hAnsiTheme="minorHAnsi" w:cstheme="minorBidi"/>
                <w:noProof/>
              </w:rPr>
              <w:tab/>
            </w:r>
            <w:r w:rsidR="006A2415" w:rsidRPr="005B72B1">
              <w:rPr>
                <w:rStyle w:val="Hyperlink"/>
                <w:noProof/>
              </w:rPr>
              <w:t>Cuestiones generales (desigualdades de género en el sistema social)</w:t>
            </w:r>
            <w:r w:rsidR="006A2415">
              <w:rPr>
                <w:noProof/>
                <w:webHidden/>
              </w:rPr>
              <w:tab/>
            </w:r>
            <w:r w:rsidR="006A2415">
              <w:rPr>
                <w:noProof/>
                <w:webHidden/>
              </w:rPr>
              <w:fldChar w:fldCharType="begin"/>
            </w:r>
            <w:r w:rsidR="006A2415">
              <w:rPr>
                <w:noProof/>
                <w:webHidden/>
              </w:rPr>
              <w:instrText xml:space="preserve"> PAGEREF _Toc42549419 \h </w:instrText>
            </w:r>
            <w:r w:rsidR="006A2415">
              <w:rPr>
                <w:noProof/>
                <w:webHidden/>
              </w:rPr>
            </w:r>
            <w:r w:rsidR="006A2415">
              <w:rPr>
                <w:noProof/>
                <w:webHidden/>
              </w:rPr>
              <w:fldChar w:fldCharType="separate"/>
            </w:r>
            <w:r w:rsidR="006A2415">
              <w:rPr>
                <w:noProof/>
                <w:webHidden/>
              </w:rPr>
              <w:t>21</w:t>
            </w:r>
            <w:r w:rsidR="006A2415">
              <w:rPr>
                <w:noProof/>
                <w:webHidden/>
              </w:rPr>
              <w:fldChar w:fldCharType="end"/>
            </w:r>
          </w:hyperlink>
        </w:p>
        <w:p w14:paraId="40CDA68C" w14:textId="00C52521" w:rsidR="006A2415" w:rsidRDefault="00062ABE">
          <w:pPr>
            <w:pStyle w:val="TOC2"/>
            <w:tabs>
              <w:tab w:val="left" w:pos="880"/>
              <w:tab w:val="right" w:leader="dot" w:pos="8828"/>
            </w:tabs>
            <w:rPr>
              <w:rFonts w:asciiTheme="minorHAnsi" w:eastAsiaTheme="minorEastAsia" w:hAnsiTheme="minorHAnsi" w:cstheme="minorBidi"/>
              <w:noProof/>
            </w:rPr>
          </w:pPr>
          <w:hyperlink w:anchor="_Toc42549420" w:history="1">
            <w:r w:rsidR="006A2415" w:rsidRPr="005B72B1">
              <w:rPr>
                <w:rStyle w:val="Hyperlink"/>
                <w:noProof/>
              </w:rPr>
              <w:t>1.2.</w:t>
            </w:r>
            <w:r w:rsidR="006A2415">
              <w:rPr>
                <w:rFonts w:asciiTheme="minorHAnsi" w:eastAsiaTheme="minorEastAsia" w:hAnsiTheme="minorHAnsi" w:cstheme="minorBidi"/>
                <w:noProof/>
              </w:rPr>
              <w:tab/>
            </w:r>
            <w:r w:rsidR="006A2415" w:rsidRPr="005B72B1">
              <w:rPr>
                <w:rStyle w:val="Hyperlink"/>
                <w:noProof/>
              </w:rPr>
              <w:t xml:space="preserve">Transversalización de género o </w:t>
            </w:r>
            <w:r w:rsidR="006A2415" w:rsidRPr="005B72B1">
              <w:rPr>
                <w:rStyle w:val="Hyperlink"/>
                <w:i/>
                <w:noProof/>
              </w:rPr>
              <w:t>mainstreaming</w:t>
            </w:r>
            <w:r w:rsidR="006A2415" w:rsidRPr="005B72B1">
              <w:rPr>
                <w:rStyle w:val="Hyperlink"/>
                <w:noProof/>
              </w:rPr>
              <w:t xml:space="preserve"> de género</w:t>
            </w:r>
            <w:r w:rsidR="006A2415">
              <w:rPr>
                <w:noProof/>
                <w:webHidden/>
              </w:rPr>
              <w:tab/>
            </w:r>
            <w:r w:rsidR="006A2415">
              <w:rPr>
                <w:noProof/>
                <w:webHidden/>
              </w:rPr>
              <w:fldChar w:fldCharType="begin"/>
            </w:r>
            <w:r w:rsidR="006A2415">
              <w:rPr>
                <w:noProof/>
                <w:webHidden/>
              </w:rPr>
              <w:instrText xml:space="preserve"> PAGEREF _Toc42549420 \h </w:instrText>
            </w:r>
            <w:r w:rsidR="006A2415">
              <w:rPr>
                <w:noProof/>
                <w:webHidden/>
              </w:rPr>
            </w:r>
            <w:r w:rsidR="006A2415">
              <w:rPr>
                <w:noProof/>
                <w:webHidden/>
              </w:rPr>
              <w:fldChar w:fldCharType="separate"/>
            </w:r>
            <w:r w:rsidR="006A2415">
              <w:rPr>
                <w:noProof/>
                <w:webHidden/>
              </w:rPr>
              <w:t>22</w:t>
            </w:r>
            <w:r w:rsidR="006A2415">
              <w:rPr>
                <w:noProof/>
                <w:webHidden/>
              </w:rPr>
              <w:fldChar w:fldCharType="end"/>
            </w:r>
          </w:hyperlink>
        </w:p>
        <w:p w14:paraId="2C7B1390" w14:textId="710E0AC9" w:rsidR="006A2415" w:rsidRDefault="00062ABE">
          <w:pPr>
            <w:pStyle w:val="TOC2"/>
            <w:tabs>
              <w:tab w:val="left" w:pos="880"/>
              <w:tab w:val="right" w:leader="dot" w:pos="8828"/>
            </w:tabs>
            <w:rPr>
              <w:rFonts w:asciiTheme="minorHAnsi" w:eastAsiaTheme="minorEastAsia" w:hAnsiTheme="minorHAnsi" w:cstheme="minorBidi"/>
              <w:noProof/>
            </w:rPr>
          </w:pPr>
          <w:hyperlink w:anchor="_Toc42549421" w:history="1">
            <w:r w:rsidR="006A2415" w:rsidRPr="005B72B1">
              <w:rPr>
                <w:rStyle w:val="Hyperlink"/>
                <w:noProof/>
              </w:rPr>
              <w:t>1.3.</w:t>
            </w:r>
            <w:r w:rsidR="006A2415">
              <w:rPr>
                <w:rFonts w:asciiTheme="minorHAnsi" w:eastAsiaTheme="minorEastAsia" w:hAnsiTheme="minorHAnsi" w:cstheme="minorBidi"/>
                <w:noProof/>
              </w:rPr>
              <w:tab/>
            </w:r>
            <w:r w:rsidR="006A2415" w:rsidRPr="005B72B1">
              <w:rPr>
                <w:rStyle w:val="Hyperlink"/>
                <w:noProof/>
              </w:rPr>
              <w:t>Contexto de país</w:t>
            </w:r>
            <w:r w:rsidR="006A2415">
              <w:rPr>
                <w:noProof/>
                <w:webHidden/>
              </w:rPr>
              <w:tab/>
            </w:r>
            <w:r w:rsidR="006A2415">
              <w:rPr>
                <w:noProof/>
                <w:webHidden/>
              </w:rPr>
              <w:fldChar w:fldCharType="begin"/>
            </w:r>
            <w:r w:rsidR="006A2415">
              <w:rPr>
                <w:noProof/>
                <w:webHidden/>
              </w:rPr>
              <w:instrText xml:space="preserve"> PAGEREF _Toc42549421 \h </w:instrText>
            </w:r>
            <w:r w:rsidR="006A2415">
              <w:rPr>
                <w:noProof/>
                <w:webHidden/>
              </w:rPr>
            </w:r>
            <w:r w:rsidR="006A2415">
              <w:rPr>
                <w:noProof/>
                <w:webHidden/>
              </w:rPr>
              <w:fldChar w:fldCharType="separate"/>
            </w:r>
            <w:r w:rsidR="006A2415">
              <w:rPr>
                <w:noProof/>
                <w:webHidden/>
              </w:rPr>
              <w:t>25</w:t>
            </w:r>
            <w:r w:rsidR="006A2415">
              <w:rPr>
                <w:noProof/>
                <w:webHidden/>
              </w:rPr>
              <w:fldChar w:fldCharType="end"/>
            </w:r>
          </w:hyperlink>
        </w:p>
        <w:p w14:paraId="08AA58D4" w14:textId="74F29A33" w:rsidR="006A2415" w:rsidRDefault="00062ABE">
          <w:pPr>
            <w:pStyle w:val="TOC1"/>
            <w:tabs>
              <w:tab w:val="left" w:pos="660"/>
              <w:tab w:val="right" w:leader="dot" w:pos="8828"/>
            </w:tabs>
            <w:rPr>
              <w:rFonts w:asciiTheme="minorHAnsi" w:eastAsiaTheme="minorEastAsia" w:hAnsiTheme="minorHAnsi" w:cstheme="minorBidi"/>
              <w:noProof/>
            </w:rPr>
          </w:pPr>
          <w:hyperlink w:anchor="_Toc42549422" w:history="1">
            <w:r w:rsidR="006A2415" w:rsidRPr="005B72B1">
              <w:rPr>
                <w:rStyle w:val="Hyperlink"/>
                <w:noProof/>
              </w:rPr>
              <w:t>II.</w:t>
            </w:r>
            <w:r w:rsidR="006A2415">
              <w:rPr>
                <w:rFonts w:asciiTheme="minorHAnsi" w:eastAsiaTheme="minorEastAsia" w:hAnsiTheme="minorHAnsi" w:cstheme="minorBidi"/>
                <w:noProof/>
              </w:rPr>
              <w:tab/>
            </w:r>
            <w:r w:rsidR="006A2415" w:rsidRPr="005B72B1">
              <w:rPr>
                <w:rStyle w:val="Hyperlink"/>
                <w:noProof/>
              </w:rPr>
              <w:t>DIMENSIÓN POLÍTICA</w:t>
            </w:r>
            <w:r w:rsidR="006A2415">
              <w:rPr>
                <w:noProof/>
                <w:webHidden/>
              </w:rPr>
              <w:tab/>
            </w:r>
            <w:r w:rsidR="006A2415">
              <w:rPr>
                <w:noProof/>
                <w:webHidden/>
              </w:rPr>
              <w:fldChar w:fldCharType="begin"/>
            </w:r>
            <w:r w:rsidR="006A2415">
              <w:rPr>
                <w:noProof/>
                <w:webHidden/>
              </w:rPr>
              <w:instrText xml:space="preserve"> PAGEREF _Toc42549422 \h </w:instrText>
            </w:r>
            <w:r w:rsidR="006A2415">
              <w:rPr>
                <w:noProof/>
                <w:webHidden/>
              </w:rPr>
            </w:r>
            <w:r w:rsidR="006A2415">
              <w:rPr>
                <w:noProof/>
                <w:webHidden/>
              </w:rPr>
              <w:fldChar w:fldCharType="separate"/>
            </w:r>
            <w:r w:rsidR="006A2415">
              <w:rPr>
                <w:noProof/>
                <w:webHidden/>
              </w:rPr>
              <w:t>31</w:t>
            </w:r>
            <w:r w:rsidR="006A2415">
              <w:rPr>
                <w:noProof/>
                <w:webHidden/>
              </w:rPr>
              <w:fldChar w:fldCharType="end"/>
            </w:r>
          </w:hyperlink>
        </w:p>
        <w:p w14:paraId="0A1E6482" w14:textId="2D03C5EE" w:rsidR="006A2415" w:rsidRDefault="00062ABE">
          <w:pPr>
            <w:pStyle w:val="TOC1"/>
            <w:tabs>
              <w:tab w:val="right" w:leader="dot" w:pos="8828"/>
            </w:tabs>
            <w:rPr>
              <w:rFonts w:asciiTheme="minorHAnsi" w:eastAsiaTheme="minorEastAsia" w:hAnsiTheme="minorHAnsi" w:cstheme="minorBidi"/>
              <w:noProof/>
            </w:rPr>
          </w:pPr>
          <w:hyperlink w:anchor="_Toc42549423" w:history="1">
            <w:r w:rsidR="006A2415" w:rsidRPr="005B72B1">
              <w:rPr>
                <w:rStyle w:val="Hyperlink"/>
                <w:noProof/>
              </w:rPr>
              <w:t>MARCO POLÍTICO, JURÍDICO E INSTITUCIONAL</w:t>
            </w:r>
            <w:r w:rsidR="006A2415">
              <w:rPr>
                <w:noProof/>
                <w:webHidden/>
              </w:rPr>
              <w:tab/>
            </w:r>
            <w:r w:rsidR="006A2415">
              <w:rPr>
                <w:noProof/>
                <w:webHidden/>
              </w:rPr>
              <w:fldChar w:fldCharType="begin"/>
            </w:r>
            <w:r w:rsidR="006A2415">
              <w:rPr>
                <w:noProof/>
                <w:webHidden/>
              </w:rPr>
              <w:instrText xml:space="preserve"> PAGEREF _Toc42549423 \h </w:instrText>
            </w:r>
            <w:r w:rsidR="006A2415">
              <w:rPr>
                <w:noProof/>
                <w:webHidden/>
              </w:rPr>
            </w:r>
            <w:r w:rsidR="006A2415">
              <w:rPr>
                <w:noProof/>
                <w:webHidden/>
              </w:rPr>
              <w:fldChar w:fldCharType="separate"/>
            </w:r>
            <w:r w:rsidR="006A2415">
              <w:rPr>
                <w:noProof/>
                <w:webHidden/>
              </w:rPr>
              <w:t>31</w:t>
            </w:r>
            <w:r w:rsidR="006A2415">
              <w:rPr>
                <w:noProof/>
                <w:webHidden/>
              </w:rPr>
              <w:fldChar w:fldCharType="end"/>
            </w:r>
          </w:hyperlink>
        </w:p>
        <w:p w14:paraId="4B027823" w14:textId="2EE27B3A" w:rsidR="006A2415" w:rsidRDefault="00062ABE">
          <w:pPr>
            <w:pStyle w:val="TOC2"/>
            <w:tabs>
              <w:tab w:val="left" w:pos="880"/>
              <w:tab w:val="right" w:leader="dot" w:pos="8828"/>
            </w:tabs>
            <w:rPr>
              <w:rFonts w:asciiTheme="minorHAnsi" w:eastAsiaTheme="minorEastAsia" w:hAnsiTheme="minorHAnsi" w:cstheme="minorBidi"/>
              <w:noProof/>
            </w:rPr>
          </w:pPr>
          <w:hyperlink w:anchor="_Toc42549424" w:history="1">
            <w:r w:rsidR="006A2415" w:rsidRPr="005B72B1">
              <w:rPr>
                <w:rStyle w:val="Hyperlink"/>
                <w:noProof/>
              </w:rPr>
              <w:t>2.1.</w:t>
            </w:r>
            <w:r w:rsidR="006A2415">
              <w:rPr>
                <w:rFonts w:asciiTheme="minorHAnsi" w:eastAsiaTheme="minorEastAsia" w:hAnsiTheme="minorHAnsi" w:cstheme="minorBidi"/>
                <w:noProof/>
              </w:rPr>
              <w:tab/>
            </w:r>
            <w:r w:rsidR="006A2415" w:rsidRPr="005B72B1">
              <w:rPr>
                <w:rStyle w:val="Hyperlink"/>
                <w:noProof/>
              </w:rPr>
              <w:t>Marco Político</w:t>
            </w:r>
            <w:r w:rsidR="006A2415">
              <w:rPr>
                <w:noProof/>
                <w:webHidden/>
              </w:rPr>
              <w:tab/>
            </w:r>
            <w:r w:rsidR="006A2415">
              <w:rPr>
                <w:noProof/>
                <w:webHidden/>
              </w:rPr>
              <w:fldChar w:fldCharType="begin"/>
            </w:r>
            <w:r w:rsidR="006A2415">
              <w:rPr>
                <w:noProof/>
                <w:webHidden/>
              </w:rPr>
              <w:instrText xml:space="preserve"> PAGEREF _Toc42549424 \h </w:instrText>
            </w:r>
            <w:r w:rsidR="006A2415">
              <w:rPr>
                <w:noProof/>
                <w:webHidden/>
              </w:rPr>
            </w:r>
            <w:r w:rsidR="006A2415">
              <w:rPr>
                <w:noProof/>
                <w:webHidden/>
              </w:rPr>
              <w:fldChar w:fldCharType="separate"/>
            </w:r>
            <w:r w:rsidR="006A2415">
              <w:rPr>
                <w:noProof/>
                <w:webHidden/>
              </w:rPr>
              <w:t>31</w:t>
            </w:r>
            <w:r w:rsidR="006A2415">
              <w:rPr>
                <w:noProof/>
                <w:webHidden/>
              </w:rPr>
              <w:fldChar w:fldCharType="end"/>
            </w:r>
          </w:hyperlink>
        </w:p>
        <w:p w14:paraId="38C7B74C" w14:textId="04D51BE7" w:rsidR="006A2415" w:rsidRDefault="00062ABE">
          <w:pPr>
            <w:pStyle w:val="TOC2"/>
            <w:tabs>
              <w:tab w:val="left" w:pos="880"/>
              <w:tab w:val="right" w:leader="dot" w:pos="8828"/>
            </w:tabs>
            <w:rPr>
              <w:rFonts w:asciiTheme="minorHAnsi" w:eastAsiaTheme="minorEastAsia" w:hAnsiTheme="minorHAnsi" w:cstheme="minorBidi"/>
              <w:noProof/>
            </w:rPr>
          </w:pPr>
          <w:hyperlink w:anchor="_Toc42549425" w:history="1">
            <w:r w:rsidR="006A2415" w:rsidRPr="005B72B1">
              <w:rPr>
                <w:rStyle w:val="Hyperlink"/>
                <w:noProof/>
              </w:rPr>
              <w:t>2.2.</w:t>
            </w:r>
            <w:r w:rsidR="006A2415">
              <w:rPr>
                <w:rFonts w:asciiTheme="minorHAnsi" w:eastAsiaTheme="minorEastAsia" w:hAnsiTheme="minorHAnsi" w:cstheme="minorBidi"/>
                <w:noProof/>
              </w:rPr>
              <w:tab/>
            </w:r>
            <w:r w:rsidR="006A2415" w:rsidRPr="005B72B1">
              <w:rPr>
                <w:rStyle w:val="Hyperlink"/>
                <w:noProof/>
              </w:rPr>
              <w:t>Marco Jurídico</w:t>
            </w:r>
            <w:r w:rsidR="006A2415">
              <w:rPr>
                <w:noProof/>
                <w:webHidden/>
              </w:rPr>
              <w:tab/>
            </w:r>
            <w:r w:rsidR="006A2415">
              <w:rPr>
                <w:noProof/>
                <w:webHidden/>
              </w:rPr>
              <w:fldChar w:fldCharType="begin"/>
            </w:r>
            <w:r w:rsidR="006A2415">
              <w:rPr>
                <w:noProof/>
                <w:webHidden/>
              </w:rPr>
              <w:instrText xml:space="preserve"> PAGEREF _Toc42549425 \h </w:instrText>
            </w:r>
            <w:r w:rsidR="006A2415">
              <w:rPr>
                <w:noProof/>
                <w:webHidden/>
              </w:rPr>
            </w:r>
            <w:r w:rsidR="006A2415">
              <w:rPr>
                <w:noProof/>
                <w:webHidden/>
              </w:rPr>
              <w:fldChar w:fldCharType="separate"/>
            </w:r>
            <w:r w:rsidR="006A2415">
              <w:rPr>
                <w:noProof/>
                <w:webHidden/>
              </w:rPr>
              <w:t>32</w:t>
            </w:r>
            <w:r w:rsidR="006A2415">
              <w:rPr>
                <w:noProof/>
                <w:webHidden/>
              </w:rPr>
              <w:fldChar w:fldCharType="end"/>
            </w:r>
          </w:hyperlink>
        </w:p>
        <w:p w14:paraId="60CFBD9E" w14:textId="0B97A65C" w:rsidR="006A2415" w:rsidRDefault="00062ABE">
          <w:pPr>
            <w:pStyle w:val="TOC2"/>
            <w:tabs>
              <w:tab w:val="left" w:pos="880"/>
              <w:tab w:val="right" w:leader="dot" w:pos="8828"/>
            </w:tabs>
            <w:rPr>
              <w:rFonts w:asciiTheme="minorHAnsi" w:eastAsiaTheme="minorEastAsia" w:hAnsiTheme="minorHAnsi" w:cstheme="minorBidi"/>
              <w:noProof/>
            </w:rPr>
          </w:pPr>
          <w:hyperlink w:anchor="_Toc42549426" w:history="1">
            <w:r w:rsidR="006A2415" w:rsidRPr="005B72B1">
              <w:rPr>
                <w:rStyle w:val="Hyperlink"/>
                <w:noProof/>
              </w:rPr>
              <w:t>2.3.</w:t>
            </w:r>
            <w:r w:rsidR="006A2415">
              <w:rPr>
                <w:rFonts w:asciiTheme="minorHAnsi" w:eastAsiaTheme="minorEastAsia" w:hAnsiTheme="minorHAnsi" w:cstheme="minorBidi"/>
                <w:noProof/>
              </w:rPr>
              <w:tab/>
            </w:r>
            <w:r w:rsidR="006A2415" w:rsidRPr="005B72B1">
              <w:rPr>
                <w:rStyle w:val="Hyperlink"/>
                <w:noProof/>
              </w:rPr>
              <w:t>Marco Institucional (Mecanismos de adelanto de las mujeres)</w:t>
            </w:r>
            <w:r w:rsidR="006A2415">
              <w:rPr>
                <w:noProof/>
                <w:webHidden/>
              </w:rPr>
              <w:tab/>
            </w:r>
            <w:r w:rsidR="006A2415">
              <w:rPr>
                <w:noProof/>
                <w:webHidden/>
              </w:rPr>
              <w:fldChar w:fldCharType="begin"/>
            </w:r>
            <w:r w:rsidR="006A2415">
              <w:rPr>
                <w:noProof/>
                <w:webHidden/>
              </w:rPr>
              <w:instrText xml:space="preserve"> PAGEREF _Toc42549426 \h </w:instrText>
            </w:r>
            <w:r w:rsidR="006A2415">
              <w:rPr>
                <w:noProof/>
                <w:webHidden/>
              </w:rPr>
            </w:r>
            <w:r w:rsidR="006A2415">
              <w:rPr>
                <w:noProof/>
                <w:webHidden/>
              </w:rPr>
              <w:fldChar w:fldCharType="separate"/>
            </w:r>
            <w:r w:rsidR="006A2415">
              <w:rPr>
                <w:noProof/>
                <w:webHidden/>
              </w:rPr>
              <w:t>33</w:t>
            </w:r>
            <w:r w:rsidR="006A2415">
              <w:rPr>
                <w:noProof/>
                <w:webHidden/>
              </w:rPr>
              <w:fldChar w:fldCharType="end"/>
            </w:r>
          </w:hyperlink>
        </w:p>
        <w:p w14:paraId="1CAA3C87" w14:textId="2D583D6A" w:rsidR="006A2415" w:rsidRDefault="00062ABE">
          <w:pPr>
            <w:pStyle w:val="TOC2"/>
            <w:tabs>
              <w:tab w:val="left" w:pos="880"/>
              <w:tab w:val="right" w:leader="dot" w:pos="8828"/>
            </w:tabs>
            <w:rPr>
              <w:rFonts w:asciiTheme="minorHAnsi" w:eastAsiaTheme="minorEastAsia" w:hAnsiTheme="minorHAnsi" w:cstheme="minorBidi"/>
              <w:noProof/>
            </w:rPr>
          </w:pPr>
          <w:hyperlink w:anchor="_Toc42549427" w:history="1">
            <w:r w:rsidR="006A2415" w:rsidRPr="005B72B1">
              <w:rPr>
                <w:rStyle w:val="Hyperlink"/>
                <w:noProof/>
              </w:rPr>
              <w:t>2.4.</w:t>
            </w:r>
            <w:r w:rsidR="006A2415">
              <w:rPr>
                <w:rFonts w:asciiTheme="minorHAnsi" w:eastAsiaTheme="minorEastAsia" w:hAnsiTheme="minorHAnsi" w:cstheme="minorBidi"/>
                <w:noProof/>
              </w:rPr>
              <w:tab/>
            </w:r>
            <w:r w:rsidR="006A2415" w:rsidRPr="005B72B1">
              <w:rPr>
                <w:rStyle w:val="Hyperlink"/>
                <w:noProof/>
              </w:rPr>
              <w:t>Género, liderazgo y participación social y paridad política</w:t>
            </w:r>
            <w:r w:rsidR="006A2415">
              <w:rPr>
                <w:noProof/>
                <w:webHidden/>
              </w:rPr>
              <w:tab/>
            </w:r>
            <w:r w:rsidR="006A2415">
              <w:rPr>
                <w:noProof/>
                <w:webHidden/>
              </w:rPr>
              <w:fldChar w:fldCharType="begin"/>
            </w:r>
            <w:r w:rsidR="006A2415">
              <w:rPr>
                <w:noProof/>
                <w:webHidden/>
              </w:rPr>
              <w:instrText xml:space="preserve"> PAGEREF _Toc42549427 \h </w:instrText>
            </w:r>
            <w:r w:rsidR="006A2415">
              <w:rPr>
                <w:noProof/>
                <w:webHidden/>
              </w:rPr>
            </w:r>
            <w:r w:rsidR="006A2415">
              <w:rPr>
                <w:noProof/>
                <w:webHidden/>
              </w:rPr>
              <w:fldChar w:fldCharType="separate"/>
            </w:r>
            <w:r w:rsidR="006A2415">
              <w:rPr>
                <w:noProof/>
                <w:webHidden/>
              </w:rPr>
              <w:t>36</w:t>
            </w:r>
            <w:r w:rsidR="006A2415">
              <w:rPr>
                <w:noProof/>
                <w:webHidden/>
              </w:rPr>
              <w:fldChar w:fldCharType="end"/>
            </w:r>
          </w:hyperlink>
        </w:p>
        <w:p w14:paraId="49E0D09F" w14:textId="1DEE0DA0"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28" w:history="1">
            <w:r w:rsidR="006A2415" w:rsidRPr="005B72B1">
              <w:rPr>
                <w:rStyle w:val="Hyperlink"/>
                <w:noProof/>
              </w:rPr>
              <w:t>2.4.1.</w:t>
            </w:r>
            <w:r w:rsidR="006A2415">
              <w:rPr>
                <w:rFonts w:asciiTheme="minorHAnsi" w:eastAsiaTheme="minorEastAsia" w:hAnsiTheme="minorHAnsi" w:cstheme="minorBidi"/>
                <w:noProof/>
              </w:rPr>
              <w:tab/>
            </w:r>
            <w:r w:rsidR="006A2415" w:rsidRPr="005B72B1">
              <w:rPr>
                <w:rStyle w:val="Hyperlink"/>
                <w:noProof/>
              </w:rPr>
              <w:t>Marco jurídico para la participación política y social de las mujeres panameñas</w:t>
            </w:r>
            <w:r w:rsidR="006A2415">
              <w:rPr>
                <w:noProof/>
                <w:webHidden/>
              </w:rPr>
              <w:tab/>
            </w:r>
            <w:r w:rsidR="006A2415">
              <w:rPr>
                <w:noProof/>
                <w:webHidden/>
              </w:rPr>
              <w:fldChar w:fldCharType="begin"/>
            </w:r>
            <w:r w:rsidR="006A2415">
              <w:rPr>
                <w:noProof/>
                <w:webHidden/>
              </w:rPr>
              <w:instrText xml:space="preserve"> PAGEREF _Toc42549428 \h </w:instrText>
            </w:r>
            <w:r w:rsidR="006A2415">
              <w:rPr>
                <w:noProof/>
                <w:webHidden/>
              </w:rPr>
            </w:r>
            <w:r w:rsidR="006A2415">
              <w:rPr>
                <w:noProof/>
                <w:webHidden/>
              </w:rPr>
              <w:fldChar w:fldCharType="separate"/>
            </w:r>
            <w:r w:rsidR="006A2415">
              <w:rPr>
                <w:noProof/>
                <w:webHidden/>
              </w:rPr>
              <w:t>37</w:t>
            </w:r>
            <w:r w:rsidR="006A2415">
              <w:rPr>
                <w:noProof/>
                <w:webHidden/>
              </w:rPr>
              <w:fldChar w:fldCharType="end"/>
            </w:r>
          </w:hyperlink>
        </w:p>
        <w:p w14:paraId="50B04BD6" w14:textId="35899AFE"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29" w:history="1">
            <w:r w:rsidR="006A2415" w:rsidRPr="005B72B1">
              <w:rPr>
                <w:rStyle w:val="Hyperlink"/>
                <w:noProof/>
                <w:lang w:eastAsia="en-US"/>
              </w:rPr>
              <w:t>2.4.2.</w:t>
            </w:r>
            <w:r w:rsidR="006A2415">
              <w:rPr>
                <w:rFonts w:asciiTheme="minorHAnsi" w:eastAsiaTheme="minorEastAsia" w:hAnsiTheme="minorHAnsi" w:cstheme="minorBidi"/>
                <w:noProof/>
              </w:rPr>
              <w:tab/>
            </w:r>
            <w:r w:rsidR="006A2415" w:rsidRPr="005B72B1">
              <w:rPr>
                <w:rStyle w:val="Hyperlink"/>
                <w:noProof/>
              </w:rPr>
              <w:t>Índice de Paridad Política</w:t>
            </w:r>
            <w:r w:rsidR="006A2415">
              <w:rPr>
                <w:noProof/>
                <w:webHidden/>
              </w:rPr>
              <w:tab/>
            </w:r>
            <w:r w:rsidR="006A2415">
              <w:rPr>
                <w:noProof/>
                <w:webHidden/>
              </w:rPr>
              <w:fldChar w:fldCharType="begin"/>
            </w:r>
            <w:r w:rsidR="006A2415">
              <w:rPr>
                <w:noProof/>
                <w:webHidden/>
              </w:rPr>
              <w:instrText xml:space="preserve"> PAGEREF _Toc42549429 \h </w:instrText>
            </w:r>
            <w:r w:rsidR="006A2415">
              <w:rPr>
                <w:noProof/>
                <w:webHidden/>
              </w:rPr>
            </w:r>
            <w:r w:rsidR="006A2415">
              <w:rPr>
                <w:noProof/>
                <w:webHidden/>
              </w:rPr>
              <w:fldChar w:fldCharType="separate"/>
            </w:r>
            <w:r w:rsidR="006A2415">
              <w:rPr>
                <w:noProof/>
                <w:webHidden/>
              </w:rPr>
              <w:t>38</w:t>
            </w:r>
            <w:r w:rsidR="006A2415">
              <w:rPr>
                <w:noProof/>
                <w:webHidden/>
              </w:rPr>
              <w:fldChar w:fldCharType="end"/>
            </w:r>
          </w:hyperlink>
        </w:p>
        <w:p w14:paraId="165A360C" w14:textId="224AC9FE"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30" w:history="1">
            <w:r w:rsidR="006A2415" w:rsidRPr="005B72B1">
              <w:rPr>
                <w:rStyle w:val="Hyperlink"/>
                <w:noProof/>
              </w:rPr>
              <w:t>2.4.3.</w:t>
            </w:r>
            <w:r w:rsidR="006A2415">
              <w:rPr>
                <w:rFonts w:asciiTheme="minorHAnsi" w:eastAsiaTheme="minorEastAsia" w:hAnsiTheme="minorHAnsi" w:cstheme="minorBidi"/>
                <w:noProof/>
              </w:rPr>
              <w:tab/>
            </w:r>
            <w:r w:rsidR="006A2415" w:rsidRPr="005B72B1">
              <w:rPr>
                <w:rStyle w:val="Hyperlink"/>
                <w:noProof/>
              </w:rPr>
              <w:t>Participación política de las mujeres panameñas en puestos de elección popular</w:t>
            </w:r>
            <w:r w:rsidR="006A2415">
              <w:rPr>
                <w:noProof/>
                <w:webHidden/>
              </w:rPr>
              <w:tab/>
            </w:r>
            <w:r w:rsidR="006A2415">
              <w:rPr>
                <w:noProof/>
                <w:webHidden/>
              </w:rPr>
              <w:fldChar w:fldCharType="begin"/>
            </w:r>
            <w:r w:rsidR="006A2415">
              <w:rPr>
                <w:noProof/>
                <w:webHidden/>
              </w:rPr>
              <w:instrText xml:space="preserve"> PAGEREF _Toc42549430 \h </w:instrText>
            </w:r>
            <w:r w:rsidR="006A2415">
              <w:rPr>
                <w:noProof/>
                <w:webHidden/>
              </w:rPr>
            </w:r>
            <w:r w:rsidR="006A2415">
              <w:rPr>
                <w:noProof/>
                <w:webHidden/>
              </w:rPr>
              <w:fldChar w:fldCharType="separate"/>
            </w:r>
            <w:r w:rsidR="006A2415">
              <w:rPr>
                <w:noProof/>
                <w:webHidden/>
              </w:rPr>
              <w:t>40</w:t>
            </w:r>
            <w:r w:rsidR="006A2415">
              <w:rPr>
                <w:noProof/>
                <w:webHidden/>
              </w:rPr>
              <w:fldChar w:fldCharType="end"/>
            </w:r>
          </w:hyperlink>
        </w:p>
        <w:p w14:paraId="1DD83404" w14:textId="37101FAE"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31" w:history="1">
            <w:r w:rsidR="006A2415" w:rsidRPr="005B72B1">
              <w:rPr>
                <w:rStyle w:val="Hyperlink"/>
                <w:rFonts w:cs="EFBIJK+BalloonBold"/>
                <w:bCs/>
                <w:noProof/>
                <w:lang w:eastAsia="en-US"/>
              </w:rPr>
              <w:t>2.4.4.</w:t>
            </w:r>
            <w:r w:rsidR="006A2415">
              <w:rPr>
                <w:rFonts w:asciiTheme="minorHAnsi" w:eastAsiaTheme="minorEastAsia" w:hAnsiTheme="minorHAnsi" w:cstheme="minorBidi"/>
                <w:noProof/>
              </w:rPr>
              <w:tab/>
            </w:r>
            <w:r w:rsidR="006A2415" w:rsidRPr="005B72B1">
              <w:rPr>
                <w:rStyle w:val="Hyperlink"/>
                <w:noProof/>
              </w:rPr>
              <w:t>Participación de las mujeres panameñas en el Órgano Ejecutivo</w:t>
            </w:r>
            <w:r w:rsidR="006A2415">
              <w:rPr>
                <w:noProof/>
                <w:webHidden/>
              </w:rPr>
              <w:tab/>
            </w:r>
            <w:r w:rsidR="006A2415">
              <w:rPr>
                <w:noProof/>
                <w:webHidden/>
              </w:rPr>
              <w:fldChar w:fldCharType="begin"/>
            </w:r>
            <w:r w:rsidR="006A2415">
              <w:rPr>
                <w:noProof/>
                <w:webHidden/>
              </w:rPr>
              <w:instrText xml:space="preserve"> PAGEREF _Toc42549431 \h </w:instrText>
            </w:r>
            <w:r w:rsidR="006A2415">
              <w:rPr>
                <w:noProof/>
                <w:webHidden/>
              </w:rPr>
            </w:r>
            <w:r w:rsidR="006A2415">
              <w:rPr>
                <w:noProof/>
                <w:webHidden/>
              </w:rPr>
              <w:fldChar w:fldCharType="separate"/>
            </w:r>
            <w:r w:rsidR="006A2415">
              <w:rPr>
                <w:noProof/>
                <w:webHidden/>
              </w:rPr>
              <w:t>44</w:t>
            </w:r>
            <w:r w:rsidR="006A2415">
              <w:rPr>
                <w:noProof/>
                <w:webHidden/>
              </w:rPr>
              <w:fldChar w:fldCharType="end"/>
            </w:r>
          </w:hyperlink>
        </w:p>
        <w:p w14:paraId="0A504623" w14:textId="5E2A9811"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32" w:history="1">
            <w:r w:rsidR="006A2415" w:rsidRPr="005B72B1">
              <w:rPr>
                <w:rStyle w:val="Hyperlink"/>
                <w:rFonts w:cs="Times New Roman"/>
                <w:noProof/>
              </w:rPr>
              <w:t>2.4.5.</w:t>
            </w:r>
            <w:r w:rsidR="006A2415">
              <w:rPr>
                <w:rFonts w:asciiTheme="minorHAnsi" w:eastAsiaTheme="minorEastAsia" w:hAnsiTheme="minorHAnsi" w:cstheme="minorBidi"/>
                <w:noProof/>
              </w:rPr>
              <w:tab/>
            </w:r>
            <w:r w:rsidR="006A2415" w:rsidRPr="005B72B1">
              <w:rPr>
                <w:rStyle w:val="Hyperlink"/>
                <w:noProof/>
              </w:rPr>
              <w:t>Participación política de las mujeres panameñas en los partidos políticos</w:t>
            </w:r>
            <w:r w:rsidR="006A2415">
              <w:rPr>
                <w:noProof/>
                <w:webHidden/>
              </w:rPr>
              <w:tab/>
            </w:r>
            <w:r w:rsidR="006A2415">
              <w:rPr>
                <w:noProof/>
                <w:webHidden/>
              </w:rPr>
              <w:fldChar w:fldCharType="begin"/>
            </w:r>
            <w:r w:rsidR="006A2415">
              <w:rPr>
                <w:noProof/>
                <w:webHidden/>
              </w:rPr>
              <w:instrText xml:space="preserve"> PAGEREF _Toc42549432 \h </w:instrText>
            </w:r>
            <w:r w:rsidR="006A2415">
              <w:rPr>
                <w:noProof/>
                <w:webHidden/>
              </w:rPr>
            </w:r>
            <w:r w:rsidR="006A2415">
              <w:rPr>
                <w:noProof/>
                <w:webHidden/>
              </w:rPr>
              <w:fldChar w:fldCharType="separate"/>
            </w:r>
            <w:r w:rsidR="006A2415">
              <w:rPr>
                <w:noProof/>
                <w:webHidden/>
              </w:rPr>
              <w:t>45</w:t>
            </w:r>
            <w:r w:rsidR="006A2415">
              <w:rPr>
                <w:noProof/>
                <w:webHidden/>
              </w:rPr>
              <w:fldChar w:fldCharType="end"/>
            </w:r>
          </w:hyperlink>
        </w:p>
        <w:p w14:paraId="449F6789" w14:textId="5425B05F"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33" w:history="1">
            <w:r w:rsidR="006A2415" w:rsidRPr="005B72B1">
              <w:rPr>
                <w:rStyle w:val="Hyperlink"/>
                <w:rFonts w:cs="Times New Roman"/>
                <w:noProof/>
              </w:rPr>
              <w:t>2.4.6.</w:t>
            </w:r>
            <w:r w:rsidR="006A2415">
              <w:rPr>
                <w:rFonts w:asciiTheme="minorHAnsi" w:eastAsiaTheme="minorEastAsia" w:hAnsiTheme="minorHAnsi" w:cstheme="minorBidi"/>
                <w:noProof/>
              </w:rPr>
              <w:tab/>
            </w:r>
            <w:r w:rsidR="006A2415" w:rsidRPr="005B72B1">
              <w:rPr>
                <w:rStyle w:val="Hyperlink"/>
                <w:noProof/>
              </w:rPr>
              <w:t>Participación de las mujeres panameñas en el poder judicial</w:t>
            </w:r>
            <w:r w:rsidR="006A2415">
              <w:rPr>
                <w:noProof/>
                <w:webHidden/>
              </w:rPr>
              <w:tab/>
            </w:r>
            <w:r w:rsidR="006A2415">
              <w:rPr>
                <w:noProof/>
                <w:webHidden/>
              </w:rPr>
              <w:fldChar w:fldCharType="begin"/>
            </w:r>
            <w:r w:rsidR="006A2415">
              <w:rPr>
                <w:noProof/>
                <w:webHidden/>
              </w:rPr>
              <w:instrText xml:space="preserve"> PAGEREF _Toc42549433 \h </w:instrText>
            </w:r>
            <w:r w:rsidR="006A2415">
              <w:rPr>
                <w:noProof/>
                <w:webHidden/>
              </w:rPr>
            </w:r>
            <w:r w:rsidR="006A2415">
              <w:rPr>
                <w:noProof/>
                <w:webHidden/>
              </w:rPr>
              <w:fldChar w:fldCharType="separate"/>
            </w:r>
            <w:r w:rsidR="006A2415">
              <w:rPr>
                <w:noProof/>
                <w:webHidden/>
              </w:rPr>
              <w:t>47</w:t>
            </w:r>
            <w:r w:rsidR="006A2415">
              <w:rPr>
                <w:noProof/>
                <w:webHidden/>
              </w:rPr>
              <w:fldChar w:fldCharType="end"/>
            </w:r>
          </w:hyperlink>
        </w:p>
        <w:p w14:paraId="3253BCCD" w14:textId="5EEBD213"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34" w:history="1">
            <w:r w:rsidR="006A2415" w:rsidRPr="005B72B1">
              <w:rPr>
                <w:rStyle w:val="Hyperlink"/>
                <w:noProof/>
              </w:rPr>
              <w:t>2.4.7.</w:t>
            </w:r>
            <w:r w:rsidR="006A2415">
              <w:rPr>
                <w:rFonts w:asciiTheme="minorHAnsi" w:eastAsiaTheme="minorEastAsia" w:hAnsiTheme="minorHAnsi" w:cstheme="minorBidi"/>
                <w:noProof/>
              </w:rPr>
              <w:tab/>
            </w:r>
            <w:r w:rsidR="006A2415" w:rsidRPr="005B72B1">
              <w:rPr>
                <w:rStyle w:val="Hyperlink"/>
                <w:noProof/>
              </w:rPr>
              <w:t>Dificultades que enfrentan las mujeres para participar políticamente</w:t>
            </w:r>
            <w:r w:rsidR="006A2415">
              <w:rPr>
                <w:noProof/>
                <w:webHidden/>
              </w:rPr>
              <w:tab/>
            </w:r>
            <w:r w:rsidR="006A2415">
              <w:rPr>
                <w:noProof/>
                <w:webHidden/>
              </w:rPr>
              <w:fldChar w:fldCharType="begin"/>
            </w:r>
            <w:r w:rsidR="006A2415">
              <w:rPr>
                <w:noProof/>
                <w:webHidden/>
              </w:rPr>
              <w:instrText xml:space="preserve"> PAGEREF _Toc42549434 \h </w:instrText>
            </w:r>
            <w:r w:rsidR="006A2415">
              <w:rPr>
                <w:noProof/>
                <w:webHidden/>
              </w:rPr>
            </w:r>
            <w:r w:rsidR="006A2415">
              <w:rPr>
                <w:noProof/>
                <w:webHidden/>
              </w:rPr>
              <w:fldChar w:fldCharType="separate"/>
            </w:r>
            <w:r w:rsidR="006A2415">
              <w:rPr>
                <w:noProof/>
                <w:webHidden/>
              </w:rPr>
              <w:t>49</w:t>
            </w:r>
            <w:r w:rsidR="006A2415">
              <w:rPr>
                <w:noProof/>
                <w:webHidden/>
              </w:rPr>
              <w:fldChar w:fldCharType="end"/>
            </w:r>
          </w:hyperlink>
        </w:p>
        <w:p w14:paraId="517EC9A1" w14:textId="76EC795A"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35" w:history="1">
            <w:r w:rsidR="006A2415" w:rsidRPr="005B72B1">
              <w:rPr>
                <w:rStyle w:val="Hyperlink"/>
                <w:noProof/>
              </w:rPr>
              <w:t>2.4.8.</w:t>
            </w:r>
            <w:r w:rsidR="006A2415">
              <w:rPr>
                <w:rFonts w:asciiTheme="minorHAnsi" w:eastAsiaTheme="minorEastAsia" w:hAnsiTheme="minorHAnsi" w:cstheme="minorBidi"/>
                <w:noProof/>
              </w:rPr>
              <w:tab/>
            </w:r>
            <w:r w:rsidR="006A2415" w:rsidRPr="005B72B1">
              <w:rPr>
                <w:rStyle w:val="Hyperlink"/>
                <w:noProof/>
              </w:rPr>
              <w:t>Acciones para promover la participación de las mujeres</w:t>
            </w:r>
            <w:r w:rsidR="006A2415">
              <w:rPr>
                <w:noProof/>
                <w:webHidden/>
              </w:rPr>
              <w:tab/>
            </w:r>
            <w:r w:rsidR="006A2415">
              <w:rPr>
                <w:noProof/>
                <w:webHidden/>
              </w:rPr>
              <w:fldChar w:fldCharType="begin"/>
            </w:r>
            <w:r w:rsidR="006A2415">
              <w:rPr>
                <w:noProof/>
                <w:webHidden/>
              </w:rPr>
              <w:instrText xml:space="preserve"> PAGEREF _Toc42549435 \h </w:instrText>
            </w:r>
            <w:r w:rsidR="006A2415">
              <w:rPr>
                <w:noProof/>
                <w:webHidden/>
              </w:rPr>
            </w:r>
            <w:r w:rsidR="006A2415">
              <w:rPr>
                <w:noProof/>
                <w:webHidden/>
              </w:rPr>
              <w:fldChar w:fldCharType="separate"/>
            </w:r>
            <w:r w:rsidR="006A2415">
              <w:rPr>
                <w:noProof/>
                <w:webHidden/>
              </w:rPr>
              <w:t>50</w:t>
            </w:r>
            <w:r w:rsidR="006A2415">
              <w:rPr>
                <w:noProof/>
                <w:webHidden/>
              </w:rPr>
              <w:fldChar w:fldCharType="end"/>
            </w:r>
          </w:hyperlink>
        </w:p>
        <w:p w14:paraId="080A186F" w14:textId="6727D53A" w:rsidR="006A2415" w:rsidRDefault="00062ABE">
          <w:pPr>
            <w:pStyle w:val="TOC2"/>
            <w:tabs>
              <w:tab w:val="left" w:pos="880"/>
              <w:tab w:val="right" w:leader="dot" w:pos="8828"/>
            </w:tabs>
            <w:rPr>
              <w:rFonts w:asciiTheme="minorHAnsi" w:eastAsiaTheme="minorEastAsia" w:hAnsiTheme="minorHAnsi" w:cstheme="minorBidi"/>
              <w:noProof/>
            </w:rPr>
          </w:pPr>
          <w:hyperlink w:anchor="_Toc42549436" w:history="1">
            <w:r w:rsidR="006A2415" w:rsidRPr="005B72B1">
              <w:rPr>
                <w:rStyle w:val="Hyperlink"/>
                <w:noProof/>
              </w:rPr>
              <w:t>2.5.</w:t>
            </w:r>
            <w:r w:rsidR="006A2415">
              <w:rPr>
                <w:rFonts w:asciiTheme="minorHAnsi" w:eastAsiaTheme="minorEastAsia" w:hAnsiTheme="minorHAnsi" w:cstheme="minorBidi"/>
                <w:noProof/>
              </w:rPr>
              <w:tab/>
            </w:r>
            <w:r w:rsidR="006A2415" w:rsidRPr="005B72B1">
              <w:rPr>
                <w:rStyle w:val="Hyperlink"/>
                <w:noProof/>
              </w:rPr>
              <w:t>Género y situación de defensores de derechos humanos</w:t>
            </w:r>
            <w:r w:rsidR="006A2415">
              <w:rPr>
                <w:noProof/>
                <w:webHidden/>
              </w:rPr>
              <w:tab/>
            </w:r>
            <w:r w:rsidR="006A2415">
              <w:rPr>
                <w:noProof/>
                <w:webHidden/>
              </w:rPr>
              <w:fldChar w:fldCharType="begin"/>
            </w:r>
            <w:r w:rsidR="006A2415">
              <w:rPr>
                <w:noProof/>
                <w:webHidden/>
              </w:rPr>
              <w:instrText xml:space="preserve"> PAGEREF _Toc42549436 \h </w:instrText>
            </w:r>
            <w:r w:rsidR="006A2415">
              <w:rPr>
                <w:noProof/>
                <w:webHidden/>
              </w:rPr>
            </w:r>
            <w:r w:rsidR="006A2415">
              <w:rPr>
                <w:noProof/>
                <w:webHidden/>
              </w:rPr>
              <w:fldChar w:fldCharType="separate"/>
            </w:r>
            <w:r w:rsidR="006A2415">
              <w:rPr>
                <w:noProof/>
                <w:webHidden/>
              </w:rPr>
              <w:t>51</w:t>
            </w:r>
            <w:r w:rsidR="006A2415">
              <w:rPr>
                <w:noProof/>
                <w:webHidden/>
              </w:rPr>
              <w:fldChar w:fldCharType="end"/>
            </w:r>
          </w:hyperlink>
        </w:p>
        <w:p w14:paraId="0657FFDE" w14:textId="0884C014" w:rsidR="006A2415" w:rsidRDefault="00062ABE">
          <w:pPr>
            <w:pStyle w:val="TOC1"/>
            <w:tabs>
              <w:tab w:val="left" w:pos="660"/>
              <w:tab w:val="right" w:leader="dot" w:pos="8828"/>
            </w:tabs>
            <w:rPr>
              <w:rFonts w:asciiTheme="minorHAnsi" w:eastAsiaTheme="minorEastAsia" w:hAnsiTheme="minorHAnsi" w:cstheme="minorBidi"/>
              <w:noProof/>
            </w:rPr>
          </w:pPr>
          <w:hyperlink w:anchor="_Toc42549437" w:history="1">
            <w:r w:rsidR="006A2415" w:rsidRPr="005B72B1">
              <w:rPr>
                <w:rStyle w:val="Hyperlink"/>
                <w:noProof/>
              </w:rPr>
              <w:t>III.</w:t>
            </w:r>
            <w:r w:rsidR="006A2415">
              <w:rPr>
                <w:rFonts w:asciiTheme="minorHAnsi" w:eastAsiaTheme="minorEastAsia" w:hAnsiTheme="minorHAnsi" w:cstheme="minorBidi"/>
                <w:noProof/>
              </w:rPr>
              <w:tab/>
            </w:r>
            <w:r w:rsidR="006A2415" w:rsidRPr="005B72B1">
              <w:rPr>
                <w:rStyle w:val="Hyperlink"/>
                <w:noProof/>
              </w:rPr>
              <w:t>DIMENSIÓN ECONÓMICA</w:t>
            </w:r>
            <w:r w:rsidR="006A2415">
              <w:rPr>
                <w:noProof/>
                <w:webHidden/>
              </w:rPr>
              <w:tab/>
            </w:r>
            <w:r w:rsidR="006A2415">
              <w:rPr>
                <w:noProof/>
                <w:webHidden/>
              </w:rPr>
              <w:fldChar w:fldCharType="begin"/>
            </w:r>
            <w:r w:rsidR="006A2415">
              <w:rPr>
                <w:noProof/>
                <w:webHidden/>
              </w:rPr>
              <w:instrText xml:space="preserve"> PAGEREF _Toc42549437 \h </w:instrText>
            </w:r>
            <w:r w:rsidR="006A2415">
              <w:rPr>
                <w:noProof/>
                <w:webHidden/>
              </w:rPr>
            </w:r>
            <w:r w:rsidR="006A2415">
              <w:rPr>
                <w:noProof/>
                <w:webHidden/>
              </w:rPr>
              <w:fldChar w:fldCharType="separate"/>
            </w:r>
            <w:r w:rsidR="006A2415">
              <w:rPr>
                <w:noProof/>
                <w:webHidden/>
              </w:rPr>
              <w:t>53</w:t>
            </w:r>
            <w:r w:rsidR="006A2415">
              <w:rPr>
                <w:noProof/>
                <w:webHidden/>
              </w:rPr>
              <w:fldChar w:fldCharType="end"/>
            </w:r>
          </w:hyperlink>
        </w:p>
        <w:p w14:paraId="78FF9B32" w14:textId="0D067111" w:rsidR="006A2415" w:rsidRDefault="00062ABE">
          <w:pPr>
            <w:pStyle w:val="TOC2"/>
            <w:tabs>
              <w:tab w:val="right" w:leader="dot" w:pos="8828"/>
            </w:tabs>
            <w:rPr>
              <w:rFonts w:asciiTheme="minorHAnsi" w:eastAsiaTheme="minorEastAsia" w:hAnsiTheme="minorHAnsi" w:cstheme="minorBidi"/>
              <w:noProof/>
            </w:rPr>
          </w:pPr>
          <w:hyperlink w:anchor="_Toc42549438" w:history="1">
            <w:r w:rsidR="006A2415" w:rsidRPr="005B72B1">
              <w:rPr>
                <w:rStyle w:val="Hyperlink"/>
                <w:noProof/>
              </w:rPr>
              <w:t>3.1. Género y pobreza</w:t>
            </w:r>
            <w:r w:rsidR="006A2415">
              <w:rPr>
                <w:noProof/>
                <w:webHidden/>
              </w:rPr>
              <w:tab/>
            </w:r>
            <w:r w:rsidR="006A2415">
              <w:rPr>
                <w:noProof/>
                <w:webHidden/>
              </w:rPr>
              <w:fldChar w:fldCharType="begin"/>
            </w:r>
            <w:r w:rsidR="006A2415">
              <w:rPr>
                <w:noProof/>
                <w:webHidden/>
              </w:rPr>
              <w:instrText xml:space="preserve"> PAGEREF _Toc42549438 \h </w:instrText>
            </w:r>
            <w:r w:rsidR="006A2415">
              <w:rPr>
                <w:noProof/>
                <w:webHidden/>
              </w:rPr>
            </w:r>
            <w:r w:rsidR="006A2415">
              <w:rPr>
                <w:noProof/>
                <w:webHidden/>
              </w:rPr>
              <w:fldChar w:fldCharType="separate"/>
            </w:r>
            <w:r w:rsidR="006A2415">
              <w:rPr>
                <w:noProof/>
                <w:webHidden/>
              </w:rPr>
              <w:t>53</w:t>
            </w:r>
            <w:r w:rsidR="006A2415">
              <w:rPr>
                <w:noProof/>
                <w:webHidden/>
              </w:rPr>
              <w:fldChar w:fldCharType="end"/>
            </w:r>
          </w:hyperlink>
        </w:p>
        <w:p w14:paraId="00F1CC2C" w14:textId="1FB00891"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39" w:history="1">
            <w:r w:rsidR="006A2415" w:rsidRPr="005B72B1">
              <w:rPr>
                <w:rStyle w:val="Hyperlink"/>
                <w:noProof/>
              </w:rPr>
              <w:t>3.1.1.</w:t>
            </w:r>
            <w:r w:rsidR="006A2415">
              <w:rPr>
                <w:rFonts w:asciiTheme="minorHAnsi" w:eastAsiaTheme="minorEastAsia" w:hAnsiTheme="minorHAnsi" w:cstheme="minorBidi"/>
                <w:noProof/>
              </w:rPr>
              <w:tab/>
            </w:r>
            <w:r w:rsidR="006A2415" w:rsidRPr="005B72B1">
              <w:rPr>
                <w:rStyle w:val="Hyperlink"/>
                <w:noProof/>
              </w:rPr>
              <w:t>Pobreza multidimensional</w:t>
            </w:r>
            <w:r w:rsidR="006A2415">
              <w:rPr>
                <w:noProof/>
                <w:webHidden/>
              </w:rPr>
              <w:tab/>
            </w:r>
            <w:r w:rsidR="006A2415">
              <w:rPr>
                <w:noProof/>
                <w:webHidden/>
              </w:rPr>
              <w:fldChar w:fldCharType="begin"/>
            </w:r>
            <w:r w:rsidR="006A2415">
              <w:rPr>
                <w:noProof/>
                <w:webHidden/>
              </w:rPr>
              <w:instrText xml:space="preserve"> PAGEREF _Toc42549439 \h </w:instrText>
            </w:r>
            <w:r w:rsidR="006A2415">
              <w:rPr>
                <w:noProof/>
                <w:webHidden/>
              </w:rPr>
            </w:r>
            <w:r w:rsidR="006A2415">
              <w:rPr>
                <w:noProof/>
                <w:webHidden/>
              </w:rPr>
              <w:fldChar w:fldCharType="separate"/>
            </w:r>
            <w:r w:rsidR="006A2415">
              <w:rPr>
                <w:noProof/>
                <w:webHidden/>
              </w:rPr>
              <w:t>55</w:t>
            </w:r>
            <w:r w:rsidR="006A2415">
              <w:rPr>
                <w:noProof/>
                <w:webHidden/>
              </w:rPr>
              <w:fldChar w:fldCharType="end"/>
            </w:r>
          </w:hyperlink>
        </w:p>
        <w:p w14:paraId="573262F7" w14:textId="49CF155E"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40" w:history="1">
            <w:r w:rsidR="006A2415" w:rsidRPr="005B72B1">
              <w:rPr>
                <w:rStyle w:val="Hyperlink"/>
                <w:noProof/>
              </w:rPr>
              <w:t>3.1.2.</w:t>
            </w:r>
            <w:r w:rsidR="006A2415">
              <w:rPr>
                <w:rFonts w:asciiTheme="minorHAnsi" w:eastAsiaTheme="minorEastAsia" w:hAnsiTheme="minorHAnsi" w:cstheme="minorBidi"/>
                <w:noProof/>
              </w:rPr>
              <w:tab/>
            </w:r>
            <w:r w:rsidR="006A2415" w:rsidRPr="005B72B1">
              <w:rPr>
                <w:rStyle w:val="Hyperlink"/>
                <w:noProof/>
              </w:rPr>
              <w:t>Población sin ingresos propios, desagregada por edad y sexo</w:t>
            </w:r>
            <w:r w:rsidR="006A2415">
              <w:rPr>
                <w:noProof/>
                <w:webHidden/>
              </w:rPr>
              <w:tab/>
            </w:r>
            <w:r w:rsidR="006A2415">
              <w:rPr>
                <w:noProof/>
                <w:webHidden/>
              </w:rPr>
              <w:fldChar w:fldCharType="begin"/>
            </w:r>
            <w:r w:rsidR="006A2415">
              <w:rPr>
                <w:noProof/>
                <w:webHidden/>
              </w:rPr>
              <w:instrText xml:space="preserve"> PAGEREF _Toc42549440 \h </w:instrText>
            </w:r>
            <w:r w:rsidR="006A2415">
              <w:rPr>
                <w:noProof/>
                <w:webHidden/>
              </w:rPr>
            </w:r>
            <w:r w:rsidR="006A2415">
              <w:rPr>
                <w:noProof/>
                <w:webHidden/>
              </w:rPr>
              <w:fldChar w:fldCharType="separate"/>
            </w:r>
            <w:r w:rsidR="006A2415">
              <w:rPr>
                <w:noProof/>
                <w:webHidden/>
              </w:rPr>
              <w:t>56</w:t>
            </w:r>
            <w:r w:rsidR="006A2415">
              <w:rPr>
                <w:noProof/>
                <w:webHidden/>
              </w:rPr>
              <w:fldChar w:fldCharType="end"/>
            </w:r>
          </w:hyperlink>
        </w:p>
        <w:p w14:paraId="430B734D" w14:textId="3DAE403B"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41" w:history="1">
            <w:r w:rsidR="006A2415" w:rsidRPr="005B72B1">
              <w:rPr>
                <w:rStyle w:val="Hyperlink"/>
                <w:noProof/>
              </w:rPr>
              <w:t>3.1.3.</w:t>
            </w:r>
            <w:r w:rsidR="006A2415">
              <w:rPr>
                <w:rFonts w:asciiTheme="minorHAnsi" w:eastAsiaTheme="minorEastAsia" w:hAnsiTheme="minorHAnsi" w:cstheme="minorBidi"/>
                <w:noProof/>
              </w:rPr>
              <w:tab/>
            </w:r>
            <w:r w:rsidR="006A2415" w:rsidRPr="005B72B1">
              <w:rPr>
                <w:rStyle w:val="Hyperlink"/>
                <w:noProof/>
              </w:rPr>
              <w:t>Las condiciones de pobreza en las mujeres</w:t>
            </w:r>
            <w:r w:rsidR="006A2415">
              <w:rPr>
                <w:noProof/>
                <w:webHidden/>
              </w:rPr>
              <w:tab/>
            </w:r>
            <w:r w:rsidR="006A2415">
              <w:rPr>
                <w:noProof/>
                <w:webHidden/>
              </w:rPr>
              <w:fldChar w:fldCharType="begin"/>
            </w:r>
            <w:r w:rsidR="006A2415">
              <w:rPr>
                <w:noProof/>
                <w:webHidden/>
              </w:rPr>
              <w:instrText xml:space="preserve"> PAGEREF _Toc42549441 \h </w:instrText>
            </w:r>
            <w:r w:rsidR="006A2415">
              <w:rPr>
                <w:noProof/>
                <w:webHidden/>
              </w:rPr>
            </w:r>
            <w:r w:rsidR="006A2415">
              <w:rPr>
                <w:noProof/>
                <w:webHidden/>
              </w:rPr>
              <w:fldChar w:fldCharType="separate"/>
            </w:r>
            <w:r w:rsidR="006A2415">
              <w:rPr>
                <w:noProof/>
                <w:webHidden/>
              </w:rPr>
              <w:t>58</w:t>
            </w:r>
            <w:r w:rsidR="006A2415">
              <w:rPr>
                <w:noProof/>
                <w:webHidden/>
              </w:rPr>
              <w:fldChar w:fldCharType="end"/>
            </w:r>
          </w:hyperlink>
        </w:p>
        <w:p w14:paraId="2953208C" w14:textId="11F2BFA1" w:rsidR="006A2415" w:rsidRDefault="00062ABE">
          <w:pPr>
            <w:pStyle w:val="TOC2"/>
            <w:tabs>
              <w:tab w:val="left" w:pos="880"/>
              <w:tab w:val="right" w:leader="dot" w:pos="8828"/>
            </w:tabs>
            <w:rPr>
              <w:rFonts w:asciiTheme="minorHAnsi" w:eastAsiaTheme="minorEastAsia" w:hAnsiTheme="minorHAnsi" w:cstheme="minorBidi"/>
              <w:noProof/>
            </w:rPr>
          </w:pPr>
          <w:hyperlink w:anchor="_Toc42549442" w:history="1">
            <w:r w:rsidR="006A2415" w:rsidRPr="005B72B1">
              <w:rPr>
                <w:rStyle w:val="Hyperlink"/>
                <w:noProof/>
              </w:rPr>
              <w:t>3.2.</w:t>
            </w:r>
            <w:r w:rsidR="006A2415">
              <w:rPr>
                <w:rFonts w:asciiTheme="minorHAnsi" w:eastAsiaTheme="minorEastAsia" w:hAnsiTheme="minorHAnsi" w:cstheme="minorBidi"/>
                <w:noProof/>
              </w:rPr>
              <w:tab/>
            </w:r>
            <w:r w:rsidR="006A2415" w:rsidRPr="005B72B1">
              <w:rPr>
                <w:rStyle w:val="Hyperlink"/>
                <w:noProof/>
              </w:rPr>
              <w:t>Género y trabajo</w:t>
            </w:r>
            <w:r w:rsidR="006A2415">
              <w:rPr>
                <w:noProof/>
                <w:webHidden/>
              </w:rPr>
              <w:tab/>
            </w:r>
            <w:r w:rsidR="006A2415">
              <w:rPr>
                <w:noProof/>
                <w:webHidden/>
              </w:rPr>
              <w:fldChar w:fldCharType="begin"/>
            </w:r>
            <w:r w:rsidR="006A2415">
              <w:rPr>
                <w:noProof/>
                <w:webHidden/>
              </w:rPr>
              <w:instrText xml:space="preserve"> PAGEREF _Toc42549442 \h </w:instrText>
            </w:r>
            <w:r w:rsidR="006A2415">
              <w:rPr>
                <w:noProof/>
                <w:webHidden/>
              </w:rPr>
            </w:r>
            <w:r w:rsidR="006A2415">
              <w:rPr>
                <w:noProof/>
                <w:webHidden/>
              </w:rPr>
              <w:fldChar w:fldCharType="separate"/>
            </w:r>
            <w:r w:rsidR="006A2415">
              <w:rPr>
                <w:noProof/>
                <w:webHidden/>
              </w:rPr>
              <w:t>58</w:t>
            </w:r>
            <w:r w:rsidR="006A2415">
              <w:rPr>
                <w:noProof/>
                <w:webHidden/>
              </w:rPr>
              <w:fldChar w:fldCharType="end"/>
            </w:r>
          </w:hyperlink>
        </w:p>
        <w:p w14:paraId="751470F3" w14:textId="601BA409"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43" w:history="1">
            <w:r w:rsidR="006A2415" w:rsidRPr="005B72B1">
              <w:rPr>
                <w:rStyle w:val="Hyperlink"/>
                <w:noProof/>
              </w:rPr>
              <w:t>3.2.1.</w:t>
            </w:r>
            <w:r w:rsidR="006A2415">
              <w:rPr>
                <w:rFonts w:asciiTheme="minorHAnsi" w:eastAsiaTheme="minorEastAsia" w:hAnsiTheme="minorHAnsi" w:cstheme="minorBidi"/>
                <w:noProof/>
              </w:rPr>
              <w:tab/>
            </w:r>
            <w:r w:rsidR="006A2415" w:rsidRPr="005B72B1">
              <w:rPr>
                <w:rStyle w:val="Hyperlink"/>
                <w:noProof/>
              </w:rPr>
              <w:t>Empleo informal</w:t>
            </w:r>
            <w:r w:rsidR="006A2415">
              <w:rPr>
                <w:noProof/>
                <w:webHidden/>
              </w:rPr>
              <w:tab/>
            </w:r>
            <w:r w:rsidR="006A2415">
              <w:rPr>
                <w:noProof/>
                <w:webHidden/>
              </w:rPr>
              <w:fldChar w:fldCharType="begin"/>
            </w:r>
            <w:r w:rsidR="006A2415">
              <w:rPr>
                <w:noProof/>
                <w:webHidden/>
              </w:rPr>
              <w:instrText xml:space="preserve"> PAGEREF _Toc42549443 \h </w:instrText>
            </w:r>
            <w:r w:rsidR="006A2415">
              <w:rPr>
                <w:noProof/>
                <w:webHidden/>
              </w:rPr>
            </w:r>
            <w:r w:rsidR="006A2415">
              <w:rPr>
                <w:noProof/>
                <w:webHidden/>
              </w:rPr>
              <w:fldChar w:fldCharType="separate"/>
            </w:r>
            <w:r w:rsidR="006A2415">
              <w:rPr>
                <w:noProof/>
                <w:webHidden/>
              </w:rPr>
              <w:t>62</w:t>
            </w:r>
            <w:r w:rsidR="006A2415">
              <w:rPr>
                <w:noProof/>
                <w:webHidden/>
              </w:rPr>
              <w:fldChar w:fldCharType="end"/>
            </w:r>
          </w:hyperlink>
        </w:p>
        <w:p w14:paraId="2C3E0F2B" w14:textId="3B63E7F8"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44" w:history="1">
            <w:r w:rsidR="006A2415" w:rsidRPr="005B72B1">
              <w:rPr>
                <w:rStyle w:val="Hyperlink"/>
                <w:noProof/>
              </w:rPr>
              <w:t>3.2.2.</w:t>
            </w:r>
            <w:r w:rsidR="006A2415">
              <w:rPr>
                <w:rFonts w:asciiTheme="minorHAnsi" w:eastAsiaTheme="minorEastAsia" w:hAnsiTheme="minorHAnsi" w:cstheme="minorBidi"/>
                <w:noProof/>
              </w:rPr>
              <w:tab/>
            </w:r>
            <w:r w:rsidR="006A2415" w:rsidRPr="005B72B1">
              <w:rPr>
                <w:rStyle w:val="Hyperlink"/>
                <w:noProof/>
              </w:rPr>
              <w:t>El acceso al empleo y la productividad del trabajo</w:t>
            </w:r>
            <w:r w:rsidR="006A2415">
              <w:rPr>
                <w:noProof/>
                <w:webHidden/>
              </w:rPr>
              <w:tab/>
            </w:r>
            <w:r w:rsidR="006A2415">
              <w:rPr>
                <w:noProof/>
                <w:webHidden/>
              </w:rPr>
              <w:fldChar w:fldCharType="begin"/>
            </w:r>
            <w:r w:rsidR="006A2415">
              <w:rPr>
                <w:noProof/>
                <w:webHidden/>
              </w:rPr>
              <w:instrText xml:space="preserve"> PAGEREF _Toc42549444 \h </w:instrText>
            </w:r>
            <w:r w:rsidR="006A2415">
              <w:rPr>
                <w:noProof/>
                <w:webHidden/>
              </w:rPr>
            </w:r>
            <w:r w:rsidR="006A2415">
              <w:rPr>
                <w:noProof/>
                <w:webHidden/>
              </w:rPr>
              <w:fldChar w:fldCharType="separate"/>
            </w:r>
            <w:r w:rsidR="006A2415">
              <w:rPr>
                <w:noProof/>
                <w:webHidden/>
              </w:rPr>
              <w:t>65</w:t>
            </w:r>
            <w:r w:rsidR="006A2415">
              <w:rPr>
                <w:noProof/>
                <w:webHidden/>
              </w:rPr>
              <w:fldChar w:fldCharType="end"/>
            </w:r>
          </w:hyperlink>
        </w:p>
        <w:p w14:paraId="63D8A5E2" w14:textId="6A2B2640"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45" w:history="1">
            <w:r w:rsidR="006A2415" w:rsidRPr="005B72B1">
              <w:rPr>
                <w:rStyle w:val="Hyperlink"/>
                <w:noProof/>
              </w:rPr>
              <w:t>3.2.3.</w:t>
            </w:r>
            <w:r w:rsidR="006A2415">
              <w:rPr>
                <w:rFonts w:asciiTheme="minorHAnsi" w:eastAsiaTheme="minorEastAsia" w:hAnsiTheme="minorHAnsi" w:cstheme="minorBidi"/>
                <w:noProof/>
              </w:rPr>
              <w:tab/>
            </w:r>
            <w:r w:rsidR="006A2415" w:rsidRPr="005B72B1">
              <w:rPr>
                <w:rStyle w:val="Hyperlink"/>
                <w:noProof/>
              </w:rPr>
              <w:t>Brecha salarial de género</w:t>
            </w:r>
            <w:r w:rsidR="006A2415">
              <w:rPr>
                <w:noProof/>
                <w:webHidden/>
              </w:rPr>
              <w:tab/>
            </w:r>
            <w:r w:rsidR="006A2415">
              <w:rPr>
                <w:noProof/>
                <w:webHidden/>
              </w:rPr>
              <w:fldChar w:fldCharType="begin"/>
            </w:r>
            <w:r w:rsidR="006A2415">
              <w:rPr>
                <w:noProof/>
                <w:webHidden/>
              </w:rPr>
              <w:instrText xml:space="preserve"> PAGEREF _Toc42549445 \h </w:instrText>
            </w:r>
            <w:r w:rsidR="006A2415">
              <w:rPr>
                <w:noProof/>
                <w:webHidden/>
              </w:rPr>
            </w:r>
            <w:r w:rsidR="006A2415">
              <w:rPr>
                <w:noProof/>
                <w:webHidden/>
              </w:rPr>
              <w:fldChar w:fldCharType="separate"/>
            </w:r>
            <w:r w:rsidR="006A2415">
              <w:rPr>
                <w:noProof/>
                <w:webHidden/>
              </w:rPr>
              <w:t>66</w:t>
            </w:r>
            <w:r w:rsidR="006A2415">
              <w:rPr>
                <w:noProof/>
                <w:webHidden/>
              </w:rPr>
              <w:fldChar w:fldCharType="end"/>
            </w:r>
          </w:hyperlink>
        </w:p>
        <w:p w14:paraId="0960B0F6" w14:textId="1B295B41"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46" w:history="1">
            <w:r w:rsidR="006A2415" w:rsidRPr="005B72B1">
              <w:rPr>
                <w:rStyle w:val="Hyperlink"/>
                <w:noProof/>
              </w:rPr>
              <w:t>3.2.4.</w:t>
            </w:r>
            <w:r w:rsidR="006A2415">
              <w:rPr>
                <w:rFonts w:asciiTheme="minorHAnsi" w:eastAsiaTheme="minorEastAsia" w:hAnsiTheme="minorHAnsi" w:cstheme="minorBidi"/>
                <w:noProof/>
              </w:rPr>
              <w:tab/>
            </w:r>
            <w:r w:rsidR="006A2415" w:rsidRPr="005B72B1">
              <w:rPr>
                <w:rStyle w:val="Hyperlink"/>
                <w:noProof/>
              </w:rPr>
              <w:t>Las brechas salariales de género ajustadas: 2011-2018</w:t>
            </w:r>
            <w:r w:rsidR="006A2415">
              <w:rPr>
                <w:noProof/>
                <w:webHidden/>
              </w:rPr>
              <w:tab/>
            </w:r>
            <w:r w:rsidR="006A2415">
              <w:rPr>
                <w:noProof/>
                <w:webHidden/>
              </w:rPr>
              <w:fldChar w:fldCharType="begin"/>
            </w:r>
            <w:r w:rsidR="006A2415">
              <w:rPr>
                <w:noProof/>
                <w:webHidden/>
              </w:rPr>
              <w:instrText xml:space="preserve"> PAGEREF _Toc42549446 \h </w:instrText>
            </w:r>
            <w:r w:rsidR="006A2415">
              <w:rPr>
                <w:noProof/>
                <w:webHidden/>
              </w:rPr>
            </w:r>
            <w:r w:rsidR="006A2415">
              <w:rPr>
                <w:noProof/>
                <w:webHidden/>
              </w:rPr>
              <w:fldChar w:fldCharType="separate"/>
            </w:r>
            <w:r w:rsidR="006A2415">
              <w:rPr>
                <w:noProof/>
                <w:webHidden/>
              </w:rPr>
              <w:t>69</w:t>
            </w:r>
            <w:r w:rsidR="006A2415">
              <w:rPr>
                <w:noProof/>
                <w:webHidden/>
              </w:rPr>
              <w:fldChar w:fldCharType="end"/>
            </w:r>
          </w:hyperlink>
        </w:p>
        <w:p w14:paraId="5D718962" w14:textId="49522FEC"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47" w:history="1">
            <w:r w:rsidR="006A2415" w:rsidRPr="005B72B1">
              <w:rPr>
                <w:rStyle w:val="Hyperlink"/>
                <w:noProof/>
              </w:rPr>
              <w:t>3.2.5.</w:t>
            </w:r>
            <w:r w:rsidR="006A2415">
              <w:rPr>
                <w:rFonts w:asciiTheme="minorHAnsi" w:eastAsiaTheme="minorEastAsia" w:hAnsiTheme="minorHAnsi" w:cstheme="minorBidi"/>
                <w:noProof/>
              </w:rPr>
              <w:tab/>
            </w:r>
            <w:r w:rsidR="006A2415" w:rsidRPr="005B72B1">
              <w:rPr>
                <w:rStyle w:val="Hyperlink"/>
                <w:noProof/>
              </w:rPr>
              <w:t>Mujeres productoras en el área rural</w:t>
            </w:r>
            <w:r w:rsidR="006A2415">
              <w:rPr>
                <w:noProof/>
                <w:webHidden/>
              </w:rPr>
              <w:tab/>
            </w:r>
            <w:r w:rsidR="006A2415">
              <w:rPr>
                <w:noProof/>
                <w:webHidden/>
              </w:rPr>
              <w:fldChar w:fldCharType="begin"/>
            </w:r>
            <w:r w:rsidR="006A2415">
              <w:rPr>
                <w:noProof/>
                <w:webHidden/>
              </w:rPr>
              <w:instrText xml:space="preserve"> PAGEREF _Toc42549447 \h </w:instrText>
            </w:r>
            <w:r w:rsidR="006A2415">
              <w:rPr>
                <w:noProof/>
                <w:webHidden/>
              </w:rPr>
            </w:r>
            <w:r w:rsidR="006A2415">
              <w:rPr>
                <w:noProof/>
                <w:webHidden/>
              </w:rPr>
              <w:fldChar w:fldCharType="separate"/>
            </w:r>
            <w:r w:rsidR="006A2415">
              <w:rPr>
                <w:noProof/>
                <w:webHidden/>
              </w:rPr>
              <w:t>69</w:t>
            </w:r>
            <w:r w:rsidR="006A2415">
              <w:rPr>
                <w:noProof/>
                <w:webHidden/>
              </w:rPr>
              <w:fldChar w:fldCharType="end"/>
            </w:r>
          </w:hyperlink>
        </w:p>
        <w:p w14:paraId="67B06165" w14:textId="4E366499"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48" w:history="1">
            <w:r w:rsidR="006A2415" w:rsidRPr="005B72B1">
              <w:rPr>
                <w:rStyle w:val="Hyperlink"/>
                <w:noProof/>
              </w:rPr>
              <w:t>3.2.6.</w:t>
            </w:r>
            <w:r w:rsidR="006A2415">
              <w:rPr>
                <w:rFonts w:asciiTheme="minorHAnsi" w:eastAsiaTheme="minorEastAsia" w:hAnsiTheme="minorHAnsi" w:cstheme="minorBidi"/>
                <w:noProof/>
              </w:rPr>
              <w:tab/>
            </w:r>
            <w:r w:rsidR="006A2415" w:rsidRPr="005B72B1">
              <w:rPr>
                <w:rStyle w:val="Hyperlink"/>
                <w:noProof/>
              </w:rPr>
              <w:t>Las jóvenes en el campo y en el ámbito laboral</w:t>
            </w:r>
            <w:r w:rsidR="006A2415">
              <w:rPr>
                <w:noProof/>
                <w:webHidden/>
              </w:rPr>
              <w:tab/>
            </w:r>
            <w:r w:rsidR="006A2415">
              <w:rPr>
                <w:noProof/>
                <w:webHidden/>
              </w:rPr>
              <w:fldChar w:fldCharType="begin"/>
            </w:r>
            <w:r w:rsidR="006A2415">
              <w:rPr>
                <w:noProof/>
                <w:webHidden/>
              </w:rPr>
              <w:instrText xml:space="preserve"> PAGEREF _Toc42549448 \h </w:instrText>
            </w:r>
            <w:r w:rsidR="006A2415">
              <w:rPr>
                <w:noProof/>
                <w:webHidden/>
              </w:rPr>
            </w:r>
            <w:r w:rsidR="006A2415">
              <w:rPr>
                <w:noProof/>
                <w:webHidden/>
              </w:rPr>
              <w:fldChar w:fldCharType="separate"/>
            </w:r>
            <w:r w:rsidR="006A2415">
              <w:rPr>
                <w:noProof/>
                <w:webHidden/>
              </w:rPr>
              <w:t>70</w:t>
            </w:r>
            <w:r w:rsidR="006A2415">
              <w:rPr>
                <w:noProof/>
                <w:webHidden/>
              </w:rPr>
              <w:fldChar w:fldCharType="end"/>
            </w:r>
          </w:hyperlink>
        </w:p>
        <w:p w14:paraId="74955600" w14:textId="651CB142"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49" w:history="1">
            <w:r w:rsidR="006A2415" w:rsidRPr="005B72B1">
              <w:rPr>
                <w:rStyle w:val="Hyperlink"/>
                <w:noProof/>
              </w:rPr>
              <w:t>3.2.7.</w:t>
            </w:r>
            <w:r w:rsidR="006A2415">
              <w:rPr>
                <w:rFonts w:asciiTheme="minorHAnsi" w:eastAsiaTheme="minorEastAsia" w:hAnsiTheme="minorHAnsi" w:cstheme="minorBidi"/>
                <w:noProof/>
              </w:rPr>
              <w:tab/>
            </w:r>
            <w:r w:rsidR="006A2415" w:rsidRPr="005B72B1">
              <w:rPr>
                <w:rStyle w:val="Hyperlink"/>
                <w:noProof/>
              </w:rPr>
              <w:t>Seguridad social</w:t>
            </w:r>
            <w:r w:rsidR="006A2415">
              <w:rPr>
                <w:noProof/>
                <w:webHidden/>
              </w:rPr>
              <w:tab/>
            </w:r>
            <w:r w:rsidR="006A2415">
              <w:rPr>
                <w:noProof/>
                <w:webHidden/>
              </w:rPr>
              <w:fldChar w:fldCharType="begin"/>
            </w:r>
            <w:r w:rsidR="006A2415">
              <w:rPr>
                <w:noProof/>
                <w:webHidden/>
              </w:rPr>
              <w:instrText xml:space="preserve"> PAGEREF _Toc42549449 \h </w:instrText>
            </w:r>
            <w:r w:rsidR="006A2415">
              <w:rPr>
                <w:noProof/>
                <w:webHidden/>
              </w:rPr>
            </w:r>
            <w:r w:rsidR="006A2415">
              <w:rPr>
                <w:noProof/>
                <w:webHidden/>
              </w:rPr>
              <w:fldChar w:fldCharType="separate"/>
            </w:r>
            <w:r w:rsidR="006A2415">
              <w:rPr>
                <w:noProof/>
                <w:webHidden/>
              </w:rPr>
              <w:t>72</w:t>
            </w:r>
            <w:r w:rsidR="006A2415">
              <w:rPr>
                <w:noProof/>
                <w:webHidden/>
              </w:rPr>
              <w:fldChar w:fldCharType="end"/>
            </w:r>
          </w:hyperlink>
        </w:p>
        <w:p w14:paraId="201136F0" w14:textId="59EDDE1D" w:rsidR="006A2415" w:rsidRDefault="00062ABE">
          <w:pPr>
            <w:pStyle w:val="TOC2"/>
            <w:tabs>
              <w:tab w:val="left" w:pos="880"/>
              <w:tab w:val="right" w:leader="dot" w:pos="8828"/>
            </w:tabs>
            <w:rPr>
              <w:rFonts w:asciiTheme="minorHAnsi" w:eastAsiaTheme="minorEastAsia" w:hAnsiTheme="minorHAnsi" w:cstheme="minorBidi"/>
              <w:noProof/>
            </w:rPr>
          </w:pPr>
          <w:hyperlink w:anchor="_Toc42549450" w:history="1">
            <w:r w:rsidR="006A2415" w:rsidRPr="005B72B1">
              <w:rPr>
                <w:rStyle w:val="Hyperlink"/>
                <w:noProof/>
              </w:rPr>
              <w:t>3.3.</w:t>
            </w:r>
            <w:r w:rsidR="006A2415">
              <w:rPr>
                <w:rFonts w:asciiTheme="minorHAnsi" w:eastAsiaTheme="minorEastAsia" w:hAnsiTheme="minorHAnsi" w:cstheme="minorBidi"/>
                <w:noProof/>
              </w:rPr>
              <w:tab/>
            </w:r>
            <w:r w:rsidR="006A2415" w:rsidRPr="005B72B1">
              <w:rPr>
                <w:rStyle w:val="Hyperlink"/>
                <w:noProof/>
              </w:rPr>
              <w:t>Género y acceso a la ciencia y la tecnología</w:t>
            </w:r>
            <w:r w:rsidR="006A2415">
              <w:rPr>
                <w:noProof/>
                <w:webHidden/>
              </w:rPr>
              <w:tab/>
            </w:r>
            <w:r w:rsidR="006A2415">
              <w:rPr>
                <w:noProof/>
                <w:webHidden/>
              </w:rPr>
              <w:fldChar w:fldCharType="begin"/>
            </w:r>
            <w:r w:rsidR="006A2415">
              <w:rPr>
                <w:noProof/>
                <w:webHidden/>
              </w:rPr>
              <w:instrText xml:space="preserve"> PAGEREF _Toc42549450 \h </w:instrText>
            </w:r>
            <w:r w:rsidR="006A2415">
              <w:rPr>
                <w:noProof/>
                <w:webHidden/>
              </w:rPr>
            </w:r>
            <w:r w:rsidR="006A2415">
              <w:rPr>
                <w:noProof/>
                <w:webHidden/>
              </w:rPr>
              <w:fldChar w:fldCharType="separate"/>
            </w:r>
            <w:r w:rsidR="006A2415">
              <w:rPr>
                <w:noProof/>
                <w:webHidden/>
              </w:rPr>
              <w:t>73</w:t>
            </w:r>
            <w:r w:rsidR="006A2415">
              <w:rPr>
                <w:noProof/>
                <w:webHidden/>
              </w:rPr>
              <w:fldChar w:fldCharType="end"/>
            </w:r>
          </w:hyperlink>
        </w:p>
        <w:p w14:paraId="4F754F42" w14:textId="53E1553F" w:rsidR="006A2415" w:rsidRDefault="00062ABE">
          <w:pPr>
            <w:pStyle w:val="TOC1"/>
            <w:tabs>
              <w:tab w:val="left" w:pos="660"/>
              <w:tab w:val="right" w:leader="dot" w:pos="8828"/>
            </w:tabs>
            <w:rPr>
              <w:rFonts w:asciiTheme="minorHAnsi" w:eastAsiaTheme="minorEastAsia" w:hAnsiTheme="minorHAnsi" w:cstheme="minorBidi"/>
              <w:noProof/>
            </w:rPr>
          </w:pPr>
          <w:hyperlink w:anchor="_Toc42549451" w:history="1">
            <w:r w:rsidR="006A2415" w:rsidRPr="005B72B1">
              <w:rPr>
                <w:rStyle w:val="Hyperlink"/>
                <w:noProof/>
              </w:rPr>
              <w:t>IV.</w:t>
            </w:r>
            <w:r w:rsidR="006A2415">
              <w:rPr>
                <w:rFonts w:asciiTheme="minorHAnsi" w:eastAsiaTheme="minorEastAsia" w:hAnsiTheme="minorHAnsi" w:cstheme="minorBidi"/>
                <w:noProof/>
              </w:rPr>
              <w:tab/>
            </w:r>
            <w:r w:rsidR="006A2415" w:rsidRPr="005B72B1">
              <w:rPr>
                <w:rStyle w:val="Hyperlink"/>
                <w:noProof/>
              </w:rPr>
              <w:t>DIMENSIÓN SOCIAL</w:t>
            </w:r>
            <w:r w:rsidR="006A2415">
              <w:rPr>
                <w:noProof/>
                <w:webHidden/>
              </w:rPr>
              <w:tab/>
            </w:r>
            <w:r w:rsidR="006A2415">
              <w:rPr>
                <w:noProof/>
                <w:webHidden/>
              </w:rPr>
              <w:fldChar w:fldCharType="begin"/>
            </w:r>
            <w:r w:rsidR="006A2415">
              <w:rPr>
                <w:noProof/>
                <w:webHidden/>
              </w:rPr>
              <w:instrText xml:space="preserve"> PAGEREF _Toc42549451 \h </w:instrText>
            </w:r>
            <w:r w:rsidR="006A2415">
              <w:rPr>
                <w:noProof/>
                <w:webHidden/>
              </w:rPr>
            </w:r>
            <w:r w:rsidR="006A2415">
              <w:rPr>
                <w:noProof/>
                <w:webHidden/>
              </w:rPr>
              <w:fldChar w:fldCharType="separate"/>
            </w:r>
            <w:r w:rsidR="006A2415">
              <w:rPr>
                <w:noProof/>
                <w:webHidden/>
              </w:rPr>
              <w:t>77</w:t>
            </w:r>
            <w:r w:rsidR="006A2415">
              <w:rPr>
                <w:noProof/>
                <w:webHidden/>
              </w:rPr>
              <w:fldChar w:fldCharType="end"/>
            </w:r>
          </w:hyperlink>
        </w:p>
        <w:p w14:paraId="626E680C" w14:textId="7ED9CC12" w:rsidR="006A2415" w:rsidRDefault="00062ABE">
          <w:pPr>
            <w:pStyle w:val="TOC2"/>
            <w:tabs>
              <w:tab w:val="left" w:pos="880"/>
              <w:tab w:val="right" w:leader="dot" w:pos="8828"/>
            </w:tabs>
            <w:rPr>
              <w:rFonts w:asciiTheme="minorHAnsi" w:eastAsiaTheme="minorEastAsia" w:hAnsiTheme="minorHAnsi" w:cstheme="minorBidi"/>
              <w:noProof/>
            </w:rPr>
          </w:pPr>
          <w:hyperlink w:anchor="_Toc42549452" w:history="1">
            <w:r w:rsidR="006A2415" w:rsidRPr="005B72B1">
              <w:rPr>
                <w:rStyle w:val="Hyperlink"/>
                <w:noProof/>
              </w:rPr>
              <w:t>4.1.</w:t>
            </w:r>
            <w:r w:rsidR="006A2415">
              <w:rPr>
                <w:rFonts w:asciiTheme="minorHAnsi" w:eastAsiaTheme="minorEastAsia" w:hAnsiTheme="minorHAnsi" w:cstheme="minorBidi"/>
                <w:noProof/>
              </w:rPr>
              <w:tab/>
            </w:r>
            <w:r w:rsidR="006A2415" w:rsidRPr="005B72B1">
              <w:rPr>
                <w:rStyle w:val="Hyperlink"/>
                <w:noProof/>
              </w:rPr>
              <w:t>Género y educación</w:t>
            </w:r>
            <w:r w:rsidR="006A2415">
              <w:rPr>
                <w:noProof/>
                <w:webHidden/>
              </w:rPr>
              <w:tab/>
            </w:r>
            <w:r w:rsidR="006A2415">
              <w:rPr>
                <w:noProof/>
                <w:webHidden/>
              </w:rPr>
              <w:fldChar w:fldCharType="begin"/>
            </w:r>
            <w:r w:rsidR="006A2415">
              <w:rPr>
                <w:noProof/>
                <w:webHidden/>
              </w:rPr>
              <w:instrText xml:space="preserve"> PAGEREF _Toc42549452 \h </w:instrText>
            </w:r>
            <w:r w:rsidR="006A2415">
              <w:rPr>
                <w:noProof/>
                <w:webHidden/>
              </w:rPr>
            </w:r>
            <w:r w:rsidR="006A2415">
              <w:rPr>
                <w:noProof/>
                <w:webHidden/>
              </w:rPr>
              <w:fldChar w:fldCharType="separate"/>
            </w:r>
            <w:r w:rsidR="006A2415">
              <w:rPr>
                <w:noProof/>
                <w:webHidden/>
              </w:rPr>
              <w:t>77</w:t>
            </w:r>
            <w:r w:rsidR="006A2415">
              <w:rPr>
                <w:noProof/>
                <w:webHidden/>
              </w:rPr>
              <w:fldChar w:fldCharType="end"/>
            </w:r>
          </w:hyperlink>
        </w:p>
        <w:p w14:paraId="409A82BB" w14:textId="386399B3"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53" w:history="1">
            <w:r w:rsidR="006A2415" w:rsidRPr="005B72B1">
              <w:rPr>
                <w:rStyle w:val="Hyperlink"/>
                <w:noProof/>
              </w:rPr>
              <w:t>4.1.1.</w:t>
            </w:r>
            <w:r w:rsidR="006A2415">
              <w:rPr>
                <w:rFonts w:asciiTheme="minorHAnsi" w:eastAsiaTheme="minorEastAsia" w:hAnsiTheme="minorHAnsi" w:cstheme="minorBidi"/>
                <w:noProof/>
              </w:rPr>
              <w:tab/>
            </w:r>
            <w:r w:rsidR="006A2415" w:rsidRPr="005B72B1">
              <w:rPr>
                <w:rStyle w:val="Hyperlink"/>
                <w:noProof/>
              </w:rPr>
              <w:t>Nivel educativo y género</w:t>
            </w:r>
            <w:r w:rsidR="006A2415">
              <w:rPr>
                <w:noProof/>
                <w:webHidden/>
              </w:rPr>
              <w:tab/>
            </w:r>
            <w:r w:rsidR="006A2415">
              <w:rPr>
                <w:noProof/>
                <w:webHidden/>
              </w:rPr>
              <w:fldChar w:fldCharType="begin"/>
            </w:r>
            <w:r w:rsidR="006A2415">
              <w:rPr>
                <w:noProof/>
                <w:webHidden/>
              </w:rPr>
              <w:instrText xml:space="preserve"> PAGEREF _Toc42549453 \h </w:instrText>
            </w:r>
            <w:r w:rsidR="006A2415">
              <w:rPr>
                <w:noProof/>
                <w:webHidden/>
              </w:rPr>
            </w:r>
            <w:r w:rsidR="006A2415">
              <w:rPr>
                <w:noProof/>
                <w:webHidden/>
              </w:rPr>
              <w:fldChar w:fldCharType="separate"/>
            </w:r>
            <w:r w:rsidR="006A2415">
              <w:rPr>
                <w:noProof/>
                <w:webHidden/>
              </w:rPr>
              <w:t>77</w:t>
            </w:r>
            <w:r w:rsidR="006A2415">
              <w:rPr>
                <w:noProof/>
                <w:webHidden/>
              </w:rPr>
              <w:fldChar w:fldCharType="end"/>
            </w:r>
          </w:hyperlink>
        </w:p>
        <w:p w14:paraId="029608C5" w14:textId="2CBD29DF"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54" w:history="1">
            <w:r w:rsidR="006A2415" w:rsidRPr="005B72B1">
              <w:rPr>
                <w:rStyle w:val="Hyperlink"/>
                <w:noProof/>
              </w:rPr>
              <w:t>4.1.2.</w:t>
            </w:r>
            <w:r w:rsidR="006A2415">
              <w:rPr>
                <w:rFonts w:asciiTheme="minorHAnsi" w:eastAsiaTheme="minorEastAsia" w:hAnsiTheme="minorHAnsi" w:cstheme="minorBidi"/>
                <w:noProof/>
              </w:rPr>
              <w:tab/>
            </w:r>
            <w:r w:rsidR="006A2415" w:rsidRPr="005B72B1">
              <w:rPr>
                <w:rStyle w:val="Hyperlink"/>
                <w:noProof/>
              </w:rPr>
              <w:t>Estudiantes embarazadas</w:t>
            </w:r>
            <w:r w:rsidR="006A2415">
              <w:rPr>
                <w:noProof/>
                <w:webHidden/>
              </w:rPr>
              <w:tab/>
            </w:r>
            <w:r w:rsidR="006A2415">
              <w:rPr>
                <w:noProof/>
                <w:webHidden/>
              </w:rPr>
              <w:fldChar w:fldCharType="begin"/>
            </w:r>
            <w:r w:rsidR="006A2415">
              <w:rPr>
                <w:noProof/>
                <w:webHidden/>
              </w:rPr>
              <w:instrText xml:space="preserve"> PAGEREF _Toc42549454 \h </w:instrText>
            </w:r>
            <w:r w:rsidR="006A2415">
              <w:rPr>
                <w:noProof/>
                <w:webHidden/>
              </w:rPr>
            </w:r>
            <w:r w:rsidR="006A2415">
              <w:rPr>
                <w:noProof/>
                <w:webHidden/>
              </w:rPr>
              <w:fldChar w:fldCharType="separate"/>
            </w:r>
            <w:r w:rsidR="006A2415">
              <w:rPr>
                <w:noProof/>
                <w:webHidden/>
              </w:rPr>
              <w:t>83</w:t>
            </w:r>
            <w:r w:rsidR="006A2415">
              <w:rPr>
                <w:noProof/>
                <w:webHidden/>
              </w:rPr>
              <w:fldChar w:fldCharType="end"/>
            </w:r>
          </w:hyperlink>
        </w:p>
        <w:p w14:paraId="50DB0FF5" w14:textId="3EC4C1B4" w:rsidR="006A2415" w:rsidRDefault="00062ABE">
          <w:pPr>
            <w:pStyle w:val="TOC3"/>
            <w:tabs>
              <w:tab w:val="right" w:leader="dot" w:pos="8828"/>
            </w:tabs>
            <w:rPr>
              <w:rFonts w:asciiTheme="minorHAnsi" w:eastAsiaTheme="minorEastAsia" w:hAnsiTheme="minorHAnsi" w:cstheme="minorBidi"/>
              <w:noProof/>
            </w:rPr>
          </w:pPr>
          <w:hyperlink w:anchor="_Toc42549455" w:history="1">
            <w:r w:rsidR="006A2415" w:rsidRPr="005B72B1">
              <w:rPr>
                <w:rStyle w:val="Hyperlink"/>
                <w:noProof/>
              </w:rPr>
              <w:t>4.1.3 Instituciones educativas</w:t>
            </w:r>
            <w:r w:rsidR="006A2415">
              <w:rPr>
                <w:noProof/>
                <w:webHidden/>
              </w:rPr>
              <w:tab/>
            </w:r>
            <w:r w:rsidR="006A2415">
              <w:rPr>
                <w:noProof/>
                <w:webHidden/>
              </w:rPr>
              <w:fldChar w:fldCharType="begin"/>
            </w:r>
            <w:r w:rsidR="006A2415">
              <w:rPr>
                <w:noProof/>
                <w:webHidden/>
              </w:rPr>
              <w:instrText xml:space="preserve"> PAGEREF _Toc42549455 \h </w:instrText>
            </w:r>
            <w:r w:rsidR="006A2415">
              <w:rPr>
                <w:noProof/>
                <w:webHidden/>
              </w:rPr>
            </w:r>
            <w:r w:rsidR="006A2415">
              <w:rPr>
                <w:noProof/>
                <w:webHidden/>
              </w:rPr>
              <w:fldChar w:fldCharType="separate"/>
            </w:r>
            <w:r w:rsidR="006A2415">
              <w:rPr>
                <w:noProof/>
                <w:webHidden/>
              </w:rPr>
              <w:t>85</w:t>
            </w:r>
            <w:r w:rsidR="006A2415">
              <w:rPr>
                <w:noProof/>
                <w:webHidden/>
              </w:rPr>
              <w:fldChar w:fldCharType="end"/>
            </w:r>
          </w:hyperlink>
        </w:p>
        <w:p w14:paraId="7F001227" w14:textId="50013068" w:rsidR="006A2415" w:rsidRDefault="00062ABE">
          <w:pPr>
            <w:pStyle w:val="TOC2"/>
            <w:tabs>
              <w:tab w:val="left" w:pos="880"/>
              <w:tab w:val="right" w:leader="dot" w:pos="8828"/>
            </w:tabs>
            <w:rPr>
              <w:rFonts w:asciiTheme="minorHAnsi" w:eastAsiaTheme="minorEastAsia" w:hAnsiTheme="minorHAnsi" w:cstheme="minorBidi"/>
              <w:noProof/>
            </w:rPr>
          </w:pPr>
          <w:hyperlink w:anchor="_Toc42549456" w:history="1">
            <w:r w:rsidR="006A2415" w:rsidRPr="005B72B1">
              <w:rPr>
                <w:rStyle w:val="Hyperlink"/>
                <w:noProof/>
              </w:rPr>
              <w:t>4.2.</w:t>
            </w:r>
            <w:r w:rsidR="006A2415">
              <w:rPr>
                <w:rFonts w:asciiTheme="minorHAnsi" w:eastAsiaTheme="minorEastAsia" w:hAnsiTheme="minorHAnsi" w:cstheme="minorBidi"/>
                <w:noProof/>
              </w:rPr>
              <w:tab/>
            </w:r>
            <w:r w:rsidR="006A2415" w:rsidRPr="005B72B1">
              <w:rPr>
                <w:rStyle w:val="Hyperlink"/>
                <w:noProof/>
              </w:rPr>
              <w:t>Género y Salud</w:t>
            </w:r>
            <w:r w:rsidR="006A2415">
              <w:rPr>
                <w:noProof/>
                <w:webHidden/>
              </w:rPr>
              <w:tab/>
            </w:r>
            <w:r w:rsidR="006A2415">
              <w:rPr>
                <w:noProof/>
                <w:webHidden/>
              </w:rPr>
              <w:fldChar w:fldCharType="begin"/>
            </w:r>
            <w:r w:rsidR="006A2415">
              <w:rPr>
                <w:noProof/>
                <w:webHidden/>
              </w:rPr>
              <w:instrText xml:space="preserve"> PAGEREF _Toc42549456 \h </w:instrText>
            </w:r>
            <w:r w:rsidR="006A2415">
              <w:rPr>
                <w:noProof/>
                <w:webHidden/>
              </w:rPr>
            </w:r>
            <w:r w:rsidR="006A2415">
              <w:rPr>
                <w:noProof/>
                <w:webHidden/>
              </w:rPr>
              <w:fldChar w:fldCharType="separate"/>
            </w:r>
            <w:r w:rsidR="006A2415">
              <w:rPr>
                <w:noProof/>
                <w:webHidden/>
              </w:rPr>
              <w:t>86</w:t>
            </w:r>
            <w:r w:rsidR="006A2415">
              <w:rPr>
                <w:noProof/>
                <w:webHidden/>
              </w:rPr>
              <w:fldChar w:fldCharType="end"/>
            </w:r>
          </w:hyperlink>
        </w:p>
        <w:p w14:paraId="40C56571" w14:textId="642022C6"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57" w:history="1">
            <w:r w:rsidR="006A2415" w:rsidRPr="005B72B1">
              <w:rPr>
                <w:rStyle w:val="Hyperlink"/>
                <w:noProof/>
              </w:rPr>
              <w:t>4.2.1.</w:t>
            </w:r>
            <w:r w:rsidR="006A2415">
              <w:rPr>
                <w:rFonts w:asciiTheme="minorHAnsi" w:eastAsiaTheme="minorEastAsia" w:hAnsiTheme="minorHAnsi" w:cstheme="minorBidi"/>
                <w:noProof/>
              </w:rPr>
              <w:tab/>
            </w:r>
            <w:r w:rsidR="006A2415" w:rsidRPr="005B72B1">
              <w:rPr>
                <w:rStyle w:val="Hyperlink"/>
                <w:noProof/>
              </w:rPr>
              <w:t>Esperanza de vida</w:t>
            </w:r>
            <w:r w:rsidR="006A2415">
              <w:rPr>
                <w:noProof/>
                <w:webHidden/>
              </w:rPr>
              <w:tab/>
            </w:r>
            <w:r w:rsidR="006A2415">
              <w:rPr>
                <w:noProof/>
                <w:webHidden/>
              </w:rPr>
              <w:fldChar w:fldCharType="begin"/>
            </w:r>
            <w:r w:rsidR="006A2415">
              <w:rPr>
                <w:noProof/>
                <w:webHidden/>
              </w:rPr>
              <w:instrText xml:space="preserve"> PAGEREF _Toc42549457 \h </w:instrText>
            </w:r>
            <w:r w:rsidR="006A2415">
              <w:rPr>
                <w:noProof/>
                <w:webHidden/>
              </w:rPr>
            </w:r>
            <w:r w:rsidR="006A2415">
              <w:rPr>
                <w:noProof/>
                <w:webHidden/>
              </w:rPr>
              <w:fldChar w:fldCharType="separate"/>
            </w:r>
            <w:r w:rsidR="006A2415">
              <w:rPr>
                <w:noProof/>
                <w:webHidden/>
              </w:rPr>
              <w:t>86</w:t>
            </w:r>
            <w:r w:rsidR="006A2415">
              <w:rPr>
                <w:noProof/>
                <w:webHidden/>
              </w:rPr>
              <w:fldChar w:fldCharType="end"/>
            </w:r>
          </w:hyperlink>
        </w:p>
        <w:p w14:paraId="6FD182E1" w14:textId="7FAF0D3B"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58" w:history="1">
            <w:r w:rsidR="006A2415" w:rsidRPr="005B72B1">
              <w:rPr>
                <w:rStyle w:val="Hyperlink"/>
                <w:noProof/>
              </w:rPr>
              <w:t>4.2.2.</w:t>
            </w:r>
            <w:r w:rsidR="006A2415">
              <w:rPr>
                <w:rFonts w:asciiTheme="minorHAnsi" w:eastAsiaTheme="minorEastAsia" w:hAnsiTheme="minorHAnsi" w:cstheme="minorBidi"/>
                <w:noProof/>
              </w:rPr>
              <w:tab/>
            </w:r>
            <w:r w:rsidR="006A2415" w:rsidRPr="005B72B1">
              <w:rPr>
                <w:rStyle w:val="Hyperlink"/>
                <w:noProof/>
              </w:rPr>
              <w:t>Natalidad</w:t>
            </w:r>
            <w:r w:rsidR="006A2415">
              <w:rPr>
                <w:noProof/>
                <w:webHidden/>
              </w:rPr>
              <w:tab/>
            </w:r>
            <w:r w:rsidR="006A2415">
              <w:rPr>
                <w:noProof/>
                <w:webHidden/>
              </w:rPr>
              <w:fldChar w:fldCharType="begin"/>
            </w:r>
            <w:r w:rsidR="006A2415">
              <w:rPr>
                <w:noProof/>
                <w:webHidden/>
              </w:rPr>
              <w:instrText xml:space="preserve"> PAGEREF _Toc42549458 \h </w:instrText>
            </w:r>
            <w:r w:rsidR="006A2415">
              <w:rPr>
                <w:noProof/>
                <w:webHidden/>
              </w:rPr>
            </w:r>
            <w:r w:rsidR="006A2415">
              <w:rPr>
                <w:noProof/>
                <w:webHidden/>
              </w:rPr>
              <w:fldChar w:fldCharType="separate"/>
            </w:r>
            <w:r w:rsidR="006A2415">
              <w:rPr>
                <w:noProof/>
                <w:webHidden/>
              </w:rPr>
              <w:t>88</w:t>
            </w:r>
            <w:r w:rsidR="006A2415">
              <w:rPr>
                <w:noProof/>
                <w:webHidden/>
              </w:rPr>
              <w:fldChar w:fldCharType="end"/>
            </w:r>
          </w:hyperlink>
        </w:p>
        <w:p w14:paraId="5396E1FB" w14:textId="5B04318F"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59" w:history="1">
            <w:r w:rsidR="006A2415" w:rsidRPr="005B72B1">
              <w:rPr>
                <w:rStyle w:val="Hyperlink"/>
                <w:noProof/>
              </w:rPr>
              <w:t>4.2.3.</w:t>
            </w:r>
            <w:r w:rsidR="006A2415">
              <w:rPr>
                <w:rFonts w:asciiTheme="minorHAnsi" w:eastAsiaTheme="minorEastAsia" w:hAnsiTheme="minorHAnsi" w:cstheme="minorBidi"/>
                <w:noProof/>
              </w:rPr>
              <w:tab/>
            </w:r>
            <w:r w:rsidR="006A2415" w:rsidRPr="005B72B1">
              <w:rPr>
                <w:rStyle w:val="Hyperlink"/>
                <w:noProof/>
              </w:rPr>
              <w:t>Fecundidad</w:t>
            </w:r>
            <w:r w:rsidR="006A2415">
              <w:rPr>
                <w:noProof/>
                <w:webHidden/>
              </w:rPr>
              <w:tab/>
            </w:r>
            <w:r w:rsidR="006A2415">
              <w:rPr>
                <w:noProof/>
                <w:webHidden/>
              </w:rPr>
              <w:fldChar w:fldCharType="begin"/>
            </w:r>
            <w:r w:rsidR="006A2415">
              <w:rPr>
                <w:noProof/>
                <w:webHidden/>
              </w:rPr>
              <w:instrText xml:space="preserve"> PAGEREF _Toc42549459 \h </w:instrText>
            </w:r>
            <w:r w:rsidR="006A2415">
              <w:rPr>
                <w:noProof/>
                <w:webHidden/>
              </w:rPr>
            </w:r>
            <w:r w:rsidR="006A2415">
              <w:rPr>
                <w:noProof/>
                <w:webHidden/>
              </w:rPr>
              <w:fldChar w:fldCharType="separate"/>
            </w:r>
            <w:r w:rsidR="006A2415">
              <w:rPr>
                <w:noProof/>
                <w:webHidden/>
              </w:rPr>
              <w:t>89</w:t>
            </w:r>
            <w:r w:rsidR="006A2415">
              <w:rPr>
                <w:noProof/>
                <w:webHidden/>
              </w:rPr>
              <w:fldChar w:fldCharType="end"/>
            </w:r>
          </w:hyperlink>
        </w:p>
        <w:p w14:paraId="5E6837EB" w14:textId="0B33C35A"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60" w:history="1">
            <w:r w:rsidR="006A2415" w:rsidRPr="005B72B1">
              <w:rPr>
                <w:rStyle w:val="Hyperlink"/>
                <w:noProof/>
              </w:rPr>
              <w:t>4.2.4.</w:t>
            </w:r>
            <w:r w:rsidR="006A2415">
              <w:rPr>
                <w:rFonts w:asciiTheme="minorHAnsi" w:eastAsiaTheme="minorEastAsia" w:hAnsiTheme="minorHAnsi" w:cstheme="minorBidi"/>
                <w:noProof/>
              </w:rPr>
              <w:tab/>
            </w:r>
            <w:r w:rsidR="006A2415" w:rsidRPr="005B72B1">
              <w:rPr>
                <w:rStyle w:val="Hyperlink"/>
                <w:noProof/>
              </w:rPr>
              <w:t>Mortalidad</w:t>
            </w:r>
            <w:r w:rsidR="006A2415">
              <w:rPr>
                <w:noProof/>
                <w:webHidden/>
              </w:rPr>
              <w:tab/>
            </w:r>
            <w:r w:rsidR="006A2415">
              <w:rPr>
                <w:noProof/>
                <w:webHidden/>
              </w:rPr>
              <w:fldChar w:fldCharType="begin"/>
            </w:r>
            <w:r w:rsidR="006A2415">
              <w:rPr>
                <w:noProof/>
                <w:webHidden/>
              </w:rPr>
              <w:instrText xml:space="preserve"> PAGEREF _Toc42549460 \h </w:instrText>
            </w:r>
            <w:r w:rsidR="006A2415">
              <w:rPr>
                <w:noProof/>
                <w:webHidden/>
              </w:rPr>
            </w:r>
            <w:r w:rsidR="006A2415">
              <w:rPr>
                <w:noProof/>
                <w:webHidden/>
              </w:rPr>
              <w:fldChar w:fldCharType="separate"/>
            </w:r>
            <w:r w:rsidR="006A2415">
              <w:rPr>
                <w:noProof/>
                <w:webHidden/>
              </w:rPr>
              <w:t>95</w:t>
            </w:r>
            <w:r w:rsidR="006A2415">
              <w:rPr>
                <w:noProof/>
                <w:webHidden/>
              </w:rPr>
              <w:fldChar w:fldCharType="end"/>
            </w:r>
          </w:hyperlink>
        </w:p>
        <w:p w14:paraId="5F361520" w14:textId="5441E55A"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61" w:history="1">
            <w:r w:rsidR="006A2415" w:rsidRPr="005B72B1">
              <w:rPr>
                <w:rStyle w:val="Hyperlink"/>
                <w:noProof/>
              </w:rPr>
              <w:t>4.2.5.</w:t>
            </w:r>
            <w:r w:rsidR="006A2415">
              <w:rPr>
                <w:rFonts w:asciiTheme="minorHAnsi" w:eastAsiaTheme="minorEastAsia" w:hAnsiTheme="minorHAnsi" w:cstheme="minorBidi"/>
                <w:noProof/>
              </w:rPr>
              <w:tab/>
            </w:r>
            <w:r w:rsidR="006A2415" w:rsidRPr="005B72B1">
              <w:rPr>
                <w:rStyle w:val="Hyperlink"/>
                <w:noProof/>
              </w:rPr>
              <w:t>Mortalidad materna</w:t>
            </w:r>
            <w:r w:rsidR="006A2415">
              <w:rPr>
                <w:noProof/>
                <w:webHidden/>
              </w:rPr>
              <w:tab/>
            </w:r>
            <w:r w:rsidR="006A2415">
              <w:rPr>
                <w:noProof/>
                <w:webHidden/>
              </w:rPr>
              <w:fldChar w:fldCharType="begin"/>
            </w:r>
            <w:r w:rsidR="006A2415">
              <w:rPr>
                <w:noProof/>
                <w:webHidden/>
              </w:rPr>
              <w:instrText xml:space="preserve"> PAGEREF _Toc42549461 \h </w:instrText>
            </w:r>
            <w:r w:rsidR="006A2415">
              <w:rPr>
                <w:noProof/>
                <w:webHidden/>
              </w:rPr>
            </w:r>
            <w:r w:rsidR="006A2415">
              <w:rPr>
                <w:noProof/>
                <w:webHidden/>
              </w:rPr>
              <w:fldChar w:fldCharType="separate"/>
            </w:r>
            <w:r w:rsidR="006A2415">
              <w:rPr>
                <w:noProof/>
                <w:webHidden/>
              </w:rPr>
              <w:t>96</w:t>
            </w:r>
            <w:r w:rsidR="006A2415">
              <w:rPr>
                <w:noProof/>
                <w:webHidden/>
              </w:rPr>
              <w:fldChar w:fldCharType="end"/>
            </w:r>
          </w:hyperlink>
        </w:p>
        <w:p w14:paraId="38D555E6" w14:textId="52024925" w:rsidR="006A2415" w:rsidRDefault="00062ABE">
          <w:pPr>
            <w:pStyle w:val="TOC2"/>
            <w:tabs>
              <w:tab w:val="left" w:pos="880"/>
              <w:tab w:val="right" w:leader="dot" w:pos="8828"/>
            </w:tabs>
            <w:rPr>
              <w:rFonts w:asciiTheme="minorHAnsi" w:eastAsiaTheme="minorEastAsia" w:hAnsiTheme="minorHAnsi" w:cstheme="minorBidi"/>
              <w:noProof/>
            </w:rPr>
          </w:pPr>
          <w:hyperlink w:anchor="_Toc42549462" w:history="1">
            <w:r w:rsidR="006A2415" w:rsidRPr="005B72B1">
              <w:rPr>
                <w:rStyle w:val="Hyperlink"/>
                <w:noProof/>
              </w:rPr>
              <w:t>4.3.</w:t>
            </w:r>
            <w:r w:rsidR="006A2415">
              <w:rPr>
                <w:rFonts w:asciiTheme="minorHAnsi" w:eastAsiaTheme="minorEastAsia" w:hAnsiTheme="minorHAnsi" w:cstheme="minorBidi"/>
                <w:noProof/>
              </w:rPr>
              <w:tab/>
            </w:r>
            <w:r w:rsidR="006A2415" w:rsidRPr="005B72B1">
              <w:rPr>
                <w:rStyle w:val="Hyperlink"/>
                <w:noProof/>
              </w:rPr>
              <w:t>Seguridad alimentaria</w:t>
            </w:r>
            <w:r w:rsidR="006A2415">
              <w:rPr>
                <w:noProof/>
                <w:webHidden/>
              </w:rPr>
              <w:tab/>
            </w:r>
            <w:r w:rsidR="006A2415">
              <w:rPr>
                <w:noProof/>
                <w:webHidden/>
              </w:rPr>
              <w:fldChar w:fldCharType="begin"/>
            </w:r>
            <w:r w:rsidR="006A2415">
              <w:rPr>
                <w:noProof/>
                <w:webHidden/>
              </w:rPr>
              <w:instrText xml:space="preserve"> PAGEREF _Toc42549462 \h </w:instrText>
            </w:r>
            <w:r w:rsidR="006A2415">
              <w:rPr>
                <w:noProof/>
                <w:webHidden/>
              </w:rPr>
            </w:r>
            <w:r w:rsidR="006A2415">
              <w:rPr>
                <w:noProof/>
                <w:webHidden/>
              </w:rPr>
              <w:fldChar w:fldCharType="separate"/>
            </w:r>
            <w:r w:rsidR="006A2415">
              <w:rPr>
                <w:noProof/>
                <w:webHidden/>
              </w:rPr>
              <w:t>100</w:t>
            </w:r>
            <w:r w:rsidR="006A2415">
              <w:rPr>
                <w:noProof/>
                <w:webHidden/>
              </w:rPr>
              <w:fldChar w:fldCharType="end"/>
            </w:r>
          </w:hyperlink>
        </w:p>
        <w:p w14:paraId="6B4D3A42" w14:textId="20988700" w:rsidR="006A2415" w:rsidRDefault="00062ABE">
          <w:pPr>
            <w:pStyle w:val="TOC2"/>
            <w:tabs>
              <w:tab w:val="left" w:pos="880"/>
              <w:tab w:val="right" w:leader="dot" w:pos="8828"/>
            </w:tabs>
            <w:rPr>
              <w:rFonts w:asciiTheme="minorHAnsi" w:eastAsiaTheme="minorEastAsia" w:hAnsiTheme="minorHAnsi" w:cstheme="minorBidi"/>
              <w:noProof/>
            </w:rPr>
          </w:pPr>
          <w:hyperlink w:anchor="_Toc42549463" w:history="1">
            <w:r w:rsidR="006A2415" w:rsidRPr="005B72B1">
              <w:rPr>
                <w:rStyle w:val="Hyperlink"/>
                <w:noProof/>
              </w:rPr>
              <w:t>4.4.</w:t>
            </w:r>
            <w:r w:rsidR="006A2415">
              <w:rPr>
                <w:rFonts w:asciiTheme="minorHAnsi" w:eastAsiaTheme="minorEastAsia" w:hAnsiTheme="minorHAnsi" w:cstheme="minorBidi"/>
                <w:noProof/>
              </w:rPr>
              <w:tab/>
            </w:r>
            <w:r w:rsidR="006A2415" w:rsidRPr="005B72B1">
              <w:rPr>
                <w:rStyle w:val="Hyperlink"/>
                <w:noProof/>
              </w:rPr>
              <w:t>Seguridad ciudadana y violencia contra las mujeres</w:t>
            </w:r>
            <w:r w:rsidR="006A2415">
              <w:rPr>
                <w:noProof/>
                <w:webHidden/>
              </w:rPr>
              <w:tab/>
            </w:r>
            <w:r w:rsidR="006A2415">
              <w:rPr>
                <w:noProof/>
                <w:webHidden/>
              </w:rPr>
              <w:fldChar w:fldCharType="begin"/>
            </w:r>
            <w:r w:rsidR="006A2415">
              <w:rPr>
                <w:noProof/>
                <w:webHidden/>
              </w:rPr>
              <w:instrText xml:space="preserve"> PAGEREF _Toc42549463 \h </w:instrText>
            </w:r>
            <w:r w:rsidR="006A2415">
              <w:rPr>
                <w:noProof/>
                <w:webHidden/>
              </w:rPr>
            </w:r>
            <w:r w:rsidR="006A2415">
              <w:rPr>
                <w:noProof/>
                <w:webHidden/>
              </w:rPr>
              <w:fldChar w:fldCharType="separate"/>
            </w:r>
            <w:r w:rsidR="006A2415">
              <w:rPr>
                <w:noProof/>
                <w:webHidden/>
              </w:rPr>
              <w:t>102</w:t>
            </w:r>
            <w:r w:rsidR="006A2415">
              <w:rPr>
                <w:noProof/>
                <w:webHidden/>
              </w:rPr>
              <w:fldChar w:fldCharType="end"/>
            </w:r>
          </w:hyperlink>
        </w:p>
        <w:p w14:paraId="0CC0F0CA" w14:textId="53B102F6"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64" w:history="1">
            <w:r w:rsidR="006A2415" w:rsidRPr="005B72B1">
              <w:rPr>
                <w:rStyle w:val="Hyperlink"/>
                <w:noProof/>
                <w:lang w:eastAsia="en-US"/>
              </w:rPr>
              <w:t>4.1.1.</w:t>
            </w:r>
            <w:r w:rsidR="006A2415">
              <w:rPr>
                <w:rFonts w:asciiTheme="minorHAnsi" w:eastAsiaTheme="minorEastAsia" w:hAnsiTheme="minorHAnsi" w:cstheme="minorBidi"/>
                <w:noProof/>
              </w:rPr>
              <w:tab/>
            </w:r>
            <w:r w:rsidR="006A2415" w:rsidRPr="005B72B1">
              <w:rPr>
                <w:rStyle w:val="Hyperlink"/>
                <w:noProof/>
                <w:lang w:eastAsia="en-US"/>
              </w:rPr>
              <w:t>Femicidios</w:t>
            </w:r>
            <w:r w:rsidR="006A2415">
              <w:rPr>
                <w:noProof/>
                <w:webHidden/>
              </w:rPr>
              <w:tab/>
            </w:r>
            <w:r w:rsidR="006A2415">
              <w:rPr>
                <w:noProof/>
                <w:webHidden/>
              </w:rPr>
              <w:fldChar w:fldCharType="begin"/>
            </w:r>
            <w:r w:rsidR="006A2415">
              <w:rPr>
                <w:noProof/>
                <w:webHidden/>
              </w:rPr>
              <w:instrText xml:space="preserve"> PAGEREF _Toc42549464 \h </w:instrText>
            </w:r>
            <w:r w:rsidR="006A2415">
              <w:rPr>
                <w:noProof/>
                <w:webHidden/>
              </w:rPr>
            </w:r>
            <w:r w:rsidR="006A2415">
              <w:rPr>
                <w:noProof/>
                <w:webHidden/>
              </w:rPr>
              <w:fldChar w:fldCharType="separate"/>
            </w:r>
            <w:r w:rsidR="006A2415">
              <w:rPr>
                <w:noProof/>
                <w:webHidden/>
              </w:rPr>
              <w:t>104</w:t>
            </w:r>
            <w:r w:rsidR="006A2415">
              <w:rPr>
                <w:noProof/>
                <w:webHidden/>
              </w:rPr>
              <w:fldChar w:fldCharType="end"/>
            </w:r>
          </w:hyperlink>
        </w:p>
        <w:p w14:paraId="60E21DC4" w14:textId="04EDAF1F"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65" w:history="1">
            <w:r w:rsidR="006A2415" w:rsidRPr="005B72B1">
              <w:rPr>
                <w:rStyle w:val="Hyperlink"/>
                <w:noProof/>
              </w:rPr>
              <w:t>4.1.2.</w:t>
            </w:r>
            <w:r w:rsidR="006A2415">
              <w:rPr>
                <w:rFonts w:asciiTheme="minorHAnsi" w:eastAsiaTheme="minorEastAsia" w:hAnsiTheme="minorHAnsi" w:cstheme="minorBidi"/>
                <w:noProof/>
              </w:rPr>
              <w:tab/>
            </w:r>
            <w:r w:rsidR="006A2415" w:rsidRPr="005B72B1">
              <w:rPr>
                <w:rStyle w:val="Hyperlink"/>
                <w:noProof/>
              </w:rPr>
              <w:t>Contra el orden jurídico familiar y el estado civil</w:t>
            </w:r>
            <w:r w:rsidR="006A2415">
              <w:rPr>
                <w:noProof/>
                <w:webHidden/>
              </w:rPr>
              <w:tab/>
            </w:r>
            <w:r w:rsidR="006A2415">
              <w:rPr>
                <w:noProof/>
                <w:webHidden/>
              </w:rPr>
              <w:fldChar w:fldCharType="begin"/>
            </w:r>
            <w:r w:rsidR="006A2415">
              <w:rPr>
                <w:noProof/>
                <w:webHidden/>
              </w:rPr>
              <w:instrText xml:space="preserve"> PAGEREF _Toc42549465 \h </w:instrText>
            </w:r>
            <w:r w:rsidR="006A2415">
              <w:rPr>
                <w:noProof/>
                <w:webHidden/>
              </w:rPr>
            </w:r>
            <w:r w:rsidR="006A2415">
              <w:rPr>
                <w:noProof/>
                <w:webHidden/>
              </w:rPr>
              <w:fldChar w:fldCharType="separate"/>
            </w:r>
            <w:r w:rsidR="006A2415">
              <w:rPr>
                <w:noProof/>
                <w:webHidden/>
              </w:rPr>
              <w:t>107</w:t>
            </w:r>
            <w:r w:rsidR="006A2415">
              <w:rPr>
                <w:noProof/>
                <w:webHidden/>
              </w:rPr>
              <w:fldChar w:fldCharType="end"/>
            </w:r>
          </w:hyperlink>
        </w:p>
        <w:p w14:paraId="5D9CE4BC" w14:textId="08289B2D"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66" w:history="1">
            <w:r w:rsidR="006A2415" w:rsidRPr="005B72B1">
              <w:rPr>
                <w:rStyle w:val="Hyperlink"/>
                <w:noProof/>
              </w:rPr>
              <w:t>4.1.3.</w:t>
            </w:r>
            <w:r w:rsidR="006A2415">
              <w:rPr>
                <w:rFonts w:asciiTheme="minorHAnsi" w:eastAsiaTheme="minorEastAsia" w:hAnsiTheme="minorHAnsi" w:cstheme="minorBidi"/>
                <w:noProof/>
              </w:rPr>
              <w:tab/>
            </w:r>
            <w:r w:rsidR="006A2415" w:rsidRPr="005B72B1">
              <w:rPr>
                <w:rStyle w:val="Hyperlink"/>
                <w:noProof/>
              </w:rPr>
              <w:t>Tipos de violencia</w:t>
            </w:r>
            <w:r w:rsidR="006A2415">
              <w:rPr>
                <w:noProof/>
                <w:webHidden/>
              </w:rPr>
              <w:tab/>
            </w:r>
            <w:r w:rsidR="006A2415">
              <w:rPr>
                <w:noProof/>
                <w:webHidden/>
              </w:rPr>
              <w:fldChar w:fldCharType="begin"/>
            </w:r>
            <w:r w:rsidR="006A2415">
              <w:rPr>
                <w:noProof/>
                <w:webHidden/>
              </w:rPr>
              <w:instrText xml:space="preserve"> PAGEREF _Toc42549466 \h </w:instrText>
            </w:r>
            <w:r w:rsidR="006A2415">
              <w:rPr>
                <w:noProof/>
                <w:webHidden/>
              </w:rPr>
            </w:r>
            <w:r w:rsidR="006A2415">
              <w:rPr>
                <w:noProof/>
                <w:webHidden/>
              </w:rPr>
              <w:fldChar w:fldCharType="separate"/>
            </w:r>
            <w:r w:rsidR="006A2415">
              <w:rPr>
                <w:noProof/>
                <w:webHidden/>
              </w:rPr>
              <w:t>109</w:t>
            </w:r>
            <w:r w:rsidR="006A2415">
              <w:rPr>
                <w:noProof/>
                <w:webHidden/>
              </w:rPr>
              <w:fldChar w:fldCharType="end"/>
            </w:r>
          </w:hyperlink>
        </w:p>
        <w:p w14:paraId="66FFD5CA" w14:textId="59BE49F8"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67" w:history="1">
            <w:r w:rsidR="006A2415" w:rsidRPr="005B72B1">
              <w:rPr>
                <w:rStyle w:val="Hyperlink"/>
                <w:noProof/>
              </w:rPr>
              <w:t>4.1.4.</w:t>
            </w:r>
            <w:r w:rsidR="006A2415">
              <w:rPr>
                <w:rFonts w:asciiTheme="minorHAnsi" w:eastAsiaTheme="minorEastAsia" w:hAnsiTheme="minorHAnsi" w:cstheme="minorBidi"/>
                <w:noProof/>
              </w:rPr>
              <w:tab/>
            </w:r>
            <w:r w:rsidR="006A2415" w:rsidRPr="005B72B1">
              <w:rPr>
                <w:rStyle w:val="Hyperlink"/>
                <w:noProof/>
              </w:rPr>
              <w:t>Delitos Sexuales</w:t>
            </w:r>
            <w:r w:rsidR="006A2415">
              <w:rPr>
                <w:noProof/>
                <w:webHidden/>
              </w:rPr>
              <w:tab/>
            </w:r>
            <w:r w:rsidR="006A2415">
              <w:rPr>
                <w:noProof/>
                <w:webHidden/>
              </w:rPr>
              <w:fldChar w:fldCharType="begin"/>
            </w:r>
            <w:r w:rsidR="006A2415">
              <w:rPr>
                <w:noProof/>
                <w:webHidden/>
              </w:rPr>
              <w:instrText xml:space="preserve"> PAGEREF _Toc42549467 \h </w:instrText>
            </w:r>
            <w:r w:rsidR="006A2415">
              <w:rPr>
                <w:noProof/>
                <w:webHidden/>
              </w:rPr>
            </w:r>
            <w:r w:rsidR="006A2415">
              <w:rPr>
                <w:noProof/>
                <w:webHidden/>
              </w:rPr>
              <w:fldChar w:fldCharType="separate"/>
            </w:r>
            <w:r w:rsidR="006A2415">
              <w:rPr>
                <w:noProof/>
                <w:webHidden/>
              </w:rPr>
              <w:t>113</w:t>
            </w:r>
            <w:r w:rsidR="006A2415">
              <w:rPr>
                <w:noProof/>
                <w:webHidden/>
              </w:rPr>
              <w:fldChar w:fldCharType="end"/>
            </w:r>
          </w:hyperlink>
        </w:p>
        <w:p w14:paraId="7FB989E2" w14:textId="763B3EFB" w:rsidR="006A2415" w:rsidRDefault="00062ABE">
          <w:pPr>
            <w:pStyle w:val="TOC2"/>
            <w:tabs>
              <w:tab w:val="left" w:pos="880"/>
              <w:tab w:val="right" w:leader="dot" w:pos="8828"/>
            </w:tabs>
            <w:rPr>
              <w:rFonts w:asciiTheme="minorHAnsi" w:eastAsiaTheme="minorEastAsia" w:hAnsiTheme="minorHAnsi" w:cstheme="minorBidi"/>
              <w:noProof/>
            </w:rPr>
          </w:pPr>
          <w:hyperlink w:anchor="_Toc42549468" w:history="1">
            <w:r w:rsidR="006A2415" w:rsidRPr="005B72B1">
              <w:rPr>
                <w:rStyle w:val="Hyperlink"/>
                <w:noProof/>
              </w:rPr>
              <w:t>4.5.</w:t>
            </w:r>
            <w:r w:rsidR="006A2415">
              <w:rPr>
                <w:rFonts w:asciiTheme="minorHAnsi" w:eastAsiaTheme="minorEastAsia" w:hAnsiTheme="minorHAnsi" w:cstheme="minorBidi"/>
                <w:noProof/>
              </w:rPr>
              <w:tab/>
            </w:r>
            <w:r w:rsidR="006A2415" w:rsidRPr="005B72B1">
              <w:rPr>
                <w:rStyle w:val="Hyperlink"/>
                <w:noProof/>
              </w:rPr>
              <w:t>Género y migración</w:t>
            </w:r>
            <w:r w:rsidR="006A2415">
              <w:rPr>
                <w:noProof/>
                <w:webHidden/>
              </w:rPr>
              <w:tab/>
            </w:r>
            <w:r w:rsidR="006A2415">
              <w:rPr>
                <w:noProof/>
                <w:webHidden/>
              </w:rPr>
              <w:fldChar w:fldCharType="begin"/>
            </w:r>
            <w:r w:rsidR="006A2415">
              <w:rPr>
                <w:noProof/>
                <w:webHidden/>
              </w:rPr>
              <w:instrText xml:space="preserve"> PAGEREF _Toc42549468 \h </w:instrText>
            </w:r>
            <w:r w:rsidR="006A2415">
              <w:rPr>
                <w:noProof/>
                <w:webHidden/>
              </w:rPr>
            </w:r>
            <w:r w:rsidR="006A2415">
              <w:rPr>
                <w:noProof/>
                <w:webHidden/>
              </w:rPr>
              <w:fldChar w:fldCharType="separate"/>
            </w:r>
            <w:r w:rsidR="006A2415">
              <w:rPr>
                <w:noProof/>
                <w:webHidden/>
              </w:rPr>
              <w:t>118</w:t>
            </w:r>
            <w:r w:rsidR="006A2415">
              <w:rPr>
                <w:noProof/>
                <w:webHidden/>
              </w:rPr>
              <w:fldChar w:fldCharType="end"/>
            </w:r>
          </w:hyperlink>
        </w:p>
        <w:p w14:paraId="0BEBABB3" w14:textId="62E854DE"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69" w:history="1">
            <w:r w:rsidR="006A2415" w:rsidRPr="005B72B1">
              <w:rPr>
                <w:rStyle w:val="Hyperlink"/>
                <w:noProof/>
              </w:rPr>
              <w:t>4.5.1.</w:t>
            </w:r>
            <w:r w:rsidR="006A2415">
              <w:rPr>
                <w:rFonts w:asciiTheme="minorHAnsi" w:eastAsiaTheme="minorEastAsia" w:hAnsiTheme="minorHAnsi" w:cstheme="minorBidi"/>
                <w:noProof/>
              </w:rPr>
              <w:tab/>
            </w:r>
            <w:r w:rsidR="006A2415" w:rsidRPr="005B72B1">
              <w:rPr>
                <w:rStyle w:val="Hyperlink"/>
                <w:noProof/>
              </w:rPr>
              <w:t>Movimiento migratorio en Panamá</w:t>
            </w:r>
            <w:r w:rsidR="006A2415">
              <w:rPr>
                <w:noProof/>
                <w:webHidden/>
              </w:rPr>
              <w:tab/>
            </w:r>
            <w:r w:rsidR="006A2415">
              <w:rPr>
                <w:noProof/>
                <w:webHidden/>
              </w:rPr>
              <w:fldChar w:fldCharType="begin"/>
            </w:r>
            <w:r w:rsidR="006A2415">
              <w:rPr>
                <w:noProof/>
                <w:webHidden/>
              </w:rPr>
              <w:instrText xml:space="preserve"> PAGEREF _Toc42549469 \h </w:instrText>
            </w:r>
            <w:r w:rsidR="006A2415">
              <w:rPr>
                <w:noProof/>
                <w:webHidden/>
              </w:rPr>
            </w:r>
            <w:r w:rsidR="006A2415">
              <w:rPr>
                <w:noProof/>
                <w:webHidden/>
              </w:rPr>
              <w:fldChar w:fldCharType="separate"/>
            </w:r>
            <w:r w:rsidR="006A2415">
              <w:rPr>
                <w:noProof/>
                <w:webHidden/>
              </w:rPr>
              <w:t>118</w:t>
            </w:r>
            <w:r w:rsidR="006A2415">
              <w:rPr>
                <w:noProof/>
                <w:webHidden/>
              </w:rPr>
              <w:fldChar w:fldCharType="end"/>
            </w:r>
          </w:hyperlink>
        </w:p>
        <w:p w14:paraId="6B26AA99" w14:textId="0FEE3B02"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70" w:history="1">
            <w:r w:rsidR="006A2415" w:rsidRPr="005B72B1">
              <w:rPr>
                <w:rStyle w:val="Hyperlink"/>
                <w:noProof/>
              </w:rPr>
              <w:t>4.5.2.</w:t>
            </w:r>
            <w:r w:rsidR="006A2415">
              <w:rPr>
                <w:rFonts w:asciiTheme="minorHAnsi" w:eastAsiaTheme="minorEastAsia" w:hAnsiTheme="minorHAnsi" w:cstheme="minorBidi"/>
                <w:noProof/>
              </w:rPr>
              <w:tab/>
            </w:r>
            <w:r w:rsidR="006A2415" w:rsidRPr="005B72B1">
              <w:rPr>
                <w:rStyle w:val="Hyperlink"/>
                <w:noProof/>
              </w:rPr>
              <w:t>Proceso extraordinario de regularización migratoria</w:t>
            </w:r>
            <w:r w:rsidR="006A2415">
              <w:rPr>
                <w:noProof/>
                <w:webHidden/>
              </w:rPr>
              <w:tab/>
            </w:r>
            <w:r w:rsidR="006A2415">
              <w:rPr>
                <w:noProof/>
                <w:webHidden/>
              </w:rPr>
              <w:fldChar w:fldCharType="begin"/>
            </w:r>
            <w:r w:rsidR="006A2415">
              <w:rPr>
                <w:noProof/>
                <w:webHidden/>
              </w:rPr>
              <w:instrText xml:space="preserve"> PAGEREF _Toc42549470 \h </w:instrText>
            </w:r>
            <w:r w:rsidR="006A2415">
              <w:rPr>
                <w:noProof/>
                <w:webHidden/>
              </w:rPr>
            </w:r>
            <w:r w:rsidR="006A2415">
              <w:rPr>
                <w:noProof/>
                <w:webHidden/>
              </w:rPr>
              <w:fldChar w:fldCharType="separate"/>
            </w:r>
            <w:r w:rsidR="006A2415">
              <w:rPr>
                <w:noProof/>
                <w:webHidden/>
              </w:rPr>
              <w:t>119</w:t>
            </w:r>
            <w:r w:rsidR="006A2415">
              <w:rPr>
                <w:noProof/>
                <w:webHidden/>
              </w:rPr>
              <w:fldChar w:fldCharType="end"/>
            </w:r>
          </w:hyperlink>
        </w:p>
        <w:p w14:paraId="456B8EBE" w14:textId="42F7D789"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71" w:history="1">
            <w:r w:rsidR="006A2415" w:rsidRPr="005B72B1">
              <w:rPr>
                <w:rStyle w:val="Hyperlink"/>
                <w:rFonts w:eastAsiaTheme="minorHAnsi" w:cs="Times New Roman"/>
                <w:bCs/>
                <w:noProof/>
              </w:rPr>
              <w:t>4.5.3.</w:t>
            </w:r>
            <w:r w:rsidR="006A2415">
              <w:rPr>
                <w:rFonts w:asciiTheme="minorHAnsi" w:eastAsiaTheme="minorEastAsia" w:hAnsiTheme="minorHAnsi" w:cstheme="minorBidi"/>
                <w:noProof/>
              </w:rPr>
              <w:tab/>
            </w:r>
            <w:r w:rsidR="006A2415" w:rsidRPr="005B72B1">
              <w:rPr>
                <w:rStyle w:val="Hyperlink"/>
                <w:noProof/>
              </w:rPr>
              <w:t>Extranjeros con estatus irregular y faltas a la legislación administrativa y penal</w:t>
            </w:r>
            <w:r w:rsidR="006A2415">
              <w:rPr>
                <w:noProof/>
                <w:webHidden/>
              </w:rPr>
              <w:tab/>
            </w:r>
            <w:r w:rsidR="006A2415">
              <w:rPr>
                <w:noProof/>
                <w:webHidden/>
              </w:rPr>
              <w:fldChar w:fldCharType="begin"/>
            </w:r>
            <w:r w:rsidR="006A2415">
              <w:rPr>
                <w:noProof/>
                <w:webHidden/>
              </w:rPr>
              <w:instrText xml:space="preserve"> PAGEREF _Toc42549471 \h </w:instrText>
            </w:r>
            <w:r w:rsidR="006A2415">
              <w:rPr>
                <w:noProof/>
                <w:webHidden/>
              </w:rPr>
            </w:r>
            <w:r w:rsidR="006A2415">
              <w:rPr>
                <w:noProof/>
                <w:webHidden/>
              </w:rPr>
              <w:fldChar w:fldCharType="separate"/>
            </w:r>
            <w:r w:rsidR="006A2415">
              <w:rPr>
                <w:noProof/>
                <w:webHidden/>
              </w:rPr>
              <w:t>119</w:t>
            </w:r>
            <w:r w:rsidR="006A2415">
              <w:rPr>
                <w:noProof/>
                <w:webHidden/>
              </w:rPr>
              <w:fldChar w:fldCharType="end"/>
            </w:r>
          </w:hyperlink>
        </w:p>
        <w:p w14:paraId="4A4FDCE0" w14:textId="4B97C0DB"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72" w:history="1">
            <w:r w:rsidR="006A2415" w:rsidRPr="005B72B1">
              <w:rPr>
                <w:rStyle w:val="Hyperlink"/>
                <w:rFonts w:eastAsiaTheme="minorHAnsi" w:cs="Times New Roman"/>
                <w:noProof/>
              </w:rPr>
              <w:t>4.5.4.</w:t>
            </w:r>
            <w:r w:rsidR="006A2415">
              <w:rPr>
                <w:rFonts w:asciiTheme="minorHAnsi" w:eastAsiaTheme="minorEastAsia" w:hAnsiTheme="minorHAnsi" w:cstheme="minorBidi"/>
                <w:noProof/>
              </w:rPr>
              <w:tab/>
            </w:r>
            <w:r w:rsidR="006A2415" w:rsidRPr="005B72B1">
              <w:rPr>
                <w:rStyle w:val="Hyperlink"/>
                <w:noProof/>
              </w:rPr>
              <w:t>Niñez migrante con tramites en el Servicio Nacional de Migración</w:t>
            </w:r>
            <w:r w:rsidR="006A2415">
              <w:rPr>
                <w:noProof/>
                <w:webHidden/>
              </w:rPr>
              <w:tab/>
            </w:r>
            <w:r w:rsidR="006A2415">
              <w:rPr>
                <w:noProof/>
                <w:webHidden/>
              </w:rPr>
              <w:fldChar w:fldCharType="begin"/>
            </w:r>
            <w:r w:rsidR="006A2415">
              <w:rPr>
                <w:noProof/>
                <w:webHidden/>
              </w:rPr>
              <w:instrText xml:space="preserve"> PAGEREF _Toc42549472 \h </w:instrText>
            </w:r>
            <w:r w:rsidR="006A2415">
              <w:rPr>
                <w:noProof/>
                <w:webHidden/>
              </w:rPr>
            </w:r>
            <w:r w:rsidR="006A2415">
              <w:rPr>
                <w:noProof/>
                <w:webHidden/>
              </w:rPr>
              <w:fldChar w:fldCharType="separate"/>
            </w:r>
            <w:r w:rsidR="006A2415">
              <w:rPr>
                <w:noProof/>
                <w:webHidden/>
              </w:rPr>
              <w:t>124</w:t>
            </w:r>
            <w:r w:rsidR="006A2415">
              <w:rPr>
                <w:noProof/>
                <w:webHidden/>
              </w:rPr>
              <w:fldChar w:fldCharType="end"/>
            </w:r>
          </w:hyperlink>
        </w:p>
        <w:p w14:paraId="74D94CA5" w14:textId="1F4BBA45"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73" w:history="1">
            <w:r w:rsidR="006A2415" w:rsidRPr="005B72B1">
              <w:rPr>
                <w:rStyle w:val="Hyperlink"/>
                <w:noProof/>
              </w:rPr>
              <w:t>4.5.5.</w:t>
            </w:r>
            <w:r w:rsidR="006A2415">
              <w:rPr>
                <w:rFonts w:asciiTheme="minorHAnsi" w:eastAsiaTheme="minorEastAsia" w:hAnsiTheme="minorHAnsi" w:cstheme="minorBidi"/>
                <w:noProof/>
              </w:rPr>
              <w:tab/>
            </w:r>
            <w:r w:rsidR="006A2415" w:rsidRPr="005B72B1">
              <w:rPr>
                <w:rStyle w:val="Hyperlink"/>
                <w:noProof/>
              </w:rPr>
              <w:t>Población con necesidades de protección internacional</w:t>
            </w:r>
            <w:r w:rsidR="006A2415">
              <w:rPr>
                <w:noProof/>
                <w:webHidden/>
              </w:rPr>
              <w:tab/>
            </w:r>
            <w:r w:rsidR="006A2415">
              <w:rPr>
                <w:noProof/>
                <w:webHidden/>
              </w:rPr>
              <w:fldChar w:fldCharType="begin"/>
            </w:r>
            <w:r w:rsidR="006A2415">
              <w:rPr>
                <w:noProof/>
                <w:webHidden/>
              </w:rPr>
              <w:instrText xml:space="preserve"> PAGEREF _Toc42549473 \h </w:instrText>
            </w:r>
            <w:r w:rsidR="006A2415">
              <w:rPr>
                <w:noProof/>
                <w:webHidden/>
              </w:rPr>
            </w:r>
            <w:r w:rsidR="006A2415">
              <w:rPr>
                <w:noProof/>
                <w:webHidden/>
              </w:rPr>
              <w:fldChar w:fldCharType="separate"/>
            </w:r>
            <w:r w:rsidR="006A2415">
              <w:rPr>
                <w:noProof/>
                <w:webHidden/>
              </w:rPr>
              <w:t>126</w:t>
            </w:r>
            <w:r w:rsidR="006A2415">
              <w:rPr>
                <w:noProof/>
                <w:webHidden/>
              </w:rPr>
              <w:fldChar w:fldCharType="end"/>
            </w:r>
          </w:hyperlink>
        </w:p>
        <w:p w14:paraId="4F5E5CE3" w14:textId="4A8BA835" w:rsidR="006A2415" w:rsidRDefault="00062ABE">
          <w:pPr>
            <w:pStyle w:val="TOC2"/>
            <w:tabs>
              <w:tab w:val="left" w:pos="880"/>
              <w:tab w:val="right" w:leader="dot" w:pos="8828"/>
            </w:tabs>
            <w:rPr>
              <w:rFonts w:asciiTheme="minorHAnsi" w:eastAsiaTheme="minorEastAsia" w:hAnsiTheme="minorHAnsi" w:cstheme="minorBidi"/>
              <w:noProof/>
            </w:rPr>
          </w:pPr>
          <w:hyperlink w:anchor="_Toc42549474" w:history="1">
            <w:r w:rsidR="006A2415" w:rsidRPr="005B72B1">
              <w:rPr>
                <w:rStyle w:val="Hyperlink"/>
                <w:noProof/>
              </w:rPr>
              <w:t>4.6.</w:t>
            </w:r>
            <w:r w:rsidR="006A2415">
              <w:rPr>
                <w:rFonts w:asciiTheme="minorHAnsi" w:eastAsiaTheme="minorEastAsia" w:hAnsiTheme="minorHAnsi" w:cstheme="minorBidi"/>
                <w:noProof/>
              </w:rPr>
              <w:tab/>
            </w:r>
            <w:r w:rsidR="006A2415" w:rsidRPr="005B72B1">
              <w:rPr>
                <w:rStyle w:val="Hyperlink"/>
                <w:noProof/>
              </w:rPr>
              <w:t>Privadas de libertad.</w:t>
            </w:r>
            <w:r w:rsidR="006A2415">
              <w:rPr>
                <w:noProof/>
                <w:webHidden/>
              </w:rPr>
              <w:tab/>
            </w:r>
            <w:r w:rsidR="006A2415">
              <w:rPr>
                <w:noProof/>
                <w:webHidden/>
              </w:rPr>
              <w:fldChar w:fldCharType="begin"/>
            </w:r>
            <w:r w:rsidR="006A2415">
              <w:rPr>
                <w:noProof/>
                <w:webHidden/>
              </w:rPr>
              <w:instrText xml:space="preserve"> PAGEREF _Toc42549474 \h </w:instrText>
            </w:r>
            <w:r w:rsidR="006A2415">
              <w:rPr>
                <w:noProof/>
                <w:webHidden/>
              </w:rPr>
            </w:r>
            <w:r w:rsidR="006A2415">
              <w:rPr>
                <w:noProof/>
                <w:webHidden/>
              </w:rPr>
              <w:fldChar w:fldCharType="separate"/>
            </w:r>
            <w:r w:rsidR="006A2415">
              <w:rPr>
                <w:noProof/>
                <w:webHidden/>
              </w:rPr>
              <w:t>128</w:t>
            </w:r>
            <w:r w:rsidR="006A2415">
              <w:rPr>
                <w:noProof/>
                <w:webHidden/>
              </w:rPr>
              <w:fldChar w:fldCharType="end"/>
            </w:r>
          </w:hyperlink>
        </w:p>
        <w:p w14:paraId="721E4F8C" w14:textId="406931DD"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75" w:history="1">
            <w:r w:rsidR="006A2415" w:rsidRPr="005B72B1">
              <w:rPr>
                <w:rStyle w:val="Hyperlink"/>
                <w:noProof/>
                <w:lang w:val="es-ES_tradnl"/>
              </w:rPr>
              <w:t>4.6.1.</w:t>
            </w:r>
            <w:r w:rsidR="006A2415">
              <w:rPr>
                <w:rFonts w:asciiTheme="minorHAnsi" w:eastAsiaTheme="minorEastAsia" w:hAnsiTheme="minorHAnsi" w:cstheme="minorBidi"/>
                <w:noProof/>
              </w:rPr>
              <w:tab/>
            </w:r>
            <w:r w:rsidR="006A2415" w:rsidRPr="005B72B1">
              <w:rPr>
                <w:rStyle w:val="Hyperlink"/>
                <w:noProof/>
                <w:lang w:val="es-ES_tradnl"/>
              </w:rPr>
              <w:t>Marco normativo</w:t>
            </w:r>
            <w:r w:rsidR="006A2415">
              <w:rPr>
                <w:noProof/>
                <w:webHidden/>
              </w:rPr>
              <w:tab/>
            </w:r>
            <w:r w:rsidR="006A2415">
              <w:rPr>
                <w:noProof/>
                <w:webHidden/>
              </w:rPr>
              <w:fldChar w:fldCharType="begin"/>
            </w:r>
            <w:r w:rsidR="006A2415">
              <w:rPr>
                <w:noProof/>
                <w:webHidden/>
              </w:rPr>
              <w:instrText xml:space="preserve"> PAGEREF _Toc42549475 \h </w:instrText>
            </w:r>
            <w:r w:rsidR="006A2415">
              <w:rPr>
                <w:noProof/>
                <w:webHidden/>
              </w:rPr>
            </w:r>
            <w:r w:rsidR="006A2415">
              <w:rPr>
                <w:noProof/>
                <w:webHidden/>
              </w:rPr>
              <w:fldChar w:fldCharType="separate"/>
            </w:r>
            <w:r w:rsidR="006A2415">
              <w:rPr>
                <w:noProof/>
                <w:webHidden/>
              </w:rPr>
              <w:t>128</w:t>
            </w:r>
            <w:r w:rsidR="006A2415">
              <w:rPr>
                <w:noProof/>
                <w:webHidden/>
              </w:rPr>
              <w:fldChar w:fldCharType="end"/>
            </w:r>
          </w:hyperlink>
        </w:p>
        <w:p w14:paraId="0FDE9AF5" w14:textId="4F0386AD"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76" w:history="1">
            <w:r w:rsidR="006A2415" w:rsidRPr="005B72B1">
              <w:rPr>
                <w:rStyle w:val="Hyperlink"/>
                <w:noProof/>
                <w:lang w:val="es-ES_tradnl"/>
              </w:rPr>
              <w:t>4.6.2.</w:t>
            </w:r>
            <w:r w:rsidR="006A2415">
              <w:rPr>
                <w:rFonts w:asciiTheme="minorHAnsi" w:eastAsiaTheme="minorEastAsia" w:hAnsiTheme="minorHAnsi" w:cstheme="minorBidi"/>
                <w:noProof/>
              </w:rPr>
              <w:tab/>
            </w:r>
            <w:r w:rsidR="006A2415" w:rsidRPr="005B72B1">
              <w:rPr>
                <w:rStyle w:val="Hyperlink"/>
                <w:noProof/>
                <w:lang w:val="es-ES_tradnl"/>
              </w:rPr>
              <w:t>Densidad y distribución de la población penitenciaria.</w:t>
            </w:r>
            <w:r w:rsidR="006A2415">
              <w:rPr>
                <w:noProof/>
                <w:webHidden/>
              </w:rPr>
              <w:tab/>
            </w:r>
            <w:r w:rsidR="006A2415">
              <w:rPr>
                <w:noProof/>
                <w:webHidden/>
              </w:rPr>
              <w:fldChar w:fldCharType="begin"/>
            </w:r>
            <w:r w:rsidR="006A2415">
              <w:rPr>
                <w:noProof/>
                <w:webHidden/>
              </w:rPr>
              <w:instrText xml:space="preserve"> PAGEREF _Toc42549476 \h </w:instrText>
            </w:r>
            <w:r w:rsidR="006A2415">
              <w:rPr>
                <w:noProof/>
                <w:webHidden/>
              </w:rPr>
            </w:r>
            <w:r w:rsidR="006A2415">
              <w:rPr>
                <w:noProof/>
                <w:webHidden/>
              </w:rPr>
              <w:fldChar w:fldCharType="separate"/>
            </w:r>
            <w:r w:rsidR="006A2415">
              <w:rPr>
                <w:noProof/>
                <w:webHidden/>
              </w:rPr>
              <w:t>128</w:t>
            </w:r>
            <w:r w:rsidR="006A2415">
              <w:rPr>
                <w:noProof/>
                <w:webHidden/>
              </w:rPr>
              <w:fldChar w:fldCharType="end"/>
            </w:r>
          </w:hyperlink>
        </w:p>
        <w:p w14:paraId="69EB6E76" w14:textId="27F0D011"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77" w:history="1">
            <w:r w:rsidR="006A2415" w:rsidRPr="005B72B1">
              <w:rPr>
                <w:rStyle w:val="Hyperlink"/>
                <w:noProof/>
              </w:rPr>
              <w:t>4.6.3.</w:t>
            </w:r>
            <w:r w:rsidR="006A2415">
              <w:rPr>
                <w:rFonts w:asciiTheme="minorHAnsi" w:eastAsiaTheme="minorEastAsia" w:hAnsiTheme="minorHAnsi" w:cstheme="minorBidi"/>
                <w:noProof/>
              </w:rPr>
              <w:tab/>
            </w:r>
            <w:r w:rsidR="006A2415" w:rsidRPr="005B72B1">
              <w:rPr>
                <w:rStyle w:val="Hyperlink"/>
                <w:noProof/>
              </w:rPr>
              <w:t>Perfil sociodemográfico de las mujeres privadas de libertad (PL).</w:t>
            </w:r>
            <w:r w:rsidR="006A2415">
              <w:rPr>
                <w:noProof/>
                <w:webHidden/>
              </w:rPr>
              <w:tab/>
            </w:r>
            <w:r w:rsidR="006A2415">
              <w:rPr>
                <w:noProof/>
                <w:webHidden/>
              </w:rPr>
              <w:fldChar w:fldCharType="begin"/>
            </w:r>
            <w:r w:rsidR="006A2415">
              <w:rPr>
                <w:noProof/>
                <w:webHidden/>
              </w:rPr>
              <w:instrText xml:space="preserve"> PAGEREF _Toc42549477 \h </w:instrText>
            </w:r>
            <w:r w:rsidR="006A2415">
              <w:rPr>
                <w:noProof/>
                <w:webHidden/>
              </w:rPr>
            </w:r>
            <w:r w:rsidR="006A2415">
              <w:rPr>
                <w:noProof/>
                <w:webHidden/>
              </w:rPr>
              <w:fldChar w:fldCharType="separate"/>
            </w:r>
            <w:r w:rsidR="006A2415">
              <w:rPr>
                <w:noProof/>
                <w:webHidden/>
              </w:rPr>
              <w:t>130</w:t>
            </w:r>
            <w:r w:rsidR="006A2415">
              <w:rPr>
                <w:noProof/>
                <w:webHidden/>
              </w:rPr>
              <w:fldChar w:fldCharType="end"/>
            </w:r>
          </w:hyperlink>
        </w:p>
        <w:p w14:paraId="07F98D52" w14:textId="417F9E56"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78" w:history="1">
            <w:r w:rsidR="006A2415" w:rsidRPr="005B72B1">
              <w:rPr>
                <w:rStyle w:val="Hyperlink"/>
                <w:noProof/>
                <w:lang w:val="es-ES_tradnl"/>
              </w:rPr>
              <w:t>4.6.4.</w:t>
            </w:r>
            <w:r w:rsidR="006A2415">
              <w:rPr>
                <w:rFonts w:asciiTheme="minorHAnsi" w:eastAsiaTheme="minorEastAsia" w:hAnsiTheme="minorHAnsi" w:cstheme="minorBidi"/>
                <w:noProof/>
              </w:rPr>
              <w:tab/>
            </w:r>
            <w:r w:rsidR="006A2415" w:rsidRPr="005B72B1">
              <w:rPr>
                <w:rStyle w:val="Hyperlink"/>
                <w:noProof/>
                <w:lang w:val="es-ES_tradnl"/>
              </w:rPr>
              <w:t>Causas delictivas y su feminización.</w:t>
            </w:r>
            <w:r w:rsidR="006A2415">
              <w:rPr>
                <w:noProof/>
                <w:webHidden/>
              </w:rPr>
              <w:tab/>
            </w:r>
            <w:r w:rsidR="006A2415">
              <w:rPr>
                <w:noProof/>
                <w:webHidden/>
              </w:rPr>
              <w:fldChar w:fldCharType="begin"/>
            </w:r>
            <w:r w:rsidR="006A2415">
              <w:rPr>
                <w:noProof/>
                <w:webHidden/>
              </w:rPr>
              <w:instrText xml:space="preserve"> PAGEREF _Toc42549478 \h </w:instrText>
            </w:r>
            <w:r w:rsidR="006A2415">
              <w:rPr>
                <w:noProof/>
                <w:webHidden/>
              </w:rPr>
            </w:r>
            <w:r w:rsidR="006A2415">
              <w:rPr>
                <w:noProof/>
                <w:webHidden/>
              </w:rPr>
              <w:fldChar w:fldCharType="separate"/>
            </w:r>
            <w:r w:rsidR="006A2415">
              <w:rPr>
                <w:noProof/>
                <w:webHidden/>
              </w:rPr>
              <w:t>133</w:t>
            </w:r>
            <w:r w:rsidR="006A2415">
              <w:rPr>
                <w:noProof/>
                <w:webHidden/>
              </w:rPr>
              <w:fldChar w:fldCharType="end"/>
            </w:r>
          </w:hyperlink>
        </w:p>
        <w:p w14:paraId="0BAF3E36" w14:textId="77C52C57"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79" w:history="1">
            <w:r w:rsidR="006A2415" w:rsidRPr="005B72B1">
              <w:rPr>
                <w:rStyle w:val="Hyperlink"/>
                <w:noProof/>
              </w:rPr>
              <w:t>4.6.5.</w:t>
            </w:r>
            <w:r w:rsidR="006A2415">
              <w:rPr>
                <w:rFonts w:asciiTheme="minorHAnsi" w:eastAsiaTheme="minorEastAsia" w:hAnsiTheme="minorHAnsi" w:cstheme="minorBidi"/>
                <w:noProof/>
              </w:rPr>
              <w:tab/>
            </w:r>
            <w:r w:rsidR="006A2415" w:rsidRPr="005B72B1">
              <w:rPr>
                <w:rStyle w:val="Hyperlink"/>
                <w:noProof/>
              </w:rPr>
              <w:t>Condiciones de hacinamiento y violencia de las mujeres privadas de libertad</w:t>
            </w:r>
            <w:r w:rsidR="006A2415">
              <w:rPr>
                <w:noProof/>
                <w:webHidden/>
              </w:rPr>
              <w:tab/>
            </w:r>
            <w:r w:rsidR="006A2415">
              <w:rPr>
                <w:noProof/>
                <w:webHidden/>
              </w:rPr>
              <w:fldChar w:fldCharType="begin"/>
            </w:r>
            <w:r w:rsidR="006A2415">
              <w:rPr>
                <w:noProof/>
                <w:webHidden/>
              </w:rPr>
              <w:instrText xml:space="preserve"> PAGEREF _Toc42549479 \h </w:instrText>
            </w:r>
            <w:r w:rsidR="006A2415">
              <w:rPr>
                <w:noProof/>
                <w:webHidden/>
              </w:rPr>
            </w:r>
            <w:r w:rsidR="006A2415">
              <w:rPr>
                <w:noProof/>
                <w:webHidden/>
              </w:rPr>
              <w:fldChar w:fldCharType="separate"/>
            </w:r>
            <w:r w:rsidR="006A2415">
              <w:rPr>
                <w:noProof/>
                <w:webHidden/>
              </w:rPr>
              <w:t>134</w:t>
            </w:r>
            <w:r w:rsidR="006A2415">
              <w:rPr>
                <w:noProof/>
                <w:webHidden/>
              </w:rPr>
              <w:fldChar w:fldCharType="end"/>
            </w:r>
          </w:hyperlink>
        </w:p>
        <w:p w14:paraId="5CF252AA" w14:textId="641269B6"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80" w:history="1">
            <w:r w:rsidR="006A2415" w:rsidRPr="005B72B1">
              <w:rPr>
                <w:rStyle w:val="Hyperlink"/>
                <w:noProof/>
              </w:rPr>
              <w:t>4.6.6.</w:t>
            </w:r>
            <w:r w:rsidR="006A2415">
              <w:rPr>
                <w:rFonts w:asciiTheme="minorHAnsi" w:eastAsiaTheme="minorEastAsia" w:hAnsiTheme="minorHAnsi" w:cstheme="minorBidi"/>
                <w:noProof/>
              </w:rPr>
              <w:tab/>
            </w:r>
            <w:r w:rsidR="006A2415" w:rsidRPr="005B72B1">
              <w:rPr>
                <w:rStyle w:val="Hyperlink"/>
                <w:noProof/>
              </w:rPr>
              <w:t>Rehabilitación y reinserción social.</w:t>
            </w:r>
            <w:r w:rsidR="006A2415">
              <w:rPr>
                <w:noProof/>
                <w:webHidden/>
              </w:rPr>
              <w:tab/>
            </w:r>
            <w:r w:rsidR="006A2415">
              <w:rPr>
                <w:noProof/>
                <w:webHidden/>
              </w:rPr>
              <w:fldChar w:fldCharType="begin"/>
            </w:r>
            <w:r w:rsidR="006A2415">
              <w:rPr>
                <w:noProof/>
                <w:webHidden/>
              </w:rPr>
              <w:instrText xml:space="preserve"> PAGEREF _Toc42549480 \h </w:instrText>
            </w:r>
            <w:r w:rsidR="006A2415">
              <w:rPr>
                <w:noProof/>
                <w:webHidden/>
              </w:rPr>
            </w:r>
            <w:r w:rsidR="006A2415">
              <w:rPr>
                <w:noProof/>
                <w:webHidden/>
              </w:rPr>
              <w:fldChar w:fldCharType="separate"/>
            </w:r>
            <w:r w:rsidR="006A2415">
              <w:rPr>
                <w:noProof/>
                <w:webHidden/>
              </w:rPr>
              <w:t>136</w:t>
            </w:r>
            <w:r w:rsidR="006A2415">
              <w:rPr>
                <w:noProof/>
                <w:webHidden/>
              </w:rPr>
              <w:fldChar w:fldCharType="end"/>
            </w:r>
          </w:hyperlink>
        </w:p>
        <w:p w14:paraId="575A34AC" w14:textId="204B343C"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81" w:history="1">
            <w:r w:rsidR="006A2415" w:rsidRPr="005B72B1">
              <w:rPr>
                <w:rStyle w:val="Hyperlink"/>
                <w:noProof/>
                <w:lang w:val="es-ES_tradnl"/>
              </w:rPr>
              <w:t>4.6.7.</w:t>
            </w:r>
            <w:r w:rsidR="006A2415">
              <w:rPr>
                <w:rFonts w:asciiTheme="minorHAnsi" w:eastAsiaTheme="minorEastAsia" w:hAnsiTheme="minorHAnsi" w:cstheme="minorBidi"/>
                <w:noProof/>
              </w:rPr>
              <w:tab/>
            </w:r>
            <w:r w:rsidR="006A2415" w:rsidRPr="005B72B1">
              <w:rPr>
                <w:rStyle w:val="Hyperlink"/>
                <w:noProof/>
                <w:lang w:val="es-ES_tradnl"/>
              </w:rPr>
              <w:t>Población adolescente con medidas de cumplimiento o custodia.</w:t>
            </w:r>
            <w:r w:rsidR="006A2415">
              <w:rPr>
                <w:noProof/>
                <w:webHidden/>
              </w:rPr>
              <w:tab/>
            </w:r>
            <w:r w:rsidR="006A2415">
              <w:rPr>
                <w:noProof/>
                <w:webHidden/>
              </w:rPr>
              <w:fldChar w:fldCharType="begin"/>
            </w:r>
            <w:r w:rsidR="006A2415">
              <w:rPr>
                <w:noProof/>
                <w:webHidden/>
              </w:rPr>
              <w:instrText xml:space="preserve"> PAGEREF _Toc42549481 \h </w:instrText>
            </w:r>
            <w:r w:rsidR="006A2415">
              <w:rPr>
                <w:noProof/>
                <w:webHidden/>
              </w:rPr>
            </w:r>
            <w:r w:rsidR="006A2415">
              <w:rPr>
                <w:noProof/>
                <w:webHidden/>
              </w:rPr>
              <w:fldChar w:fldCharType="separate"/>
            </w:r>
            <w:r w:rsidR="006A2415">
              <w:rPr>
                <w:noProof/>
                <w:webHidden/>
              </w:rPr>
              <w:t>138</w:t>
            </w:r>
            <w:r w:rsidR="006A2415">
              <w:rPr>
                <w:noProof/>
                <w:webHidden/>
              </w:rPr>
              <w:fldChar w:fldCharType="end"/>
            </w:r>
          </w:hyperlink>
        </w:p>
        <w:p w14:paraId="3AA3A06C" w14:textId="2444B9A3"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82" w:history="1">
            <w:r w:rsidR="006A2415" w:rsidRPr="005B72B1">
              <w:rPr>
                <w:rStyle w:val="Hyperlink"/>
                <w:noProof/>
                <w:lang w:val="es-ES_tradnl"/>
              </w:rPr>
              <w:t>4.6.8.</w:t>
            </w:r>
            <w:r w:rsidR="006A2415">
              <w:rPr>
                <w:rFonts w:asciiTheme="minorHAnsi" w:eastAsiaTheme="minorEastAsia" w:hAnsiTheme="minorHAnsi" w:cstheme="minorBidi"/>
                <w:noProof/>
              </w:rPr>
              <w:tab/>
            </w:r>
            <w:r w:rsidR="006A2415" w:rsidRPr="005B72B1">
              <w:rPr>
                <w:rStyle w:val="Hyperlink"/>
                <w:noProof/>
                <w:lang w:val="es-ES_tradnl"/>
              </w:rPr>
              <w:t>Identificación étnica de las adolescentes privadas de libertad</w:t>
            </w:r>
            <w:r w:rsidR="006A2415">
              <w:rPr>
                <w:noProof/>
                <w:webHidden/>
              </w:rPr>
              <w:tab/>
            </w:r>
            <w:r w:rsidR="006A2415">
              <w:rPr>
                <w:noProof/>
                <w:webHidden/>
              </w:rPr>
              <w:fldChar w:fldCharType="begin"/>
            </w:r>
            <w:r w:rsidR="006A2415">
              <w:rPr>
                <w:noProof/>
                <w:webHidden/>
              </w:rPr>
              <w:instrText xml:space="preserve"> PAGEREF _Toc42549482 \h </w:instrText>
            </w:r>
            <w:r w:rsidR="006A2415">
              <w:rPr>
                <w:noProof/>
                <w:webHidden/>
              </w:rPr>
            </w:r>
            <w:r w:rsidR="006A2415">
              <w:rPr>
                <w:noProof/>
                <w:webHidden/>
              </w:rPr>
              <w:fldChar w:fldCharType="separate"/>
            </w:r>
            <w:r w:rsidR="006A2415">
              <w:rPr>
                <w:noProof/>
                <w:webHidden/>
              </w:rPr>
              <w:t>140</w:t>
            </w:r>
            <w:r w:rsidR="006A2415">
              <w:rPr>
                <w:noProof/>
                <w:webHidden/>
              </w:rPr>
              <w:fldChar w:fldCharType="end"/>
            </w:r>
          </w:hyperlink>
        </w:p>
        <w:p w14:paraId="324E2554" w14:textId="22EE951D"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83" w:history="1">
            <w:r w:rsidR="006A2415" w:rsidRPr="005B72B1">
              <w:rPr>
                <w:rStyle w:val="Hyperlink"/>
                <w:noProof/>
              </w:rPr>
              <w:t>4.6.9.</w:t>
            </w:r>
            <w:r w:rsidR="006A2415">
              <w:rPr>
                <w:rFonts w:asciiTheme="minorHAnsi" w:eastAsiaTheme="minorEastAsia" w:hAnsiTheme="minorHAnsi" w:cstheme="minorBidi"/>
                <w:noProof/>
              </w:rPr>
              <w:tab/>
            </w:r>
            <w:r w:rsidR="006A2415" w:rsidRPr="005B72B1">
              <w:rPr>
                <w:rStyle w:val="Hyperlink"/>
                <w:noProof/>
              </w:rPr>
              <w:t>Problemática y derechos de las mujeres privadas de libertad</w:t>
            </w:r>
            <w:r w:rsidR="006A2415">
              <w:rPr>
                <w:noProof/>
                <w:webHidden/>
              </w:rPr>
              <w:tab/>
            </w:r>
            <w:r w:rsidR="006A2415">
              <w:rPr>
                <w:noProof/>
                <w:webHidden/>
              </w:rPr>
              <w:fldChar w:fldCharType="begin"/>
            </w:r>
            <w:r w:rsidR="006A2415">
              <w:rPr>
                <w:noProof/>
                <w:webHidden/>
              </w:rPr>
              <w:instrText xml:space="preserve"> PAGEREF _Toc42549483 \h </w:instrText>
            </w:r>
            <w:r w:rsidR="006A2415">
              <w:rPr>
                <w:noProof/>
                <w:webHidden/>
              </w:rPr>
            </w:r>
            <w:r w:rsidR="006A2415">
              <w:rPr>
                <w:noProof/>
                <w:webHidden/>
              </w:rPr>
              <w:fldChar w:fldCharType="separate"/>
            </w:r>
            <w:r w:rsidR="006A2415">
              <w:rPr>
                <w:noProof/>
                <w:webHidden/>
              </w:rPr>
              <w:t>141</w:t>
            </w:r>
            <w:r w:rsidR="006A2415">
              <w:rPr>
                <w:noProof/>
                <w:webHidden/>
              </w:rPr>
              <w:fldChar w:fldCharType="end"/>
            </w:r>
          </w:hyperlink>
        </w:p>
        <w:p w14:paraId="7AFAD60A" w14:textId="64A7C582" w:rsidR="006A2415" w:rsidRDefault="00062ABE">
          <w:pPr>
            <w:pStyle w:val="TOC2"/>
            <w:tabs>
              <w:tab w:val="right" w:leader="dot" w:pos="8828"/>
            </w:tabs>
            <w:rPr>
              <w:rFonts w:asciiTheme="minorHAnsi" w:eastAsiaTheme="minorEastAsia" w:hAnsiTheme="minorHAnsi" w:cstheme="minorBidi"/>
              <w:noProof/>
            </w:rPr>
          </w:pPr>
          <w:hyperlink w:anchor="_Toc42549484" w:history="1">
            <w:r w:rsidR="006A2415" w:rsidRPr="005B72B1">
              <w:rPr>
                <w:rStyle w:val="Hyperlink"/>
                <w:noProof/>
                <w:lang w:val="es-ES_tradnl"/>
              </w:rPr>
              <w:t xml:space="preserve">4.7 </w:t>
            </w:r>
            <w:r w:rsidR="006A2415" w:rsidRPr="005B72B1">
              <w:rPr>
                <w:rStyle w:val="Hyperlink"/>
                <w:noProof/>
              </w:rPr>
              <w:t>Género y población adulta mayor</w:t>
            </w:r>
            <w:r w:rsidR="006A2415">
              <w:rPr>
                <w:noProof/>
                <w:webHidden/>
              </w:rPr>
              <w:tab/>
            </w:r>
            <w:r w:rsidR="006A2415">
              <w:rPr>
                <w:noProof/>
                <w:webHidden/>
              </w:rPr>
              <w:fldChar w:fldCharType="begin"/>
            </w:r>
            <w:r w:rsidR="006A2415">
              <w:rPr>
                <w:noProof/>
                <w:webHidden/>
              </w:rPr>
              <w:instrText xml:space="preserve"> PAGEREF _Toc42549484 \h </w:instrText>
            </w:r>
            <w:r w:rsidR="006A2415">
              <w:rPr>
                <w:noProof/>
                <w:webHidden/>
              </w:rPr>
            </w:r>
            <w:r w:rsidR="006A2415">
              <w:rPr>
                <w:noProof/>
                <w:webHidden/>
              </w:rPr>
              <w:fldChar w:fldCharType="separate"/>
            </w:r>
            <w:r w:rsidR="006A2415">
              <w:rPr>
                <w:noProof/>
                <w:webHidden/>
              </w:rPr>
              <w:t>144</w:t>
            </w:r>
            <w:r w:rsidR="006A2415">
              <w:rPr>
                <w:noProof/>
                <w:webHidden/>
              </w:rPr>
              <w:fldChar w:fldCharType="end"/>
            </w:r>
          </w:hyperlink>
        </w:p>
        <w:p w14:paraId="03F22543" w14:textId="6138FB8D" w:rsidR="006A2415" w:rsidRDefault="00062ABE">
          <w:pPr>
            <w:pStyle w:val="TOC2"/>
            <w:tabs>
              <w:tab w:val="left" w:pos="880"/>
              <w:tab w:val="right" w:leader="dot" w:pos="8828"/>
            </w:tabs>
            <w:rPr>
              <w:rFonts w:asciiTheme="minorHAnsi" w:eastAsiaTheme="minorEastAsia" w:hAnsiTheme="minorHAnsi" w:cstheme="minorBidi"/>
              <w:noProof/>
            </w:rPr>
          </w:pPr>
          <w:hyperlink w:anchor="_Toc42549485" w:history="1">
            <w:r w:rsidR="006A2415" w:rsidRPr="005B72B1">
              <w:rPr>
                <w:rStyle w:val="Hyperlink"/>
                <w:noProof/>
              </w:rPr>
              <w:t>4.8.</w:t>
            </w:r>
            <w:r w:rsidR="006A2415">
              <w:rPr>
                <w:rFonts w:asciiTheme="minorHAnsi" w:eastAsiaTheme="minorEastAsia" w:hAnsiTheme="minorHAnsi" w:cstheme="minorBidi"/>
                <w:noProof/>
              </w:rPr>
              <w:tab/>
            </w:r>
            <w:r w:rsidR="006A2415" w:rsidRPr="005B72B1">
              <w:rPr>
                <w:rStyle w:val="Hyperlink"/>
                <w:noProof/>
              </w:rPr>
              <w:t>Discapacidad y género</w:t>
            </w:r>
            <w:r w:rsidR="006A2415">
              <w:rPr>
                <w:noProof/>
                <w:webHidden/>
              </w:rPr>
              <w:tab/>
            </w:r>
            <w:r w:rsidR="006A2415">
              <w:rPr>
                <w:noProof/>
                <w:webHidden/>
              </w:rPr>
              <w:fldChar w:fldCharType="begin"/>
            </w:r>
            <w:r w:rsidR="006A2415">
              <w:rPr>
                <w:noProof/>
                <w:webHidden/>
              </w:rPr>
              <w:instrText xml:space="preserve"> PAGEREF _Toc42549485 \h </w:instrText>
            </w:r>
            <w:r w:rsidR="006A2415">
              <w:rPr>
                <w:noProof/>
                <w:webHidden/>
              </w:rPr>
            </w:r>
            <w:r w:rsidR="006A2415">
              <w:rPr>
                <w:noProof/>
                <w:webHidden/>
              </w:rPr>
              <w:fldChar w:fldCharType="separate"/>
            </w:r>
            <w:r w:rsidR="006A2415">
              <w:rPr>
                <w:noProof/>
                <w:webHidden/>
              </w:rPr>
              <w:t>145</w:t>
            </w:r>
            <w:r w:rsidR="006A2415">
              <w:rPr>
                <w:noProof/>
                <w:webHidden/>
              </w:rPr>
              <w:fldChar w:fldCharType="end"/>
            </w:r>
          </w:hyperlink>
        </w:p>
        <w:p w14:paraId="7B8C36E8" w14:textId="766E52A8"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86" w:history="1">
            <w:r w:rsidR="006A2415" w:rsidRPr="005B72B1">
              <w:rPr>
                <w:rStyle w:val="Hyperlink"/>
                <w:noProof/>
              </w:rPr>
              <w:t>4.8.1.</w:t>
            </w:r>
            <w:r w:rsidR="006A2415">
              <w:rPr>
                <w:rFonts w:asciiTheme="minorHAnsi" w:eastAsiaTheme="minorEastAsia" w:hAnsiTheme="minorHAnsi" w:cstheme="minorBidi"/>
                <w:noProof/>
              </w:rPr>
              <w:tab/>
            </w:r>
            <w:r w:rsidR="006A2415" w:rsidRPr="005B72B1">
              <w:rPr>
                <w:rStyle w:val="Hyperlink"/>
                <w:noProof/>
              </w:rPr>
              <w:t>Concepto de discapacidad</w:t>
            </w:r>
            <w:r w:rsidR="006A2415">
              <w:rPr>
                <w:noProof/>
                <w:webHidden/>
              </w:rPr>
              <w:tab/>
            </w:r>
            <w:r w:rsidR="006A2415">
              <w:rPr>
                <w:noProof/>
                <w:webHidden/>
              </w:rPr>
              <w:fldChar w:fldCharType="begin"/>
            </w:r>
            <w:r w:rsidR="006A2415">
              <w:rPr>
                <w:noProof/>
                <w:webHidden/>
              </w:rPr>
              <w:instrText xml:space="preserve"> PAGEREF _Toc42549486 \h </w:instrText>
            </w:r>
            <w:r w:rsidR="006A2415">
              <w:rPr>
                <w:noProof/>
                <w:webHidden/>
              </w:rPr>
            </w:r>
            <w:r w:rsidR="006A2415">
              <w:rPr>
                <w:noProof/>
                <w:webHidden/>
              </w:rPr>
              <w:fldChar w:fldCharType="separate"/>
            </w:r>
            <w:r w:rsidR="006A2415">
              <w:rPr>
                <w:noProof/>
                <w:webHidden/>
              </w:rPr>
              <w:t>145</w:t>
            </w:r>
            <w:r w:rsidR="006A2415">
              <w:rPr>
                <w:noProof/>
                <w:webHidden/>
              </w:rPr>
              <w:fldChar w:fldCharType="end"/>
            </w:r>
          </w:hyperlink>
        </w:p>
        <w:p w14:paraId="4D234BA1" w14:textId="7078B279"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87" w:history="1">
            <w:r w:rsidR="006A2415" w:rsidRPr="005B72B1">
              <w:rPr>
                <w:rStyle w:val="Hyperlink"/>
                <w:noProof/>
              </w:rPr>
              <w:t>4.8.2.</w:t>
            </w:r>
            <w:r w:rsidR="006A2415">
              <w:rPr>
                <w:rFonts w:asciiTheme="minorHAnsi" w:eastAsiaTheme="minorEastAsia" w:hAnsiTheme="minorHAnsi" w:cstheme="minorBidi"/>
                <w:noProof/>
              </w:rPr>
              <w:tab/>
            </w:r>
            <w:r w:rsidR="006A2415" w:rsidRPr="005B72B1">
              <w:rPr>
                <w:rStyle w:val="Hyperlink"/>
                <w:noProof/>
              </w:rPr>
              <w:t>Antecedentes</w:t>
            </w:r>
            <w:r w:rsidR="006A2415">
              <w:rPr>
                <w:noProof/>
                <w:webHidden/>
              </w:rPr>
              <w:tab/>
            </w:r>
            <w:r w:rsidR="006A2415">
              <w:rPr>
                <w:noProof/>
                <w:webHidden/>
              </w:rPr>
              <w:fldChar w:fldCharType="begin"/>
            </w:r>
            <w:r w:rsidR="006A2415">
              <w:rPr>
                <w:noProof/>
                <w:webHidden/>
              </w:rPr>
              <w:instrText xml:space="preserve"> PAGEREF _Toc42549487 \h </w:instrText>
            </w:r>
            <w:r w:rsidR="006A2415">
              <w:rPr>
                <w:noProof/>
                <w:webHidden/>
              </w:rPr>
            </w:r>
            <w:r w:rsidR="006A2415">
              <w:rPr>
                <w:noProof/>
                <w:webHidden/>
              </w:rPr>
              <w:fldChar w:fldCharType="separate"/>
            </w:r>
            <w:r w:rsidR="006A2415">
              <w:rPr>
                <w:noProof/>
                <w:webHidden/>
              </w:rPr>
              <w:t>146</w:t>
            </w:r>
            <w:r w:rsidR="006A2415">
              <w:rPr>
                <w:noProof/>
                <w:webHidden/>
              </w:rPr>
              <w:fldChar w:fldCharType="end"/>
            </w:r>
          </w:hyperlink>
        </w:p>
        <w:p w14:paraId="5E194850" w14:textId="0814E2D1"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88" w:history="1">
            <w:r w:rsidR="006A2415" w:rsidRPr="005B72B1">
              <w:rPr>
                <w:rStyle w:val="Hyperlink"/>
                <w:noProof/>
              </w:rPr>
              <w:t>4.8.3.</w:t>
            </w:r>
            <w:r w:rsidR="006A2415">
              <w:rPr>
                <w:rFonts w:asciiTheme="minorHAnsi" w:eastAsiaTheme="minorEastAsia" w:hAnsiTheme="minorHAnsi" w:cstheme="minorBidi"/>
                <w:noProof/>
              </w:rPr>
              <w:tab/>
            </w:r>
            <w:r w:rsidR="006A2415" w:rsidRPr="005B72B1">
              <w:rPr>
                <w:rStyle w:val="Hyperlink"/>
                <w:noProof/>
              </w:rPr>
              <w:t>Reconociendo a las personas con discapacidad</w:t>
            </w:r>
            <w:r w:rsidR="006A2415">
              <w:rPr>
                <w:noProof/>
                <w:webHidden/>
              </w:rPr>
              <w:tab/>
            </w:r>
            <w:r w:rsidR="006A2415">
              <w:rPr>
                <w:noProof/>
                <w:webHidden/>
              </w:rPr>
              <w:fldChar w:fldCharType="begin"/>
            </w:r>
            <w:r w:rsidR="006A2415">
              <w:rPr>
                <w:noProof/>
                <w:webHidden/>
              </w:rPr>
              <w:instrText xml:space="preserve"> PAGEREF _Toc42549488 \h </w:instrText>
            </w:r>
            <w:r w:rsidR="006A2415">
              <w:rPr>
                <w:noProof/>
                <w:webHidden/>
              </w:rPr>
            </w:r>
            <w:r w:rsidR="006A2415">
              <w:rPr>
                <w:noProof/>
                <w:webHidden/>
              </w:rPr>
              <w:fldChar w:fldCharType="separate"/>
            </w:r>
            <w:r w:rsidR="006A2415">
              <w:rPr>
                <w:noProof/>
                <w:webHidden/>
              </w:rPr>
              <w:t>148</w:t>
            </w:r>
            <w:r w:rsidR="006A2415">
              <w:rPr>
                <w:noProof/>
                <w:webHidden/>
              </w:rPr>
              <w:fldChar w:fldCharType="end"/>
            </w:r>
          </w:hyperlink>
        </w:p>
        <w:p w14:paraId="0AF80353" w14:textId="7CE19064"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89" w:history="1">
            <w:r w:rsidR="006A2415" w:rsidRPr="005B72B1">
              <w:rPr>
                <w:rStyle w:val="Hyperlink"/>
                <w:noProof/>
              </w:rPr>
              <w:t>4.8.4.</w:t>
            </w:r>
            <w:r w:rsidR="006A2415">
              <w:rPr>
                <w:rFonts w:asciiTheme="minorHAnsi" w:eastAsiaTheme="minorEastAsia" w:hAnsiTheme="minorHAnsi" w:cstheme="minorBidi"/>
                <w:noProof/>
              </w:rPr>
              <w:tab/>
            </w:r>
            <w:r w:rsidR="006A2415" w:rsidRPr="005B72B1">
              <w:rPr>
                <w:rStyle w:val="Hyperlink"/>
                <w:noProof/>
              </w:rPr>
              <w:t>Actividad económica y discapacidad</w:t>
            </w:r>
            <w:r w:rsidR="006A2415">
              <w:rPr>
                <w:noProof/>
                <w:webHidden/>
              </w:rPr>
              <w:tab/>
            </w:r>
            <w:r w:rsidR="006A2415">
              <w:rPr>
                <w:noProof/>
                <w:webHidden/>
              </w:rPr>
              <w:fldChar w:fldCharType="begin"/>
            </w:r>
            <w:r w:rsidR="006A2415">
              <w:rPr>
                <w:noProof/>
                <w:webHidden/>
              </w:rPr>
              <w:instrText xml:space="preserve"> PAGEREF _Toc42549489 \h </w:instrText>
            </w:r>
            <w:r w:rsidR="006A2415">
              <w:rPr>
                <w:noProof/>
                <w:webHidden/>
              </w:rPr>
            </w:r>
            <w:r w:rsidR="006A2415">
              <w:rPr>
                <w:noProof/>
                <w:webHidden/>
              </w:rPr>
              <w:fldChar w:fldCharType="separate"/>
            </w:r>
            <w:r w:rsidR="006A2415">
              <w:rPr>
                <w:noProof/>
                <w:webHidden/>
              </w:rPr>
              <w:t>150</w:t>
            </w:r>
            <w:r w:rsidR="006A2415">
              <w:rPr>
                <w:noProof/>
                <w:webHidden/>
              </w:rPr>
              <w:fldChar w:fldCharType="end"/>
            </w:r>
          </w:hyperlink>
        </w:p>
        <w:p w14:paraId="67A44DF5" w14:textId="14A62A90"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90" w:history="1">
            <w:r w:rsidR="006A2415" w:rsidRPr="005B72B1">
              <w:rPr>
                <w:rStyle w:val="Hyperlink"/>
                <w:noProof/>
                <w:lang w:val="es-US"/>
              </w:rPr>
              <w:t>4.8.5.</w:t>
            </w:r>
            <w:r w:rsidR="006A2415">
              <w:rPr>
                <w:rFonts w:asciiTheme="minorHAnsi" w:eastAsiaTheme="minorEastAsia" w:hAnsiTheme="minorHAnsi" w:cstheme="minorBidi"/>
                <w:noProof/>
              </w:rPr>
              <w:tab/>
            </w:r>
            <w:r w:rsidR="006A2415" w:rsidRPr="005B72B1">
              <w:rPr>
                <w:rStyle w:val="Hyperlink"/>
                <w:noProof/>
              </w:rPr>
              <w:t>Población infantil y adolescentes con discapacidad</w:t>
            </w:r>
            <w:r w:rsidR="006A2415">
              <w:rPr>
                <w:noProof/>
                <w:webHidden/>
              </w:rPr>
              <w:tab/>
            </w:r>
            <w:r w:rsidR="006A2415">
              <w:rPr>
                <w:noProof/>
                <w:webHidden/>
              </w:rPr>
              <w:fldChar w:fldCharType="begin"/>
            </w:r>
            <w:r w:rsidR="006A2415">
              <w:rPr>
                <w:noProof/>
                <w:webHidden/>
              </w:rPr>
              <w:instrText xml:space="preserve"> PAGEREF _Toc42549490 \h </w:instrText>
            </w:r>
            <w:r w:rsidR="006A2415">
              <w:rPr>
                <w:noProof/>
                <w:webHidden/>
              </w:rPr>
            </w:r>
            <w:r w:rsidR="006A2415">
              <w:rPr>
                <w:noProof/>
                <w:webHidden/>
              </w:rPr>
              <w:fldChar w:fldCharType="separate"/>
            </w:r>
            <w:r w:rsidR="006A2415">
              <w:rPr>
                <w:noProof/>
                <w:webHidden/>
              </w:rPr>
              <w:t>152</w:t>
            </w:r>
            <w:r w:rsidR="006A2415">
              <w:rPr>
                <w:noProof/>
                <w:webHidden/>
              </w:rPr>
              <w:fldChar w:fldCharType="end"/>
            </w:r>
          </w:hyperlink>
        </w:p>
        <w:p w14:paraId="254FA2CC" w14:textId="6EF414FB"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91" w:history="1">
            <w:r w:rsidR="006A2415" w:rsidRPr="005B72B1">
              <w:rPr>
                <w:rStyle w:val="Hyperlink"/>
                <w:noProof/>
              </w:rPr>
              <w:t>4.8.6.</w:t>
            </w:r>
            <w:r w:rsidR="006A2415">
              <w:rPr>
                <w:rFonts w:asciiTheme="minorHAnsi" w:eastAsiaTheme="minorEastAsia" w:hAnsiTheme="minorHAnsi" w:cstheme="minorBidi"/>
                <w:noProof/>
              </w:rPr>
              <w:tab/>
            </w:r>
            <w:r w:rsidR="006A2415" w:rsidRPr="005B72B1">
              <w:rPr>
                <w:rStyle w:val="Hyperlink"/>
                <w:noProof/>
              </w:rPr>
              <w:t>Mujeres afrodescendientes y discapacidad</w:t>
            </w:r>
            <w:r w:rsidR="006A2415">
              <w:rPr>
                <w:noProof/>
                <w:webHidden/>
              </w:rPr>
              <w:tab/>
            </w:r>
            <w:r w:rsidR="006A2415">
              <w:rPr>
                <w:noProof/>
                <w:webHidden/>
              </w:rPr>
              <w:fldChar w:fldCharType="begin"/>
            </w:r>
            <w:r w:rsidR="006A2415">
              <w:rPr>
                <w:noProof/>
                <w:webHidden/>
              </w:rPr>
              <w:instrText xml:space="preserve"> PAGEREF _Toc42549491 \h </w:instrText>
            </w:r>
            <w:r w:rsidR="006A2415">
              <w:rPr>
                <w:noProof/>
                <w:webHidden/>
              </w:rPr>
            </w:r>
            <w:r w:rsidR="006A2415">
              <w:rPr>
                <w:noProof/>
                <w:webHidden/>
              </w:rPr>
              <w:fldChar w:fldCharType="separate"/>
            </w:r>
            <w:r w:rsidR="006A2415">
              <w:rPr>
                <w:noProof/>
                <w:webHidden/>
              </w:rPr>
              <w:t>152</w:t>
            </w:r>
            <w:r w:rsidR="006A2415">
              <w:rPr>
                <w:noProof/>
                <w:webHidden/>
              </w:rPr>
              <w:fldChar w:fldCharType="end"/>
            </w:r>
          </w:hyperlink>
        </w:p>
        <w:p w14:paraId="7B252A12" w14:textId="5620B002"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92" w:history="1">
            <w:r w:rsidR="006A2415" w:rsidRPr="005B72B1">
              <w:rPr>
                <w:rStyle w:val="Hyperlink"/>
                <w:noProof/>
              </w:rPr>
              <w:t>4.8.7.</w:t>
            </w:r>
            <w:r w:rsidR="006A2415">
              <w:rPr>
                <w:rFonts w:asciiTheme="minorHAnsi" w:eastAsiaTheme="minorEastAsia" w:hAnsiTheme="minorHAnsi" w:cstheme="minorBidi"/>
                <w:noProof/>
              </w:rPr>
              <w:tab/>
            </w:r>
            <w:r w:rsidR="006A2415" w:rsidRPr="005B72B1">
              <w:rPr>
                <w:rStyle w:val="Hyperlink"/>
                <w:noProof/>
              </w:rPr>
              <w:t>Políticas públicas para la inclusión de las personas con discapacidad</w:t>
            </w:r>
            <w:r w:rsidR="006A2415">
              <w:rPr>
                <w:noProof/>
                <w:webHidden/>
              </w:rPr>
              <w:tab/>
            </w:r>
            <w:r w:rsidR="006A2415">
              <w:rPr>
                <w:noProof/>
                <w:webHidden/>
              </w:rPr>
              <w:fldChar w:fldCharType="begin"/>
            </w:r>
            <w:r w:rsidR="006A2415">
              <w:rPr>
                <w:noProof/>
                <w:webHidden/>
              </w:rPr>
              <w:instrText xml:space="preserve"> PAGEREF _Toc42549492 \h </w:instrText>
            </w:r>
            <w:r w:rsidR="006A2415">
              <w:rPr>
                <w:noProof/>
                <w:webHidden/>
              </w:rPr>
            </w:r>
            <w:r w:rsidR="006A2415">
              <w:rPr>
                <w:noProof/>
                <w:webHidden/>
              </w:rPr>
              <w:fldChar w:fldCharType="separate"/>
            </w:r>
            <w:r w:rsidR="006A2415">
              <w:rPr>
                <w:noProof/>
                <w:webHidden/>
              </w:rPr>
              <w:t>153</w:t>
            </w:r>
            <w:r w:rsidR="006A2415">
              <w:rPr>
                <w:noProof/>
                <w:webHidden/>
              </w:rPr>
              <w:fldChar w:fldCharType="end"/>
            </w:r>
          </w:hyperlink>
        </w:p>
        <w:p w14:paraId="5BCBFD0F" w14:textId="5374271D"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93" w:history="1">
            <w:r w:rsidR="006A2415" w:rsidRPr="005B72B1">
              <w:rPr>
                <w:rStyle w:val="Hyperlink"/>
                <w:noProof/>
                <w:lang w:val="es-US"/>
              </w:rPr>
              <w:t>4.8.8.</w:t>
            </w:r>
            <w:r w:rsidR="006A2415">
              <w:rPr>
                <w:rFonts w:asciiTheme="minorHAnsi" w:eastAsiaTheme="minorEastAsia" w:hAnsiTheme="minorHAnsi" w:cstheme="minorBidi"/>
                <w:noProof/>
              </w:rPr>
              <w:tab/>
            </w:r>
            <w:r w:rsidR="006A2415" w:rsidRPr="005B72B1">
              <w:rPr>
                <w:rStyle w:val="Hyperlink"/>
                <w:noProof/>
              </w:rPr>
              <w:t>La deuda continúa</w:t>
            </w:r>
            <w:r w:rsidR="006A2415">
              <w:rPr>
                <w:noProof/>
                <w:webHidden/>
              </w:rPr>
              <w:tab/>
            </w:r>
            <w:r w:rsidR="006A2415">
              <w:rPr>
                <w:noProof/>
                <w:webHidden/>
              </w:rPr>
              <w:fldChar w:fldCharType="begin"/>
            </w:r>
            <w:r w:rsidR="006A2415">
              <w:rPr>
                <w:noProof/>
                <w:webHidden/>
              </w:rPr>
              <w:instrText xml:space="preserve"> PAGEREF _Toc42549493 \h </w:instrText>
            </w:r>
            <w:r w:rsidR="006A2415">
              <w:rPr>
                <w:noProof/>
                <w:webHidden/>
              </w:rPr>
            </w:r>
            <w:r w:rsidR="006A2415">
              <w:rPr>
                <w:noProof/>
                <w:webHidden/>
              </w:rPr>
              <w:fldChar w:fldCharType="separate"/>
            </w:r>
            <w:r w:rsidR="006A2415">
              <w:rPr>
                <w:noProof/>
                <w:webHidden/>
              </w:rPr>
              <w:t>154</w:t>
            </w:r>
            <w:r w:rsidR="006A2415">
              <w:rPr>
                <w:noProof/>
                <w:webHidden/>
              </w:rPr>
              <w:fldChar w:fldCharType="end"/>
            </w:r>
          </w:hyperlink>
        </w:p>
        <w:p w14:paraId="3BB8007E" w14:textId="34C0C4DE"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94" w:history="1">
            <w:r w:rsidR="006A2415" w:rsidRPr="005B72B1">
              <w:rPr>
                <w:rStyle w:val="Hyperlink"/>
                <w:noProof/>
              </w:rPr>
              <w:t>4.8.9.</w:t>
            </w:r>
            <w:r w:rsidR="006A2415">
              <w:rPr>
                <w:rFonts w:asciiTheme="minorHAnsi" w:eastAsiaTheme="minorEastAsia" w:hAnsiTheme="minorHAnsi" w:cstheme="minorBidi"/>
                <w:noProof/>
              </w:rPr>
              <w:tab/>
            </w:r>
            <w:r w:rsidR="006A2415" w:rsidRPr="005B72B1">
              <w:rPr>
                <w:rStyle w:val="Hyperlink"/>
                <w:noProof/>
              </w:rPr>
              <w:t>Líneas de acción</w:t>
            </w:r>
            <w:r w:rsidR="006A2415">
              <w:rPr>
                <w:noProof/>
                <w:webHidden/>
              </w:rPr>
              <w:tab/>
            </w:r>
            <w:r w:rsidR="006A2415">
              <w:rPr>
                <w:noProof/>
                <w:webHidden/>
              </w:rPr>
              <w:fldChar w:fldCharType="begin"/>
            </w:r>
            <w:r w:rsidR="006A2415">
              <w:rPr>
                <w:noProof/>
                <w:webHidden/>
              </w:rPr>
              <w:instrText xml:space="preserve"> PAGEREF _Toc42549494 \h </w:instrText>
            </w:r>
            <w:r w:rsidR="006A2415">
              <w:rPr>
                <w:noProof/>
                <w:webHidden/>
              </w:rPr>
            </w:r>
            <w:r w:rsidR="006A2415">
              <w:rPr>
                <w:noProof/>
                <w:webHidden/>
              </w:rPr>
              <w:fldChar w:fldCharType="separate"/>
            </w:r>
            <w:r w:rsidR="006A2415">
              <w:rPr>
                <w:noProof/>
                <w:webHidden/>
              </w:rPr>
              <w:t>156</w:t>
            </w:r>
            <w:r w:rsidR="006A2415">
              <w:rPr>
                <w:noProof/>
                <w:webHidden/>
              </w:rPr>
              <w:fldChar w:fldCharType="end"/>
            </w:r>
          </w:hyperlink>
        </w:p>
        <w:p w14:paraId="1CF7A5A9" w14:textId="277E66AB" w:rsidR="006A2415" w:rsidRDefault="00062ABE">
          <w:pPr>
            <w:pStyle w:val="TOC1"/>
            <w:tabs>
              <w:tab w:val="left" w:pos="440"/>
              <w:tab w:val="right" w:leader="dot" w:pos="8828"/>
            </w:tabs>
            <w:rPr>
              <w:rFonts w:asciiTheme="minorHAnsi" w:eastAsiaTheme="minorEastAsia" w:hAnsiTheme="minorHAnsi" w:cstheme="minorBidi"/>
              <w:noProof/>
            </w:rPr>
          </w:pPr>
          <w:hyperlink w:anchor="_Toc42549495" w:history="1">
            <w:r w:rsidR="006A2415" w:rsidRPr="005B72B1">
              <w:rPr>
                <w:rStyle w:val="Hyperlink"/>
                <w:noProof/>
              </w:rPr>
              <w:t>5.</w:t>
            </w:r>
            <w:r w:rsidR="006A2415">
              <w:rPr>
                <w:rFonts w:asciiTheme="minorHAnsi" w:eastAsiaTheme="minorEastAsia" w:hAnsiTheme="minorHAnsi" w:cstheme="minorBidi"/>
                <w:noProof/>
              </w:rPr>
              <w:tab/>
            </w:r>
            <w:r w:rsidR="006A2415" w:rsidRPr="005B72B1">
              <w:rPr>
                <w:rStyle w:val="Hyperlink"/>
                <w:noProof/>
              </w:rPr>
              <w:t>DIMENSIÓN AMBIENTAL</w:t>
            </w:r>
            <w:r w:rsidR="006A2415">
              <w:rPr>
                <w:noProof/>
                <w:webHidden/>
              </w:rPr>
              <w:tab/>
            </w:r>
            <w:r w:rsidR="006A2415">
              <w:rPr>
                <w:noProof/>
                <w:webHidden/>
              </w:rPr>
              <w:fldChar w:fldCharType="begin"/>
            </w:r>
            <w:r w:rsidR="006A2415">
              <w:rPr>
                <w:noProof/>
                <w:webHidden/>
              </w:rPr>
              <w:instrText xml:space="preserve"> PAGEREF _Toc42549495 \h </w:instrText>
            </w:r>
            <w:r w:rsidR="006A2415">
              <w:rPr>
                <w:noProof/>
                <w:webHidden/>
              </w:rPr>
            </w:r>
            <w:r w:rsidR="006A2415">
              <w:rPr>
                <w:noProof/>
                <w:webHidden/>
              </w:rPr>
              <w:fldChar w:fldCharType="separate"/>
            </w:r>
            <w:r w:rsidR="006A2415">
              <w:rPr>
                <w:noProof/>
                <w:webHidden/>
              </w:rPr>
              <w:t>157</w:t>
            </w:r>
            <w:r w:rsidR="006A2415">
              <w:rPr>
                <w:noProof/>
                <w:webHidden/>
              </w:rPr>
              <w:fldChar w:fldCharType="end"/>
            </w:r>
          </w:hyperlink>
        </w:p>
        <w:p w14:paraId="639B0D99" w14:textId="4CF92AE2" w:rsidR="006A2415" w:rsidRDefault="00062ABE">
          <w:pPr>
            <w:pStyle w:val="TOC2"/>
            <w:tabs>
              <w:tab w:val="left" w:pos="880"/>
              <w:tab w:val="right" w:leader="dot" w:pos="8828"/>
            </w:tabs>
            <w:rPr>
              <w:rFonts w:asciiTheme="minorHAnsi" w:eastAsiaTheme="minorEastAsia" w:hAnsiTheme="minorHAnsi" w:cstheme="minorBidi"/>
              <w:noProof/>
            </w:rPr>
          </w:pPr>
          <w:hyperlink w:anchor="_Toc42549496" w:history="1">
            <w:r w:rsidR="006A2415" w:rsidRPr="005B72B1">
              <w:rPr>
                <w:rStyle w:val="Hyperlink"/>
                <w:noProof/>
              </w:rPr>
              <w:t>5.1.</w:t>
            </w:r>
            <w:r w:rsidR="006A2415">
              <w:rPr>
                <w:rFonts w:asciiTheme="minorHAnsi" w:eastAsiaTheme="minorEastAsia" w:hAnsiTheme="minorHAnsi" w:cstheme="minorBidi"/>
                <w:noProof/>
              </w:rPr>
              <w:tab/>
            </w:r>
            <w:r w:rsidR="006A2415" w:rsidRPr="005B72B1">
              <w:rPr>
                <w:rStyle w:val="Hyperlink"/>
                <w:noProof/>
              </w:rPr>
              <w:t>Género y cambio climático</w:t>
            </w:r>
            <w:r w:rsidR="006A2415">
              <w:rPr>
                <w:noProof/>
                <w:webHidden/>
              </w:rPr>
              <w:tab/>
            </w:r>
            <w:r w:rsidR="006A2415">
              <w:rPr>
                <w:noProof/>
                <w:webHidden/>
              </w:rPr>
              <w:fldChar w:fldCharType="begin"/>
            </w:r>
            <w:r w:rsidR="006A2415">
              <w:rPr>
                <w:noProof/>
                <w:webHidden/>
              </w:rPr>
              <w:instrText xml:space="preserve"> PAGEREF _Toc42549496 \h </w:instrText>
            </w:r>
            <w:r w:rsidR="006A2415">
              <w:rPr>
                <w:noProof/>
                <w:webHidden/>
              </w:rPr>
            </w:r>
            <w:r w:rsidR="006A2415">
              <w:rPr>
                <w:noProof/>
                <w:webHidden/>
              </w:rPr>
              <w:fldChar w:fldCharType="separate"/>
            </w:r>
            <w:r w:rsidR="006A2415">
              <w:rPr>
                <w:noProof/>
                <w:webHidden/>
              </w:rPr>
              <w:t>157</w:t>
            </w:r>
            <w:r w:rsidR="006A2415">
              <w:rPr>
                <w:noProof/>
                <w:webHidden/>
              </w:rPr>
              <w:fldChar w:fldCharType="end"/>
            </w:r>
          </w:hyperlink>
        </w:p>
        <w:p w14:paraId="4E65922E" w14:textId="5D9BC571"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97" w:history="1">
            <w:r w:rsidR="006A2415" w:rsidRPr="005B72B1">
              <w:rPr>
                <w:rStyle w:val="Hyperlink"/>
                <w:noProof/>
                <w:lang w:val="es-ES"/>
              </w:rPr>
              <w:t>5.1.1.</w:t>
            </w:r>
            <w:r w:rsidR="006A2415">
              <w:rPr>
                <w:rFonts w:asciiTheme="minorHAnsi" w:eastAsiaTheme="minorEastAsia" w:hAnsiTheme="minorHAnsi" w:cstheme="minorBidi"/>
                <w:noProof/>
              </w:rPr>
              <w:tab/>
            </w:r>
            <w:r w:rsidR="006A2415" w:rsidRPr="005B72B1">
              <w:rPr>
                <w:rStyle w:val="Hyperlink"/>
                <w:noProof/>
                <w:lang w:val="es-ES"/>
              </w:rPr>
              <w:t>Género, agua y saneamiento rural</w:t>
            </w:r>
            <w:r w:rsidR="006A2415">
              <w:rPr>
                <w:noProof/>
                <w:webHidden/>
              </w:rPr>
              <w:tab/>
            </w:r>
            <w:r w:rsidR="006A2415">
              <w:rPr>
                <w:noProof/>
                <w:webHidden/>
              </w:rPr>
              <w:fldChar w:fldCharType="begin"/>
            </w:r>
            <w:r w:rsidR="006A2415">
              <w:rPr>
                <w:noProof/>
                <w:webHidden/>
              </w:rPr>
              <w:instrText xml:space="preserve"> PAGEREF _Toc42549497 \h </w:instrText>
            </w:r>
            <w:r w:rsidR="006A2415">
              <w:rPr>
                <w:noProof/>
                <w:webHidden/>
              </w:rPr>
            </w:r>
            <w:r w:rsidR="006A2415">
              <w:rPr>
                <w:noProof/>
                <w:webHidden/>
              </w:rPr>
              <w:fldChar w:fldCharType="separate"/>
            </w:r>
            <w:r w:rsidR="006A2415">
              <w:rPr>
                <w:noProof/>
                <w:webHidden/>
              </w:rPr>
              <w:t>158</w:t>
            </w:r>
            <w:r w:rsidR="006A2415">
              <w:rPr>
                <w:noProof/>
                <w:webHidden/>
              </w:rPr>
              <w:fldChar w:fldCharType="end"/>
            </w:r>
          </w:hyperlink>
        </w:p>
        <w:p w14:paraId="29A5C242" w14:textId="6AC3AEE5"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98" w:history="1">
            <w:r w:rsidR="006A2415" w:rsidRPr="005B72B1">
              <w:rPr>
                <w:rStyle w:val="Hyperlink"/>
                <w:noProof/>
                <w:highlight w:val="white"/>
                <w:lang w:val="es-ES"/>
              </w:rPr>
              <w:t>5.1.2.</w:t>
            </w:r>
            <w:r w:rsidR="006A2415">
              <w:rPr>
                <w:rFonts w:asciiTheme="minorHAnsi" w:eastAsiaTheme="minorEastAsia" w:hAnsiTheme="minorHAnsi" w:cstheme="minorBidi"/>
                <w:noProof/>
              </w:rPr>
              <w:tab/>
            </w:r>
            <w:r w:rsidR="006A2415" w:rsidRPr="005B72B1">
              <w:rPr>
                <w:rStyle w:val="Hyperlink"/>
                <w:noProof/>
                <w:lang w:val="es-ES"/>
              </w:rPr>
              <w:t>Acceso y uso del agua potable en Panamá</w:t>
            </w:r>
            <w:r w:rsidR="006A2415">
              <w:rPr>
                <w:noProof/>
                <w:webHidden/>
              </w:rPr>
              <w:tab/>
            </w:r>
            <w:r w:rsidR="006A2415">
              <w:rPr>
                <w:noProof/>
                <w:webHidden/>
              </w:rPr>
              <w:fldChar w:fldCharType="begin"/>
            </w:r>
            <w:r w:rsidR="006A2415">
              <w:rPr>
                <w:noProof/>
                <w:webHidden/>
              </w:rPr>
              <w:instrText xml:space="preserve"> PAGEREF _Toc42549498 \h </w:instrText>
            </w:r>
            <w:r w:rsidR="006A2415">
              <w:rPr>
                <w:noProof/>
                <w:webHidden/>
              </w:rPr>
            </w:r>
            <w:r w:rsidR="006A2415">
              <w:rPr>
                <w:noProof/>
                <w:webHidden/>
              </w:rPr>
              <w:fldChar w:fldCharType="separate"/>
            </w:r>
            <w:r w:rsidR="006A2415">
              <w:rPr>
                <w:noProof/>
                <w:webHidden/>
              </w:rPr>
              <w:t>159</w:t>
            </w:r>
            <w:r w:rsidR="006A2415">
              <w:rPr>
                <w:noProof/>
                <w:webHidden/>
              </w:rPr>
              <w:fldChar w:fldCharType="end"/>
            </w:r>
          </w:hyperlink>
        </w:p>
        <w:p w14:paraId="571A25C2" w14:textId="6F11623B" w:rsidR="006A2415" w:rsidRDefault="00062ABE">
          <w:pPr>
            <w:pStyle w:val="TOC3"/>
            <w:tabs>
              <w:tab w:val="left" w:pos="1320"/>
              <w:tab w:val="right" w:leader="dot" w:pos="8828"/>
            </w:tabs>
            <w:rPr>
              <w:rFonts w:asciiTheme="minorHAnsi" w:eastAsiaTheme="minorEastAsia" w:hAnsiTheme="minorHAnsi" w:cstheme="minorBidi"/>
              <w:noProof/>
            </w:rPr>
          </w:pPr>
          <w:hyperlink w:anchor="_Toc42549499" w:history="1">
            <w:r w:rsidR="006A2415" w:rsidRPr="005B72B1">
              <w:rPr>
                <w:rStyle w:val="Hyperlink"/>
                <w:noProof/>
                <w:lang w:val="es-ES"/>
              </w:rPr>
              <w:t>5.1.3.</w:t>
            </w:r>
            <w:r w:rsidR="006A2415">
              <w:rPr>
                <w:rFonts w:asciiTheme="minorHAnsi" w:eastAsiaTheme="minorEastAsia" w:hAnsiTheme="minorHAnsi" w:cstheme="minorBidi"/>
                <w:noProof/>
              </w:rPr>
              <w:tab/>
            </w:r>
            <w:r w:rsidR="006A2415" w:rsidRPr="005B72B1">
              <w:rPr>
                <w:rStyle w:val="Hyperlink"/>
                <w:noProof/>
                <w:lang w:val="es-ES"/>
              </w:rPr>
              <w:t>Saneamiento</w:t>
            </w:r>
            <w:r w:rsidR="006A2415">
              <w:rPr>
                <w:noProof/>
                <w:webHidden/>
              </w:rPr>
              <w:tab/>
            </w:r>
            <w:r w:rsidR="006A2415">
              <w:rPr>
                <w:noProof/>
                <w:webHidden/>
              </w:rPr>
              <w:fldChar w:fldCharType="begin"/>
            </w:r>
            <w:r w:rsidR="006A2415">
              <w:rPr>
                <w:noProof/>
                <w:webHidden/>
              </w:rPr>
              <w:instrText xml:space="preserve"> PAGEREF _Toc42549499 \h </w:instrText>
            </w:r>
            <w:r w:rsidR="006A2415">
              <w:rPr>
                <w:noProof/>
                <w:webHidden/>
              </w:rPr>
            </w:r>
            <w:r w:rsidR="006A2415">
              <w:rPr>
                <w:noProof/>
                <w:webHidden/>
              </w:rPr>
              <w:fldChar w:fldCharType="separate"/>
            </w:r>
            <w:r w:rsidR="006A2415">
              <w:rPr>
                <w:noProof/>
                <w:webHidden/>
              </w:rPr>
              <w:t>161</w:t>
            </w:r>
            <w:r w:rsidR="006A2415">
              <w:rPr>
                <w:noProof/>
                <w:webHidden/>
              </w:rPr>
              <w:fldChar w:fldCharType="end"/>
            </w:r>
          </w:hyperlink>
        </w:p>
        <w:p w14:paraId="21275DC4" w14:textId="18942F63" w:rsidR="006A2415" w:rsidRDefault="00062ABE">
          <w:pPr>
            <w:pStyle w:val="TOC3"/>
            <w:tabs>
              <w:tab w:val="left" w:pos="1320"/>
              <w:tab w:val="right" w:leader="dot" w:pos="8828"/>
            </w:tabs>
            <w:rPr>
              <w:rFonts w:asciiTheme="minorHAnsi" w:eastAsiaTheme="minorEastAsia" w:hAnsiTheme="minorHAnsi" w:cstheme="minorBidi"/>
              <w:noProof/>
            </w:rPr>
          </w:pPr>
          <w:hyperlink w:anchor="_Toc42549500" w:history="1">
            <w:r w:rsidR="006A2415" w:rsidRPr="005B72B1">
              <w:rPr>
                <w:rStyle w:val="Hyperlink"/>
                <w:noProof/>
                <w:lang w:val="es-ES"/>
              </w:rPr>
              <w:t>5.1.4.</w:t>
            </w:r>
            <w:r w:rsidR="006A2415">
              <w:rPr>
                <w:rFonts w:asciiTheme="minorHAnsi" w:eastAsiaTheme="minorEastAsia" w:hAnsiTheme="minorHAnsi" w:cstheme="minorBidi"/>
                <w:noProof/>
              </w:rPr>
              <w:tab/>
            </w:r>
            <w:r w:rsidR="006A2415" w:rsidRPr="005B72B1">
              <w:rPr>
                <w:rStyle w:val="Hyperlink"/>
                <w:noProof/>
                <w:lang w:val="es-ES"/>
              </w:rPr>
              <w:t>Avances en género en el Ministerio de Ambiente</w:t>
            </w:r>
            <w:r w:rsidR="006A2415">
              <w:rPr>
                <w:noProof/>
                <w:webHidden/>
              </w:rPr>
              <w:tab/>
            </w:r>
            <w:r w:rsidR="006A2415">
              <w:rPr>
                <w:noProof/>
                <w:webHidden/>
              </w:rPr>
              <w:fldChar w:fldCharType="begin"/>
            </w:r>
            <w:r w:rsidR="006A2415">
              <w:rPr>
                <w:noProof/>
                <w:webHidden/>
              </w:rPr>
              <w:instrText xml:space="preserve"> PAGEREF _Toc42549500 \h </w:instrText>
            </w:r>
            <w:r w:rsidR="006A2415">
              <w:rPr>
                <w:noProof/>
                <w:webHidden/>
              </w:rPr>
            </w:r>
            <w:r w:rsidR="006A2415">
              <w:rPr>
                <w:noProof/>
                <w:webHidden/>
              </w:rPr>
              <w:fldChar w:fldCharType="separate"/>
            </w:r>
            <w:r w:rsidR="006A2415">
              <w:rPr>
                <w:noProof/>
                <w:webHidden/>
              </w:rPr>
              <w:t>163</w:t>
            </w:r>
            <w:r w:rsidR="006A2415">
              <w:rPr>
                <w:noProof/>
                <w:webHidden/>
              </w:rPr>
              <w:fldChar w:fldCharType="end"/>
            </w:r>
          </w:hyperlink>
        </w:p>
        <w:p w14:paraId="7E44FD51" w14:textId="2C9E5ACB" w:rsidR="006A2415" w:rsidRDefault="00062ABE">
          <w:pPr>
            <w:pStyle w:val="TOC1"/>
            <w:tabs>
              <w:tab w:val="right" w:leader="dot" w:pos="8828"/>
            </w:tabs>
            <w:rPr>
              <w:rFonts w:asciiTheme="minorHAnsi" w:eastAsiaTheme="minorEastAsia" w:hAnsiTheme="minorHAnsi" w:cstheme="minorBidi"/>
              <w:noProof/>
            </w:rPr>
          </w:pPr>
          <w:hyperlink w:anchor="_Toc42549501" w:history="1">
            <w:r w:rsidR="006A2415" w:rsidRPr="005B72B1">
              <w:rPr>
                <w:rStyle w:val="Hyperlink"/>
                <w:noProof/>
              </w:rPr>
              <w:t xml:space="preserve">VI.  SISTEMA DE NACIONES UNIDAS EN PANAMÁ </w:t>
            </w:r>
            <w:r w:rsidR="006A2415">
              <w:rPr>
                <w:noProof/>
                <w:webHidden/>
              </w:rPr>
              <w:tab/>
            </w:r>
            <w:r w:rsidR="006A2415">
              <w:rPr>
                <w:noProof/>
                <w:webHidden/>
              </w:rPr>
              <w:fldChar w:fldCharType="begin"/>
            </w:r>
            <w:r w:rsidR="006A2415">
              <w:rPr>
                <w:noProof/>
                <w:webHidden/>
              </w:rPr>
              <w:instrText xml:space="preserve"> PAGEREF _Toc42549501 \h </w:instrText>
            </w:r>
            <w:r w:rsidR="006A2415">
              <w:rPr>
                <w:noProof/>
                <w:webHidden/>
              </w:rPr>
            </w:r>
            <w:r w:rsidR="006A2415">
              <w:rPr>
                <w:noProof/>
                <w:webHidden/>
              </w:rPr>
              <w:fldChar w:fldCharType="separate"/>
            </w:r>
            <w:r w:rsidR="006A2415">
              <w:rPr>
                <w:noProof/>
                <w:webHidden/>
              </w:rPr>
              <w:t>164</w:t>
            </w:r>
            <w:r w:rsidR="006A2415">
              <w:rPr>
                <w:noProof/>
                <w:webHidden/>
              </w:rPr>
              <w:fldChar w:fldCharType="end"/>
            </w:r>
          </w:hyperlink>
        </w:p>
        <w:p w14:paraId="37B719D1" w14:textId="7C425AFF" w:rsidR="006A2415" w:rsidRDefault="00062ABE">
          <w:pPr>
            <w:pStyle w:val="TOC2"/>
            <w:tabs>
              <w:tab w:val="right" w:leader="dot" w:pos="8828"/>
            </w:tabs>
            <w:rPr>
              <w:rFonts w:asciiTheme="minorHAnsi" w:eastAsiaTheme="minorEastAsia" w:hAnsiTheme="minorHAnsi" w:cstheme="minorBidi"/>
              <w:noProof/>
            </w:rPr>
          </w:pPr>
          <w:hyperlink w:anchor="_Toc42549502" w:history="1">
            <w:r w:rsidR="006A2415" w:rsidRPr="005B72B1">
              <w:rPr>
                <w:rStyle w:val="Hyperlink"/>
                <w:noProof/>
              </w:rPr>
              <w:t xml:space="preserve">6.1. Las </w:t>
            </w:r>
            <w:r w:rsidR="006A2415" w:rsidRPr="005B72B1">
              <w:rPr>
                <w:rStyle w:val="Hyperlink"/>
                <w:i/>
                <w:iCs/>
                <w:noProof/>
              </w:rPr>
              <w:t>Naciones Unidas (ONU).</w:t>
            </w:r>
            <w:r w:rsidR="006A2415">
              <w:rPr>
                <w:noProof/>
                <w:webHidden/>
              </w:rPr>
              <w:tab/>
            </w:r>
            <w:r w:rsidR="006A2415">
              <w:rPr>
                <w:noProof/>
                <w:webHidden/>
              </w:rPr>
              <w:fldChar w:fldCharType="begin"/>
            </w:r>
            <w:r w:rsidR="006A2415">
              <w:rPr>
                <w:noProof/>
                <w:webHidden/>
              </w:rPr>
              <w:instrText xml:space="preserve"> PAGEREF _Toc42549502 \h </w:instrText>
            </w:r>
            <w:r w:rsidR="006A2415">
              <w:rPr>
                <w:noProof/>
                <w:webHidden/>
              </w:rPr>
            </w:r>
            <w:r w:rsidR="006A2415">
              <w:rPr>
                <w:noProof/>
                <w:webHidden/>
              </w:rPr>
              <w:fldChar w:fldCharType="separate"/>
            </w:r>
            <w:r w:rsidR="006A2415">
              <w:rPr>
                <w:noProof/>
                <w:webHidden/>
              </w:rPr>
              <w:t>164</w:t>
            </w:r>
            <w:r w:rsidR="006A2415">
              <w:rPr>
                <w:noProof/>
                <w:webHidden/>
              </w:rPr>
              <w:fldChar w:fldCharType="end"/>
            </w:r>
          </w:hyperlink>
        </w:p>
        <w:p w14:paraId="0666377A" w14:textId="175DDDB2" w:rsidR="006A2415" w:rsidRDefault="00062ABE">
          <w:pPr>
            <w:pStyle w:val="TOC2"/>
            <w:tabs>
              <w:tab w:val="right" w:leader="dot" w:pos="8828"/>
            </w:tabs>
            <w:rPr>
              <w:rFonts w:asciiTheme="minorHAnsi" w:eastAsiaTheme="minorEastAsia" w:hAnsiTheme="minorHAnsi" w:cstheme="minorBidi"/>
              <w:noProof/>
            </w:rPr>
          </w:pPr>
          <w:hyperlink w:anchor="_Toc42549503" w:history="1">
            <w:r w:rsidR="006A2415" w:rsidRPr="005B72B1">
              <w:rPr>
                <w:rStyle w:val="Hyperlink"/>
                <w:rFonts w:eastAsia="Times New Roman"/>
                <w:noProof/>
                <w:lang w:val="es-US" w:eastAsia="es-US"/>
              </w:rPr>
              <w:t>6.2. Organización de las Naciones Unidas para la Alimentación y la Agricultura (FAO)</w:t>
            </w:r>
            <w:r w:rsidR="006A2415">
              <w:rPr>
                <w:noProof/>
                <w:webHidden/>
              </w:rPr>
              <w:tab/>
            </w:r>
            <w:r w:rsidR="006A2415">
              <w:rPr>
                <w:noProof/>
                <w:webHidden/>
              </w:rPr>
              <w:fldChar w:fldCharType="begin"/>
            </w:r>
            <w:r w:rsidR="006A2415">
              <w:rPr>
                <w:noProof/>
                <w:webHidden/>
              </w:rPr>
              <w:instrText xml:space="preserve"> PAGEREF _Toc42549503 \h </w:instrText>
            </w:r>
            <w:r w:rsidR="006A2415">
              <w:rPr>
                <w:noProof/>
                <w:webHidden/>
              </w:rPr>
            </w:r>
            <w:r w:rsidR="006A2415">
              <w:rPr>
                <w:noProof/>
                <w:webHidden/>
              </w:rPr>
              <w:fldChar w:fldCharType="separate"/>
            </w:r>
            <w:r w:rsidR="006A2415">
              <w:rPr>
                <w:noProof/>
                <w:webHidden/>
              </w:rPr>
              <w:t>165</w:t>
            </w:r>
            <w:r w:rsidR="006A2415">
              <w:rPr>
                <w:noProof/>
                <w:webHidden/>
              </w:rPr>
              <w:fldChar w:fldCharType="end"/>
            </w:r>
          </w:hyperlink>
        </w:p>
        <w:p w14:paraId="1A6B00EA" w14:textId="2957E2B8" w:rsidR="006A2415" w:rsidRDefault="00062ABE">
          <w:pPr>
            <w:pStyle w:val="TOC2"/>
            <w:tabs>
              <w:tab w:val="left" w:pos="880"/>
              <w:tab w:val="right" w:leader="dot" w:pos="8828"/>
            </w:tabs>
            <w:rPr>
              <w:rFonts w:asciiTheme="minorHAnsi" w:eastAsiaTheme="minorEastAsia" w:hAnsiTheme="minorHAnsi" w:cstheme="minorBidi"/>
              <w:noProof/>
            </w:rPr>
          </w:pPr>
          <w:hyperlink w:anchor="_Toc42549504" w:history="1">
            <w:r w:rsidR="006A2415" w:rsidRPr="005B72B1">
              <w:rPr>
                <w:rStyle w:val="Hyperlink"/>
                <w:noProof/>
              </w:rPr>
              <w:t>6.3.</w:t>
            </w:r>
            <w:r w:rsidR="006A2415">
              <w:rPr>
                <w:rFonts w:asciiTheme="minorHAnsi" w:eastAsiaTheme="minorEastAsia" w:hAnsiTheme="minorHAnsi" w:cstheme="minorBidi"/>
                <w:noProof/>
              </w:rPr>
              <w:tab/>
            </w:r>
            <w:r w:rsidR="006A2415" w:rsidRPr="005B72B1">
              <w:rPr>
                <w:rStyle w:val="Hyperlink"/>
                <w:noProof/>
              </w:rPr>
              <w:t>ONU Mujeres</w:t>
            </w:r>
            <w:r w:rsidR="006A2415">
              <w:rPr>
                <w:noProof/>
                <w:webHidden/>
              </w:rPr>
              <w:tab/>
            </w:r>
            <w:r w:rsidR="006A2415">
              <w:rPr>
                <w:noProof/>
                <w:webHidden/>
              </w:rPr>
              <w:fldChar w:fldCharType="begin"/>
            </w:r>
            <w:r w:rsidR="006A2415">
              <w:rPr>
                <w:noProof/>
                <w:webHidden/>
              </w:rPr>
              <w:instrText xml:space="preserve"> PAGEREF _Toc42549504 \h </w:instrText>
            </w:r>
            <w:r w:rsidR="006A2415">
              <w:rPr>
                <w:noProof/>
                <w:webHidden/>
              </w:rPr>
            </w:r>
            <w:r w:rsidR="006A2415">
              <w:rPr>
                <w:noProof/>
                <w:webHidden/>
              </w:rPr>
              <w:fldChar w:fldCharType="separate"/>
            </w:r>
            <w:r w:rsidR="006A2415">
              <w:rPr>
                <w:noProof/>
                <w:webHidden/>
              </w:rPr>
              <w:t>166</w:t>
            </w:r>
            <w:r w:rsidR="006A2415">
              <w:rPr>
                <w:noProof/>
                <w:webHidden/>
              </w:rPr>
              <w:fldChar w:fldCharType="end"/>
            </w:r>
          </w:hyperlink>
        </w:p>
        <w:p w14:paraId="160ED053" w14:textId="7B98BCC5" w:rsidR="006A2415" w:rsidRDefault="00062ABE">
          <w:pPr>
            <w:pStyle w:val="TOC2"/>
            <w:tabs>
              <w:tab w:val="right" w:leader="dot" w:pos="8828"/>
            </w:tabs>
            <w:rPr>
              <w:rFonts w:asciiTheme="minorHAnsi" w:eastAsiaTheme="minorEastAsia" w:hAnsiTheme="minorHAnsi" w:cstheme="minorBidi"/>
              <w:noProof/>
            </w:rPr>
          </w:pPr>
          <w:hyperlink w:anchor="_Toc42549505" w:history="1">
            <w:r w:rsidR="006A2415" w:rsidRPr="005B72B1">
              <w:rPr>
                <w:rStyle w:val="Hyperlink"/>
                <w:noProof/>
              </w:rPr>
              <w:t>6.4. Programa de las Naciones Unidas para el Desarrollo (PNUD)</w:t>
            </w:r>
            <w:r w:rsidR="006A2415">
              <w:rPr>
                <w:noProof/>
                <w:webHidden/>
              </w:rPr>
              <w:tab/>
            </w:r>
            <w:r w:rsidR="006A2415">
              <w:rPr>
                <w:noProof/>
                <w:webHidden/>
              </w:rPr>
              <w:fldChar w:fldCharType="begin"/>
            </w:r>
            <w:r w:rsidR="006A2415">
              <w:rPr>
                <w:noProof/>
                <w:webHidden/>
              </w:rPr>
              <w:instrText xml:space="preserve"> PAGEREF _Toc42549505 \h </w:instrText>
            </w:r>
            <w:r w:rsidR="006A2415">
              <w:rPr>
                <w:noProof/>
                <w:webHidden/>
              </w:rPr>
            </w:r>
            <w:r w:rsidR="006A2415">
              <w:rPr>
                <w:noProof/>
                <w:webHidden/>
              </w:rPr>
              <w:fldChar w:fldCharType="separate"/>
            </w:r>
            <w:r w:rsidR="006A2415">
              <w:rPr>
                <w:noProof/>
                <w:webHidden/>
              </w:rPr>
              <w:t>168</w:t>
            </w:r>
            <w:r w:rsidR="006A2415">
              <w:rPr>
                <w:noProof/>
                <w:webHidden/>
              </w:rPr>
              <w:fldChar w:fldCharType="end"/>
            </w:r>
          </w:hyperlink>
        </w:p>
        <w:p w14:paraId="515AC649" w14:textId="661E9CE2" w:rsidR="006A2415" w:rsidRDefault="00062ABE">
          <w:pPr>
            <w:pStyle w:val="TOC2"/>
            <w:tabs>
              <w:tab w:val="right" w:leader="dot" w:pos="8828"/>
            </w:tabs>
            <w:rPr>
              <w:rFonts w:asciiTheme="minorHAnsi" w:eastAsiaTheme="minorEastAsia" w:hAnsiTheme="minorHAnsi" w:cstheme="minorBidi"/>
              <w:noProof/>
            </w:rPr>
          </w:pPr>
          <w:hyperlink w:anchor="_Toc42549506" w:history="1">
            <w:r w:rsidR="006A2415" w:rsidRPr="005B72B1">
              <w:rPr>
                <w:rStyle w:val="Hyperlink"/>
                <w:noProof/>
              </w:rPr>
              <w:t>6.5. Fondo de Población de las Naciones Unidas (UNFPA)</w:t>
            </w:r>
            <w:r w:rsidR="006A2415">
              <w:rPr>
                <w:noProof/>
                <w:webHidden/>
              </w:rPr>
              <w:tab/>
            </w:r>
            <w:r w:rsidR="006A2415">
              <w:rPr>
                <w:noProof/>
                <w:webHidden/>
              </w:rPr>
              <w:fldChar w:fldCharType="begin"/>
            </w:r>
            <w:r w:rsidR="006A2415">
              <w:rPr>
                <w:noProof/>
                <w:webHidden/>
              </w:rPr>
              <w:instrText xml:space="preserve"> PAGEREF _Toc42549506 \h </w:instrText>
            </w:r>
            <w:r w:rsidR="006A2415">
              <w:rPr>
                <w:noProof/>
                <w:webHidden/>
              </w:rPr>
            </w:r>
            <w:r w:rsidR="006A2415">
              <w:rPr>
                <w:noProof/>
                <w:webHidden/>
              </w:rPr>
              <w:fldChar w:fldCharType="separate"/>
            </w:r>
            <w:r w:rsidR="006A2415">
              <w:rPr>
                <w:noProof/>
                <w:webHidden/>
              </w:rPr>
              <w:t>172</w:t>
            </w:r>
            <w:r w:rsidR="006A2415">
              <w:rPr>
                <w:noProof/>
                <w:webHidden/>
              </w:rPr>
              <w:fldChar w:fldCharType="end"/>
            </w:r>
          </w:hyperlink>
        </w:p>
        <w:p w14:paraId="2275B8F6" w14:textId="21224463" w:rsidR="006A2415" w:rsidRDefault="00062ABE">
          <w:pPr>
            <w:pStyle w:val="TOC2"/>
            <w:tabs>
              <w:tab w:val="right" w:leader="dot" w:pos="8828"/>
            </w:tabs>
            <w:rPr>
              <w:rFonts w:asciiTheme="minorHAnsi" w:eastAsiaTheme="minorEastAsia" w:hAnsiTheme="minorHAnsi" w:cstheme="minorBidi"/>
              <w:noProof/>
            </w:rPr>
          </w:pPr>
          <w:hyperlink w:anchor="_Toc42549507" w:history="1">
            <w:r w:rsidR="006A2415" w:rsidRPr="005B72B1">
              <w:rPr>
                <w:rStyle w:val="Hyperlink"/>
                <w:noProof/>
              </w:rPr>
              <w:t>6.6. Fondo de las Naciones Unidas para la Infancia (UNICEF)</w:t>
            </w:r>
            <w:r w:rsidR="006A2415">
              <w:rPr>
                <w:noProof/>
                <w:webHidden/>
              </w:rPr>
              <w:tab/>
            </w:r>
            <w:r w:rsidR="006A2415">
              <w:rPr>
                <w:noProof/>
                <w:webHidden/>
              </w:rPr>
              <w:fldChar w:fldCharType="begin"/>
            </w:r>
            <w:r w:rsidR="006A2415">
              <w:rPr>
                <w:noProof/>
                <w:webHidden/>
              </w:rPr>
              <w:instrText xml:space="preserve"> PAGEREF _Toc42549507 \h </w:instrText>
            </w:r>
            <w:r w:rsidR="006A2415">
              <w:rPr>
                <w:noProof/>
                <w:webHidden/>
              </w:rPr>
            </w:r>
            <w:r w:rsidR="006A2415">
              <w:rPr>
                <w:noProof/>
                <w:webHidden/>
              </w:rPr>
              <w:fldChar w:fldCharType="separate"/>
            </w:r>
            <w:r w:rsidR="006A2415">
              <w:rPr>
                <w:noProof/>
                <w:webHidden/>
              </w:rPr>
              <w:t>174</w:t>
            </w:r>
            <w:r w:rsidR="006A2415">
              <w:rPr>
                <w:noProof/>
                <w:webHidden/>
              </w:rPr>
              <w:fldChar w:fldCharType="end"/>
            </w:r>
          </w:hyperlink>
        </w:p>
        <w:p w14:paraId="19457210" w14:textId="763CFCE4" w:rsidR="006A2415" w:rsidRDefault="00062ABE">
          <w:pPr>
            <w:pStyle w:val="TOC1"/>
            <w:tabs>
              <w:tab w:val="right" w:leader="dot" w:pos="8828"/>
            </w:tabs>
            <w:rPr>
              <w:rFonts w:asciiTheme="minorHAnsi" w:eastAsiaTheme="minorEastAsia" w:hAnsiTheme="minorHAnsi" w:cstheme="minorBidi"/>
              <w:noProof/>
            </w:rPr>
          </w:pPr>
          <w:hyperlink w:anchor="_Toc42549508" w:history="1">
            <w:r w:rsidR="006A2415" w:rsidRPr="005B72B1">
              <w:rPr>
                <w:rStyle w:val="Hyperlink"/>
                <w:noProof/>
              </w:rPr>
              <w:t>VII.  LÍNEAS DE ACCIÓN, EFECTOS Y ÁREAS PRIORITARIAS</w:t>
            </w:r>
            <w:r w:rsidR="006A2415">
              <w:rPr>
                <w:noProof/>
                <w:webHidden/>
              </w:rPr>
              <w:tab/>
            </w:r>
            <w:r w:rsidR="006A2415">
              <w:rPr>
                <w:noProof/>
                <w:webHidden/>
              </w:rPr>
              <w:fldChar w:fldCharType="begin"/>
            </w:r>
            <w:r w:rsidR="006A2415">
              <w:rPr>
                <w:noProof/>
                <w:webHidden/>
              </w:rPr>
              <w:instrText xml:space="preserve"> PAGEREF _Toc42549508 \h </w:instrText>
            </w:r>
            <w:r w:rsidR="006A2415">
              <w:rPr>
                <w:noProof/>
                <w:webHidden/>
              </w:rPr>
            </w:r>
            <w:r w:rsidR="006A2415">
              <w:rPr>
                <w:noProof/>
                <w:webHidden/>
              </w:rPr>
              <w:fldChar w:fldCharType="separate"/>
            </w:r>
            <w:r w:rsidR="006A2415">
              <w:rPr>
                <w:noProof/>
                <w:webHidden/>
              </w:rPr>
              <w:t>176</w:t>
            </w:r>
            <w:r w:rsidR="006A2415">
              <w:rPr>
                <w:noProof/>
                <w:webHidden/>
              </w:rPr>
              <w:fldChar w:fldCharType="end"/>
            </w:r>
          </w:hyperlink>
        </w:p>
        <w:p w14:paraId="1835883C" w14:textId="0776C591" w:rsidR="006A2415" w:rsidRDefault="00062ABE">
          <w:pPr>
            <w:pStyle w:val="TOC1"/>
            <w:tabs>
              <w:tab w:val="right" w:leader="dot" w:pos="8828"/>
            </w:tabs>
            <w:rPr>
              <w:rFonts w:asciiTheme="minorHAnsi" w:eastAsiaTheme="minorEastAsia" w:hAnsiTheme="minorHAnsi" w:cstheme="minorBidi"/>
              <w:noProof/>
            </w:rPr>
          </w:pPr>
          <w:hyperlink w:anchor="_Toc42549509" w:history="1">
            <w:r w:rsidR="006A2415" w:rsidRPr="005B72B1">
              <w:rPr>
                <w:rStyle w:val="Hyperlink"/>
                <w:noProof/>
              </w:rPr>
              <w:t>IX. CONCLUSIONES</w:t>
            </w:r>
            <w:r w:rsidR="006A2415">
              <w:rPr>
                <w:noProof/>
                <w:webHidden/>
              </w:rPr>
              <w:tab/>
            </w:r>
            <w:r w:rsidR="006A2415">
              <w:rPr>
                <w:noProof/>
                <w:webHidden/>
              </w:rPr>
              <w:fldChar w:fldCharType="begin"/>
            </w:r>
            <w:r w:rsidR="006A2415">
              <w:rPr>
                <w:noProof/>
                <w:webHidden/>
              </w:rPr>
              <w:instrText xml:space="preserve"> PAGEREF _Toc42549509 \h </w:instrText>
            </w:r>
            <w:r w:rsidR="006A2415">
              <w:rPr>
                <w:noProof/>
                <w:webHidden/>
              </w:rPr>
            </w:r>
            <w:r w:rsidR="006A2415">
              <w:rPr>
                <w:noProof/>
                <w:webHidden/>
              </w:rPr>
              <w:fldChar w:fldCharType="separate"/>
            </w:r>
            <w:r w:rsidR="006A2415">
              <w:rPr>
                <w:noProof/>
                <w:webHidden/>
              </w:rPr>
              <w:t>181</w:t>
            </w:r>
            <w:r w:rsidR="006A2415">
              <w:rPr>
                <w:noProof/>
                <w:webHidden/>
              </w:rPr>
              <w:fldChar w:fldCharType="end"/>
            </w:r>
          </w:hyperlink>
        </w:p>
        <w:p w14:paraId="58B83705" w14:textId="4025A409" w:rsidR="006A2415" w:rsidRDefault="00062ABE">
          <w:pPr>
            <w:pStyle w:val="TOC1"/>
            <w:tabs>
              <w:tab w:val="right" w:leader="dot" w:pos="8828"/>
            </w:tabs>
            <w:rPr>
              <w:rFonts w:asciiTheme="minorHAnsi" w:eastAsiaTheme="minorEastAsia" w:hAnsiTheme="minorHAnsi" w:cstheme="minorBidi"/>
              <w:noProof/>
            </w:rPr>
          </w:pPr>
          <w:hyperlink w:anchor="_Toc42549510" w:history="1">
            <w:r w:rsidR="006A2415" w:rsidRPr="005B72B1">
              <w:rPr>
                <w:rStyle w:val="Hyperlink"/>
                <w:noProof/>
              </w:rPr>
              <w:t>X. BIBLIOGRAFÍA</w:t>
            </w:r>
            <w:r w:rsidR="006A2415">
              <w:rPr>
                <w:noProof/>
                <w:webHidden/>
              </w:rPr>
              <w:tab/>
            </w:r>
            <w:r w:rsidR="006A2415">
              <w:rPr>
                <w:noProof/>
                <w:webHidden/>
              </w:rPr>
              <w:fldChar w:fldCharType="begin"/>
            </w:r>
            <w:r w:rsidR="006A2415">
              <w:rPr>
                <w:noProof/>
                <w:webHidden/>
              </w:rPr>
              <w:instrText xml:space="preserve"> PAGEREF _Toc42549510 \h </w:instrText>
            </w:r>
            <w:r w:rsidR="006A2415">
              <w:rPr>
                <w:noProof/>
                <w:webHidden/>
              </w:rPr>
            </w:r>
            <w:r w:rsidR="006A2415">
              <w:rPr>
                <w:noProof/>
                <w:webHidden/>
              </w:rPr>
              <w:fldChar w:fldCharType="separate"/>
            </w:r>
            <w:r w:rsidR="006A2415">
              <w:rPr>
                <w:noProof/>
                <w:webHidden/>
              </w:rPr>
              <w:t>183</w:t>
            </w:r>
            <w:r w:rsidR="006A2415">
              <w:rPr>
                <w:noProof/>
                <w:webHidden/>
              </w:rPr>
              <w:fldChar w:fldCharType="end"/>
            </w:r>
          </w:hyperlink>
        </w:p>
        <w:p w14:paraId="3863339B" w14:textId="2E2390C3" w:rsidR="00636BA6" w:rsidRPr="005970E9" w:rsidRDefault="00636BA6">
          <w:r w:rsidRPr="005970E9">
            <w:rPr>
              <w:b/>
              <w:bCs/>
              <w:lang w:val="es-ES"/>
            </w:rPr>
            <w:fldChar w:fldCharType="end"/>
          </w:r>
        </w:p>
      </w:sdtContent>
    </w:sdt>
    <w:p w14:paraId="61D31CBE" w14:textId="312B2BF5" w:rsidR="00C506F7" w:rsidRPr="005970E9" w:rsidRDefault="00C506F7"/>
    <w:p w14:paraId="5712AF3E" w14:textId="77777777" w:rsidR="00766DDA" w:rsidRPr="005970E9" w:rsidRDefault="00766DDA">
      <w:pPr>
        <w:rPr>
          <w:b/>
          <w:bCs/>
        </w:rPr>
      </w:pPr>
      <w:bookmarkStart w:id="2" w:name="_Hlk39073566"/>
    </w:p>
    <w:p w14:paraId="60422A26" w14:textId="7BA07E1A" w:rsidR="000D1327" w:rsidRPr="005970E9" w:rsidRDefault="001C6230">
      <w:pPr>
        <w:rPr>
          <w:b/>
          <w:bCs/>
        </w:rPr>
      </w:pPr>
      <w:r w:rsidRPr="005970E9">
        <w:rPr>
          <w:b/>
          <w:bCs/>
        </w:rPr>
        <w:lastRenderedPageBreak/>
        <w:t>ÍNDICE DE CUADROS</w:t>
      </w:r>
    </w:p>
    <w:p w14:paraId="0971427B" w14:textId="77777777" w:rsidR="001C6230" w:rsidRPr="005970E9" w:rsidRDefault="001C6230">
      <w:pPr>
        <w:rPr>
          <w:b/>
          <w:bCs/>
        </w:rPr>
      </w:pPr>
    </w:p>
    <w:bookmarkStart w:id="3" w:name="_Hlk42465269"/>
    <w:p w14:paraId="2FE98A67" w14:textId="05533D7C" w:rsidR="006A2415" w:rsidRDefault="00C506F7" w:rsidP="006A2415">
      <w:pPr>
        <w:pStyle w:val="TableofFigures"/>
        <w:tabs>
          <w:tab w:val="right" w:leader="dot" w:pos="8828"/>
        </w:tabs>
        <w:spacing w:before="120" w:after="120"/>
        <w:rPr>
          <w:rFonts w:asciiTheme="minorHAnsi" w:eastAsiaTheme="minorEastAsia" w:hAnsiTheme="minorHAnsi" w:cstheme="minorBidi"/>
          <w:noProof/>
        </w:rPr>
      </w:pPr>
      <w:r w:rsidRPr="005970E9">
        <w:fldChar w:fldCharType="begin"/>
      </w:r>
      <w:r w:rsidRPr="005970E9">
        <w:instrText xml:space="preserve"> TOC \h \z \c "Cuadro" </w:instrText>
      </w:r>
      <w:r w:rsidRPr="005970E9">
        <w:fldChar w:fldCharType="separate"/>
      </w:r>
      <w:hyperlink w:anchor="_Toc42549167" w:history="1">
        <w:r w:rsidR="006A2415" w:rsidRPr="001B5A71">
          <w:rPr>
            <w:rStyle w:val="Hyperlink"/>
            <w:noProof/>
          </w:rPr>
          <w:t>Cuadro 1. INDICADORES DE PARTICIPACIÓN FEMENINA EN EL ÓRGANO JUDICIAL EN FUNCIONES JURISDICCIONALES: AÑOS 2007 - 2020</w:t>
        </w:r>
        <w:r w:rsidR="006A2415">
          <w:rPr>
            <w:noProof/>
            <w:webHidden/>
          </w:rPr>
          <w:tab/>
        </w:r>
        <w:r w:rsidR="006A2415">
          <w:rPr>
            <w:noProof/>
            <w:webHidden/>
          </w:rPr>
          <w:fldChar w:fldCharType="begin"/>
        </w:r>
        <w:r w:rsidR="006A2415">
          <w:rPr>
            <w:noProof/>
            <w:webHidden/>
          </w:rPr>
          <w:instrText xml:space="preserve"> PAGEREF _Toc42549167 \h </w:instrText>
        </w:r>
        <w:r w:rsidR="006A2415">
          <w:rPr>
            <w:noProof/>
            <w:webHidden/>
          </w:rPr>
        </w:r>
        <w:r w:rsidR="006A2415">
          <w:rPr>
            <w:noProof/>
            <w:webHidden/>
          </w:rPr>
          <w:fldChar w:fldCharType="separate"/>
        </w:r>
        <w:r w:rsidR="006A2415">
          <w:rPr>
            <w:noProof/>
            <w:webHidden/>
          </w:rPr>
          <w:t>49</w:t>
        </w:r>
        <w:r w:rsidR="006A2415">
          <w:rPr>
            <w:noProof/>
            <w:webHidden/>
          </w:rPr>
          <w:fldChar w:fldCharType="end"/>
        </w:r>
      </w:hyperlink>
    </w:p>
    <w:p w14:paraId="2D6F62DE" w14:textId="6D3020EA"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68" w:history="1">
        <w:r w:rsidR="006A2415" w:rsidRPr="001B5A71">
          <w:rPr>
            <w:rStyle w:val="Hyperlink"/>
            <w:noProof/>
          </w:rPr>
          <w:t xml:space="preserve">Cuadro 2. </w:t>
        </w:r>
        <w:r w:rsidR="006A2415" w:rsidRPr="001B5A71">
          <w:rPr>
            <w:rStyle w:val="Hyperlink"/>
            <w:rFonts w:cs="Arial"/>
            <w:noProof/>
          </w:rPr>
          <w:t>MATRÍCULA DE ESTUDIANTES A NIVEL PRIMARIO Y SECUNDARIO, POR SEXO, SEGÚN PROVINCIAS EN LA REPÚBLICA DE PANAMÁ: 2010-2018</w:t>
        </w:r>
        <w:r w:rsidR="006A2415">
          <w:rPr>
            <w:noProof/>
            <w:webHidden/>
          </w:rPr>
          <w:tab/>
        </w:r>
        <w:r w:rsidR="006A2415">
          <w:rPr>
            <w:noProof/>
            <w:webHidden/>
          </w:rPr>
          <w:fldChar w:fldCharType="begin"/>
        </w:r>
        <w:r w:rsidR="006A2415">
          <w:rPr>
            <w:noProof/>
            <w:webHidden/>
          </w:rPr>
          <w:instrText xml:space="preserve"> PAGEREF _Toc42549168 \h </w:instrText>
        </w:r>
        <w:r w:rsidR="006A2415">
          <w:rPr>
            <w:noProof/>
            <w:webHidden/>
          </w:rPr>
        </w:r>
        <w:r w:rsidR="006A2415">
          <w:rPr>
            <w:noProof/>
            <w:webHidden/>
          </w:rPr>
          <w:fldChar w:fldCharType="separate"/>
        </w:r>
        <w:r w:rsidR="006A2415">
          <w:rPr>
            <w:noProof/>
            <w:webHidden/>
          </w:rPr>
          <w:t>81</w:t>
        </w:r>
        <w:r w:rsidR="006A2415">
          <w:rPr>
            <w:noProof/>
            <w:webHidden/>
          </w:rPr>
          <w:fldChar w:fldCharType="end"/>
        </w:r>
      </w:hyperlink>
    </w:p>
    <w:p w14:paraId="2530A323" w14:textId="18196C42"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69" w:history="1">
        <w:r w:rsidR="006A2415" w:rsidRPr="001B5A71">
          <w:rPr>
            <w:rStyle w:val="Hyperlink"/>
            <w:noProof/>
          </w:rPr>
          <w:t>Cuadro 3. CANTIDAD DE ALUMNAS EMBARAZADAS ATENDIDAS EN LA EDUCACIÓN PRIMARIA, PREMEDIA Y MEDIA OFICIAL, SEGÚN REGIÓN EDUCATIVA: 2010-2016</w:t>
        </w:r>
        <w:r w:rsidR="006A2415">
          <w:rPr>
            <w:noProof/>
            <w:webHidden/>
          </w:rPr>
          <w:tab/>
        </w:r>
        <w:r w:rsidR="006A2415">
          <w:rPr>
            <w:noProof/>
            <w:webHidden/>
          </w:rPr>
          <w:fldChar w:fldCharType="begin"/>
        </w:r>
        <w:r w:rsidR="006A2415">
          <w:rPr>
            <w:noProof/>
            <w:webHidden/>
          </w:rPr>
          <w:instrText xml:space="preserve"> PAGEREF _Toc42549169 \h </w:instrText>
        </w:r>
        <w:r w:rsidR="006A2415">
          <w:rPr>
            <w:noProof/>
            <w:webHidden/>
          </w:rPr>
        </w:r>
        <w:r w:rsidR="006A2415">
          <w:rPr>
            <w:noProof/>
            <w:webHidden/>
          </w:rPr>
          <w:fldChar w:fldCharType="separate"/>
        </w:r>
        <w:r w:rsidR="006A2415">
          <w:rPr>
            <w:noProof/>
            <w:webHidden/>
          </w:rPr>
          <w:t>84</w:t>
        </w:r>
        <w:r w:rsidR="006A2415">
          <w:rPr>
            <w:noProof/>
            <w:webHidden/>
          </w:rPr>
          <w:fldChar w:fldCharType="end"/>
        </w:r>
      </w:hyperlink>
    </w:p>
    <w:p w14:paraId="55EF29F0" w14:textId="43BDD8FA"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70" w:history="1">
        <w:r w:rsidR="006A2415" w:rsidRPr="001B5A71">
          <w:rPr>
            <w:rStyle w:val="Hyperlink"/>
            <w:noProof/>
          </w:rPr>
          <w:t>Cuadro 4. COBERTURA DE INSTALACIONES EDUCATIVAS, REPUBLICA DE PANAMÁ, POR PROVINCIAS Y SEGÚN TIPO DE DEPENDENCIA. AÑO LECTIVO 2019-2020</w:t>
        </w:r>
        <w:r w:rsidR="006A2415">
          <w:rPr>
            <w:noProof/>
            <w:webHidden/>
          </w:rPr>
          <w:tab/>
        </w:r>
        <w:r w:rsidR="006A2415">
          <w:rPr>
            <w:noProof/>
            <w:webHidden/>
          </w:rPr>
          <w:fldChar w:fldCharType="begin"/>
        </w:r>
        <w:r w:rsidR="006A2415">
          <w:rPr>
            <w:noProof/>
            <w:webHidden/>
          </w:rPr>
          <w:instrText xml:space="preserve"> PAGEREF _Toc42549170 \h </w:instrText>
        </w:r>
        <w:r w:rsidR="006A2415">
          <w:rPr>
            <w:noProof/>
            <w:webHidden/>
          </w:rPr>
        </w:r>
        <w:r w:rsidR="006A2415">
          <w:rPr>
            <w:noProof/>
            <w:webHidden/>
          </w:rPr>
          <w:fldChar w:fldCharType="separate"/>
        </w:r>
        <w:r w:rsidR="006A2415">
          <w:rPr>
            <w:noProof/>
            <w:webHidden/>
          </w:rPr>
          <w:t>86</w:t>
        </w:r>
        <w:r w:rsidR="006A2415">
          <w:rPr>
            <w:noProof/>
            <w:webHidden/>
          </w:rPr>
          <w:fldChar w:fldCharType="end"/>
        </w:r>
      </w:hyperlink>
    </w:p>
    <w:p w14:paraId="5328CD2E" w14:textId="77377DEA"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71" w:history="1">
        <w:r w:rsidR="006A2415" w:rsidRPr="001B5A71">
          <w:rPr>
            <w:rStyle w:val="Hyperlink"/>
            <w:noProof/>
          </w:rPr>
          <w:t xml:space="preserve">Cuadro 5. </w:t>
        </w:r>
        <w:r w:rsidR="006A2415" w:rsidRPr="001B5A71">
          <w:rPr>
            <w:rStyle w:val="Hyperlink"/>
            <w:rFonts w:eastAsia="Times New Roman"/>
            <w:noProof/>
          </w:rPr>
          <w:t>ESPERANZA DE VIDA AL NACER EN AÑOS EN PANAMÁ POR SEXO: QUINQUENIOS 2000-2030</w:t>
        </w:r>
        <w:r w:rsidR="006A2415" w:rsidRPr="001B5A71">
          <w:rPr>
            <w:rStyle w:val="Hyperlink"/>
            <w:rFonts w:eastAsia="Times New Roman"/>
            <w:b/>
            <w:bCs/>
            <w:noProof/>
          </w:rPr>
          <w:t>*</w:t>
        </w:r>
        <w:r w:rsidR="006A2415">
          <w:rPr>
            <w:noProof/>
            <w:webHidden/>
          </w:rPr>
          <w:tab/>
        </w:r>
        <w:r w:rsidR="006A2415">
          <w:rPr>
            <w:noProof/>
            <w:webHidden/>
          </w:rPr>
          <w:fldChar w:fldCharType="begin"/>
        </w:r>
        <w:r w:rsidR="006A2415">
          <w:rPr>
            <w:noProof/>
            <w:webHidden/>
          </w:rPr>
          <w:instrText xml:space="preserve"> PAGEREF _Toc42549171 \h </w:instrText>
        </w:r>
        <w:r w:rsidR="006A2415">
          <w:rPr>
            <w:noProof/>
            <w:webHidden/>
          </w:rPr>
        </w:r>
        <w:r w:rsidR="006A2415">
          <w:rPr>
            <w:noProof/>
            <w:webHidden/>
          </w:rPr>
          <w:fldChar w:fldCharType="separate"/>
        </w:r>
        <w:r w:rsidR="006A2415">
          <w:rPr>
            <w:noProof/>
            <w:webHidden/>
          </w:rPr>
          <w:t>87</w:t>
        </w:r>
        <w:r w:rsidR="006A2415">
          <w:rPr>
            <w:noProof/>
            <w:webHidden/>
          </w:rPr>
          <w:fldChar w:fldCharType="end"/>
        </w:r>
      </w:hyperlink>
    </w:p>
    <w:p w14:paraId="5F543440" w14:textId="392E88BD"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72" w:history="1">
        <w:r w:rsidR="006A2415" w:rsidRPr="001B5A71">
          <w:rPr>
            <w:rStyle w:val="Hyperlink"/>
            <w:noProof/>
          </w:rPr>
          <w:t xml:space="preserve">Cuadro 6. </w:t>
        </w:r>
        <w:r w:rsidR="006A2415" w:rsidRPr="001B5A71">
          <w:rPr>
            <w:rStyle w:val="Hyperlink"/>
            <w:rFonts w:eastAsia="Times New Roman" w:cs="Arial"/>
            <w:noProof/>
          </w:rPr>
          <w:t>INDICADORES DE FECUNDIDAD EN LA REPÚBLICA, SEGÚN ÁREA, PROVINCIA Y COMARCA INDÍGENA: AÑO 2010-2018</w:t>
        </w:r>
        <w:r w:rsidR="006A2415">
          <w:rPr>
            <w:noProof/>
            <w:webHidden/>
          </w:rPr>
          <w:tab/>
        </w:r>
        <w:r w:rsidR="006A2415">
          <w:rPr>
            <w:noProof/>
            <w:webHidden/>
          </w:rPr>
          <w:fldChar w:fldCharType="begin"/>
        </w:r>
        <w:r w:rsidR="006A2415">
          <w:rPr>
            <w:noProof/>
            <w:webHidden/>
          </w:rPr>
          <w:instrText xml:space="preserve"> PAGEREF _Toc42549172 \h </w:instrText>
        </w:r>
        <w:r w:rsidR="006A2415">
          <w:rPr>
            <w:noProof/>
            <w:webHidden/>
          </w:rPr>
        </w:r>
        <w:r w:rsidR="006A2415">
          <w:rPr>
            <w:noProof/>
            <w:webHidden/>
          </w:rPr>
          <w:fldChar w:fldCharType="separate"/>
        </w:r>
        <w:r w:rsidR="006A2415">
          <w:rPr>
            <w:noProof/>
            <w:webHidden/>
          </w:rPr>
          <w:t>90</w:t>
        </w:r>
        <w:r w:rsidR="006A2415">
          <w:rPr>
            <w:noProof/>
            <w:webHidden/>
          </w:rPr>
          <w:fldChar w:fldCharType="end"/>
        </w:r>
      </w:hyperlink>
    </w:p>
    <w:p w14:paraId="3C657396" w14:textId="7A524747"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73" w:history="1">
        <w:r w:rsidR="006A2415" w:rsidRPr="001B5A71">
          <w:rPr>
            <w:rStyle w:val="Hyperlink"/>
            <w:noProof/>
          </w:rPr>
          <w:t xml:space="preserve">Cuadro 7. </w:t>
        </w:r>
        <w:r w:rsidR="006A2415" w:rsidRPr="001B5A71">
          <w:rPr>
            <w:rStyle w:val="Hyperlink"/>
            <w:rFonts w:eastAsia="Times New Roman" w:cs="Arial"/>
            <w:noProof/>
          </w:rPr>
          <w:t>CANTIDAD DE NACIMIENTOS VIVOS EN LA REPÚBLICA Y PROPORCIÓN, SEGÚN EDAD DE LA MADRE: AÑOS 2010-2018</w:t>
        </w:r>
        <w:r w:rsidR="006A2415">
          <w:rPr>
            <w:noProof/>
            <w:webHidden/>
          </w:rPr>
          <w:tab/>
        </w:r>
        <w:r w:rsidR="006A2415">
          <w:rPr>
            <w:noProof/>
            <w:webHidden/>
          </w:rPr>
          <w:fldChar w:fldCharType="begin"/>
        </w:r>
        <w:r w:rsidR="006A2415">
          <w:rPr>
            <w:noProof/>
            <w:webHidden/>
          </w:rPr>
          <w:instrText xml:space="preserve"> PAGEREF _Toc42549173 \h </w:instrText>
        </w:r>
        <w:r w:rsidR="006A2415">
          <w:rPr>
            <w:noProof/>
            <w:webHidden/>
          </w:rPr>
        </w:r>
        <w:r w:rsidR="006A2415">
          <w:rPr>
            <w:noProof/>
            <w:webHidden/>
          </w:rPr>
          <w:fldChar w:fldCharType="separate"/>
        </w:r>
        <w:r w:rsidR="006A2415">
          <w:rPr>
            <w:noProof/>
            <w:webHidden/>
          </w:rPr>
          <w:t>91</w:t>
        </w:r>
        <w:r w:rsidR="006A2415">
          <w:rPr>
            <w:noProof/>
            <w:webHidden/>
          </w:rPr>
          <w:fldChar w:fldCharType="end"/>
        </w:r>
      </w:hyperlink>
    </w:p>
    <w:p w14:paraId="1B101065" w14:textId="73B785B5"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74" w:history="1">
        <w:r w:rsidR="006A2415" w:rsidRPr="001B5A71">
          <w:rPr>
            <w:rStyle w:val="Hyperlink"/>
            <w:noProof/>
          </w:rPr>
          <w:t xml:space="preserve">Cuadro 8. </w:t>
        </w:r>
        <w:r w:rsidR="006A2415" w:rsidRPr="001B5A71">
          <w:rPr>
            <w:rStyle w:val="Hyperlink"/>
            <w:rFonts w:eastAsia="Times New Roman" w:cs="Arial"/>
            <w:noProof/>
          </w:rPr>
          <w:t>NACIMIENTOS VIVOS EN LA REPÚBLICA, SEGÚN NIVEL DE INSTRUCCIÓN DE LA MADRE:  AÑOS 2010-2018</w:t>
        </w:r>
        <w:r w:rsidR="006A2415">
          <w:rPr>
            <w:noProof/>
            <w:webHidden/>
          </w:rPr>
          <w:tab/>
        </w:r>
        <w:r w:rsidR="006A2415">
          <w:rPr>
            <w:noProof/>
            <w:webHidden/>
          </w:rPr>
          <w:fldChar w:fldCharType="begin"/>
        </w:r>
        <w:r w:rsidR="006A2415">
          <w:rPr>
            <w:noProof/>
            <w:webHidden/>
          </w:rPr>
          <w:instrText xml:space="preserve"> PAGEREF _Toc42549174 \h </w:instrText>
        </w:r>
        <w:r w:rsidR="006A2415">
          <w:rPr>
            <w:noProof/>
            <w:webHidden/>
          </w:rPr>
        </w:r>
        <w:r w:rsidR="006A2415">
          <w:rPr>
            <w:noProof/>
            <w:webHidden/>
          </w:rPr>
          <w:fldChar w:fldCharType="separate"/>
        </w:r>
        <w:r w:rsidR="006A2415">
          <w:rPr>
            <w:noProof/>
            <w:webHidden/>
          </w:rPr>
          <w:t>93</w:t>
        </w:r>
        <w:r w:rsidR="006A2415">
          <w:rPr>
            <w:noProof/>
            <w:webHidden/>
          </w:rPr>
          <w:fldChar w:fldCharType="end"/>
        </w:r>
      </w:hyperlink>
    </w:p>
    <w:p w14:paraId="5251B06E" w14:textId="309E07B7"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75" w:history="1">
        <w:r w:rsidR="006A2415" w:rsidRPr="001B5A71">
          <w:rPr>
            <w:rStyle w:val="Hyperlink"/>
            <w:noProof/>
          </w:rPr>
          <w:t xml:space="preserve">Cuadro 9. </w:t>
        </w:r>
        <w:r w:rsidR="006A2415" w:rsidRPr="001B5A71">
          <w:rPr>
            <w:rStyle w:val="Hyperlink"/>
            <w:rFonts w:eastAsia="Times New Roman" w:cs="Arial"/>
            <w:noProof/>
          </w:rPr>
          <w:t>NACIMIENTOS VIVOS EN LA REPÚBLICA, POR ASISTENCIA PROFESIONAL, SEGÚN ÁREA, PROVINCIA Y COMARCA: AÑOS 2010-2018</w:t>
        </w:r>
        <w:r w:rsidR="006A2415">
          <w:rPr>
            <w:noProof/>
            <w:webHidden/>
          </w:rPr>
          <w:tab/>
        </w:r>
        <w:r w:rsidR="006A2415">
          <w:rPr>
            <w:noProof/>
            <w:webHidden/>
          </w:rPr>
          <w:fldChar w:fldCharType="begin"/>
        </w:r>
        <w:r w:rsidR="006A2415">
          <w:rPr>
            <w:noProof/>
            <w:webHidden/>
          </w:rPr>
          <w:instrText xml:space="preserve"> PAGEREF _Toc42549175 \h </w:instrText>
        </w:r>
        <w:r w:rsidR="006A2415">
          <w:rPr>
            <w:noProof/>
            <w:webHidden/>
          </w:rPr>
        </w:r>
        <w:r w:rsidR="006A2415">
          <w:rPr>
            <w:noProof/>
            <w:webHidden/>
          </w:rPr>
          <w:fldChar w:fldCharType="separate"/>
        </w:r>
        <w:r w:rsidR="006A2415">
          <w:rPr>
            <w:noProof/>
            <w:webHidden/>
          </w:rPr>
          <w:t>93</w:t>
        </w:r>
        <w:r w:rsidR="006A2415">
          <w:rPr>
            <w:noProof/>
            <w:webHidden/>
          </w:rPr>
          <w:fldChar w:fldCharType="end"/>
        </w:r>
      </w:hyperlink>
    </w:p>
    <w:p w14:paraId="22EA5F94" w14:textId="0272DF89"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76" w:history="1">
        <w:r w:rsidR="006A2415" w:rsidRPr="001B5A71">
          <w:rPr>
            <w:rStyle w:val="Hyperlink"/>
            <w:noProof/>
          </w:rPr>
          <w:t xml:space="preserve">Cuadro 10. </w:t>
        </w:r>
        <w:r w:rsidR="006A2415" w:rsidRPr="001B5A71">
          <w:rPr>
            <w:rStyle w:val="Hyperlink"/>
            <w:rFonts w:eastAsia="Times New Roman" w:cs="Arial"/>
            <w:noProof/>
          </w:rPr>
          <w:t>NACIMIENTOS VIVOS EN LA REPÚBLICA, POR ASISTENCIA PROFESIONAL Y PERSONA QUE ATENDIÓ EL PARTO, SEGÚN ÁREA, PROVINCIA, COMARCA INDÍGENA:  AÑO 2018</w:t>
        </w:r>
        <w:r w:rsidR="006A2415">
          <w:rPr>
            <w:noProof/>
            <w:webHidden/>
          </w:rPr>
          <w:tab/>
        </w:r>
        <w:r w:rsidR="006A2415">
          <w:rPr>
            <w:noProof/>
            <w:webHidden/>
          </w:rPr>
          <w:fldChar w:fldCharType="begin"/>
        </w:r>
        <w:r w:rsidR="006A2415">
          <w:rPr>
            <w:noProof/>
            <w:webHidden/>
          </w:rPr>
          <w:instrText xml:space="preserve"> PAGEREF _Toc42549176 \h </w:instrText>
        </w:r>
        <w:r w:rsidR="006A2415">
          <w:rPr>
            <w:noProof/>
            <w:webHidden/>
          </w:rPr>
        </w:r>
        <w:r w:rsidR="006A2415">
          <w:rPr>
            <w:noProof/>
            <w:webHidden/>
          </w:rPr>
          <w:fldChar w:fldCharType="separate"/>
        </w:r>
        <w:r w:rsidR="006A2415">
          <w:rPr>
            <w:noProof/>
            <w:webHidden/>
          </w:rPr>
          <w:t>94</w:t>
        </w:r>
        <w:r w:rsidR="006A2415">
          <w:rPr>
            <w:noProof/>
            <w:webHidden/>
          </w:rPr>
          <w:fldChar w:fldCharType="end"/>
        </w:r>
      </w:hyperlink>
    </w:p>
    <w:p w14:paraId="14616EA9" w14:textId="02319613"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77" w:history="1">
        <w:r w:rsidR="006A2415" w:rsidRPr="001B5A71">
          <w:rPr>
            <w:rStyle w:val="Hyperlink"/>
            <w:noProof/>
          </w:rPr>
          <w:t xml:space="preserve">Cuadro 11. </w:t>
        </w:r>
        <w:r w:rsidR="006A2415" w:rsidRPr="001B5A71">
          <w:rPr>
            <w:rStyle w:val="Hyperlink"/>
            <w:rFonts w:eastAsia="Times New Roman" w:cs="Arial"/>
            <w:noProof/>
          </w:rPr>
          <w:t>TASA DE MORTALIDAD SEGÚN LAS PRINCIPALES CAUSAS DE MUERTE EN LA REPÚBLICA DE PANAMA, POR SEXO:  AÑOS 2010-2018</w:t>
        </w:r>
        <w:r w:rsidR="006A2415">
          <w:rPr>
            <w:noProof/>
            <w:webHidden/>
          </w:rPr>
          <w:tab/>
        </w:r>
        <w:r w:rsidR="006A2415">
          <w:rPr>
            <w:noProof/>
            <w:webHidden/>
          </w:rPr>
          <w:fldChar w:fldCharType="begin"/>
        </w:r>
        <w:r w:rsidR="006A2415">
          <w:rPr>
            <w:noProof/>
            <w:webHidden/>
          </w:rPr>
          <w:instrText xml:space="preserve"> PAGEREF _Toc42549177 \h </w:instrText>
        </w:r>
        <w:r w:rsidR="006A2415">
          <w:rPr>
            <w:noProof/>
            <w:webHidden/>
          </w:rPr>
        </w:r>
        <w:r w:rsidR="006A2415">
          <w:rPr>
            <w:noProof/>
            <w:webHidden/>
          </w:rPr>
          <w:fldChar w:fldCharType="separate"/>
        </w:r>
        <w:r w:rsidR="006A2415">
          <w:rPr>
            <w:noProof/>
            <w:webHidden/>
          </w:rPr>
          <w:t>95</w:t>
        </w:r>
        <w:r w:rsidR="006A2415">
          <w:rPr>
            <w:noProof/>
            <w:webHidden/>
          </w:rPr>
          <w:fldChar w:fldCharType="end"/>
        </w:r>
      </w:hyperlink>
    </w:p>
    <w:p w14:paraId="78DEFE37" w14:textId="2D1AF076"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78" w:history="1">
        <w:r w:rsidR="006A2415" w:rsidRPr="001B5A71">
          <w:rPr>
            <w:rStyle w:val="Hyperlink"/>
            <w:noProof/>
          </w:rPr>
          <w:t xml:space="preserve">Cuadro 12. </w:t>
        </w:r>
        <w:r w:rsidR="006A2415" w:rsidRPr="001B5A71">
          <w:rPr>
            <w:rStyle w:val="Hyperlink"/>
            <w:rFonts w:eastAsia="Times New Roman" w:cs="Arial"/>
            <w:noProof/>
          </w:rPr>
          <w:t>DEFUNCIONES MATERNAS EN LA REPÚBLICA, SEGÚN CAUSA:  AÑO 2018 EN COMPARACIÓN CON LOS AÑOS 2000, 2005, 2010, 2015 Y 2018</w:t>
        </w:r>
        <w:r w:rsidR="006A2415">
          <w:rPr>
            <w:noProof/>
            <w:webHidden/>
          </w:rPr>
          <w:tab/>
        </w:r>
        <w:r w:rsidR="006A2415">
          <w:rPr>
            <w:noProof/>
            <w:webHidden/>
          </w:rPr>
          <w:fldChar w:fldCharType="begin"/>
        </w:r>
        <w:r w:rsidR="006A2415">
          <w:rPr>
            <w:noProof/>
            <w:webHidden/>
          </w:rPr>
          <w:instrText xml:space="preserve"> PAGEREF _Toc42549178 \h </w:instrText>
        </w:r>
        <w:r w:rsidR="006A2415">
          <w:rPr>
            <w:noProof/>
            <w:webHidden/>
          </w:rPr>
        </w:r>
        <w:r w:rsidR="006A2415">
          <w:rPr>
            <w:noProof/>
            <w:webHidden/>
          </w:rPr>
          <w:fldChar w:fldCharType="separate"/>
        </w:r>
        <w:r w:rsidR="006A2415">
          <w:rPr>
            <w:noProof/>
            <w:webHidden/>
          </w:rPr>
          <w:t>97</w:t>
        </w:r>
        <w:r w:rsidR="006A2415">
          <w:rPr>
            <w:noProof/>
            <w:webHidden/>
          </w:rPr>
          <w:fldChar w:fldCharType="end"/>
        </w:r>
      </w:hyperlink>
    </w:p>
    <w:p w14:paraId="1DCB865C" w14:textId="412261E4"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79" w:history="1">
        <w:r w:rsidR="006A2415" w:rsidRPr="001B5A71">
          <w:rPr>
            <w:rStyle w:val="Hyperlink"/>
            <w:noProof/>
          </w:rPr>
          <w:t>Cuadro 13.</w:t>
        </w:r>
        <w:r w:rsidR="006A2415" w:rsidRPr="001B5A71">
          <w:rPr>
            <w:rStyle w:val="Hyperlink"/>
            <w:rFonts w:eastAsia="Times New Roman" w:cs="Arial"/>
            <w:noProof/>
          </w:rPr>
          <w:t xml:space="preserve"> DEFUNCIONES Y PORCENTAJE POR ENFERMEDAD POR VIH EN LA REPÚBLICA, POR SEXO, SEGÚN PROVINCIA Y COMARCA INDÍGENA: AÑO 2018</w:t>
        </w:r>
        <w:r w:rsidR="006A2415">
          <w:rPr>
            <w:noProof/>
            <w:webHidden/>
          </w:rPr>
          <w:tab/>
        </w:r>
        <w:r w:rsidR="006A2415">
          <w:rPr>
            <w:noProof/>
            <w:webHidden/>
          </w:rPr>
          <w:fldChar w:fldCharType="begin"/>
        </w:r>
        <w:r w:rsidR="006A2415">
          <w:rPr>
            <w:noProof/>
            <w:webHidden/>
          </w:rPr>
          <w:instrText xml:space="preserve"> PAGEREF _Toc42549179 \h </w:instrText>
        </w:r>
        <w:r w:rsidR="006A2415">
          <w:rPr>
            <w:noProof/>
            <w:webHidden/>
          </w:rPr>
        </w:r>
        <w:r w:rsidR="006A2415">
          <w:rPr>
            <w:noProof/>
            <w:webHidden/>
          </w:rPr>
          <w:fldChar w:fldCharType="separate"/>
        </w:r>
        <w:r w:rsidR="006A2415">
          <w:rPr>
            <w:noProof/>
            <w:webHidden/>
          </w:rPr>
          <w:t>99</w:t>
        </w:r>
        <w:r w:rsidR="006A2415">
          <w:rPr>
            <w:noProof/>
            <w:webHidden/>
          </w:rPr>
          <w:fldChar w:fldCharType="end"/>
        </w:r>
      </w:hyperlink>
    </w:p>
    <w:p w14:paraId="2F834773" w14:textId="23EE2CFF" w:rsidR="00C506F7" w:rsidRPr="005970E9" w:rsidRDefault="00C506F7" w:rsidP="006A2415">
      <w:pPr>
        <w:spacing w:before="120" w:after="120"/>
      </w:pPr>
      <w:r w:rsidRPr="005970E9">
        <w:fldChar w:fldCharType="end"/>
      </w:r>
      <w:bookmarkEnd w:id="2"/>
    </w:p>
    <w:bookmarkEnd w:id="3"/>
    <w:p w14:paraId="52A88BF8" w14:textId="270E851C" w:rsidR="00C506F7" w:rsidRPr="005970E9" w:rsidRDefault="00C506F7"/>
    <w:p w14:paraId="35BE2789" w14:textId="1F87F191" w:rsidR="001C6230" w:rsidRPr="005970E9" w:rsidRDefault="001C6230">
      <w:pPr>
        <w:pStyle w:val="TableofFigures"/>
        <w:tabs>
          <w:tab w:val="right" w:leader="dot" w:pos="8828"/>
        </w:tabs>
        <w:rPr>
          <w:b/>
          <w:bCs/>
        </w:rPr>
      </w:pPr>
      <w:bookmarkStart w:id="4" w:name="_Hlk39073665"/>
      <w:r w:rsidRPr="005970E9">
        <w:rPr>
          <w:b/>
          <w:bCs/>
        </w:rPr>
        <w:t>ÍNDICE DE TABLAS</w:t>
      </w:r>
    </w:p>
    <w:p w14:paraId="4FC2CBDA" w14:textId="77777777" w:rsidR="001C6230" w:rsidRPr="005970E9" w:rsidRDefault="001C6230" w:rsidP="001C6230"/>
    <w:bookmarkStart w:id="5" w:name="_Hlk42507729"/>
    <w:bookmarkStart w:id="6" w:name="_Hlk42465789"/>
    <w:p w14:paraId="78B8F936" w14:textId="7A46ECBF" w:rsidR="006A2415" w:rsidRDefault="00C506F7" w:rsidP="006A2415">
      <w:pPr>
        <w:pStyle w:val="TableofFigures"/>
        <w:tabs>
          <w:tab w:val="right" w:leader="dot" w:pos="8828"/>
        </w:tabs>
        <w:spacing w:before="120" w:after="120"/>
        <w:rPr>
          <w:rFonts w:asciiTheme="minorHAnsi" w:eastAsiaTheme="minorEastAsia" w:hAnsiTheme="minorHAnsi" w:cstheme="minorBidi"/>
          <w:noProof/>
        </w:rPr>
      </w:pPr>
      <w:r w:rsidRPr="005970E9">
        <w:fldChar w:fldCharType="begin"/>
      </w:r>
      <w:r w:rsidRPr="005970E9">
        <w:instrText xml:space="preserve"> TOC \h \z \c "Tabla" </w:instrText>
      </w:r>
      <w:r w:rsidRPr="005970E9">
        <w:fldChar w:fldCharType="separate"/>
      </w:r>
      <w:hyperlink w:anchor="_Toc42549195" w:history="1">
        <w:r w:rsidR="006A2415" w:rsidRPr="007C0B6A">
          <w:rPr>
            <w:rStyle w:val="Hyperlink"/>
            <w:noProof/>
          </w:rPr>
          <w:t xml:space="preserve">Tabla 1. </w:t>
        </w:r>
        <w:r w:rsidR="006A2415" w:rsidRPr="007C0B6A">
          <w:rPr>
            <w:rStyle w:val="Hyperlink"/>
            <w:rFonts w:eastAsia="Century Schoolbook" w:cs="Century Schoolbook"/>
            <w:bCs/>
            <w:noProof/>
          </w:rPr>
          <w:t>Población de 15 y más años de edad, no agrícola ocupada</w:t>
        </w:r>
        <w:r w:rsidR="006A2415" w:rsidRPr="007C0B6A">
          <w:rPr>
            <w:rStyle w:val="Hyperlink"/>
            <w:rFonts w:eastAsia="Century Schoolbook" w:cs="Century Schoolbook"/>
            <w:bCs/>
            <w:noProof/>
            <w:vertAlign w:val="superscript"/>
          </w:rPr>
          <w:t xml:space="preserve"> (*)</w:t>
        </w:r>
        <w:r w:rsidR="006A2415" w:rsidRPr="007C0B6A">
          <w:rPr>
            <w:rStyle w:val="Hyperlink"/>
            <w:rFonts w:eastAsia="Century Schoolbook" w:cs="Century Schoolbook"/>
            <w:bCs/>
            <w:noProof/>
          </w:rPr>
          <w:t xml:space="preserve"> por nivel de instrucción por sexo</w:t>
        </w:r>
        <w:r w:rsidR="006A2415" w:rsidRPr="007C0B6A">
          <w:rPr>
            <w:rStyle w:val="Hyperlink"/>
            <w:rFonts w:eastAsia="Century Schoolbook" w:cs="Century Schoolbook"/>
            <w:b/>
            <w:noProof/>
          </w:rPr>
          <w:t>.</w:t>
        </w:r>
        <w:r w:rsidR="006A2415">
          <w:rPr>
            <w:noProof/>
            <w:webHidden/>
          </w:rPr>
          <w:tab/>
        </w:r>
        <w:r w:rsidR="006A2415">
          <w:rPr>
            <w:noProof/>
            <w:webHidden/>
          </w:rPr>
          <w:fldChar w:fldCharType="begin"/>
        </w:r>
        <w:r w:rsidR="006A2415">
          <w:rPr>
            <w:noProof/>
            <w:webHidden/>
          </w:rPr>
          <w:instrText xml:space="preserve"> PAGEREF _Toc42549195 \h </w:instrText>
        </w:r>
        <w:r w:rsidR="006A2415">
          <w:rPr>
            <w:noProof/>
            <w:webHidden/>
          </w:rPr>
        </w:r>
        <w:r w:rsidR="006A2415">
          <w:rPr>
            <w:noProof/>
            <w:webHidden/>
          </w:rPr>
          <w:fldChar w:fldCharType="separate"/>
        </w:r>
        <w:r w:rsidR="006A2415">
          <w:rPr>
            <w:noProof/>
            <w:webHidden/>
          </w:rPr>
          <w:t>31</w:t>
        </w:r>
        <w:r w:rsidR="006A2415">
          <w:rPr>
            <w:noProof/>
            <w:webHidden/>
          </w:rPr>
          <w:fldChar w:fldCharType="end"/>
        </w:r>
      </w:hyperlink>
    </w:p>
    <w:p w14:paraId="6B3D75BD" w14:textId="2FF95EBC"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96" w:history="1">
        <w:r w:rsidR="006A2415" w:rsidRPr="007C0B6A">
          <w:rPr>
            <w:rStyle w:val="Hyperlink"/>
            <w:noProof/>
          </w:rPr>
          <w:t xml:space="preserve">Tabla 2. </w:t>
        </w:r>
        <w:r w:rsidR="006A2415" w:rsidRPr="007C0B6A">
          <w:rPr>
            <w:rStyle w:val="Hyperlink"/>
            <w:rFonts w:cs="Myriad Pro"/>
            <w:noProof/>
          </w:rPr>
          <w:t>Resultados de la aplicación del Índice de Paridad Política en Panamá, por dimensión y puntaje. 2014</w:t>
        </w:r>
        <w:r w:rsidR="006A2415">
          <w:rPr>
            <w:noProof/>
            <w:webHidden/>
          </w:rPr>
          <w:tab/>
        </w:r>
        <w:r w:rsidR="006A2415">
          <w:rPr>
            <w:noProof/>
            <w:webHidden/>
          </w:rPr>
          <w:fldChar w:fldCharType="begin"/>
        </w:r>
        <w:r w:rsidR="006A2415">
          <w:rPr>
            <w:noProof/>
            <w:webHidden/>
          </w:rPr>
          <w:instrText xml:space="preserve"> PAGEREF _Toc42549196 \h </w:instrText>
        </w:r>
        <w:r w:rsidR="006A2415">
          <w:rPr>
            <w:noProof/>
            <w:webHidden/>
          </w:rPr>
        </w:r>
        <w:r w:rsidR="006A2415">
          <w:rPr>
            <w:noProof/>
            <w:webHidden/>
          </w:rPr>
          <w:fldChar w:fldCharType="separate"/>
        </w:r>
        <w:r w:rsidR="006A2415">
          <w:rPr>
            <w:noProof/>
            <w:webHidden/>
          </w:rPr>
          <w:t>39</w:t>
        </w:r>
        <w:r w:rsidR="006A2415">
          <w:rPr>
            <w:noProof/>
            <w:webHidden/>
          </w:rPr>
          <w:fldChar w:fldCharType="end"/>
        </w:r>
      </w:hyperlink>
    </w:p>
    <w:p w14:paraId="2FDACDDF" w14:textId="72EFE535"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97" w:history="1">
        <w:r w:rsidR="006A2415" w:rsidRPr="007C0B6A">
          <w:rPr>
            <w:rStyle w:val="Hyperlink"/>
            <w:noProof/>
          </w:rPr>
          <w:t xml:space="preserve">Tabla 3. </w:t>
        </w:r>
        <w:r w:rsidR="006A2415" w:rsidRPr="007C0B6A">
          <w:rPr>
            <w:rStyle w:val="Hyperlink"/>
            <w:bCs/>
            <w:noProof/>
          </w:rPr>
          <w:t xml:space="preserve"> Autoridades nacionales y locales, por sexo, según cargo. 2019 – 2024</w:t>
        </w:r>
        <w:r w:rsidR="006A2415">
          <w:rPr>
            <w:noProof/>
            <w:webHidden/>
          </w:rPr>
          <w:tab/>
        </w:r>
        <w:r w:rsidR="006A2415">
          <w:rPr>
            <w:noProof/>
            <w:webHidden/>
          </w:rPr>
          <w:fldChar w:fldCharType="begin"/>
        </w:r>
        <w:r w:rsidR="006A2415">
          <w:rPr>
            <w:noProof/>
            <w:webHidden/>
          </w:rPr>
          <w:instrText xml:space="preserve"> PAGEREF _Toc42549197 \h </w:instrText>
        </w:r>
        <w:r w:rsidR="006A2415">
          <w:rPr>
            <w:noProof/>
            <w:webHidden/>
          </w:rPr>
        </w:r>
        <w:r w:rsidR="006A2415">
          <w:rPr>
            <w:noProof/>
            <w:webHidden/>
          </w:rPr>
          <w:fldChar w:fldCharType="separate"/>
        </w:r>
        <w:r w:rsidR="006A2415">
          <w:rPr>
            <w:noProof/>
            <w:webHidden/>
          </w:rPr>
          <w:t>43</w:t>
        </w:r>
        <w:r w:rsidR="006A2415">
          <w:rPr>
            <w:noProof/>
            <w:webHidden/>
          </w:rPr>
          <w:fldChar w:fldCharType="end"/>
        </w:r>
      </w:hyperlink>
    </w:p>
    <w:p w14:paraId="7818A160" w14:textId="645A6078"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98" w:history="1">
        <w:r w:rsidR="006A2415" w:rsidRPr="007C0B6A">
          <w:rPr>
            <w:rStyle w:val="Hyperlink"/>
            <w:noProof/>
          </w:rPr>
          <w:t>Tabla 4. Número y porcentaje de v</w:t>
        </w:r>
        <w:r w:rsidR="006A2415" w:rsidRPr="007C0B6A">
          <w:rPr>
            <w:rStyle w:val="Hyperlink"/>
            <w:rFonts w:cs="Myriad Pro"/>
            <w:noProof/>
          </w:rPr>
          <w:t>otantes en las elecciones de 2019 según afiliación</w:t>
        </w:r>
        <w:r w:rsidR="006A2415">
          <w:rPr>
            <w:noProof/>
            <w:webHidden/>
          </w:rPr>
          <w:tab/>
        </w:r>
        <w:r w:rsidR="006A2415">
          <w:rPr>
            <w:noProof/>
            <w:webHidden/>
          </w:rPr>
          <w:fldChar w:fldCharType="begin"/>
        </w:r>
        <w:r w:rsidR="006A2415">
          <w:rPr>
            <w:noProof/>
            <w:webHidden/>
          </w:rPr>
          <w:instrText xml:space="preserve"> PAGEREF _Toc42549198 \h </w:instrText>
        </w:r>
        <w:r w:rsidR="006A2415">
          <w:rPr>
            <w:noProof/>
            <w:webHidden/>
          </w:rPr>
        </w:r>
        <w:r w:rsidR="006A2415">
          <w:rPr>
            <w:noProof/>
            <w:webHidden/>
          </w:rPr>
          <w:fldChar w:fldCharType="separate"/>
        </w:r>
        <w:r w:rsidR="006A2415">
          <w:rPr>
            <w:noProof/>
            <w:webHidden/>
          </w:rPr>
          <w:t>46</w:t>
        </w:r>
        <w:r w:rsidR="006A2415">
          <w:rPr>
            <w:noProof/>
            <w:webHidden/>
          </w:rPr>
          <w:fldChar w:fldCharType="end"/>
        </w:r>
      </w:hyperlink>
    </w:p>
    <w:p w14:paraId="63F3D702" w14:textId="2B367EE6"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199" w:history="1">
        <w:r w:rsidR="006A2415" w:rsidRPr="007C0B6A">
          <w:rPr>
            <w:rStyle w:val="Hyperlink"/>
            <w:noProof/>
          </w:rPr>
          <w:t>Tabla 5.</w:t>
        </w:r>
        <w:r w:rsidR="006A2415" w:rsidRPr="007C0B6A">
          <w:rPr>
            <w:rStyle w:val="Hyperlink"/>
            <w:rFonts w:cs="IQZGNC+Balloon"/>
            <w:noProof/>
            <w:lang w:val="es-US" w:eastAsia="en-US"/>
          </w:rPr>
          <w:t xml:space="preserve"> Mujeres con cargos en los Directorios Nacionales y Juntas Directivas de los Partidos Políticos 1/</w:t>
        </w:r>
        <w:r w:rsidR="006A2415">
          <w:rPr>
            <w:noProof/>
            <w:webHidden/>
          </w:rPr>
          <w:tab/>
        </w:r>
        <w:r w:rsidR="006A2415">
          <w:rPr>
            <w:noProof/>
            <w:webHidden/>
          </w:rPr>
          <w:fldChar w:fldCharType="begin"/>
        </w:r>
        <w:r w:rsidR="006A2415">
          <w:rPr>
            <w:noProof/>
            <w:webHidden/>
          </w:rPr>
          <w:instrText xml:space="preserve"> PAGEREF _Toc42549199 \h </w:instrText>
        </w:r>
        <w:r w:rsidR="006A2415">
          <w:rPr>
            <w:noProof/>
            <w:webHidden/>
          </w:rPr>
        </w:r>
        <w:r w:rsidR="006A2415">
          <w:rPr>
            <w:noProof/>
            <w:webHidden/>
          </w:rPr>
          <w:fldChar w:fldCharType="separate"/>
        </w:r>
        <w:r w:rsidR="006A2415">
          <w:rPr>
            <w:noProof/>
            <w:webHidden/>
          </w:rPr>
          <w:t>46</w:t>
        </w:r>
        <w:r w:rsidR="006A2415">
          <w:rPr>
            <w:noProof/>
            <w:webHidden/>
          </w:rPr>
          <w:fldChar w:fldCharType="end"/>
        </w:r>
      </w:hyperlink>
    </w:p>
    <w:p w14:paraId="1C8C60BD" w14:textId="10139881"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00" w:history="1">
        <w:r w:rsidR="006A2415" w:rsidRPr="007C0B6A">
          <w:rPr>
            <w:rStyle w:val="Hyperlink"/>
            <w:noProof/>
          </w:rPr>
          <w:t xml:space="preserve">Tabla 6. </w:t>
        </w:r>
        <w:r w:rsidR="006A2415" w:rsidRPr="007C0B6A">
          <w:rPr>
            <w:rStyle w:val="Hyperlink"/>
            <w:rFonts w:eastAsia="Century Schoolbook" w:cs="Century Schoolbook"/>
            <w:bCs/>
            <w:noProof/>
          </w:rPr>
          <w:t>Índice de desarrollo humano, de género y sus componentes. 2018</w:t>
        </w:r>
        <w:r w:rsidR="006A2415">
          <w:rPr>
            <w:noProof/>
            <w:webHidden/>
          </w:rPr>
          <w:tab/>
        </w:r>
        <w:r w:rsidR="006A2415">
          <w:rPr>
            <w:noProof/>
            <w:webHidden/>
          </w:rPr>
          <w:fldChar w:fldCharType="begin"/>
        </w:r>
        <w:r w:rsidR="006A2415">
          <w:rPr>
            <w:noProof/>
            <w:webHidden/>
          </w:rPr>
          <w:instrText xml:space="preserve"> PAGEREF _Toc42549200 \h </w:instrText>
        </w:r>
        <w:r w:rsidR="006A2415">
          <w:rPr>
            <w:noProof/>
            <w:webHidden/>
          </w:rPr>
        </w:r>
        <w:r w:rsidR="006A2415">
          <w:rPr>
            <w:noProof/>
            <w:webHidden/>
          </w:rPr>
          <w:fldChar w:fldCharType="separate"/>
        </w:r>
        <w:r w:rsidR="006A2415">
          <w:rPr>
            <w:noProof/>
            <w:webHidden/>
          </w:rPr>
          <w:t>53</w:t>
        </w:r>
        <w:r w:rsidR="006A2415">
          <w:rPr>
            <w:noProof/>
            <w:webHidden/>
          </w:rPr>
          <w:fldChar w:fldCharType="end"/>
        </w:r>
      </w:hyperlink>
    </w:p>
    <w:p w14:paraId="5067F38C" w14:textId="7744CE7F"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01" w:history="1">
        <w:r w:rsidR="006A2415" w:rsidRPr="007C0B6A">
          <w:rPr>
            <w:rStyle w:val="Hyperlink"/>
            <w:noProof/>
          </w:rPr>
          <w:t xml:space="preserve">Tabla 7. </w:t>
        </w:r>
        <w:r w:rsidR="006A2415" w:rsidRPr="007C0B6A">
          <w:rPr>
            <w:rStyle w:val="Hyperlink"/>
            <w:rFonts w:eastAsia="Century Schoolbook" w:cs="Century Schoolbook"/>
            <w:noProof/>
          </w:rPr>
          <w:t>Incidencia de Pobreza Multidimensional (IPM), por provincia, según sexo. Años 2017 y 2018</w:t>
        </w:r>
        <w:r w:rsidR="006A2415">
          <w:rPr>
            <w:noProof/>
            <w:webHidden/>
          </w:rPr>
          <w:tab/>
        </w:r>
        <w:r w:rsidR="006A2415">
          <w:rPr>
            <w:noProof/>
            <w:webHidden/>
          </w:rPr>
          <w:fldChar w:fldCharType="begin"/>
        </w:r>
        <w:r w:rsidR="006A2415">
          <w:rPr>
            <w:noProof/>
            <w:webHidden/>
          </w:rPr>
          <w:instrText xml:space="preserve"> PAGEREF _Toc42549201 \h </w:instrText>
        </w:r>
        <w:r w:rsidR="006A2415">
          <w:rPr>
            <w:noProof/>
            <w:webHidden/>
          </w:rPr>
        </w:r>
        <w:r w:rsidR="006A2415">
          <w:rPr>
            <w:noProof/>
            <w:webHidden/>
          </w:rPr>
          <w:fldChar w:fldCharType="separate"/>
        </w:r>
        <w:r w:rsidR="006A2415">
          <w:rPr>
            <w:noProof/>
            <w:webHidden/>
          </w:rPr>
          <w:t>55</w:t>
        </w:r>
        <w:r w:rsidR="006A2415">
          <w:rPr>
            <w:noProof/>
            <w:webHidden/>
          </w:rPr>
          <w:fldChar w:fldCharType="end"/>
        </w:r>
      </w:hyperlink>
    </w:p>
    <w:p w14:paraId="3EF7273D" w14:textId="61D9BF79"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02" w:history="1">
        <w:r w:rsidR="006A2415" w:rsidRPr="007C0B6A">
          <w:rPr>
            <w:rStyle w:val="Hyperlink"/>
            <w:noProof/>
          </w:rPr>
          <w:t xml:space="preserve">Tabla 8. Panamá. </w:t>
        </w:r>
        <w:r w:rsidR="006A2415" w:rsidRPr="007C0B6A">
          <w:rPr>
            <w:rStyle w:val="Hyperlink"/>
            <w:rFonts w:eastAsia="Century Schoolbook" w:cs="Century Schoolbook"/>
            <w:noProof/>
          </w:rPr>
          <w:t>Población sin ingresos propios por sexo, grupos de edad y área geográfica: Años 2013 y 2018</w:t>
        </w:r>
        <w:r w:rsidR="006A2415">
          <w:rPr>
            <w:noProof/>
            <w:webHidden/>
          </w:rPr>
          <w:tab/>
        </w:r>
        <w:r w:rsidR="006A2415">
          <w:rPr>
            <w:noProof/>
            <w:webHidden/>
          </w:rPr>
          <w:fldChar w:fldCharType="begin"/>
        </w:r>
        <w:r w:rsidR="006A2415">
          <w:rPr>
            <w:noProof/>
            <w:webHidden/>
          </w:rPr>
          <w:instrText xml:space="preserve"> PAGEREF _Toc42549202 \h </w:instrText>
        </w:r>
        <w:r w:rsidR="006A2415">
          <w:rPr>
            <w:noProof/>
            <w:webHidden/>
          </w:rPr>
        </w:r>
        <w:r w:rsidR="006A2415">
          <w:rPr>
            <w:noProof/>
            <w:webHidden/>
          </w:rPr>
          <w:fldChar w:fldCharType="separate"/>
        </w:r>
        <w:r w:rsidR="006A2415">
          <w:rPr>
            <w:noProof/>
            <w:webHidden/>
          </w:rPr>
          <w:t>56</w:t>
        </w:r>
        <w:r w:rsidR="006A2415">
          <w:rPr>
            <w:noProof/>
            <w:webHidden/>
          </w:rPr>
          <w:fldChar w:fldCharType="end"/>
        </w:r>
      </w:hyperlink>
    </w:p>
    <w:p w14:paraId="2AA91FC9" w14:textId="54039B1E"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03" w:history="1">
        <w:r w:rsidR="006A2415" w:rsidRPr="007C0B6A">
          <w:rPr>
            <w:rStyle w:val="Hyperlink"/>
            <w:noProof/>
          </w:rPr>
          <w:t xml:space="preserve">Tabla 9. </w:t>
        </w:r>
        <w:r w:rsidR="006A2415" w:rsidRPr="007C0B6A">
          <w:rPr>
            <w:rStyle w:val="Hyperlink"/>
            <w:rFonts w:eastAsia="Century Schoolbook" w:cs="Century Schoolbook"/>
            <w:noProof/>
          </w:rPr>
          <w:t>Índice de feminidad de la pobreza extrema y de la pobreza en la República de Panamá, según área geográfica</w:t>
        </w:r>
        <w:r w:rsidR="006A2415">
          <w:rPr>
            <w:noProof/>
            <w:webHidden/>
          </w:rPr>
          <w:tab/>
        </w:r>
        <w:r w:rsidR="006A2415">
          <w:rPr>
            <w:noProof/>
            <w:webHidden/>
          </w:rPr>
          <w:fldChar w:fldCharType="begin"/>
        </w:r>
        <w:r w:rsidR="006A2415">
          <w:rPr>
            <w:noProof/>
            <w:webHidden/>
          </w:rPr>
          <w:instrText xml:space="preserve"> PAGEREF _Toc42549203 \h </w:instrText>
        </w:r>
        <w:r w:rsidR="006A2415">
          <w:rPr>
            <w:noProof/>
            <w:webHidden/>
          </w:rPr>
        </w:r>
        <w:r w:rsidR="006A2415">
          <w:rPr>
            <w:noProof/>
            <w:webHidden/>
          </w:rPr>
          <w:fldChar w:fldCharType="separate"/>
        </w:r>
        <w:r w:rsidR="006A2415">
          <w:rPr>
            <w:noProof/>
            <w:webHidden/>
          </w:rPr>
          <w:t>58</w:t>
        </w:r>
        <w:r w:rsidR="006A2415">
          <w:rPr>
            <w:noProof/>
            <w:webHidden/>
          </w:rPr>
          <w:fldChar w:fldCharType="end"/>
        </w:r>
      </w:hyperlink>
    </w:p>
    <w:p w14:paraId="35352694" w14:textId="1D1C3311"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04" w:history="1">
        <w:r w:rsidR="006A2415" w:rsidRPr="007C0B6A">
          <w:rPr>
            <w:rStyle w:val="Hyperlink"/>
            <w:noProof/>
          </w:rPr>
          <w:t>Tabla 10. Panamá. P</w:t>
        </w:r>
        <w:r w:rsidR="006A2415" w:rsidRPr="007C0B6A">
          <w:rPr>
            <w:rStyle w:val="Hyperlink"/>
            <w:rFonts w:eastAsia="Century Schoolbook" w:cs="Century Schoolbook"/>
            <w:noProof/>
          </w:rPr>
          <w:t>oblación de 15 y más años de edad, por sexo, según condición en la actividad económica agosto de 2009 - 2019</w:t>
        </w:r>
        <w:r w:rsidR="006A2415">
          <w:rPr>
            <w:noProof/>
            <w:webHidden/>
          </w:rPr>
          <w:tab/>
        </w:r>
        <w:r w:rsidR="006A2415">
          <w:rPr>
            <w:noProof/>
            <w:webHidden/>
          </w:rPr>
          <w:fldChar w:fldCharType="begin"/>
        </w:r>
        <w:r w:rsidR="006A2415">
          <w:rPr>
            <w:noProof/>
            <w:webHidden/>
          </w:rPr>
          <w:instrText xml:space="preserve"> PAGEREF _Toc42549204 \h </w:instrText>
        </w:r>
        <w:r w:rsidR="006A2415">
          <w:rPr>
            <w:noProof/>
            <w:webHidden/>
          </w:rPr>
        </w:r>
        <w:r w:rsidR="006A2415">
          <w:rPr>
            <w:noProof/>
            <w:webHidden/>
          </w:rPr>
          <w:fldChar w:fldCharType="separate"/>
        </w:r>
        <w:r w:rsidR="006A2415">
          <w:rPr>
            <w:noProof/>
            <w:webHidden/>
          </w:rPr>
          <w:t>60</w:t>
        </w:r>
        <w:r w:rsidR="006A2415">
          <w:rPr>
            <w:noProof/>
            <w:webHidden/>
          </w:rPr>
          <w:fldChar w:fldCharType="end"/>
        </w:r>
      </w:hyperlink>
    </w:p>
    <w:p w14:paraId="5315DD52" w14:textId="06A841E7"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05" w:history="1">
        <w:r w:rsidR="006A2415" w:rsidRPr="007C0B6A">
          <w:rPr>
            <w:rStyle w:val="Hyperlink"/>
            <w:noProof/>
          </w:rPr>
          <w:t>Tabla 11. Empleo informal en la República de Panamá, en porcentajes, según provincia y comarca indígena. Encuesta de mercado laboral, agosto 2019.</w:t>
        </w:r>
        <w:r w:rsidR="006A2415">
          <w:rPr>
            <w:noProof/>
            <w:webHidden/>
          </w:rPr>
          <w:tab/>
        </w:r>
        <w:r w:rsidR="006A2415">
          <w:rPr>
            <w:noProof/>
            <w:webHidden/>
          </w:rPr>
          <w:fldChar w:fldCharType="begin"/>
        </w:r>
        <w:r w:rsidR="006A2415">
          <w:rPr>
            <w:noProof/>
            <w:webHidden/>
          </w:rPr>
          <w:instrText xml:space="preserve"> PAGEREF _Toc42549205 \h </w:instrText>
        </w:r>
        <w:r w:rsidR="006A2415">
          <w:rPr>
            <w:noProof/>
            <w:webHidden/>
          </w:rPr>
        </w:r>
        <w:r w:rsidR="006A2415">
          <w:rPr>
            <w:noProof/>
            <w:webHidden/>
          </w:rPr>
          <w:fldChar w:fldCharType="separate"/>
        </w:r>
        <w:r w:rsidR="006A2415">
          <w:rPr>
            <w:noProof/>
            <w:webHidden/>
          </w:rPr>
          <w:t>63</w:t>
        </w:r>
        <w:r w:rsidR="006A2415">
          <w:rPr>
            <w:noProof/>
            <w:webHidden/>
          </w:rPr>
          <w:fldChar w:fldCharType="end"/>
        </w:r>
      </w:hyperlink>
    </w:p>
    <w:p w14:paraId="08D87FAA" w14:textId="5460CBC3"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06" w:history="1">
        <w:r w:rsidR="006A2415" w:rsidRPr="007C0B6A">
          <w:rPr>
            <w:rStyle w:val="Hyperlink"/>
            <w:noProof/>
          </w:rPr>
          <w:t xml:space="preserve">Tabla 12 </w:t>
        </w:r>
        <w:r w:rsidR="006A2415" w:rsidRPr="007C0B6A">
          <w:rPr>
            <w:rStyle w:val="Hyperlink"/>
            <w:rFonts w:eastAsia="Century Schoolbook" w:cs="Century Schoolbook"/>
            <w:noProof/>
          </w:rPr>
          <w:t>Población que trabaja más de 40 horas y no percibe salario mínimo</w:t>
        </w:r>
        <w:r w:rsidR="006A2415">
          <w:rPr>
            <w:noProof/>
            <w:webHidden/>
          </w:rPr>
          <w:tab/>
        </w:r>
        <w:r w:rsidR="006A2415">
          <w:rPr>
            <w:noProof/>
            <w:webHidden/>
          </w:rPr>
          <w:fldChar w:fldCharType="begin"/>
        </w:r>
        <w:r w:rsidR="006A2415">
          <w:rPr>
            <w:noProof/>
            <w:webHidden/>
          </w:rPr>
          <w:instrText xml:space="preserve"> PAGEREF _Toc42549206 \h </w:instrText>
        </w:r>
        <w:r w:rsidR="006A2415">
          <w:rPr>
            <w:noProof/>
            <w:webHidden/>
          </w:rPr>
        </w:r>
        <w:r w:rsidR="006A2415">
          <w:rPr>
            <w:noProof/>
            <w:webHidden/>
          </w:rPr>
          <w:fldChar w:fldCharType="separate"/>
        </w:r>
        <w:r w:rsidR="006A2415">
          <w:rPr>
            <w:noProof/>
            <w:webHidden/>
          </w:rPr>
          <w:t>63</w:t>
        </w:r>
        <w:r w:rsidR="006A2415">
          <w:rPr>
            <w:noProof/>
            <w:webHidden/>
          </w:rPr>
          <w:fldChar w:fldCharType="end"/>
        </w:r>
      </w:hyperlink>
    </w:p>
    <w:p w14:paraId="74A64D4F" w14:textId="4516B251"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07" w:history="1">
        <w:r w:rsidR="006A2415" w:rsidRPr="007C0B6A">
          <w:rPr>
            <w:rStyle w:val="Hyperlink"/>
            <w:noProof/>
          </w:rPr>
          <w:t>Tabla 13</w:t>
        </w:r>
        <w:r w:rsidR="006A2415" w:rsidRPr="007C0B6A">
          <w:rPr>
            <w:rStyle w:val="Hyperlink"/>
            <w:rFonts w:eastAsia="Times New Roman"/>
            <w:b/>
            <w:bCs/>
            <w:noProof/>
          </w:rPr>
          <w:t xml:space="preserve"> </w:t>
        </w:r>
        <w:r w:rsidR="006A2415" w:rsidRPr="007C0B6A">
          <w:rPr>
            <w:rStyle w:val="Hyperlink"/>
            <w:rFonts w:eastAsia="Times New Roman"/>
            <w:noProof/>
          </w:rPr>
          <w:t>Jornada laboral de las mujeres ocupadas de 15 años y más, según el número de menores de 0 a 5 años presentes en el hogar, áreas urbanas y rurales. Año 2017.</w:t>
        </w:r>
        <w:r w:rsidR="006A2415">
          <w:rPr>
            <w:noProof/>
            <w:webHidden/>
          </w:rPr>
          <w:tab/>
        </w:r>
        <w:r w:rsidR="006A2415">
          <w:rPr>
            <w:noProof/>
            <w:webHidden/>
          </w:rPr>
          <w:fldChar w:fldCharType="begin"/>
        </w:r>
        <w:r w:rsidR="006A2415">
          <w:rPr>
            <w:noProof/>
            <w:webHidden/>
          </w:rPr>
          <w:instrText xml:space="preserve"> PAGEREF _Toc42549207 \h </w:instrText>
        </w:r>
        <w:r w:rsidR="006A2415">
          <w:rPr>
            <w:noProof/>
            <w:webHidden/>
          </w:rPr>
        </w:r>
        <w:r w:rsidR="006A2415">
          <w:rPr>
            <w:noProof/>
            <w:webHidden/>
          </w:rPr>
          <w:fldChar w:fldCharType="separate"/>
        </w:r>
        <w:r w:rsidR="006A2415">
          <w:rPr>
            <w:noProof/>
            <w:webHidden/>
          </w:rPr>
          <w:t>64</w:t>
        </w:r>
        <w:r w:rsidR="006A2415">
          <w:rPr>
            <w:noProof/>
            <w:webHidden/>
          </w:rPr>
          <w:fldChar w:fldCharType="end"/>
        </w:r>
      </w:hyperlink>
    </w:p>
    <w:p w14:paraId="2AF0C484" w14:textId="49E5D409"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08" w:history="1">
        <w:r w:rsidR="006A2415" w:rsidRPr="007C0B6A">
          <w:rPr>
            <w:rStyle w:val="Hyperlink"/>
            <w:noProof/>
          </w:rPr>
          <w:t xml:space="preserve">Tabla 14. Distribución porcentual de la </w:t>
        </w:r>
        <w:r w:rsidR="006A2415" w:rsidRPr="007C0B6A">
          <w:rPr>
            <w:rStyle w:val="Hyperlink"/>
            <w:rFonts w:eastAsia="Century Schoolbook" w:cs="Century Schoolbook"/>
            <w:noProof/>
          </w:rPr>
          <w:t>Estructura de la población ocupada por sector de actividad económica, según sexo y por nivel de productividad en la República de Panamá y área geográfica (Porcentaje sobre el total de la población ocupada): Año 2017.</w:t>
        </w:r>
        <w:r w:rsidR="006A2415">
          <w:rPr>
            <w:noProof/>
            <w:webHidden/>
          </w:rPr>
          <w:tab/>
        </w:r>
        <w:r w:rsidR="006A2415">
          <w:rPr>
            <w:noProof/>
            <w:webHidden/>
          </w:rPr>
          <w:fldChar w:fldCharType="begin"/>
        </w:r>
        <w:r w:rsidR="006A2415">
          <w:rPr>
            <w:noProof/>
            <w:webHidden/>
          </w:rPr>
          <w:instrText xml:space="preserve"> PAGEREF _Toc42549208 \h </w:instrText>
        </w:r>
        <w:r w:rsidR="006A2415">
          <w:rPr>
            <w:noProof/>
            <w:webHidden/>
          </w:rPr>
        </w:r>
        <w:r w:rsidR="006A2415">
          <w:rPr>
            <w:noProof/>
            <w:webHidden/>
          </w:rPr>
          <w:fldChar w:fldCharType="separate"/>
        </w:r>
        <w:r w:rsidR="006A2415">
          <w:rPr>
            <w:noProof/>
            <w:webHidden/>
          </w:rPr>
          <w:t>65</w:t>
        </w:r>
        <w:r w:rsidR="006A2415">
          <w:rPr>
            <w:noProof/>
            <w:webHidden/>
          </w:rPr>
          <w:fldChar w:fldCharType="end"/>
        </w:r>
      </w:hyperlink>
    </w:p>
    <w:p w14:paraId="71AFB652" w14:textId="63D964B5"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09" w:history="1">
        <w:r w:rsidR="006A2415" w:rsidRPr="007C0B6A">
          <w:rPr>
            <w:rStyle w:val="Hyperlink"/>
            <w:noProof/>
          </w:rPr>
          <w:t xml:space="preserve">Tabla 15. </w:t>
        </w:r>
        <w:r w:rsidR="006A2415" w:rsidRPr="007C0B6A">
          <w:rPr>
            <w:rStyle w:val="Hyperlink"/>
            <w:rFonts w:cs="Arial"/>
            <w:noProof/>
          </w:rPr>
          <w:t>Estimación de la esperanza de vida al nacer(e*), en las comarcas indígenas por sexo, según provincia y distrito. Año: 2019</w:t>
        </w:r>
        <w:r w:rsidR="006A2415">
          <w:rPr>
            <w:noProof/>
            <w:webHidden/>
          </w:rPr>
          <w:tab/>
        </w:r>
        <w:r w:rsidR="006A2415">
          <w:rPr>
            <w:noProof/>
            <w:webHidden/>
          </w:rPr>
          <w:fldChar w:fldCharType="begin"/>
        </w:r>
        <w:r w:rsidR="006A2415">
          <w:rPr>
            <w:noProof/>
            <w:webHidden/>
          </w:rPr>
          <w:instrText xml:space="preserve"> PAGEREF _Toc42549209 \h </w:instrText>
        </w:r>
        <w:r w:rsidR="006A2415">
          <w:rPr>
            <w:noProof/>
            <w:webHidden/>
          </w:rPr>
        </w:r>
        <w:r w:rsidR="006A2415">
          <w:rPr>
            <w:noProof/>
            <w:webHidden/>
          </w:rPr>
          <w:fldChar w:fldCharType="separate"/>
        </w:r>
        <w:r w:rsidR="006A2415">
          <w:rPr>
            <w:noProof/>
            <w:webHidden/>
          </w:rPr>
          <w:t>88</w:t>
        </w:r>
        <w:r w:rsidR="006A2415">
          <w:rPr>
            <w:noProof/>
            <w:webHidden/>
          </w:rPr>
          <w:fldChar w:fldCharType="end"/>
        </w:r>
      </w:hyperlink>
    </w:p>
    <w:p w14:paraId="7CF254BB" w14:textId="3736768D"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10" w:history="1">
        <w:r w:rsidR="006A2415" w:rsidRPr="007C0B6A">
          <w:rPr>
            <w:rStyle w:val="Hyperlink"/>
            <w:noProof/>
          </w:rPr>
          <w:t xml:space="preserve">Tabla 16. </w:t>
        </w:r>
        <w:r w:rsidR="006A2415" w:rsidRPr="007C0B6A">
          <w:rPr>
            <w:rStyle w:val="Hyperlink"/>
            <w:bCs/>
            <w:noProof/>
          </w:rPr>
          <w:t xml:space="preserve">Variación porcentual de las víctimas de femicidios, tentativas y muertes violentas a nivel nacional, del 1 de enero al 30 de abril 2019 y 2020 </w:t>
        </w:r>
        <w:r w:rsidR="006A2415">
          <w:rPr>
            <w:noProof/>
            <w:webHidden/>
          </w:rPr>
          <w:tab/>
        </w:r>
        <w:r w:rsidR="006A2415">
          <w:rPr>
            <w:noProof/>
            <w:webHidden/>
          </w:rPr>
          <w:fldChar w:fldCharType="begin"/>
        </w:r>
        <w:r w:rsidR="006A2415">
          <w:rPr>
            <w:noProof/>
            <w:webHidden/>
          </w:rPr>
          <w:instrText xml:space="preserve"> PAGEREF _Toc42549210 \h </w:instrText>
        </w:r>
        <w:r w:rsidR="006A2415">
          <w:rPr>
            <w:noProof/>
            <w:webHidden/>
          </w:rPr>
        </w:r>
        <w:r w:rsidR="006A2415">
          <w:rPr>
            <w:noProof/>
            <w:webHidden/>
          </w:rPr>
          <w:fldChar w:fldCharType="separate"/>
        </w:r>
        <w:r w:rsidR="006A2415">
          <w:rPr>
            <w:noProof/>
            <w:webHidden/>
          </w:rPr>
          <w:t>104</w:t>
        </w:r>
        <w:r w:rsidR="006A2415">
          <w:rPr>
            <w:noProof/>
            <w:webHidden/>
          </w:rPr>
          <w:fldChar w:fldCharType="end"/>
        </w:r>
      </w:hyperlink>
    </w:p>
    <w:p w14:paraId="77A98E54" w14:textId="3F6C4248"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11" w:history="1">
        <w:r w:rsidR="006A2415" w:rsidRPr="007C0B6A">
          <w:rPr>
            <w:rStyle w:val="Hyperlink"/>
            <w:noProof/>
          </w:rPr>
          <w:t xml:space="preserve">Tabla 17. </w:t>
        </w:r>
        <w:r w:rsidR="006A2415" w:rsidRPr="007C0B6A">
          <w:rPr>
            <w:rStyle w:val="Hyperlink"/>
            <w:rFonts w:cs="Tahoma"/>
            <w:bCs/>
            <w:noProof/>
            <w:lang w:val="es-ES"/>
          </w:rPr>
          <w:t>Femicidios consumados y en grado de tentativa,</w:t>
        </w:r>
        <w:r w:rsidR="006A2415" w:rsidRPr="007C0B6A">
          <w:rPr>
            <w:rStyle w:val="Hyperlink"/>
            <w:rFonts w:cs="Tahoma"/>
            <w:noProof/>
          </w:rPr>
          <w:t xml:space="preserve"> </w:t>
        </w:r>
        <w:r w:rsidR="006A2415" w:rsidRPr="007C0B6A">
          <w:rPr>
            <w:rStyle w:val="Hyperlink"/>
            <w:rFonts w:cs="Tahoma"/>
            <w:bCs/>
            <w:noProof/>
            <w:lang w:val="es-ES"/>
          </w:rPr>
          <w:t>en la república de Panamá, según provincia y año de ocurrencia</w:t>
        </w:r>
        <w:r w:rsidR="006A2415" w:rsidRPr="007C0B6A">
          <w:rPr>
            <w:rStyle w:val="Hyperlink"/>
            <w:rFonts w:cs="Tahoma"/>
            <w:noProof/>
          </w:rPr>
          <w:t xml:space="preserve"> </w:t>
        </w:r>
        <w:r w:rsidR="006A2415" w:rsidRPr="007C0B6A">
          <w:rPr>
            <w:rStyle w:val="Hyperlink"/>
            <w:rFonts w:cs="Tahoma"/>
            <w:bCs/>
            <w:noProof/>
            <w:lang w:val="es-ES"/>
          </w:rPr>
          <w:t>2015-2019.</w:t>
        </w:r>
        <w:r w:rsidR="006A2415">
          <w:rPr>
            <w:noProof/>
            <w:webHidden/>
          </w:rPr>
          <w:tab/>
        </w:r>
        <w:r w:rsidR="006A2415">
          <w:rPr>
            <w:noProof/>
            <w:webHidden/>
          </w:rPr>
          <w:fldChar w:fldCharType="begin"/>
        </w:r>
        <w:r w:rsidR="006A2415">
          <w:rPr>
            <w:noProof/>
            <w:webHidden/>
          </w:rPr>
          <w:instrText xml:space="preserve"> PAGEREF _Toc42549211 \h </w:instrText>
        </w:r>
        <w:r w:rsidR="006A2415">
          <w:rPr>
            <w:noProof/>
            <w:webHidden/>
          </w:rPr>
        </w:r>
        <w:r w:rsidR="006A2415">
          <w:rPr>
            <w:noProof/>
            <w:webHidden/>
          </w:rPr>
          <w:fldChar w:fldCharType="separate"/>
        </w:r>
        <w:r w:rsidR="006A2415">
          <w:rPr>
            <w:noProof/>
            <w:webHidden/>
          </w:rPr>
          <w:t>107</w:t>
        </w:r>
        <w:r w:rsidR="006A2415">
          <w:rPr>
            <w:noProof/>
            <w:webHidden/>
          </w:rPr>
          <w:fldChar w:fldCharType="end"/>
        </w:r>
      </w:hyperlink>
    </w:p>
    <w:p w14:paraId="3EC62B38" w14:textId="5C7FB785"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12" w:history="1">
        <w:r w:rsidR="006A2415" w:rsidRPr="007C0B6A">
          <w:rPr>
            <w:rStyle w:val="Hyperlink"/>
            <w:noProof/>
          </w:rPr>
          <w:t xml:space="preserve">Tabla 18. </w:t>
        </w:r>
        <w:r w:rsidR="006A2415" w:rsidRPr="007C0B6A">
          <w:rPr>
            <w:rStyle w:val="Hyperlink"/>
            <w:bCs/>
            <w:noProof/>
          </w:rPr>
          <w:t>Número de víctimas de violencia doméstica, del Título V- delitos contra el orden jurídico familiar y el estado civil a nivel nacional, por género; según rango de edad. 1 de enero al 31 de diciembre de 2019</w:t>
        </w:r>
        <w:r w:rsidR="006A2415">
          <w:rPr>
            <w:noProof/>
            <w:webHidden/>
          </w:rPr>
          <w:tab/>
        </w:r>
        <w:r w:rsidR="006A2415">
          <w:rPr>
            <w:noProof/>
            <w:webHidden/>
          </w:rPr>
          <w:fldChar w:fldCharType="begin"/>
        </w:r>
        <w:r w:rsidR="006A2415">
          <w:rPr>
            <w:noProof/>
            <w:webHidden/>
          </w:rPr>
          <w:instrText xml:space="preserve"> PAGEREF _Toc42549212 \h </w:instrText>
        </w:r>
        <w:r w:rsidR="006A2415">
          <w:rPr>
            <w:noProof/>
            <w:webHidden/>
          </w:rPr>
        </w:r>
        <w:r w:rsidR="006A2415">
          <w:rPr>
            <w:noProof/>
            <w:webHidden/>
          </w:rPr>
          <w:fldChar w:fldCharType="separate"/>
        </w:r>
        <w:r w:rsidR="006A2415">
          <w:rPr>
            <w:noProof/>
            <w:webHidden/>
          </w:rPr>
          <w:t>109</w:t>
        </w:r>
        <w:r w:rsidR="006A2415">
          <w:rPr>
            <w:noProof/>
            <w:webHidden/>
          </w:rPr>
          <w:fldChar w:fldCharType="end"/>
        </w:r>
      </w:hyperlink>
    </w:p>
    <w:p w14:paraId="5374E32D" w14:textId="0E30E5D9"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13" w:history="1">
        <w:r w:rsidR="006A2415" w:rsidRPr="007C0B6A">
          <w:rPr>
            <w:rStyle w:val="Hyperlink"/>
            <w:noProof/>
          </w:rPr>
          <w:t xml:space="preserve">Tabla 19. </w:t>
        </w:r>
        <w:r w:rsidR="006A2415" w:rsidRPr="007C0B6A">
          <w:rPr>
            <w:rStyle w:val="Hyperlink"/>
            <w:rFonts w:eastAsia="Times New Roman"/>
            <w:bCs/>
            <w:noProof/>
          </w:rPr>
          <w:t>Número de víctimas niños, niñas y adolescentes del art. 202 maltrato al menor, del título v - delitos contra el orden jurídico familiar y el estado civil a nivel nacional, por género; según rango de edad. Del 1 de enero al 31 de diciembre de 2019 (P)</w:t>
        </w:r>
        <w:r w:rsidR="006A2415">
          <w:rPr>
            <w:noProof/>
            <w:webHidden/>
          </w:rPr>
          <w:tab/>
        </w:r>
        <w:r w:rsidR="006A2415">
          <w:rPr>
            <w:noProof/>
            <w:webHidden/>
          </w:rPr>
          <w:fldChar w:fldCharType="begin"/>
        </w:r>
        <w:r w:rsidR="006A2415">
          <w:rPr>
            <w:noProof/>
            <w:webHidden/>
          </w:rPr>
          <w:instrText xml:space="preserve"> PAGEREF _Toc42549213 \h </w:instrText>
        </w:r>
        <w:r w:rsidR="006A2415">
          <w:rPr>
            <w:noProof/>
            <w:webHidden/>
          </w:rPr>
        </w:r>
        <w:r w:rsidR="006A2415">
          <w:rPr>
            <w:noProof/>
            <w:webHidden/>
          </w:rPr>
          <w:fldChar w:fldCharType="separate"/>
        </w:r>
        <w:r w:rsidR="006A2415">
          <w:rPr>
            <w:noProof/>
            <w:webHidden/>
          </w:rPr>
          <w:t>112</w:t>
        </w:r>
        <w:r w:rsidR="006A2415">
          <w:rPr>
            <w:noProof/>
            <w:webHidden/>
          </w:rPr>
          <w:fldChar w:fldCharType="end"/>
        </w:r>
      </w:hyperlink>
    </w:p>
    <w:p w14:paraId="463C1B66" w14:textId="41149B0B"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14" w:history="1">
        <w:r w:rsidR="006A2415" w:rsidRPr="007C0B6A">
          <w:rPr>
            <w:rStyle w:val="Hyperlink"/>
            <w:noProof/>
          </w:rPr>
          <w:t>Tabla 20. Número de víctimas niños, niñas y adolescentes del art. 204 maltrato al menor, del Título V- Delitos contra el orden jurídico familiar y el estado civil a nivel nacional, por género; según rango de edad a nivel nacional. Del 1 de enero al 31 de diciembre de 2019 (P).</w:t>
        </w:r>
        <w:r w:rsidR="006A2415">
          <w:rPr>
            <w:noProof/>
            <w:webHidden/>
          </w:rPr>
          <w:tab/>
        </w:r>
        <w:r w:rsidR="006A2415">
          <w:rPr>
            <w:noProof/>
            <w:webHidden/>
          </w:rPr>
          <w:fldChar w:fldCharType="begin"/>
        </w:r>
        <w:r w:rsidR="006A2415">
          <w:rPr>
            <w:noProof/>
            <w:webHidden/>
          </w:rPr>
          <w:instrText xml:space="preserve"> PAGEREF _Toc42549214 \h </w:instrText>
        </w:r>
        <w:r w:rsidR="006A2415">
          <w:rPr>
            <w:noProof/>
            <w:webHidden/>
          </w:rPr>
        </w:r>
        <w:r w:rsidR="006A2415">
          <w:rPr>
            <w:noProof/>
            <w:webHidden/>
          </w:rPr>
          <w:fldChar w:fldCharType="separate"/>
        </w:r>
        <w:r w:rsidR="006A2415">
          <w:rPr>
            <w:noProof/>
            <w:webHidden/>
          </w:rPr>
          <w:t>112</w:t>
        </w:r>
        <w:r w:rsidR="006A2415">
          <w:rPr>
            <w:noProof/>
            <w:webHidden/>
          </w:rPr>
          <w:fldChar w:fldCharType="end"/>
        </w:r>
      </w:hyperlink>
    </w:p>
    <w:p w14:paraId="0AF40108" w14:textId="2CDF8EB2"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15" w:history="1">
        <w:r w:rsidR="006A2415" w:rsidRPr="007C0B6A">
          <w:rPr>
            <w:rStyle w:val="Hyperlink"/>
            <w:noProof/>
          </w:rPr>
          <w:t xml:space="preserve">Tabla 21. </w:t>
        </w:r>
        <w:r w:rsidR="006A2415" w:rsidRPr="007C0B6A">
          <w:rPr>
            <w:rStyle w:val="Hyperlink"/>
            <w:bCs/>
            <w:noProof/>
          </w:rPr>
          <w:t>Número de denuncias en niños, niñas y adolescentes, registradas a nivel nacional; según delito contra la libertad e integridad sexual (P) del 1 de enero  al 31 de diciembre  de 2019</w:t>
        </w:r>
        <w:r w:rsidR="006A2415">
          <w:rPr>
            <w:noProof/>
            <w:webHidden/>
          </w:rPr>
          <w:tab/>
        </w:r>
        <w:r w:rsidR="006A2415">
          <w:rPr>
            <w:noProof/>
            <w:webHidden/>
          </w:rPr>
          <w:fldChar w:fldCharType="begin"/>
        </w:r>
        <w:r w:rsidR="006A2415">
          <w:rPr>
            <w:noProof/>
            <w:webHidden/>
          </w:rPr>
          <w:instrText xml:space="preserve"> PAGEREF _Toc42549215 \h </w:instrText>
        </w:r>
        <w:r w:rsidR="006A2415">
          <w:rPr>
            <w:noProof/>
            <w:webHidden/>
          </w:rPr>
        </w:r>
        <w:r w:rsidR="006A2415">
          <w:rPr>
            <w:noProof/>
            <w:webHidden/>
          </w:rPr>
          <w:fldChar w:fldCharType="separate"/>
        </w:r>
        <w:r w:rsidR="006A2415">
          <w:rPr>
            <w:noProof/>
            <w:webHidden/>
          </w:rPr>
          <w:t>113</w:t>
        </w:r>
        <w:r w:rsidR="006A2415">
          <w:rPr>
            <w:noProof/>
            <w:webHidden/>
          </w:rPr>
          <w:fldChar w:fldCharType="end"/>
        </w:r>
      </w:hyperlink>
    </w:p>
    <w:p w14:paraId="4DD855BD" w14:textId="5849245B"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16" w:history="1">
        <w:r w:rsidR="006A2415" w:rsidRPr="007C0B6A">
          <w:rPr>
            <w:rStyle w:val="Hyperlink"/>
            <w:noProof/>
          </w:rPr>
          <w:t>Tabla 22. Número de víctimas niños, niñas y adolescentes del art. 174 violación, del delito contra la libertad e integridad sexual a nivel nacional,  por género; según rango de edad. del 1 de enero  al 31 de diciembre de 2019 (P)</w:t>
        </w:r>
        <w:r w:rsidR="006A2415">
          <w:rPr>
            <w:noProof/>
            <w:webHidden/>
          </w:rPr>
          <w:tab/>
        </w:r>
        <w:r w:rsidR="006A2415">
          <w:rPr>
            <w:noProof/>
            <w:webHidden/>
          </w:rPr>
          <w:fldChar w:fldCharType="begin"/>
        </w:r>
        <w:r w:rsidR="006A2415">
          <w:rPr>
            <w:noProof/>
            <w:webHidden/>
          </w:rPr>
          <w:instrText xml:space="preserve"> PAGEREF _Toc42549216 \h </w:instrText>
        </w:r>
        <w:r w:rsidR="006A2415">
          <w:rPr>
            <w:noProof/>
            <w:webHidden/>
          </w:rPr>
        </w:r>
        <w:r w:rsidR="006A2415">
          <w:rPr>
            <w:noProof/>
            <w:webHidden/>
          </w:rPr>
          <w:fldChar w:fldCharType="separate"/>
        </w:r>
        <w:r w:rsidR="006A2415">
          <w:rPr>
            <w:noProof/>
            <w:webHidden/>
          </w:rPr>
          <w:t>115</w:t>
        </w:r>
        <w:r w:rsidR="006A2415">
          <w:rPr>
            <w:noProof/>
            <w:webHidden/>
          </w:rPr>
          <w:fldChar w:fldCharType="end"/>
        </w:r>
      </w:hyperlink>
    </w:p>
    <w:p w14:paraId="7F5E1896" w14:textId="7BEFF4D8"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17" w:history="1">
        <w:r w:rsidR="006A2415" w:rsidRPr="007C0B6A">
          <w:rPr>
            <w:rStyle w:val="Hyperlink"/>
            <w:noProof/>
          </w:rPr>
          <w:t xml:space="preserve">Tabla 23. </w:t>
        </w:r>
        <w:r w:rsidR="006A2415" w:rsidRPr="007C0B6A">
          <w:rPr>
            <w:rStyle w:val="Hyperlink"/>
            <w:bCs/>
            <w:noProof/>
          </w:rPr>
          <w:t>Número de víctimas niños, niñas y adolescentes del art. 175 violaciones doblemente agravado, del delito contra la libertad e integridad sexual a nivel nacional, por género; según rango de edad. Del 1 de enero al 31 de diciembre de 2019 (P).</w:t>
        </w:r>
        <w:r w:rsidR="006A2415">
          <w:rPr>
            <w:noProof/>
            <w:webHidden/>
          </w:rPr>
          <w:tab/>
        </w:r>
        <w:r w:rsidR="006A2415">
          <w:rPr>
            <w:noProof/>
            <w:webHidden/>
          </w:rPr>
          <w:fldChar w:fldCharType="begin"/>
        </w:r>
        <w:r w:rsidR="006A2415">
          <w:rPr>
            <w:noProof/>
            <w:webHidden/>
          </w:rPr>
          <w:instrText xml:space="preserve"> PAGEREF _Toc42549217 \h </w:instrText>
        </w:r>
        <w:r w:rsidR="006A2415">
          <w:rPr>
            <w:noProof/>
            <w:webHidden/>
          </w:rPr>
        </w:r>
        <w:r w:rsidR="006A2415">
          <w:rPr>
            <w:noProof/>
            <w:webHidden/>
          </w:rPr>
          <w:fldChar w:fldCharType="separate"/>
        </w:r>
        <w:r w:rsidR="006A2415">
          <w:rPr>
            <w:noProof/>
            <w:webHidden/>
          </w:rPr>
          <w:t>115</w:t>
        </w:r>
        <w:r w:rsidR="006A2415">
          <w:rPr>
            <w:noProof/>
            <w:webHidden/>
          </w:rPr>
          <w:fldChar w:fldCharType="end"/>
        </w:r>
      </w:hyperlink>
    </w:p>
    <w:p w14:paraId="57E22608" w14:textId="2DE96387"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18" w:history="1">
        <w:r w:rsidR="006A2415" w:rsidRPr="007C0B6A">
          <w:rPr>
            <w:rStyle w:val="Hyperlink"/>
            <w:noProof/>
          </w:rPr>
          <w:t xml:space="preserve">Tabla 24. </w:t>
        </w:r>
        <w:r w:rsidR="006A2415" w:rsidRPr="007C0B6A">
          <w:rPr>
            <w:rStyle w:val="Hyperlink"/>
            <w:rFonts w:eastAsia="Times New Roman"/>
            <w:noProof/>
          </w:rPr>
          <w:t>Movimiento migratorio por vía. 2019</w:t>
        </w:r>
        <w:r w:rsidR="006A2415">
          <w:rPr>
            <w:noProof/>
            <w:webHidden/>
          </w:rPr>
          <w:tab/>
        </w:r>
        <w:r w:rsidR="006A2415">
          <w:rPr>
            <w:noProof/>
            <w:webHidden/>
          </w:rPr>
          <w:fldChar w:fldCharType="begin"/>
        </w:r>
        <w:r w:rsidR="006A2415">
          <w:rPr>
            <w:noProof/>
            <w:webHidden/>
          </w:rPr>
          <w:instrText xml:space="preserve"> PAGEREF _Toc42549218 \h </w:instrText>
        </w:r>
        <w:r w:rsidR="006A2415">
          <w:rPr>
            <w:noProof/>
            <w:webHidden/>
          </w:rPr>
        </w:r>
        <w:r w:rsidR="006A2415">
          <w:rPr>
            <w:noProof/>
            <w:webHidden/>
          </w:rPr>
          <w:fldChar w:fldCharType="separate"/>
        </w:r>
        <w:r w:rsidR="006A2415">
          <w:rPr>
            <w:noProof/>
            <w:webHidden/>
          </w:rPr>
          <w:t>118</w:t>
        </w:r>
        <w:r w:rsidR="006A2415">
          <w:rPr>
            <w:noProof/>
            <w:webHidden/>
          </w:rPr>
          <w:fldChar w:fldCharType="end"/>
        </w:r>
      </w:hyperlink>
    </w:p>
    <w:p w14:paraId="19D9DE58" w14:textId="33A8A32E"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19" w:history="1">
        <w:r w:rsidR="006A2415" w:rsidRPr="007C0B6A">
          <w:rPr>
            <w:rStyle w:val="Hyperlink"/>
            <w:noProof/>
          </w:rPr>
          <w:t xml:space="preserve">Tabla 25. </w:t>
        </w:r>
        <w:r w:rsidR="006A2415" w:rsidRPr="007C0B6A">
          <w:rPr>
            <w:rStyle w:val="Hyperlink"/>
            <w:rFonts w:eastAsia="Times New Roman"/>
            <w:noProof/>
          </w:rPr>
          <w:t>Tránsito irregular de extranjeros por la frontera con Colombia, por región según orden de importancia: año 2010-2019</w:t>
        </w:r>
        <w:r w:rsidR="006A2415">
          <w:rPr>
            <w:noProof/>
            <w:webHidden/>
          </w:rPr>
          <w:tab/>
        </w:r>
        <w:r w:rsidR="006A2415">
          <w:rPr>
            <w:noProof/>
            <w:webHidden/>
          </w:rPr>
          <w:fldChar w:fldCharType="begin"/>
        </w:r>
        <w:r w:rsidR="006A2415">
          <w:rPr>
            <w:noProof/>
            <w:webHidden/>
          </w:rPr>
          <w:instrText xml:space="preserve"> PAGEREF _Toc42549219 \h </w:instrText>
        </w:r>
        <w:r w:rsidR="006A2415">
          <w:rPr>
            <w:noProof/>
            <w:webHidden/>
          </w:rPr>
        </w:r>
        <w:r w:rsidR="006A2415">
          <w:rPr>
            <w:noProof/>
            <w:webHidden/>
          </w:rPr>
          <w:fldChar w:fldCharType="separate"/>
        </w:r>
        <w:r w:rsidR="006A2415">
          <w:rPr>
            <w:noProof/>
            <w:webHidden/>
          </w:rPr>
          <w:t>120</w:t>
        </w:r>
        <w:r w:rsidR="006A2415">
          <w:rPr>
            <w:noProof/>
            <w:webHidden/>
          </w:rPr>
          <w:fldChar w:fldCharType="end"/>
        </w:r>
      </w:hyperlink>
    </w:p>
    <w:p w14:paraId="56339CDA" w14:textId="0A130FE6"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20" w:history="1">
        <w:r w:rsidR="006A2415" w:rsidRPr="007C0B6A">
          <w:rPr>
            <w:rStyle w:val="Hyperlink"/>
            <w:noProof/>
          </w:rPr>
          <w:t>Tabla 26. Ingreso de niños, niñas y adolescentes por la frontera con Colombia, años 2016 a 2020 Niñez migrante en los flujos migratorios y con necesidad de protección</w:t>
        </w:r>
        <w:r w:rsidR="006A2415">
          <w:rPr>
            <w:noProof/>
            <w:webHidden/>
          </w:rPr>
          <w:tab/>
        </w:r>
        <w:r w:rsidR="006A2415">
          <w:rPr>
            <w:noProof/>
            <w:webHidden/>
          </w:rPr>
          <w:fldChar w:fldCharType="begin"/>
        </w:r>
        <w:r w:rsidR="006A2415">
          <w:rPr>
            <w:noProof/>
            <w:webHidden/>
          </w:rPr>
          <w:instrText xml:space="preserve"> PAGEREF _Toc42549220 \h </w:instrText>
        </w:r>
        <w:r w:rsidR="006A2415">
          <w:rPr>
            <w:noProof/>
            <w:webHidden/>
          </w:rPr>
        </w:r>
        <w:r w:rsidR="006A2415">
          <w:rPr>
            <w:noProof/>
            <w:webHidden/>
          </w:rPr>
          <w:fldChar w:fldCharType="separate"/>
        </w:r>
        <w:r w:rsidR="006A2415">
          <w:rPr>
            <w:noProof/>
            <w:webHidden/>
          </w:rPr>
          <w:t>125</w:t>
        </w:r>
        <w:r w:rsidR="006A2415">
          <w:rPr>
            <w:noProof/>
            <w:webHidden/>
          </w:rPr>
          <w:fldChar w:fldCharType="end"/>
        </w:r>
      </w:hyperlink>
    </w:p>
    <w:p w14:paraId="15152A98" w14:textId="428BFDE2"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21" w:history="1">
        <w:r w:rsidR="006A2415" w:rsidRPr="007C0B6A">
          <w:rPr>
            <w:rStyle w:val="Hyperlink"/>
            <w:noProof/>
          </w:rPr>
          <w:t xml:space="preserve">Tabla 27. </w:t>
        </w:r>
        <w:r w:rsidR="006A2415" w:rsidRPr="007C0B6A">
          <w:rPr>
            <w:rStyle w:val="Hyperlink"/>
            <w:noProof/>
            <w:lang w:val="es-ES_tradnl"/>
          </w:rPr>
          <w:t>Población adulta privada de libertad en la república, por sexo, según estado conyugal actual. 2018</w:t>
        </w:r>
        <w:r w:rsidR="006A2415">
          <w:rPr>
            <w:noProof/>
            <w:webHidden/>
          </w:rPr>
          <w:tab/>
        </w:r>
        <w:r w:rsidR="006A2415">
          <w:rPr>
            <w:noProof/>
            <w:webHidden/>
          </w:rPr>
          <w:fldChar w:fldCharType="begin"/>
        </w:r>
        <w:r w:rsidR="006A2415">
          <w:rPr>
            <w:noProof/>
            <w:webHidden/>
          </w:rPr>
          <w:instrText xml:space="preserve"> PAGEREF _Toc42549221 \h </w:instrText>
        </w:r>
        <w:r w:rsidR="006A2415">
          <w:rPr>
            <w:noProof/>
            <w:webHidden/>
          </w:rPr>
        </w:r>
        <w:r w:rsidR="006A2415">
          <w:rPr>
            <w:noProof/>
            <w:webHidden/>
          </w:rPr>
          <w:fldChar w:fldCharType="separate"/>
        </w:r>
        <w:r w:rsidR="006A2415">
          <w:rPr>
            <w:noProof/>
            <w:webHidden/>
          </w:rPr>
          <w:t>130</w:t>
        </w:r>
        <w:r w:rsidR="006A2415">
          <w:rPr>
            <w:noProof/>
            <w:webHidden/>
          </w:rPr>
          <w:fldChar w:fldCharType="end"/>
        </w:r>
      </w:hyperlink>
    </w:p>
    <w:p w14:paraId="680FC310" w14:textId="5E6C2913"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22" w:history="1">
        <w:r w:rsidR="006A2415" w:rsidRPr="007C0B6A">
          <w:rPr>
            <w:rStyle w:val="Hyperlink"/>
            <w:noProof/>
          </w:rPr>
          <w:t xml:space="preserve">Tabla 28. </w:t>
        </w:r>
        <w:r w:rsidR="006A2415" w:rsidRPr="007C0B6A">
          <w:rPr>
            <w:rStyle w:val="Hyperlink"/>
            <w:bCs/>
            <w:noProof/>
            <w:lang w:val="es-ES_tradnl"/>
          </w:rPr>
          <w:t>Población adulta privada de libertad en la república, por sexo, según grupo étnico al que se considera perteneciente. 2018</w:t>
        </w:r>
        <w:r w:rsidR="006A2415">
          <w:rPr>
            <w:noProof/>
            <w:webHidden/>
          </w:rPr>
          <w:tab/>
        </w:r>
        <w:r w:rsidR="006A2415">
          <w:rPr>
            <w:noProof/>
            <w:webHidden/>
          </w:rPr>
          <w:fldChar w:fldCharType="begin"/>
        </w:r>
        <w:r w:rsidR="006A2415">
          <w:rPr>
            <w:noProof/>
            <w:webHidden/>
          </w:rPr>
          <w:instrText xml:space="preserve"> PAGEREF _Toc42549222 \h </w:instrText>
        </w:r>
        <w:r w:rsidR="006A2415">
          <w:rPr>
            <w:noProof/>
            <w:webHidden/>
          </w:rPr>
        </w:r>
        <w:r w:rsidR="006A2415">
          <w:rPr>
            <w:noProof/>
            <w:webHidden/>
          </w:rPr>
          <w:fldChar w:fldCharType="separate"/>
        </w:r>
        <w:r w:rsidR="006A2415">
          <w:rPr>
            <w:noProof/>
            <w:webHidden/>
          </w:rPr>
          <w:t>131</w:t>
        </w:r>
        <w:r w:rsidR="006A2415">
          <w:rPr>
            <w:noProof/>
            <w:webHidden/>
          </w:rPr>
          <w:fldChar w:fldCharType="end"/>
        </w:r>
      </w:hyperlink>
    </w:p>
    <w:p w14:paraId="3FBB1F58" w14:textId="7F3465E4"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23" w:history="1">
        <w:r w:rsidR="006A2415" w:rsidRPr="007C0B6A">
          <w:rPr>
            <w:rStyle w:val="Hyperlink"/>
            <w:noProof/>
          </w:rPr>
          <w:t xml:space="preserve">Tabla 29. </w:t>
        </w:r>
        <w:r w:rsidR="006A2415" w:rsidRPr="007C0B6A">
          <w:rPr>
            <w:rStyle w:val="Hyperlink"/>
            <w:noProof/>
            <w:lang w:val="es-ES_tradnl"/>
          </w:rPr>
          <w:t>Población adulta privada de libertad en la república con hijos, por sexo, según edad que tenía cuando nació su primer hijo, 2018.</w:t>
        </w:r>
        <w:r w:rsidR="006A2415">
          <w:rPr>
            <w:noProof/>
            <w:webHidden/>
          </w:rPr>
          <w:tab/>
        </w:r>
        <w:r w:rsidR="006A2415">
          <w:rPr>
            <w:noProof/>
            <w:webHidden/>
          </w:rPr>
          <w:fldChar w:fldCharType="begin"/>
        </w:r>
        <w:r w:rsidR="006A2415">
          <w:rPr>
            <w:noProof/>
            <w:webHidden/>
          </w:rPr>
          <w:instrText xml:space="preserve"> PAGEREF _Toc42549223 \h </w:instrText>
        </w:r>
        <w:r w:rsidR="006A2415">
          <w:rPr>
            <w:noProof/>
            <w:webHidden/>
          </w:rPr>
        </w:r>
        <w:r w:rsidR="006A2415">
          <w:rPr>
            <w:noProof/>
            <w:webHidden/>
          </w:rPr>
          <w:fldChar w:fldCharType="separate"/>
        </w:r>
        <w:r w:rsidR="006A2415">
          <w:rPr>
            <w:noProof/>
            <w:webHidden/>
          </w:rPr>
          <w:t>132</w:t>
        </w:r>
        <w:r w:rsidR="006A2415">
          <w:rPr>
            <w:noProof/>
            <w:webHidden/>
          </w:rPr>
          <w:fldChar w:fldCharType="end"/>
        </w:r>
      </w:hyperlink>
    </w:p>
    <w:p w14:paraId="08AE4757" w14:textId="627E6C67"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24" w:history="1">
        <w:r w:rsidR="006A2415" w:rsidRPr="007C0B6A">
          <w:rPr>
            <w:rStyle w:val="Hyperlink"/>
            <w:noProof/>
          </w:rPr>
          <w:t>Tabla 30. Población adulta privada de libertad en la República, por asistencia a la escuela o centro educativo al momento de ser detenido, según grado escolar más alto aprobado. 2018</w:t>
        </w:r>
        <w:r w:rsidR="006A2415">
          <w:rPr>
            <w:noProof/>
            <w:webHidden/>
          </w:rPr>
          <w:tab/>
        </w:r>
        <w:r w:rsidR="006A2415">
          <w:rPr>
            <w:noProof/>
            <w:webHidden/>
          </w:rPr>
          <w:fldChar w:fldCharType="begin"/>
        </w:r>
        <w:r w:rsidR="006A2415">
          <w:rPr>
            <w:noProof/>
            <w:webHidden/>
          </w:rPr>
          <w:instrText xml:space="preserve"> PAGEREF _Toc42549224 \h </w:instrText>
        </w:r>
        <w:r w:rsidR="006A2415">
          <w:rPr>
            <w:noProof/>
            <w:webHidden/>
          </w:rPr>
        </w:r>
        <w:r w:rsidR="006A2415">
          <w:rPr>
            <w:noProof/>
            <w:webHidden/>
          </w:rPr>
          <w:fldChar w:fldCharType="separate"/>
        </w:r>
        <w:r w:rsidR="006A2415">
          <w:rPr>
            <w:noProof/>
            <w:webHidden/>
          </w:rPr>
          <w:t>132</w:t>
        </w:r>
        <w:r w:rsidR="006A2415">
          <w:rPr>
            <w:noProof/>
            <w:webHidden/>
          </w:rPr>
          <w:fldChar w:fldCharType="end"/>
        </w:r>
      </w:hyperlink>
    </w:p>
    <w:p w14:paraId="20F39C50" w14:textId="31C9703A"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25" w:history="1">
        <w:r w:rsidR="006A2415" w:rsidRPr="007C0B6A">
          <w:rPr>
            <w:rStyle w:val="Hyperlink"/>
            <w:noProof/>
          </w:rPr>
          <w:t xml:space="preserve">Tabla 31. </w:t>
        </w:r>
        <w:r w:rsidR="006A2415" w:rsidRPr="007C0B6A">
          <w:rPr>
            <w:rStyle w:val="Hyperlink"/>
            <w:noProof/>
            <w:lang w:val="es-ES_tradnl"/>
          </w:rPr>
          <w:t>Población adulta privada de libertad, por sexo, según si ha sufrido algún tipo de violencia o agresión.  2018</w:t>
        </w:r>
        <w:r w:rsidR="006A2415">
          <w:rPr>
            <w:noProof/>
            <w:webHidden/>
          </w:rPr>
          <w:tab/>
        </w:r>
        <w:r w:rsidR="006A2415">
          <w:rPr>
            <w:noProof/>
            <w:webHidden/>
          </w:rPr>
          <w:fldChar w:fldCharType="begin"/>
        </w:r>
        <w:r w:rsidR="006A2415">
          <w:rPr>
            <w:noProof/>
            <w:webHidden/>
          </w:rPr>
          <w:instrText xml:space="preserve"> PAGEREF _Toc42549225 \h </w:instrText>
        </w:r>
        <w:r w:rsidR="006A2415">
          <w:rPr>
            <w:noProof/>
            <w:webHidden/>
          </w:rPr>
        </w:r>
        <w:r w:rsidR="006A2415">
          <w:rPr>
            <w:noProof/>
            <w:webHidden/>
          </w:rPr>
          <w:fldChar w:fldCharType="separate"/>
        </w:r>
        <w:r w:rsidR="006A2415">
          <w:rPr>
            <w:noProof/>
            <w:webHidden/>
          </w:rPr>
          <w:t>136</w:t>
        </w:r>
        <w:r w:rsidR="006A2415">
          <w:rPr>
            <w:noProof/>
            <w:webHidden/>
          </w:rPr>
          <w:fldChar w:fldCharType="end"/>
        </w:r>
      </w:hyperlink>
    </w:p>
    <w:p w14:paraId="3CC07C62" w14:textId="6EB2B043"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26" w:history="1">
        <w:r w:rsidR="006A2415" w:rsidRPr="007C0B6A">
          <w:rPr>
            <w:rStyle w:val="Hyperlink"/>
            <w:noProof/>
          </w:rPr>
          <w:t>Tabla 32. Evolución de la población adolescente en privación de libertad. En centros de custodia o cumplimiento. 2011-2019 junios.</w:t>
        </w:r>
        <w:r w:rsidR="006A2415">
          <w:rPr>
            <w:noProof/>
            <w:webHidden/>
          </w:rPr>
          <w:tab/>
        </w:r>
        <w:r w:rsidR="006A2415">
          <w:rPr>
            <w:noProof/>
            <w:webHidden/>
          </w:rPr>
          <w:fldChar w:fldCharType="begin"/>
        </w:r>
        <w:r w:rsidR="006A2415">
          <w:rPr>
            <w:noProof/>
            <w:webHidden/>
          </w:rPr>
          <w:instrText xml:space="preserve"> PAGEREF _Toc42549226 \h </w:instrText>
        </w:r>
        <w:r w:rsidR="006A2415">
          <w:rPr>
            <w:noProof/>
            <w:webHidden/>
          </w:rPr>
        </w:r>
        <w:r w:rsidR="006A2415">
          <w:rPr>
            <w:noProof/>
            <w:webHidden/>
          </w:rPr>
          <w:fldChar w:fldCharType="separate"/>
        </w:r>
        <w:r w:rsidR="006A2415">
          <w:rPr>
            <w:noProof/>
            <w:webHidden/>
          </w:rPr>
          <w:t>139</w:t>
        </w:r>
        <w:r w:rsidR="006A2415">
          <w:rPr>
            <w:noProof/>
            <w:webHidden/>
          </w:rPr>
          <w:fldChar w:fldCharType="end"/>
        </w:r>
      </w:hyperlink>
    </w:p>
    <w:p w14:paraId="3F7094D7" w14:textId="7376569A"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27" w:history="1">
        <w:r w:rsidR="006A2415" w:rsidRPr="007C0B6A">
          <w:rPr>
            <w:rStyle w:val="Hyperlink"/>
            <w:noProof/>
          </w:rPr>
          <w:t xml:space="preserve">Tabla 33. </w:t>
        </w:r>
        <w:r w:rsidR="006A2415" w:rsidRPr="007C0B6A">
          <w:rPr>
            <w:rStyle w:val="Hyperlink"/>
            <w:noProof/>
            <w:lang w:eastAsia="en-US"/>
          </w:rPr>
          <w:t>Evolución de adolescentes privados de libertad según establecimiento (provincia). 2011-agosto 2019</w:t>
        </w:r>
        <w:r w:rsidR="006A2415">
          <w:rPr>
            <w:noProof/>
            <w:webHidden/>
          </w:rPr>
          <w:tab/>
        </w:r>
        <w:r w:rsidR="006A2415">
          <w:rPr>
            <w:noProof/>
            <w:webHidden/>
          </w:rPr>
          <w:fldChar w:fldCharType="begin"/>
        </w:r>
        <w:r w:rsidR="006A2415">
          <w:rPr>
            <w:noProof/>
            <w:webHidden/>
          </w:rPr>
          <w:instrText xml:space="preserve"> PAGEREF _Toc42549227 \h </w:instrText>
        </w:r>
        <w:r w:rsidR="006A2415">
          <w:rPr>
            <w:noProof/>
            <w:webHidden/>
          </w:rPr>
        </w:r>
        <w:r w:rsidR="006A2415">
          <w:rPr>
            <w:noProof/>
            <w:webHidden/>
          </w:rPr>
          <w:fldChar w:fldCharType="separate"/>
        </w:r>
        <w:r w:rsidR="006A2415">
          <w:rPr>
            <w:noProof/>
            <w:webHidden/>
          </w:rPr>
          <w:t>140</w:t>
        </w:r>
        <w:r w:rsidR="006A2415">
          <w:rPr>
            <w:noProof/>
            <w:webHidden/>
          </w:rPr>
          <w:fldChar w:fldCharType="end"/>
        </w:r>
      </w:hyperlink>
    </w:p>
    <w:p w14:paraId="5D0AE2C1" w14:textId="6C521677"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28" w:history="1">
        <w:r w:rsidR="006A2415" w:rsidRPr="007C0B6A">
          <w:rPr>
            <w:rStyle w:val="Hyperlink"/>
            <w:noProof/>
          </w:rPr>
          <w:t xml:space="preserve">Tabla 34. </w:t>
        </w:r>
        <w:r w:rsidR="006A2415" w:rsidRPr="007C0B6A">
          <w:rPr>
            <w:rStyle w:val="Hyperlink"/>
            <w:noProof/>
            <w:lang w:eastAsia="en-US"/>
          </w:rPr>
          <w:t>Adolescentes privados de libertad y con medidas alternativas por Etnia</w:t>
        </w:r>
        <w:r w:rsidR="006A2415">
          <w:rPr>
            <w:noProof/>
            <w:webHidden/>
          </w:rPr>
          <w:tab/>
        </w:r>
        <w:r w:rsidR="006A2415">
          <w:rPr>
            <w:noProof/>
            <w:webHidden/>
          </w:rPr>
          <w:fldChar w:fldCharType="begin"/>
        </w:r>
        <w:r w:rsidR="006A2415">
          <w:rPr>
            <w:noProof/>
            <w:webHidden/>
          </w:rPr>
          <w:instrText xml:space="preserve"> PAGEREF _Toc42549228 \h </w:instrText>
        </w:r>
        <w:r w:rsidR="006A2415">
          <w:rPr>
            <w:noProof/>
            <w:webHidden/>
          </w:rPr>
        </w:r>
        <w:r w:rsidR="006A2415">
          <w:rPr>
            <w:noProof/>
            <w:webHidden/>
          </w:rPr>
          <w:fldChar w:fldCharType="separate"/>
        </w:r>
        <w:r w:rsidR="006A2415">
          <w:rPr>
            <w:noProof/>
            <w:webHidden/>
          </w:rPr>
          <w:t>141</w:t>
        </w:r>
        <w:r w:rsidR="006A2415">
          <w:rPr>
            <w:noProof/>
            <w:webHidden/>
          </w:rPr>
          <w:fldChar w:fldCharType="end"/>
        </w:r>
      </w:hyperlink>
    </w:p>
    <w:p w14:paraId="05AA007A" w14:textId="1BB64300"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29" w:history="1">
        <w:r w:rsidR="006A2415" w:rsidRPr="007C0B6A">
          <w:rPr>
            <w:rStyle w:val="Hyperlink"/>
            <w:noProof/>
          </w:rPr>
          <w:t xml:space="preserve">Tabla 35. </w:t>
        </w:r>
        <w:r w:rsidR="006A2415" w:rsidRPr="007C0B6A">
          <w:rPr>
            <w:rStyle w:val="Hyperlink"/>
            <w:rFonts w:eastAsia="Century Schoolbook" w:cs="Century Schoolbook"/>
            <w:noProof/>
          </w:rPr>
          <w:t>Proporción de personas que reciben fondos del Programa 100 a 65 años, por sexo y según la edad. Año 2019</w:t>
        </w:r>
        <w:r w:rsidR="006A2415">
          <w:rPr>
            <w:noProof/>
            <w:webHidden/>
          </w:rPr>
          <w:tab/>
        </w:r>
        <w:r w:rsidR="006A2415">
          <w:rPr>
            <w:noProof/>
            <w:webHidden/>
          </w:rPr>
          <w:fldChar w:fldCharType="begin"/>
        </w:r>
        <w:r w:rsidR="006A2415">
          <w:rPr>
            <w:noProof/>
            <w:webHidden/>
          </w:rPr>
          <w:instrText xml:space="preserve"> PAGEREF _Toc42549229 \h </w:instrText>
        </w:r>
        <w:r w:rsidR="006A2415">
          <w:rPr>
            <w:noProof/>
            <w:webHidden/>
          </w:rPr>
        </w:r>
        <w:r w:rsidR="006A2415">
          <w:rPr>
            <w:noProof/>
            <w:webHidden/>
          </w:rPr>
          <w:fldChar w:fldCharType="separate"/>
        </w:r>
        <w:r w:rsidR="006A2415">
          <w:rPr>
            <w:noProof/>
            <w:webHidden/>
          </w:rPr>
          <w:t>145</w:t>
        </w:r>
        <w:r w:rsidR="006A2415">
          <w:rPr>
            <w:noProof/>
            <w:webHidden/>
          </w:rPr>
          <w:fldChar w:fldCharType="end"/>
        </w:r>
      </w:hyperlink>
    </w:p>
    <w:p w14:paraId="65E0ED2F" w14:textId="41449193"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30" w:history="1">
        <w:r w:rsidR="006A2415" w:rsidRPr="007C0B6A">
          <w:rPr>
            <w:rStyle w:val="Hyperlink"/>
            <w:noProof/>
          </w:rPr>
          <w:t xml:space="preserve">Tabla 36. </w:t>
        </w:r>
        <w:r w:rsidR="006A2415" w:rsidRPr="007C0B6A">
          <w:rPr>
            <w:rStyle w:val="Hyperlink"/>
            <w:rFonts w:cs="Helvetica-Bold"/>
            <w:noProof/>
          </w:rPr>
          <w:t>Población infantil con discapacidad, por sexo, según grupos de edad: enero 2006</w:t>
        </w:r>
        <w:r w:rsidR="006A2415">
          <w:rPr>
            <w:noProof/>
            <w:webHidden/>
          </w:rPr>
          <w:tab/>
        </w:r>
        <w:r w:rsidR="006A2415">
          <w:rPr>
            <w:noProof/>
            <w:webHidden/>
          </w:rPr>
          <w:fldChar w:fldCharType="begin"/>
        </w:r>
        <w:r w:rsidR="006A2415">
          <w:rPr>
            <w:noProof/>
            <w:webHidden/>
          </w:rPr>
          <w:instrText xml:space="preserve"> PAGEREF _Toc42549230 \h </w:instrText>
        </w:r>
        <w:r w:rsidR="006A2415">
          <w:rPr>
            <w:noProof/>
            <w:webHidden/>
          </w:rPr>
        </w:r>
        <w:r w:rsidR="006A2415">
          <w:rPr>
            <w:noProof/>
            <w:webHidden/>
          </w:rPr>
          <w:fldChar w:fldCharType="separate"/>
        </w:r>
        <w:r w:rsidR="006A2415">
          <w:rPr>
            <w:noProof/>
            <w:webHidden/>
          </w:rPr>
          <w:t>152</w:t>
        </w:r>
        <w:r w:rsidR="006A2415">
          <w:rPr>
            <w:noProof/>
            <w:webHidden/>
          </w:rPr>
          <w:fldChar w:fldCharType="end"/>
        </w:r>
      </w:hyperlink>
    </w:p>
    <w:p w14:paraId="00F80C01" w14:textId="12683D20"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31" w:history="1">
        <w:r w:rsidR="006A2415" w:rsidRPr="007C0B6A">
          <w:rPr>
            <w:rStyle w:val="Hyperlink"/>
            <w:noProof/>
          </w:rPr>
          <w:t xml:space="preserve">Tabla 37 </w:t>
        </w:r>
        <w:r w:rsidR="006A2415" w:rsidRPr="007C0B6A">
          <w:rPr>
            <w:rStyle w:val="Hyperlink"/>
            <w:noProof/>
            <w:lang w:val="es-ES"/>
          </w:rPr>
          <w:t>Objetivos de desarrollo sostenible (ODS) en relación a género y cambio climático</w:t>
        </w:r>
        <w:r w:rsidR="006A2415">
          <w:rPr>
            <w:noProof/>
            <w:webHidden/>
          </w:rPr>
          <w:tab/>
        </w:r>
        <w:r w:rsidR="006A2415">
          <w:rPr>
            <w:noProof/>
            <w:webHidden/>
          </w:rPr>
          <w:fldChar w:fldCharType="begin"/>
        </w:r>
        <w:r w:rsidR="006A2415">
          <w:rPr>
            <w:noProof/>
            <w:webHidden/>
          </w:rPr>
          <w:instrText xml:space="preserve"> PAGEREF _Toc42549231 \h </w:instrText>
        </w:r>
        <w:r w:rsidR="006A2415">
          <w:rPr>
            <w:noProof/>
            <w:webHidden/>
          </w:rPr>
        </w:r>
        <w:r w:rsidR="006A2415">
          <w:rPr>
            <w:noProof/>
            <w:webHidden/>
          </w:rPr>
          <w:fldChar w:fldCharType="separate"/>
        </w:r>
        <w:r w:rsidR="006A2415">
          <w:rPr>
            <w:noProof/>
            <w:webHidden/>
          </w:rPr>
          <w:t>161</w:t>
        </w:r>
        <w:r w:rsidR="006A2415">
          <w:rPr>
            <w:noProof/>
            <w:webHidden/>
          </w:rPr>
          <w:fldChar w:fldCharType="end"/>
        </w:r>
      </w:hyperlink>
    </w:p>
    <w:p w14:paraId="46F1335E" w14:textId="32EC3A83"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32" w:history="1">
        <w:r w:rsidR="006A2415" w:rsidRPr="007C0B6A">
          <w:rPr>
            <w:rStyle w:val="Hyperlink"/>
            <w:noProof/>
          </w:rPr>
          <w:t xml:space="preserve">Tabla 38. </w:t>
        </w:r>
        <w:r w:rsidR="006A2415" w:rsidRPr="007C0B6A">
          <w:rPr>
            <w:rStyle w:val="Hyperlink"/>
            <w:rFonts w:eastAsia="Century Schoolbook" w:cs="Century Schoolbook"/>
            <w:noProof/>
            <w:lang w:val="es-ES"/>
          </w:rPr>
          <w:t>Coordinadores de proyecto ambientales dentro del ministerio de ambiente por sexo para el año 2020</w:t>
        </w:r>
        <w:r w:rsidR="006A2415">
          <w:rPr>
            <w:noProof/>
            <w:webHidden/>
          </w:rPr>
          <w:tab/>
        </w:r>
        <w:r w:rsidR="006A2415">
          <w:rPr>
            <w:noProof/>
            <w:webHidden/>
          </w:rPr>
          <w:fldChar w:fldCharType="begin"/>
        </w:r>
        <w:r w:rsidR="006A2415">
          <w:rPr>
            <w:noProof/>
            <w:webHidden/>
          </w:rPr>
          <w:instrText xml:space="preserve"> PAGEREF _Toc42549232 \h </w:instrText>
        </w:r>
        <w:r w:rsidR="006A2415">
          <w:rPr>
            <w:noProof/>
            <w:webHidden/>
          </w:rPr>
        </w:r>
        <w:r w:rsidR="006A2415">
          <w:rPr>
            <w:noProof/>
            <w:webHidden/>
          </w:rPr>
          <w:fldChar w:fldCharType="separate"/>
        </w:r>
        <w:r w:rsidR="006A2415">
          <w:rPr>
            <w:noProof/>
            <w:webHidden/>
          </w:rPr>
          <w:t>163</w:t>
        </w:r>
        <w:r w:rsidR="006A2415">
          <w:rPr>
            <w:noProof/>
            <w:webHidden/>
          </w:rPr>
          <w:fldChar w:fldCharType="end"/>
        </w:r>
      </w:hyperlink>
    </w:p>
    <w:p w14:paraId="731538BE" w14:textId="2E4C6F0C" w:rsidR="00C506F7" w:rsidRPr="005970E9" w:rsidRDefault="00C506F7" w:rsidP="006A2415">
      <w:pPr>
        <w:spacing w:before="120" w:after="120"/>
      </w:pPr>
      <w:r w:rsidRPr="005970E9">
        <w:fldChar w:fldCharType="end"/>
      </w:r>
      <w:bookmarkEnd w:id="4"/>
      <w:bookmarkEnd w:id="5"/>
    </w:p>
    <w:bookmarkEnd w:id="6"/>
    <w:p w14:paraId="2CA994DA" w14:textId="664B89EE" w:rsidR="00C506F7" w:rsidRPr="005970E9" w:rsidRDefault="001C6230" w:rsidP="001C6230">
      <w:pPr>
        <w:spacing w:before="120" w:after="240"/>
        <w:rPr>
          <w:b/>
          <w:bCs/>
        </w:rPr>
      </w:pPr>
      <w:r w:rsidRPr="005970E9">
        <w:rPr>
          <w:b/>
          <w:bCs/>
        </w:rPr>
        <w:t>ÍNDICE DE GRÁFICAS</w:t>
      </w:r>
    </w:p>
    <w:bookmarkStart w:id="7" w:name="_Hlk42465837"/>
    <w:p w14:paraId="37A60142" w14:textId="5087E4DB" w:rsidR="006A2415" w:rsidRDefault="00C506F7" w:rsidP="006A2415">
      <w:pPr>
        <w:pStyle w:val="TableofFigures"/>
        <w:tabs>
          <w:tab w:val="right" w:leader="dot" w:pos="8828"/>
        </w:tabs>
        <w:spacing w:before="120" w:after="120"/>
        <w:rPr>
          <w:rFonts w:asciiTheme="minorHAnsi" w:eastAsiaTheme="minorEastAsia" w:hAnsiTheme="minorHAnsi" w:cstheme="minorBidi"/>
          <w:noProof/>
        </w:rPr>
      </w:pPr>
      <w:r w:rsidRPr="005970E9">
        <w:fldChar w:fldCharType="begin"/>
      </w:r>
      <w:r w:rsidRPr="005970E9">
        <w:instrText xml:space="preserve"> TOC \h \z \c "Gráfica" </w:instrText>
      </w:r>
      <w:r w:rsidRPr="005970E9">
        <w:fldChar w:fldCharType="separate"/>
      </w:r>
      <w:hyperlink w:anchor="_Toc42549233" w:history="1">
        <w:r w:rsidR="006A2415" w:rsidRPr="00E7797F">
          <w:rPr>
            <w:rStyle w:val="Hyperlink"/>
            <w:noProof/>
          </w:rPr>
          <w:t xml:space="preserve">Gráfica 1 </w:t>
        </w:r>
        <w:r w:rsidR="006A2415" w:rsidRPr="00E7797F">
          <w:rPr>
            <w:rStyle w:val="Hyperlink"/>
            <w:noProof/>
            <w:lang w:val="es-US"/>
          </w:rPr>
          <w:t xml:space="preserve"> Número de mujeres electas como titulares en la Asamblea legislativa, según período electoral. 1945 - 2019</w:t>
        </w:r>
        <w:r w:rsidR="006A2415">
          <w:rPr>
            <w:noProof/>
            <w:webHidden/>
          </w:rPr>
          <w:tab/>
        </w:r>
        <w:r w:rsidR="006A2415">
          <w:rPr>
            <w:noProof/>
            <w:webHidden/>
          </w:rPr>
          <w:fldChar w:fldCharType="begin"/>
        </w:r>
        <w:r w:rsidR="006A2415">
          <w:rPr>
            <w:noProof/>
            <w:webHidden/>
          </w:rPr>
          <w:instrText xml:space="preserve"> PAGEREF _Toc42549233 \h </w:instrText>
        </w:r>
        <w:r w:rsidR="006A2415">
          <w:rPr>
            <w:noProof/>
            <w:webHidden/>
          </w:rPr>
        </w:r>
        <w:r w:rsidR="006A2415">
          <w:rPr>
            <w:noProof/>
            <w:webHidden/>
          </w:rPr>
          <w:fldChar w:fldCharType="separate"/>
        </w:r>
        <w:r w:rsidR="006A2415">
          <w:rPr>
            <w:noProof/>
            <w:webHidden/>
          </w:rPr>
          <w:t>40</w:t>
        </w:r>
        <w:r w:rsidR="006A2415">
          <w:rPr>
            <w:noProof/>
            <w:webHidden/>
          </w:rPr>
          <w:fldChar w:fldCharType="end"/>
        </w:r>
      </w:hyperlink>
    </w:p>
    <w:p w14:paraId="768B0EAD" w14:textId="47AD6956"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r:id="rId19" w:anchor="_Toc42549234" w:history="1">
        <w:r w:rsidR="006A2415" w:rsidRPr="00E7797F">
          <w:rPr>
            <w:rStyle w:val="Hyperlink"/>
            <w:noProof/>
          </w:rPr>
          <w:t>Gráfica 2 Postulaciones de Hombres y Mujeres a cargos elección popular. Elecciones 2009, 2014, 2019. En porcentajes.</w:t>
        </w:r>
        <w:r w:rsidR="006A2415">
          <w:rPr>
            <w:noProof/>
            <w:webHidden/>
          </w:rPr>
          <w:tab/>
        </w:r>
        <w:r w:rsidR="006A2415">
          <w:rPr>
            <w:noProof/>
            <w:webHidden/>
          </w:rPr>
          <w:fldChar w:fldCharType="begin"/>
        </w:r>
        <w:r w:rsidR="006A2415">
          <w:rPr>
            <w:noProof/>
            <w:webHidden/>
          </w:rPr>
          <w:instrText xml:space="preserve"> PAGEREF _Toc42549234 \h </w:instrText>
        </w:r>
        <w:r w:rsidR="006A2415">
          <w:rPr>
            <w:noProof/>
            <w:webHidden/>
          </w:rPr>
        </w:r>
        <w:r w:rsidR="006A2415">
          <w:rPr>
            <w:noProof/>
            <w:webHidden/>
          </w:rPr>
          <w:fldChar w:fldCharType="separate"/>
        </w:r>
        <w:r w:rsidR="006A2415">
          <w:rPr>
            <w:noProof/>
            <w:webHidden/>
          </w:rPr>
          <w:t>42</w:t>
        </w:r>
        <w:r w:rsidR="006A2415">
          <w:rPr>
            <w:noProof/>
            <w:webHidden/>
          </w:rPr>
          <w:fldChar w:fldCharType="end"/>
        </w:r>
      </w:hyperlink>
    </w:p>
    <w:p w14:paraId="4FBEEA8C" w14:textId="1BD09F64"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r:id="rId20" w:anchor="_Toc42549235" w:history="1">
        <w:r w:rsidR="006A2415" w:rsidRPr="00E7797F">
          <w:rPr>
            <w:rStyle w:val="Hyperlink"/>
            <w:noProof/>
          </w:rPr>
          <w:t>Gráfica 3. Hombres y mujeres en la CSJ</w:t>
        </w:r>
        <w:r w:rsidR="006A2415">
          <w:rPr>
            <w:noProof/>
            <w:webHidden/>
          </w:rPr>
          <w:tab/>
        </w:r>
        <w:r w:rsidR="006A2415">
          <w:rPr>
            <w:noProof/>
            <w:webHidden/>
          </w:rPr>
          <w:fldChar w:fldCharType="begin"/>
        </w:r>
        <w:r w:rsidR="006A2415">
          <w:rPr>
            <w:noProof/>
            <w:webHidden/>
          </w:rPr>
          <w:instrText xml:space="preserve"> PAGEREF _Toc42549235 \h </w:instrText>
        </w:r>
        <w:r w:rsidR="006A2415">
          <w:rPr>
            <w:noProof/>
            <w:webHidden/>
          </w:rPr>
        </w:r>
        <w:r w:rsidR="006A2415">
          <w:rPr>
            <w:noProof/>
            <w:webHidden/>
          </w:rPr>
          <w:fldChar w:fldCharType="separate"/>
        </w:r>
        <w:r w:rsidR="006A2415">
          <w:rPr>
            <w:noProof/>
            <w:webHidden/>
          </w:rPr>
          <w:t>47</w:t>
        </w:r>
        <w:r w:rsidR="006A2415">
          <w:rPr>
            <w:noProof/>
            <w:webHidden/>
          </w:rPr>
          <w:fldChar w:fldCharType="end"/>
        </w:r>
      </w:hyperlink>
    </w:p>
    <w:p w14:paraId="6A38E5AF" w14:textId="556E35A4"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36" w:history="1">
        <w:r w:rsidR="006A2415" w:rsidRPr="00E7797F">
          <w:rPr>
            <w:rStyle w:val="Hyperlink"/>
            <w:noProof/>
          </w:rPr>
          <w:t xml:space="preserve">Gráfica 4. </w:t>
        </w:r>
        <w:r w:rsidR="006A2415" w:rsidRPr="00E7797F">
          <w:rPr>
            <w:rStyle w:val="Hyperlink"/>
            <w:rFonts w:cs="IQZGNC+Balloon"/>
            <w:noProof/>
          </w:rPr>
          <w:t>Jueces y juezas del Órgano Judicial. 2010, 2015, 2020</w:t>
        </w:r>
        <w:r w:rsidR="006A2415">
          <w:rPr>
            <w:noProof/>
            <w:webHidden/>
          </w:rPr>
          <w:tab/>
        </w:r>
        <w:r w:rsidR="006A2415">
          <w:rPr>
            <w:noProof/>
            <w:webHidden/>
          </w:rPr>
          <w:fldChar w:fldCharType="begin"/>
        </w:r>
        <w:r w:rsidR="006A2415">
          <w:rPr>
            <w:noProof/>
            <w:webHidden/>
          </w:rPr>
          <w:instrText xml:space="preserve"> PAGEREF _Toc42549236 \h </w:instrText>
        </w:r>
        <w:r w:rsidR="006A2415">
          <w:rPr>
            <w:noProof/>
            <w:webHidden/>
          </w:rPr>
        </w:r>
        <w:r w:rsidR="006A2415">
          <w:rPr>
            <w:noProof/>
            <w:webHidden/>
          </w:rPr>
          <w:fldChar w:fldCharType="separate"/>
        </w:r>
        <w:r w:rsidR="006A2415">
          <w:rPr>
            <w:noProof/>
            <w:webHidden/>
          </w:rPr>
          <w:t>48</w:t>
        </w:r>
        <w:r w:rsidR="006A2415">
          <w:rPr>
            <w:noProof/>
            <w:webHidden/>
          </w:rPr>
          <w:fldChar w:fldCharType="end"/>
        </w:r>
      </w:hyperlink>
    </w:p>
    <w:p w14:paraId="23D048D6" w14:textId="785E407D"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37" w:history="1">
        <w:r w:rsidR="006A2415" w:rsidRPr="00E7797F">
          <w:rPr>
            <w:rStyle w:val="Hyperlink"/>
            <w:noProof/>
          </w:rPr>
          <w:t xml:space="preserve">Gráfica 5. </w:t>
        </w:r>
        <w:r w:rsidR="006A2415" w:rsidRPr="00E7797F">
          <w:rPr>
            <w:rStyle w:val="Hyperlink"/>
            <w:rFonts w:eastAsia="Century Schoolbook" w:cs="Century Schoolbook"/>
            <w:noProof/>
          </w:rPr>
          <w:t>Condición de las mujeres en la PEA ocupada, por área y comarca. Agosto 2019.</w:t>
        </w:r>
        <w:r w:rsidR="006A2415">
          <w:rPr>
            <w:noProof/>
            <w:webHidden/>
          </w:rPr>
          <w:tab/>
        </w:r>
        <w:r w:rsidR="006A2415">
          <w:rPr>
            <w:noProof/>
            <w:webHidden/>
          </w:rPr>
          <w:fldChar w:fldCharType="begin"/>
        </w:r>
        <w:r w:rsidR="006A2415">
          <w:rPr>
            <w:noProof/>
            <w:webHidden/>
          </w:rPr>
          <w:instrText xml:space="preserve"> PAGEREF _Toc42549237 \h </w:instrText>
        </w:r>
        <w:r w:rsidR="006A2415">
          <w:rPr>
            <w:noProof/>
            <w:webHidden/>
          </w:rPr>
        </w:r>
        <w:r w:rsidR="006A2415">
          <w:rPr>
            <w:noProof/>
            <w:webHidden/>
          </w:rPr>
          <w:fldChar w:fldCharType="separate"/>
        </w:r>
        <w:r w:rsidR="006A2415">
          <w:rPr>
            <w:noProof/>
            <w:webHidden/>
          </w:rPr>
          <w:t>61</w:t>
        </w:r>
        <w:r w:rsidR="006A2415">
          <w:rPr>
            <w:noProof/>
            <w:webHidden/>
          </w:rPr>
          <w:fldChar w:fldCharType="end"/>
        </w:r>
      </w:hyperlink>
    </w:p>
    <w:p w14:paraId="0887008E" w14:textId="6B33E160"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38" w:history="1">
        <w:r w:rsidR="006A2415" w:rsidRPr="00E7797F">
          <w:rPr>
            <w:rStyle w:val="Hyperlink"/>
            <w:noProof/>
          </w:rPr>
          <w:t xml:space="preserve">Gráfica 6. </w:t>
        </w:r>
        <w:r w:rsidR="006A2415" w:rsidRPr="00E7797F">
          <w:rPr>
            <w:rStyle w:val="Hyperlink"/>
            <w:rFonts w:eastAsia="Century Schoolbook" w:cs="Century Schoolbook"/>
            <w:noProof/>
          </w:rPr>
          <w:t>Brechas salariales no ajustadas, 2011-2018</w:t>
        </w:r>
        <w:r w:rsidR="006A2415">
          <w:rPr>
            <w:noProof/>
            <w:webHidden/>
          </w:rPr>
          <w:tab/>
        </w:r>
        <w:r w:rsidR="006A2415">
          <w:rPr>
            <w:noProof/>
            <w:webHidden/>
          </w:rPr>
          <w:fldChar w:fldCharType="begin"/>
        </w:r>
        <w:r w:rsidR="006A2415">
          <w:rPr>
            <w:noProof/>
            <w:webHidden/>
          </w:rPr>
          <w:instrText xml:space="preserve"> PAGEREF _Toc42549238 \h </w:instrText>
        </w:r>
        <w:r w:rsidR="006A2415">
          <w:rPr>
            <w:noProof/>
            <w:webHidden/>
          </w:rPr>
        </w:r>
        <w:r w:rsidR="006A2415">
          <w:rPr>
            <w:noProof/>
            <w:webHidden/>
          </w:rPr>
          <w:fldChar w:fldCharType="separate"/>
        </w:r>
        <w:r w:rsidR="006A2415">
          <w:rPr>
            <w:noProof/>
            <w:webHidden/>
          </w:rPr>
          <w:t>68</w:t>
        </w:r>
        <w:r w:rsidR="006A2415">
          <w:rPr>
            <w:noProof/>
            <w:webHidden/>
          </w:rPr>
          <w:fldChar w:fldCharType="end"/>
        </w:r>
      </w:hyperlink>
    </w:p>
    <w:p w14:paraId="3E2CEDA6" w14:textId="26B4897A"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39" w:history="1">
        <w:r w:rsidR="006A2415" w:rsidRPr="00E7797F">
          <w:rPr>
            <w:rStyle w:val="Hyperlink"/>
            <w:noProof/>
          </w:rPr>
          <w:t xml:space="preserve">Gráfica 7. </w:t>
        </w:r>
        <w:r w:rsidR="006A2415" w:rsidRPr="00E7797F">
          <w:rPr>
            <w:rStyle w:val="Hyperlink"/>
            <w:rFonts w:eastAsia="Century Schoolbook" w:cs="Century Schoolbook"/>
            <w:noProof/>
          </w:rPr>
          <w:t>Brechas salariales de género ajustadas, 2011-2018.</w:t>
        </w:r>
        <w:r w:rsidR="006A2415">
          <w:rPr>
            <w:noProof/>
            <w:webHidden/>
          </w:rPr>
          <w:tab/>
        </w:r>
        <w:r w:rsidR="006A2415">
          <w:rPr>
            <w:noProof/>
            <w:webHidden/>
          </w:rPr>
          <w:fldChar w:fldCharType="begin"/>
        </w:r>
        <w:r w:rsidR="006A2415">
          <w:rPr>
            <w:noProof/>
            <w:webHidden/>
          </w:rPr>
          <w:instrText xml:space="preserve"> PAGEREF _Toc42549239 \h </w:instrText>
        </w:r>
        <w:r w:rsidR="006A2415">
          <w:rPr>
            <w:noProof/>
            <w:webHidden/>
          </w:rPr>
        </w:r>
        <w:r w:rsidR="006A2415">
          <w:rPr>
            <w:noProof/>
            <w:webHidden/>
          </w:rPr>
          <w:fldChar w:fldCharType="separate"/>
        </w:r>
        <w:r w:rsidR="006A2415">
          <w:rPr>
            <w:noProof/>
            <w:webHidden/>
          </w:rPr>
          <w:t>69</w:t>
        </w:r>
        <w:r w:rsidR="006A2415">
          <w:rPr>
            <w:noProof/>
            <w:webHidden/>
          </w:rPr>
          <w:fldChar w:fldCharType="end"/>
        </w:r>
      </w:hyperlink>
    </w:p>
    <w:p w14:paraId="5CA5DDA2" w14:textId="177D6CF1"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40" w:history="1">
        <w:r w:rsidR="006A2415" w:rsidRPr="00E7797F">
          <w:rPr>
            <w:rStyle w:val="Hyperlink"/>
            <w:noProof/>
          </w:rPr>
          <w:t xml:space="preserve">Gráfica 8. </w:t>
        </w:r>
        <w:r w:rsidR="006A2415" w:rsidRPr="00E7797F">
          <w:rPr>
            <w:rStyle w:val="Hyperlink"/>
            <w:rFonts w:eastAsia="Bookman Old Style" w:cs="Bookman Old Style"/>
            <w:noProof/>
          </w:rPr>
          <w:t>Tasa de participación por sexo, años 2012-2017</w:t>
        </w:r>
        <w:r w:rsidR="006A2415">
          <w:rPr>
            <w:noProof/>
            <w:webHidden/>
          </w:rPr>
          <w:tab/>
        </w:r>
        <w:r w:rsidR="006A2415">
          <w:rPr>
            <w:noProof/>
            <w:webHidden/>
          </w:rPr>
          <w:fldChar w:fldCharType="begin"/>
        </w:r>
        <w:r w:rsidR="006A2415">
          <w:rPr>
            <w:noProof/>
            <w:webHidden/>
          </w:rPr>
          <w:instrText xml:space="preserve"> PAGEREF _Toc42549240 \h </w:instrText>
        </w:r>
        <w:r w:rsidR="006A2415">
          <w:rPr>
            <w:noProof/>
            <w:webHidden/>
          </w:rPr>
        </w:r>
        <w:r w:rsidR="006A2415">
          <w:rPr>
            <w:noProof/>
            <w:webHidden/>
          </w:rPr>
          <w:fldChar w:fldCharType="separate"/>
        </w:r>
        <w:r w:rsidR="006A2415">
          <w:rPr>
            <w:noProof/>
            <w:webHidden/>
          </w:rPr>
          <w:t>71</w:t>
        </w:r>
        <w:r w:rsidR="006A2415">
          <w:rPr>
            <w:noProof/>
            <w:webHidden/>
          </w:rPr>
          <w:fldChar w:fldCharType="end"/>
        </w:r>
      </w:hyperlink>
    </w:p>
    <w:p w14:paraId="62347202" w14:textId="299494AB"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41" w:history="1">
        <w:r w:rsidR="006A2415" w:rsidRPr="00E7797F">
          <w:rPr>
            <w:rStyle w:val="Hyperlink"/>
            <w:noProof/>
          </w:rPr>
          <w:t>Gráfica 9. Proporción porcentual de la población con seguro social por sexo.</w:t>
        </w:r>
        <w:r w:rsidR="006A2415">
          <w:rPr>
            <w:noProof/>
            <w:webHidden/>
          </w:rPr>
          <w:tab/>
        </w:r>
        <w:r w:rsidR="006A2415">
          <w:rPr>
            <w:noProof/>
            <w:webHidden/>
          </w:rPr>
          <w:fldChar w:fldCharType="begin"/>
        </w:r>
        <w:r w:rsidR="006A2415">
          <w:rPr>
            <w:noProof/>
            <w:webHidden/>
          </w:rPr>
          <w:instrText xml:space="preserve"> PAGEREF _Toc42549241 \h </w:instrText>
        </w:r>
        <w:r w:rsidR="006A2415">
          <w:rPr>
            <w:noProof/>
            <w:webHidden/>
          </w:rPr>
        </w:r>
        <w:r w:rsidR="006A2415">
          <w:rPr>
            <w:noProof/>
            <w:webHidden/>
          </w:rPr>
          <w:fldChar w:fldCharType="separate"/>
        </w:r>
        <w:r w:rsidR="006A2415">
          <w:rPr>
            <w:noProof/>
            <w:webHidden/>
          </w:rPr>
          <w:t>72</w:t>
        </w:r>
        <w:r w:rsidR="006A2415">
          <w:rPr>
            <w:noProof/>
            <w:webHidden/>
          </w:rPr>
          <w:fldChar w:fldCharType="end"/>
        </w:r>
      </w:hyperlink>
    </w:p>
    <w:p w14:paraId="11068E9F" w14:textId="2B1A06B4"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42" w:history="1">
        <w:r w:rsidR="006A2415" w:rsidRPr="00E7797F">
          <w:rPr>
            <w:rStyle w:val="Hyperlink"/>
            <w:noProof/>
          </w:rPr>
          <w:t>Gráfica 10. Asegurados con ficha de SS</w:t>
        </w:r>
        <w:r w:rsidR="006A2415">
          <w:rPr>
            <w:noProof/>
            <w:webHidden/>
          </w:rPr>
          <w:tab/>
        </w:r>
        <w:r w:rsidR="006A2415">
          <w:rPr>
            <w:noProof/>
            <w:webHidden/>
          </w:rPr>
          <w:fldChar w:fldCharType="begin"/>
        </w:r>
        <w:r w:rsidR="006A2415">
          <w:rPr>
            <w:noProof/>
            <w:webHidden/>
          </w:rPr>
          <w:instrText xml:space="preserve"> PAGEREF _Toc42549242 \h </w:instrText>
        </w:r>
        <w:r w:rsidR="006A2415">
          <w:rPr>
            <w:noProof/>
            <w:webHidden/>
          </w:rPr>
        </w:r>
        <w:r w:rsidR="006A2415">
          <w:rPr>
            <w:noProof/>
            <w:webHidden/>
          </w:rPr>
          <w:fldChar w:fldCharType="separate"/>
        </w:r>
        <w:r w:rsidR="006A2415">
          <w:rPr>
            <w:noProof/>
            <w:webHidden/>
          </w:rPr>
          <w:t>73</w:t>
        </w:r>
        <w:r w:rsidR="006A2415">
          <w:rPr>
            <w:noProof/>
            <w:webHidden/>
          </w:rPr>
          <w:fldChar w:fldCharType="end"/>
        </w:r>
      </w:hyperlink>
    </w:p>
    <w:p w14:paraId="439A1FB6" w14:textId="7470DF42"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43" w:history="1">
        <w:r w:rsidR="006A2415" w:rsidRPr="00E7797F">
          <w:rPr>
            <w:rStyle w:val="Hyperlink"/>
            <w:noProof/>
          </w:rPr>
          <w:t>Gráfica 11. Afiliados a fondos privados</w:t>
        </w:r>
        <w:r w:rsidR="006A2415">
          <w:rPr>
            <w:noProof/>
            <w:webHidden/>
          </w:rPr>
          <w:tab/>
        </w:r>
        <w:r w:rsidR="006A2415">
          <w:rPr>
            <w:noProof/>
            <w:webHidden/>
          </w:rPr>
          <w:fldChar w:fldCharType="begin"/>
        </w:r>
        <w:r w:rsidR="006A2415">
          <w:rPr>
            <w:noProof/>
            <w:webHidden/>
          </w:rPr>
          <w:instrText xml:space="preserve"> PAGEREF _Toc42549243 \h </w:instrText>
        </w:r>
        <w:r w:rsidR="006A2415">
          <w:rPr>
            <w:noProof/>
            <w:webHidden/>
          </w:rPr>
        </w:r>
        <w:r w:rsidR="006A2415">
          <w:rPr>
            <w:noProof/>
            <w:webHidden/>
          </w:rPr>
          <w:fldChar w:fldCharType="separate"/>
        </w:r>
        <w:r w:rsidR="006A2415">
          <w:rPr>
            <w:noProof/>
            <w:webHidden/>
          </w:rPr>
          <w:t>73</w:t>
        </w:r>
        <w:r w:rsidR="006A2415">
          <w:rPr>
            <w:noProof/>
            <w:webHidden/>
          </w:rPr>
          <w:fldChar w:fldCharType="end"/>
        </w:r>
      </w:hyperlink>
    </w:p>
    <w:p w14:paraId="0ABF5A91" w14:textId="31900856"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44" w:history="1">
        <w:r w:rsidR="006A2415" w:rsidRPr="00E7797F">
          <w:rPr>
            <w:rStyle w:val="Hyperlink"/>
            <w:noProof/>
          </w:rPr>
          <w:t>Gráfica 12. Mujeres y hombres en la carrera científica</w:t>
        </w:r>
        <w:r w:rsidR="006A2415">
          <w:rPr>
            <w:noProof/>
            <w:webHidden/>
          </w:rPr>
          <w:tab/>
        </w:r>
        <w:r w:rsidR="006A2415">
          <w:rPr>
            <w:noProof/>
            <w:webHidden/>
          </w:rPr>
          <w:fldChar w:fldCharType="begin"/>
        </w:r>
        <w:r w:rsidR="006A2415">
          <w:rPr>
            <w:noProof/>
            <w:webHidden/>
          </w:rPr>
          <w:instrText xml:space="preserve"> PAGEREF _Toc42549244 \h </w:instrText>
        </w:r>
        <w:r w:rsidR="006A2415">
          <w:rPr>
            <w:noProof/>
            <w:webHidden/>
          </w:rPr>
        </w:r>
        <w:r w:rsidR="006A2415">
          <w:rPr>
            <w:noProof/>
            <w:webHidden/>
          </w:rPr>
          <w:fldChar w:fldCharType="separate"/>
        </w:r>
        <w:r w:rsidR="006A2415">
          <w:rPr>
            <w:noProof/>
            <w:webHidden/>
          </w:rPr>
          <w:t>74</w:t>
        </w:r>
        <w:r w:rsidR="006A2415">
          <w:rPr>
            <w:noProof/>
            <w:webHidden/>
          </w:rPr>
          <w:fldChar w:fldCharType="end"/>
        </w:r>
      </w:hyperlink>
    </w:p>
    <w:p w14:paraId="6A023128" w14:textId="35912EE1"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45" w:history="1">
        <w:r w:rsidR="006A2415" w:rsidRPr="00E7797F">
          <w:rPr>
            <w:rStyle w:val="Hyperlink"/>
            <w:noProof/>
          </w:rPr>
          <w:t>Gráfica 13. Analfabetismo en la república de Panamá, por sexo: años 2000-2010-2020</w:t>
        </w:r>
        <w:r w:rsidR="006A2415">
          <w:rPr>
            <w:noProof/>
            <w:webHidden/>
          </w:rPr>
          <w:tab/>
        </w:r>
        <w:r w:rsidR="006A2415">
          <w:rPr>
            <w:noProof/>
            <w:webHidden/>
          </w:rPr>
          <w:fldChar w:fldCharType="begin"/>
        </w:r>
        <w:r w:rsidR="006A2415">
          <w:rPr>
            <w:noProof/>
            <w:webHidden/>
          </w:rPr>
          <w:instrText xml:space="preserve"> PAGEREF _Toc42549245 \h </w:instrText>
        </w:r>
        <w:r w:rsidR="006A2415">
          <w:rPr>
            <w:noProof/>
            <w:webHidden/>
          </w:rPr>
        </w:r>
        <w:r w:rsidR="006A2415">
          <w:rPr>
            <w:noProof/>
            <w:webHidden/>
          </w:rPr>
          <w:fldChar w:fldCharType="separate"/>
        </w:r>
        <w:r w:rsidR="006A2415">
          <w:rPr>
            <w:noProof/>
            <w:webHidden/>
          </w:rPr>
          <w:t>77</w:t>
        </w:r>
        <w:r w:rsidR="006A2415">
          <w:rPr>
            <w:noProof/>
            <w:webHidden/>
          </w:rPr>
          <w:fldChar w:fldCharType="end"/>
        </w:r>
      </w:hyperlink>
    </w:p>
    <w:p w14:paraId="7124CC7B" w14:textId="0B63369D"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46" w:history="1">
        <w:r w:rsidR="006A2415" w:rsidRPr="00E7797F">
          <w:rPr>
            <w:rStyle w:val="Hyperlink"/>
            <w:noProof/>
          </w:rPr>
          <w:t>Gráfica 14.</w:t>
        </w:r>
        <w:r w:rsidR="006A2415" w:rsidRPr="00E7797F">
          <w:rPr>
            <w:rStyle w:val="Hyperlink"/>
            <w:b/>
            <w:bCs/>
            <w:noProof/>
          </w:rPr>
          <w:t xml:space="preserve"> </w:t>
        </w:r>
        <w:r w:rsidR="006A2415" w:rsidRPr="00E7797F">
          <w:rPr>
            <w:rStyle w:val="Hyperlink"/>
            <w:noProof/>
          </w:rPr>
          <w:t>Matrícula preescolar de niños y niñas en la república, por provincias: año 2018</w:t>
        </w:r>
        <w:r w:rsidR="006A2415">
          <w:rPr>
            <w:noProof/>
            <w:webHidden/>
          </w:rPr>
          <w:tab/>
        </w:r>
        <w:r w:rsidR="006A2415">
          <w:rPr>
            <w:noProof/>
            <w:webHidden/>
          </w:rPr>
          <w:fldChar w:fldCharType="begin"/>
        </w:r>
        <w:r w:rsidR="006A2415">
          <w:rPr>
            <w:noProof/>
            <w:webHidden/>
          </w:rPr>
          <w:instrText xml:space="preserve"> PAGEREF _Toc42549246 \h </w:instrText>
        </w:r>
        <w:r w:rsidR="006A2415">
          <w:rPr>
            <w:noProof/>
            <w:webHidden/>
          </w:rPr>
        </w:r>
        <w:r w:rsidR="006A2415">
          <w:rPr>
            <w:noProof/>
            <w:webHidden/>
          </w:rPr>
          <w:fldChar w:fldCharType="separate"/>
        </w:r>
        <w:r w:rsidR="006A2415">
          <w:rPr>
            <w:noProof/>
            <w:webHidden/>
          </w:rPr>
          <w:t>78</w:t>
        </w:r>
        <w:r w:rsidR="006A2415">
          <w:rPr>
            <w:noProof/>
            <w:webHidden/>
          </w:rPr>
          <w:fldChar w:fldCharType="end"/>
        </w:r>
      </w:hyperlink>
    </w:p>
    <w:p w14:paraId="2BC57BAD" w14:textId="6818B2F2"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47" w:history="1">
        <w:r w:rsidR="006A2415" w:rsidRPr="00E7797F">
          <w:rPr>
            <w:rStyle w:val="Hyperlink"/>
            <w:noProof/>
          </w:rPr>
          <w:t xml:space="preserve">Gráfica 15. </w:t>
        </w:r>
        <w:r w:rsidR="006A2415" w:rsidRPr="00E7797F">
          <w:rPr>
            <w:rStyle w:val="Hyperlink"/>
            <w:rFonts w:cs="Arial"/>
            <w:noProof/>
          </w:rPr>
          <w:t>Matrícula a nivel primario, secundario y universitario en la república, por sexo: años 2010-2018</w:t>
        </w:r>
        <w:r w:rsidR="006A2415">
          <w:rPr>
            <w:noProof/>
            <w:webHidden/>
          </w:rPr>
          <w:tab/>
        </w:r>
        <w:r w:rsidR="006A2415">
          <w:rPr>
            <w:noProof/>
            <w:webHidden/>
          </w:rPr>
          <w:fldChar w:fldCharType="begin"/>
        </w:r>
        <w:r w:rsidR="006A2415">
          <w:rPr>
            <w:noProof/>
            <w:webHidden/>
          </w:rPr>
          <w:instrText xml:space="preserve"> PAGEREF _Toc42549247 \h </w:instrText>
        </w:r>
        <w:r w:rsidR="006A2415">
          <w:rPr>
            <w:noProof/>
            <w:webHidden/>
          </w:rPr>
        </w:r>
        <w:r w:rsidR="006A2415">
          <w:rPr>
            <w:noProof/>
            <w:webHidden/>
          </w:rPr>
          <w:fldChar w:fldCharType="separate"/>
        </w:r>
        <w:r w:rsidR="006A2415">
          <w:rPr>
            <w:noProof/>
            <w:webHidden/>
          </w:rPr>
          <w:t>80</w:t>
        </w:r>
        <w:r w:rsidR="006A2415">
          <w:rPr>
            <w:noProof/>
            <w:webHidden/>
          </w:rPr>
          <w:fldChar w:fldCharType="end"/>
        </w:r>
      </w:hyperlink>
    </w:p>
    <w:p w14:paraId="52267264" w14:textId="0C0907D5"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48" w:history="1">
        <w:r w:rsidR="006A2415" w:rsidRPr="00E7797F">
          <w:rPr>
            <w:rStyle w:val="Hyperlink"/>
            <w:noProof/>
          </w:rPr>
          <w:t>Gráfica 16. Matrícula a nivel secundario de adolescentes en la república, según provincias y por sexo: año 2018</w:t>
        </w:r>
        <w:r w:rsidR="006A2415">
          <w:rPr>
            <w:noProof/>
            <w:webHidden/>
          </w:rPr>
          <w:tab/>
        </w:r>
        <w:r w:rsidR="006A2415">
          <w:rPr>
            <w:noProof/>
            <w:webHidden/>
          </w:rPr>
          <w:fldChar w:fldCharType="begin"/>
        </w:r>
        <w:r w:rsidR="006A2415">
          <w:rPr>
            <w:noProof/>
            <w:webHidden/>
          </w:rPr>
          <w:instrText xml:space="preserve"> PAGEREF _Toc42549248 \h </w:instrText>
        </w:r>
        <w:r w:rsidR="006A2415">
          <w:rPr>
            <w:noProof/>
            <w:webHidden/>
          </w:rPr>
        </w:r>
        <w:r w:rsidR="006A2415">
          <w:rPr>
            <w:noProof/>
            <w:webHidden/>
          </w:rPr>
          <w:fldChar w:fldCharType="separate"/>
        </w:r>
        <w:r w:rsidR="006A2415">
          <w:rPr>
            <w:noProof/>
            <w:webHidden/>
          </w:rPr>
          <w:t>80</w:t>
        </w:r>
        <w:r w:rsidR="006A2415">
          <w:rPr>
            <w:noProof/>
            <w:webHidden/>
          </w:rPr>
          <w:fldChar w:fldCharType="end"/>
        </w:r>
      </w:hyperlink>
    </w:p>
    <w:p w14:paraId="27FF384D" w14:textId="672E914C"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r:id="rId21" w:anchor="_Toc42549249" w:history="1">
        <w:r w:rsidR="006A2415" w:rsidRPr="00E7797F">
          <w:rPr>
            <w:rStyle w:val="Hyperlink"/>
            <w:noProof/>
          </w:rPr>
          <w:t>Gráfica 17. Matrícula universitaria pública y privada de la república de Panamá, por sexo: año 2018</w:t>
        </w:r>
        <w:r w:rsidR="006A2415">
          <w:rPr>
            <w:noProof/>
            <w:webHidden/>
          </w:rPr>
          <w:tab/>
        </w:r>
        <w:r w:rsidR="006A2415">
          <w:rPr>
            <w:noProof/>
            <w:webHidden/>
          </w:rPr>
          <w:fldChar w:fldCharType="begin"/>
        </w:r>
        <w:r w:rsidR="006A2415">
          <w:rPr>
            <w:noProof/>
            <w:webHidden/>
          </w:rPr>
          <w:instrText xml:space="preserve"> PAGEREF _Toc42549249 \h </w:instrText>
        </w:r>
        <w:r w:rsidR="006A2415">
          <w:rPr>
            <w:noProof/>
            <w:webHidden/>
          </w:rPr>
        </w:r>
        <w:r w:rsidR="006A2415">
          <w:rPr>
            <w:noProof/>
            <w:webHidden/>
          </w:rPr>
          <w:fldChar w:fldCharType="separate"/>
        </w:r>
        <w:r w:rsidR="006A2415">
          <w:rPr>
            <w:noProof/>
            <w:webHidden/>
          </w:rPr>
          <w:t>82</w:t>
        </w:r>
        <w:r w:rsidR="006A2415">
          <w:rPr>
            <w:noProof/>
            <w:webHidden/>
          </w:rPr>
          <w:fldChar w:fldCharType="end"/>
        </w:r>
      </w:hyperlink>
    </w:p>
    <w:p w14:paraId="051FB0E0" w14:textId="768DF420"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r:id="rId22" w:anchor="_Toc42549250" w:history="1">
        <w:r w:rsidR="006A2415" w:rsidRPr="00E7797F">
          <w:rPr>
            <w:rStyle w:val="Hyperlink"/>
            <w:noProof/>
          </w:rPr>
          <w:t>Gráfica 18. Matrícula universitaria pública y privada de la república de panamá, por sexo: año 2018</w:t>
        </w:r>
        <w:r w:rsidR="006A2415">
          <w:rPr>
            <w:noProof/>
            <w:webHidden/>
          </w:rPr>
          <w:tab/>
        </w:r>
        <w:r w:rsidR="006A2415">
          <w:rPr>
            <w:noProof/>
            <w:webHidden/>
          </w:rPr>
          <w:fldChar w:fldCharType="begin"/>
        </w:r>
        <w:r w:rsidR="006A2415">
          <w:rPr>
            <w:noProof/>
            <w:webHidden/>
          </w:rPr>
          <w:instrText xml:space="preserve"> PAGEREF _Toc42549250 \h </w:instrText>
        </w:r>
        <w:r w:rsidR="006A2415">
          <w:rPr>
            <w:noProof/>
            <w:webHidden/>
          </w:rPr>
        </w:r>
        <w:r w:rsidR="006A2415">
          <w:rPr>
            <w:noProof/>
            <w:webHidden/>
          </w:rPr>
          <w:fldChar w:fldCharType="separate"/>
        </w:r>
        <w:r w:rsidR="006A2415">
          <w:rPr>
            <w:noProof/>
            <w:webHidden/>
          </w:rPr>
          <w:t>82</w:t>
        </w:r>
        <w:r w:rsidR="006A2415">
          <w:rPr>
            <w:noProof/>
            <w:webHidden/>
          </w:rPr>
          <w:fldChar w:fldCharType="end"/>
        </w:r>
      </w:hyperlink>
    </w:p>
    <w:p w14:paraId="2BD13F1E" w14:textId="7DD2E3CB"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51" w:history="1">
        <w:r w:rsidR="006A2415" w:rsidRPr="00E7797F">
          <w:rPr>
            <w:rStyle w:val="Hyperlink"/>
            <w:noProof/>
          </w:rPr>
          <w:t>Gráfica 19. Cantidad de embarazos a temprana edad en la República de Panamá, según provincia: años 2010-2016</w:t>
        </w:r>
        <w:r w:rsidR="006A2415">
          <w:rPr>
            <w:noProof/>
            <w:webHidden/>
          </w:rPr>
          <w:tab/>
        </w:r>
        <w:r w:rsidR="006A2415">
          <w:rPr>
            <w:noProof/>
            <w:webHidden/>
          </w:rPr>
          <w:fldChar w:fldCharType="begin"/>
        </w:r>
        <w:r w:rsidR="006A2415">
          <w:rPr>
            <w:noProof/>
            <w:webHidden/>
          </w:rPr>
          <w:instrText xml:space="preserve"> PAGEREF _Toc42549251 \h </w:instrText>
        </w:r>
        <w:r w:rsidR="006A2415">
          <w:rPr>
            <w:noProof/>
            <w:webHidden/>
          </w:rPr>
        </w:r>
        <w:r w:rsidR="006A2415">
          <w:rPr>
            <w:noProof/>
            <w:webHidden/>
          </w:rPr>
          <w:fldChar w:fldCharType="separate"/>
        </w:r>
        <w:r w:rsidR="006A2415">
          <w:rPr>
            <w:noProof/>
            <w:webHidden/>
          </w:rPr>
          <w:t>83</w:t>
        </w:r>
        <w:r w:rsidR="006A2415">
          <w:rPr>
            <w:noProof/>
            <w:webHidden/>
          </w:rPr>
          <w:fldChar w:fldCharType="end"/>
        </w:r>
      </w:hyperlink>
    </w:p>
    <w:p w14:paraId="156F2F27" w14:textId="6F98F104"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52" w:history="1">
        <w:r w:rsidR="006A2415" w:rsidRPr="00E7797F">
          <w:rPr>
            <w:rStyle w:val="Hyperlink"/>
            <w:noProof/>
          </w:rPr>
          <w:t>Gráfica 20. Promedio de estudiantes por instalación educativa oficial y particular por sexo, según provincias: año 2019.</w:t>
        </w:r>
        <w:r w:rsidR="006A2415">
          <w:rPr>
            <w:noProof/>
            <w:webHidden/>
          </w:rPr>
          <w:tab/>
        </w:r>
        <w:r w:rsidR="006A2415">
          <w:rPr>
            <w:noProof/>
            <w:webHidden/>
          </w:rPr>
          <w:fldChar w:fldCharType="begin"/>
        </w:r>
        <w:r w:rsidR="006A2415">
          <w:rPr>
            <w:noProof/>
            <w:webHidden/>
          </w:rPr>
          <w:instrText xml:space="preserve"> PAGEREF _Toc42549252 \h </w:instrText>
        </w:r>
        <w:r w:rsidR="006A2415">
          <w:rPr>
            <w:noProof/>
            <w:webHidden/>
          </w:rPr>
        </w:r>
        <w:r w:rsidR="006A2415">
          <w:rPr>
            <w:noProof/>
            <w:webHidden/>
          </w:rPr>
          <w:fldChar w:fldCharType="separate"/>
        </w:r>
        <w:r w:rsidR="006A2415">
          <w:rPr>
            <w:noProof/>
            <w:webHidden/>
          </w:rPr>
          <w:t>85</w:t>
        </w:r>
        <w:r w:rsidR="006A2415">
          <w:rPr>
            <w:noProof/>
            <w:webHidden/>
          </w:rPr>
          <w:fldChar w:fldCharType="end"/>
        </w:r>
      </w:hyperlink>
    </w:p>
    <w:p w14:paraId="6570A90F" w14:textId="5638B433"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53" w:history="1">
        <w:r w:rsidR="006A2415" w:rsidRPr="00E7797F">
          <w:rPr>
            <w:rStyle w:val="Hyperlink"/>
            <w:noProof/>
          </w:rPr>
          <w:t>Gráfica 21 Esperanza de vida en años en Panamá, por sexo: quinquenios 2000-2030*</w:t>
        </w:r>
        <w:r w:rsidR="006A2415">
          <w:rPr>
            <w:noProof/>
            <w:webHidden/>
          </w:rPr>
          <w:tab/>
        </w:r>
        <w:r w:rsidR="006A2415">
          <w:rPr>
            <w:noProof/>
            <w:webHidden/>
          </w:rPr>
          <w:fldChar w:fldCharType="begin"/>
        </w:r>
        <w:r w:rsidR="006A2415">
          <w:rPr>
            <w:noProof/>
            <w:webHidden/>
          </w:rPr>
          <w:instrText xml:space="preserve"> PAGEREF _Toc42549253 \h </w:instrText>
        </w:r>
        <w:r w:rsidR="006A2415">
          <w:rPr>
            <w:noProof/>
            <w:webHidden/>
          </w:rPr>
        </w:r>
        <w:r w:rsidR="006A2415">
          <w:rPr>
            <w:noProof/>
            <w:webHidden/>
          </w:rPr>
          <w:fldChar w:fldCharType="separate"/>
        </w:r>
        <w:r w:rsidR="006A2415">
          <w:rPr>
            <w:noProof/>
            <w:webHidden/>
          </w:rPr>
          <w:t>87</w:t>
        </w:r>
        <w:r w:rsidR="006A2415">
          <w:rPr>
            <w:noProof/>
            <w:webHidden/>
          </w:rPr>
          <w:fldChar w:fldCharType="end"/>
        </w:r>
      </w:hyperlink>
    </w:p>
    <w:p w14:paraId="2E127FA3" w14:textId="2EFD41F0"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54" w:history="1">
        <w:r w:rsidR="006A2415" w:rsidRPr="00E7797F">
          <w:rPr>
            <w:rStyle w:val="Hyperlink"/>
            <w:noProof/>
          </w:rPr>
          <w:t>Gráfica 22. Tasa de natalidad de Panamá según provincias: años 2010 y 2018</w:t>
        </w:r>
        <w:r w:rsidR="006A2415">
          <w:rPr>
            <w:noProof/>
            <w:webHidden/>
          </w:rPr>
          <w:tab/>
        </w:r>
        <w:r w:rsidR="006A2415">
          <w:rPr>
            <w:noProof/>
            <w:webHidden/>
          </w:rPr>
          <w:fldChar w:fldCharType="begin"/>
        </w:r>
        <w:r w:rsidR="006A2415">
          <w:rPr>
            <w:noProof/>
            <w:webHidden/>
          </w:rPr>
          <w:instrText xml:space="preserve"> PAGEREF _Toc42549254 \h </w:instrText>
        </w:r>
        <w:r w:rsidR="006A2415">
          <w:rPr>
            <w:noProof/>
            <w:webHidden/>
          </w:rPr>
        </w:r>
        <w:r w:rsidR="006A2415">
          <w:rPr>
            <w:noProof/>
            <w:webHidden/>
          </w:rPr>
          <w:fldChar w:fldCharType="separate"/>
        </w:r>
        <w:r w:rsidR="006A2415">
          <w:rPr>
            <w:noProof/>
            <w:webHidden/>
          </w:rPr>
          <w:t>89</w:t>
        </w:r>
        <w:r w:rsidR="006A2415">
          <w:rPr>
            <w:noProof/>
            <w:webHidden/>
          </w:rPr>
          <w:fldChar w:fldCharType="end"/>
        </w:r>
      </w:hyperlink>
    </w:p>
    <w:p w14:paraId="16B76C3B" w14:textId="1C8CAD61"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55" w:history="1">
        <w:r w:rsidR="006A2415" w:rsidRPr="00E7797F">
          <w:rPr>
            <w:rStyle w:val="Hyperlink"/>
            <w:noProof/>
          </w:rPr>
          <w:t>Gráfica 23. Tasa de fecundidad general de panamá, según provincias y comarcas: años 2010-2018</w:t>
        </w:r>
        <w:r w:rsidR="006A2415">
          <w:rPr>
            <w:noProof/>
            <w:webHidden/>
          </w:rPr>
          <w:tab/>
        </w:r>
        <w:r w:rsidR="006A2415">
          <w:rPr>
            <w:noProof/>
            <w:webHidden/>
          </w:rPr>
          <w:fldChar w:fldCharType="begin"/>
        </w:r>
        <w:r w:rsidR="006A2415">
          <w:rPr>
            <w:noProof/>
            <w:webHidden/>
          </w:rPr>
          <w:instrText xml:space="preserve"> PAGEREF _Toc42549255 \h </w:instrText>
        </w:r>
        <w:r w:rsidR="006A2415">
          <w:rPr>
            <w:noProof/>
            <w:webHidden/>
          </w:rPr>
        </w:r>
        <w:r w:rsidR="006A2415">
          <w:rPr>
            <w:noProof/>
            <w:webHidden/>
          </w:rPr>
          <w:fldChar w:fldCharType="separate"/>
        </w:r>
        <w:r w:rsidR="006A2415">
          <w:rPr>
            <w:noProof/>
            <w:webHidden/>
          </w:rPr>
          <w:t>90</w:t>
        </w:r>
        <w:r w:rsidR="006A2415">
          <w:rPr>
            <w:noProof/>
            <w:webHidden/>
          </w:rPr>
          <w:fldChar w:fldCharType="end"/>
        </w:r>
      </w:hyperlink>
    </w:p>
    <w:p w14:paraId="15BFC903" w14:textId="55B15218"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56" w:history="1">
        <w:r w:rsidR="006A2415" w:rsidRPr="00E7797F">
          <w:rPr>
            <w:rStyle w:val="Hyperlink"/>
            <w:noProof/>
          </w:rPr>
          <w:t>Gráfica 24. Nacimientos vivos por edad de la madre en Panamá: años 2010- 2018</w:t>
        </w:r>
        <w:r w:rsidR="006A2415">
          <w:rPr>
            <w:noProof/>
            <w:webHidden/>
          </w:rPr>
          <w:tab/>
        </w:r>
        <w:r w:rsidR="006A2415">
          <w:rPr>
            <w:noProof/>
            <w:webHidden/>
          </w:rPr>
          <w:fldChar w:fldCharType="begin"/>
        </w:r>
        <w:r w:rsidR="006A2415">
          <w:rPr>
            <w:noProof/>
            <w:webHidden/>
          </w:rPr>
          <w:instrText xml:space="preserve"> PAGEREF _Toc42549256 \h </w:instrText>
        </w:r>
        <w:r w:rsidR="006A2415">
          <w:rPr>
            <w:noProof/>
            <w:webHidden/>
          </w:rPr>
        </w:r>
        <w:r w:rsidR="006A2415">
          <w:rPr>
            <w:noProof/>
            <w:webHidden/>
          </w:rPr>
          <w:fldChar w:fldCharType="separate"/>
        </w:r>
        <w:r w:rsidR="006A2415">
          <w:rPr>
            <w:noProof/>
            <w:webHidden/>
          </w:rPr>
          <w:t>92</w:t>
        </w:r>
        <w:r w:rsidR="006A2415">
          <w:rPr>
            <w:noProof/>
            <w:webHidden/>
          </w:rPr>
          <w:fldChar w:fldCharType="end"/>
        </w:r>
      </w:hyperlink>
    </w:p>
    <w:p w14:paraId="798F26B1" w14:textId="2A4B23CE"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57" w:history="1">
        <w:r w:rsidR="006A2415" w:rsidRPr="00E7797F">
          <w:rPr>
            <w:rStyle w:val="Hyperlink"/>
            <w:noProof/>
          </w:rPr>
          <w:t>Gráfica 25. Proporción de nacimientos vivos en la republica sin asistencia profesional: años 2010-2018</w:t>
        </w:r>
        <w:r w:rsidR="006A2415">
          <w:rPr>
            <w:noProof/>
            <w:webHidden/>
          </w:rPr>
          <w:tab/>
        </w:r>
        <w:r w:rsidR="006A2415">
          <w:rPr>
            <w:noProof/>
            <w:webHidden/>
          </w:rPr>
          <w:fldChar w:fldCharType="begin"/>
        </w:r>
        <w:r w:rsidR="006A2415">
          <w:rPr>
            <w:noProof/>
            <w:webHidden/>
          </w:rPr>
          <w:instrText xml:space="preserve"> PAGEREF _Toc42549257 \h </w:instrText>
        </w:r>
        <w:r w:rsidR="006A2415">
          <w:rPr>
            <w:noProof/>
            <w:webHidden/>
          </w:rPr>
        </w:r>
        <w:r w:rsidR="006A2415">
          <w:rPr>
            <w:noProof/>
            <w:webHidden/>
          </w:rPr>
          <w:fldChar w:fldCharType="separate"/>
        </w:r>
        <w:r w:rsidR="006A2415">
          <w:rPr>
            <w:noProof/>
            <w:webHidden/>
          </w:rPr>
          <w:t>94</w:t>
        </w:r>
        <w:r w:rsidR="006A2415">
          <w:rPr>
            <w:noProof/>
            <w:webHidden/>
          </w:rPr>
          <w:fldChar w:fldCharType="end"/>
        </w:r>
      </w:hyperlink>
    </w:p>
    <w:p w14:paraId="03CC53C2" w14:textId="78AC6DF1"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58" w:history="1">
        <w:r w:rsidR="006A2415" w:rsidRPr="00E7797F">
          <w:rPr>
            <w:rStyle w:val="Hyperlink"/>
            <w:noProof/>
          </w:rPr>
          <w:t>Gráfica 26. Principales causas de mortalidad en Panamá, por sexo: año 2018 (en tasas por cada 100,000 habitantes)</w:t>
        </w:r>
        <w:r w:rsidR="006A2415">
          <w:rPr>
            <w:noProof/>
            <w:webHidden/>
          </w:rPr>
          <w:tab/>
        </w:r>
        <w:r w:rsidR="006A2415">
          <w:rPr>
            <w:noProof/>
            <w:webHidden/>
          </w:rPr>
          <w:fldChar w:fldCharType="begin"/>
        </w:r>
        <w:r w:rsidR="006A2415">
          <w:rPr>
            <w:noProof/>
            <w:webHidden/>
          </w:rPr>
          <w:instrText xml:space="preserve"> PAGEREF _Toc42549258 \h </w:instrText>
        </w:r>
        <w:r w:rsidR="006A2415">
          <w:rPr>
            <w:noProof/>
            <w:webHidden/>
          </w:rPr>
        </w:r>
        <w:r w:rsidR="006A2415">
          <w:rPr>
            <w:noProof/>
            <w:webHidden/>
          </w:rPr>
          <w:fldChar w:fldCharType="separate"/>
        </w:r>
        <w:r w:rsidR="006A2415">
          <w:rPr>
            <w:noProof/>
            <w:webHidden/>
          </w:rPr>
          <w:t>96</w:t>
        </w:r>
        <w:r w:rsidR="006A2415">
          <w:rPr>
            <w:noProof/>
            <w:webHidden/>
          </w:rPr>
          <w:fldChar w:fldCharType="end"/>
        </w:r>
      </w:hyperlink>
    </w:p>
    <w:p w14:paraId="50B5EBE7" w14:textId="1AD75795"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59" w:history="1">
        <w:r w:rsidR="006A2415" w:rsidRPr="00E7797F">
          <w:rPr>
            <w:rStyle w:val="Hyperlink"/>
            <w:noProof/>
          </w:rPr>
          <w:t>Gráfica 27. M</w:t>
        </w:r>
        <w:r w:rsidR="006A2415" w:rsidRPr="00E7797F">
          <w:rPr>
            <w:rStyle w:val="Hyperlink"/>
            <w:rFonts w:eastAsia="Times New Roman" w:cs="Arial"/>
            <w:noProof/>
          </w:rPr>
          <w:t>uertes maternas en Panamá, por provincia de ocurrencia: años 2010- 2018</w:t>
        </w:r>
        <w:r w:rsidR="006A2415">
          <w:rPr>
            <w:noProof/>
            <w:webHidden/>
          </w:rPr>
          <w:tab/>
        </w:r>
        <w:r w:rsidR="006A2415">
          <w:rPr>
            <w:noProof/>
            <w:webHidden/>
          </w:rPr>
          <w:fldChar w:fldCharType="begin"/>
        </w:r>
        <w:r w:rsidR="006A2415">
          <w:rPr>
            <w:noProof/>
            <w:webHidden/>
          </w:rPr>
          <w:instrText xml:space="preserve"> PAGEREF _Toc42549259 \h </w:instrText>
        </w:r>
        <w:r w:rsidR="006A2415">
          <w:rPr>
            <w:noProof/>
            <w:webHidden/>
          </w:rPr>
        </w:r>
        <w:r w:rsidR="006A2415">
          <w:rPr>
            <w:noProof/>
            <w:webHidden/>
          </w:rPr>
          <w:fldChar w:fldCharType="separate"/>
        </w:r>
        <w:r w:rsidR="006A2415">
          <w:rPr>
            <w:noProof/>
            <w:webHidden/>
          </w:rPr>
          <w:t>98</w:t>
        </w:r>
        <w:r w:rsidR="006A2415">
          <w:rPr>
            <w:noProof/>
            <w:webHidden/>
          </w:rPr>
          <w:fldChar w:fldCharType="end"/>
        </w:r>
      </w:hyperlink>
    </w:p>
    <w:p w14:paraId="6E27E01F" w14:textId="5C22E75E"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60" w:history="1">
        <w:r w:rsidR="006A2415" w:rsidRPr="00E7797F">
          <w:rPr>
            <w:rStyle w:val="Hyperlink"/>
            <w:noProof/>
          </w:rPr>
          <w:t>Gráfica 28. Porcentaje de muertes maternas en Panamá, por provincia de ocurrencia: año 2018</w:t>
        </w:r>
        <w:r w:rsidR="006A2415">
          <w:rPr>
            <w:noProof/>
            <w:webHidden/>
          </w:rPr>
          <w:tab/>
        </w:r>
        <w:r w:rsidR="006A2415">
          <w:rPr>
            <w:noProof/>
            <w:webHidden/>
          </w:rPr>
          <w:fldChar w:fldCharType="begin"/>
        </w:r>
        <w:r w:rsidR="006A2415">
          <w:rPr>
            <w:noProof/>
            <w:webHidden/>
          </w:rPr>
          <w:instrText xml:space="preserve"> PAGEREF _Toc42549260 \h </w:instrText>
        </w:r>
        <w:r w:rsidR="006A2415">
          <w:rPr>
            <w:noProof/>
            <w:webHidden/>
          </w:rPr>
        </w:r>
        <w:r w:rsidR="006A2415">
          <w:rPr>
            <w:noProof/>
            <w:webHidden/>
          </w:rPr>
          <w:fldChar w:fldCharType="separate"/>
        </w:r>
        <w:r w:rsidR="006A2415">
          <w:rPr>
            <w:noProof/>
            <w:webHidden/>
          </w:rPr>
          <w:t>99</w:t>
        </w:r>
        <w:r w:rsidR="006A2415">
          <w:rPr>
            <w:noProof/>
            <w:webHidden/>
          </w:rPr>
          <w:fldChar w:fldCharType="end"/>
        </w:r>
      </w:hyperlink>
    </w:p>
    <w:p w14:paraId="0ACDF1FC" w14:textId="0B6EF6B1"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61" w:history="1">
        <w:r w:rsidR="006A2415" w:rsidRPr="00E7797F">
          <w:rPr>
            <w:rStyle w:val="Hyperlink"/>
            <w:noProof/>
          </w:rPr>
          <w:t xml:space="preserve">Gráfica 29. </w:t>
        </w:r>
        <w:r w:rsidR="006A2415" w:rsidRPr="00E7797F">
          <w:rPr>
            <w:rStyle w:val="Hyperlink"/>
            <w:noProof/>
            <w:lang w:val="es-ES"/>
          </w:rPr>
          <w:t>Femicidios consumados y en grado de tentativa en la República de Panamá 2014-2019</w:t>
        </w:r>
        <w:r w:rsidR="006A2415">
          <w:rPr>
            <w:noProof/>
            <w:webHidden/>
          </w:rPr>
          <w:tab/>
        </w:r>
        <w:r w:rsidR="006A2415">
          <w:rPr>
            <w:noProof/>
            <w:webHidden/>
          </w:rPr>
          <w:fldChar w:fldCharType="begin"/>
        </w:r>
        <w:r w:rsidR="006A2415">
          <w:rPr>
            <w:noProof/>
            <w:webHidden/>
          </w:rPr>
          <w:instrText xml:space="preserve"> PAGEREF _Toc42549261 \h </w:instrText>
        </w:r>
        <w:r w:rsidR="006A2415">
          <w:rPr>
            <w:noProof/>
            <w:webHidden/>
          </w:rPr>
        </w:r>
        <w:r w:rsidR="006A2415">
          <w:rPr>
            <w:noProof/>
            <w:webHidden/>
          </w:rPr>
          <w:fldChar w:fldCharType="separate"/>
        </w:r>
        <w:r w:rsidR="006A2415">
          <w:rPr>
            <w:noProof/>
            <w:webHidden/>
          </w:rPr>
          <w:t>105</w:t>
        </w:r>
        <w:r w:rsidR="006A2415">
          <w:rPr>
            <w:noProof/>
            <w:webHidden/>
          </w:rPr>
          <w:fldChar w:fldCharType="end"/>
        </w:r>
      </w:hyperlink>
    </w:p>
    <w:p w14:paraId="19C9199B" w14:textId="76963CF2"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62" w:history="1">
        <w:r w:rsidR="006A2415" w:rsidRPr="00E7797F">
          <w:rPr>
            <w:rStyle w:val="Hyperlink"/>
            <w:noProof/>
          </w:rPr>
          <w:t xml:space="preserve">Gráfica 30. </w:t>
        </w:r>
        <w:r w:rsidR="006A2415" w:rsidRPr="00E7797F">
          <w:rPr>
            <w:rStyle w:val="Hyperlink"/>
            <w:rFonts w:cs="Tahoma"/>
            <w:bCs/>
            <w:noProof/>
            <w:lang w:val="es-ES" w:eastAsia="en-US"/>
          </w:rPr>
          <w:t>Femicidios consumados y en grado de tentativa,</w:t>
        </w:r>
        <w:r w:rsidR="006A2415" w:rsidRPr="00E7797F">
          <w:rPr>
            <w:rStyle w:val="Hyperlink"/>
            <w:rFonts w:cs="Tahoma"/>
            <w:bCs/>
            <w:noProof/>
            <w:lang w:eastAsia="en-US"/>
          </w:rPr>
          <w:t xml:space="preserve"> </w:t>
        </w:r>
        <w:r w:rsidR="006A2415" w:rsidRPr="00E7797F">
          <w:rPr>
            <w:rStyle w:val="Hyperlink"/>
            <w:rFonts w:cs="Tahoma"/>
            <w:bCs/>
            <w:noProof/>
            <w:lang w:val="es-ES" w:eastAsia="en-US"/>
          </w:rPr>
          <w:t>en la república de panamá, según edad de la víctima</w:t>
        </w:r>
        <w:r w:rsidR="006A2415" w:rsidRPr="00E7797F">
          <w:rPr>
            <w:rStyle w:val="Hyperlink"/>
            <w:rFonts w:cs="Tahoma"/>
            <w:bCs/>
            <w:noProof/>
            <w:lang w:eastAsia="en-US"/>
          </w:rPr>
          <w:t xml:space="preserve"> </w:t>
        </w:r>
        <w:r w:rsidR="006A2415" w:rsidRPr="00E7797F">
          <w:rPr>
            <w:rStyle w:val="Hyperlink"/>
            <w:rFonts w:cs="Tahoma"/>
            <w:bCs/>
            <w:noProof/>
            <w:lang w:val="es-ES" w:eastAsia="en-US"/>
          </w:rPr>
          <w:t>y año de ocurrencia</w:t>
        </w:r>
        <w:r w:rsidR="006A2415" w:rsidRPr="00E7797F">
          <w:rPr>
            <w:rStyle w:val="Hyperlink"/>
            <w:rFonts w:cs="Tahoma"/>
            <w:bCs/>
            <w:noProof/>
            <w:lang w:eastAsia="en-US"/>
          </w:rPr>
          <w:t xml:space="preserve"> </w:t>
        </w:r>
        <w:r w:rsidR="006A2415" w:rsidRPr="00E7797F">
          <w:rPr>
            <w:rStyle w:val="Hyperlink"/>
            <w:rFonts w:cs="Tahoma"/>
            <w:bCs/>
            <w:noProof/>
            <w:lang w:val="es-ES" w:eastAsia="en-US"/>
          </w:rPr>
          <w:t>2014-2019</w:t>
        </w:r>
        <w:r w:rsidR="006A2415">
          <w:rPr>
            <w:noProof/>
            <w:webHidden/>
          </w:rPr>
          <w:tab/>
        </w:r>
        <w:r w:rsidR="006A2415">
          <w:rPr>
            <w:noProof/>
            <w:webHidden/>
          </w:rPr>
          <w:fldChar w:fldCharType="begin"/>
        </w:r>
        <w:r w:rsidR="006A2415">
          <w:rPr>
            <w:noProof/>
            <w:webHidden/>
          </w:rPr>
          <w:instrText xml:space="preserve"> PAGEREF _Toc42549262 \h </w:instrText>
        </w:r>
        <w:r w:rsidR="006A2415">
          <w:rPr>
            <w:noProof/>
            <w:webHidden/>
          </w:rPr>
        </w:r>
        <w:r w:rsidR="006A2415">
          <w:rPr>
            <w:noProof/>
            <w:webHidden/>
          </w:rPr>
          <w:fldChar w:fldCharType="separate"/>
        </w:r>
        <w:r w:rsidR="006A2415">
          <w:rPr>
            <w:noProof/>
            <w:webHidden/>
          </w:rPr>
          <w:t>105</w:t>
        </w:r>
        <w:r w:rsidR="006A2415">
          <w:rPr>
            <w:noProof/>
            <w:webHidden/>
          </w:rPr>
          <w:fldChar w:fldCharType="end"/>
        </w:r>
      </w:hyperlink>
    </w:p>
    <w:p w14:paraId="52E8069B" w14:textId="058537E3"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63" w:history="1">
        <w:r w:rsidR="006A2415" w:rsidRPr="00E7797F">
          <w:rPr>
            <w:rStyle w:val="Hyperlink"/>
            <w:noProof/>
          </w:rPr>
          <w:t xml:space="preserve">Gráfica 31. </w:t>
        </w:r>
        <w:r w:rsidR="006A2415" w:rsidRPr="00E7797F">
          <w:rPr>
            <w:rStyle w:val="Hyperlink"/>
            <w:rFonts w:cs="Tahoma"/>
            <w:noProof/>
            <w:lang w:val="es-ES"/>
          </w:rPr>
          <w:t>Femicidios consumados y en grado de tentativa,</w:t>
        </w:r>
        <w:r w:rsidR="006A2415" w:rsidRPr="00E7797F">
          <w:rPr>
            <w:rStyle w:val="Hyperlink"/>
            <w:rFonts w:cs="Tahoma"/>
            <w:noProof/>
          </w:rPr>
          <w:t xml:space="preserve"> </w:t>
        </w:r>
        <w:r w:rsidR="006A2415" w:rsidRPr="00E7797F">
          <w:rPr>
            <w:rStyle w:val="Hyperlink"/>
            <w:rFonts w:cs="Tahoma"/>
            <w:noProof/>
            <w:lang w:val="es-ES"/>
          </w:rPr>
          <w:t xml:space="preserve">en la república de panamá, según arma </w:t>
        </w:r>
        <w:r w:rsidR="006A2415" w:rsidRPr="00E7797F">
          <w:rPr>
            <w:rStyle w:val="Hyperlink"/>
            <w:rFonts w:cs="Tahoma"/>
            <w:noProof/>
          </w:rPr>
          <w:t>y</w:t>
        </w:r>
        <w:r w:rsidR="006A2415" w:rsidRPr="00E7797F">
          <w:rPr>
            <w:rStyle w:val="Hyperlink"/>
            <w:rFonts w:cs="Tahoma"/>
            <w:noProof/>
            <w:lang w:val="es-ES"/>
          </w:rPr>
          <w:t xml:space="preserve"> año de ocurrencia</w:t>
        </w:r>
        <w:r w:rsidR="006A2415" w:rsidRPr="00E7797F">
          <w:rPr>
            <w:rStyle w:val="Hyperlink"/>
            <w:rFonts w:cs="Tahoma"/>
            <w:noProof/>
          </w:rPr>
          <w:t xml:space="preserve"> </w:t>
        </w:r>
        <w:r w:rsidR="006A2415" w:rsidRPr="00E7797F">
          <w:rPr>
            <w:rStyle w:val="Hyperlink"/>
            <w:rFonts w:cs="Tahoma"/>
            <w:noProof/>
            <w:lang w:val="es-ES"/>
          </w:rPr>
          <w:t>2014-2019</w:t>
        </w:r>
        <w:r w:rsidR="006A2415">
          <w:rPr>
            <w:noProof/>
            <w:webHidden/>
          </w:rPr>
          <w:tab/>
        </w:r>
        <w:r w:rsidR="006A2415">
          <w:rPr>
            <w:noProof/>
            <w:webHidden/>
          </w:rPr>
          <w:fldChar w:fldCharType="begin"/>
        </w:r>
        <w:r w:rsidR="006A2415">
          <w:rPr>
            <w:noProof/>
            <w:webHidden/>
          </w:rPr>
          <w:instrText xml:space="preserve"> PAGEREF _Toc42549263 \h </w:instrText>
        </w:r>
        <w:r w:rsidR="006A2415">
          <w:rPr>
            <w:noProof/>
            <w:webHidden/>
          </w:rPr>
        </w:r>
        <w:r w:rsidR="006A2415">
          <w:rPr>
            <w:noProof/>
            <w:webHidden/>
          </w:rPr>
          <w:fldChar w:fldCharType="separate"/>
        </w:r>
        <w:r w:rsidR="006A2415">
          <w:rPr>
            <w:noProof/>
            <w:webHidden/>
          </w:rPr>
          <w:t>106</w:t>
        </w:r>
        <w:r w:rsidR="006A2415">
          <w:rPr>
            <w:noProof/>
            <w:webHidden/>
          </w:rPr>
          <w:fldChar w:fldCharType="end"/>
        </w:r>
      </w:hyperlink>
    </w:p>
    <w:p w14:paraId="2A524419" w14:textId="1F14FA7F"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64" w:history="1">
        <w:r w:rsidR="006A2415" w:rsidRPr="00E7797F">
          <w:rPr>
            <w:rStyle w:val="Hyperlink"/>
            <w:noProof/>
          </w:rPr>
          <w:t xml:space="preserve">Gráfica 32. </w:t>
        </w:r>
        <w:r w:rsidR="006A2415" w:rsidRPr="00E7797F">
          <w:rPr>
            <w:rStyle w:val="Hyperlink"/>
            <w:bCs/>
            <w:noProof/>
          </w:rPr>
          <w:t>Número de denuncias registradas de violencia doméstica en la República de Panamá, según distrito judicial y año de ocurrencia 2014-2019</w:t>
        </w:r>
        <w:r w:rsidR="006A2415">
          <w:rPr>
            <w:noProof/>
            <w:webHidden/>
          </w:rPr>
          <w:tab/>
        </w:r>
        <w:r w:rsidR="006A2415">
          <w:rPr>
            <w:noProof/>
            <w:webHidden/>
          </w:rPr>
          <w:fldChar w:fldCharType="begin"/>
        </w:r>
        <w:r w:rsidR="006A2415">
          <w:rPr>
            <w:noProof/>
            <w:webHidden/>
          </w:rPr>
          <w:instrText xml:space="preserve"> PAGEREF _Toc42549264 \h </w:instrText>
        </w:r>
        <w:r w:rsidR="006A2415">
          <w:rPr>
            <w:noProof/>
            <w:webHidden/>
          </w:rPr>
        </w:r>
        <w:r w:rsidR="006A2415">
          <w:rPr>
            <w:noProof/>
            <w:webHidden/>
          </w:rPr>
          <w:fldChar w:fldCharType="separate"/>
        </w:r>
        <w:r w:rsidR="006A2415">
          <w:rPr>
            <w:noProof/>
            <w:webHidden/>
          </w:rPr>
          <w:t>108</w:t>
        </w:r>
        <w:r w:rsidR="006A2415">
          <w:rPr>
            <w:noProof/>
            <w:webHidden/>
          </w:rPr>
          <w:fldChar w:fldCharType="end"/>
        </w:r>
      </w:hyperlink>
    </w:p>
    <w:p w14:paraId="310B3A1E" w14:textId="0C3D9BE2"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65" w:history="1">
        <w:r w:rsidR="006A2415" w:rsidRPr="00E7797F">
          <w:rPr>
            <w:rStyle w:val="Hyperlink"/>
            <w:noProof/>
          </w:rPr>
          <w:t>Gráfica 33. Tránsito irregular de migrantes por la frontera con Colombia: Años 2010-2019</w:t>
        </w:r>
        <w:r w:rsidR="006A2415">
          <w:rPr>
            <w:noProof/>
            <w:webHidden/>
          </w:rPr>
          <w:tab/>
        </w:r>
        <w:r w:rsidR="006A2415">
          <w:rPr>
            <w:noProof/>
            <w:webHidden/>
          </w:rPr>
          <w:fldChar w:fldCharType="begin"/>
        </w:r>
        <w:r w:rsidR="006A2415">
          <w:rPr>
            <w:noProof/>
            <w:webHidden/>
          </w:rPr>
          <w:instrText xml:space="preserve"> PAGEREF _Toc42549265 \h </w:instrText>
        </w:r>
        <w:r w:rsidR="006A2415">
          <w:rPr>
            <w:noProof/>
            <w:webHidden/>
          </w:rPr>
        </w:r>
        <w:r w:rsidR="006A2415">
          <w:rPr>
            <w:noProof/>
            <w:webHidden/>
          </w:rPr>
          <w:fldChar w:fldCharType="separate"/>
        </w:r>
        <w:r w:rsidR="006A2415">
          <w:rPr>
            <w:noProof/>
            <w:webHidden/>
          </w:rPr>
          <w:t>119</w:t>
        </w:r>
        <w:r w:rsidR="006A2415">
          <w:rPr>
            <w:noProof/>
            <w:webHidden/>
          </w:rPr>
          <w:fldChar w:fldCharType="end"/>
        </w:r>
      </w:hyperlink>
    </w:p>
    <w:p w14:paraId="16C14BDF" w14:textId="3BE33F3F"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r:id="rId23" w:anchor="_Toc42549266" w:history="1">
        <w:r w:rsidR="006A2415" w:rsidRPr="00E7797F">
          <w:rPr>
            <w:rStyle w:val="Hyperlink"/>
            <w:noProof/>
          </w:rPr>
          <w:t>Gráfica 34. Tránsito irregular de extranjeros por la frontera con Colombia según sexo año 2019</w:t>
        </w:r>
        <w:r w:rsidR="006A2415">
          <w:rPr>
            <w:noProof/>
            <w:webHidden/>
          </w:rPr>
          <w:tab/>
        </w:r>
        <w:r w:rsidR="006A2415">
          <w:rPr>
            <w:noProof/>
            <w:webHidden/>
          </w:rPr>
          <w:fldChar w:fldCharType="begin"/>
        </w:r>
        <w:r w:rsidR="006A2415">
          <w:rPr>
            <w:noProof/>
            <w:webHidden/>
          </w:rPr>
          <w:instrText xml:space="preserve"> PAGEREF _Toc42549266 \h </w:instrText>
        </w:r>
        <w:r w:rsidR="006A2415">
          <w:rPr>
            <w:noProof/>
            <w:webHidden/>
          </w:rPr>
        </w:r>
        <w:r w:rsidR="006A2415">
          <w:rPr>
            <w:noProof/>
            <w:webHidden/>
          </w:rPr>
          <w:fldChar w:fldCharType="separate"/>
        </w:r>
        <w:r w:rsidR="006A2415">
          <w:rPr>
            <w:noProof/>
            <w:webHidden/>
          </w:rPr>
          <w:t>122</w:t>
        </w:r>
        <w:r w:rsidR="006A2415">
          <w:rPr>
            <w:noProof/>
            <w:webHidden/>
          </w:rPr>
          <w:fldChar w:fldCharType="end"/>
        </w:r>
      </w:hyperlink>
    </w:p>
    <w:p w14:paraId="10885B9E" w14:textId="370503E5"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67" w:history="1">
        <w:r w:rsidR="006A2415" w:rsidRPr="00E7797F">
          <w:rPr>
            <w:rStyle w:val="Hyperlink"/>
            <w:noProof/>
          </w:rPr>
          <w:t xml:space="preserve">Gráfica 35. </w:t>
        </w:r>
        <w:r w:rsidR="006A2415" w:rsidRPr="00E7797F">
          <w:rPr>
            <w:rStyle w:val="Hyperlink"/>
            <w:bCs/>
            <w:noProof/>
            <w:lang w:val="es-ES_tradnl"/>
          </w:rPr>
          <w:t>Población adulta privada de libertad en la república, según provincia: año 2020</w:t>
        </w:r>
        <w:r w:rsidR="006A2415" w:rsidRPr="00E7797F">
          <w:rPr>
            <w:rStyle w:val="Hyperlink"/>
            <w:b/>
            <w:noProof/>
            <w:lang w:val="es-ES_tradnl"/>
          </w:rPr>
          <w:t>.</w:t>
        </w:r>
        <w:r w:rsidR="006A2415">
          <w:rPr>
            <w:noProof/>
            <w:webHidden/>
          </w:rPr>
          <w:tab/>
        </w:r>
        <w:r w:rsidR="006A2415">
          <w:rPr>
            <w:noProof/>
            <w:webHidden/>
          </w:rPr>
          <w:fldChar w:fldCharType="begin"/>
        </w:r>
        <w:r w:rsidR="006A2415">
          <w:rPr>
            <w:noProof/>
            <w:webHidden/>
          </w:rPr>
          <w:instrText xml:space="preserve"> PAGEREF _Toc42549267 \h </w:instrText>
        </w:r>
        <w:r w:rsidR="006A2415">
          <w:rPr>
            <w:noProof/>
            <w:webHidden/>
          </w:rPr>
        </w:r>
        <w:r w:rsidR="006A2415">
          <w:rPr>
            <w:noProof/>
            <w:webHidden/>
          </w:rPr>
          <w:fldChar w:fldCharType="separate"/>
        </w:r>
        <w:r w:rsidR="006A2415">
          <w:rPr>
            <w:noProof/>
            <w:webHidden/>
          </w:rPr>
          <w:t>129</w:t>
        </w:r>
        <w:r w:rsidR="006A2415">
          <w:rPr>
            <w:noProof/>
            <w:webHidden/>
          </w:rPr>
          <w:fldChar w:fldCharType="end"/>
        </w:r>
      </w:hyperlink>
    </w:p>
    <w:p w14:paraId="5A2F7950" w14:textId="1239A2D8"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68" w:history="1">
        <w:r w:rsidR="006A2415" w:rsidRPr="00E7797F">
          <w:rPr>
            <w:rStyle w:val="Hyperlink"/>
            <w:noProof/>
          </w:rPr>
          <w:t>Gráfica 36. Porcentaje de mujeres privadas de libertad por centro penitenciario</w:t>
        </w:r>
        <w:r w:rsidR="006A2415">
          <w:rPr>
            <w:noProof/>
            <w:webHidden/>
          </w:rPr>
          <w:tab/>
        </w:r>
        <w:r w:rsidR="006A2415">
          <w:rPr>
            <w:noProof/>
            <w:webHidden/>
          </w:rPr>
          <w:fldChar w:fldCharType="begin"/>
        </w:r>
        <w:r w:rsidR="006A2415">
          <w:rPr>
            <w:noProof/>
            <w:webHidden/>
          </w:rPr>
          <w:instrText xml:space="preserve"> PAGEREF _Toc42549268 \h </w:instrText>
        </w:r>
        <w:r w:rsidR="006A2415">
          <w:rPr>
            <w:noProof/>
            <w:webHidden/>
          </w:rPr>
        </w:r>
        <w:r w:rsidR="006A2415">
          <w:rPr>
            <w:noProof/>
            <w:webHidden/>
          </w:rPr>
          <w:fldChar w:fldCharType="separate"/>
        </w:r>
        <w:r w:rsidR="006A2415">
          <w:rPr>
            <w:noProof/>
            <w:webHidden/>
          </w:rPr>
          <w:t>129</w:t>
        </w:r>
        <w:r w:rsidR="006A2415">
          <w:rPr>
            <w:noProof/>
            <w:webHidden/>
          </w:rPr>
          <w:fldChar w:fldCharType="end"/>
        </w:r>
      </w:hyperlink>
    </w:p>
    <w:p w14:paraId="6A4DE5C0" w14:textId="0BC8B735"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69" w:history="1">
        <w:r w:rsidR="006A2415" w:rsidRPr="00E7797F">
          <w:rPr>
            <w:rStyle w:val="Hyperlink"/>
            <w:noProof/>
          </w:rPr>
          <w:t>Gráfica 37. Población femenina y masculina privada de libertad en el 2020</w:t>
        </w:r>
        <w:r w:rsidR="006A2415">
          <w:rPr>
            <w:noProof/>
            <w:webHidden/>
          </w:rPr>
          <w:tab/>
        </w:r>
        <w:r w:rsidR="006A2415">
          <w:rPr>
            <w:noProof/>
            <w:webHidden/>
          </w:rPr>
          <w:fldChar w:fldCharType="begin"/>
        </w:r>
        <w:r w:rsidR="006A2415">
          <w:rPr>
            <w:noProof/>
            <w:webHidden/>
          </w:rPr>
          <w:instrText xml:space="preserve"> PAGEREF _Toc42549269 \h </w:instrText>
        </w:r>
        <w:r w:rsidR="006A2415">
          <w:rPr>
            <w:noProof/>
            <w:webHidden/>
          </w:rPr>
        </w:r>
        <w:r w:rsidR="006A2415">
          <w:rPr>
            <w:noProof/>
            <w:webHidden/>
          </w:rPr>
          <w:fldChar w:fldCharType="separate"/>
        </w:r>
        <w:r w:rsidR="006A2415">
          <w:rPr>
            <w:noProof/>
            <w:webHidden/>
          </w:rPr>
          <w:t>130</w:t>
        </w:r>
        <w:r w:rsidR="006A2415">
          <w:rPr>
            <w:noProof/>
            <w:webHidden/>
          </w:rPr>
          <w:fldChar w:fldCharType="end"/>
        </w:r>
      </w:hyperlink>
    </w:p>
    <w:p w14:paraId="4973E1F9" w14:textId="6AC7686A"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70" w:history="1">
        <w:r w:rsidR="006A2415" w:rsidRPr="00E7797F">
          <w:rPr>
            <w:rStyle w:val="Hyperlink"/>
            <w:noProof/>
          </w:rPr>
          <w:t xml:space="preserve">Gráfica 38. </w:t>
        </w:r>
        <w:r w:rsidR="006A2415" w:rsidRPr="00E7797F">
          <w:rPr>
            <w:rStyle w:val="Hyperlink"/>
            <w:bCs/>
            <w:noProof/>
            <w:lang w:val="es-ES_tradnl"/>
          </w:rPr>
          <w:t>Población adulta privada de libertad, según procesada o condenada en porcentaje y por sexo. 2020</w:t>
        </w:r>
        <w:r w:rsidR="006A2415">
          <w:rPr>
            <w:noProof/>
            <w:webHidden/>
          </w:rPr>
          <w:tab/>
        </w:r>
        <w:r w:rsidR="006A2415">
          <w:rPr>
            <w:noProof/>
            <w:webHidden/>
          </w:rPr>
          <w:fldChar w:fldCharType="begin"/>
        </w:r>
        <w:r w:rsidR="006A2415">
          <w:rPr>
            <w:noProof/>
            <w:webHidden/>
          </w:rPr>
          <w:instrText xml:space="preserve"> PAGEREF _Toc42549270 \h </w:instrText>
        </w:r>
        <w:r w:rsidR="006A2415">
          <w:rPr>
            <w:noProof/>
            <w:webHidden/>
          </w:rPr>
        </w:r>
        <w:r w:rsidR="006A2415">
          <w:rPr>
            <w:noProof/>
            <w:webHidden/>
          </w:rPr>
          <w:fldChar w:fldCharType="separate"/>
        </w:r>
        <w:r w:rsidR="006A2415">
          <w:rPr>
            <w:noProof/>
            <w:webHidden/>
          </w:rPr>
          <w:t>135</w:t>
        </w:r>
        <w:r w:rsidR="006A2415">
          <w:rPr>
            <w:noProof/>
            <w:webHidden/>
          </w:rPr>
          <w:fldChar w:fldCharType="end"/>
        </w:r>
      </w:hyperlink>
    </w:p>
    <w:p w14:paraId="7DB0E485" w14:textId="2CDE0DD3"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71" w:history="1">
        <w:r w:rsidR="006A2415" w:rsidRPr="00E7797F">
          <w:rPr>
            <w:rStyle w:val="Hyperlink"/>
            <w:noProof/>
          </w:rPr>
          <w:t xml:space="preserve">Gráfica 39. </w:t>
        </w:r>
        <w:r w:rsidR="006A2415" w:rsidRPr="00E7797F">
          <w:rPr>
            <w:rStyle w:val="Hyperlink"/>
            <w:rFonts w:cs="IQZGNC+Balloon"/>
            <w:noProof/>
            <w:lang w:val="es-US"/>
          </w:rPr>
          <w:t>Población del país sin discapacidad y con discapacidad. Marzo 2019</w:t>
        </w:r>
        <w:r w:rsidR="006A2415">
          <w:rPr>
            <w:noProof/>
            <w:webHidden/>
          </w:rPr>
          <w:tab/>
        </w:r>
        <w:r w:rsidR="006A2415">
          <w:rPr>
            <w:noProof/>
            <w:webHidden/>
          </w:rPr>
          <w:fldChar w:fldCharType="begin"/>
        </w:r>
        <w:r w:rsidR="006A2415">
          <w:rPr>
            <w:noProof/>
            <w:webHidden/>
          </w:rPr>
          <w:instrText xml:space="preserve"> PAGEREF _Toc42549271 \h </w:instrText>
        </w:r>
        <w:r w:rsidR="006A2415">
          <w:rPr>
            <w:noProof/>
            <w:webHidden/>
          </w:rPr>
        </w:r>
        <w:r w:rsidR="006A2415">
          <w:rPr>
            <w:noProof/>
            <w:webHidden/>
          </w:rPr>
          <w:fldChar w:fldCharType="separate"/>
        </w:r>
        <w:r w:rsidR="006A2415">
          <w:rPr>
            <w:noProof/>
            <w:webHidden/>
          </w:rPr>
          <w:t>150</w:t>
        </w:r>
        <w:r w:rsidR="006A2415">
          <w:rPr>
            <w:noProof/>
            <w:webHidden/>
          </w:rPr>
          <w:fldChar w:fldCharType="end"/>
        </w:r>
      </w:hyperlink>
    </w:p>
    <w:p w14:paraId="063BC512" w14:textId="398A3F79"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72" w:history="1">
        <w:r w:rsidR="006A2415" w:rsidRPr="00E7797F">
          <w:rPr>
            <w:rStyle w:val="Hyperlink"/>
            <w:noProof/>
          </w:rPr>
          <w:t xml:space="preserve">Gráfica 40. </w:t>
        </w:r>
        <w:r w:rsidR="006A2415" w:rsidRPr="00E7797F">
          <w:rPr>
            <w:rStyle w:val="Hyperlink"/>
            <w:rFonts w:cs="Times New Roman"/>
            <w:noProof/>
            <w:lang w:val="es-US"/>
          </w:rPr>
          <w:t>Porcentaje de discapacidad por sexo. Marzo 2019</w:t>
        </w:r>
        <w:r w:rsidR="006A2415">
          <w:rPr>
            <w:noProof/>
            <w:webHidden/>
          </w:rPr>
          <w:tab/>
        </w:r>
        <w:r w:rsidR="006A2415">
          <w:rPr>
            <w:noProof/>
            <w:webHidden/>
          </w:rPr>
          <w:fldChar w:fldCharType="begin"/>
        </w:r>
        <w:r w:rsidR="006A2415">
          <w:rPr>
            <w:noProof/>
            <w:webHidden/>
          </w:rPr>
          <w:instrText xml:space="preserve"> PAGEREF _Toc42549272 \h </w:instrText>
        </w:r>
        <w:r w:rsidR="006A2415">
          <w:rPr>
            <w:noProof/>
            <w:webHidden/>
          </w:rPr>
        </w:r>
        <w:r w:rsidR="006A2415">
          <w:rPr>
            <w:noProof/>
            <w:webHidden/>
          </w:rPr>
          <w:fldChar w:fldCharType="separate"/>
        </w:r>
        <w:r w:rsidR="006A2415">
          <w:rPr>
            <w:noProof/>
            <w:webHidden/>
          </w:rPr>
          <w:t>150</w:t>
        </w:r>
        <w:r w:rsidR="006A2415">
          <w:rPr>
            <w:noProof/>
            <w:webHidden/>
          </w:rPr>
          <w:fldChar w:fldCharType="end"/>
        </w:r>
      </w:hyperlink>
    </w:p>
    <w:p w14:paraId="3E03F5AB" w14:textId="5B0C219D" w:rsidR="006A2415" w:rsidRDefault="00062ABE" w:rsidP="006A2415">
      <w:pPr>
        <w:pStyle w:val="TableofFigures"/>
        <w:tabs>
          <w:tab w:val="right" w:leader="dot" w:pos="8828"/>
        </w:tabs>
        <w:spacing w:before="120" w:after="120"/>
        <w:rPr>
          <w:rFonts w:asciiTheme="minorHAnsi" w:eastAsiaTheme="minorEastAsia" w:hAnsiTheme="minorHAnsi" w:cstheme="minorBidi"/>
          <w:noProof/>
        </w:rPr>
      </w:pPr>
      <w:hyperlink w:anchor="_Toc42549273" w:history="1">
        <w:r w:rsidR="006A2415" w:rsidRPr="00E7797F">
          <w:rPr>
            <w:rStyle w:val="Hyperlink"/>
            <w:noProof/>
          </w:rPr>
          <w:t xml:space="preserve">Gráfica 41. </w:t>
        </w:r>
        <w:r w:rsidR="006A2415" w:rsidRPr="00E7797F">
          <w:rPr>
            <w:rStyle w:val="Hyperlink"/>
            <w:noProof/>
            <w:lang w:val="es-US"/>
          </w:rPr>
          <w:t>Distribución de la población con discapacidad, según sexo, por condición económica. PENDIS 2006</w:t>
        </w:r>
        <w:r w:rsidR="006A2415">
          <w:rPr>
            <w:noProof/>
            <w:webHidden/>
          </w:rPr>
          <w:tab/>
        </w:r>
        <w:r w:rsidR="006A2415">
          <w:rPr>
            <w:noProof/>
            <w:webHidden/>
          </w:rPr>
          <w:fldChar w:fldCharType="begin"/>
        </w:r>
        <w:r w:rsidR="006A2415">
          <w:rPr>
            <w:noProof/>
            <w:webHidden/>
          </w:rPr>
          <w:instrText xml:space="preserve"> PAGEREF _Toc42549273 \h </w:instrText>
        </w:r>
        <w:r w:rsidR="006A2415">
          <w:rPr>
            <w:noProof/>
            <w:webHidden/>
          </w:rPr>
        </w:r>
        <w:r w:rsidR="006A2415">
          <w:rPr>
            <w:noProof/>
            <w:webHidden/>
          </w:rPr>
          <w:fldChar w:fldCharType="separate"/>
        </w:r>
        <w:r w:rsidR="006A2415">
          <w:rPr>
            <w:noProof/>
            <w:webHidden/>
          </w:rPr>
          <w:t>151</w:t>
        </w:r>
        <w:r w:rsidR="006A2415">
          <w:rPr>
            <w:noProof/>
            <w:webHidden/>
          </w:rPr>
          <w:fldChar w:fldCharType="end"/>
        </w:r>
      </w:hyperlink>
    </w:p>
    <w:p w14:paraId="68D35190" w14:textId="38F46874" w:rsidR="00C506F7" w:rsidRPr="005970E9" w:rsidRDefault="00C506F7" w:rsidP="006A2415">
      <w:pPr>
        <w:spacing w:before="120" w:after="120"/>
      </w:pPr>
      <w:r w:rsidRPr="005970E9">
        <w:fldChar w:fldCharType="end"/>
      </w:r>
      <w:bookmarkEnd w:id="7"/>
    </w:p>
    <w:p w14:paraId="50BFA483" w14:textId="7B02920A" w:rsidR="00B76B0C" w:rsidRPr="005970E9" w:rsidRDefault="003B5C05" w:rsidP="000C6704">
      <w:pPr>
        <w:spacing w:before="120" w:after="120"/>
      </w:pPr>
      <w:r w:rsidRPr="005970E9">
        <w:br w:type="page"/>
      </w:r>
    </w:p>
    <w:p w14:paraId="6317224F" w14:textId="0858DF1C" w:rsidR="00B76B0C" w:rsidRPr="005970E9" w:rsidRDefault="003B5C05">
      <w:pPr>
        <w:pStyle w:val="Heading1"/>
        <w:spacing w:after="120"/>
      </w:pPr>
      <w:bookmarkStart w:id="8" w:name="_Toc42159149"/>
      <w:bookmarkStart w:id="9" w:name="_Toc42549413"/>
      <w:r w:rsidRPr="005970E9">
        <w:lastRenderedPageBreak/>
        <w:t>SIGLAS Y ABREVIATURAS</w:t>
      </w:r>
      <w:bookmarkEnd w:id="8"/>
      <w:bookmarkEnd w:id="9"/>
    </w:p>
    <w:tbl>
      <w:tblPr>
        <w:tblW w:w="0" w:type="auto"/>
        <w:tblBorders>
          <w:top w:val="nil"/>
          <w:left w:val="nil"/>
          <w:bottom w:val="nil"/>
          <w:right w:val="nil"/>
          <w:insideH w:val="nil"/>
          <w:insideV w:val="nil"/>
        </w:tblBorders>
        <w:tblLook w:val="0600" w:firstRow="0" w:lastRow="0" w:firstColumn="0" w:lastColumn="0" w:noHBand="1" w:noVBand="1"/>
      </w:tblPr>
      <w:tblGrid>
        <w:gridCol w:w="1728"/>
        <w:gridCol w:w="7094"/>
      </w:tblGrid>
      <w:tr w:rsidR="008E3F4C" w:rsidRPr="005970E9" w14:paraId="2D73E79E"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014638E9"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ACNUR</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E01FDD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Alto Comisionado de las Naciones Unidas para los Refugiados</w:t>
            </w:r>
          </w:p>
        </w:tc>
      </w:tr>
      <w:tr w:rsidR="008E3F4C" w:rsidRPr="005970E9" w14:paraId="74AD7B10"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5289549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ACUN</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97E130B"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Asociación Acción Cultural Ngäbe</w:t>
            </w:r>
          </w:p>
        </w:tc>
      </w:tr>
      <w:tr w:rsidR="008E3F4C" w:rsidRPr="005970E9" w14:paraId="490F4E4A"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3E570E9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AECID</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CD6D753"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Agencia Española de Cooperación Internacional para el Desarrollo</w:t>
            </w:r>
          </w:p>
        </w:tc>
      </w:tr>
      <w:tr w:rsidR="008E3F4C" w:rsidRPr="005970E9" w14:paraId="0867B747"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6B3B3D2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AMEDAR</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AA5096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Alianza por un Mejor Darién</w:t>
            </w:r>
          </w:p>
        </w:tc>
      </w:tr>
      <w:tr w:rsidR="008E3F4C" w:rsidRPr="005970E9" w14:paraId="096176A9"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0DEECB0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AMPYME</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CEE9F49"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Autoridad de la Micro, Pequeña y Mediana Empresa</w:t>
            </w:r>
          </w:p>
        </w:tc>
      </w:tr>
      <w:tr w:rsidR="008E3F4C" w:rsidRPr="005970E9" w14:paraId="2705F11C"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B11DB4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ANAM</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716213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Autoridad Nacional del Ambiente</w:t>
            </w:r>
          </w:p>
        </w:tc>
      </w:tr>
      <w:tr w:rsidR="008E3F4C" w:rsidRPr="005970E9" w14:paraId="615031B9"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9FF91D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ANATI</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4C89E62D"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Autoridad Nacional de Administración de Tierras</w:t>
            </w:r>
          </w:p>
        </w:tc>
      </w:tr>
      <w:tr w:rsidR="008E3F4C" w:rsidRPr="005970E9" w14:paraId="100BB9C4"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5C907D3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APLAFA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E1FABBA"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Asociación Panameña Para El Planeamiento De La Familia</w:t>
            </w:r>
          </w:p>
        </w:tc>
      </w:tr>
      <w:tr w:rsidR="008E3F4C" w:rsidRPr="005970E9" w14:paraId="6D195AB8"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CE25AB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ASMUNG</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2BECF0A" w14:textId="10528F2F"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 xml:space="preserve">Asociación de Mujeres </w:t>
            </w:r>
            <w:r w:rsidR="004D1536" w:rsidRPr="005970E9">
              <w:rPr>
                <w:rFonts w:eastAsia="Century Schoolbook" w:cs="Century Schoolbook"/>
                <w:sz w:val="16"/>
                <w:szCs w:val="16"/>
              </w:rPr>
              <w:t>Ngäbe</w:t>
            </w:r>
          </w:p>
        </w:tc>
      </w:tr>
      <w:tr w:rsidR="008E3F4C" w:rsidRPr="005970E9" w14:paraId="56ABD37F"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00BA258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BANCONAL</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03D9C8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Banco Nacional de Panamá</w:t>
            </w:r>
          </w:p>
        </w:tc>
      </w:tr>
      <w:tr w:rsidR="008E3F4C" w:rsidRPr="005970E9" w14:paraId="54367818"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8DD814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BDA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4B5F9A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Banco de Desarrollo Agropecuario</w:t>
            </w:r>
          </w:p>
        </w:tc>
      </w:tr>
      <w:tr w:rsidR="008E3F4C" w:rsidRPr="005970E9" w14:paraId="3653AFF7"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8AA0C0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BID</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E9D5F09"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Banco Interamericano de Desarrollo</w:t>
            </w:r>
          </w:p>
        </w:tc>
      </w:tr>
      <w:tr w:rsidR="008E3F4C" w:rsidRPr="005970E9" w14:paraId="26B7F986"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3926C73"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BM</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35749D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Banco Mundial</w:t>
            </w:r>
          </w:p>
        </w:tc>
      </w:tr>
      <w:tr w:rsidR="008E3F4C" w:rsidRPr="005970E9" w14:paraId="7DDD0450"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AEC434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CAF</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4DEAE99"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Banco de Desarrollo de América Latina,</w:t>
            </w:r>
          </w:p>
        </w:tc>
      </w:tr>
      <w:tr w:rsidR="008E3F4C" w:rsidRPr="005970E9" w14:paraId="10F1211C"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2FB5E03"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CAP</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05250C4"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Cooperación Andina de Fomento</w:t>
            </w:r>
          </w:p>
        </w:tc>
      </w:tr>
      <w:tr w:rsidR="008E3F4C" w:rsidRPr="005970E9" w14:paraId="062244BF"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0D8FE19A"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CBA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3CE8DC9"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Canasta Básica de Alimentos</w:t>
            </w:r>
          </w:p>
        </w:tc>
      </w:tr>
      <w:tr w:rsidR="008E3F4C" w:rsidRPr="005970E9" w14:paraId="533F0811"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6BB3F60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CEAMEG</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1F15B0D"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Centro de Estudios para el Adelanto de la Mujer y la Equidad de Género</w:t>
            </w:r>
          </w:p>
        </w:tc>
      </w:tr>
      <w:tr w:rsidR="008E3F4C" w:rsidRPr="005970E9" w14:paraId="5EF887BF"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3425683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CEDAW</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A1CD3DD"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Convención sobre la Eliminación de toda forma de Discriminación contra la Mujer</w:t>
            </w:r>
          </w:p>
        </w:tc>
      </w:tr>
      <w:tr w:rsidR="008E3F4C" w:rsidRPr="005970E9" w14:paraId="0FB7980A"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F7C88A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CEFERE</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7930F1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Centro Femenino de Rehabilitación</w:t>
            </w:r>
          </w:p>
        </w:tc>
      </w:tr>
      <w:tr w:rsidR="008E3F4C" w:rsidRPr="005970E9" w14:paraId="2106B263"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1507C9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CELADE</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7C7A4B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Centro Latinoamericano y Caribeño de Demografía</w:t>
            </w:r>
          </w:p>
        </w:tc>
      </w:tr>
      <w:tr w:rsidR="008E3F4C" w:rsidRPr="005970E9" w14:paraId="41929321"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8F6326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CEPAL</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7F80989"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Comisión Económica para América Latina y el Caribe</w:t>
            </w:r>
          </w:p>
        </w:tc>
      </w:tr>
      <w:tr w:rsidR="008E3F4C" w:rsidRPr="005970E9" w14:paraId="7946E7ED"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F2321F8"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CETIPPAT</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1DAFDC8"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Comité para la Erradicación del Trabajo Infantil y Protección de la Persona Adolescente Trabajadora</w:t>
            </w:r>
          </w:p>
        </w:tc>
      </w:tr>
      <w:tr w:rsidR="008E3F4C" w:rsidRPr="005970E9" w14:paraId="187FC532"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303C5C1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CF</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6A6CFD4"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Código de Familia</w:t>
            </w:r>
          </w:p>
        </w:tc>
      </w:tr>
      <w:tr w:rsidR="008E3F4C" w:rsidRPr="005970E9" w14:paraId="3ABF7A9C"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8BCC61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CIDH</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D08194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Comisión Interamericana de Derechos Humanos</w:t>
            </w:r>
          </w:p>
        </w:tc>
      </w:tr>
      <w:tr w:rsidR="008E3F4C" w:rsidRPr="005970E9" w14:paraId="232B066C"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5ECF9234"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CINAMU</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C28C56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Centros de Instituto Nacional de la Mujer</w:t>
            </w:r>
          </w:p>
        </w:tc>
      </w:tr>
      <w:tr w:rsidR="008E3F4C" w:rsidRPr="005970E9" w14:paraId="51171B2C"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4A2219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CJSM</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AEEAAB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Comisión de la Condición Jurídica y Social de la Mujer</w:t>
            </w:r>
          </w:p>
        </w:tc>
      </w:tr>
      <w:tr w:rsidR="008E3F4C" w:rsidRPr="005970E9" w14:paraId="1F3FE373"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E7A3CC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CMNB</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27A774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Coordinadora de Mujeres Ngäbe</w:t>
            </w:r>
          </w:p>
        </w:tc>
      </w:tr>
      <w:tr w:rsidR="008E3F4C" w:rsidRPr="005970E9" w14:paraId="18FCCF79"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1056CC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CNB</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82AB208"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Comarca Ngäbe Buglé</w:t>
            </w:r>
          </w:p>
        </w:tc>
      </w:tr>
      <w:tr w:rsidR="008E3F4C" w:rsidRPr="005970E9" w14:paraId="03F4D223"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35B0247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COIF</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41736BA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Centro de Orientación Infantil y Familiar</w:t>
            </w:r>
          </w:p>
        </w:tc>
      </w:tr>
      <w:tr w:rsidR="008E3F4C" w:rsidRPr="005970E9" w14:paraId="075D06C7"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622E499A"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CONAMUIP</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4CA7E53"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Coordinadora Nacional de Mujeres Indígenas de Panamá</w:t>
            </w:r>
          </w:p>
        </w:tc>
      </w:tr>
      <w:tr w:rsidR="008E3F4C" w:rsidRPr="005970E9" w14:paraId="302C729F"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6D9C4DB"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CONAMU</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B61C0C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Consejo Nacional de la Mujer</w:t>
            </w:r>
          </w:p>
        </w:tc>
      </w:tr>
      <w:tr w:rsidR="008E3F4C" w:rsidRPr="005970E9" w14:paraId="14E5A50E"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343614A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CONAPIP</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9C425AA"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Coordinadora Nacional de los Pueblos Indígenas de Panamá</w:t>
            </w:r>
          </w:p>
        </w:tc>
      </w:tr>
      <w:tr w:rsidR="008E3F4C" w:rsidRPr="005970E9" w14:paraId="09DCB53A"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8F9C9B3"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CONAPREDES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1BBBA09"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Comisión Nacional para la Prevención de Delitos de Explotación Sexual</w:t>
            </w:r>
          </w:p>
        </w:tc>
      </w:tr>
      <w:tr w:rsidR="008E3F4C" w:rsidRPr="005970E9" w14:paraId="0C5C8A3D"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321304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CONATO</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B454B09"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Consejo Nacional de Trabajadores Organizados</w:t>
            </w:r>
          </w:p>
        </w:tc>
      </w:tr>
      <w:tr w:rsidR="008E3F4C" w:rsidRPr="005970E9" w14:paraId="50323770"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55300433"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CONEP</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E1E01A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Consejo Nacional de la Empresa Privada</w:t>
            </w:r>
          </w:p>
        </w:tc>
      </w:tr>
      <w:tr w:rsidR="008E3F4C" w:rsidRPr="005970E9" w14:paraId="66369EB7"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3185A06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COVID-19</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E6650C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Corona virus disease 2019</w:t>
            </w:r>
          </w:p>
        </w:tc>
      </w:tr>
      <w:tr w:rsidR="008E3F4C" w:rsidRPr="005970E9" w14:paraId="5BF44752"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5873AF04"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CP</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90E12C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Código Penal</w:t>
            </w:r>
          </w:p>
        </w:tc>
      </w:tr>
      <w:tr w:rsidR="008E3F4C" w:rsidRPr="005970E9" w14:paraId="531C1D8D"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560F08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CSS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2F744E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Caja de Seguro Social</w:t>
            </w:r>
          </w:p>
        </w:tc>
      </w:tr>
      <w:tr w:rsidR="008E3F4C" w:rsidRPr="005970E9" w14:paraId="6BC1A4B7"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8A681D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lastRenderedPageBreak/>
              <w:t>CT</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6CEEF5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Código de Trabajo</w:t>
            </w:r>
          </w:p>
        </w:tc>
      </w:tr>
      <w:tr w:rsidR="009D5B4E" w:rsidRPr="005970E9" w14:paraId="691A2529"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185E827" w14:textId="2DD3D36C" w:rsidR="009D5B4E" w:rsidRPr="005970E9" w:rsidRDefault="009D5B4E" w:rsidP="000162FA">
            <w:pPr>
              <w:widowControl w:val="0"/>
              <w:rPr>
                <w:rFonts w:eastAsia="Century Schoolbook" w:cs="Century Schoolbook"/>
                <w:sz w:val="16"/>
                <w:szCs w:val="16"/>
              </w:rPr>
            </w:pPr>
            <w:r w:rsidRPr="005970E9">
              <w:rPr>
                <w:rFonts w:eastAsia="Century Schoolbook" w:cs="Century Schoolbook"/>
                <w:sz w:val="16"/>
                <w:szCs w:val="16"/>
              </w:rPr>
              <w:t>CTI</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927DB6F" w14:textId="386CDEA0" w:rsidR="009D5B4E" w:rsidRPr="005970E9" w:rsidRDefault="009D5B4E" w:rsidP="000162FA">
            <w:pPr>
              <w:widowControl w:val="0"/>
              <w:rPr>
                <w:rFonts w:eastAsia="Century Schoolbook" w:cs="Century Schoolbook"/>
                <w:sz w:val="16"/>
                <w:szCs w:val="16"/>
              </w:rPr>
            </w:pPr>
            <w:r w:rsidRPr="005970E9">
              <w:rPr>
                <w:rFonts w:eastAsia="Century Schoolbook" w:cs="Century Schoolbook"/>
                <w:sz w:val="16"/>
                <w:szCs w:val="16"/>
              </w:rPr>
              <w:t>Ciencia Tecnología e Innovación</w:t>
            </w:r>
          </w:p>
        </w:tc>
      </w:tr>
      <w:tr w:rsidR="008E3F4C" w:rsidRPr="005970E9" w14:paraId="2F69E071"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ED8E9D3"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DDHH</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28F52D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Derechos Humanos</w:t>
            </w:r>
          </w:p>
        </w:tc>
      </w:tr>
      <w:tr w:rsidR="008E3F4C" w:rsidRPr="005970E9" w14:paraId="5D6C637E"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0BD41CD4"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DINAMU</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362B95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Dirección Nacional de la Mujer</w:t>
            </w:r>
          </w:p>
        </w:tc>
      </w:tr>
      <w:tr w:rsidR="008E3F4C" w:rsidRPr="005970E9" w14:paraId="45752C25"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231B769"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DIPG</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855FA6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Diagnóstico de Iniciativa de Paridad de Género</w:t>
            </w:r>
          </w:p>
        </w:tc>
      </w:tr>
      <w:tr w:rsidR="008E3F4C" w:rsidRPr="005970E9" w14:paraId="61D0565D"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3B2B6DA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DIPLAN</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C1A237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Departamento de Análisis y Tendencias de Salud</w:t>
            </w:r>
          </w:p>
        </w:tc>
      </w:tr>
      <w:tr w:rsidR="008E3F4C" w:rsidRPr="005970E9" w14:paraId="10CF043A"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08E137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DISAPAS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58D825D"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Dirección del Subsector de Agua Potable y Alcantarillado Sanitario</w:t>
            </w:r>
          </w:p>
        </w:tc>
      </w:tr>
      <w:tr w:rsidR="008E3F4C" w:rsidRPr="005970E9" w14:paraId="7C4FCF6B"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0E1E1C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EIB</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49ED4A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Educación Intercultural Bilingüe</w:t>
            </w:r>
          </w:p>
        </w:tc>
      </w:tr>
      <w:tr w:rsidR="008E3F4C" w:rsidRPr="005970E9" w14:paraId="410EB44F"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CD53F2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ENASSER</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BE4514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Encuesta Nacional de Salud Sexual y Reproductiva</w:t>
            </w:r>
          </w:p>
        </w:tc>
      </w:tr>
      <w:tr w:rsidR="008E3F4C" w:rsidRPr="005970E9" w14:paraId="672D3DC2"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6C281848"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ENH</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9387D5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Encuesta de Hogar</w:t>
            </w:r>
          </w:p>
        </w:tc>
      </w:tr>
      <w:tr w:rsidR="008E3F4C" w:rsidRPr="005970E9" w14:paraId="11516216"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DA71C6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ENT</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EFAA9D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Enfermedades Crónicas No Transmisibles</w:t>
            </w:r>
          </w:p>
        </w:tc>
      </w:tr>
      <w:tr w:rsidR="008E3F4C" w:rsidRPr="005970E9" w14:paraId="60B30141"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A2CB17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EPIC (siglas en inglés)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FA038E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Coalición Internacional sobre la Igualdad de Remuneración</w:t>
            </w:r>
          </w:p>
        </w:tc>
      </w:tr>
      <w:tr w:rsidR="008E3F4C" w:rsidRPr="005970E9" w14:paraId="07566B92"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E43FB9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EPM</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116EB8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Encuesta de Propósitos Múltiples</w:t>
            </w:r>
          </w:p>
        </w:tc>
      </w:tr>
      <w:tr w:rsidR="008E3F4C" w:rsidRPr="005970E9" w14:paraId="32954882"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969652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ETI</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B597974"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Encuesta Nacional de Trabajo Infantil</w:t>
            </w:r>
          </w:p>
        </w:tc>
      </w:tr>
      <w:tr w:rsidR="008E3F4C" w:rsidRPr="005970E9" w14:paraId="7E1D120F"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40B7653"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EVE</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6C7127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Escuela Vocacional Especial</w:t>
            </w:r>
          </w:p>
        </w:tc>
      </w:tr>
      <w:tr w:rsidR="008E3F4C" w:rsidRPr="005970E9" w14:paraId="0A7773E8"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3C4AC2A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FAO</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B1B898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Organización de las Naciones Unidas para la Agricultura y la Alimentación</w:t>
            </w:r>
          </w:p>
        </w:tc>
      </w:tr>
      <w:tr w:rsidR="008E3F4C" w:rsidRPr="005970E9" w14:paraId="514CA90C"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3A654CA"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FIDA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F0F842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Fondo Internacional de Desarrollo Agrícola</w:t>
            </w:r>
          </w:p>
        </w:tc>
      </w:tr>
      <w:tr w:rsidR="008E3F4C" w:rsidRPr="005970E9" w14:paraId="03A75D1B"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04FE210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FIMI</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444EF9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Foro Internacional de Mujeres Indígenas</w:t>
            </w:r>
          </w:p>
        </w:tc>
      </w:tr>
      <w:tr w:rsidR="008E3F4C" w:rsidRPr="005970E9" w14:paraId="68ADD4FE"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6AB769A"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FUDESPA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AF1C8B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Fundación para el Desarrollo Económico y Social de Panamá</w:t>
            </w:r>
          </w:p>
        </w:tc>
      </w:tr>
      <w:tr w:rsidR="008E3F4C" w:rsidRPr="005970E9" w14:paraId="2E970EBE"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6FD0FD2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GEF (Siglas en inglés)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F8D663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Fondo para el Medio Ambiente Mundial</w:t>
            </w:r>
          </w:p>
        </w:tc>
      </w:tr>
      <w:tr w:rsidR="008E3F4C" w:rsidRPr="005970E9" w14:paraId="60F28A53"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41D62CA"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GENISA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663E26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Generadora del Istmo S. A.</w:t>
            </w:r>
          </w:p>
        </w:tc>
      </w:tr>
      <w:tr w:rsidR="008E3F4C" w:rsidRPr="005970E9" w14:paraId="73BF7A61"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53B16F5D"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ICGES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90A1B2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Instituto Conmemorativo Gorgas de Estudios de la Salud</w:t>
            </w:r>
          </w:p>
        </w:tc>
      </w:tr>
      <w:tr w:rsidR="008E3F4C" w:rsidRPr="005970E9" w14:paraId="428C19D0"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3C6E0B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IDG</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4FA686B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Índice de Desarrollo de Género</w:t>
            </w:r>
          </w:p>
        </w:tc>
      </w:tr>
      <w:tr w:rsidR="008E3F4C" w:rsidRPr="005970E9" w14:paraId="60013B70"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3C724E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IDH</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9DF20F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Informe de Desarrollo Humano</w:t>
            </w:r>
          </w:p>
        </w:tc>
      </w:tr>
      <w:tr w:rsidR="008E3F4C" w:rsidRPr="005970E9" w14:paraId="1501A144"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A52140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IFARHU</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9D61573"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Instituto para la Formación y Aprovechamiento de Recursos Humanos</w:t>
            </w:r>
          </w:p>
        </w:tc>
      </w:tr>
      <w:tr w:rsidR="008E3F4C" w:rsidRPr="005970E9" w14:paraId="5625F2E6"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A9461ED"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IIG</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97DB21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Índice de Igualdad de Género</w:t>
            </w:r>
          </w:p>
        </w:tc>
      </w:tr>
      <w:tr w:rsidR="008E3F4C" w:rsidRPr="005970E9" w14:paraId="5F5A51A7"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08E43388"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INADEH</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59990F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Instituto Nacional de Formación y Capacitación para el Desarrollo Humano</w:t>
            </w:r>
          </w:p>
        </w:tc>
      </w:tr>
      <w:tr w:rsidR="008E3F4C" w:rsidRPr="005970E9" w14:paraId="05F9AC56"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6FB6749"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INAMU</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5B6196A"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Instituto Nacional de la Mujer</w:t>
            </w:r>
          </w:p>
        </w:tc>
      </w:tr>
      <w:tr w:rsidR="008E3F4C" w:rsidRPr="005970E9" w14:paraId="7AB4162B"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565514E4"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INDICASAT</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90F4AC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Instituto de Investigaciones Científicas y Servicios de Alta Tecnología</w:t>
            </w:r>
          </w:p>
        </w:tc>
      </w:tr>
      <w:tr w:rsidR="008E3F4C" w:rsidRPr="005970E9" w14:paraId="6885DD81"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69C36F1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INEC</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98904B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Instituto Nacional de Estadística y Censo. Contraloría General de la República de Panamá.</w:t>
            </w:r>
          </w:p>
        </w:tc>
      </w:tr>
      <w:tr w:rsidR="008E3F4C" w:rsidRPr="005970E9" w14:paraId="1475A9CD"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28F8A9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IPACOOP</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7C4657A"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Instituto Panameño Cooperativo</w:t>
            </w:r>
          </w:p>
        </w:tc>
      </w:tr>
      <w:tr w:rsidR="008E3F4C" w:rsidRPr="005970E9" w14:paraId="23B0737A"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00FFE4F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IPC</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3FF496B"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Índice de Precios al Consumidor</w:t>
            </w:r>
          </w:p>
        </w:tc>
      </w:tr>
      <w:tr w:rsidR="008E3F4C" w:rsidRPr="005970E9" w14:paraId="38D05527"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34ADA0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IPEC</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99AF5B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Programa Internacional para la Erradicación del Trabajo Infantil</w:t>
            </w:r>
          </w:p>
        </w:tc>
      </w:tr>
      <w:tr w:rsidR="008E3F4C" w:rsidRPr="005970E9" w14:paraId="6F1D20DC"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B5F887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IPM</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B0237A3"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Incidencia de Pobreza Multidimensional</w:t>
            </w:r>
          </w:p>
        </w:tc>
      </w:tr>
      <w:tr w:rsidR="008E3F4C" w:rsidRPr="005970E9" w14:paraId="41D88BEB"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B827E0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IPP</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82A826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Índice de Paridad Política</w:t>
            </w:r>
          </w:p>
        </w:tc>
      </w:tr>
      <w:tr w:rsidR="008E3F4C" w:rsidRPr="005970E9" w14:paraId="4E582E8F"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B7C978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ITS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5CEEC9D"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Infecciones de Transmisión Sexual</w:t>
            </w:r>
          </w:p>
        </w:tc>
      </w:tr>
      <w:tr w:rsidR="008E3F4C" w:rsidRPr="005970E9" w14:paraId="0B6EBBD5"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7FEF08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LGBTIQ</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FF"/>
            <w:tcMar>
              <w:top w:w="40" w:type="dxa"/>
              <w:left w:w="40" w:type="dxa"/>
              <w:bottom w:w="40" w:type="dxa"/>
              <w:right w:w="40" w:type="dxa"/>
            </w:tcMar>
            <w:vAlign w:val="bottom"/>
          </w:tcPr>
          <w:p w14:paraId="7A5E36F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Lesbiana, gay, bisexual, transgénero, transexual, travesti, intersexual y queer</w:t>
            </w:r>
          </w:p>
        </w:tc>
      </w:tr>
      <w:tr w:rsidR="008E3F4C" w:rsidRPr="005970E9" w14:paraId="6164FE92"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32288CA8"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MEDUCA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8A8DE4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Ministerio de Educación</w:t>
            </w:r>
          </w:p>
        </w:tc>
      </w:tr>
      <w:tr w:rsidR="008E3F4C" w:rsidRPr="005970E9" w14:paraId="1489EE53"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A8715A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MEF</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B55C59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Ministerio de Economía y Finanzas</w:t>
            </w:r>
          </w:p>
        </w:tc>
      </w:tr>
      <w:tr w:rsidR="008E3F4C" w:rsidRPr="005970E9" w14:paraId="04DDB699"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cMar>
              <w:top w:w="40" w:type="dxa"/>
              <w:left w:w="40" w:type="dxa"/>
              <w:bottom w:w="40" w:type="dxa"/>
              <w:right w:w="40" w:type="dxa"/>
            </w:tcMar>
            <w:vAlign w:val="bottom"/>
          </w:tcPr>
          <w:p w14:paraId="0A88B009"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MELEDIS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8D6007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Mesa de Análisis de Leyes de personas con Discapacidad</w:t>
            </w:r>
          </w:p>
        </w:tc>
      </w:tr>
      <w:tr w:rsidR="00135AD9" w:rsidRPr="005970E9" w14:paraId="375B9D35"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cMar>
              <w:top w:w="40" w:type="dxa"/>
              <w:left w:w="40" w:type="dxa"/>
              <w:bottom w:w="40" w:type="dxa"/>
              <w:right w:w="40" w:type="dxa"/>
            </w:tcMar>
            <w:vAlign w:val="bottom"/>
          </w:tcPr>
          <w:p w14:paraId="2794FEC0" w14:textId="24120BE1" w:rsidR="00135AD9" w:rsidRPr="005970E9" w:rsidRDefault="00135AD9" w:rsidP="000162FA">
            <w:pPr>
              <w:widowControl w:val="0"/>
              <w:rPr>
                <w:rFonts w:eastAsia="Century Schoolbook" w:cs="Century Schoolbook"/>
                <w:sz w:val="16"/>
                <w:szCs w:val="16"/>
              </w:rPr>
            </w:pPr>
            <w:r w:rsidRPr="005970E9">
              <w:rPr>
                <w:rFonts w:eastAsia="Century Schoolbook" w:cs="Century Schoolbook"/>
                <w:sz w:val="16"/>
                <w:szCs w:val="16"/>
              </w:rPr>
              <w:lastRenderedPageBreak/>
              <w:t>MICS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9FDC42C" w14:textId="3EAA7861" w:rsidR="00135AD9" w:rsidRPr="005970E9" w:rsidRDefault="00135AD9" w:rsidP="000162FA">
            <w:pPr>
              <w:widowControl w:val="0"/>
              <w:rPr>
                <w:rFonts w:eastAsia="Century Schoolbook" w:cs="Century Schoolbook"/>
                <w:sz w:val="16"/>
                <w:szCs w:val="16"/>
              </w:rPr>
            </w:pPr>
            <w:r w:rsidRPr="005970E9">
              <w:rPr>
                <w:rFonts w:eastAsia="Century Schoolbook" w:cs="Century Schoolbook"/>
                <w:sz w:val="16"/>
                <w:szCs w:val="16"/>
              </w:rPr>
              <w:t>Encuestas de Indicadores Múltiples por Conglomerados (MICS)</w:t>
            </w:r>
          </w:p>
        </w:tc>
      </w:tr>
      <w:tr w:rsidR="008E3F4C" w:rsidRPr="005970E9" w14:paraId="4A829015"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8B2B05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MIDA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A250D79"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Ministerio de Desarrollo Agropecuario</w:t>
            </w:r>
          </w:p>
        </w:tc>
      </w:tr>
      <w:tr w:rsidR="008E3F4C" w:rsidRPr="005970E9" w14:paraId="2C0CA03B"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0DDE472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MIDES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35C6E9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Ministerio de Desarrollo Social</w:t>
            </w:r>
          </w:p>
        </w:tc>
      </w:tr>
      <w:tr w:rsidR="008E3F4C" w:rsidRPr="005970E9" w14:paraId="0DC0A47D"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B6BC26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MINSA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00F15B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Ministerio de Salud</w:t>
            </w:r>
          </w:p>
        </w:tc>
      </w:tr>
      <w:tr w:rsidR="00135AD9" w:rsidRPr="005970E9" w14:paraId="4F536CA7"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3790FFF" w14:textId="46BA2318" w:rsidR="00135AD9" w:rsidRPr="005970E9" w:rsidRDefault="00135AD9" w:rsidP="000162FA">
            <w:pPr>
              <w:widowControl w:val="0"/>
              <w:rPr>
                <w:rFonts w:eastAsia="Century Schoolbook" w:cs="Century Schoolbook"/>
                <w:sz w:val="16"/>
                <w:szCs w:val="16"/>
              </w:rPr>
            </w:pPr>
            <w:r w:rsidRPr="005970E9">
              <w:rPr>
                <w:rFonts w:eastAsia="Century Schoolbook" w:cs="Century Schoolbook"/>
                <w:sz w:val="16"/>
                <w:szCs w:val="16"/>
              </w:rPr>
              <w:t>MINSEG</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6679889" w14:textId="6C293942" w:rsidR="00135AD9" w:rsidRPr="005970E9" w:rsidRDefault="00135AD9" w:rsidP="000162FA">
            <w:pPr>
              <w:widowControl w:val="0"/>
              <w:rPr>
                <w:rFonts w:eastAsia="Century Schoolbook" w:cs="Century Schoolbook"/>
                <w:sz w:val="16"/>
                <w:szCs w:val="16"/>
              </w:rPr>
            </w:pPr>
            <w:r w:rsidRPr="005970E9">
              <w:rPr>
                <w:rFonts w:eastAsia="Century Schoolbook" w:cs="Century Schoolbook"/>
                <w:sz w:val="16"/>
                <w:szCs w:val="16"/>
              </w:rPr>
              <w:t>Ministerio de Seguridad</w:t>
            </w:r>
          </w:p>
        </w:tc>
      </w:tr>
      <w:tr w:rsidR="008E3F4C" w:rsidRPr="005970E9" w14:paraId="409EC53A"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3272F9E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MITRADEL</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FE99FA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Ministerio de Trabajo y Desarrollo Laboral</w:t>
            </w:r>
          </w:p>
        </w:tc>
      </w:tr>
      <w:tr w:rsidR="008E3F4C" w:rsidRPr="005970E9" w14:paraId="1F956247"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60109C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NINIS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0E0EA9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Jóvenes que no estudian ni trabajan</w:t>
            </w:r>
          </w:p>
        </w:tc>
      </w:tr>
      <w:tr w:rsidR="008E3F4C" w:rsidRPr="005970E9" w14:paraId="0D94A85B"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0E7FE1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NNA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F0B3FA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Niños, Niñas y Adolescentes</w:t>
            </w:r>
          </w:p>
        </w:tc>
      </w:tr>
      <w:tr w:rsidR="008E3F4C" w:rsidRPr="005970E9" w14:paraId="2779AEE3"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B0B6CA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OACDH</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052E72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Oficina del Alto Comisionado para los Derechos Humanos (OACDH)</w:t>
            </w:r>
          </w:p>
        </w:tc>
      </w:tr>
      <w:tr w:rsidR="008E3F4C" w:rsidRPr="005970E9" w14:paraId="7586383F"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0237026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OCDE</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363C4EB"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Organización para la Cooperación y el Desarrollo Económicos</w:t>
            </w:r>
          </w:p>
        </w:tc>
      </w:tr>
      <w:tr w:rsidR="008E3F4C" w:rsidRPr="005970E9" w14:paraId="1F3F8F03"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3928C7AB"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ODS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C80AB7B"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Objetivos de Desarrollo Sostenible</w:t>
            </w:r>
          </w:p>
        </w:tc>
      </w:tr>
      <w:tr w:rsidR="008E3F4C" w:rsidRPr="005970E9" w14:paraId="3D62DFDB"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645E2D58"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OEI</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BFE7F3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Organización de Estados Iberoamericanos para la Educación, la Ciencia y la Cultura</w:t>
            </w:r>
          </w:p>
        </w:tc>
      </w:tr>
      <w:tr w:rsidR="008E3F4C" w:rsidRPr="005970E9" w14:paraId="3E431B8B"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532B8F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OIG</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5EE9E7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Observatorio de Igualdad de Género</w:t>
            </w:r>
          </w:p>
        </w:tc>
      </w:tr>
      <w:tr w:rsidR="008E3F4C" w:rsidRPr="005970E9" w14:paraId="05012B3F"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F84802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OIM</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936590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Organización Internacional para las Migraciones</w:t>
            </w:r>
          </w:p>
        </w:tc>
      </w:tr>
      <w:tr w:rsidR="008E3F4C" w:rsidRPr="005970E9" w14:paraId="6CB11410"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8E4C5FD"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OIT</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B8C33E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Organización Internacional del Trabajo</w:t>
            </w:r>
          </w:p>
        </w:tc>
      </w:tr>
      <w:tr w:rsidR="008E3F4C" w:rsidRPr="005970E9" w14:paraId="34D123B3"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605BAB83"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OMS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7CFAA9D"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Organización Mundial de la Salud</w:t>
            </w:r>
          </w:p>
        </w:tc>
      </w:tr>
      <w:tr w:rsidR="008E3F4C" w:rsidRPr="005970E9" w14:paraId="24695C35"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56535BA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ONG</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6EEDB8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Organización no Gubernamental</w:t>
            </w:r>
          </w:p>
        </w:tc>
      </w:tr>
      <w:tr w:rsidR="008E3F4C" w:rsidRPr="005970E9" w14:paraId="28D9B1E5"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90328A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ONUMUJERES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93A9E5B"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Organización de Naciones Unidas para las Mujeres</w:t>
            </w:r>
          </w:p>
        </w:tc>
      </w:tr>
      <w:tr w:rsidR="008E3F4C" w:rsidRPr="005970E9" w14:paraId="3A4F757C"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28A77C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ONUSIDA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522FCF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Programa Conjunto de las Naciones Unidas sobre el VIH/SIDA.</w:t>
            </w:r>
          </w:p>
        </w:tc>
      </w:tr>
      <w:tr w:rsidR="008E3F4C" w:rsidRPr="005970E9" w14:paraId="6BF02BB0"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55AE32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OPS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AC8FF1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Organización Panamericana de la Salud</w:t>
            </w:r>
          </w:p>
        </w:tc>
      </w:tr>
      <w:tr w:rsidR="008E3F4C" w:rsidRPr="005970E9" w14:paraId="061E0FE2"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7C9008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PcDs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527777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Personas con Discapacidad</w:t>
            </w:r>
          </w:p>
        </w:tc>
      </w:tr>
      <w:tr w:rsidR="008E3F4C" w:rsidRPr="005970E9" w14:paraId="4AB1F963"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A53FEE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PEA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365FD4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Población Económicamente Activa</w:t>
            </w:r>
          </w:p>
        </w:tc>
      </w:tr>
      <w:tr w:rsidR="008E3F4C" w:rsidRPr="005970E9" w14:paraId="12BD0522"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8B9231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PENDIS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183A77B"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Primera Encuesta Nacional de la Discapacidad</w:t>
            </w:r>
          </w:p>
        </w:tc>
      </w:tr>
      <w:tr w:rsidR="008E3F4C" w:rsidRPr="005970E9" w14:paraId="589E4CDE"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87AAEF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PET</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596E36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Población en Edad de Trabajar</w:t>
            </w:r>
          </w:p>
        </w:tc>
      </w:tr>
      <w:tr w:rsidR="008E3F4C" w:rsidRPr="005970E9" w14:paraId="4ECE14A1"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BF7BCC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PIB</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A133B1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Producto Interno Bruto</w:t>
            </w:r>
          </w:p>
        </w:tc>
      </w:tr>
      <w:tr w:rsidR="008E3F4C" w:rsidRPr="005970E9" w14:paraId="60FF80D3"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52FA3E54"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PNUD</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535EE2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Programa de Naciones Unidas para el Desarrollo</w:t>
            </w:r>
          </w:p>
        </w:tc>
      </w:tr>
      <w:tr w:rsidR="008E3F4C" w:rsidRPr="005970E9" w14:paraId="25E558C6"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4FE133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PPIG</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234FD4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Perfil de País según Igualdad de Género</w:t>
            </w:r>
          </w:p>
        </w:tc>
      </w:tr>
      <w:tr w:rsidR="008E3F4C" w:rsidRPr="005970E9" w14:paraId="1936D741"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6A8B5E7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PPIOM</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FB3364B"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Política Pública de Igualdad de Oportunidades de las Mujeres</w:t>
            </w:r>
          </w:p>
        </w:tc>
      </w:tr>
      <w:tr w:rsidR="008E3F4C" w:rsidRPr="005970E9" w14:paraId="290F3B62"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67ECA3C4"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PRD</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C537728"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Partido Revolucionario Democrático</w:t>
            </w:r>
          </w:p>
        </w:tc>
      </w:tr>
      <w:tr w:rsidR="008E3F4C" w:rsidRPr="005970E9" w14:paraId="255D8AA0"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865F033"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PREJUVE</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9BCA6F4"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Prevención de Violencia en Jóvenes</w:t>
            </w:r>
          </w:p>
        </w:tc>
      </w:tr>
      <w:tr w:rsidR="008E3F4C" w:rsidRPr="005970E9" w14:paraId="381331E9"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09BE78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PSIP</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480D0F5D"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Personas Sin Ingreso Propio</w:t>
            </w:r>
          </w:p>
        </w:tc>
      </w:tr>
      <w:tr w:rsidR="008E3F4C" w:rsidRPr="005970E9" w14:paraId="16299DBB"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536E8A4A"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RDH</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2BC202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Red de Derechos Humanos de Panamá</w:t>
            </w:r>
          </w:p>
        </w:tc>
      </w:tr>
      <w:tr w:rsidR="008E3F4C" w:rsidRPr="005970E9" w14:paraId="057E9DC9"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5594DF8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SENACYT</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4B51358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Secretaria Nacional de Ciencia, Tecnología e Innovación</w:t>
            </w:r>
          </w:p>
        </w:tc>
      </w:tr>
      <w:tr w:rsidR="008E3F4C" w:rsidRPr="005970E9" w14:paraId="269AB6D2"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6577EE8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SENADIS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FF"/>
            <w:tcMar>
              <w:top w:w="40" w:type="dxa"/>
              <w:left w:w="40" w:type="dxa"/>
              <w:bottom w:w="40" w:type="dxa"/>
              <w:right w:w="40" w:type="dxa"/>
            </w:tcMar>
            <w:vAlign w:val="bottom"/>
          </w:tcPr>
          <w:p w14:paraId="450687F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Secretaria Nacional de Discapacidad</w:t>
            </w:r>
          </w:p>
        </w:tc>
      </w:tr>
      <w:tr w:rsidR="008E3F4C" w:rsidRPr="005970E9" w14:paraId="174BCFD1"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864509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SENAPAN</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5B744A1B"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Secretaria Nacional para el Plan de Seguridad Alimentaria</w:t>
            </w:r>
          </w:p>
        </w:tc>
      </w:tr>
      <w:tr w:rsidR="008E3F4C" w:rsidRPr="005970E9" w14:paraId="3BF1F7F2"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52704EE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SENNIAF</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98EF24B"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Secretaría Nacional de Niñez, Adolescencia y Familia</w:t>
            </w:r>
          </w:p>
        </w:tc>
      </w:tr>
      <w:tr w:rsidR="008E3F4C" w:rsidRPr="005970E9" w14:paraId="6D84384A"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4CC1CA7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SPNF</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41802E7D"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Sector Público No Financiero</w:t>
            </w:r>
          </w:p>
        </w:tc>
      </w:tr>
      <w:tr w:rsidR="008E3F4C" w:rsidRPr="005970E9" w14:paraId="17E4506C"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047068A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TE</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76B3BD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Tribunal Electoral</w:t>
            </w:r>
          </w:p>
        </w:tc>
      </w:tr>
      <w:tr w:rsidR="008E3F4C" w:rsidRPr="005970E9" w14:paraId="564151C9"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CEE0F7C"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TIC</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43D4D02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Tecnologías de la Información y Comunicación</w:t>
            </w:r>
          </w:p>
        </w:tc>
      </w:tr>
      <w:tr w:rsidR="008E3F4C" w:rsidRPr="005970E9" w14:paraId="7AFBAB91"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2EB770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TMC</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E41BCFB"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Transferencia Monetaria Condicionada</w:t>
            </w:r>
          </w:p>
        </w:tc>
      </w:tr>
      <w:tr w:rsidR="008E3F4C" w:rsidRPr="005970E9" w14:paraId="6B1B8B1F"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23F1D75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lastRenderedPageBreak/>
              <w:t>UE</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0FDEA2E3"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Unión Europea</w:t>
            </w:r>
          </w:p>
        </w:tc>
      </w:tr>
      <w:tr w:rsidR="008E3F4C" w:rsidRPr="005970E9" w14:paraId="6140BAB9"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AB507FE"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UNFPA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E006C1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Fondo de Población de las Naciones Unidas</w:t>
            </w:r>
          </w:p>
        </w:tc>
      </w:tr>
      <w:tr w:rsidR="008E3F4C" w:rsidRPr="005970E9" w14:paraId="2C8DA218"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0B4846C4"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UNICEF</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6ECF94D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Fondo de las Naciones Unidas para la Infancia</w:t>
            </w:r>
          </w:p>
        </w:tc>
      </w:tr>
      <w:tr w:rsidR="008E3F4C" w:rsidRPr="005970E9" w14:paraId="368B16E7"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5090502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UNODC</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4B5FD56A"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Agencia de Naciones Unidas contra el Delito y la Droga</w:t>
            </w:r>
          </w:p>
        </w:tc>
      </w:tr>
      <w:tr w:rsidR="008E3F4C" w:rsidRPr="005970E9" w14:paraId="568A64E6"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0FA7C21"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UNOPS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478BA2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Oficina de las Naciones Unidas de Servicios para Proyectos</w:t>
            </w:r>
          </w:p>
        </w:tc>
      </w:tr>
      <w:tr w:rsidR="008E3F4C" w:rsidRPr="005970E9" w14:paraId="36127C70"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64DB9C7"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UTP</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EDCC230"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Universidad Tecnológica de Panamá</w:t>
            </w:r>
          </w:p>
        </w:tc>
      </w:tr>
      <w:tr w:rsidR="008E3F4C" w:rsidRPr="005970E9" w14:paraId="05015624"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E3C95B9"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VIH/sida</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7548CD85"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Virus de la inmunodeficiencia humana y el síndrome de inmunodeficiencia adquirida</w:t>
            </w:r>
          </w:p>
        </w:tc>
      </w:tr>
      <w:tr w:rsidR="008E3F4C" w:rsidRPr="005970E9" w14:paraId="07D0E40D"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1F524912"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VOMAP</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32C9EE8A"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Voces de Mujeres Afrodescendientes en Panamá.</w:t>
            </w:r>
          </w:p>
        </w:tc>
      </w:tr>
      <w:tr w:rsidR="008E3F4C" w:rsidRPr="005970E9" w14:paraId="4EC35361" w14:textId="77777777" w:rsidTr="008E3F4C">
        <w:trPr>
          <w:trHeight w:hRule="exact" w:val="28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40" w:type="dxa"/>
              <w:bottom w:w="40" w:type="dxa"/>
              <w:right w:w="40" w:type="dxa"/>
            </w:tcMar>
            <w:vAlign w:val="bottom"/>
          </w:tcPr>
          <w:p w14:paraId="73C977DF"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ZLC</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1308AC36" w14:textId="77777777" w:rsidR="008E3F4C" w:rsidRPr="005970E9" w:rsidRDefault="008E3F4C" w:rsidP="000162FA">
            <w:pPr>
              <w:widowControl w:val="0"/>
              <w:rPr>
                <w:rFonts w:eastAsia="Century Schoolbook" w:cs="Century Schoolbook"/>
                <w:sz w:val="16"/>
                <w:szCs w:val="16"/>
              </w:rPr>
            </w:pPr>
            <w:r w:rsidRPr="005970E9">
              <w:rPr>
                <w:rFonts w:eastAsia="Century Schoolbook" w:cs="Century Schoolbook"/>
                <w:sz w:val="16"/>
                <w:szCs w:val="16"/>
              </w:rPr>
              <w:t>Zona Libre de Colón</w:t>
            </w:r>
          </w:p>
        </w:tc>
      </w:tr>
    </w:tbl>
    <w:p w14:paraId="135EA3FD" w14:textId="77777777" w:rsidR="00DE5099" w:rsidRPr="005970E9" w:rsidRDefault="00DE5099">
      <w:pPr>
        <w:rPr>
          <w:rFonts w:eastAsia="Century Schoolbook" w:cs="Century Schoolbook"/>
          <w:b/>
          <w:color w:val="7030A0"/>
          <w:sz w:val="24"/>
          <w:szCs w:val="24"/>
        </w:rPr>
      </w:pPr>
    </w:p>
    <w:p w14:paraId="207FE004" w14:textId="77777777" w:rsidR="00F0788F" w:rsidRPr="005970E9" w:rsidRDefault="00F0788F">
      <w:pPr>
        <w:rPr>
          <w:rFonts w:eastAsia="Century Schoolbook" w:cs="Century Schoolbook"/>
          <w:b/>
          <w:color w:val="7030A0"/>
          <w:sz w:val="24"/>
          <w:szCs w:val="24"/>
        </w:rPr>
      </w:pPr>
      <w:r w:rsidRPr="005970E9">
        <w:br w:type="page"/>
      </w:r>
    </w:p>
    <w:p w14:paraId="4AE3AA5A" w14:textId="06CA7890" w:rsidR="00B76B0C" w:rsidRPr="005970E9" w:rsidRDefault="003B5C05">
      <w:pPr>
        <w:pStyle w:val="Heading1"/>
      </w:pPr>
      <w:bookmarkStart w:id="10" w:name="_Toc42159150"/>
      <w:bookmarkStart w:id="11" w:name="_Toc42549414"/>
      <w:bookmarkStart w:id="12" w:name="_Hlk42338028"/>
      <w:r w:rsidRPr="005970E9">
        <w:lastRenderedPageBreak/>
        <w:t>RESUMEN EJECUTIVO</w:t>
      </w:r>
      <w:bookmarkEnd w:id="10"/>
      <w:bookmarkEnd w:id="11"/>
      <w:r w:rsidRPr="005970E9">
        <w:t xml:space="preserve"> </w:t>
      </w:r>
    </w:p>
    <w:p w14:paraId="7927626D" w14:textId="77777777" w:rsidR="00AC161E" w:rsidRPr="005970E9" w:rsidRDefault="00AC161E" w:rsidP="00AC161E">
      <w:pPr>
        <w:spacing w:before="120" w:after="120" w:line="276" w:lineRule="auto"/>
        <w:jc w:val="both"/>
        <w:rPr>
          <w:rFonts w:eastAsia="Century Schoolbook" w:cs="Century Schoolbook"/>
        </w:rPr>
      </w:pPr>
      <w:bookmarkStart w:id="13" w:name="_6gso4s9ttxxh" w:colFirst="0" w:colLast="0"/>
      <w:bookmarkStart w:id="14" w:name="_loq9p0gysyo" w:colFirst="0" w:colLast="0"/>
      <w:bookmarkEnd w:id="13"/>
      <w:bookmarkEnd w:id="14"/>
      <w:r w:rsidRPr="005970E9">
        <w:rPr>
          <w:rFonts w:eastAsia="Century Schoolbook" w:cs="Century Schoolbook"/>
        </w:rPr>
        <w:t xml:space="preserve">El presente Perfil de País según Igualdad de Género fue elaborado a partir de un proceso de investigación que realizó una recopilación y actualización de datos a través de técnicas cuantitativas y cualitativas a cerca de la realidad de las relaciones sociales, políticas, económicas y ambientales entre hombres y mujeres en el país. Desde una perspectiva multidimensional se identificaron los desafíos que las políticas públicas deben enfrentar para garantizar los derechos de las mujeres, las niñas, los niños y las adolescentes a la igualdad y el empoderamiento. </w:t>
      </w:r>
    </w:p>
    <w:p w14:paraId="76F7D8B8" w14:textId="77777777" w:rsidR="00AC161E" w:rsidRPr="005970E9" w:rsidRDefault="00AC161E" w:rsidP="00AC161E">
      <w:pPr>
        <w:spacing w:before="120" w:after="120" w:line="276" w:lineRule="auto"/>
        <w:jc w:val="both"/>
        <w:rPr>
          <w:rFonts w:eastAsia="Century Schoolbook" w:cs="Century Schoolbook"/>
        </w:rPr>
      </w:pPr>
      <w:r w:rsidRPr="005970E9">
        <w:rPr>
          <w:rFonts w:eastAsia="Century Schoolbook" w:cs="Century Schoolbook"/>
        </w:rPr>
        <w:t>La metodología utilizada se fundamenta en el enfoque de derechos humanos, de género, interseccionalidad y desarrollo sostenible. Tiene dos ejes interrelacionados: la Agenda 2030 para el logro de los objetivos de desarrollo sostenible (ODS) -sus metas e indicadores- y la igualdad y empoderamiento de género. La identificación de los indicadores respecto a las desigualdades que vulneran la vida de las mujeres gira alrededor de cuatro dimensiones: política, social, económica y ambiental, las cuales se detallan en la estructura de este informe. En el análisis se transversaliza la situación de las niñas, adolescentes y jóvenes de ambos sexos, visibilizando su condición.</w:t>
      </w:r>
    </w:p>
    <w:p w14:paraId="1D42050E" w14:textId="77777777" w:rsidR="00AC161E" w:rsidRPr="005970E9" w:rsidRDefault="00AC161E" w:rsidP="00AC161E">
      <w:pPr>
        <w:spacing w:before="120" w:after="120" w:line="276" w:lineRule="auto"/>
        <w:jc w:val="both"/>
        <w:rPr>
          <w:rFonts w:eastAsia="Century Schoolbook" w:cs="Century Schoolbook"/>
        </w:rPr>
      </w:pPr>
      <w:bookmarkStart w:id="15" w:name="_ebyjgqlr3bst" w:colFirst="0" w:colLast="0"/>
      <w:bookmarkEnd w:id="15"/>
      <w:r w:rsidRPr="005970E9">
        <w:rPr>
          <w:rFonts w:eastAsia="Century Schoolbook" w:cs="Century Schoolbook"/>
        </w:rPr>
        <w:t>La igualdad y no discriminación son derechos fundamentales de todos y todas, estos se encuentran normados en diferentes instrumentos jurídicos tanto nacionales como internacionales. Aun así, las cifras plasmadas tanto en este documento como en muchos otros muestran que aún hay mucho camino que recorrer para la igualdad de género en nuestro país. En este momento por el impacto de la crisis sanitaria y de elevada vulnerabilidad de la vida humana es indispensable que estos derechos se constituyan en una herramienta para la reflexión y la acción en pro del logro de la igualdad con equidad.</w:t>
      </w:r>
    </w:p>
    <w:p w14:paraId="08C8A775" w14:textId="77777777" w:rsidR="00AC161E" w:rsidRPr="005970E9" w:rsidRDefault="00AC161E" w:rsidP="00AC161E">
      <w:pPr>
        <w:spacing w:before="120" w:after="120" w:line="276" w:lineRule="auto"/>
        <w:jc w:val="both"/>
        <w:rPr>
          <w:rFonts w:eastAsia="Century Schoolbook" w:cs="Century Schoolbook"/>
        </w:rPr>
      </w:pPr>
      <w:bookmarkStart w:id="16" w:name="_4bnvmwcfmlz2" w:colFirst="0" w:colLast="0"/>
      <w:bookmarkEnd w:id="16"/>
      <w:r w:rsidRPr="005970E9">
        <w:rPr>
          <w:rFonts w:eastAsia="Century Schoolbook" w:cs="Century Schoolbook"/>
        </w:rPr>
        <w:t xml:space="preserve">El presente documento encuentra uno de sus pilares en el marco que brinda la Agenda 2030 para el Desarrollo Sostenible fundamentada en los 17 Objetivos de Desarrollo Sostenible (ODS). En particular, se aborda un conjunto de indicadores relacionados con los compromisos de seguimiento en el país. El abordaje de género de estos indicadores es importante para conocer el impacto de la igualdad y el empoderamiento de las mujeres en el desarrollo, en consecuencia, permite evaluar cómo la exclusión de las mujeres tiene una elevada repercusión en la sostenibilidad de la vida e identificar qué estrategias son más efectivas para cerrar las brechas de género. </w:t>
      </w:r>
    </w:p>
    <w:p w14:paraId="14CCDDEB" w14:textId="77777777" w:rsidR="00AC161E" w:rsidRPr="005970E9" w:rsidRDefault="00AC161E" w:rsidP="00AC161E">
      <w:pPr>
        <w:spacing w:before="120" w:after="120" w:line="276" w:lineRule="auto"/>
        <w:jc w:val="both"/>
        <w:rPr>
          <w:rFonts w:eastAsia="Century Schoolbook" w:cs="Century Schoolbook"/>
        </w:rPr>
      </w:pPr>
      <w:r w:rsidRPr="005970E9">
        <w:rPr>
          <w:rFonts w:eastAsia="Century Schoolbook" w:cs="Century Schoolbook"/>
        </w:rPr>
        <w:t xml:space="preserve">La igualdad en torno a las aspiraciones políticas camino a espacios de toma de decisión en el país constituye un objetivo importante a alcanzar. Según las cifras oficiales del Tribunal Electoral, las elecciones del 2014 muestran que del total de personas que estaban registradas para votar, un 49.9% eran hombres y un 50.1% mujeres y ese mismo año del total que fueron a votar el 47.7% fueron hombres y el resto 52.3% mujeres. En una década y tres elecciones (2009, 2014 y 2019), no fue significativa la participación de las mujeres en los cargos de elección popular, si tenemos en cuenta que solo aumentó un 0.8% del 2009 al 2019 y que hubo un retroceso de 1% de participación para el 2014. En </w:t>
      </w:r>
      <w:r w:rsidRPr="005970E9">
        <w:rPr>
          <w:rFonts w:eastAsia="Century Schoolbook" w:cs="Century Schoolbook"/>
        </w:rPr>
        <w:lastRenderedPageBreak/>
        <w:t>el 2009 hubo un 16% de mujeres candidatas (613 mujeres y 3,212 hombres) en el 2014 un 15% (665 mujeres y 3,758 hombres) y en el 2019 un 16.8% de mujeres candidatas ante el 83.2% de hombres candidatos (988 mujeres y 4,877 hombres).</w:t>
      </w:r>
    </w:p>
    <w:p w14:paraId="126A2C82" w14:textId="77777777" w:rsidR="00AC161E" w:rsidRPr="005970E9" w:rsidRDefault="00AC161E" w:rsidP="00AC161E">
      <w:pPr>
        <w:spacing w:before="120" w:after="120" w:line="276" w:lineRule="auto"/>
        <w:jc w:val="both"/>
        <w:rPr>
          <w:rFonts w:eastAsia="Century Schoolbook" w:cs="Century Schoolbook"/>
          <w:b/>
        </w:rPr>
      </w:pPr>
      <w:bookmarkStart w:id="17" w:name="_2sopiamrmd9c" w:colFirst="0" w:colLast="0"/>
      <w:bookmarkStart w:id="18" w:name="_hq3ldqz858h" w:colFirst="0" w:colLast="0"/>
      <w:bookmarkEnd w:id="17"/>
      <w:bookmarkEnd w:id="18"/>
      <w:r w:rsidRPr="005970E9">
        <w:rPr>
          <w:rFonts w:eastAsia="Century Schoolbook" w:cs="Century Schoolbook"/>
        </w:rPr>
        <w:t>En la línea de las posiciones de importancia en torno a la condición de ser mujer, para el decenio 2010 – 2020, los nombramientos de mujeres al más alto nivel de la judicatura panameña fueron nulos (del 2010 – 2014) del 2015 al 2019 de las 9 magistraturas sólo una (1 – 11.1%) fue ocupada por una mujer y en el 2020 hay tres (3 – 33.3%) mujeres magistradas, siendo el mayor número de mujeres que se ha registrado en ese cargo en la Corte Suprema de Justicia; lo cual resulta destacable, pero no suficiente. Además, cabe subrayar que las mujeres ocupan en su mayoría puestos de suplencia en los cargos antes mencionados.</w:t>
      </w:r>
    </w:p>
    <w:p w14:paraId="0E3A2A2E" w14:textId="77777777" w:rsidR="00AC161E" w:rsidRPr="005970E9" w:rsidRDefault="00AC161E" w:rsidP="00AC161E">
      <w:pPr>
        <w:spacing w:before="120" w:after="120" w:line="276" w:lineRule="auto"/>
        <w:jc w:val="both"/>
        <w:rPr>
          <w:rFonts w:eastAsia="Century Schoolbook" w:cs="Century Schoolbook"/>
        </w:rPr>
      </w:pPr>
      <w:bookmarkStart w:id="19" w:name="_m51bfmofcod" w:colFirst="0" w:colLast="0"/>
      <w:bookmarkStart w:id="20" w:name="_Hlk42196765"/>
      <w:bookmarkEnd w:id="19"/>
      <w:r w:rsidRPr="005970E9">
        <w:rPr>
          <w:rFonts w:eastAsia="Century Schoolbook" w:cs="Century Schoolbook"/>
        </w:rPr>
        <w:t>El índice de pobreza multidimensional entre 2017 y 2018 no mostró cambios sustanciales (MEF, 2018).  Para las mujeres en 2017 y 2018 fue de 18.5% y 18.6% respectivamente. Para los hombres se redujo en dos décimos porcentuales, de 19.7 en 2017 a 19.5 en 2018. Para ambos sexos los cambios son irrisorios.</w:t>
      </w:r>
    </w:p>
    <w:bookmarkEnd w:id="20"/>
    <w:p w14:paraId="6870EDF7" w14:textId="77777777" w:rsidR="00AC161E" w:rsidRPr="005970E9" w:rsidRDefault="00AC161E" w:rsidP="00AC161E">
      <w:pPr>
        <w:spacing w:before="120" w:after="120" w:line="276" w:lineRule="auto"/>
        <w:jc w:val="both"/>
        <w:rPr>
          <w:rFonts w:eastAsia="Century Schoolbook" w:cs="Century Schoolbook"/>
        </w:rPr>
      </w:pPr>
      <w:r w:rsidRPr="005970E9">
        <w:rPr>
          <w:rFonts w:eastAsia="Century Schoolbook" w:cs="Century Schoolbook"/>
        </w:rPr>
        <w:t xml:space="preserve">En América Latina la población de mujeres sin ingresos propios (PSIP) en 2018 fue 29.0% y de hombres el 10.5%. En Panamá, la población que se encuentra sin ingresos propios a nivel nacional está a cuatro puntos porcentuales de ese promedio con 25.1% las mujeres. Los hombres se alejan en 3.7% del promedio con un 6.8%. Una de cada cuatro mujeres entre 35 a 44 años no cuenta con ingresos propios. La proporción de mujeres en condición de dependencia total en materia de ingresos muestra una vulnerabilidad de mucho riesgo para el ejercicio de sus derechos. La dependencia funciona como una barrera inhabilitante y un imaginario de control externo. Las personas jóvenes, en especial, en el mundo rural son quienes menos ingresos propios tienen. Entre 15 y 24 años la proporción para las mujeres es de 44.4% y 19.7% los hombres. </w:t>
      </w:r>
    </w:p>
    <w:p w14:paraId="4F6612F7" w14:textId="77777777" w:rsidR="00AC161E" w:rsidRPr="005970E9" w:rsidRDefault="00AC161E" w:rsidP="00AC161E">
      <w:pPr>
        <w:spacing w:before="120" w:after="120" w:line="276" w:lineRule="auto"/>
        <w:jc w:val="both"/>
        <w:rPr>
          <w:rFonts w:eastAsia="Century Schoolbook" w:cs="Century Schoolbook"/>
        </w:rPr>
      </w:pPr>
      <w:r w:rsidRPr="005970E9">
        <w:rPr>
          <w:rFonts w:eastAsia="Century Schoolbook" w:cs="Century Schoolbook"/>
        </w:rPr>
        <w:t>Con respecto al trabajo las mujeres en Panamá tienen la mayor carga de trabajo total (remunerado y no remunerado) por semana, 68.2 horas y los hombres 59.4 horas (Orozco Corona, 2011, p12). El tiempo de trabajo dedicado al cuidado, registrado por la encuesta de uso del tiempo (2011) en las mujeres es casi el doble del que dedican los hombres.</w:t>
      </w:r>
    </w:p>
    <w:p w14:paraId="19F27FB3" w14:textId="77777777" w:rsidR="00AC161E" w:rsidRPr="005970E9" w:rsidRDefault="00AC161E" w:rsidP="00AC161E">
      <w:pPr>
        <w:spacing w:before="120" w:after="120" w:line="276" w:lineRule="auto"/>
        <w:jc w:val="both"/>
        <w:rPr>
          <w:rFonts w:eastAsia="Century Schoolbook" w:cs="Century Schoolbook"/>
        </w:rPr>
      </w:pPr>
      <w:r w:rsidRPr="005970E9">
        <w:rPr>
          <w:rFonts w:eastAsia="Century Schoolbook" w:cs="Century Schoolbook"/>
        </w:rPr>
        <w:t xml:space="preserve">En el 2019 el empleo informal no agrícola, para las mujeres a nivel nacional aumentó en 0.9% alcanzando un 45.4%. Para los hombres en 2019 fue 44.5% (INEC, 2019). En las comarcas indígenas para las mujeres se acrecienta desmesuradamente el trabajo informal, en 2019 fue 98.9% entre las Emberá; 96.1% para las Gunas y 87.7% las Ngäbe Buglé. </w:t>
      </w:r>
    </w:p>
    <w:p w14:paraId="0719B412" w14:textId="77777777" w:rsidR="00AC161E" w:rsidRPr="005970E9" w:rsidRDefault="00AC161E" w:rsidP="00AC161E">
      <w:pPr>
        <w:spacing w:line="276" w:lineRule="auto"/>
        <w:jc w:val="both"/>
        <w:rPr>
          <w:rFonts w:eastAsia="Century Schoolbook" w:cs="Century Schoolbook"/>
        </w:rPr>
      </w:pPr>
      <w:r w:rsidRPr="005970E9">
        <w:rPr>
          <w:rFonts w:eastAsia="Century Schoolbook" w:cs="Century Schoolbook"/>
        </w:rPr>
        <w:t>Los datos del estudio preliminar sobre Brechas salariales de género en Panamá: 2011-2018, de la investigadora de la Universidad de Panamá Rosa Arrocha, trabajados con Microdatos de la Encuesta de Propósitos múltiples del INEC de marzo 2011 y 2018, identifica cuanto más cobran los hombres respecto a las mujeres, el cálculo se realiza con los salarios por hora</w:t>
      </w:r>
      <w:bookmarkStart w:id="21" w:name="_Hlk42205887"/>
      <w:r w:rsidRPr="005970E9">
        <w:rPr>
          <w:rFonts w:eastAsia="Century Schoolbook" w:cs="Century Schoolbook"/>
        </w:rPr>
        <w:t xml:space="preserve">. Los resultados de las variables socio económicas muestran una </w:t>
      </w:r>
      <w:r w:rsidRPr="005970E9">
        <w:rPr>
          <w:rFonts w:eastAsia="Century Schoolbook" w:cs="Century Schoolbook"/>
        </w:rPr>
        <w:lastRenderedPageBreak/>
        <w:t xml:space="preserve">brecha salarial de género de 14.37% en 2011 y, en 2018 de 10.76% y las variables socioeconómicas más las variables de la empresa un 11.59% en 2011 y 5.54% en 2018, esta reducción de la brecha salarial es aparente, pues el cálculo de la brecha ajustada que incluye las variables socioeconómicas, de las empresas, de las ocupaciones y ramas de la actividad económica no muestran cambios significativos 7.29% y 7.49%, respectivamente, en ocho años las brechas de género ajustadas permanecen imperturbadas.  </w:t>
      </w:r>
      <w:bookmarkEnd w:id="21"/>
    </w:p>
    <w:p w14:paraId="001DD94E" w14:textId="77777777" w:rsidR="00AC161E" w:rsidRPr="005970E9" w:rsidRDefault="00AC161E" w:rsidP="00AC161E">
      <w:pPr>
        <w:spacing w:before="120" w:after="120" w:line="276" w:lineRule="auto"/>
        <w:ind w:right="49"/>
        <w:jc w:val="both"/>
        <w:rPr>
          <w:rFonts w:eastAsia="Century Schoolbook" w:cs="Century Schoolbook"/>
        </w:rPr>
      </w:pPr>
      <w:r w:rsidRPr="005970E9">
        <w:rPr>
          <w:rFonts w:eastAsia="Century Schoolbook" w:cs="Century Schoolbook"/>
        </w:rPr>
        <w:t>Sobre la juventud y el trabajo en el mundo rural las y los jóvenes también viven en condiciones de vulnerabilidad, desempleo elevado, bajos salarios y, la desvalorización en el campo, ha provocado el éxodo hacia las áreas urbanas. Las mujeres jóvenes realizan trabajo de cuidado, pero no se contabiliza ni se valora. La tasa de participación de las mujeres en la juventud es baja y entre los 20-24 años no rebasan el 53%, para los hombres esta tasa va en declive entre 2012 y 2017, al igual que la ocupación.</w:t>
      </w:r>
    </w:p>
    <w:p w14:paraId="142632BF" w14:textId="77777777" w:rsidR="00AC161E" w:rsidRPr="005970E9" w:rsidRDefault="00AC161E" w:rsidP="00AC161E">
      <w:pPr>
        <w:spacing w:before="120" w:after="120" w:line="276" w:lineRule="auto"/>
        <w:jc w:val="both"/>
        <w:rPr>
          <w:rFonts w:eastAsia="Century Schoolbook" w:cs="Century Schoolbook"/>
        </w:rPr>
      </w:pPr>
      <w:r w:rsidRPr="005970E9">
        <w:rPr>
          <w:rFonts w:eastAsia="Century Schoolbook" w:cs="Century Schoolbook"/>
        </w:rPr>
        <w:t>En el campo de la ciencia, la tecnología y la innovación (CTI) se han venido realizando esfuerzos para promover la incorporación de las mujeres, a través de programas e incentivos de apoyo a mujeres científicas, a su vez se ejecutan políticas públicas para incorporar la perspectiva de género a la educación y en el Sistema de CTI, pese a lo cual siguen existiendo brechas de género que mantienen a las mujeres limitadas en el acceso y participación en estas áreas, así como a las posiciones de toma de decisiones en el Sistema CTI. Las mujeres están sobre representadas en las áreas de ciencias sociales y humanísticas y no en las ciencias naturales y exactas, a pesar de sus elevados índices de formación.</w:t>
      </w:r>
    </w:p>
    <w:p w14:paraId="18757FB7" w14:textId="77777777" w:rsidR="00AC161E" w:rsidRPr="005970E9" w:rsidRDefault="00AC161E" w:rsidP="00AC161E">
      <w:pPr>
        <w:spacing w:before="120" w:after="120" w:line="276" w:lineRule="auto"/>
        <w:jc w:val="both"/>
        <w:rPr>
          <w:rFonts w:eastAsia="Century Schoolbook" w:cs="Century Schoolbook"/>
        </w:rPr>
      </w:pPr>
      <w:r w:rsidRPr="005970E9">
        <w:rPr>
          <w:rFonts w:eastAsia="Century Schoolbook" w:cs="Century Schoolbook"/>
        </w:rPr>
        <w:t>Los indicadores educativos para el periodo 2010-2018 muestran los progresos en la educación de las mujeres en Panamá, tales como los niveles de analfabetismo, la matrícula a nivel nacional, los niveles de estudio, feminización de carreras, educación sexual y embarazos a edades tempranas en los centros educativos. De acuerdo con el Censo Nacional de Población y Vivienda del 2010 (INEC), las oportunidades de estudio en la última década mejoraron fundamentalmente, debido a que el analfabetismo disminuyó del 7% a un 5.5%, esto es un aproximado de 148,747 nuevas alfabetas/os.</w:t>
      </w:r>
    </w:p>
    <w:p w14:paraId="6EB14568" w14:textId="77777777" w:rsidR="00AC161E" w:rsidRPr="005970E9" w:rsidRDefault="00AC161E" w:rsidP="00AC161E">
      <w:pPr>
        <w:spacing w:before="120" w:after="120" w:line="276" w:lineRule="auto"/>
        <w:jc w:val="both"/>
        <w:rPr>
          <w:rFonts w:eastAsia="Century Schoolbook" w:cs="Century Schoolbook"/>
        </w:rPr>
      </w:pPr>
      <w:r w:rsidRPr="005970E9">
        <w:rPr>
          <w:rFonts w:eastAsia="Century Schoolbook" w:cs="Century Schoolbook"/>
        </w:rPr>
        <w:t>Un aspecto medular en el desarrollo educativo de las niñas y adolescentes, es la necesidad de implementar de forma urgente la educación sexual, ya que resalta la deserción por causa de embarazos en la premedia, media e inclusive del nivel primario. En relación con lo anterior tenemos que la tasa de fecundidad en adolescentes de 10 - 14 años al 2018 fue de 2.9 por cada 1000 niñas y la tasa de fecundidad de 15 - 19 años fue de 73.4 por cada 1000 mujeres.</w:t>
      </w:r>
    </w:p>
    <w:p w14:paraId="21C0A671" w14:textId="77777777" w:rsidR="00AC161E" w:rsidRPr="005970E9" w:rsidRDefault="00AC161E" w:rsidP="00AC161E">
      <w:pPr>
        <w:shd w:val="clear" w:color="auto" w:fill="FFFFFF"/>
        <w:spacing w:before="120" w:after="120" w:line="276" w:lineRule="auto"/>
        <w:jc w:val="both"/>
      </w:pPr>
      <w:r w:rsidRPr="005970E9">
        <w:rPr>
          <w:rFonts w:eastAsia="Century Schoolbook" w:cs="Century Schoolbook"/>
        </w:rPr>
        <w:t>En el 2015, el 19.6% de los nacimientos vivos ocurrieron en madres adolescentes de 15 – 19 años, no obstante, al 2017 esta cifra se redujo a 17.8%. A pesar de esta leve disminución en 2017, se reportaron 517 nacimientos vivos en madres menores de 15 años.</w:t>
      </w:r>
    </w:p>
    <w:p w14:paraId="76BE0C3F" w14:textId="77777777" w:rsidR="00AC161E" w:rsidRPr="005970E9" w:rsidRDefault="00AC161E" w:rsidP="00AC161E">
      <w:pPr>
        <w:shd w:val="clear" w:color="auto" w:fill="FFFFFF"/>
        <w:spacing w:before="120" w:after="120" w:line="276" w:lineRule="auto"/>
        <w:jc w:val="both"/>
        <w:rPr>
          <w:rFonts w:eastAsia="Century Schoolbook" w:cs="Century Schoolbook"/>
        </w:rPr>
      </w:pPr>
      <w:r w:rsidRPr="005970E9">
        <w:rPr>
          <w:rFonts w:eastAsia="Century Schoolbook" w:cs="Century Schoolbook"/>
        </w:rPr>
        <w:lastRenderedPageBreak/>
        <w:t xml:space="preserve">El aumento del número de embarazos en niñas de 10 a 14 años es un problema de difícil abordaje, legalmente está tipificado como abuso sexual. En este sentido, es importante resaltar entre las causas principales del embarazo a temprana edad: la ausencia de educación sexual en el sistema educativo formal; el abuso sexual a temprana edad; y el limitado acceso a métodos anticonceptivos para la regulación de la fecundidad en tales edades. Estas brechas constituyen importantes desafíos culturales e institucionales a superar. </w:t>
      </w:r>
    </w:p>
    <w:p w14:paraId="73E8CCDD" w14:textId="77777777" w:rsidR="00AC161E" w:rsidRPr="005970E9" w:rsidRDefault="00AC161E" w:rsidP="00AC161E">
      <w:pPr>
        <w:shd w:val="clear" w:color="auto" w:fill="FFFFFF"/>
        <w:spacing w:before="120" w:after="120" w:line="276" w:lineRule="auto"/>
        <w:jc w:val="both"/>
        <w:rPr>
          <w:rFonts w:eastAsia="Century Schoolbook" w:cs="Century Schoolbook"/>
        </w:rPr>
      </w:pPr>
      <w:r w:rsidRPr="005970E9">
        <w:rPr>
          <w:rFonts w:eastAsia="Century Schoolbook" w:cs="Century Schoolbook"/>
        </w:rPr>
        <w:t>Según la Encuesta Nacional de Salud Sexual y Reproductiva (ENASSER 2016) alrededor de seis de cada diez (58.4%) usuarias de anticonceptivos modernos, los obtienen en las instalaciones del sector público. El uso de anticonceptivos modernos por mujeres casadas o unidas de 15 a 49 años entre el 2009 y 2015 disminuyó de 59.3% a 46.4%.</w:t>
      </w:r>
    </w:p>
    <w:p w14:paraId="45081D6A" w14:textId="77777777" w:rsidR="00AC161E" w:rsidRPr="005970E9" w:rsidRDefault="00AC161E" w:rsidP="00AC161E">
      <w:pPr>
        <w:shd w:val="clear" w:color="auto" w:fill="FFFFFF"/>
        <w:spacing w:before="120" w:after="120" w:line="276" w:lineRule="auto"/>
        <w:jc w:val="both"/>
        <w:rPr>
          <w:rFonts w:eastAsia="Century Schoolbook" w:cs="Century Schoolbook"/>
        </w:rPr>
      </w:pPr>
      <w:r w:rsidRPr="005970E9">
        <w:rPr>
          <w:rFonts w:eastAsia="Century Schoolbook" w:cs="Century Schoolbook"/>
        </w:rPr>
        <w:t>La demanda de planificación familiar satisfecha por el uso de métodos modernos entre mujeres casadas o unidas fue de 61.8% y, la necesidad no satisfecha de planificación familiar fue de 24.2%. Sigue existiendo una brecha entre la demanda y la oferta de los métodos anticonceptivos, especialmente, en las mujeres sexualmente activas o casadas en el rango de 15 a 19 años. En este segmento de la población la Demanda de la Planificación Familiar es de 95.3%.</w:t>
      </w:r>
    </w:p>
    <w:p w14:paraId="635D5155" w14:textId="77777777" w:rsidR="00AC161E" w:rsidRPr="005970E9" w:rsidRDefault="00AC161E" w:rsidP="00AC161E">
      <w:pPr>
        <w:shd w:val="clear" w:color="auto" w:fill="FFFFFF"/>
        <w:spacing w:before="120" w:after="120" w:line="276" w:lineRule="auto"/>
        <w:jc w:val="both"/>
      </w:pPr>
      <w:r w:rsidRPr="005970E9">
        <w:rPr>
          <w:rFonts w:eastAsia="Century Schoolbook" w:cs="Century Schoolbook"/>
        </w:rPr>
        <w:t>La tasa de mortalidad materna en el año 2010 por cada 100,000 nacidos vivos fue de 60.3, la misma disminuyó a 53.5 para el 2018, es decir 35 muertes maternas, producto de complicaciones del parto y puerperio, que son principalmente sangrado en el tercer trimestre, ruptura uterina y sepsis puerperal. La brecha entre las áreas con mayor mortalidad materna y las que tienen menos sigue siendo inaceptable.</w:t>
      </w:r>
    </w:p>
    <w:p w14:paraId="0E062451" w14:textId="77777777" w:rsidR="00AC161E" w:rsidRPr="005970E9" w:rsidRDefault="00AC161E" w:rsidP="00AC161E">
      <w:pPr>
        <w:shd w:val="clear" w:color="auto" w:fill="FFFFFF"/>
        <w:spacing w:before="120" w:after="120" w:line="276" w:lineRule="auto"/>
        <w:jc w:val="both"/>
        <w:rPr>
          <w:rFonts w:eastAsia="Century Schoolbook" w:cs="Century Schoolbook"/>
        </w:rPr>
      </w:pPr>
      <w:r w:rsidRPr="005970E9">
        <w:rPr>
          <w:rFonts w:eastAsia="Century Schoolbook" w:cs="Century Schoolbook"/>
        </w:rPr>
        <w:t>La mortalidad materna es mayor en las provincias y comarcas con mayores índices de pobreza como son: 32% en Ngäbe Bugle, 23% en Panamá, seguido del 9% en Bocas del Toro, Panamá Oeste y Coclé; y con el 6% Chiriquí y Kuna Yala; y por último 3% en Herrera y Los Santos respectivamente.</w:t>
      </w:r>
    </w:p>
    <w:p w14:paraId="1CABE343" w14:textId="77777777" w:rsidR="00AC161E" w:rsidRPr="005970E9" w:rsidRDefault="00AC161E" w:rsidP="00AC161E">
      <w:pPr>
        <w:shd w:val="clear" w:color="auto" w:fill="FFFFFF"/>
        <w:spacing w:before="120" w:after="120" w:line="276" w:lineRule="auto"/>
        <w:jc w:val="both"/>
      </w:pPr>
      <w:r w:rsidRPr="005970E9">
        <w:rPr>
          <w:rFonts w:eastAsia="Century Schoolbook" w:cs="Century Schoolbook"/>
        </w:rPr>
        <w:t xml:space="preserve">Este Perfil como puede observarse puntualiza en cuatro dimensiones que abordan en alrededor de dieciséis temas las principales brechas de desigualdad de género. Resaltamos la presencia del trabajo de cuidado como un aspecto medular en la vida de las mujeres que requiere de estrategias redistributivas entre el Estado, el mercado y la familia para lograr la igualdad con equidad y mejorar la calidad de vida de las mujeres y sus arreglos familiares en la actualidad. </w:t>
      </w:r>
    </w:p>
    <w:p w14:paraId="093A3EC9" w14:textId="77777777" w:rsidR="00AC161E" w:rsidRPr="005970E9" w:rsidRDefault="00AC161E" w:rsidP="00AC161E">
      <w:pPr>
        <w:shd w:val="clear" w:color="auto" w:fill="FFFFFF"/>
        <w:spacing w:before="120" w:after="120" w:line="276" w:lineRule="auto"/>
        <w:jc w:val="both"/>
        <w:rPr>
          <w:rFonts w:eastAsia="Roboto" w:cs="Roboto"/>
        </w:rPr>
      </w:pPr>
      <w:r w:rsidRPr="005970E9">
        <w:rPr>
          <w:rFonts w:eastAsia="Roboto" w:cs="Roboto"/>
        </w:rPr>
        <w:t xml:space="preserve">Finalmente, deseamos aclarar, que este estudio se realizó entre noviembre 2019 y marzo 2020, por lo que los datos están actualizados hasta esas fechas. La crisis económica y sanitaria causada por la pandemia, traerá indisolublemente otra realidad al país, por lo que recomendamos la necesidad de actualización del estado de las variables estudiadas con el fin de formulación de Políticas Públicas que respondan a las nuevas condiciones de vida Post Pandemia.   </w:t>
      </w:r>
    </w:p>
    <w:p w14:paraId="1A875666" w14:textId="77777777" w:rsidR="00AC161E" w:rsidRPr="005970E9" w:rsidRDefault="00AC161E" w:rsidP="00AC161E">
      <w:pPr>
        <w:spacing w:line="276" w:lineRule="auto"/>
        <w:rPr>
          <w:rFonts w:eastAsia="Century Schoolbook" w:cs="Century Schoolbook"/>
        </w:rPr>
      </w:pPr>
      <w:r w:rsidRPr="005970E9">
        <w:rPr>
          <w:rFonts w:eastAsia="Century Schoolbook" w:cs="Century Schoolbook"/>
        </w:rPr>
        <w:br w:type="page"/>
      </w:r>
    </w:p>
    <w:p w14:paraId="550A556E" w14:textId="77777777" w:rsidR="00AC161E" w:rsidRPr="005970E9" w:rsidRDefault="00AC161E" w:rsidP="00AC161E">
      <w:pPr>
        <w:pStyle w:val="Heading2"/>
        <w:numPr>
          <w:ilvl w:val="0"/>
          <w:numId w:val="54"/>
        </w:numPr>
        <w:spacing w:line="276" w:lineRule="auto"/>
        <w:rPr>
          <w:color w:val="auto"/>
        </w:rPr>
      </w:pPr>
      <w:bookmarkStart w:id="22" w:name="_Toc42159151"/>
      <w:bookmarkStart w:id="23" w:name="_Toc42549415"/>
      <w:r w:rsidRPr="005970E9">
        <w:rPr>
          <w:color w:val="auto"/>
        </w:rPr>
        <w:lastRenderedPageBreak/>
        <w:t>Finalidad del Perfil de País según Igualdad de Género</w:t>
      </w:r>
      <w:bookmarkEnd w:id="22"/>
      <w:bookmarkEnd w:id="23"/>
    </w:p>
    <w:p w14:paraId="087C36A7" w14:textId="77777777" w:rsidR="00AC161E" w:rsidRPr="005970E9" w:rsidRDefault="00AC161E" w:rsidP="00AC161E">
      <w:pPr>
        <w:pBdr>
          <w:top w:val="nil"/>
          <w:left w:val="nil"/>
          <w:bottom w:val="nil"/>
          <w:right w:val="nil"/>
          <w:between w:val="nil"/>
        </w:pBdr>
        <w:spacing w:before="240" w:after="120" w:line="276" w:lineRule="auto"/>
        <w:jc w:val="both"/>
        <w:rPr>
          <w:rFonts w:eastAsia="Century Schoolbook" w:cs="Century Schoolbook"/>
        </w:rPr>
      </w:pPr>
      <w:r w:rsidRPr="005970E9">
        <w:rPr>
          <w:rFonts w:eastAsia="Century Schoolbook" w:cs="Century Schoolbook"/>
        </w:rPr>
        <w:t xml:space="preserve">El propósito del PPIG es identificar los desafíos que la política pública debe abatir para garantizar los derechos de las mujeres, las niñas, los niños y adolescentes a la igualdad y el empoderamiento. Mostrar los indicadores y metas alineados con los compromisos del país en la Agenda 2030 para el desarrollo sostenible, el cumplimiento de la CEDAW y la legislación panameña pro igualdad. </w:t>
      </w:r>
    </w:p>
    <w:p w14:paraId="20496868" w14:textId="77777777" w:rsidR="00AC161E" w:rsidRPr="005970E9" w:rsidRDefault="00AC161E" w:rsidP="00AC161E">
      <w:pPr>
        <w:pBdr>
          <w:top w:val="nil"/>
          <w:left w:val="nil"/>
          <w:bottom w:val="nil"/>
          <w:right w:val="nil"/>
          <w:between w:val="nil"/>
        </w:pBdr>
        <w:spacing w:before="240" w:after="120" w:line="276" w:lineRule="auto"/>
        <w:jc w:val="both"/>
        <w:rPr>
          <w:rFonts w:eastAsia="Century Schoolbook" w:cs="Century Schoolbook"/>
        </w:rPr>
      </w:pPr>
      <w:r w:rsidRPr="005970E9">
        <w:rPr>
          <w:rFonts w:eastAsia="Century Schoolbook" w:cs="Century Schoolbook"/>
        </w:rPr>
        <w:t xml:space="preserve">Para lograr lo anterior y cumplir con el propósito del PPIG, el presente documento desempeña las siguientes funciones:  </w:t>
      </w:r>
    </w:p>
    <w:p w14:paraId="3B37190D" w14:textId="77777777" w:rsidR="00AC161E" w:rsidRPr="005970E9" w:rsidRDefault="00AC161E" w:rsidP="00AC161E">
      <w:pPr>
        <w:numPr>
          <w:ilvl w:val="0"/>
          <w:numId w:val="2"/>
        </w:numPr>
        <w:pBdr>
          <w:top w:val="nil"/>
          <w:left w:val="nil"/>
          <w:bottom w:val="nil"/>
          <w:right w:val="nil"/>
          <w:between w:val="nil"/>
        </w:pBdr>
        <w:spacing w:before="120" w:after="120" w:line="276" w:lineRule="auto"/>
        <w:jc w:val="both"/>
        <w:rPr>
          <w:rFonts w:eastAsia="Century Schoolbook" w:cs="Century Schoolbook"/>
        </w:rPr>
      </w:pPr>
      <w:r w:rsidRPr="005970E9">
        <w:rPr>
          <w:rFonts w:eastAsia="Century Schoolbook" w:cs="Century Schoolbook"/>
        </w:rPr>
        <w:t>Analiza la situación de los derechos humanos de las mujeres y la persistencia de las brechas de género en el conjunto de la realidad económica, política, social, cultural y ambiental del país y en relación con algunos indicadores latinoamericanos.</w:t>
      </w:r>
    </w:p>
    <w:p w14:paraId="4BC8D533" w14:textId="77777777" w:rsidR="00AC161E" w:rsidRPr="005970E9" w:rsidRDefault="00AC161E" w:rsidP="00AC161E">
      <w:pPr>
        <w:numPr>
          <w:ilvl w:val="0"/>
          <w:numId w:val="2"/>
        </w:numPr>
        <w:pBdr>
          <w:top w:val="nil"/>
          <w:left w:val="nil"/>
          <w:bottom w:val="nil"/>
          <w:right w:val="nil"/>
          <w:between w:val="nil"/>
        </w:pBdr>
        <w:spacing w:before="120" w:after="120" w:line="276" w:lineRule="auto"/>
        <w:jc w:val="both"/>
        <w:rPr>
          <w:rFonts w:eastAsia="Century Schoolbook" w:cs="Century Schoolbook"/>
        </w:rPr>
      </w:pPr>
      <w:r w:rsidRPr="005970E9">
        <w:rPr>
          <w:rFonts w:eastAsia="Century Schoolbook" w:cs="Century Schoolbook"/>
        </w:rPr>
        <w:t>Contribuye con el fortalecimiento de las capacidades nacionales en la formulación de la política pública para la igualdad de género, vinculado a los compromisos del Estado para lograr la paridad y el cierre de brechas de género.</w:t>
      </w:r>
    </w:p>
    <w:p w14:paraId="72A7D852" w14:textId="77777777" w:rsidR="00AC161E" w:rsidRPr="005970E9" w:rsidRDefault="00AC161E" w:rsidP="00AC161E">
      <w:pPr>
        <w:numPr>
          <w:ilvl w:val="0"/>
          <w:numId w:val="2"/>
        </w:numPr>
        <w:pBdr>
          <w:top w:val="nil"/>
          <w:left w:val="nil"/>
          <w:bottom w:val="nil"/>
          <w:right w:val="nil"/>
          <w:between w:val="nil"/>
        </w:pBdr>
        <w:spacing w:before="120" w:after="120" w:line="276" w:lineRule="auto"/>
        <w:jc w:val="both"/>
        <w:rPr>
          <w:rFonts w:eastAsia="Century Schoolbook" w:cs="Century Schoolbook"/>
        </w:rPr>
      </w:pPr>
      <w:r w:rsidRPr="005970E9">
        <w:rPr>
          <w:rFonts w:eastAsia="Century Schoolbook" w:cs="Century Schoolbook"/>
        </w:rPr>
        <w:t>Recomienda al sistema de estadística nacional “¡Que cada mujer cuente!” mediante la producción de estadísticas de género, su actualización constante, el acceso y desarrollo de capacidades para el análisis y difusión para la formulación de políticas públicas.</w:t>
      </w:r>
    </w:p>
    <w:p w14:paraId="2C22B6FA" w14:textId="77777777" w:rsidR="00AC161E" w:rsidRPr="005970E9" w:rsidRDefault="00AC161E" w:rsidP="00AC161E">
      <w:pPr>
        <w:numPr>
          <w:ilvl w:val="0"/>
          <w:numId w:val="2"/>
        </w:numPr>
        <w:pBdr>
          <w:top w:val="nil"/>
          <w:left w:val="nil"/>
          <w:bottom w:val="nil"/>
          <w:right w:val="nil"/>
          <w:between w:val="nil"/>
        </w:pBdr>
        <w:spacing w:before="120" w:after="120" w:line="276" w:lineRule="auto"/>
        <w:jc w:val="both"/>
        <w:rPr>
          <w:rFonts w:eastAsia="Century Schoolbook" w:cs="Century Schoolbook"/>
        </w:rPr>
      </w:pPr>
      <w:r w:rsidRPr="005970E9">
        <w:rPr>
          <w:rFonts w:eastAsia="Century Schoolbook" w:cs="Century Schoolbook"/>
        </w:rPr>
        <w:t>Contribuye a que los esfuerzos de la cooperación sean coherentes con las prioridades gubernamentales y con la incorporación de las demandas de las organizaciones de mujeres, de defensoras/es de derechos humanos, para la transformación del modelo de desarrollo a uno centrado en las mujeres y hombres que componen la sociedad, protegiendo su ambiente y dignificando la vida.</w:t>
      </w:r>
    </w:p>
    <w:p w14:paraId="4AD271F5" w14:textId="77777777" w:rsidR="00AC161E" w:rsidRPr="005970E9" w:rsidRDefault="00AC161E" w:rsidP="00AC161E">
      <w:pPr>
        <w:numPr>
          <w:ilvl w:val="0"/>
          <w:numId w:val="2"/>
        </w:numPr>
        <w:pBdr>
          <w:top w:val="nil"/>
          <w:left w:val="nil"/>
          <w:bottom w:val="nil"/>
          <w:right w:val="nil"/>
          <w:between w:val="nil"/>
        </w:pBdr>
        <w:spacing w:before="120" w:after="120" w:line="276" w:lineRule="auto"/>
        <w:jc w:val="both"/>
        <w:rPr>
          <w:rFonts w:eastAsia="Century Schoolbook" w:cs="Century Schoolbook"/>
        </w:rPr>
      </w:pPr>
      <w:r w:rsidRPr="005970E9">
        <w:rPr>
          <w:rFonts w:eastAsia="Century Schoolbook" w:cs="Century Schoolbook"/>
        </w:rPr>
        <w:t>Favorece el seguimiento y evaluación de los compromisos en la Agenda 2030 para el desarrollo sostenible de la vida humana, considerando a las mujeres en todo el ciclo de vida, desde la infancia, la niñez, la adolescencia, vida adulta y en la vejez.</w:t>
      </w:r>
    </w:p>
    <w:p w14:paraId="066A9561" w14:textId="77777777" w:rsidR="00AC161E" w:rsidRPr="005970E9" w:rsidRDefault="00AC161E" w:rsidP="00AC161E">
      <w:pPr>
        <w:numPr>
          <w:ilvl w:val="0"/>
          <w:numId w:val="2"/>
        </w:numPr>
        <w:pBdr>
          <w:top w:val="nil"/>
          <w:left w:val="nil"/>
          <w:bottom w:val="nil"/>
          <w:right w:val="nil"/>
          <w:between w:val="nil"/>
        </w:pBdr>
        <w:spacing w:before="120" w:after="120" w:line="276" w:lineRule="auto"/>
        <w:jc w:val="both"/>
        <w:rPr>
          <w:rFonts w:eastAsia="Century Schoolbook" w:cs="Century Schoolbook"/>
        </w:rPr>
      </w:pPr>
      <w:r w:rsidRPr="005970E9">
        <w:rPr>
          <w:rFonts w:eastAsia="Century Schoolbook" w:cs="Century Schoolbook"/>
        </w:rPr>
        <w:t>Aporta a la rendición de informe de la CEDAW, el examen de la Plataforma de Acción de Beijing en sus 25 años y al Examen Periódico Universal en la política pública.</w:t>
      </w:r>
    </w:p>
    <w:p w14:paraId="41F167C1" w14:textId="77777777" w:rsidR="00AC161E" w:rsidRPr="005970E9" w:rsidRDefault="00AC161E" w:rsidP="00AC161E">
      <w:pPr>
        <w:numPr>
          <w:ilvl w:val="0"/>
          <w:numId w:val="2"/>
        </w:numPr>
        <w:pBdr>
          <w:top w:val="nil"/>
          <w:left w:val="nil"/>
          <w:bottom w:val="nil"/>
          <w:right w:val="nil"/>
          <w:between w:val="nil"/>
        </w:pBdr>
        <w:spacing w:before="120" w:after="120" w:line="276" w:lineRule="auto"/>
        <w:jc w:val="both"/>
        <w:rPr>
          <w:rFonts w:eastAsia="Century Schoolbook" w:cs="Century Schoolbook"/>
        </w:rPr>
      </w:pPr>
      <w:r w:rsidRPr="005970E9">
        <w:rPr>
          <w:rFonts w:eastAsia="Century Schoolbook" w:cs="Century Schoolbook"/>
        </w:rPr>
        <w:t>Facilita la transversalización de género en el ámbito público y privado poniendo en el centro la igualdad y equidad, teniendo presente las políticas hacia las niñas, niños y adolescentes.</w:t>
      </w:r>
    </w:p>
    <w:p w14:paraId="0CCD1FFB" w14:textId="228FD48D" w:rsidR="00D2099B" w:rsidRPr="005970E9" w:rsidRDefault="00AC161E" w:rsidP="00AC161E">
      <w:pPr>
        <w:numPr>
          <w:ilvl w:val="0"/>
          <w:numId w:val="2"/>
        </w:numPr>
        <w:pBdr>
          <w:top w:val="nil"/>
          <w:left w:val="nil"/>
          <w:bottom w:val="nil"/>
          <w:right w:val="nil"/>
          <w:between w:val="nil"/>
        </w:pBdr>
        <w:spacing w:before="120" w:after="120" w:line="276" w:lineRule="auto"/>
        <w:jc w:val="both"/>
        <w:rPr>
          <w:rFonts w:eastAsia="Century Schoolbook" w:cs="Century Schoolbook"/>
        </w:rPr>
      </w:pPr>
      <w:r w:rsidRPr="005970E9">
        <w:rPr>
          <w:rFonts w:eastAsia="Century Schoolbook" w:cs="Century Schoolbook"/>
        </w:rPr>
        <w:t>Aporta al análisis de la información estadística y a su desagregación para lograr el desarrollo sostenible en las instancias locales y la asignación de recursos de la descentralización para mejorar la vida de las mujeres, las niñas, niños, adolescentes y del grupo familiar. En especial, hacer presente la promesa de redistribución del cuidado y el compromiso estatal en esta tarea.</w:t>
      </w:r>
    </w:p>
    <w:p w14:paraId="3450A259" w14:textId="73A51B16" w:rsidR="00D2099B" w:rsidRPr="005970E9" w:rsidRDefault="00D2099B" w:rsidP="00366B10">
      <w:pPr>
        <w:pStyle w:val="Heading2"/>
        <w:numPr>
          <w:ilvl w:val="0"/>
          <w:numId w:val="54"/>
        </w:numPr>
      </w:pPr>
      <w:bookmarkStart w:id="24" w:name="_Toc42159152"/>
      <w:bookmarkStart w:id="25" w:name="_Toc42549416"/>
      <w:bookmarkEnd w:id="12"/>
      <w:r w:rsidRPr="005970E9">
        <w:lastRenderedPageBreak/>
        <w:t>Metodología PPIG</w:t>
      </w:r>
      <w:bookmarkEnd w:id="24"/>
      <w:bookmarkEnd w:id="25"/>
    </w:p>
    <w:p w14:paraId="1470F2B9" w14:textId="36AAF312" w:rsidR="00D2099B" w:rsidRPr="005970E9" w:rsidRDefault="00D2099B" w:rsidP="00D2099B">
      <w:pPr>
        <w:spacing w:before="240" w:after="120" w:line="276" w:lineRule="auto"/>
        <w:jc w:val="both"/>
        <w:rPr>
          <w:rFonts w:eastAsia="Century Schoolbook" w:cs="Century Schoolbook"/>
        </w:rPr>
      </w:pPr>
      <w:r w:rsidRPr="005970E9">
        <w:rPr>
          <w:rFonts w:eastAsia="Century Schoolbook" w:cs="Century Schoolbook"/>
        </w:rPr>
        <w:t>El Perfil de Igualdad de Género contó con l</w:t>
      </w:r>
      <w:r w:rsidR="00503218" w:rsidRPr="005970E9">
        <w:rPr>
          <w:rFonts w:eastAsia="Century Schoolbook" w:cs="Century Schoolbook"/>
        </w:rPr>
        <w:t>os aportes técnicos y</w:t>
      </w:r>
      <w:r w:rsidRPr="005970E9">
        <w:rPr>
          <w:rFonts w:eastAsia="Century Schoolbook" w:cs="Century Schoolbook"/>
        </w:rPr>
        <w:t xml:space="preserve"> </w:t>
      </w:r>
      <w:r w:rsidR="00503218" w:rsidRPr="005970E9">
        <w:rPr>
          <w:rFonts w:eastAsia="Century Schoolbook" w:cs="Century Schoolbook"/>
        </w:rPr>
        <w:t xml:space="preserve">el </w:t>
      </w:r>
      <w:r w:rsidRPr="005970E9">
        <w:rPr>
          <w:rFonts w:eastAsia="Century Schoolbook" w:cs="Century Schoolbook"/>
        </w:rPr>
        <w:t xml:space="preserve">seguimiento de representantes de los organismos del Sistema de Naciones Unidas en Panamá, ONU Mujeres, PNUD, UNICEF, FAO y UNFPA, y fue realizado con la colaboración de un equipo de investigación multidisciplinario. </w:t>
      </w:r>
    </w:p>
    <w:p w14:paraId="290171C3" w14:textId="77777777" w:rsidR="00503218" w:rsidRPr="005970E9" w:rsidRDefault="00D2099B" w:rsidP="00D2099B">
      <w:pPr>
        <w:spacing w:before="120" w:after="120" w:line="276" w:lineRule="auto"/>
        <w:jc w:val="both"/>
        <w:rPr>
          <w:rFonts w:eastAsia="Century Schoolbook" w:cs="Century Schoolbook"/>
        </w:rPr>
      </w:pPr>
      <w:r w:rsidRPr="005970E9">
        <w:rPr>
          <w:rFonts w:eastAsia="Century Schoolbook" w:cs="Century Schoolbook"/>
        </w:rPr>
        <w:t xml:space="preserve">La elaboración del PPIG se fundamenta en el enfoque de derechos humanos, de género, interseccionalidad y desarrollo sostenible. Tiene dos ejes interrelacionados: la Agenda 2030 para el desarrollo sostenible (ODS) -sus metas e indicadores- y la igualdad y empoderamiento de género. La identificación de los indicadores respecto a las desigualdades que vulneran la vida de las mujeres gira alrededor de cuatro dimensiones: política, social, económica y ambiental, las cuales se detallan en la estructura de este informe. </w:t>
      </w:r>
    </w:p>
    <w:p w14:paraId="4C1C5423" w14:textId="573BB7A7" w:rsidR="00D2099B" w:rsidRPr="005970E9" w:rsidRDefault="00D2099B" w:rsidP="00D2099B">
      <w:pPr>
        <w:spacing w:before="120" w:after="120" w:line="276" w:lineRule="auto"/>
        <w:jc w:val="both"/>
        <w:rPr>
          <w:rFonts w:eastAsia="Century Schoolbook" w:cs="Century Schoolbook"/>
        </w:rPr>
      </w:pPr>
      <w:r w:rsidRPr="005970E9">
        <w:rPr>
          <w:rFonts w:eastAsia="Century Schoolbook" w:cs="Century Schoolbook"/>
        </w:rPr>
        <w:t>En el análisis se transversaliza la situación de las niñas, adolescentes y jóvenes de ambos sexos, visibilizando su condición.</w:t>
      </w:r>
    </w:p>
    <w:p w14:paraId="75D48DA4" w14:textId="309C1206" w:rsidR="00D2099B" w:rsidRPr="005970E9" w:rsidRDefault="00D2099B" w:rsidP="00D2099B">
      <w:pPr>
        <w:spacing w:before="120" w:after="120" w:line="276" w:lineRule="auto"/>
        <w:jc w:val="both"/>
        <w:rPr>
          <w:rFonts w:eastAsia="Century Schoolbook" w:cs="Century Schoolbook"/>
        </w:rPr>
      </w:pPr>
      <w:r w:rsidRPr="005970E9">
        <w:rPr>
          <w:rFonts w:eastAsia="Century Schoolbook" w:cs="Century Schoolbook"/>
        </w:rPr>
        <w:t>La información se recopiló a través de fuentes primarias (entrevistas con expertos/as</w:t>
      </w:r>
      <w:r w:rsidR="00503218" w:rsidRPr="005970E9">
        <w:rPr>
          <w:rFonts w:eastAsia="Century Schoolbook" w:cs="Century Schoolbook"/>
        </w:rPr>
        <w:t xml:space="preserve"> respecto a </w:t>
      </w:r>
      <w:r w:rsidRPr="005970E9">
        <w:rPr>
          <w:rFonts w:eastAsia="Century Schoolbook" w:cs="Century Schoolbook"/>
        </w:rPr>
        <w:t xml:space="preserve">las dimensiones del informe y los temas </w:t>
      </w:r>
      <w:r w:rsidR="00503218" w:rsidRPr="005970E9">
        <w:rPr>
          <w:rFonts w:eastAsia="Century Schoolbook" w:cs="Century Schoolbook"/>
        </w:rPr>
        <w:t>estudiados</w:t>
      </w:r>
      <w:r w:rsidRPr="005970E9">
        <w:rPr>
          <w:rFonts w:eastAsia="Century Schoolbook" w:cs="Century Schoolbook"/>
        </w:rPr>
        <w:t>,</w:t>
      </w:r>
      <w:r w:rsidR="00503218" w:rsidRPr="005970E9">
        <w:rPr>
          <w:rFonts w:eastAsia="Century Schoolbook" w:cs="Century Schoolbook"/>
        </w:rPr>
        <w:t xml:space="preserve"> con</w:t>
      </w:r>
      <w:r w:rsidRPr="005970E9">
        <w:rPr>
          <w:rFonts w:eastAsia="Century Schoolbook" w:cs="Century Schoolbook"/>
        </w:rPr>
        <w:t xml:space="preserve"> representantes de instituciones gubernamentales, ONG’s, sociedad civil, lideresas, y talleres de validación) y fuentes secundarias (estudios, informes gubernamentales, estadísticas oficiales del INEC y de las instituciones que producen datos estadísticos). </w:t>
      </w:r>
    </w:p>
    <w:p w14:paraId="764ABEFE" w14:textId="77777777" w:rsidR="00D2099B" w:rsidRPr="005970E9" w:rsidRDefault="00D2099B" w:rsidP="00D2099B">
      <w:pPr>
        <w:spacing w:before="120" w:after="120" w:line="276" w:lineRule="auto"/>
        <w:jc w:val="both"/>
        <w:rPr>
          <w:rFonts w:eastAsia="Century Schoolbook" w:cs="Century Schoolbook"/>
        </w:rPr>
      </w:pPr>
      <w:r w:rsidRPr="005970E9">
        <w:rPr>
          <w:rFonts w:eastAsia="Century Schoolbook" w:cs="Century Schoolbook"/>
        </w:rPr>
        <w:t xml:space="preserve">La parte cualitativa del Perfil consistió en la realización de entrevistas a funcionarias clave de Mecanismos de Igualdad de Oportunidades y de Género; especialistas y oficiales de programas de organismos de ONU, lideresas indígenas, de organizaciones de mujeres, feministas jóvenes y funcionarias/os de instituciones gubernamentales. </w:t>
      </w:r>
    </w:p>
    <w:p w14:paraId="5E5DC1F8" w14:textId="77777777" w:rsidR="00D2099B" w:rsidRPr="005970E9" w:rsidRDefault="00D2099B" w:rsidP="00D2099B">
      <w:pPr>
        <w:spacing w:before="120" w:after="120" w:line="276" w:lineRule="auto"/>
        <w:jc w:val="both"/>
        <w:rPr>
          <w:rFonts w:eastAsia="Century Schoolbook" w:cs="Century Schoolbook"/>
          <w:b/>
          <w:bCs/>
        </w:rPr>
      </w:pPr>
      <w:r w:rsidRPr="005970E9">
        <w:rPr>
          <w:rFonts w:eastAsia="Century Schoolbook" w:cs="Century Schoolbook"/>
          <w:b/>
          <w:bCs/>
        </w:rPr>
        <w:t>Limitaciones para realizar el informe</w:t>
      </w:r>
    </w:p>
    <w:p w14:paraId="4DE71FF5" w14:textId="7CA62616" w:rsidR="00D2099B" w:rsidRPr="005970E9" w:rsidRDefault="00D2099B" w:rsidP="00D2099B">
      <w:pPr>
        <w:spacing w:before="120" w:after="120" w:line="276" w:lineRule="auto"/>
        <w:jc w:val="both"/>
        <w:rPr>
          <w:rFonts w:eastAsia="Century Schoolbook" w:cs="Century Schoolbook"/>
        </w:rPr>
      </w:pPr>
      <w:r w:rsidRPr="005970E9">
        <w:rPr>
          <w:rFonts w:eastAsia="Century Schoolbook" w:cs="Century Schoolbook"/>
        </w:rPr>
        <w:t>La principal limitación para la elaboración del informe estuvo en las estadísticas nacionales que producen las instituciones públicas, por la falta de desagregación por sexo, origen étnico, afrodescendientes, edad, grupos poblacionales específicos, adultos mayores</w:t>
      </w:r>
      <w:r w:rsidR="00503218" w:rsidRPr="005970E9">
        <w:rPr>
          <w:rFonts w:eastAsia="Century Schoolbook" w:cs="Century Schoolbook"/>
        </w:rPr>
        <w:t xml:space="preserve"> y</w:t>
      </w:r>
      <w:r w:rsidRPr="005970E9">
        <w:rPr>
          <w:rFonts w:eastAsia="Century Schoolbook" w:cs="Century Schoolbook"/>
        </w:rPr>
        <w:t xml:space="preserve"> LGBTI+</w:t>
      </w:r>
      <w:r w:rsidR="00503218" w:rsidRPr="005970E9">
        <w:rPr>
          <w:rFonts w:eastAsia="Century Schoolbook" w:cs="Century Schoolbook"/>
        </w:rPr>
        <w:t>,</w:t>
      </w:r>
      <w:r w:rsidRPr="005970E9">
        <w:rPr>
          <w:rFonts w:eastAsia="Century Schoolbook" w:cs="Century Schoolbook"/>
        </w:rPr>
        <w:t xml:space="preserve"> entre otros</w:t>
      </w:r>
      <w:r w:rsidR="00503218" w:rsidRPr="005970E9">
        <w:rPr>
          <w:rFonts w:eastAsia="Century Schoolbook" w:cs="Century Schoolbook"/>
        </w:rPr>
        <w:t>. F</w:t>
      </w:r>
      <w:r w:rsidRPr="005970E9">
        <w:rPr>
          <w:rFonts w:eastAsia="Century Schoolbook" w:cs="Century Schoolbook"/>
        </w:rPr>
        <w:t xml:space="preserve">alta de datos e indicadores con perspectiva de género, y la periodicidad. </w:t>
      </w:r>
    </w:p>
    <w:p w14:paraId="36C1E42E" w14:textId="77777777" w:rsidR="00D2099B" w:rsidRPr="005970E9" w:rsidRDefault="00D2099B" w:rsidP="00D2099B">
      <w:pPr>
        <w:spacing w:before="120" w:after="120" w:line="276" w:lineRule="auto"/>
        <w:jc w:val="both"/>
        <w:rPr>
          <w:rFonts w:eastAsia="Century Schoolbook" w:cs="Century Schoolbook"/>
        </w:rPr>
      </w:pPr>
      <w:r w:rsidRPr="005970E9">
        <w:rPr>
          <w:rFonts w:eastAsia="Century Schoolbook" w:cs="Century Schoolbook"/>
        </w:rPr>
        <w:t xml:space="preserve">También por las diferencias entre los informes periódicos de algunas instituciones públicas que no siguen la misma metodología o no guardan uniformidad con las variables e indicadores recogidos, lo que no permite hacer comparaciones o dar seguimiento al comportamiento de los datos a través del tiempo. Otro aspecto que crea confusión es la desinformación sobre la metodología utilizada para obtener los datos y realizar los análisis. </w:t>
      </w:r>
    </w:p>
    <w:p w14:paraId="475B7AF3" w14:textId="77777777" w:rsidR="00D2099B" w:rsidRPr="005970E9" w:rsidRDefault="00D2099B" w:rsidP="00D2099B">
      <w:pPr>
        <w:spacing w:before="120" w:after="120" w:line="276" w:lineRule="auto"/>
        <w:jc w:val="both"/>
        <w:rPr>
          <w:rFonts w:eastAsia="Century Schoolbook" w:cs="Century Schoolbook"/>
        </w:rPr>
      </w:pPr>
      <w:r w:rsidRPr="005970E9">
        <w:rPr>
          <w:rFonts w:eastAsia="Century Schoolbook" w:cs="Century Schoolbook"/>
        </w:rPr>
        <w:t xml:space="preserve">El cambio de gobierno realizado apenas unos meses antes de comenzar el informe, fue otro aspecto importante que se sumó a las dificultades encontradas para recabar la información necesaria. En casi todas las instituciones públicas el personal directivo estaba conociendo el desarrollo de la institución, las políticas públicas y los proyectos </w:t>
      </w:r>
      <w:r w:rsidRPr="005970E9">
        <w:rPr>
          <w:rFonts w:eastAsia="Century Schoolbook" w:cs="Century Schoolbook"/>
        </w:rPr>
        <w:lastRenderedPageBreak/>
        <w:t xml:space="preserve">realizados en el período anterior. Y por último la coyuntura con el brote del COVID-19 impidió realizar algunas entrevistas y talleres que estaban programados.    </w:t>
      </w:r>
    </w:p>
    <w:p w14:paraId="5F7B6B05" w14:textId="38024095" w:rsidR="00D2099B" w:rsidRPr="005970E9" w:rsidRDefault="00D2099B" w:rsidP="00366B10">
      <w:pPr>
        <w:pStyle w:val="Heading2"/>
        <w:numPr>
          <w:ilvl w:val="0"/>
          <w:numId w:val="54"/>
        </w:numPr>
      </w:pPr>
      <w:bookmarkStart w:id="26" w:name="_Toc42159153"/>
      <w:bookmarkStart w:id="27" w:name="_Toc42549417"/>
      <w:r w:rsidRPr="005970E9">
        <w:t>Estructura del Perfil de País según Igualdad de Género</w:t>
      </w:r>
      <w:bookmarkEnd w:id="26"/>
      <w:bookmarkEnd w:id="27"/>
    </w:p>
    <w:p w14:paraId="1CC5907C" w14:textId="77777777" w:rsidR="00D2099B" w:rsidRPr="005970E9" w:rsidRDefault="00D2099B" w:rsidP="00D2099B">
      <w:pPr>
        <w:spacing w:before="120" w:after="120" w:line="276" w:lineRule="auto"/>
        <w:jc w:val="both"/>
        <w:rPr>
          <w:rFonts w:eastAsia="Century Schoolbook" w:cs="Century Schoolbook"/>
        </w:rPr>
      </w:pPr>
      <w:r w:rsidRPr="005970E9">
        <w:rPr>
          <w:rFonts w:eastAsia="Century Schoolbook" w:cs="Century Schoolbook"/>
        </w:rPr>
        <w:t>El perfil sobre la igualdad de género está relacionado con el marco que brinda la Agenda 2030 para el Desarrollo Sostenible fundada en los 17 Objetivos de Desarrollo Sostenible (ODS). En particular, se aborda un conjunto de indicadores relacionados con los compromisos de seguimiento por la política pública. El abordaje de género de estos indicadores es importante para conocer el impacto de la igualdad y el empoderamiento de las mujeres en el desarrollo, en consecuencia, permitiría evaluar como la exclusión de las mujeres tiene una elevada repercusión en la sostenibilidad de la vida e identificar que estrategias son más efectivas para cerrar las brechas de género.</w:t>
      </w:r>
    </w:p>
    <w:p w14:paraId="6244AD93" w14:textId="4A871DED" w:rsidR="00D2099B" w:rsidRPr="005970E9" w:rsidRDefault="00D2099B" w:rsidP="00D2099B">
      <w:pPr>
        <w:spacing w:before="120" w:after="120" w:line="276" w:lineRule="auto"/>
        <w:jc w:val="both"/>
        <w:rPr>
          <w:rFonts w:eastAsia="Century Schoolbook" w:cs="Century Schoolbook"/>
        </w:rPr>
      </w:pPr>
      <w:r w:rsidRPr="005970E9">
        <w:rPr>
          <w:rFonts w:eastAsia="Century Schoolbook" w:cs="Century Schoolbook"/>
        </w:rPr>
        <w:t xml:space="preserve">Dejar atrás la desigualdad de género </w:t>
      </w:r>
      <w:r w:rsidR="00503218" w:rsidRPr="005970E9">
        <w:rPr>
          <w:rFonts w:eastAsia="Century Schoolbook" w:cs="Century Schoolbook"/>
        </w:rPr>
        <w:t>implica observar</w:t>
      </w:r>
      <w:r w:rsidR="004A593B" w:rsidRPr="005970E9">
        <w:rPr>
          <w:rFonts w:eastAsia="Century Schoolbook" w:cs="Century Schoolbook"/>
        </w:rPr>
        <w:t xml:space="preserve"> la situación de las relaciones entre mujeres y hombres en </w:t>
      </w:r>
      <w:r w:rsidRPr="005970E9">
        <w:rPr>
          <w:rFonts w:eastAsia="Century Schoolbook" w:cs="Century Schoolbook"/>
        </w:rPr>
        <w:t>todas las esferas de la vida</w:t>
      </w:r>
      <w:r w:rsidR="004A593B" w:rsidRPr="005970E9">
        <w:rPr>
          <w:rFonts w:eastAsia="Century Schoolbook" w:cs="Century Schoolbook"/>
        </w:rPr>
        <w:t xml:space="preserve">. El PPIG está integrado por cuatro </w:t>
      </w:r>
      <w:r w:rsidRPr="005970E9">
        <w:rPr>
          <w:rFonts w:eastAsia="Century Schoolbook" w:cs="Century Schoolbook"/>
        </w:rPr>
        <w:t>dimensiones</w:t>
      </w:r>
      <w:r w:rsidR="004A593B" w:rsidRPr="005970E9">
        <w:rPr>
          <w:rFonts w:eastAsia="Century Schoolbook" w:cs="Century Schoolbook"/>
        </w:rPr>
        <w:t xml:space="preserve">: </w:t>
      </w:r>
      <w:r w:rsidRPr="005970E9">
        <w:rPr>
          <w:rFonts w:eastAsia="Century Schoolbook" w:cs="Century Schoolbook"/>
        </w:rPr>
        <w:t xml:space="preserve">social, económica, política y ambiental. </w:t>
      </w:r>
      <w:r w:rsidR="004A593B" w:rsidRPr="005970E9">
        <w:rPr>
          <w:rFonts w:eastAsia="Century Schoolbook" w:cs="Century Schoolbook"/>
        </w:rPr>
        <w:t xml:space="preserve">El perfil además de una parte preliminar </w:t>
      </w:r>
      <w:r w:rsidRPr="005970E9">
        <w:rPr>
          <w:rFonts w:eastAsia="Century Schoolbook" w:cs="Century Schoolbook"/>
        </w:rPr>
        <w:t xml:space="preserve">referida </w:t>
      </w:r>
      <w:r w:rsidR="004A593B" w:rsidRPr="005970E9">
        <w:rPr>
          <w:rFonts w:eastAsia="Century Schoolbook" w:cs="Century Schoolbook"/>
        </w:rPr>
        <w:t xml:space="preserve">al propósito </w:t>
      </w:r>
      <w:r w:rsidRPr="005970E9">
        <w:rPr>
          <w:rFonts w:eastAsia="Century Schoolbook" w:cs="Century Schoolbook"/>
        </w:rPr>
        <w:t>del Perfil</w:t>
      </w:r>
      <w:r w:rsidR="004A593B" w:rsidRPr="005970E9">
        <w:rPr>
          <w:rFonts w:eastAsia="Century Schoolbook" w:cs="Century Schoolbook"/>
        </w:rPr>
        <w:t>, la metodología con la que se elaboró, tiene una sección primera que presenta el contexto de país</w:t>
      </w:r>
      <w:r w:rsidRPr="005970E9">
        <w:rPr>
          <w:rFonts w:eastAsia="Century Schoolbook" w:cs="Century Schoolbook"/>
        </w:rPr>
        <w:t>, enfocado en lo económico, la coyuntura política y los efectos sociales en relación con la condición de las mujeres, niñas, niños y adolescentes, como de toda la población</w:t>
      </w:r>
      <w:r w:rsidR="004A593B" w:rsidRPr="005970E9">
        <w:rPr>
          <w:rFonts w:eastAsia="Century Schoolbook" w:cs="Century Schoolbook"/>
        </w:rPr>
        <w:t xml:space="preserve"> con referencia al momento prevaleciente al año 2019</w:t>
      </w:r>
      <w:r w:rsidRPr="005970E9">
        <w:rPr>
          <w:rFonts w:eastAsia="Century Schoolbook" w:cs="Century Schoolbook"/>
        </w:rPr>
        <w:t>.</w:t>
      </w:r>
    </w:p>
    <w:p w14:paraId="7FC3DA02" w14:textId="77777777" w:rsidR="00D2099B" w:rsidRPr="005970E9" w:rsidRDefault="00D2099B" w:rsidP="00D2099B">
      <w:pPr>
        <w:spacing w:before="120" w:after="120" w:line="276" w:lineRule="auto"/>
        <w:jc w:val="both"/>
        <w:rPr>
          <w:rFonts w:eastAsia="Century Schoolbook" w:cs="Century Schoolbook"/>
        </w:rPr>
      </w:pPr>
      <w:r w:rsidRPr="005970E9">
        <w:rPr>
          <w:rFonts w:eastAsia="Century Schoolbook" w:cs="Century Schoolbook"/>
        </w:rPr>
        <w:t xml:space="preserve">La segunda parte aborda la dimensión política, los marcos político, jurídico e institucional, como la participación política de las mujeres, la institucionalidad que la regula y el papel del mecanismo nacional para la promoción y ejecución de políticas públicas para la igualdad de género. Los ejes que limitan el cumplimiento de la ley de cuotas y las barreras de la paridad para concluir con la situación de las defensoras de derechos humanos. </w:t>
      </w:r>
    </w:p>
    <w:p w14:paraId="5A86CA6C" w14:textId="77777777" w:rsidR="000131AF" w:rsidRPr="005970E9" w:rsidRDefault="00D2099B" w:rsidP="00D2099B">
      <w:pPr>
        <w:spacing w:before="120" w:after="120" w:line="276" w:lineRule="auto"/>
        <w:jc w:val="both"/>
        <w:rPr>
          <w:rFonts w:eastAsia="Century Schoolbook" w:cs="Century Schoolbook"/>
        </w:rPr>
      </w:pPr>
      <w:r w:rsidRPr="005970E9">
        <w:rPr>
          <w:rFonts w:eastAsia="Century Schoolbook" w:cs="Century Schoolbook"/>
        </w:rPr>
        <w:t xml:space="preserve">La dimensión económica está contenida en la tercera parte, desarrolla la realidad de las mujeres y la ciudadanía en la pobreza multidimensional, se observa la situación de las mujeres sin ingresos propios, y las afectaciones de la pobreza para </w:t>
      </w:r>
      <w:r w:rsidR="000131AF" w:rsidRPr="005970E9">
        <w:rPr>
          <w:rFonts w:eastAsia="Century Schoolbook" w:cs="Century Schoolbook"/>
        </w:rPr>
        <w:t>el</w:t>
      </w:r>
      <w:r w:rsidRPr="005970E9">
        <w:rPr>
          <w:rFonts w:eastAsia="Century Schoolbook" w:cs="Century Schoolbook"/>
        </w:rPr>
        <w:t>las en las áreas urbanas y rurales. Se analiza la situación de las mujeres en el conjunto del empleo, su inserción importante en el empleo informal, además de estar sobre representadas en las peores condiciones de trabajo, deteniéndose el análisis en el peso del trabajo de cuidado y como éste limita todos los derechos de las mujeres. En el ámbito del trabajo remunerado se observan las brechas salariales de género. Se incluye en esta parte lo relacionado con el acceso a la ciencia y la tecnología</w:t>
      </w:r>
      <w:r w:rsidR="000131AF" w:rsidRPr="005970E9">
        <w:rPr>
          <w:rFonts w:eastAsia="Century Schoolbook" w:cs="Century Schoolbook"/>
        </w:rPr>
        <w:t>.</w:t>
      </w:r>
    </w:p>
    <w:p w14:paraId="75E2EF57" w14:textId="3F00E89A" w:rsidR="00D2099B" w:rsidRPr="005970E9" w:rsidRDefault="00D2099B" w:rsidP="00D2099B">
      <w:pPr>
        <w:spacing w:before="120" w:after="120" w:line="276" w:lineRule="auto"/>
        <w:jc w:val="both"/>
        <w:rPr>
          <w:rFonts w:eastAsia="Century Schoolbook" w:cs="Century Schoolbook"/>
        </w:rPr>
      </w:pPr>
      <w:r w:rsidRPr="005970E9">
        <w:rPr>
          <w:rFonts w:eastAsia="Century Schoolbook" w:cs="Century Schoolbook"/>
        </w:rPr>
        <w:t>Una cuarta parte aborda la dimensión social, se enfoca en el análisis de los derechos a la salud de las mujeres y la educación. Analiza las violencias que afectan la vida de las mujeres desde la infancia hasta la edad adulta mayor y se identifica la vulneración de los derechos de jóvenes, niños, niñas</w:t>
      </w:r>
      <w:r w:rsidR="000131AF" w:rsidRPr="005970E9">
        <w:rPr>
          <w:rFonts w:eastAsia="Century Schoolbook" w:cs="Century Schoolbook"/>
        </w:rPr>
        <w:t xml:space="preserve"> y</w:t>
      </w:r>
      <w:r w:rsidRPr="005970E9">
        <w:rPr>
          <w:rFonts w:eastAsia="Century Schoolbook" w:cs="Century Schoolbook"/>
        </w:rPr>
        <w:t xml:space="preserve"> adolescentes</w:t>
      </w:r>
      <w:r w:rsidR="000131AF" w:rsidRPr="005970E9">
        <w:rPr>
          <w:rFonts w:eastAsia="Century Schoolbook" w:cs="Century Schoolbook"/>
        </w:rPr>
        <w:t>;</w:t>
      </w:r>
      <w:r w:rsidRPr="005970E9">
        <w:rPr>
          <w:rFonts w:eastAsia="Century Schoolbook" w:cs="Century Schoolbook"/>
        </w:rPr>
        <w:t xml:space="preserve"> los derechos culturales de la población indígena, afrodescendiente y los riesgos de las migrantes y refugiadas. </w:t>
      </w:r>
      <w:r w:rsidRPr="005970E9">
        <w:rPr>
          <w:rFonts w:eastAsia="Century Schoolbook" w:cs="Century Schoolbook"/>
        </w:rPr>
        <w:lastRenderedPageBreak/>
        <w:t>Concluye con una mirada detenida hacia las mujeres que viven con alguna necesidad especial de atención o discapacidad.</w:t>
      </w:r>
    </w:p>
    <w:p w14:paraId="578B0026" w14:textId="77777777" w:rsidR="00D478B6" w:rsidRPr="005970E9" w:rsidRDefault="00D2099B" w:rsidP="000131AF">
      <w:pPr>
        <w:spacing w:before="120" w:after="120" w:line="276" w:lineRule="auto"/>
        <w:jc w:val="both"/>
        <w:rPr>
          <w:rFonts w:eastAsia="Century Schoolbook" w:cs="Century Schoolbook"/>
        </w:rPr>
      </w:pPr>
      <w:r w:rsidRPr="005970E9">
        <w:rPr>
          <w:rFonts w:eastAsia="Century Schoolbook" w:cs="Century Schoolbook"/>
        </w:rPr>
        <w:t>En quinto lugar, se trata la dimensión ambiental, es un espacio de reflexión muy limitado por la falta de datos, sobre todo por la invisibilidad de las particularidades de género en el tema. Finalmente, en sexto lugar se hace un recuento sucinto del papel de una parte de la cooperación internacional, los compromisos con la igualdad de género y algunos proyectos que han contribuido a la formulación de política pública con capacidad de reducir las desigualdades de género existentes. La sexta parte construye las líneas de acción,</w:t>
      </w:r>
      <w:r w:rsidR="00F743AA" w:rsidRPr="005970E9">
        <w:rPr>
          <w:rFonts w:eastAsia="Century Schoolbook" w:cs="Century Schoolbook"/>
        </w:rPr>
        <w:t xml:space="preserve"> efectos </w:t>
      </w:r>
      <w:r w:rsidRPr="005970E9">
        <w:rPr>
          <w:rFonts w:eastAsia="Century Schoolbook" w:cs="Century Schoolbook"/>
        </w:rPr>
        <w:t>y áreas prioritarias, formuladas a partir de</w:t>
      </w:r>
      <w:r w:rsidR="000131AF" w:rsidRPr="005970E9">
        <w:rPr>
          <w:rFonts w:eastAsia="Century Schoolbook" w:cs="Century Schoolbook"/>
        </w:rPr>
        <w:t xml:space="preserve"> </w:t>
      </w:r>
      <w:r w:rsidRPr="005970E9">
        <w:rPr>
          <w:rFonts w:eastAsia="Century Schoolbook" w:cs="Century Schoolbook"/>
        </w:rPr>
        <w:t>l</w:t>
      </w:r>
      <w:r w:rsidR="000131AF" w:rsidRPr="005970E9">
        <w:rPr>
          <w:rFonts w:eastAsia="Century Schoolbook" w:cs="Century Schoolbook"/>
        </w:rPr>
        <w:t xml:space="preserve">as principales brechas de género </w:t>
      </w:r>
      <w:r w:rsidRPr="005970E9">
        <w:rPr>
          <w:rFonts w:eastAsia="Century Schoolbook" w:cs="Century Schoolbook"/>
        </w:rPr>
        <w:t>que incluye el informe</w:t>
      </w:r>
      <w:r w:rsidR="000131AF" w:rsidRPr="005970E9">
        <w:rPr>
          <w:rFonts w:eastAsia="Century Schoolbook" w:cs="Century Schoolbook"/>
        </w:rPr>
        <w:t>.</w:t>
      </w:r>
    </w:p>
    <w:p w14:paraId="0A919876" w14:textId="3F4869FF" w:rsidR="00D478B6" w:rsidRPr="005970E9" w:rsidRDefault="00D478B6" w:rsidP="00D478B6">
      <w:pPr>
        <w:pStyle w:val="Heading1"/>
        <w:numPr>
          <w:ilvl w:val="0"/>
          <w:numId w:val="56"/>
        </w:numPr>
      </w:pPr>
      <w:bookmarkStart w:id="28" w:name="_Toc42159218"/>
      <w:bookmarkStart w:id="29" w:name="_Toc42549418"/>
      <w:r w:rsidRPr="005970E9">
        <w:t>IGUALDAD DE GENERO EN PANAMA</w:t>
      </w:r>
      <w:bookmarkEnd w:id="28"/>
      <w:bookmarkEnd w:id="29"/>
    </w:p>
    <w:p w14:paraId="0E929480" w14:textId="77777777" w:rsidR="00D478B6" w:rsidRPr="005970E9" w:rsidRDefault="00D478B6" w:rsidP="00D478B6"/>
    <w:p w14:paraId="2857BDBB" w14:textId="67D22948" w:rsidR="00D478B6" w:rsidRPr="005970E9" w:rsidRDefault="00D478B6" w:rsidP="00D478B6">
      <w:pPr>
        <w:pStyle w:val="Heading2"/>
        <w:numPr>
          <w:ilvl w:val="1"/>
          <w:numId w:val="56"/>
        </w:numPr>
      </w:pPr>
      <w:bookmarkStart w:id="30" w:name="_Toc42159219"/>
      <w:bookmarkStart w:id="31" w:name="_Toc42549419"/>
      <w:r w:rsidRPr="005970E9">
        <w:t>Cuestiones generales (desigualdades de género en el sistema social)</w:t>
      </w:r>
      <w:bookmarkEnd w:id="30"/>
      <w:bookmarkEnd w:id="31"/>
    </w:p>
    <w:p w14:paraId="4916707F" w14:textId="77777777" w:rsidR="00D478B6" w:rsidRPr="005970E9" w:rsidRDefault="00D478B6" w:rsidP="00D478B6">
      <w:pPr>
        <w:autoSpaceDE w:val="0"/>
        <w:autoSpaceDN w:val="0"/>
        <w:adjustRightInd w:val="0"/>
        <w:jc w:val="right"/>
        <w:rPr>
          <w:rFonts w:eastAsia="SofiaProRegular" w:cs="SofiaProRegular"/>
          <w:color w:val="E36C0A" w:themeColor="accent6" w:themeShade="BF"/>
          <w:sz w:val="20"/>
          <w:szCs w:val="20"/>
        </w:rPr>
      </w:pPr>
      <w:r w:rsidRPr="005970E9">
        <w:rPr>
          <w:rFonts w:eastAsia="SofiaProRegular" w:cs="SofiaProRegular"/>
          <w:color w:val="E36C0A" w:themeColor="accent6" w:themeShade="BF"/>
          <w:sz w:val="20"/>
          <w:szCs w:val="20"/>
        </w:rPr>
        <w:t>“El seguimiento de los avances en materia de igualdad de género en los ODS requerirá el acceso a datos de género de calidad que se recopilen con frecuencia y a intervalos regulares. Sin embargo, un análisis de la disponibilidad de datos de género sugiere que todavía queda mucho camino por recorrer antes de que se cumpla este criterio. Muchos de los indicadores específicos de género abarcan “ámbitos estadísticos emergentes” en los que los métodos de cálculo no están bien desarrollados, un problema que afecta a un tercio de los indicadores específicos de género. Si bien se ha desarrollado la metodología para casi la mitad de los indicadores específicos de género, los datos nacionales todavía son limitados.”</w:t>
      </w:r>
    </w:p>
    <w:p w14:paraId="7CE68F80" w14:textId="77777777" w:rsidR="00D478B6" w:rsidRPr="005970E9" w:rsidRDefault="00D478B6" w:rsidP="00D478B6">
      <w:pPr>
        <w:autoSpaceDE w:val="0"/>
        <w:autoSpaceDN w:val="0"/>
        <w:adjustRightInd w:val="0"/>
        <w:jc w:val="right"/>
        <w:rPr>
          <w:rFonts w:cs="Arial"/>
          <w:color w:val="E36C0A" w:themeColor="accent6" w:themeShade="BF"/>
          <w:sz w:val="20"/>
          <w:szCs w:val="20"/>
        </w:rPr>
      </w:pPr>
      <w:r w:rsidRPr="005970E9">
        <w:rPr>
          <w:rFonts w:eastAsia="SofiaProRegular" w:cs="SofiaProRegular"/>
          <w:color w:val="E36C0A" w:themeColor="accent6" w:themeShade="BF"/>
          <w:sz w:val="20"/>
          <w:szCs w:val="20"/>
        </w:rPr>
        <w:t>ONU MUJERES, Hacer las promesas realidad.</w:t>
      </w:r>
    </w:p>
    <w:p w14:paraId="341C19C3" w14:textId="77777777" w:rsidR="00D478B6" w:rsidRPr="005970E9" w:rsidRDefault="00D478B6" w:rsidP="00D478B6">
      <w:pPr>
        <w:autoSpaceDE w:val="0"/>
        <w:autoSpaceDN w:val="0"/>
        <w:adjustRightInd w:val="0"/>
        <w:spacing w:before="120" w:after="120" w:line="276" w:lineRule="auto"/>
        <w:jc w:val="both"/>
        <w:rPr>
          <w:rFonts w:cs="Arial"/>
        </w:rPr>
      </w:pPr>
      <w:r w:rsidRPr="005970E9">
        <w:rPr>
          <w:rFonts w:cs="Arial"/>
        </w:rPr>
        <w:t xml:space="preserve">Las relaciones de poder y subordinación de los hombres sobre las mujeres que caracterizan a nuestra sociedad han sido consideradas naturales a través de los siglos, en este sentido el perfil de género desnuda estas relaciones de poder e inequidades y proporciona los insumos necesarios para la formulación de políticas públicas encaminadas al logro de relaciones más equitativas y paritarias. </w:t>
      </w:r>
    </w:p>
    <w:p w14:paraId="351515D9" w14:textId="77777777" w:rsidR="00D478B6" w:rsidRPr="005970E9" w:rsidRDefault="00D478B6" w:rsidP="00D478B6">
      <w:pPr>
        <w:autoSpaceDE w:val="0"/>
        <w:autoSpaceDN w:val="0"/>
        <w:adjustRightInd w:val="0"/>
        <w:spacing w:before="120" w:after="120" w:line="276" w:lineRule="auto"/>
        <w:jc w:val="both"/>
        <w:rPr>
          <w:rFonts w:cs="FuturaLT-Book"/>
        </w:rPr>
      </w:pPr>
      <w:r w:rsidRPr="005970E9">
        <w:rPr>
          <w:rFonts w:cs="FuturaLT-Book"/>
        </w:rPr>
        <w:t>El concepto de género es una categoría de análisis que nos permite comprender por qué y cómo se produce la discriminación contra las mujeres. Nuestra sociedad está constituida de tal forma que existe un sistema de género que establece, regula y organiza los roles que mujeres y hombres deben seguir, así mismo determina cuáles áreas sociales son de competencia de un sexo y cuáles del otro.  El sistema de sexo-género diferencia a las personas y les adjudica roles sociales estereotipados, pero también crea una jerarquía entre ellos, dando privilegios al género masculino, discriminando y subordinando a las mujeres. Esta organización social se expresa en la división sexual del trabajo, que relega a las mujeres al espacio privado del hogar, desvalorizado, mientras que adjudica casi en exclusividad a los varones el espacio público, dotado de poder, valor económico, social y prestigio.</w:t>
      </w:r>
    </w:p>
    <w:p w14:paraId="04F3EEAB" w14:textId="77777777" w:rsidR="00D478B6" w:rsidRPr="005970E9" w:rsidRDefault="00D478B6" w:rsidP="00D478B6">
      <w:pPr>
        <w:autoSpaceDE w:val="0"/>
        <w:autoSpaceDN w:val="0"/>
        <w:adjustRightInd w:val="0"/>
        <w:spacing w:before="120" w:after="120" w:line="276" w:lineRule="auto"/>
        <w:jc w:val="both"/>
        <w:rPr>
          <w:rFonts w:cs="FuturaLT-Book"/>
        </w:rPr>
      </w:pPr>
      <w:r w:rsidRPr="005970E9">
        <w:rPr>
          <w:rFonts w:cs="FuturaLT-Book"/>
        </w:rPr>
        <w:t xml:space="preserve">Por tanto, es el sistema sexo-género el que debe ser cambiado porque genera la desigualdad y la discriminación contra las mujeres. La propia sociedad debe ser el </w:t>
      </w:r>
      <w:r w:rsidRPr="005970E9">
        <w:rPr>
          <w:rFonts w:cs="FuturaLT-Book"/>
        </w:rPr>
        <w:lastRenderedPageBreak/>
        <w:t>agente de cambio, pero también es necesaria que existan políticas de Estado destinadas a impulsar, contribuir y garantizar los cambios sociales necesarios.</w:t>
      </w:r>
    </w:p>
    <w:p w14:paraId="1D17B884" w14:textId="77777777" w:rsidR="00D478B6" w:rsidRPr="005970E9" w:rsidRDefault="00D478B6" w:rsidP="00D478B6">
      <w:pPr>
        <w:autoSpaceDE w:val="0"/>
        <w:autoSpaceDN w:val="0"/>
        <w:adjustRightInd w:val="0"/>
        <w:spacing w:before="120" w:after="120" w:line="276" w:lineRule="auto"/>
        <w:jc w:val="both"/>
        <w:rPr>
          <w:rFonts w:cs="FuturaLT-Book"/>
        </w:rPr>
      </w:pPr>
      <w:r w:rsidRPr="005970E9">
        <w:rPr>
          <w:rFonts w:cs="FuturaLT-Book"/>
        </w:rPr>
        <w:t>El análisis con enfoque o perspectiva de género involucra identificar tanto las necesidades como los intereses que, en función del género, hombres y mujeres tienen de manera diferenciada, reconociendo todas las desigualdades. A su vez, busca entender las diferencias socialmente construidas entre hombres y mujeres e incorporarlas en el diseño de las políticas, programas, proyectos y presupuestos gubernamentales para la superación de las inequidades. De ahí que el principio de la equidad de género busca asegurar que las políticas y los programas gubernamentales beneficien de manera equitativa a las mujeres y a los hombres, a los niños, a las niñas y adolescentes, e implica que los derechos, responsabilidades y oportunidades de las personas no dependan de su condición biológica al nacer.</w:t>
      </w:r>
    </w:p>
    <w:p w14:paraId="320E61BE" w14:textId="77777777" w:rsidR="00D478B6" w:rsidRPr="005970E9" w:rsidRDefault="00D478B6" w:rsidP="00D478B6">
      <w:pPr>
        <w:autoSpaceDE w:val="0"/>
        <w:autoSpaceDN w:val="0"/>
        <w:adjustRightInd w:val="0"/>
        <w:spacing w:before="120" w:after="120" w:line="276" w:lineRule="auto"/>
        <w:jc w:val="both"/>
        <w:rPr>
          <w:rFonts w:cs="Arial"/>
        </w:rPr>
      </w:pPr>
      <w:r w:rsidRPr="005970E9">
        <w:rPr>
          <w:b/>
          <w:bCs/>
        </w:rPr>
        <w:t>La desigualdad de género lesiona la vida de las mujeres, las niñas y las adolescentes de todo el universo</w:t>
      </w:r>
      <w:r w:rsidRPr="005970E9">
        <w:t>.</w:t>
      </w:r>
      <w:r w:rsidRPr="005970E9">
        <w:rPr>
          <w:rFonts w:cs="Arial"/>
        </w:rPr>
        <w:t xml:space="preserve"> También es nociva para la vida de los hombres que a pesar de los muchos beneficios visibles que han gozado históricamente, como los económicos, el poder, el control, y la autoridad, sus derechos espirituales han sido cercenados repercutiendo en comportamientos peligrosos para su propia vida y malsanos que afectan su salud físico – emocional, reduciendo su esperanza de vida.  </w:t>
      </w:r>
    </w:p>
    <w:p w14:paraId="6CC87BEE" w14:textId="77777777" w:rsidR="00D478B6" w:rsidRPr="005970E9" w:rsidRDefault="00D478B6" w:rsidP="00D478B6">
      <w:pPr>
        <w:autoSpaceDE w:val="0"/>
        <w:autoSpaceDN w:val="0"/>
        <w:adjustRightInd w:val="0"/>
        <w:spacing w:line="276" w:lineRule="auto"/>
        <w:jc w:val="both"/>
        <w:rPr>
          <w:rFonts w:cs="FuturaLT-Book"/>
        </w:rPr>
      </w:pPr>
      <w:r w:rsidRPr="005970E9">
        <w:rPr>
          <w:rFonts w:cs="FuturaLT-Book"/>
        </w:rPr>
        <w:t xml:space="preserve">La discriminación entre hombres y mujeres abarca la distribución de bienes, servicios, prestigio y poder.  Cuando existe una desigualdad constante en la distribución de todos los elementos que la sociedad valora positivamente, se puede decir que existe desigualdad de género. En nuestro país se ha comprobado que las mujeres, las niñas y las adolescentes sufren una discriminación que las sitúa en una posición de inferioridad respecto a los varones, y a pesar que existe una Política de Igualdad de Oportunidades desde 1999, la situación persiste.   </w:t>
      </w:r>
    </w:p>
    <w:p w14:paraId="6247455B" w14:textId="4C925B70" w:rsidR="00D478B6" w:rsidRPr="005970E9" w:rsidRDefault="00D478B6" w:rsidP="00D478B6">
      <w:pPr>
        <w:pStyle w:val="Heading2"/>
        <w:numPr>
          <w:ilvl w:val="1"/>
          <w:numId w:val="56"/>
        </w:numPr>
        <w:spacing w:line="276" w:lineRule="auto"/>
      </w:pPr>
      <w:bookmarkStart w:id="32" w:name="_Toc42159220"/>
      <w:bookmarkStart w:id="33" w:name="_Toc42549420"/>
      <w:r w:rsidRPr="005970E9">
        <w:t xml:space="preserve">Transversalización de género o </w:t>
      </w:r>
      <w:r w:rsidRPr="005970E9">
        <w:rPr>
          <w:i/>
        </w:rPr>
        <w:t>mainstreaming</w:t>
      </w:r>
      <w:r w:rsidRPr="005970E9">
        <w:t xml:space="preserve"> de género</w:t>
      </w:r>
      <w:bookmarkEnd w:id="32"/>
      <w:bookmarkEnd w:id="33"/>
    </w:p>
    <w:p w14:paraId="633CA37A" w14:textId="77777777" w:rsidR="00D478B6" w:rsidRPr="005970E9" w:rsidRDefault="00D478B6" w:rsidP="00D478B6">
      <w:pPr>
        <w:autoSpaceDE w:val="0"/>
        <w:autoSpaceDN w:val="0"/>
        <w:adjustRightInd w:val="0"/>
        <w:spacing w:before="120" w:after="120" w:line="276" w:lineRule="auto"/>
        <w:jc w:val="both"/>
        <w:rPr>
          <w:rFonts w:cs="FuturaLT-Book"/>
        </w:rPr>
      </w:pPr>
      <w:r w:rsidRPr="005970E9">
        <w:rPr>
          <w:rFonts w:cs="FuturaLT-Book"/>
        </w:rPr>
        <w:t xml:space="preserve">Se entiende por transversalización la obligatoriedad de planificar, elaborar, estructurar, presupuestar las diversas políticas estatales de manera que se incluya el enfoque de género. Para lo cual es importante: cumplir  con las leyes antidiscriminatorias; establecer mecanismos institucionales; atender a los diversos grupos de mujeres, según su necesidad y diversidad; enfoque de género en los planes de desarrollo económico, en todas las estructuras políticas y administrativas, recursos humanos, procesos de toma de decisiones, planificación de las políticas municipales, elaboración de los presupuestos nacionales, participación comunitaria y relaciones con la sociedad civil organizada, entre otros.   </w:t>
      </w:r>
    </w:p>
    <w:p w14:paraId="28585CFC" w14:textId="77777777" w:rsidR="00D478B6" w:rsidRPr="005970E9" w:rsidRDefault="00D478B6" w:rsidP="00D478B6">
      <w:pPr>
        <w:spacing w:before="120" w:after="120" w:line="276" w:lineRule="auto"/>
        <w:jc w:val="both"/>
        <w:rPr>
          <w:rFonts w:eastAsia="Times New Roman" w:cs="Arial"/>
          <w:color w:val="1E1E1E"/>
          <w:lang w:val="es-ES"/>
        </w:rPr>
      </w:pPr>
      <w:r w:rsidRPr="005970E9">
        <w:rPr>
          <w:rFonts w:eastAsia="Times New Roman" w:cs="Arial"/>
          <w:color w:val="1E1E1E"/>
          <w:lang w:val="es-ES"/>
        </w:rPr>
        <w:t>En el marco de la Igualdad entre mujeres y hombres, es importante desarrollar un proceso de Mainstreaming de Género en las organizaciones y entidades públicas y privadas, para lo cual es primordial la capacitación en género, las estructuras organizativas, el marco normativo y la dirección organizativa.</w:t>
      </w:r>
    </w:p>
    <w:p w14:paraId="60F3E4F8" w14:textId="77777777" w:rsidR="00D478B6" w:rsidRPr="005970E9" w:rsidRDefault="00D478B6" w:rsidP="00D478B6">
      <w:pPr>
        <w:pStyle w:val="NoSpacing"/>
        <w:spacing w:before="120" w:after="120" w:line="276" w:lineRule="auto"/>
        <w:jc w:val="both"/>
        <w:rPr>
          <w:rFonts w:ascii="Century Schoolbook" w:hAnsi="Century Schoolbook" w:cs="Arial"/>
          <w:lang w:val="es-ES"/>
        </w:rPr>
      </w:pPr>
      <w:r w:rsidRPr="005970E9">
        <w:rPr>
          <w:rFonts w:ascii="Century Schoolbook" w:hAnsi="Century Schoolbook" w:cs="FuturaLT-Book"/>
        </w:rPr>
        <w:lastRenderedPageBreak/>
        <w:t>Ir más allá de los estereotipos dominantes es una larga y ardua tarea, pero necesaria, cuando se trata de integrar los roles productivos, reproductivos y del cuidado</w:t>
      </w:r>
      <w:r w:rsidRPr="005970E9">
        <w:rPr>
          <w:rStyle w:val="FootnoteReference"/>
          <w:rFonts w:ascii="Century Schoolbook" w:hAnsi="Century Schoolbook" w:cs="FuturaLT-Book"/>
        </w:rPr>
        <w:footnoteReference w:id="2"/>
      </w:r>
      <w:r w:rsidRPr="005970E9">
        <w:rPr>
          <w:rFonts w:ascii="Century Schoolbook" w:hAnsi="Century Schoolbook" w:cs="FuturaLT-Book"/>
        </w:rPr>
        <w:t xml:space="preserve"> con perspectiva de género.   El </w:t>
      </w:r>
      <w:r w:rsidRPr="005970E9">
        <w:rPr>
          <w:rFonts w:ascii="Century Schoolbook" w:hAnsi="Century Schoolbook"/>
        </w:rPr>
        <w:t>Objetivo de Desarrollo Sostenible número 5 plantea que la i</w:t>
      </w:r>
      <w:r w:rsidRPr="005970E9">
        <w:rPr>
          <w:rFonts w:ascii="Century Schoolbook" w:hAnsi="Century Schoolbook" w:cs="Arial"/>
          <w:lang w:val="es-ES"/>
        </w:rPr>
        <w:t xml:space="preserve">gualdad de género es poner fin a todas las formas de discriminación contra las mujeres y las niñas no solo porque es un derecho humano básico, sino porque es crucial para el desarrollo sostenible. (ODS. Objetivo 5: Igualdad de Género) </w:t>
      </w:r>
    </w:p>
    <w:p w14:paraId="07A3EB7E" w14:textId="77777777" w:rsidR="00D478B6" w:rsidRPr="005970E9" w:rsidRDefault="00D478B6" w:rsidP="00D478B6">
      <w:pPr>
        <w:pStyle w:val="NoSpacing"/>
        <w:spacing w:before="120" w:after="120" w:line="276" w:lineRule="auto"/>
        <w:jc w:val="both"/>
        <w:rPr>
          <w:rFonts w:ascii="Century Schoolbook" w:hAnsi="Century Schoolbook"/>
        </w:rPr>
      </w:pPr>
      <w:r w:rsidRPr="005970E9">
        <w:rPr>
          <w:rFonts w:ascii="Century Schoolbook" w:hAnsi="Century Schoolbook" w:cs="Arial"/>
          <w:lang w:val="es-ES"/>
        </w:rPr>
        <w:t xml:space="preserve">La agenda 2030 para el Desarrollo Sostenible impulsa la igualdad de género y el empoderamiento de todas las mujeres y las niñas a través de un objetivo específico y de forma transversal en otros objetivos. A pesar de la igualdad es reconocida en la constitución y en diferentes instrumentos nacionales desde la Ley 4 de Igualdad de Oportunidades y los avances significativos hechos, persisten discriminaciones hacia las mujeres, las niñas y las adolescentes que van desde las más extremas, como las víctimas de violencia de género y femicidios, hasta las más sutiles en todos los ámbitos, como por el color de la piel, la textura del cabello, y las discapacidades, entre otras.  </w:t>
      </w:r>
    </w:p>
    <w:p w14:paraId="368DFBBE" w14:textId="77777777" w:rsidR="00D478B6" w:rsidRPr="005970E9" w:rsidRDefault="00D478B6" w:rsidP="00D478B6">
      <w:pPr>
        <w:autoSpaceDE w:val="0"/>
        <w:autoSpaceDN w:val="0"/>
        <w:adjustRightInd w:val="0"/>
        <w:spacing w:before="120" w:after="120" w:line="276" w:lineRule="auto"/>
        <w:jc w:val="both"/>
        <w:rPr>
          <w:rFonts w:cs="FuturaLT-Book"/>
        </w:rPr>
      </w:pPr>
      <w:r w:rsidRPr="005970E9">
        <w:rPr>
          <w:rFonts w:cs="FuturaLT-Book"/>
        </w:rPr>
        <w:t>La perspectiva de género, si es real y no queda sólo en el papel, puede contribuir a que las mujeres participen en el diseño, la gestión y la implementación de las políticas públicas, que se integren sus opiniones y que su participación sea en los niveles de poder y toma de decisiones. Es por eso que es imprescindible la perspectiva de género no sólo en los roles y las relaciones personales, sino también en el ámbito institucional y político para el desarrollo y la sostenibilidad de las políticas públicas.</w:t>
      </w:r>
    </w:p>
    <w:p w14:paraId="7FFF7FFC" w14:textId="77777777" w:rsidR="00D478B6" w:rsidRPr="005970E9" w:rsidRDefault="00D478B6" w:rsidP="00D478B6">
      <w:pPr>
        <w:autoSpaceDE w:val="0"/>
        <w:autoSpaceDN w:val="0"/>
        <w:adjustRightInd w:val="0"/>
        <w:spacing w:before="120" w:after="120" w:line="276" w:lineRule="auto"/>
        <w:jc w:val="both"/>
        <w:rPr>
          <w:rFonts w:cs="FuturaLT-Book"/>
        </w:rPr>
      </w:pPr>
      <w:r w:rsidRPr="005970E9">
        <w:rPr>
          <w:rFonts w:cs="FuturaLT-Book"/>
        </w:rPr>
        <w:t>Los nuevos enfoques para la integración del género</w:t>
      </w:r>
      <w:r w:rsidRPr="005970E9">
        <w:rPr>
          <w:rStyle w:val="FootnoteReference"/>
          <w:rFonts w:cs="FuturaLT-Book"/>
        </w:rPr>
        <w:footnoteReference w:id="3"/>
      </w:r>
      <w:r w:rsidRPr="005970E9">
        <w:rPr>
          <w:rFonts w:cs="FuturaLT-Book"/>
        </w:rPr>
        <w:t xml:space="preserve"> promueven presupuestos sensibles y auditorias de género, con el objetivo de escudriñar quién se beneficia de las asignaciones de los recursos. También es un medio poderoso para el monitoreo de los programas y políticas existentes y sirven para crear criterios para las asignaciones presupuestarias de las etapas posteriores. Al mismo tiempo se descubren indicadores de género desarrollados por los y las propias/os beneficiarias/os de las inversiones, que son útiles para medir índices de género y utilizarlos en investigaciones cualitativas que permitan evaluar las mejoras en las áreas de la salud, la productividad, el empoderamiento y el bienestar.  </w:t>
      </w:r>
    </w:p>
    <w:p w14:paraId="07DDF032" w14:textId="77777777" w:rsidR="00D478B6" w:rsidRPr="005970E9" w:rsidRDefault="00D478B6" w:rsidP="00D478B6">
      <w:pPr>
        <w:autoSpaceDE w:val="0"/>
        <w:autoSpaceDN w:val="0"/>
        <w:adjustRightInd w:val="0"/>
        <w:spacing w:before="120" w:after="120" w:line="276" w:lineRule="auto"/>
        <w:jc w:val="both"/>
        <w:rPr>
          <w:rFonts w:cs="Arial"/>
        </w:rPr>
      </w:pPr>
      <w:r w:rsidRPr="005970E9">
        <w:rPr>
          <w:rFonts w:cs="Arial"/>
        </w:rPr>
        <w:t xml:space="preserve">El enfoque de género nos ayuda a comprender las factores sociales e históricos que determinan las desigualdades e inequidades de género y permite vislumbrar el acceso diferenciado que hombres y mujeres tienen al desarrollo en una sociedad que ha fomentado los roles e identidades de género en todas las esferas de la vida. </w:t>
      </w:r>
    </w:p>
    <w:p w14:paraId="68545533" w14:textId="77777777" w:rsidR="00D478B6" w:rsidRPr="005970E9" w:rsidRDefault="00D478B6" w:rsidP="00D478B6">
      <w:pPr>
        <w:autoSpaceDE w:val="0"/>
        <w:autoSpaceDN w:val="0"/>
        <w:adjustRightInd w:val="0"/>
        <w:spacing w:before="120" w:after="120" w:line="276" w:lineRule="auto"/>
        <w:jc w:val="both"/>
        <w:rPr>
          <w:rFonts w:cs="Arial"/>
        </w:rPr>
      </w:pPr>
      <w:r w:rsidRPr="005970E9">
        <w:rPr>
          <w:rFonts w:cs="Arial"/>
        </w:rPr>
        <w:t>La adopción de medidas para mejorar la equidad de género en todas las esferas del desarrollo humano y abordar los derechos de las mujeres, las niñas y las adolescentes es una de las maneras más directas y potentes para reducir las inequidades y garantizar el uso eficaz de los recursos (Vizcarra Bordi, 2008).</w:t>
      </w:r>
    </w:p>
    <w:p w14:paraId="3E3DD729" w14:textId="0A1B61FE" w:rsidR="00D2099B" w:rsidRPr="005970E9" w:rsidRDefault="00D2099B" w:rsidP="000131AF">
      <w:pPr>
        <w:spacing w:before="120" w:after="120" w:line="276" w:lineRule="auto"/>
        <w:jc w:val="both"/>
        <w:rPr>
          <w:rFonts w:eastAsia="Century Schoolbook" w:cs="Century Schoolbook"/>
        </w:rPr>
      </w:pPr>
      <w:r w:rsidRPr="005970E9">
        <w:rPr>
          <w:rFonts w:eastAsia="Century Schoolbook" w:cs="Century Schoolbook"/>
          <w:color w:val="000000"/>
          <w:highlight w:val="lightGray"/>
        </w:rPr>
        <w:lastRenderedPageBreak/>
        <w:br w:type="page"/>
      </w:r>
    </w:p>
    <w:p w14:paraId="3F496514" w14:textId="4AD796D4" w:rsidR="00B76B0C" w:rsidRPr="005970E9" w:rsidRDefault="00D478B6" w:rsidP="00D478B6">
      <w:pPr>
        <w:pStyle w:val="Heading2"/>
        <w:numPr>
          <w:ilvl w:val="1"/>
          <w:numId w:val="56"/>
        </w:numPr>
      </w:pPr>
      <w:bookmarkStart w:id="34" w:name="_Toc42159014"/>
      <w:bookmarkStart w:id="35" w:name="_Toc42159154"/>
      <w:bookmarkStart w:id="36" w:name="_Toc42159809"/>
      <w:bookmarkStart w:id="37" w:name="_Toc42159155"/>
      <w:bookmarkStart w:id="38" w:name="_Toc42549421"/>
      <w:bookmarkEnd w:id="34"/>
      <w:bookmarkEnd w:id="35"/>
      <w:bookmarkEnd w:id="36"/>
      <w:r w:rsidRPr="005970E9">
        <w:lastRenderedPageBreak/>
        <w:t xml:space="preserve">Contexto </w:t>
      </w:r>
      <w:bookmarkEnd w:id="37"/>
      <w:r w:rsidRPr="005970E9">
        <w:t>de país</w:t>
      </w:r>
      <w:bookmarkEnd w:id="38"/>
      <w:r w:rsidRPr="005970E9">
        <w:t xml:space="preserve"> </w:t>
      </w:r>
    </w:p>
    <w:tbl>
      <w:tblPr>
        <w:tblpPr w:leftFromText="141" w:rightFromText="141" w:vertAnchor="text" w:tblpXSpec="right" w:tblpY="681"/>
        <w:tblOverlap w:val="never"/>
        <w:tblW w:w="5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709"/>
        <w:gridCol w:w="708"/>
        <w:gridCol w:w="1852"/>
        <w:gridCol w:w="18"/>
      </w:tblGrid>
      <w:tr w:rsidR="00565E54" w:rsidRPr="005970E9" w14:paraId="0F05CB38" w14:textId="3D572526" w:rsidTr="00971EB0">
        <w:trPr>
          <w:gridAfter w:val="1"/>
          <w:wAfter w:w="18" w:type="dxa"/>
        </w:trPr>
        <w:tc>
          <w:tcPr>
            <w:tcW w:w="2410" w:type="dxa"/>
            <w:shd w:val="clear" w:color="auto" w:fill="E8D9F3"/>
            <w:tcMar>
              <w:left w:w="103" w:type="dxa"/>
            </w:tcMar>
          </w:tcPr>
          <w:p w14:paraId="7DB77A4B" w14:textId="77777777" w:rsidR="00D32AA2" w:rsidRPr="005970E9" w:rsidRDefault="00D32AA2" w:rsidP="00D32AA2">
            <w:pPr>
              <w:pBdr>
                <w:top w:val="nil"/>
                <w:left w:val="nil"/>
                <w:bottom w:val="nil"/>
                <w:right w:val="nil"/>
                <w:between w:val="nil"/>
              </w:pBdr>
              <w:spacing w:before="120" w:line="276" w:lineRule="auto"/>
              <w:jc w:val="center"/>
              <w:rPr>
                <w:color w:val="000000"/>
                <w:sz w:val="24"/>
              </w:rPr>
            </w:pPr>
            <w:bookmarkStart w:id="39" w:name="_tyjcwt" w:colFirst="0" w:colLast="0"/>
            <w:bookmarkEnd w:id="39"/>
            <w:r w:rsidRPr="005970E9">
              <w:rPr>
                <w:color w:val="000000" w:themeColor="text1"/>
                <w:sz w:val="20"/>
              </w:rPr>
              <w:t>Tasa de crecimiento</w:t>
            </w:r>
          </w:p>
        </w:tc>
        <w:tc>
          <w:tcPr>
            <w:tcW w:w="709" w:type="dxa"/>
            <w:shd w:val="clear" w:color="auto" w:fill="E8D9F3"/>
            <w:tcMar>
              <w:left w:w="103" w:type="dxa"/>
            </w:tcMar>
          </w:tcPr>
          <w:p w14:paraId="02DB7AC6" w14:textId="77777777" w:rsidR="00D32AA2" w:rsidRPr="005970E9" w:rsidRDefault="00D32AA2" w:rsidP="00D32AA2">
            <w:pPr>
              <w:pBdr>
                <w:top w:val="nil"/>
                <w:left w:val="nil"/>
                <w:bottom w:val="nil"/>
                <w:right w:val="nil"/>
                <w:between w:val="nil"/>
              </w:pBdr>
              <w:spacing w:before="120" w:line="276" w:lineRule="auto"/>
              <w:jc w:val="center"/>
              <w:rPr>
                <w:color w:val="000000"/>
                <w:sz w:val="24"/>
              </w:rPr>
            </w:pPr>
            <w:bookmarkStart w:id="40" w:name="_3dy6vkm" w:colFirst="0" w:colLast="0"/>
            <w:bookmarkEnd w:id="40"/>
            <w:r w:rsidRPr="005970E9">
              <w:rPr>
                <w:color w:val="000000" w:themeColor="text1"/>
                <w:sz w:val="20"/>
              </w:rPr>
              <w:t>2019</w:t>
            </w:r>
          </w:p>
        </w:tc>
        <w:tc>
          <w:tcPr>
            <w:tcW w:w="708" w:type="dxa"/>
            <w:shd w:val="clear" w:color="auto" w:fill="E8D9F3"/>
            <w:tcMar>
              <w:left w:w="103" w:type="dxa"/>
            </w:tcMar>
          </w:tcPr>
          <w:p w14:paraId="3901A438" w14:textId="77777777" w:rsidR="00D32AA2" w:rsidRPr="005970E9" w:rsidRDefault="00D32AA2" w:rsidP="00D32AA2">
            <w:pPr>
              <w:pBdr>
                <w:top w:val="nil"/>
                <w:left w:val="nil"/>
                <w:bottom w:val="nil"/>
                <w:right w:val="nil"/>
                <w:between w:val="nil"/>
              </w:pBdr>
              <w:spacing w:before="120" w:line="276" w:lineRule="auto"/>
              <w:jc w:val="center"/>
              <w:rPr>
                <w:color w:val="000000"/>
                <w:sz w:val="24"/>
              </w:rPr>
            </w:pPr>
            <w:bookmarkStart w:id="41" w:name="_1t3h5sf" w:colFirst="0" w:colLast="0"/>
            <w:bookmarkEnd w:id="41"/>
            <w:r w:rsidRPr="005970E9">
              <w:rPr>
                <w:color w:val="000000" w:themeColor="text1"/>
                <w:sz w:val="20"/>
              </w:rPr>
              <w:t>2020</w:t>
            </w:r>
          </w:p>
        </w:tc>
        <w:tc>
          <w:tcPr>
            <w:tcW w:w="1852" w:type="dxa"/>
            <w:shd w:val="clear" w:color="auto" w:fill="E8D9F3"/>
          </w:tcPr>
          <w:p w14:paraId="5338FCB8" w14:textId="5100393C" w:rsidR="00D32AA2" w:rsidRPr="005970E9" w:rsidRDefault="00103247" w:rsidP="00094139">
            <w:pPr>
              <w:pBdr>
                <w:top w:val="nil"/>
                <w:left w:val="nil"/>
                <w:bottom w:val="nil"/>
                <w:right w:val="nil"/>
                <w:between w:val="nil"/>
              </w:pBdr>
              <w:spacing w:before="120" w:line="276" w:lineRule="auto"/>
              <w:jc w:val="center"/>
              <w:rPr>
                <w:color w:val="000000" w:themeColor="text1"/>
                <w:sz w:val="20"/>
              </w:rPr>
            </w:pPr>
            <w:r w:rsidRPr="005970E9">
              <w:rPr>
                <w:color w:val="000000" w:themeColor="text1"/>
                <w:sz w:val="20"/>
              </w:rPr>
              <w:t>Contracción por</w:t>
            </w:r>
            <w:r w:rsidR="00D32AA2" w:rsidRPr="005970E9">
              <w:rPr>
                <w:color w:val="000000" w:themeColor="text1"/>
                <w:sz w:val="20"/>
              </w:rPr>
              <w:t xml:space="preserve"> COVID</w:t>
            </w:r>
            <w:r w:rsidRPr="005970E9">
              <w:rPr>
                <w:color w:val="000000" w:themeColor="text1"/>
                <w:sz w:val="20"/>
              </w:rPr>
              <w:t>-19</w:t>
            </w:r>
            <w:r w:rsidR="00565E54" w:rsidRPr="005970E9">
              <w:rPr>
                <w:color w:val="000000" w:themeColor="text1"/>
                <w:sz w:val="20"/>
              </w:rPr>
              <w:t xml:space="preserve">, </w:t>
            </w:r>
            <w:r w:rsidR="00D32AA2" w:rsidRPr="005970E9">
              <w:rPr>
                <w:color w:val="000000" w:themeColor="text1"/>
                <w:sz w:val="20"/>
              </w:rPr>
              <w:t>2020</w:t>
            </w:r>
          </w:p>
        </w:tc>
      </w:tr>
      <w:tr w:rsidR="00565E54" w:rsidRPr="005970E9" w14:paraId="0D1EA0E0" w14:textId="4C43F77C" w:rsidTr="00971EB0">
        <w:trPr>
          <w:gridAfter w:val="1"/>
          <w:wAfter w:w="18" w:type="dxa"/>
        </w:trPr>
        <w:tc>
          <w:tcPr>
            <w:tcW w:w="2410" w:type="dxa"/>
            <w:shd w:val="clear" w:color="auto" w:fill="E8D9F3"/>
            <w:tcMar>
              <w:left w:w="103" w:type="dxa"/>
            </w:tcMar>
          </w:tcPr>
          <w:p w14:paraId="272C0D35" w14:textId="77777777" w:rsidR="00D32AA2" w:rsidRPr="005970E9" w:rsidRDefault="00D32AA2" w:rsidP="00D32AA2">
            <w:pPr>
              <w:pBdr>
                <w:top w:val="nil"/>
                <w:left w:val="nil"/>
                <w:bottom w:val="nil"/>
                <w:right w:val="nil"/>
                <w:between w:val="nil"/>
              </w:pBdr>
              <w:spacing w:before="120" w:line="276" w:lineRule="auto"/>
              <w:rPr>
                <w:color w:val="000000" w:themeColor="text1"/>
                <w:sz w:val="20"/>
              </w:rPr>
            </w:pPr>
            <w:bookmarkStart w:id="42" w:name="_4d34og8" w:colFirst="0" w:colLast="0"/>
            <w:bookmarkEnd w:id="42"/>
            <w:r w:rsidRPr="005970E9">
              <w:rPr>
                <w:color w:val="000000" w:themeColor="text1"/>
                <w:sz w:val="20"/>
              </w:rPr>
              <w:t>PIB Mundial (BM)</w:t>
            </w:r>
          </w:p>
          <w:p w14:paraId="6C51E9C6" w14:textId="02D18EEC" w:rsidR="00EA4652" w:rsidRPr="005970E9" w:rsidRDefault="00EA4652" w:rsidP="00F743AA">
            <w:pPr>
              <w:pBdr>
                <w:top w:val="nil"/>
                <w:left w:val="nil"/>
                <w:bottom w:val="nil"/>
                <w:right w:val="nil"/>
                <w:between w:val="nil"/>
              </w:pBdr>
              <w:spacing w:line="276" w:lineRule="auto"/>
              <w:rPr>
                <w:color w:val="000000"/>
                <w:sz w:val="24"/>
              </w:rPr>
            </w:pPr>
            <w:r w:rsidRPr="005970E9">
              <w:rPr>
                <w:color w:val="000000" w:themeColor="text1"/>
                <w:sz w:val="20"/>
              </w:rPr>
              <w:t>Fondo Monetario Internacional</w:t>
            </w:r>
            <w:r w:rsidR="00161E64" w:rsidRPr="005970E9">
              <w:rPr>
                <w:color w:val="000000" w:themeColor="text1"/>
                <w:sz w:val="20"/>
              </w:rPr>
              <w:t xml:space="preserve"> (FMI)</w:t>
            </w:r>
          </w:p>
        </w:tc>
        <w:tc>
          <w:tcPr>
            <w:tcW w:w="709" w:type="dxa"/>
            <w:shd w:val="clear" w:color="auto" w:fill="E8D9F3"/>
            <w:tcMar>
              <w:left w:w="103" w:type="dxa"/>
            </w:tcMar>
          </w:tcPr>
          <w:p w14:paraId="1D82473E" w14:textId="77777777" w:rsidR="00D32AA2" w:rsidRPr="005970E9" w:rsidRDefault="00D32AA2" w:rsidP="00D32AA2">
            <w:pPr>
              <w:pBdr>
                <w:top w:val="nil"/>
                <w:left w:val="nil"/>
                <w:bottom w:val="nil"/>
                <w:right w:val="nil"/>
                <w:between w:val="nil"/>
              </w:pBdr>
              <w:spacing w:before="120" w:line="276" w:lineRule="auto"/>
              <w:jc w:val="right"/>
              <w:rPr>
                <w:color w:val="000000"/>
                <w:sz w:val="24"/>
              </w:rPr>
            </w:pPr>
            <w:bookmarkStart w:id="43" w:name="_2s8eyo1" w:colFirst="0" w:colLast="0"/>
            <w:bookmarkEnd w:id="43"/>
            <w:r w:rsidRPr="005970E9">
              <w:rPr>
                <w:color w:val="000000" w:themeColor="text1"/>
                <w:sz w:val="20"/>
              </w:rPr>
              <w:t>2.4%</w:t>
            </w:r>
          </w:p>
        </w:tc>
        <w:tc>
          <w:tcPr>
            <w:tcW w:w="708" w:type="dxa"/>
            <w:shd w:val="clear" w:color="auto" w:fill="E8D9F3"/>
            <w:tcMar>
              <w:left w:w="103" w:type="dxa"/>
            </w:tcMar>
          </w:tcPr>
          <w:p w14:paraId="29F3E82C" w14:textId="2C521687" w:rsidR="00D32AA2" w:rsidRPr="005970E9" w:rsidRDefault="00D32AA2" w:rsidP="00D32AA2">
            <w:pPr>
              <w:pBdr>
                <w:top w:val="nil"/>
                <w:left w:val="nil"/>
                <w:bottom w:val="nil"/>
                <w:right w:val="nil"/>
                <w:between w:val="nil"/>
              </w:pBdr>
              <w:spacing w:before="120" w:line="276" w:lineRule="auto"/>
              <w:jc w:val="right"/>
              <w:rPr>
                <w:color w:val="000000"/>
                <w:sz w:val="24"/>
              </w:rPr>
            </w:pPr>
            <w:bookmarkStart w:id="44" w:name="_17dp8vu" w:colFirst="0" w:colLast="0"/>
            <w:bookmarkEnd w:id="44"/>
            <w:r w:rsidRPr="005970E9">
              <w:rPr>
                <w:color w:val="000000" w:themeColor="text1"/>
                <w:sz w:val="20"/>
              </w:rPr>
              <w:t>2.5%</w:t>
            </w:r>
          </w:p>
        </w:tc>
        <w:tc>
          <w:tcPr>
            <w:tcW w:w="1852" w:type="dxa"/>
            <w:shd w:val="clear" w:color="auto" w:fill="E8D9F3"/>
          </w:tcPr>
          <w:p w14:paraId="4259C3F8" w14:textId="77777777" w:rsidR="00EA4652" w:rsidRPr="005970E9" w:rsidRDefault="00EA4652" w:rsidP="00D32AA2">
            <w:pPr>
              <w:pBdr>
                <w:top w:val="nil"/>
                <w:left w:val="nil"/>
                <w:bottom w:val="nil"/>
                <w:right w:val="nil"/>
                <w:between w:val="nil"/>
              </w:pBdr>
              <w:spacing w:before="120" w:line="276" w:lineRule="auto"/>
              <w:jc w:val="right"/>
              <w:rPr>
                <w:color w:val="000000" w:themeColor="text1"/>
                <w:sz w:val="20"/>
              </w:rPr>
            </w:pPr>
          </w:p>
          <w:p w14:paraId="667A2550" w14:textId="08BFE6DA" w:rsidR="00D32AA2" w:rsidRPr="005970E9" w:rsidRDefault="00103247" w:rsidP="00971EB0">
            <w:pPr>
              <w:pBdr>
                <w:top w:val="nil"/>
                <w:left w:val="nil"/>
                <w:bottom w:val="nil"/>
                <w:right w:val="nil"/>
                <w:between w:val="nil"/>
              </w:pBdr>
              <w:spacing w:line="276" w:lineRule="auto"/>
              <w:jc w:val="right"/>
              <w:rPr>
                <w:color w:val="000000" w:themeColor="text1"/>
                <w:sz w:val="20"/>
              </w:rPr>
            </w:pPr>
            <w:r w:rsidRPr="005970E9">
              <w:rPr>
                <w:color w:val="000000" w:themeColor="text1"/>
                <w:sz w:val="20"/>
              </w:rPr>
              <w:t>-3</w:t>
            </w:r>
            <w:r w:rsidR="00D32AA2" w:rsidRPr="005970E9">
              <w:rPr>
                <w:color w:val="000000" w:themeColor="text1"/>
                <w:sz w:val="20"/>
              </w:rPr>
              <w:t>%</w:t>
            </w:r>
          </w:p>
        </w:tc>
      </w:tr>
      <w:tr w:rsidR="00565E54" w:rsidRPr="005970E9" w14:paraId="7FD5C315" w14:textId="76F66306" w:rsidTr="00971EB0">
        <w:trPr>
          <w:gridAfter w:val="1"/>
          <w:wAfter w:w="18" w:type="dxa"/>
        </w:trPr>
        <w:tc>
          <w:tcPr>
            <w:tcW w:w="2410" w:type="dxa"/>
            <w:shd w:val="clear" w:color="auto" w:fill="E8D9F3"/>
            <w:tcMar>
              <w:left w:w="103" w:type="dxa"/>
            </w:tcMar>
          </w:tcPr>
          <w:p w14:paraId="6B0E7063" w14:textId="77777777" w:rsidR="00D32AA2" w:rsidRPr="005970E9" w:rsidRDefault="00D32AA2" w:rsidP="00D32AA2">
            <w:pPr>
              <w:pBdr>
                <w:top w:val="nil"/>
                <w:left w:val="nil"/>
                <w:bottom w:val="nil"/>
                <w:right w:val="nil"/>
                <w:between w:val="nil"/>
              </w:pBdr>
              <w:spacing w:before="120" w:line="276" w:lineRule="auto"/>
              <w:rPr>
                <w:color w:val="000000"/>
                <w:sz w:val="24"/>
              </w:rPr>
            </w:pPr>
            <w:bookmarkStart w:id="45" w:name="_3rdcrjn" w:colFirst="0" w:colLast="0"/>
            <w:bookmarkEnd w:id="45"/>
            <w:r w:rsidRPr="005970E9">
              <w:rPr>
                <w:color w:val="000000" w:themeColor="text1"/>
                <w:sz w:val="20"/>
              </w:rPr>
              <w:t>PIB América Latina y el Caribe (CEPAL)</w:t>
            </w:r>
          </w:p>
        </w:tc>
        <w:tc>
          <w:tcPr>
            <w:tcW w:w="709" w:type="dxa"/>
            <w:shd w:val="clear" w:color="auto" w:fill="E8D9F3"/>
            <w:tcMar>
              <w:left w:w="103" w:type="dxa"/>
            </w:tcMar>
            <w:vAlign w:val="center"/>
          </w:tcPr>
          <w:p w14:paraId="23FA7CF4" w14:textId="77777777" w:rsidR="00D32AA2" w:rsidRPr="005970E9" w:rsidRDefault="00D32AA2" w:rsidP="0007542D">
            <w:pPr>
              <w:pBdr>
                <w:top w:val="nil"/>
                <w:left w:val="nil"/>
                <w:bottom w:val="nil"/>
                <w:right w:val="nil"/>
                <w:between w:val="nil"/>
              </w:pBdr>
              <w:spacing w:before="120" w:line="276" w:lineRule="auto"/>
              <w:jc w:val="right"/>
              <w:rPr>
                <w:color w:val="000000"/>
                <w:sz w:val="24"/>
              </w:rPr>
            </w:pPr>
            <w:bookmarkStart w:id="46" w:name="_26in1rg" w:colFirst="0" w:colLast="0"/>
            <w:bookmarkEnd w:id="46"/>
            <w:r w:rsidRPr="005970E9">
              <w:rPr>
                <w:color w:val="000000" w:themeColor="text1"/>
                <w:sz w:val="20"/>
              </w:rPr>
              <w:t>0.1%</w:t>
            </w:r>
          </w:p>
        </w:tc>
        <w:tc>
          <w:tcPr>
            <w:tcW w:w="708" w:type="dxa"/>
            <w:shd w:val="clear" w:color="auto" w:fill="E8D9F3"/>
            <w:tcMar>
              <w:left w:w="103" w:type="dxa"/>
            </w:tcMar>
            <w:vAlign w:val="center"/>
          </w:tcPr>
          <w:p w14:paraId="5B986133" w14:textId="77777777" w:rsidR="00D32AA2" w:rsidRPr="005970E9" w:rsidRDefault="00D32AA2" w:rsidP="0007542D">
            <w:pPr>
              <w:pBdr>
                <w:top w:val="nil"/>
                <w:left w:val="nil"/>
                <w:bottom w:val="nil"/>
                <w:right w:val="nil"/>
                <w:between w:val="nil"/>
              </w:pBdr>
              <w:spacing w:before="120" w:line="276" w:lineRule="auto"/>
              <w:jc w:val="right"/>
              <w:rPr>
                <w:color w:val="000000"/>
                <w:sz w:val="24"/>
              </w:rPr>
            </w:pPr>
            <w:bookmarkStart w:id="47" w:name="_lnxbz9" w:colFirst="0" w:colLast="0"/>
            <w:bookmarkEnd w:id="47"/>
            <w:r w:rsidRPr="005970E9">
              <w:rPr>
                <w:color w:val="000000" w:themeColor="text1"/>
                <w:sz w:val="20"/>
              </w:rPr>
              <w:t>1.3%</w:t>
            </w:r>
          </w:p>
        </w:tc>
        <w:tc>
          <w:tcPr>
            <w:tcW w:w="1852" w:type="dxa"/>
            <w:shd w:val="clear" w:color="auto" w:fill="E8D9F3"/>
            <w:vAlign w:val="center"/>
          </w:tcPr>
          <w:p w14:paraId="6541CBC6" w14:textId="50B6B664" w:rsidR="00D32AA2" w:rsidRPr="005970E9" w:rsidRDefault="00103247" w:rsidP="0007542D">
            <w:pPr>
              <w:pBdr>
                <w:top w:val="nil"/>
                <w:left w:val="nil"/>
                <w:bottom w:val="nil"/>
                <w:right w:val="nil"/>
                <w:between w:val="nil"/>
              </w:pBdr>
              <w:spacing w:before="120" w:line="276" w:lineRule="auto"/>
              <w:jc w:val="right"/>
              <w:rPr>
                <w:color w:val="000000" w:themeColor="text1"/>
                <w:sz w:val="20"/>
              </w:rPr>
            </w:pPr>
            <w:r w:rsidRPr="005970E9">
              <w:rPr>
                <w:color w:val="000000" w:themeColor="text1"/>
                <w:sz w:val="20"/>
              </w:rPr>
              <w:t>-</w:t>
            </w:r>
            <w:r w:rsidR="00EA4652" w:rsidRPr="005970E9">
              <w:rPr>
                <w:color w:val="000000" w:themeColor="text1"/>
                <w:sz w:val="20"/>
              </w:rPr>
              <w:t>5</w:t>
            </w:r>
            <w:r w:rsidR="00D32AA2" w:rsidRPr="005970E9">
              <w:rPr>
                <w:color w:val="000000" w:themeColor="text1"/>
                <w:sz w:val="20"/>
              </w:rPr>
              <w:t>.</w:t>
            </w:r>
            <w:r w:rsidR="00EA4652" w:rsidRPr="005970E9">
              <w:rPr>
                <w:color w:val="000000" w:themeColor="text1"/>
                <w:sz w:val="20"/>
              </w:rPr>
              <w:t>3</w:t>
            </w:r>
            <w:r w:rsidRPr="005970E9">
              <w:rPr>
                <w:color w:val="000000" w:themeColor="text1"/>
                <w:sz w:val="20"/>
              </w:rPr>
              <w:t>%</w:t>
            </w:r>
          </w:p>
        </w:tc>
      </w:tr>
      <w:tr w:rsidR="00565E54" w:rsidRPr="005970E9" w14:paraId="7FF22955" w14:textId="283348AB" w:rsidTr="00971EB0">
        <w:trPr>
          <w:gridAfter w:val="1"/>
          <w:wAfter w:w="18" w:type="dxa"/>
        </w:trPr>
        <w:tc>
          <w:tcPr>
            <w:tcW w:w="2410" w:type="dxa"/>
            <w:shd w:val="clear" w:color="auto" w:fill="E8D9F3"/>
            <w:tcMar>
              <w:left w:w="103" w:type="dxa"/>
            </w:tcMar>
          </w:tcPr>
          <w:p w14:paraId="46A9E980" w14:textId="77777777" w:rsidR="00D32AA2" w:rsidRPr="005970E9" w:rsidRDefault="00D32AA2" w:rsidP="00D32AA2">
            <w:pPr>
              <w:pBdr>
                <w:top w:val="nil"/>
                <w:left w:val="nil"/>
                <w:bottom w:val="nil"/>
                <w:right w:val="nil"/>
                <w:between w:val="nil"/>
              </w:pBdr>
              <w:spacing w:before="120" w:line="276" w:lineRule="auto"/>
              <w:rPr>
                <w:color w:val="000000"/>
                <w:sz w:val="24"/>
              </w:rPr>
            </w:pPr>
            <w:bookmarkStart w:id="48" w:name="_35nkun2" w:colFirst="0" w:colLast="0"/>
            <w:bookmarkEnd w:id="48"/>
            <w:r w:rsidRPr="005970E9">
              <w:rPr>
                <w:color w:val="000000" w:themeColor="text1"/>
                <w:sz w:val="20"/>
              </w:rPr>
              <w:t>PIB Panamá (CEPAL)</w:t>
            </w:r>
          </w:p>
        </w:tc>
        <w:tc>
          <w:tcPr>
            <w:tcW w:w="709" w:type="dxa"/>
            <w:shd w:val="clear" w:color="auto" w:fill="E8D9F3"/>
            <w:tcMar>
              <w:left w:w="103" w:type="dxa"/>
            </w:tcMar>
            <w:vAlign w:val="center"/>
          </w:tcPr>
          <w:p w14:paraId="7F6FAA7D" w14:textId="77777777" w:rsidR="00D32AA2" w:rsidRPr="005970E9" w:rsidRDefault="00D32AA2" w:rsidP="0007542D">
            <w:pPr>
              <w:pBdr>
                <w:top w:val="nil"/>
                <w:left w:val="nil"/>
                <w:bottom w:val="nil"/>
                <w:right w:val="nil"/>
                <w:between w:val="nil"/>
              </w:pBdr>
              <w:spacing w:before="120" w:line="276" w:lineRule="auto"/>
              <w:jc w:val="right"/>
              <w:rPr>
                <w:color w:val="000000"/>
                <w:sz w:val="24"/>
              </w:rPr>
            </w:pPr>
            <w:bookmarkStart w:id="49" w:name="_1ksv4uv" w:colFirst="0" w:colLast="0"/>
            <w:bookmarkEnd w:id="49"/>
            <w:r w:rsidRPr="005970E9">
              <w:rPr>
                <w:color w:val="000000" w:themeColor="text1"/>
                <w:sz w:val="20"/>
              </w:rPr>
              <w:t>3.5%</w:t>
            </w:r>
          </w:p>
        </w:tc>
        <w:tc>
          <w:tcPr>
            <w:tcW w:w="708" w:type="dxa"/>
            <w:shd w:val="clear" w:color="auto" w:fill="E8D9F3"/>
            <w:tcMar>
              <w:left w:w="103" w:type="dxa"/>
            </w:tcMar>
            <w:vAlign w:val="center"/>
          </w:tcPr>
          <w:p w14:paraId="79EC7930" w14:textId="77777777" w:rsidR="00D32AA2" w:rsidRPr="005970E9" w:rsidRDefault="00D32AA2" w:rsidP="0007542D">
            <w:pPr>
              <w:pBdr>
                <w:top w:val="nil"/>
                <w:left w:val="nil"/>
                <w:bottom w:val="nil"/>
                <w:right w:val="nil"/>
                <w:between w:val="nil"/>
              </w:pBdr>
              <w:spacing w:before="120" w:line="276" w:lineRule="auto"/>
              <w:jc w:val="right"/>
              <w:rPr>
                <w:color w:val="000000"/>
                <w:sz w:val="24"/>
              </w:rPr>
            </w:pPr>
            <w:bookmarkStart w:id="50" w:name="_44sinio" w:colFirst="0" w:colLast="0"/>
            <w:bookmarkEnd w:id="50"/>
            <w:r w:rsidRPr="005970E9">
              <w:rPr>
                <w:color w:val="000000" w:themeColor="text1"/>
                <w:sz w:val="20"/>
              </w:rPr>
              <w:t>3.8%</w:t>
            </w:r>
          </w:p>
        </w:tc>
        <w:tc>
          <w:tcPr>
            <w:tcW w:w="1852" w:type="dxa"/>
            <w:shd w:val="clear" w:color="auto" w:fill="E8D9F3"/>
          </w:tcPr>
          <w:p w14:paraId="52778483" w14:textId="09F3FED3" w:rsidR="00D32AA2" w:rsidRPr="005970E9" w:rsidRDefault="00103247" w:rsidP="00D32AA2">
            <w:pPr>
              <w:pBdr>
                <w:top w:val="nil"/>
                <w:left w:val="nil"/>
                <w:bottom w:val="nil"/>
                <w:right w:val="nil"/>
                <w:between w:val="nil"/>
              </w:pBdr>
              <w:spacing w:before="120" w:line="276" w:lineRule="auto"/>
              <w:jc w:val="right"/>
              <w:rPr>
                <w:color w:val="000000" w:themeColor="text1"/>
                <w:sz w:val="20"/>
              </w:rPr>
            </w:pPr>
            <w:r w:rsidRPr="005970E9">
              <w:rPr>
                <w:color w:val="000000" w:themeColor="text1"/>
                <w:sz w:val="20"/>
              </w:rPr>
              <w:t>-2%</w:t>
            </w:r>
          </w:p>
        </w:tc>
      </w:tr>
      <w:tr w:rsidR="00D32AA2" w:rsidRPr="005970E9" w14:paraId="7248ADDD" w14:textId="4E237EDD" w:rsidTr="00971EB0">
        <w:tc>
          <w:tcPr>
            <w:tcW w:w="5697" w:type="dxa"/>
            <w:gridSpan w:val="5"/>
            <w:shd w:val="clear" w:color="auto" w:fill="E8D9F3"/>
            <w:tcMar>
              <w:left w:w="103" w:type="dxa"/>
            </w:tcMar>
          </w:tcPr>
          <w:p w14:paraId="14AD9766" w14:textId="227039DA" w:rsidR="00D32AA2" w:rsidRPr="005970E9" w:rsidRDefault="00D32AA2" w:rsidP="00971EB0">
            <w:pPr>
              <w:pBdr>
                <w:top w:val="nil"/>
                <w:left w:val="nil"/>
                <w:bottom w:val="nil"/>
                <w:right w:val="nil"/>
                <w:between w:val="nil"/>
              </w:pBdr>
              <w:spacing w:before="120" w:line="276" w:lineRule="auto"/>
              <w:jc w:val="both"/>
              <w:rPr>
                <w:color w:val="000000"/>
                <w:sz w:val="20"/>
              </w:rPr>
            </w:pPr>
            <w:bookmarkStart w:id="51" w:name="_2jxsxqh" w:colFirst="0" w:colLast="0"/>
            <w:bookmarkEnd w:id="51"/>
            <w:r w:rsidRPr="005970E9">
              <w:rPr>
                <w:color w:val="000000" w:themeColor="text1"/>
                <w:sz w:val="20"/>
              </w:rPr>
              <w:t>La situación económica provocada por el COVID</w:t>
            </w:r>
            <w:r w:rsidR="00E52584" w:rsidRPr="005970E9">
              <w:rPr>
                <w:color w:val="000000" w:themeColor="text1"/>
                <w:sz w:val="20"/>
              </w:rPr>
              <w:t>-</w:t>
            </w:r>
            <w:r w:rsidRPr="005970E9">
              <w:rPr>
                <w:color w:val="000000" w:themeColor="text1"/>
                <w:sz w:val="20"/>
              </w:rPr>
              <w:t>19, ha cambiado drásticamente las estimaciones de crecimiento de la región, CEPAL considera que el PIB tendrá una caída de 5.3%.</w:t>
            </w:r>
            <w:r w:rsidR="00313217" w:rsidRPr="005970E9">
              <w:rPr>
                <w:rStyle w:val="FootnoteReference"/>
                <w:color w:val="000000" w:themeColor="text1"/>
                <w:sz w:val="20"/>
              </w:rPr>
              <w:footnoteReference w:id="4"/>
            </w:r>
            <w:r w:rsidR="00161E64" w:rsidRPr="005970E9">
              <w:rPr>
                <w:color w:val="000000" w:themeColor="text1"/>
                <w:sz w:val="20"/>
              </w:rPr>
              <w:t xml:space="preserve"> Los efectos en el producto mundial</w:t>
            </w:r>
            <w:r w:rsidR="00E52584" w:rsidRPr="005970E9">
              <w:rPr>
                <w:color w:val="000000" w:themeColor="text1"/>
                <w:sz w:val="20"/>
              </w:rPr>
              <w:t xml:space="preserve"> lo</w:t>
            </w:r>
            <w:r w:rsidR="00161E64" w:rsidRPr="005970E9">
              <w:rPr>
                <w:color w:val="000000" w:themeColor="text1"/>
                <w:sz w:val="20"/>
              </w:rPr>
              <w:t xml:space="preserve"> contrae en tres por ciento, según el FMI. Las afectaciones en los flujos de mercancías, en el comercio mundial</w:t>
            </w:r>
            <w:r w:rsidR="00565E54" w:rsidRPr="005970E9">
              <w:rPr>
                <w:color w:val="000000" w:themeColor="text1"/>
                <w:sz w:val="20"/>
              </w:rPr>
              <w:t>, la paralización de importantes actividades asociadas al comercio y el turismo,</w:t>
            </w:r>
            <w:r w:rsidR="00161E64" w:rsidRPr="005970E9">
              <w:rPr>
                <w:color w:val="000000" w:themeColor="text1"/>
                <w:sz w:val="20"/>
              </w:rPr>
              <w:t xml:space="preserve"> incrementarán el desempleo y sumirán en la pobreza y la indigencia a millones de personas.</w:t>
            </w:r>
          </w:p>
          <w:p w14:paraId="6295E816" w14:textId="77777777" w:rsidR="00D32AA2" w:rsidRPr="005970E9" w:rsidRDefault="00D32AA2" w:rsidP="00971EB0">
            <w:pPr>
              <w:pBdr>
                <w:top w:val="nil"/>
                <w:left w:val="nil"/>
                <w:bottom w:val="nil"/>
                <w:right w:val="nil"/>
                <w:between w:val="nil"/>
              </w:pBdr>
              <w:spacing w:before="120" w:line="276" w:lineRule="auto"/>
              <w:jc w:val="both"/>
              <w:rPr>
                <w:b/>
                <w:color w:val="000000"/>
                <w:sz w:val="24"/>
              </w:rPr>
            </w:pPr>
            <w:r w:rsidRPr="005970E9">
              <w:rPr>
                <w:b/>
                <w:color w:val="000000" w:themeColor="text1"/>
                <w:sz w:val="20"/>
              </w:rPr>
              <w:t>Contexto mundial y latinoamericano</w:t>
            </w:r>
          </w:p>
          <w:p w14:paraId="42C6C5FE" w14:textId="22CFF343" w:rsidR="00D32AA2" w:rsidRPr="005970E9" w:rsidRDefault="00D32AA2" w:rsidP="00971EB0">
            <w:pPr>
              <w:pBdr>
                <w:top w:val="nil"/>
                <w:left w:val="nil"/>
                <w:bottom w:val="nil"/>
                <w:right w:val="nil"/>
                <w:between w:val="nil"/>
              </w:pBdr>
              <w:spacing w:before="120" w:line="276" w:lineRule="auto"/>
              <w:jc w:val="both"/>
              <w:rPr>
                <w:color w:val="000000" w:themeColor="text1"/>
                <w:sz w:val="20"/>
              </w:rPr>
            </w:pPr>
            <w:r w:rsidRPr="005970E9">
              <w:rPr>
                <w:color w:val="000000" w:themeColor="text1"/>
                <w:sz w:val="20"/>
              </w:rPr>
              <w:t xml:space="preserve">En 2019 el crecimiento mundial fue de 2.4% según el Banco Mundial y 2.5% para la CEPAL. Las economías desarrolladas y las emergentes no logran la reactivación del PIB, las debilidades y los riesgos apuntan a la baja. Las tasas de endeudamiento mundial alcanzaron un 320% del PIB, provocado por tasas de interés bajas. CEPAL considera que el crecimiento para el corto y mediano plazo está comprometido. Para América Latina y el </w:t>
            </w:r>
            <w:r w:rsidR="00E52584" w:rsidRPr="005970E9">
              <w:rPr>
                <w:color w:val="000000" w:themeColor="text1"/>
                <w:sz w:val="20"/>
              </w:rPr>
              <w:t>C</w:t>
            </w:r>
            <w:r w:rsidRPr="005970E9">
              <w:rPr>
                <w:color w:val="000000" w:themeColor="text1"/>
                <w:sz w:val="20"/>
              </w:rPr>
              <w:t>aribe la desaceleración está impactada por los conflictos de sus dos socios comerciales, Estados Unidos y China recrudeciendo las relaciones de intercambio. La caída de los precios de las materias primas en 2019 fue de 5,0%. Ambas potencias dan cuenta del 50% del desarrollo económico mundial por tanto el conflicto lo estanca (Xinyu, 2019). En Centro y Suramérica el endeudamiento público en junio de 2019, se ubicó en torno al 41%y el 45% del PIB, respectivamente.” (CEPAL, 2019).</w:t>
            </w:r>
          </w:p>
        </w:tc>
      </w:tr>
    </w:tbl>
    <w:p w14:paraId="56F16D2E" w14:textId="02CD0BFA" w:rsidR="00384DA2" w:rsidRPr="005970E9" w:rsidRDefault="00384DA2" w:rsidP="006B3BCC">
      <w:pPr>
        <w:spacing w:before="240"/>
        <w:rPr>
          <w:b/>
          <w:bCs/>
          <w:color w:val="000000"/>
        </w:rPr>
      </w:pPr>
      <w:r w:rsidRPr="005970E9">
        <w:rPr>
          <w:b/>
          <w:bCs/>
        </w:rPr>
        <w:t>La coyuntura actual</w:t>
      </w:r>
    </w:p>
    <w:p w14:paraId="4B070DF8" w14:textId="15907A26" w:rsidR="00B76B0C" w:rsidRPr="005970E9" w:rsidRDefault="007C6883" w:rsidP="13A5C01D">
      <w:pPr>
        <w:pBdr>
          <w:top w:val="nil"/>
          <w:left w:val="nil"/>
          <w:bottom w:val="nil"/>
          <w:right w:val="nil"/>
          <w:between w:val="nil"/>
        </w:pBdr>
        <w:spacing w:before="120" w:after="120" w:line="276" w:lineRule="auto"/>
        <w:jc w:val="both"/>
        <w:rPr>
          <w:color w:val="000000"/>
        </w:rPr>
      </w:pPr>
      <w:r w:rsidRPr="005970E9">
        <w:rPr>
          <w:color w:val="000000" w:themeColor="text1"/>
        </w:rPr>
        <w:t>En el momento de realizar este Perfil la comunidad mundial, de la que Panamá es parte, ha estado sacudida por la pandemia del COVID</w:t>
      </w:r>
      <w:r w:rsidR="00EA4652" w:rsidRPr="005970E9">
        <w:rPr>
          <w:color w:val="000000" w:themeColor="text1"/>
        </w:rPr>
        <w:t>-</w:t>
      </w:r>
      <w:r w:rsidRPr="005970E9">
        <w:rPr>
          <w:color w:val="000000" w:themeColor="text1"/>
        </w:rPr>
        <w:t xml:space="preserve">19, hecho que se une al contexto socio político. Este tendrá un impacto importante en la vida de las mujeres, en razón de las desigualdades y los riesgos que </w:t>
      </w:r>
      <w:r w:rsidR="00EA4652" w:rsidRPr="005970E9">
        <w:rPr>
          <w:color w:val="000000" w:themeColor="text1"/>
        </w:rPr>
        <w:t xml:space="preserve">tiene </w:t>
      </w:r>
      <w:r w:rsidRPr="005970E9">
        <w:rPr>
          <w:color w:val="000000" w:themeColor="text1"/>
        </w:rPr>
        <w:t>para su salud y una vida libre de violencia. Afecta no solo su movilidad, sino el incremento de la sobrecarga de trabajo de cuidado, las condiciones de violencia</w:t>
      </w:r>
      <w:r w:rsidR="004D4CF6" w:rsidRPr="005970E9">
        <w:rPr>
          <w:color w:val="000000" w:themeColor="text1"/>
        </w:rPr>
        <w:t>, la condición de salud física</w:t>
      </w:r>
      <w:r w:rsidR="00EA4652" w:rsidRPr="005970E9">
        <w:rPr>
          <w:color w:val="000000" w:themeColor="text1"/>
        </w:rPr>
        <w:t>,</w:t>
      </w:r>
      <w:r w:rsidR="004D4CF6" w:rsidRPr="005970E9">
        <w:rPr>
          <w:color w:val="000000" w:themeColor="text1"/>
        </w:rPr>
        <w:t xml:space="preserve"> emocional</w:t>
      </w:r>
      <w:r w:rsidRPr="005970E9">
        <w:rPr>
          <w:color w:val="000000" w:themeColor="text1"/>
        </w:rPr>
        <w:t xml:space="preserve"> </w:t>
      </w:r>
      <w:r w:rsidR="00EA4652" w:rsidRPr="005970E9">
        <w:rPr>
          <w:color w:val="000000" w:themeColor="text1"/>
        </w:rPr>
        <w:t xml:space="preserve">y mental </w:t>
      </w:r>
      <w:r w:rsidRPr="005970E9">
        <w:rPr>
          <w:color w:val="000000" w:themeColor="text1"/>
        </w:rPr>
        <w:t>y</w:t>
      </w:r>
      <w:r w:rsidR="00EA4652" w:rsidRPr="005970E9">
        <w:rPr>
          <w:color w:val="000000" w:themeColor="text1"/>
        </w:rPr>
        <w:t>,</w:t>
      </w:r>
      <w:r w:rsidRPr="005970E9">
        <w:rPr>
          <w:color w:val="000000" w:themeColor="text1"/>
        </w:rPr>
        <w:t xml:space="preserve"> sin duda</w:t>
      </w:r>
      <w:r w:rsidR="004D4CF6" w:rsidRPr="005970E9">
        <w:rPr>
          <w:color w:val="000000" w:themeColor="text1"/>
        </w:rPr>
        <w:t>,</w:t>
      </w:r>
      <w:r w:rsidRPr="005970E9">
        <w:rPr>
          <w:color w:val="000000" w:themeColor="text1"/>
        </w:rPr>
        <w:t xml:space="preserve"> la inestabilidad y </w:t>
      </w:r>
      <w:r w:rsidR="00EA4652" w:rsidRPr="005970E9">
        <w:rPr>
          <w:color w:val="000000" w:themeColor="text1"/>
        </w:rPr>
        <w:t xml:space="preserve">la </w:t>
      </w:r>
      <w:r w:rsidRPr="005970E9">
        <w:rPr>
          <w:color w:val="000000" w:themeColor="text1"/>
        </w:rPr>
        <w:t>ausencia de los ingresos económicos para sostener su vida.</w:t>
      </w:r>
    </w:p>
    <w:p w14:paraId="0D87D7B7" w14:textId="74228497" w:rsidR="004D4CF6" w:rsidRPr="005970E9" w:rsidRDefault="004D4CF6" w:rsidP="00315539">
      <w:pPr>
        <w:pBdr>
          <w:top w:val="nil"/>
          <w:left w:val="nil"/>
          <w:bottom w:val="nil"/>
          <w:right w:val="nil"/>
          <w:between w:val="nil"/>
        </w:pBdr>
        <w:spacing w:before="120" w:after="120" w:line="276" w:lineRule="auto"/>
        <w:jc w:val="both"/>
        <w:rPr>
          <w:color w:val="000000" w:themeColor="text1"/>
        </w:rPr>
      </w:pPr>
      <w:r w:rsidRPr="005970E9">
        <w:rPr>
          <w:color w:val="000000" w:themeColor="text1"/>
        </w:rPr>
        <w:t xml:space="preserve">La coyuntura COVID19, en efecto, tendrá impacto en el contexto socio-político y económico, lo que hace indispensable hacer viable </w:t>
      </w:r>
      <w:r w:rsidR="00384DA2" w:rsidRPr="005970E9">
        <w:rPr>
          <w:color w:val="000000" w:themeColor="text1"/>
        </w:rPr>
        <w:t>los propósitos</w:t>
      </w:r>
      <w:r w:rsidRPr="005970E9">
        <w:rPr>
          <w:color w:val="000000" w:themeColor="text1"/>
        </w:rPr>
        <w:t xml:space="preserve"> de la Agenda 2030 de desarrollo sostenible</w:t>
      </w:r>
      <w:r w:rsidR="00CB0228" w:rsidRPr="005970E9">
        <w:rPr>
          <w:color w:val="000000" w:themeColor="text1"/>
        </w:rPr>
        <w:t xml:space="preserve">, favoreciendo que, posterior a la pandemia, los derechos de </w:t>
      </w:r>
      <w:r w:rsidR="00384DA2" w:rsidRPr="005970E9">
        <w:rPr>
          <w:color w:val="000000" w:themeColor="text1"/>
        </w:rPr>
        <w:t>todas</w:t>
      </w:r>
      <w:r w:rsidR="193D7E28" w:rsidRPr="005970E9">
        <w:rPr>
          <w:color w:val="000000" w:themeColor="text1"/>
        </w:rPr>
        <w:t xml:space="preserve"> </w:t>
      </w:r>
      <w:r w:rsidR="193D7E28" w:rsidRPr="005970E9">
        <w:rPr>
          <w:rFonts w:eastAsia="Century Schoolbook" w:cs="Century Schoolbook"/>
          <w:color w:val="000000" w:themeColor="text1"/>
        </w:rPr>
        <w:t>las</w:t>
      </w:r>
      <w:r w:rsidR="00384DA2" w:rsidRPr="005970E9">
        <w:rPr>
          <w:rFonts w:eastAsia="Century Schoolbook" w:cs="Century Schoolbook"/>
          <w:color w:val="000000" w:themeColor="text1"/>
        </w:rPr>
        <w:t xml:space="preserve"> </w:t>
      </w:r>
      <w:r w:rsidR="00384DA2" w:rsidRPr="005970E9">
        <w:rPr>
          <w:color w:val="000000" w:themeColor="text1"/>
        </w:rPr>
        <w:t>personas</w:t>
      </w:r>
      <w:r w:rsidR="00CB0228" w:rsidRPr="005970E9">
        <w:rPr>
          <w:color w:val="000000" w:themeColor="text1"/>
        </w:rPr>
        <w:t xml:space="preserve"> sean el centro de la política pública. </w:t>
      </w:r>
      <w:r w:rsidR="00161E64" w:rsidRPr="005970E9">
        <w:rPr>
          <w:color w:val="000000" w:themeColor="text1"/>
        </w:rPr>
        <w:t>Para más detalles sobre el impacto de la pandemia en las mujeres en Panamá ver (ONU Mujeres, 2020)</w:t>
      </w:r>
      <w:r w:rsidR="00315539" w:rsidRPr="005970E9">
        <w:rPr>
          <w:color w:val="000000" w:themeColor="text1"/>
        </w:rPr>
        <w:t>.</w:t>
      </w:r>
    </w:p>
    <w:p w14:paraId="5C2DE0A1" w14:textId="77777777" w:rsidR="00384DA2" w:rsidRPr="005970E9" w:rsidRDefault="00384DA2" w:rsidP="00384DA2">
      <w:pPr>
        <w:pBdr>
          <w:top w:val="nil"/>
          <w:left w:val="nil"/>
          <w:bottom w:val="nil"/>
          <w:right w:val="nil"/>
          <w:between w:val="nil"/>
        </w:pBdr>
        <w:spacing w:before="120" w:after="120" w:line="276" w:lineRule="auto"/>
        <w:jc w:val="both"/>
        <w:rPr>
          <w:rFonts w:eastAsia="Century Schoolbook" w:cs="Century Schoolbook"/>
          <w:color w:val="000000"/>
        </w:rPr>
      </w:pPr>
      <w:r w:rsidRPr="005970E9">
        <w:rPr>
          <w:rFonts w:eastAsia="Century Schoolbook" w:cs="Century Schoolbook"/>
          <w:b/>
          <w:color w:val="000000"/>
        </w:rPr>
        <w:lastRenderedPageBreak/>
        <w:t>Aspecto socio-político</w:t>
      </w:r>
      <w:r w:rsidRPr="005970E9">
        <w:rPr>
          <w:rFonts w:eastAsia="Century Schoolbook" w:cs="Century Schoolbook"/>
          <w:color w:val="000000"/>
        </w:rPr>
        <w:t xml:space="preserve"> </w:t>
      </w:r>
    </w:p>
    <w:p w14:paraId="488E2C77" w14:textId="4588007F" w:rsidR="004D4CF6" w:rsidRPr="005970E9" w:rsidRDefault="004D4CF6" w:rsidP="004D4CF6">
      <w:pPr>
        <w:pBdr>
          <w:top w:val="nil"/>
          <w:left w:val="nil"/>
          <w:bottom w:val="nil"/>
          <w:right w:val="nil"/>
          <w:between w:val="nil"/>
        </w:pBdr>
        <w:spacing w:before="120" w:after="120" w:line="276" w:lineRule="auto"/>
        <w:jc w:val="both"/>
        <w:rPr>
          <w:rFonts w:eastAsia="Century Schoolbook" w:cs="Century Schoolbook"/>
          <w:color w:val="000000"/>
        </w:rPr>
      </w:pPr>
      <w:r w:rsidRPr="005970E9">
        <w:rPr>
          <w:rFonts w:eastAsia="Century Schoolbook" w:cs="Century Schoolbook"/>
          <w:color w:val="000000"/>
        </w:rPr>
        <w:t>La situación social, política y económica en Panamá guarda relación con los hechos que se viven en la región latinoamericana orientados a cambios en el ordenamiento del Estado. En el ámbito político las reformas constitucionales, por lo menos durante las dos últimas décadas han sido una petición de organizaciones de la sociedad civil, los movimientos sociales y organismos empresariales</w:t>
      </w:r>
      <w:r w:rsidRPr="005970E9">
        <w:rPr>
          <w:rFonts w:eastAsia="Century Schoolbook" w:cs="Century Schoolbook"/>
          <w:color w:val="000000"/>
          <w:vertAlign w:val="superscript"/>
        </w:rPr>
        <w:footnoteReference w:id="5"/>
      </w:r>
      <w:r w:rsidRPr="005970E9">
        <w:rPr>
          <w:rFonts w:eastAsia="Century Schoolbook" w:cs="Century Schoolbook"/>
          <w:color w:val="000000"/>
        </w:rPr>
        <w:t xml:space="preserve">, cada sector con posiciones antagónicas o divergentes. </w:t>
      </w:r>
    </w:p>
    <w:p w14:paraId="57C9F999" w14:textId="75932932" w:rsidR="0007542D" w:rsidRPr="005970E9" w:rsidRDefault="003B5C05" w:rsidP="00971EB0">
      <w:pPr>
        <w:pStyle w:val="CommentText"/>
        <w:spacing w:before="120" w:after="120" w:line="276" w:lineRule="auto"/>
        <w:jc w:val="both"/>
        <w:rPr>
          <w:rFonts w:ascii="Century Schoolbook" w:eastAsia="Century Schoolbook" w:hAnsi="Century Schoolbook" w:cs="Century Schoolbook"/>
          <w:color w:val="000000"/>
          <w:sz w:val="22"/>
          <w:szCs w:val="22"/>
        </w:rPr>
      </w:pPr>
      <w:r w:rsidRPr="005970E9">
        <w:rPr>
          <w:rFonts w:ascii="Century Schoolbook" w:eastAsia="Century Schoolbook" w:hAnsi="Century Schoolbook" w:cs="Century Schoolbook"/>
          <w:color w:val="000000"/>
        </w:rPr>
        <w:t xml:space="preserve">El 17 de julio de 2019, el Ejecutivo llevó a la Asamblea </w:t>
      </w:r>
      <w:r w:rsidRPr="005970E9">
        <w:rPr>
          <w:rFonts w:ascii="Century Schoolbook" w:eastAsia="Century Schoolbook" w:hAnsi="Century Schoolbook" w:cs="Century Schoolbook"/>
          <w:color w:val="000000"/>
          <w:sz w:val="22"/>
          <w:szCs w:val="22"/>
        </w:rPr>
        <w:t>Nacional la propuesta de reforma constitucional elaborada por la Concertación Nacional para el Desarrollo. El principal escollo para lograr el consenso en la población está relacionado con los mecanismos de</w:t>
      </w:r>
      <w:r w:rsidRPr="005970E9">
        <w:rPr>
          <w:rFonts w:ascii="Century Schoolbook" w:eastAsia="Century Schoolbook" w:hAnsi="Century Schoolbook" w:cs="Century Schoolbook"/>
          <w:color w:val="000000"/>
          <w:sz w:val="22"/>
          <w:szCs w:val="22"/>
          <w:highlight w:val="white"/>
        </w:rPr>
        <w:t xml:space="preserve"> </w:t>
      </w:r>
      <w:r w:rsidRPr="005970E9">
        <w:rPr>
          <w:rFonts w:ascii="Century Schoolbook" w:eastAsia="Century Schoolbook" w:hAnsi="Century Schoolbook" w:cs="Century Schoolbook"/>
          <w:color w:val="000000"/>
          <w:sz w:val="22"/>
          <w:szCs w:val="22"/>
        </w:rPr>
        <w:t xml:space="preserve">participación de todos los sectores, esto provocó que los conflictos postergados por la democracia, las prácticas de corrupción en la institucionalidad y en el sistema de justicia se crisparan hasta el rechazo. Esta realidad muestra un sistema sociopolítico con problemas no resueltos y lesionado en su legitimidad por la actuación de actores clave (Zamora, 2019; </w:t>
      </w:r>
      <w:r w:rsidR="00A66215" w:rsidRPr="005970E9">
        <w:rPr>
          <w:rFonts w:ascii="Century Schoolbook" w:eastAsia="Century Schoolbook" w:hAnsi="Century Schoolbook" w:cs="Century Schoolbook"/>
          <w:color w:val="000000"/>
          <w:sz w:val="22"/>
          <w:szCs w:val="22"/>
        </w:rPr>
        <w:t>Gandasegui</w:t>
      </w:r>
      <w:r w:rsidRPr="005970E9">
        <w:rPr>
          <w:rFonts w:ascii="Century Schoolbook" w:eastAsia="Century Schoolbook" w:hAnsi="Century Schoolbook" w:cs="Century Schoolbook"/>
          <w:color w:val="000000"/>
          <w:sz w:val="22"/>
          <w:szCs w:val="22"/>
        </w:rPr>
        <w:t xml:space="preserve">, 2019; Noriega, 2019). Además de sectores académicos, organizaciones sindicales y de estudiantes universitarios, el proceso de reformas ha convocado la movilización de las/os defensores de derechos humanos, </w:t>
      </w:r>
      <w:r w:rsidR="00E52584" w:rsidRPr="005970E9">
        <w:rPr>
          <w:rFonts w:ascii="Century Schoolbook" w:eastAsia="Century Schoolbook" w:hAnsi="Century Schoolbook" w:cs="Century Schoolbook"/>
          <w:color w:val="000000"/>
          <w:sz w:val="22"/>
          <w:szCs w:val="22"/>
        </w:rPr>
        <w:t xml:space="preserve">de </w:t>
      </w:r>
      <w:r w:rsidRPr="005970E9">
        <w:rPr>
          <w:rFonts w:ascii="Century Schoolbook" w:eastAsia="Century Schoolbook" w:hAnsi="Century Schoolbook" w:cs="Century Schoolbook"/>
          <w:color w:val="000000"/>
          <w:sz w:val="22"/>
          <w:szCs w:val="22"/>
        </w:rPr>
        <w:t>la población LGBTIQ+ y las feministas jóvenes</w:t>
      </w:r>
      <w:r w:rsidR="00EA4652" w:rsidRPr="005970E9">
        <w:rPr>
          <w:rFonts w:ascii="Century Schoolbook" w:eastAsia="Century Schoolbook" w:hAnsi="Century Schoolbook" w:cs="Century Schoolbook"/>
          <w:color w:val="000000"/>
          <w:sz w:val="22"/>
          <w:szCs w:val="22"/>
        </w:rPr>
        <w:t xml:space="preserve">. </w:t>
      </w:r>
    </w:p>
    <w:p w14:paraId="68AFB30A" w14:textId="4AA5D687" w:rsidR="00B76B0C" w:rsidRPr="005970E9" w:rsidRDefault="00CC6FC4" w:rsidP="00971EB0">
      <w:pPr>
        <w:pStyle w:val="CommentText"/>
        <w:spacing w:line="276" w:lineRule="auto"/>
        <w:jc w:val="both"/>
        <w:rPr>
          <w:rFonts w:ascii="Century Schoolbook" w:eastAsia="Century Schoolbook" w:hAnsi="Century Schoolbook" w:cs="Century Schoolbook"/>
          <w:color w:val="000000"/>
        </w:rPr>
      </w:pPr>
      <w:r w:rsidRPr="005970E9">
        <w:rPr>
          <w:rFonts w:ascii="Century Schoolbook" w:hAnsi="Century Schoolbook"/>
          <w:sz w:val="22"/>
          <w:szCs w:val="22"/>
        </w:rPr>
        <w:t>Una demanda que sonó con fuerza durante estas protestas fue el establecimiento de un Estado Laico, favorecedor de</w:t>
      </w:r>
      <w:r w:rsidR="0007542D" w:rsidRPr="005970E9">
        <w:rPr>
          <w:rFonts w:ascii="Century Schoolbook" w:hAnsi="Century Schoolbook"/>
          <w:sz w:val="22"/>
          <w:szCs w:val="22"/>
        </w:rPr>
        <w:t>l</w:t>
      </w:r>
      <w:r w:rsidRPr="005970E9">
        <w:rPr>
          <w:rFonts w:ascii="Century Schoolbook" w:hAnsi="Century Schoolbook"/>
          <w:sz w:val="22"/>
          <w:szCs w:val="22"/>
        </w:rPr>
        <w:t xml:space="preserve"> </w:t>
      </w:r>
      <w:r w:rsidR="003B5C05" w:rsidRPr="005970E9">
        <w:rPr>
          <w:rFonts w:ascii="Century Schoolbook" w:eastAsia="Century Schoolbook" w:hAnsi="Century Schoolbook" w:cs="Century Schoolbook"/>
          <w:color w:val="000000"/>
          <w:sz w:val="22"/>
          <w:szCs w:val="22"/>
        </w:rPr>
        <w:t>reconocimiento</w:t>
      </w:r>
      <w:r w:rsidR="0007542D" w:rsidRPr="005970E9">
        <w:rPr>
          <w:rFonts w:ascii="Century Schoolbook" w:eastAsia="Century Schoolbook" w:hAnsi="Century Schoolbook" w:cs="Century Schoolbook"/>
          <w:color w:val="000000"/>
          <w:sz w:val="22"/>
          <w:szCs w:val="22"/>
        </w:rPr>
        <w:t>,</w:t>
      </w:r>
      <w:r w:rsidR="003B5C05" w:rsidRPr="005970E9">
        <w:rPr>
          <w:rFonts w:ascii="Century Schoolbook" w:eastAsia="Century Schoolbook" w:hAnsi="Century Schoolbook" w:cs="Century Schoolbook"/>
          <w:color w:val="000000"/>
          <w:sz w:val="22"/>
          <w:szCs w:val="22"/>
        </w:rPr>
        <w:t xml:space="preserve"> </w:t>
      </w:r>
      <w:r w:rsidR="0007542D" w:rsidRPr="005970E9">
        <w:rPr>
          <w:rFonts w:ascii="Century Schoolbook" w:hAnsi="Century Schoolbook"/>
          <w:sz w:val="22"/>
          <w:szCs w:val="22"/>
        </w:rPr>
        <w:t>la realización y</w:t>
      </w:r>
      <w:r w:rsidR="0007542D" w:rsidRPr="005970E9">
        <w:rPr>
          <w:rFonts w:ascii="Century Schoolbook" w:eastAsia="Century Schoolbook" w:hAnsi="Century Schoolbook" w:cs="Century Schoolbook"/>
          <w:color w:val="000000"/>
          <w:sz w:val="22"/>
          <w:szCs w:val="22"/>
        </w:rPr>
        <w:t xml:space="preserve"> el ejercicio </w:t>
      </w:r>
      <w:r w:rsidR="003B5C05" w:rsidRPr="005970E9">
        <w:rPr>
          <w:rFonts w:ascii="Century Schoolbook" w:eastAsia="Century Schoolbook" w:hAnsi="Century Schoolbook" w:cs="Century Schoolbook"/>
          <w:color w:val="000000"/>
          <w:sz w:val="22"/>
          <w:szCs w:val="22"/>
        </w:rPr>
        <w:t xml:space="preserve">de </w:t>
      </w:r>
      <w:r w:rsidR="00D243D4" w:rsidRPr="005970E9">
        <w:rPr>
          <w:rFonts w:ascii="Century Schoolbook" w:eastAsia="Century Schoolbook" w:hAnsi="Century Schoolbook" w:cs="Century Schoolbook"/>
          <w:color w:val="000000"/>
          <w:sz w:val="22"/>
          <w:szCs w:val="22"/>
        </w:rPr>
        <w:t xml:space="preserve">los </w:t>
      </w:r>
      <w:r w:rsidR="003B5C05" w:rsidRPr="005970E9">
        <w:rPr>
          <w:rFonts w:ascii="Century Schoolbook" w:eastAsia="Century Schoolbook" w:hAnsi="Century Schoolbook" w:cs="Century Schoolbook"/>
          <w:color w:val="000000"/>
          <w:sz w:val="22"/>
          <w:szCs w:val="22"/>
        </w:rPr>
        <w:t>derechos sexuales</w:t>
      </w:r>
      <w:r w:rsidR="00D243D4" w:rsidRPr="005970E9">
        <w:rPr>
          <w:rFonts w:ascii="Century Schoolbook" w:eastAsia="Century Schoolbook" w:hAnsi="Century Schoolbook" w:cs="Century Schoolbook"/>
          <w:color w:val="000000"/>
          <w:sz w:val="22"/>
          <w:szCs w:val="22"/>
        </w:rPr>
        <w:t xml:space="preserve"> de la población. El derecho de las mujeres</w:t>
      </w:r>
      <w:r w:rsidR="003B5C05" w:rsidRPr="005970E9">
        <w:rPr>
          <w:rFonts w:ascii="Century Schoolbook" w:eastAsia="Century Schoolbook" w:hAnsi="Century Schoolbook" w:cs="Century Schoolbook"/>
          <w:color w:val="000000"/>
          <w:sz w:val="22"/>
          <w:szCs w:val="22"/>
        </w:rPr>
        <w:t xml:space="preserve"> a decidir sobre sus vidas, la paridad política, la protección integral frente a la violencia y el acceso a ingresos y recursos, entre otros</w:t>
      </w:r>
      <w:r w:rsidR="0007542D" w:rsidRPr="005970E9">
        <w:rPr>
          <w:rFonts w:ascii="Century Schoolbook" w:eastAsia="Century Schoolbook" w:hAnsi="Century Schoolbook" w:cs="Century Schoolbook"/>
          <w:color w:val="000000"/>
          <w:sz w:val="22"/>
          <w:szCs w:val="22"/>
        </w:rPr>
        <w:t>.</w:t>
      </w:r>
      <w:r w:rsidR="003B5C05" w:rsidRPr="005970E9">
        <w:rPr>
          <w:rFonts w:ascii="Century Schoolbook" w:eastAsia="Century Schoolbook" w:hAnsi="Century Schoolbook" w:cs="Century Schoolbook"/>
          <w:color w:val="000000"/>
          <w:sz w:val="22"/>
          <w:szCs w:val="22"/>
          <w:vertAlign w:val="superscript"/>
        </w:rPr>
        <w:footnoteReference w:id="6"/>
      </w:r>
      <w:r w:rsidR="003B5C05" w:rsidRPr="005970E9">
        <w:rPr>
          <w:rFonts w:ascii="Century Schoolbook" w:eastAsia="Century Schoolbook" w:hAnsi="Century Schoolbook" w:cs="Century Schoolbook"/>
          <w:color w:val="000000"/>
          <w:sz w:val="22"/>
          <w:szCs w:val="22"/>
        </w:rPr>
        <w:t xml:space="preserve"> </w:t>
      </w:r>
    </w:p>
    <w:p w14:paraId="37747F91" w14:textId="1528EF0B" w:rsidR="00B76B0C" w:rsidRPr="005970E9" w:rsidRDefault="003B5C05">
      <w:pPr>
        <w:pBdr>
          <w:top w:val="nil"/>
          <w:left w:val="nil"/>
          <w:bottom w:val="nil"/>
          <w:right w:val="nil"/>
          <w:between w:val="nil"/>
        </w:pBdr>
        <w:spacing w:before="120" w:after="120" w:line="276" w:lineRule="auto"/>
        <w:jc w:val="both"/>
        <w:rPr>
          <w:rFonts w:eastAsia="Century Schoolbook" w:cs="Century Schoolbook"/>
          <w:color w:val="000000"/>
        </w:rPr>
      </w:pPr>
      <w:r w:rsidRPr="005970E9">
        <w:rPr>
          <w:rFonts w:eastAsia="Century Schoolbook" w:cs="Century Schoolbook"/>
          <w:color w:val="000000"/>
        </w:rPr>
        <w:t>En el contexto político también surgen otras voces con sus propias particularidades, las mujeres indígenas incorporan en el tejido social las condiciones de permanente agresión a su hábitat natural por la tala ilegal del bosque y el deterioro ambiental. Consideran que sus derechos económicos, sociales, políticos y culturales no son satisfechos</w:t>
      </w:r>
      <w:r w:rsidRPr="005970E9">
        <w:rPr>
          <w:rFonts w:eastAsia="Century Schoolbook" w:cs="Century Schoolbook"/>
          <w:color w:val="000000"/>
          <w:vertAlign w:val="superscript"/>
        </w:rPr>
        <w:footnoteReference w:id="7"/>
      </w:r>
      <w:r w:rsidRPr="005970E9">
        <w:rPr>
          <w:rFonts w:eastAsia="Century Schoolbook" w:cs="Century Schoolbook"/>
          <w:color w:val="000000"/>
        </w:rPr>
        <w:t xml:space="preserve">.  Así mismo, las mujeres que viven con alguna discapacidad se movilizan por políticas públicas que reconozcan de forma efectiva su condición y </w:t>
      </w:r>
      <w:r w:rsidR="007C6883" w:rsidRPr="005970E9">
        <w:rPr>
          <w:rFonts w:eastAsia="Century Schoolbook" w:cs="Century Schoolbook"/>
          <w:color w:val="000000"/>
        </w:rPr>
        <w:t xml:space="preserve">haya </w:t>
      </w:r>
      <w:r w:rsidRPr="005970E9">
        <w:rPr>
          <w:rFonts w:eastAsia="Century Schoolbook" w:cs="Century Schoolbook"/>
          <w:color w:val="000000"/>
        </w:rPr>
        <w:t>esfuer</w:t>
      </w:r>
      <w:r w:rsidR="007C6883" w:rsidRPr="005970E9">
        <w:rPr>
          <w:rFonts w:eastAsia="Century Schoolbook" w:cs="Century Schoolbook"/>
          <w:color w:val="000000"/>
        </w:rPr>
        <w:t xml:space="preserve">zos </w:t>
      </w:r>
      <w:r w:rsidRPr="005970E9">
        <w:rPr>
          <w:rFonts w:eastAsia="Century Schoolbook" w:cs="Century Schoolbook"/>
          <w:color w:val="000000"/>
        </w:rPr>
        <w:t xml:space="preserve">en </w:t>
      </w:r>
      <w:r w:rsidR="007C6883" w:rsidRPr="005970E9">
        <w:rPr>
          <w:rFonts w:eastAsia="Century Schoolbook" w:cs="Century Schoolbook"/>
          <w:color w:val="000000"/>
        </w:rPr>
        <w:t xml:space="preserve">crear </w:t>
      </w:r>
      <w:r w:rsidRPr="005970E9">
        <w:rPr>
          <w:rFonts w:eastAsia="Century Schoolbook" w:cs="Century Schoolbook"/>
          <w:color w:val="000000"/>
        </w:rPr>
        <w:t xml:space="preserve">para ellas ambientes y espacios que les permitan ejercer sus derechos en mejores condiciones, </w:t>
      </w:r>
      <w:r w:rsidRPr="005970E9">
        <w:rPr>
          <w:rFonts w:eastAsia="Century Schoolbook" w:cs="Century Schoolbook"/>
          <w:color w:val="000000"/>
        </w:rPr>
        <w:lastRenderedPageBreak/>
        <w:t>en especial</w:t>
      </w:r>
      <w:r w:rsidR="00026CC4" w:rsidRPr="005970E9">
        <w:rPr>
          <w:rFonts w:eastAsia="Century Schoolbook" w:cs="Century Schoolbook"/>
          <w:color w:val="000000"/>
        </w:rPr>
        <w:t>,</w:t>
      </w:r>
      <w:r w:rsidRPr="005970E9">
        <w:rPr>
          <w:rFonts w:eastAsia="Century Schoolbook" w:cs="Century Schoolbook"/>
          <w:color w:val="000000"/>
        </w:rPr>
        <w:t xml:space="preserve"> elevar la calidad de la educación y garantizar la inclusión</w:t>
      </w:r>
      <w:r w:rsidR="00026CC4" w:rsidRPr="005970E9">
        <w:rPr>
          <w:rFonts w:eastAsia="Century Schoolbook" w:cs="Century Schoolbook"/>
          <w:color w:val="000000"/>
        </w:rPr>
        <w:t xml:space="preserve"> (</w:t>
      </w:r>
      <w:r w:rsidRPr="005970E9">
        <w:rPr>
          <w:rFonts w:eastAsia="Century Schoolbook" w:cs="Century Schoolbook"/>
          <w:color w:val="000000"/>
        </w:rPr>
        <w:t xml:space="preserve">Mesa de </w:t>
      </w:r>
      <w:r w:rsidR="00026CC4" w:rsidRPr="005970E9">
        <w:rPr>
          <w:rFonts w:eastAsia="Century Schoolbook" w:cs="Century Schoolbook"/>
          <w:color w:val="000000"/>
        </w:rPr>
        <w:t>Análisis</w:t>
      </w:r>
      <w:r w:rsidRPr="005970E9">
        <w:rPr>
          <w:rFonts w:eastAsia="Century Schoolbook" w:cs="Century Schoolbook"/>
          <w:color w:val="000000"/>
        </w:rPr>
        <w:t xml:space="preserve"> de Leyes de personas con Discapacidad (MELEDIS)</w:t>
      </w:r>
      <w:r w:rsidRPr="005970E9">
        <w:rPr>
          <w:rFonts w:eastAsia="Century Schoolbook" w:cs="Century Schoolbook"/>
          <w:color w:val="000000"/>
          <w:vertAlign w:val="superscript"/>
        </w:rPr>
        <w:footnoteReference w:id="8"/>
      </w:r>
      <w:r w:rsidRPr="005970E9">
        <w:rPr>
          <w:rFonts w:eastAsia="Century Schoolbook" w:cs="Century Schoolbook"/>
          <w:color w:val="000000"/>
        </w:rPr>
        <w:t xml:space="preserve"> . </w:t>
      </w:r>
    </w:p>
    <w:p w14:paraId="0B4EBDF6" w14:textId="73A7AAB7" w:rsidR="00B76B0C" w:rsidRPr="005970E9" w:rsidRDefault="003B5C05">
      <w:pPr>
        <w:pBdr>
          <w:top w:val="nil"/>
          <w:left w:val="nil"/>
          <w:bottom w:val="nil"/>
          <w:right w:val="nil"/>
          <w:between w:val="nil"/>
        </w:pBdr>
        <w:spacing w:before="120" w:after="120" w:line="276" w:lineRule="auto"/>
        <w:jc w:val="both"/>
        <w:rPr>
          <w:rFonts w:eastAsia="Century Schoolbook" w:cs="Century Schoolbook"/>
          <w:color w:val="000000"/>
        </w:rPr>
      </w:pPr>
      <w:r w:rsidRPr="005970E9">
        <w:rPr>
          <w:rFonts w:eastAsia="Century Schoolbook" w:cs="Century Schoolbook"/>
          <w:color w:val="000000"/>
        </w:rPr>
        <w:t>Las mujeres afrodescendientes incorporan sus demandas históricas por un Estado que sea intolerante con la discriminación racial y deseche políticas públicas racializadas en el ejercicio gubernamental, desarrollan esfuerzos en el fortalecimiento de sus organizaciones, en trabajar por el Decenio Internacional para los Afrodescendientes (2015-2024) y participan activamente en las mesas del Censo 2020 para que se conozca la condición real de las mujeres afrodescendientes (Voces de Mujeres Afrodescendientes, 2019).</w:t>
      </w:r>
    </w:p>
    <w:p w14:paraId="25F313EA" w14:textId="77777777" w:rsidR="00C450CD" w:rsidRPr="005970E9" w:rsidRDefault="00C450CD">
      <w:pPr>
        <w:pBdr>
          <w:top w:val="nil"/>
          <w:left w:val="nil"/>
          <w:bottom w:val="nil"/>
          <w:right w:val="nil"/>
          <w:between w:val="nil"/>
        </w:pBdr>
        <w:spacing w:before="120" w:after="120" w:line="276" w:lineRule="auto"/>
        <w:jc w:val="both"/>
        <w:rPr>
          <w:rFonts w:eastAsia="Century Schoolbook" w:cs="Century Schoolbook"/>
          <w:color w:val="000000"/>
        </w:rPr>
      </w:pPr>
    </w:p>
    <w:p w14:paraId="66DA4980" w14:textId="77777777" w:rsidR="00B76B0C" w:rsidRPr="005970E9" w:rsidRDefault="003B5C05">
      <w:pPr>
        <w:pBdr>
          <w:top w:val="nil"/>
          <w:left w:val="nil"/>
          <w:bottom w:val="nil"/>
          <w:right w:val="nil"/>
          <w:between w:val="nil"/>
        </w:pBdr>
        <w:spacing w:before="120" w:after="120" w:line="276" w:lineRule="auto"/>
        <w:jc w:val="both"/>
        <w:rPr>
          <w:rFonts w:eastAsia="Century Schoolbook" w:cs="Century Schoolbook"/>
          <w:color w:val="000000"/>
        </w:rPr>
      </w:pPr>
      <w:r w:rsidRPr="005970E9">
        <w:rPr>
          <w:rFonts w:eastAsia="Century Schoolbook" w:cs="Century Schoolbook"/>
          <w:b/>
          <w:color w:val="000000"/>
        </w:rPr>
        <w:t>Aspecto económico</w:t>
      </w:r>
      <w:r w:rsidRPr="005970E9">
        <w:rPr>
          <w:rFonts w:eastAsia="Century Schoolbook" w:cs="Century Schoolbook"/>
          <w:color w:val="000000"/>
        </w:rPr>
        <w:t xml:space="preserve"> </w:t>
      </w:r>
    </w:p>
    <w:p w14:paraId="5F42AA1C" w14:textId="51AD09D1" w:rsidR="00B76B0C" w:rsidRPr="005970E9" w:rsidRDefault="003B5C05">
      <w:pPr>
        <w:pBdr>
          <w:top w:val="nil"/>
          <w:left w:val="nil"/>
          <w:bottom w:val="nil"/>
          <w:right w:val="nil"/>
          <w:between w:val="nil"/>
        </w:pBdr>
        <w:spacing w:before="120" w:after="120" w:line="276" w:lineRule="auto"/>
        <w:jc w:val="both"/>
        <w:rPr>
          <w:rFonts w:eastAsia="Century Schoolbook" w:cs="Century Schoolbook"/>
          <w:color w:val="000000"/>
        </w:rPr>
      </w:pPr>
      <w:r w:rsidRPr="005970E9">
        <w:rPr>
          <w:rFonts w:eastAsia="Century Schoolbook" w:cs="Century Schoolbook"/>
          <w:color w:val="000000"/>
        </w:rPr>
        <w:t xml:space="preserve">La economía panameña históricamente dependiente de la zona de tránsito hace parte de los problemas sociales que hoy están en debate socio político, al no lograr reducir las desigualdades existentes, de las que se dan cuenta en este Perfil. La economía está constituida por un megasector </w:t>
      </w:r>
      <w:r w:rsidR="00592763" w:rsidRPr="005970E9">
        <w:rPr>
          <w:rFonts w:eastAsia="Century Schoolbook" w:cs="Century Schoolbook"/>
          <w:color w:val="000000"/>
        </w:rPr>
        <w:t>de comercio y servicio</w:t>
      </w:r>
      <w:r w:rsidRPr="005970E9">
        <w:rPr>
          <w:rFonts w:eastAsia="Century Schoolbook" w:cs="Century Schoolbook"/>
          <w:color w:val="000000"/>
        </w:rPr>
        <w:t xml:space="preserve"> representativos del 69% del PIB</w:t>
      </w:r>
      <w:r w:rsidRPr="005970E9">
        <w:rPr>
          <w:rFonts w:eastAsia="Century Schoolbook" w:cs="Century Schoolbook"/>
          <w:color w:val="000000"/>
          <w:vertAlign w:val="superscript"/>
        </w:rPr>
        <w:footnoteReference w:id="9"/>
      </w:r>
      <w:r w:rsidRPr="005970E9">
        <w:rPr>
          <w:rFonts w:eastAsia="Century Schoolbook" w:cs="Century Schoolbook"/>
          <w:color w:val="000000"/>
        </w:rPr>
        <w:t xml:space="preserve"> (INEC, 2019), conformando una economía terciaria en detrimento de la actividad de los otros sectores productivos. </w:t>
      </w:r>
      <w:r w:rsidR="00592763" w:rsidRPr="005970E9">
        <w:rPr>
          <w:rFonts w:eastAsia="Century Schoolbook" w:cs="Century Schoolbook"/>
          <w:color w:val="000000"/>
        </w:rPr>
        <w:t>El sector terciario, no obstante, entre los años 2007 y 2017 ha reducido su participación en el PIB, pasó de 78% al 70% (SENACYT, 2019)</w:t>
      </w:r>
      <w:r w:rsidR="00592763" w:rsidRPr="005970E9">
        <w:rPr>
          <w:rStyle w:val="FootnoteReference"/>
          <w:rFonts w:eastAsia="Century Schoolbook" w:cs="Century Schoolbook"/>
          <w:color w:val="000000"/>
        </w:rPr>
        <w:footnoteReference w:id="10"/>
      </w:r>
      <w:r w:rsidR="00592763" w:rsidRPr="005970E9">
        <w:rPr>
          <w:rFonts w:eastAsia="Century Schoolbook" w:cs="Century Schoolbook"/>
          <w:color w:val="000000"/>
        </w:rPr>
        <w:t>. Según el estudio de SENACYT, el sector primario como proporción del PIB es 4.3% y el secundario 25.2%</w:t>
      </w:r>
      <w:r w:rsidR="00C62087" w:rsidRPr="005970E9">
        <w:rPr>
          <w:rFonts w:eastAsia="Century Schoolbook" w:cs="Century Schoolbook"/>
          <w:color w:val="000000"/>
        </w:rPr>
        <w:t xml:space="preserve"> en el año 2017</w:t>
      </w:r>
      <w:r w:rsidR="004B65A4" w:rsidRPr="005970E9">
        <w:rPr>
          <w:rFonts w:eastAsia="Century Schoolbook" w:cs="Century Schoolbook"/>
          <w:color w:val="000000"/>
        </w:rPr>
        <w:t>.</w:t>
      </w:r>
    </w:p>
    <w:p w14:paraId="1B84E29E" w14:textId="6510E377" w:rsidR="00B76B0C" w:rsidRPr="005970E9" w:rsidRDefault="003B5C05">
      <w:pPr>
        <w:pBdr>
          <w:top w:val="nil"/>
          <w:left w:val="nil"/>
          <w:bottom w:val="nil"/>
          <w:right w:val="nil"/>
          <w:between w:val="nil"/>
        </w:pBdr>
        <w:spacing w:before="120" w:after="120" w:line="276" w:lineRule="auto"/>
        <w:jc w:val="both"/>
        <w:rPr>
          <w:rFonts w:eastAsia="Century Schoolbook" w:cs="Century Schoolbook"/>
          <w:color w:val="000000"/>
        </w:rPr>
      </w:pPr>
      <w:r w:rsidRPr="005970E9">
        <w:rPr>
          <w:rFonts w:eastAsia="Century Schoolbook" w:cs="Century Schoolbook"/>
          <w:color w:val="000000"/>
        </w:rPr>
        <w:t>Las estimaciones del INEC sobre el crecimiento del PIB en promedio para los años 2015-18 fue del 5.0%; en 2018 cayó a 3.7%. En 2019, la CEPAL expresa que el crecimiento del PIB será de 3.5%, ocasionado principalmente por la caída en los ingresos del gobierno central. El déficit fiscal a septiembre de 2019 fue de 4.8% del PIB</w:t>
      </w:r>
      <w:r w:rsidRPr="005970E9">
        <w:rPr>
          <w:rFonts w:eastAsia="Century Schoolbook" w:cs="Century Schoolbook"/>
          <w:color w:val="000000"/>
          <w:vertAlign w:val="superscript"/>
        </w:rPr>
        <w:footnoteReference w:id="11"/>
      </w:r>
      <w:r w:rsidRPr="005970E9">
        <w:rPr>
          <w:rFonts w:eastAsia="Century Schoolbook" w:cs="Century Schoolbook"/>
          <w:color w:val="FF0000"/>
        </w:rPr>
        <w:t xml:space="preserve"> </w:t>
      </w:r>
      <w:r w:rsidRPr="005970E9">
        <w:rPr>
          <w:rFonts w:eastAsia="Century Schoolbook" w:cs="Century Schoolbook"/>
          <w:color w:val="000000"/>
        </w:rPr>
        <w:t>y en el SPNF de 3.56% del PIB (MEF, 2019b). El gobierno para resolver el déficit adoptó una política de contracción del gasto por 1500 millones de balboas, modificó la Ley de Responsabilidad Social Fiscal</w:t>
      </w:r>
      <w:r w:rsidRPr="005970E9">
        <w:rPr>
          <w:rFonts w:eastAsia="Century Schoolbook" w:cs="Century Schoolbook"/>
          <w:color w:val="000000"/>
          <w:vertAlign w:val="superscript"/>
        </w:rPr>
        <w:footnoteReference w:id="12"/>
      </w:r>
      <w:r w:rsidRPr="005970E9">
        <w:rPr>
          <w:rFonts w:eastAsia="Century Schoolbook" w:cs="Century Schoolbook"/>
          <w:color w:val="000000"/>
        </w:rPr>
        <w:t xml:space="preserve"> para aumentar el margen del déficit fiscal permitido de 2% a 3.5%, y abrió un periodo de moratoria para aumentar el pago de impuestos y reducir la morosidad.</w:t>
      </w:r>
    </w:p>
    <w:p w14:paraId="53F33A26" w14:textId="019D6C69" w:rsidR="0007542D" w:rsidRPr="005970E9" w:rsidRDefault="0007542D" w:rsidP="00D243D4">
      <w:pPr>
        <w:pBdr>
          <w:top w:val="nil"/>
          <w:left w:val="nil"/>
          <w:bottom w:val="nil"/>
          <w:right w:val="nil"/>
          <w:between w:val="nil"/>
        </w:pBdr>
        <w:spacing w:before="120" w:after="120" w:line="276" w:lineRule="auto"/>
        <w:ind w:left="2160" w:right="49"/>
        <w:jc w:val="both"/>
        <w:rPr>
          <w:rFonts w:eastAsia="Century Schoolbook" w:cs="Century Schoolbook"/>
          <w:b/>
          <w:bCs/>
          <w:color w:val="E36C0A" w:themeColor="accent6" w:themeShade="BF"/>
          <w:sz w:val="20"/>
          <w:szCs w:val="20"/>
        </w:rPr>
      </w:pPr>
      <w:r w:rsidRPr="005970E9">
        <w:rPr>
          <w:rFonts w:eastAsia="Century Schoolbook" w:cs="Century Schoolbook"/>
          <w:b/>
          <w:bCs/>
          <w:color w:val="E36C0A" w:themeColor="accent6" w:themeShade="BF"/>
          <w:sz w:val="20"/>
          <w:szCs w:val="20"/>
        </w:rPr>
        <w:t>La crisis del COVID-19 sitúa al conjunto de la economía mundial y la panameña en una contracción importante</w:t>
      </w:r>
      <w:r w:rsidR="00145B95" w:rsidRPr="005970E9">
        <w:rPr>
          <w:rFonts w:eastAsia="Century Schoolbook" w:cs="Century Schoolbook"/>
          <w:b/>
          <w:bCs/>
          <w:color w:val="E36C0A" w:themeColor="accent6" w:themeShade="BF"/>
          <w:sz w:val="20"/>
          <w:szCs w:val="20"/>
        </w:rPr>
        <w:t xml:space="preserve">. El Fondo Monetario Internacional </w:t>
      </w:r>
      <w:r w:rsidR="00315539" w:rsidRPr="005970E9">
        <w:rPr>
          <w:rFonts w:eastAsia="Century Schoolbook" w:cs="Century Schoolbook"/>
          <w:b/>
          <w:bCs/>
          <w:color w:val="E36C0A" w:themeColor="accent6" w:themeShade="BF"/>
          <w:sz w:val="20"/>
          <w:szCs w:val="20"/>
        </w:rPr>
        <w:t xml:space="preserve">(FMI) </w:t>
      </w:r>
      <w:r w:rsidR="00145B95" w:rsidRPr="005970E9">
        <w:rPr>
          <w:rFonts w:eastAsia="Century Schoolbook" w:cs="Century Schoolbook"/>
          <w:b/>
          <w:bCs/>
          <w:color w:val="E36C0A" w:themeColor="accent6" w:themeShade="BF"/>
          <w:sz w:val="20"/>
          <w:szCs w:val="20"/>
        </w:rPr>
        <w:t xml:space="preserve">establece la contracción mundial </w:t>
      </w:r>
      <w:r w:rsidR="00145B95" w:rsidRPr="005970E9">
        <w:rPr>
          <w:rFonts w:eastAsia="Century Schoolbook" w:cs="Century Schoolbook"/>
          <w:b/>
          <w:bCs/>
          <w:color w:val="E36C0A" w:themeColor="accent6" w:themeShade="BF"/>
          <w:sz w:val="20"/>
          <w:szCs w:val="20"/>
        </w:rPr>
        <w:lastRenderedPageBreak/>
        <w:t xml:space="preserve">en </w:t>
      </w:r>
      <w:r w:rsidR="00315539" w:rsidRPr="005970E9">
        <w:rPr>
          <w:rFonts w:eastAsia="Century Schoolbook" w:cs="Century Schoolbook"/>
          <w:b/>
          <w:bCs/>
          <w:color w:val="E36C0A" w:themeColor="accent6" w:themeShade="BF"/>
          <w:sz w:val="20"/>
          <w:szCs w:val="20"/>
        </w:rPr>
        <w:t>(</w:t>
      </w:r>
      <w:r w:rsidR="00145B95" w:rsidRPr="005970E9">
        <w:rPr>
          <w:rFonts w:eastAsia="Century Schoolbook" w:cs="Century Schoolbook"/>
          <w:b/>
          <w:bCs/>
          <w:color w:val="E36C0A" w:themeColor="accent6" w:themeShade="BF"/>
          <w:sz w:val="20"/>
          <w:szCs w:val="20"/>
        </w:rPr>
        <w:t>3%</w:t>
      </w:r>
      <w:r w:rsidR="00315539" w:rsidRPr="005970E9">
        <w:rPr>
          <w:rFonts w:eastAsia="Century Schoolbook" w:cs="Century Schoolbook"/>
          <w:b/>
          <w:bCs/>
          <w:color w:val="E36C0A" w:themeColor="accent6" w:themeShade="BF"/>
          <w:sz w:val="20"/>
          <w:szCs w:val="20"/>
        </w:rPr>
        <w:t>)</w:t>
      </w:r>
      <w:r w:rsidR="00145B95" w:rsidRPr="005970E9">
        <w:rPr>
          <w:rFonts w:eastAsia="Century Schoolbook" w:cs="Century Schoolbook"/>
          <w:b/>
          <w:bCs/>
          <w:color w:val="E36C0A" w:themeColor="accent6" w:themeShade="BF"/>
          <w:sz w:val="20"/>
          <w:szCs w:val="20"/>
        </w:rPr>
        <w:t xml:space="preserve"> y CEPAL </w:t>
      </w:r>
      <w:r w:rsidR="00313217" w:rsidRPr="005970E9">
        <w:rPr>
          <w:rFonts w:eastAsia="Century Schoolbook" w:cs="Century Schoolbook"/>
          <w:b/>
          <w:bCs/>
          <w:color w:val="E36C0A" w:themeColor="accent6" w:themeShade="BF"/>
          <w:sz w:val="20"/>
          <w:szCs w:val="20"/>
        </w:rPr>
        <w:t xml:space="preserve">para América Latina y el Caribe estima una caída del (5.3%) y </w:t>
      </w:r>
      <w:r w:rsidR="00922857" w:rsidRPr="005970E9">
        <w:rPr>
          <w:rFonts w:eastAsia="Century Schoolbook" w:cs="Century Schoolbook"/>
          <w:b/>
          <w:bCs/>
          <w:color w:val="E36C0A" w:themeColor="accent6" w:themeShade="BF"/>
          <w:sz w:val="20"/>
          <w:szCs w:val="20"/>
        </w:rPr>
        <w:t xml:space="preserve">de </w:t>
      </w:r>
      <w:r w:rsidR="00315539" w:rsidRPr="005970E9">
        <w:rPr>
          <w:rFonts w:eastAsia="Century Schoolbook" w:cs="Century Schoolbook"/>
          <w:b/>
          <w:bCs/>
          <w:color w:val="E36C0A" w:themeColor="accent6" w:themeShade="BF"/>
          <w:sz w:val="20"/>
          <w:szCs w:val="20"/>
        </w:rPr>
        <w:t>(</w:t>
      </w:r>
      <w:r w:rsidR="00145B95" w:rsidRPr="005970E9">
        <w:rPr>
          <w:rFonts w:eastAsia="Century Schoolbook" w:cs="Century Schoolbook"/>
          <w:b/>
          <w:bCs/>
          <w:color w:val="E36C0A" w:themeColor="accent6" w:themeShade="BF"/>
          <w:sz w:val="20"/>
          <w:szCs w:val="20"/>
        </w:rPr>
        <w:t>2%</w:t>
      </w:r>
      <w:r w:rsidR="00315539" w:rsidRPr="005970E9">
        <w:rPr>
          <w:rFonts w:eastAsia="Century Schoolbook" w:cs="Century Schoolbook"/>
          <w:b/>
          <w:bCs/>
          <w:color w:val="E36C0A" w:themeColor="accent6" w:themeShade="BF"/>
          <w:sz w:val="20"/>
          <w:szCs w:val="20"/>
        </w:rPr>
        <w:t>)</w:t>
      </w:r>
      <w:r w:rsidR="00145B95" w:rsidRPr="005970E9">
        <w:rPr>
          <w:rFonts w:eastAsia="Century Schoolbook" w:cs="Century Schoolbook"/>
          <w:b/>
          <w:bCs/>
          <w:color w:val="E36C0A" w:themeColor="accent6" w:themeShade="BF"/>
          <w:sz w:val="20"/>
          <w:szCs w:val="20"/>
        </w:rPr>
        <w:t xml:space="preserve"> la contracción económica en Panamá. </w:t>
      </w:r>
    </w:p>
    <w:p w14:paraId="53F69732" w14:textId="77777777" w:rsidR="00B76B0C" w:rsidRPr="005970E9" w:rsidRDefault="003B5C05" w:rsidP="00D243D4">
      <w:pPr>
        <w:pBdr>
          <w:top w:val="nil"/>
          <w:left w:val="nil"/>
          <w:bottom w:val="nil"/>
          <w:right w:val="nil"/>
          <w:between w:val="nil"/>
        </w:pBdr>
        <w:spacing w:before="240" w:after="120" w:line="276" w:lineRule="auto"/>
        <w:jc w:val="both"/>
        <w:rPr>
          <w:rFonts w:eastAsia="Century Schoolbook" w:cs="Century Schoolbook"/>
          <w:color w:val="000000"/>
        </w:rPr>
      </w:pPr>
      <w:r w:rsidRPr="005970E9">
        <w:rPr>
          <w:rFonts w:eastAsia="Century Schoolbook" w:cs="Century Schoolbook"/>
          <w:color w:val="00000A"/>
        </w:rPr>
        <w:t>A partir de 2013 la proporción en el endeudamiento público respecto al PIB se incrementó de 31.7% al 41.5% en 2019. La disciplina fiscal y la política financiera definida en la Ley 38 de 5 de junio de 2012 estableció que la relación de deuda neta/PIB no podía superar el 40% (</w:t>
      </w:r>
      <w:r w:rsidRPr="005970E9">
        <w:rPr>
          <w:rFonts w:eastAsia="Century Schoolbook" w:cs="Century Schoolbook"/>
          <w:color w:val="000000"/>
        </w:rPr>
        <w:t xml:space="preserve">CEPAL, 2019; </w:t>
      </w:r>
      <w:r w:rsidRPr="005970E9">
        <w:rPr>
          <w:rFonts w:eastAsia="Century Schoolbook" w:cs="Century Schoolbook"/>
          <w:color w:val="00000A"/>
        </w:rPr>
        <w:t>MEF, 2019c</w:t>
      </w:r>
      <w:r w:rsidRPr="005970E9">
        <w:rPr>
          <w:rFonts w:eastAsia="Century Schoolbook" w:cs="Century Schoolbook"/>
          <w:color w:val="000000"/>
        </w:rPr>
        <w:t>:</w:t>
      </w:r>
      <w:r w:rsidRPr="005970E9">
        <w:rPr>
          <w:rFonts w:eastAsia="Century Schoolbook" w:cs="Century Schoolbook"/>
          <w:color w:val="00000A"/>
        </w:rPr>
        <w:t xml:space="preserve"> p.17)</w:t>
      </w:r>
      <w:r w:rsidRPr="005970E9">
        <w:rPr>
          <w:rFonts w:eastAsia="Century Schoolbook" w:cs="Century Schoolbook"/>
          <w:color w:val="000000"/>
        </w:rPr>
        <w:t xml:space="preserve"> por lo que ya está iniciada una expectativa de riesgo.</w:t>
      </w:r>
    </w:p>
    <w:p w14:paraId="3613442A" w14:textId="77777777" w:rsidR="00B76B0C" w:rsidRPr="005970E9" w:rsidRDefault="003B5C05">
      <w:pPr>
        <w:pBdr>
          <w:top w:val="nil"/>
          <w:left w:val="nil"/>
          <w:bottom w:val="nil"/>
          <w:right w:val="nil"/>
          <w:between w:val="nil"/>
        </w:pBdr>
        <w:spacing w:before="120" w:after="120" w:line="276" w:lineRule="auto"/>
        <w:jc w:val="both"/>
        <w:rPr>
          <w:rFonts w:eastAsia="Century Schoolbook" w:cs="Century Schoolbook"/>
          <w:color w:val="000000"/>
        </w:rPr>
      </w:pPr>
      <w:r w:rsidRPr="005970E9">
        <w:rPr>
          <w:rFonts w:eastAsia="Century Schoolbook" w:cs="Century Schoolbook"/>
          <w:color w:val="000000"/>
        </w:rPr>
        <w:t xml:space="preserve">A agosto de 2019, la cuenta corriente de la balanza de pagos es deficitaria, se contraen las exportaciones por 15.5%, en especial, por la caída del 16.5% en las reexportaciones de Zona Libre de Colón (ZLC). También disminuyen las importaciones por un 5.7%, orientadas por la contracción del 13.6% en la ZLC. </w:t>
      </w:r>
      <w:r w:rsidRPr="005970E9">
        <w:rPr>
          <w:rFonts w:eastAsia="Century Schoolbook" w:cs="Century Schoolbook"/>
          <w:color w:val="00000A"/>
        </w:rPr>
        <w:t>El</w:t>
      </w:r>
      <w:r w:rsidRPr="005970E9">
        <w:rPr>
          <w:rFonts w:eastAsia="Century Schoolbook" w:cs="Century Schoolbook"/>
          <w:color w:val="000000"/>
        </w:rPr>
        <w:t xml:space="preserve"> escenario de desaceleración de la economía tiene dos datos alentadores, 1) </w:t>
      </w:r>
      <w:r w:rsidRPr="005970E9">
        <w:rPr>
          <w:rFonts w:eastAsia="Century Schoolbook" w:cs="Century Schoolbook"/>
          <w:color w:val="00000A"/>
        </w:rPr>
        <w:t>el aporte de la Autoridad del Canal de Panamá al Tesoro por $1,786 millones (</w:t>
      </w:r>
      <w:r w:rsidRPr="005970E9">
        <w:rPr>
          <w:rFonts w:eastAsia="Century Schoolbook" w:cs="Century Schoolbook"/>
          <w:color w:val="000000"/>
        </w:rPr>
        <w:t>se trata del mayor monto desde la reversión de dicho bien a la administración panameña) y 2) el aumento de la inversión extranjera directa (IED) que en el primer semestre del año 2019 fue de 3.928 millones de dólares, para un aumento del 15,6% respecto a igual periodo en 2018.</w:t>
      </w:r>
    </w:p>
    <w:p w14:paraId="1C2AC16C" w14:textId="77777777" w:rsidR="00B76B0C" w:rsidRPr="005970E9" w:rsidRDefault="003B5C05" w:rsidP="00604445">
      <w:pPr>
        <w:pBdr>
          <w:top w:val="nil"/>
          <w:left w:val="nil"/>
          <w:bottom w:val="nil"/>
          <w:right w:val="nil"/>
          <w:between w:val="nil"/>
        </w:pBdr>
        <w:spacing w:before="240" w:after="120"/>
        <w:jc w:val="both"/>
        <w:rPr>
          <w:rFonts w:eastAsia="Century Schoolbook" w:cs="Century Schoolbook"/>
          <w:b/>
          <w:color w:val="000000"/>
        </w:rPr>
      </w:pPr>
      <w:r w:rsidRPr="005970E9">
        <w:rPr>
          <w:rFonts w:eastAsia="Century Schoolbook" w:cs="Century Schoolbook"/>
          <w:b/>
          <w:color w:val="000000"/>
        </w:rPr>
        <w:t>Aspecto social</w:t>
      </w:r>
    </w:p>
    <w:p w14:paraId="50495C5F" w14:textId="734E34A1" w:rsidR="009759AA" w:rsidRPr="005970E9" w:rsidRDefault="009759AA" w:rsidP="00604445">
      <w:pPr>
        <w:spacing w:before="120" w:after="120" w:line="276" w:lineRule="auto"/>
        <w:jc w:val="both"/>
        <w:rPr>
          <w:rStyle w:val="Emphasis"/>
          <w:rFonts w:cstheme="minorHAnsi"/>
          <w:b/>
          <w:bCs/>
          <w:i w:val="0"/>
          <w:iCs w:val="0"/>
        </w:rPr>
      </w:pPr>
      <w:r w:rsidRPr="005970E9">
        <w:rPr>
          <w:rStyle w:val="Emphasis"/>
          <w:rFonts w:cstheme="minorHAnsi"/>
          <w:b/>
          <w:bCs/>
          <w:i w:val="0"/>
          <w:iCs w:val="0"/>
        </w:rPr>
        <w:t>Impacto del COVID-19 en las mujeres</w:t>
      </w:r>
    </w:p>
    <w:p w14:paraId="73C2D31D" w14:textId="4CEB51C5" w:rsidR="009759AA" w:rsidRPr="005970E9" w:rsidRDefault="009759AA" w:rsidP="00604445">
      <w:pPr>
        <w:spacing w:before="120" w:after="120" w:line="276" w:lineRule="auto"/>
        <w:jc w:val="both"/>
        <w:rPr>
          <w:rStyle w:val="Emphasis"/>
          <w:rFonts w:cstheme="minorHAnsi"/>
          <w:i w:val="0"/>
          <w:iCs w:val="0"/>
        </w:rPr>
      </w:pPr>
      <w:r w:rsidRPr="005970E9">
        <w:rPr>
          <w:rStyle w:val="Emphasis"/>
          <w:rFonts w:cstheme="minorHAnsi"/>
          <w:i w:val="0"/>
          <w:iCs w:val="0"/>
        </w:rPr>
        <w:t>Aunque todas las personas han estado afectadas por la crisis provocada por la pandemia COVID – 19, ésta tiene impactos diferenciados en las mujeres</w:t>
      </w:r>
      <w:r w:rsidR="00D243D4" w:rsidRPr="005970E9">
        <w:rPr>
          <w:rStyle w:val="Emphasis"/>
          <w:rFonts w:cstheme="minorHAnsi"/>
          <w:i w:val="0"/>
          <w:iCs w:val="0"/>
        </w:rPr>
        <w:t xml:space="preserve">. </w:t>
      </w:r>
      <w:r w:rsidRPr="005970E9">
        <w:rPr>
          <w:rStyle w:val="Emphasis"/>
          <w:rFonts w:cstheme="minorHAnsi"/>
          <w:i w:val="0"/>
          <w:iCs w:val="0"/>
        </w:rPr>
        <w:t xml:space="preserve"> </w:t>
      </w:r>
      <w:r w:rsidR="00D243D4" w:rsidRPr="005970E9">
        <w:rPr>
          <w:rStyle w:val="Emphasis"/>
          <w:rFonts w:cstheme="minorHAnsi"/>
          <w:i w:val="0"/>
          <w:iCs w:val="0"/>
        </w:rPr>
        <w:t xml:space="preserve">En </w:t>
      </w:r>
      <w:r w:rsidRPr="005970E9">
        <w:rPr>
          <w:rStyle w:val="Emphasis"/>
          <w:rFonts w:cstheme="minorHAnsi"/>
          <w:i w:val="0"/>
          <w:iCs w:val="0"/>
        </w:rPr>
        <w:t>Panamá</w:t>
      </w:r>
      <w:r w:rsidR="00D243D4" w:rsidRPr="005970E9">
        <w:rPr>
          <w:rStyle w:val="Emphasis"/>
          <w:rFonts w:cstheme="minorHAnsi"/>
          <w:i w:val="0"/>
          <w:iCs w:val="0"/>
        </w:rPr>
        <w:t>, l</w:t>
      </w:r>
      <w:r w:rsidRPr="005970E9">
        <w:rPr>
          <w:rStyle w:val="Emphasis"/>
          <w:rFonts w:cstheme="minorHAnsi"/>
          <w:i w:val="0"/>
          <w:iCs w:val="0"/>
        </w:rPr>
        <w:t>as mujeres son las primeras en responder como trabajadoras del hogar remuneradas (empleadas domésticas) o no remuneradas (amas de casa), como profesionales de la salud, voluntarias de la sociedad civil, voluntarias comunitarias y cuidadoras remuneradas o no. En ellas los efectos de la crisis se multiplican al ser las “responsables designadas” de evitar el contagio familiar, mantener la salubridad del hogar, dar soporte emocional, y administrar los recursos de la familia. Además, trabajar en primera fila en los sectores imprescindibles para la satisfacción de las necesidades básicas en el sector salud</w:t>
      </w:r>
      <w:r w:rsidRPr="005970E9">
        <w:rPr>
          <w:rStyle w:val="FootnoteReference"/>
          <w:rFonts w:cstheme="minorHAnsi"/>
        </w:rPr>
        <w:footnoteReference w:id="13"/>
      </w:r>
      <w:r w:rsidRPr="005970E9">
        <w:rPr>
          <w:rStyle w:val="Emphasis"/>
          <w:rFonts w:cstheme="minorHAnsi"/>
          <w:i w:val="0"/>
          <w:iCs w:val="0"/>
        </w:rPr>
        <w:t xml:space="preserve"> (hospitales, laboratorios, farmacias, limpieza, administración, etc.), y en el comercio minorista donde son el 52% (INEC, 2019)</w:t>
      </w:r>
      <w:r w:rsidRPr="005970E9">
        <w:rPr>
          <w:rStyle w:val="FootnoteReference"/>
          <w:rFonts w:cstheme="minorHAnsi"/>
        </w:rPr>
        <w:footnoteReference w:id="14"/>
      </w:r>
      <w:r w:rsidRPr="005970E9">
        <w:rPr>
          <w:rStyle w:val="Emphasis"/>
          <w:rFonts w:cstheme="minorHAnsi"/>
          <w:i w:val="0"/>
          <w:iCs w:val="0"/>
        </w:rPr>
        <w:t xml:space="preserve">, entre otros. También su esfuerzo redoblado se materializa en asumir nuevos retos en el acompañamiento en el proceso educativo virtual o por módulos de los hijos e hijas en este momento de emergencia. </w:t>
      </w:r>
    </w:p>
    <w:p w14:paraId="142A0729" w14:textId="7DB62AEF" w:rsidR="009759AA" w:rsidRPr="005970E9" w:rsidRDefault="009759AA" w:rsidP="00604445">
      <w:pPr>
        <w:spacing w:before="120" w:line="276" w:lineRule="auto"/>
        <w:jc w:val="both"/>
        <w:rPr>
          <w:rFonts w:eastAsia="Century Schoolbook"/>
        </w:rPr>
      </w:pPr>
      <w:r w:rsidRPr="005970E9">
        <w:rPr>
          <w:rStyle w:val="Emphasis"/>
          <w:rFonts w:cstheme="minorHAnsi"/>
          <w:i w:val="0"/>
          <w:iCs w:val="0"/>
        </w:rPr>
        <w:lastRenderedPageBreak/>
        <w:t xml:space="preserve">Todo lo anterior se reproduce desproporcionadamente para las mujeres jefas de familia y las de hogares pobres y pobres críticas. En el 2018, un </w:t>
      </w:r>
      <w:r w:rsidRPr="005970E9">
        <w:rPr>
          <w:rFonts w:eastAsia="Century Schoolbook" w:cstheme="minorHAnsi"/>
        </w:rPr>
        <w:t>18.6% de mujeres vivía en pobreza multidimensional, siendo las Comarcas Indígenas y las provincias de Bocas del Toro y Darién donde mayor impacto tienen las condiciones de pobreza. Mientras, las provincias de Los Santos y Herrera es donde las mujeres muestran el menor empobrecimiento</w:t>
      </w:r>
      <w:r w:rsidRPr="005970E9">
        <w:rPr>
          <w:rStyle w:val="Emphasis"/>
          <w:rFonts w:cstheme="minorHAnsi"/>
          <w:i w:val="0"/>
          <w:iCs w:val="0"/>
        </w:rPr>
        <w:t xml:space="preserve"> (</w:t>
      </w:r>
      <w:r w:rsidRPr="005970E9">
        <w:rPr>
          <w:rFonts w:eastAsia="Century Schoolbook" w:cstheme="minorHAnsi"/>
        </w:rPr>
        <w:t>INEC. Encuesta de hogares 2018) (ONU Mujeres, 2020)</w:t>
      </w:r>
    </w:p>
    <w:p w14:paraId="3D0504BD" w14:textId="0D15A50E" w:rsidR="009759AA" w:rsidRPr="005970E9" w:rsidRDefault="009759AA" w:rsidP="00216547">
      <w:pPr>
        <w:pBdr>
          <w:top w:val="nil"/>
          <w:left w:val="nil"/>
          <w:bottom w:val="nil"/>
          <w:right w:val="nil"/>
          <w:between w:val="nil"/>
        </w:pBdr>
        <w:spacing w:before="120" w:after="120" w:line="276" w:lineRule="auto"/>
        <w:jc w:val="both"/>
        <w:rPr>
          <w:b/>
          <w:bCs/>
          <w:color w:val="000000" w:themeColor="text1"/>
        </w:rPr>
      </w:pPr>
      <w:r w:rsidRPr="005970E9">
        <w:rPr>
          <w:b/>
          <w:bCs/>
          <w:color w:val="000000" w:themeColor="text1"/>
        </w:rPr>
        <w:t>Situación del cuidado</w:t>
      </w:r>
    </w:p>
    <w:p w14:paraId="2F4B0E9F" w14:textId="30753DB5" w:rsidR="00B76B0C" w:rsidRPr="005970E9" w:rsidRDefault="003B5C05" w:rsidP="00216547">
      <w:pPr>
        <w:pBdr>
          <w:top w:val="nil"/>
          <w:left w:val="nil"/>
          <w:bottom w:val="nil"/>
          <w:right w:val="nil"/>
          <w:between w:val="nil"/>
        </w:pBdr>
        <w:spacing w:before="120" w:after="120" w:line="276" w:lineRule="auto"/>
        <w:jc w:val="both"/>
        <w:rPr>
          <w:rFonts w:eastAsia="Century Schoolbook" w:cs="Century Schoolbook"/>
          <w:color w:val="000000"/>
        </w:rPr>
      </w:pPr>
      <w:r w:rsidRPr="005970E9">
        <w:rPr>
          <w:color w:val="000000" w:themeColor="text1"/>
        </w:rPr>
        <w:t xml:space="preserve">La política gubernamental de contracción del gasto público, para las mujeres involucra afectaciones adicionales en la asignación tradicional del cuidado y el trabajo no remunerado, igual que con las políticas económicas de ajuste estructural experimentadas en el pasado, son ellas quienes deben hacer frente a las debilidades del sistema de salud y educación, además atender tareas comunitarias. Las brechas de niños y niñas (NN) de 0 a 3 años no atendidas en Centros de </w:t>
      </w:r>
      <w:r w:rsidR="005D294F" w:rsidRPr="005970E9">
        <w:rPr>
          <w:color w:val="000000" w:themeColor="text1"/>
        </w:rPr>
        <w:t xml:space="preserve">Atención Integral a la Primera Infancia </w:t>
      </w:r>
      <w:r w:rsidRPr="005970E9">
        <w:rPr>
          <w:color w:val="000000" w:themeColor="text1"/>
        </w:rPr>
        <w:t>(C</w:t>
      </w:r>
      <w:r w:rsidR="005D294F" w:rsidRPr="005970E9">
        <w:rPr>
          <w:color w:val="000000" w:themeColor="text1"/>
        </w:rPr>
        <w:t>A</w:t>
      </w:r>
      <w:r w:rsidRPr="005970E9">
        <w:rPr>
          <w:color w:val="000000" w:themeColor="text1"/>
        </w:rPr>
        <w:t>I</w:t>
      </w:r>
      <w:r w:rsidR="005D294F" w:rsidRPr="005970E9">
        <w:rPr>
          <w:color w:val="000000" w:themeColor="text1"/>
        </w:rPr>
        <w:t>PI</w:t>
      </w:r>
      <w:r w:rsidRPr="005970E9">
        <w:rPr>
          <w:color w:val="000000" w:themeColor="text1"/>
        </w:rPr>
        <w:t>) alcanza al 46.4%, además</w:t>
      </w:r>
      <w:r w:rsidR="37F5C2BF" w:rsidRPr="005970E9">
        <w:rPr>
          <w:color w:val="000000" w:themeColor="text1"/>
        </w:rPr>
        <w:t>,</w:t>
      </w:r>
      <w:r w:rsidRPr="005970E9">
        <w:rPr>
          <w:color w:val="000000" w:themeColor="text1"/>
        </w:rPr>
        <w:t xml:space="preserve"> un 40% de NN de 4 años no asiste a la educación prescolar, esto afecta el desarrollo psico-social de la infancia y se constituye en una barrera para el acceso a oportunidades de miles de mujeres. Otro tanto ocurre con la población adulta mayor, una de cada cuatro personas con más de 65 años no cuenta con pensión de vejez ni recursos del programa 120 a los 65</w:t>
      </w:r>
      <w:r w:rsidR="00604445" w:rsidRPr="005970E9">
        <w:rPr>
          <w:color w:val="000000" w:themeColor="text1"/>
        </w:rPr>
        <w:t xml:space="preserve"> años </w:t>
      </w:r>
      <w:r w:rsidR="00604445" w:rsidRPr="005970E9">
        <w:rPr>
          <w:rFonts w:eastAsia="Century Schoolbook" w:cs="Century Schoolbook"/>
          <w:color w:val="000000"/>
        </w:rPr>
        <w:t>(</w:t>
      </w:r>
      <w:r w:rsidRPr="005970E9">
        <w:rPr>
          <w:color w:val="000000" w:themeColor="text1"/>
        </w:rPr>
        <w:t xml:space="preserve">PNUD, 2017). </w:t>
      </w:r>
    </w:p>
    <w:p w14:paraId="66070103" w14:textId="7668D696" w:rsidR="009E463F" w:rsidRDefault="00B976C6" w:rsidP="00216547">
      <w:pPr>
        <w:spacing w:before="120" w:after="120" w:line="276" w:lineRule="auto"/>
        <w:jc w:val="both"/>
        <w:rPr>
          <w:rFonts w:eastAsia="Century Schoolbook" w:cs="Century Schoolbook"/>
        </w:rPr>
      </w:pPr>
      <w:r w:rsidRPr="005970E9">
        <w:rPr>
          <w:rFonts w:eastAsia="Century Schoolbook" w:cs="Century Schoolbook"/>
        </w:rPr>
        <w:t>Entre las funciones del cuidado que la sociedad les ha asignado a las mujeres está la de administrar los recursos y alimentar a la familia, situación difícil en un contexto que ya está deprimido por la contracción de los salarios reales, se suma, el bajo poder adquisitivo para comprar una canasta básica de alimentos que, en los principales distritos del país en el 2019 era de B/. 308.25 y B/. 286.23 en el resto del país (MEF, 2019a). Estos costos contribuyen para que una proporción importante de la población tenga condiciones vulnerables, ya que la canasta básica ocupa más del 50% del salario mínimo mayoritario entre la población trabajadora. El costo de la Canasta Básica de Alimentos (CBA) en 2019 aumentó respecto a 2018, según el MEF, por el encarecimiento en los costos de importación y de en la cadena de comercialización</w:t>
      </w:r>
      <w:r w:rsidR="003B5C05" w:rsidRPr="005970E9">
        <w:rPr>
          <w:rFonts w:eastAsia="Century Schoolbook" w:cs="Century Schoolbook"/>
          <w:vertAlign w:val="superscript"/>
        </w:rPr>
        <w:footnoteReference w:id="15"/>
      </w:r>
      <w:r w:rsidR="003B5C05" w:rsidRPr="005970E9">
        <w:rPr>
          <w:rFonts w:eastAsia="Century Schoolbook" w:cs="Century Schoolbook"/>
        </w:rPr>
        <w:t xml:space="preserve">. </w:t>
      </w:r>
    </w:p>
    <w:p w14:paraId="2EFD20A5" w14:textId="3FDA2000" w:rsidR="00DC0EAB" w:rsidRDefault="00DC0EAB" w:rsidP="00216547">
      <w:pPr>
        <w:spacing w:before="120" w:after="120" w:line="276" w:lineRule="auto"/>
        <w:jc w:val="both"/>
        <w:rPr>
          <w:rFonts w:eastAsia="Century Schoolbook" w:cs="Century Schoolbook"/>
        </w:rPr>
      </w:pPr>
    </w:p>
    <w:p w14:paraId="2E0A7379" w14:textId="61FCA9C5" w:rsidR="00DC0EAB" w:rsidRDefault="00DC0EAB" w:rsidP="00216547">
      <w:pPr>
        <w:spacing w:before="120" w:after="120" w:line="276" w:lineRule="auto"/>
        <w:jc w:val="both"/>
        <w:rPr>
          <w:rFonts w:eastAsia="Century Schoolbook" w:cs="Century Schoolbook"/>
        </w:rPr>
      </w:pPr>
    </w:p>
    <w:p w14:paraId="3509C8FA" w14:textId="536FF390" w:rsidR="00DC0EAB" w:rsidRDefault="00DC0EAB" w:rsidP="00216547">
      <w:pPr>
        <w:spacing w:before="120" w:after="120" w:line="276" w:lineRule="auto"/>
        <w:jc w:val="both"/>
        <w:rPr>
          <w:rFonts w:eastAsia="Century Schoolbook" w:cs="Century Schoolbook"/>
        </w:rPr>
      </w:pPr>
    </w:p>
    <w:p w14:paraId="08DFC5DD" w14:textId="0BB66E01" w:rsidR="00DC0EAB" w:rsidRDefault="00DC0EAB" w:rsidP="00216547">
      <w:pPr>
        <w:spacing w:before="120" w:after="120" w:line="276" w:lineRule="auto"/>
        <w:jc w:val="both"/>
        <w:rPr>
          <w:rFonts w:eastAsia="Century Schoolbook" w:cs="Century Schoolbook"/>
        </w:rPr>
      </w:pPr>
    </w:p>
    <w:p w14:paraId="70A6D11C" w14:textId="4AB11A94" w:rsidR="00DC0EAB" w:rsidRDefault="00DC0EAB" w:rsidP="00216547">
      <w:pPr>
        <w:spacing w:before="120" w:after="120" w:line="276" w:lineRule="auto"/>
        <w:jc w:val="both"/>
        <w:rPr>
          <w:rFonts w:eastAsia="Century Schoolbook" w:cs="Century Schoolbook"/>
        </w:rPr>
      </w:pPr>
    </w:p>
    <w:p w14:paraId="07557FE7" w14:textId="77777777" w:rsidR="00DC0EAB" w:rsidRPr="005970E9" w:rsidRDefault="00DC0EAB" w:rsidP="00216547">
      <w:pPr>
        <w:spacing w:before="120" w:after="120" w:line="276" w:lineRule="auto"/>
        <w:jc w:val="both"/>
        <w:rPr>
          <w:rFonts w:eastAsia="Century Schoolbook" w:cs="Century Schoolbook"/>
        </w:rPr>
      </w:pPr>
    </w:p>
    <w:p w14:paraId="35BEC282" w14:textId="0599921B" w:rsidR="00B76B0C" w:rsidRPr="005970E9" w:rsidRDefault="003B5C05" w:rsidP="00DC0EAB">
      <w:pPr>
        <w:pBdr>
          <w:top w:val="single" w:sz="4" w:space="1" w:color="auto"/>
          <w:left w:val="single" w:sz="4" w:space="1" w:color="auto"/>
          <w:bottom w:val="single" w:sz="4" w:space="1" w:color="auto"/>
          <w:right w:val="single" w:sz="4" w:space="1" w:color="auto"/>
          <w:between w:val="nil"/>
        </w:pBdr>
        <w:spacing w:before="240" w:after="120"/>
        <w:ind w:left="3119"/>
        <w:jc w:val="both"/>
        <w:rPr>
          <w:rFonts w:eastAsia="Asap" w:cs="Asap"/>
          <w:color w:val="C55911"/>
          <w:sz w:val="20"/>
          <w:szCs w:val="20"/>
        </w:rPr>
      </w:pPr>
      <w:r w:rsidRPr="005970E9">
        <w:rPr>
          <w:rFonts w:eastAsia="Asap" w:cs="Asap"/>
          <w:b/>
          <w:color w:val="C55911"/>
          <w:sz w:val="20"/>
          <w:szCs w:val="20"/>
        </w:rPr>
        <w:t xml:space="preserve">Metas de la Agenda 2030 para el Desarrollo Sostenible </w:t>
      </w:r>
    </w:p>
    <w:p w14:paraId="7238B6B6" w14:textId="35F5AD95" w:rsidR="00B76B0C" w:rsidRPr="005970E9" w:rsidRDefault="003B5C05" w:rsidP="00DC0EAB">
      <w:pPr>
        <w:pBdr>
          <w:top w:val="single" w:sz="4" w:space="1" w:color="auto"/>
          <w:left w:val="single" w:sz="4" w:space="1" w:color="auto"/>
          <w:bottom w:val="single" w:sz="4" w:space="1" w:color="auto"/>
          <w:right w:val="single" w:sz="4" w:space="1" w:color="auto"/>
        </w:pBdr>
        <w:spacing w:before="120" w:after="120" w:line="276" w:lineRule="auto"/>
        <w:ind w:left="3119"/>
        <w:jc w:val="both"/>
        <w:rPr>
          <w:color w:val="FF0000"/>
          <w:sz w:val="20"/>
          <w:szCs w:val="20"/>
        </w:rPr>
      </w:pPr>
      <w:r w:rsidRPr="005970E9">
        <w:rPr>
          <w:color w:val="C55911"/>
          <w:sz w:val="20"/>
          <w:szCs w:val="20"/>
        </w:rPr>
        <w:t>“Para 2030, poner fin al hambre y asegurar el acceso de todas las personas, en particular los pobres y las personas en situaciones vulnerables, incluidos los lactantes, a una alimentación sana, nutritiva y suficiente durante todo el año.”</w:t>
      </w:r>
      <w:r w:rsidR="00AE5A0E" w:rsidRPr="005970E9">
        <w:rPr>
          <w:color w:val="C55911"/>
          <w:sz w:val="20"/>
          <w:szCs w:val="20"/>
        </w:rPr>
        <w:t xml:space="preserve"> (PNUD</w:t>
      </w:r>
      <w:r w:rsidR="0019664C" w:rsidRPr="005970E9">
        <w:rPr>
          <w:color w:val="C55911"/>
          <w:sz w:val="20"/>
          <w:szCs w:val="20"/>
        </w:rPr>
        <w:t>, 2015</w:t>
      </w:r>
      <w:r w:rsidR="00AE5A0E" w:rsidRPr="005970E9">
        <w:rPr>
          <w:color w:val="C55911"/>
          <w:sz w:val="20"/>
          <w:szCs w:val="20"/>
        </w:rPr>
        <w:t>).</w:t>
      </w:r>
      <w:r w:rsidR="00DE57CD" w:rsidRPr="005970E9">
        <w:rPr>
          <w:rStyle w:val="FootnoteReference"/>
          <w:color w:val="C55911"/>
          <w:sz w:val="20"/>
          <w:szCs w:val="20"/>
        </w:rPr>
        <w:footnoteReference w:id="16"/>
      </w:r>
    </w:p>
    <w:p w14:paraId="442E3E90" w14:textId="560099D8" w:rsidR="003B2FAB" w:rsidRPr="005970E9" w:rsidRDefault="003B5C05" w:rsidP="00216547">
      <w:pPr>
        <w:spacing w:before="120" w:after="120" w:line="276" w:lineRule="auto"/>
        <w:jc w:val="both"/>
        <w:rPr>
          <w:rFonts w:eastAsia="Century Schoolbook" w:cs="Century Schoolbook"/>
        </w:rPr>
      </w:pPr>
      <w:r w:rsidRPr="005970E9">
        <w:rPr>
          <w:rFonts w:eastAsia="Century Schoolbook" w:cs="Century Schoolbook"/>
        </w:rPr>
        <w:t>El incremento en el costo de los alimentos es una preocupación mayor por la afectación en la nutrición infantil. En el Plan Nacional de Seguridad Alimentaria Nutricional, Panamá 2017-2021, se expresa que la malnutrición de las niñas y niños menores de 5 años analizada por la prevalencia de baja talla para la edad, en 2008</w:t>
      </w:r>
      <w:r w:rsidR="003B2FAB" w:rsidRPr="005970E9">
        <w:rPr>
          <w:rFonts w:eastAsia="Century Schoolbook" w:cs="Century Schoolbook"/>
        </w:rPr>
        <w:t>,</w:t>
      </w:r>
      <w:r w:rsidRPr="005970E9">
        <w:rPr>
          <w:rFonts w:eastAsia="Century Schoolbook" w:cs="Century Schoolbook"/>
        </w:rPr>
        <w:t xml:space="preserve"> en el nivel nacional era 19% y 17.7% en 2014</w:t>
      </w:r>
      <w:r w:rsidR="003B2FAB" w:rsidRPr="005970E9">
        <w:rPr>
          <w:rFonts w:eastAsia="Century Schoolbook" w:cs="Century Schoolbook"/>
        </w:rPr>
        <w:t xml:space="preserve">, </w:t>
      </w:r>
      <w:r w:rsidR="00EB1DA6" w:rsidRPr="005970E9">
        <w:rPr>
          <w:rFonts w:eastAsia="Century Schoolbook" w:cs="Century Schoolbook"/>
        </w:rPr>
        <w:t xml:space="preserve">como puede observarse </w:t>
      </w:r>
      <w:r w:rsidR="003B2FAB" w:rsidRPr="005970E9">
        <w:rPr>
          <w:rFonts w:eastAsia="Century Schoolbook" w:cs="Century Schoolbook"/>
        </w:rPr>
        <w:t>estos problemas de seguridad alimentaria se reducen de forma muy lenta</w:t>
      </w:r>
      <w:r w:rsidRPr="005970E9">
        <w:rPr>
          <w:rFonts w:eastAsia="Century Schoolbook" w:cs="Century Schoolbook"/>
        </w:rPr>
        <w:t xml:space="preserve">. </w:t>
      </w:r>
    </w:p>
    <w:p w14:paraId="04C65AE2" w14:textId="66775056" w:rsidR="00B76B0C" w:rsidRPr="005970E9" w:rsidRDefault="003B5C05" w:rsidP="00216547">
      <w:pPr>
        <w:spacing w:before="120" w:after="120" w:line="276" w:lineRule="auto"/>
        <w:jc w:val="both"/>
        <w:rPr>
          <w:rFonts w:eastAsia="Century Schoolbook" w:cs="Century Schoolbook"/>
        </w:rPr>
      </w:pPr>
      <w:r w:rsidRPr="005970E9">
        <w:rPr>
          <w:rFonts w:eastAsia="Century Schoolbook" w:cs="Century Schoolbook"/>
        </w:rPr>
        <w:t xml:space="preserve">En las áreas indígenas la situación no es mejor, en 2008 era un 62% </w:t>
      </w:r>
      <w:r w:rsidR="003B2FAB" w:rsidRPr="005970E9">
        <w:rPr>
          <w:rFonts w:eastAsia="Century Schoolbook" w:cs="Century Schoolbook"/>
        </w:rPr>
        <w:t xml:space="preserve">y </w:t>
      </w:r>
      <w:r w:rsidRPr="005970E9">
        <w:rPr>
          <w:rFonts w:eastAsia="Century Schoolbook" w:cs="Century Schoolbook"/>
        </w:rPr>
        <w:t>en 2014 continúa elevada</w:t>
      </w:r>
      <w:r w:rsidR="0040201A" w:rsidRPr="005970E9">
        <w:rPr>
          <w:rFonts w:eastAsia="Century Schoolbook" w:cs="Century Schoolbook"/>
        </w:rPr>
        <w:t>;</w:t>
      </w:r>
      <w:r w:rsidRPr="005970E9">
        <w:rPr>
          <w:rFonts w:eastAsia="Century Schoolbook" w:cs="Century Schoolbook"/>
        </w:rPr>
        <w:t xml:space="preserve"> en la Comarca Guna Yala con 55.6%, en la Comarca Ngäbe Bugle 31.3% y en Darién 28.6% (SENAPAN, 2017, p. 16). Liberar a las mujeres y hombres de la subalimentación, según la FAO significaría una reducción a 5% y en Panamá </w:t>
      </w:r>
      <w:r w:rsidR="0040201A" w:rsidRPr="005970E9">
        <w:rPr>
          <w:rFonts w:eastAsia="Century Schoolbook" w:cs="Century Schoolbook"/>
        </w:rPr>
        <w:t>significa</w:t>
      </w:r>
      <w:r w:rsidRPr="005970E9">
        <w:rPr>
          <w:rFonts w:eastAsia="Century Schoolbook" w:cs="Century Schoolbook"/>
        </w:rPr>
        <w:t xml:space="preserve">ría </w:t>
      </w:r>
      <w:r w:rsidR="0040201A" w:rsidRPr="005970E9">
        <w:rPr>
          <w:rFonts w:eastAsia="Century Schoolbook" w:cs="Century Schoolbook"/>
        </w:rPr>
        <w:t>una población de</w:t>
      </w:r>
      <w:r w:rsidRPr="005970E9">
        <w:rPr>
          <w:rFonts w:eastAsia="Century Schoolbook" w:cs="Century Schoolbook"/>
        </w:rPr>
        <w:t xml:space="preserve"> 288,300 personas (SENAPAN, 2017, p. 8) no obstante, continuaría siendo una cantidad elevada de panameñas/os en tal condición. </w:t>
      </w:r>
    </w:p>
    <w:p w14:paraId="48993FD5" w14:textId="43CD4AE2" w:rsidR="00B76B0C" w:rsidRPr="005970E9" w:rsidRDefault="003B5C05" w:rsidP="00216547">
      <w:pPr>
        <w:spacing w:before="120" w:after="120" w:line="276" w:lineRule="auto"/>
        <w:jc w:val="both"/>
        <w:rPr>
          <w:rFonts w:eastAsia="Century Schoolbook" w:cs="Century Schoolbook"/>
        </w:rPr>
      </w:pPr>
      <w:r w:rsidRPr="005970E9">
        <w:rPr>
          <w:rFonts w:eastAsia="Century Schoolbook" w:cs="Century Schoolbook"/>
        </w:rPr>
        <w:t xml:space="preserve">La desnutrición </w:t>
      </w:r>
      <w:r w:rsidR="0040201A" w:rsidRPr="005970E9">
        <w:rPr>
          <w:rFonts w:eastAsia="Century Schoolbook" w:cs="Century Schoolbook"/>
        </w:rPr>
        <w:t>y las</w:t>
      </w:r>
      <w:r w:rsidRPr="005970E9">
        <w:rPr>
          <w:rFonts w:eastAsia="Century Schoolbook" w:cs="Century Schoolbook"/>
        </w:rPr>
        <w:t xml:space="preserve"> infecciones retrasa</w:t>
      </w:r>
      <w:r w:rsidR="0040201A" w:rsidRPr="005970E9">
        <w:rPr>
          <w:rFonts w:eastAsia="Century Schoolbook" w:cs="Century Schoolbook"/>
        </w:rPr>
        <w:t>n</w:t>
      </w:r>
      <w:r w:rsidRPr="005970E9">
        <w:rPr>
          <w:rFonts w:eastAsia="Century Schoolbook" w:cs="Century Schoolbook"/>
        </w:rPr>
        <w:t xml:space="preserve"> el crecimiento y desarrollo de la infancia, provoca deficiencias en su desempeño escolar y en la sostenibilidad de sus vidas. Las mujeres en el periodo de embarazo también son afectadas por la desnutrición creando problemas en el desarrollo del futuro niño/a. En 2005 la prevalencia de anemia en mujeres embarazadas fue 23.4%, nueve años después, en 2014 es 23.2%, según el Monitoreo Nutricional en las Instalaciones de Salud del MINSA. En tales circunstancias cuando los precios suben como ha ocurrido, las más afectadas son las mujeres y las niñas, pues fácilmente hacen de amortiguadoras, ya que actúan tanto en la preparación de los alimentos como en el tiempo y energía que dedican para que sus familias no se afecten en mayor grado (ONU Mujeres, 2018, p. 79). </w:t>
      </w:r>
    </w:p>
    <w:p w14:paraId="3A329CE8" w14:textId="0B65FC63" w:rsidR="00B76B0C" w:rsidRPr="005970E9" w:rsidRDefault="003B5C05" w:rsidP="009E463F">
      <w:pPr>
        <w:spacing w:before="120" w:after="120" w:line="276" w:lineRule="auto"/>
        <w:jc w:val="both"/>
        <w:rPr>
          <w:rFonts w:eastAsia="Century Schoolbook" w:cs="Century Schoolbook"/>
        </w:rPr>
      </w:pPr>
      <w:r w:rsidRPr="005970E9">
        <w:rPr>
          <w:rFonts w:eastAsia="Century Schoolbook" w:cs="Century Schoolbook"/>
        </w:rPr>
        <w:t>El impacto en la calidad de vida de la población en Panamá producida por el aumento en los costos, según información del INEC</w:t>
      </w:r>
      <w:r w:rsidR="00F33856" w:rsidRPr="005970E9">
        <w:rPr>
          <w:rFonts w:eastAsia="Century Schoolbook" w:cs="Century Schoolbook"/>
        </w:rPr>
        <w:t>,</w:t>
      </w:r>
      <w:r w:rsidRPr="005970E9">
        <w:rPr>
          <w:rFonts w:eastAsia="Century Schoolbook" w:cs="Century Schoolbook"/>
        </w:rPr>
        <w:t xml:space="preserve"> puede verse e</w:t>
      </w:r>
      <w:r w:rsidR="006C4FA2" w:rsidRPr="005970E9">
        <w:rPr>
          <w:rFonts w:eastAsia="Century Schoolbook" w:cs="Century Schoolbook"/>
        </w:rPr>
        <w:t>n</w:t>
      </w:r>
      <w:r w:rsidRPr="005970E9">
        <w:rPr>
          <w:rFonts w:eastAsia="Century Schoolbook" w:cs="Century Schoolbook"/>
        </w:rPr>
        <w:t xml:space="preserve"> las variaciones </w:t>
      </w:r>
      <w:r w:rsidR="00F33856" w:rsidRPr="005970E9">
        <w:rPr>
          <w:rFonts w:eastAsia="Century Schoolbook" w:cs="Century Schoolbook"/>
        </w:rPr>
        <w:t>d</w:t>
      </w:r>
      <w:r w:rsidRPr="005970E9">
        <w:rPr>
          <w:rFonts w:eastAsia="Century Schoolbook" w:cs="Century Schoolbook"/>
        </w:rPr>
        <w:t>e los precios</w:t>
      </w:r>
      <w:r w:rsidR="00F33856" w:rsidRPr="005970E9">
        <w:rPr>
          <w:rFonts w:eastAsia="Century Schoolbook" w:cs="Century Schoolbook"/>
        </w:rPr>
        <w:t>;</w:t>
      </w:r>
      <w:r w:rsidRPr="005970E9">
        <w:rPr>
          <w:rFonts w:eastAsia="Century Schoolbook" w:cs="Century Schoolbook"/>
        </w:rPr>
        <w:t xml:space="preserve"> estos impactan varios aspectos, así de enero 2019 a enero 2020 fue de 0.4%. Pero si consideramos 2013 como el año base, el </w:t>
      </w:r>
      <w:r w:rsidR="0019664C" w:rsidRPr="005970E9">
        <w:rPr>
          <w:rFonts w:eastAsia="Century Schoolbook" w:cs="Century Schoolbook"/>
        </w:rPr>
        <w:t>índice de precios al consumidor (</w:t>
      </w:r>
      <w:r w:rsidRPr="005970E9">
        <w:rPr>
          <w:rFonts w:eastAsia="Century Schoolbook" w:cs="Century Schoolbook"/>
        </w:rPr>
        <w:t>IPC</w:t>
      </w:r>
      <w:r w:rsidR="0019664C" w:rsidRPr="005970E9">
        <w:rPr>
          <w:rFonts w:eastAsia="Century Schoolbook" w:cs="Century Schoolbook"/>
        </w:rPr>
        <w:t>)</w:t>
      </w:r>
      <w:r w:rsidRPr="005970E9">
        <w:rPr>
          <w:rFonts w:eastAsia="Century Schoolbook" w:cs="Century Schoolbook"/>
        </w:rPr>
        <w:t xml:space="preserve"> promedio se ha elevado a 4.8% (2013</w:t>
      </w:r>
      <w:r w:rsidR="008A4BAE" w:rsidRPr="005970E9">
        <w:rPr>
          <w:rFonts w:eastAsia="Century Schoolbook" w:cs="Century Schoolbook"/>
        </w:rPr>
        <w:t xml:space="preserve"> </w:t>
      </w:r>
      <w:r w:rsidRPr="005970E9">
        <w:rPr>
          <w:rFonts w:eastAsia="Century Schoolbook" w:cs="Century Schoolbook"/>
        </w:rPr>
        <w:t>-</w:t>
      </w:r>
      <w:r w:rsidR="008A4BAE" w:rsidRPr="005970E9">
        <w:rPr>
          <w:rFonts w:eastAsia="Century Schoolbook" w:cs="Century Schoolbook"/>
        </w:rPr>
        <w:t xml:space="preserve"> </w:t>
      </w:r>
      <w:r w:rsidRPr="005970E9">
        <w:rPr>
          <w:rFonts w:eastAsia="Century Schoolbook" w:cs="Century Schoolbook"/>
        </w:rPr>
        <w:t xml:space="preserve">2020), observándose que las principales alzas están en Salud (10.2%) alquiler y alojamiento (11.7%), servicio doméstico (13.7%) y educación (18.8%), lo que tiene impacto en los arreglos de cuidado y el acceso a vivienda, salud, educación y alimentos. </w:t>
      </w:r>
    </w:p>
    <w:p w14:paraId="4168772D" w14:textId="7EFBDEA6" w:rsidR="00B76B0C" w:rsidRPr="005970E9" w:rsidRDefault="00B976C6" w:rsidP="00FF2624">
      <w:pPr>
        <w:spacing w:before="240" w:after="240" w:line="276" w:lineRule="auto"/>
        <w:jc w:val="both"/>
        <w:rPr>
          <w:rFonts w:eastAsia="Century Schoolbook" w:cs="Century Schoolbook"/>
        </w:rPr>
      </w:pPr>
      <w:bookmarkStart w:id="52" w:name="_Hlk35599221"/>
      <w:bookmarkStart w:id="53" w:name="_Hlk42196624"/>
      <w:r w:rsidRPr="005970E9">
        <w:rPr>
          <w:rFonts w:eastAsia="Century Schoolbook" w:cs="Century Schoolbook"/>
        </w:rPr>
        <w:lastRenderedPageBreak/>
        <w:t xml:space="preserve">Si relacionamos la tendencia al alza del IPC con la desocupación, la más afectada es la población de 15-29 años que, en agosto de 2019 representó a medio millón (554,164) de trabajadoras/res jóvenes. De esta población el 15.04% esta desocupada, los hombres son una proporción elevada (12.34%) pero, en las mujeres asciende a 19.2%.  </w:t>
      </w:r>
      <w:r w:rsidR="003B5C05" w:rsidRPr="005970E9">
        <w:rPr>
          <w:rFonts w:eastAsia="Century Schoolbook" w:cs="Century Schoolbook"/>
        </w:rPr>
        <w:t>Para mujeres y hombres jóvenes el desempleo ha aumentado</w:t>
      </w:r>
      <w:r w:rsidR="00094139" w:rsidRPr="005970E9">
        <w:rPr>
          <w:rFonts w:eastAsia="Century Schoolbook" w:cs="Century Schoolbook"/>
        </w:rPr>
        <w:t>,</w:t>
      </w:r>
      <w:r w:rsidR="003B5C05" w:rsidRPr="005970E9">
        <w:rPr>
          <w:rFonts w:eastAsia="Century Schoolbook" w:cs="Century Schoolbook"/>
        </w:rPr>
        <w:t xml:space="preserve"> por lo que su acceso a viviendas, a servicios básicos </w:t>
      </w:r>
      <w:r w:rsidR="2223B3EA" w:rsidRPr="005970E9">
        <w:rPr>
          <w:rFonts w:eastAsia="Century Schoolbook" w:cs="Century Schoolbook"/>
        </w:rPr>
        <w:t xml:space="preserve">y </w:t>
      </w:r>
      <w:r w:rsidR="003B5C05" w:rsidRPr="005970E9">
        <w:rPr>
          <w:rFonts w:eastAsia="Century Schoolbook" w:cs="Century Schoolbook"/>
        </w:rPr>
        <w:t>a satisfacer derechos económicos, sociales y culturales encuentra barreras que</w:t>
      </w:r>
      <w:r w:rsidR="00094139" w:rsidRPr="005970E9">
        <w:rPr>
          <w:rFonts w:eastAsia="Century Schoolbook" w:cs="Century Schoolbook"/>
        </w:rPr>
        <w:t xml:space="preserve"> les</w:t>
      </w:r>
      <w:r w:rsidR="003B5C05" w:rsidRPr="005970E9">
        <w:rPr>
          <w:rFonts w:eastAsia="Century Schoolbook" w:cs="Century Schoolbook"/>
        </w:rPr>
        <w:t xml:space="preserve"> excluyen</w:t>
      </w:r>
      <w:r w:rsidR="00F33856" w:rsidRPr="005970E9">
        <w:rPr>
          <w:rFonts w:eastAsia="Century Schoolbook" w:cs="Century Schoolbook"/>
        </w:rPr>
        <w:t>,</w:t>
      </w:r>
      <w:r w:rsidR="003B5C05" w:rsidRPr="005970E9">
        <w:rPr>
          <w:rFonts w:eastAsia="Century Schoolbook" w:cs="Century Schoolbook"/>
        </w:rPr>
        <w:t xml:space="preserve"> </w:t>
      </w:r>
      <w:r w:rsidR="00F33856" w:rsidRPr="005970E9">
        <w:rPr>
          <w:rFonts w:eastAsia="Century Schoolbook" w:cs="Century Schoolbook"/>
        </w:rPr>
        <w:t>e</w:t>
      </w:r>
      <w:r w:rsidR="003B5C05" w:rsidRPr="005970E9">
        <w:rPr>
          <w:rFonts w:eastAsia="Century Schoolbook" w:cs="Century Schoolbook"/>
        </w:rPr>
        <w:t>specialmente a las mujeres, quienes a pesar de contar con mayor nivel educativo universitario en el mercado de trabajo 41.37% frente a un 27.66% en los hombres</w:t>
      </w:r>
      <w:r w:rsidR="00CC5FFE">
        <w:rPr>
          <w:rFonts w:eastAsia="Century Schoolbook" w:cs="Century Schoolbook"/>
        </w:rPr>
        <w:t xml:space="preserve"> (tabla 1)</w:t>
      </w:r>
      <w:r w:rsidR="003B5C05" w:rsidRPr="005970E9">
        <w:rPr>
          <w:rFonts w:eastAsia="Century Schoolbook" w:cs="Century Schoolbook"/>
        </w:rPr>
        <w:t xml:space="preserve">, los indicadores muestran que las desigualdades de género no se desvanecen. </w:t>
      </w:r>
      <w:bookmarkEnd w:id="52"/>
    </w:p>
    <w:p w14:paraId="18C0C557" w14:textId="6CB9DD9C" w:rsidR="00FF6ECF" w:rsidRPr="005970E9" w:rsidRDefault="008A61AF" w:rsidP="00306AE3">
      <w:pPr>
        <w:pStyle w:val="Caption"/>
        <w:rPr>
          <w:rFonts w:ascii="Century Schoolbook" w:eastAsia="Century Schoolbook" w:hAnsi="Century Schoolbook" w:cs="Century Schoolbook"/>
          <w:b/>
          <w:color w:val="000000"/>
          <w:sz w:val="20"/>
          <w:szCs w:val="20"/>
        </w:rPr>
      </w:pPr>
      <w:bookmarkStart w:id="54" w:name="_Toc42549195"/>
      <w:bookmarkEnd w:id="53"/>
      <w:r w:rsidRPr="005970E9">
        <w:rPr>
          <w:rFonts w:ascii="Century Schoolbook" w:hAnsi="Century Schoolbook"/>
        </w:rPr>
        <w:t>Tabla</w:t>
      </w:r>
      <w:r w:rsidR="00306AE3" w:rsidRPr="005970E9">
        <w:rPr>
          <w:rFonts w:ascii="Century Schoolbook" w:hAnsi="Century Schoolbook"/>
        </w:rPr>
        <w:t xml:space="preserve"> </w:t>
      </w:r>
      <w:r w:rsidRPr="005970E9">
        <w:rPr>
          <w:rFonts w:ascii="Century Schoolbook" w:hAnsi="Century Schoolbook"/>
        </w:rPr>
        <w:fldChar w:fldCharType="begin"/>
      </w:r>
      <w:r w:rsidRPr="005970E9">
        <w:rPr>
          <w:rFonts w:ascii="Century Schoolbook" w:hAnsi="Century Schoolbook"/>
        </w:rPr>
        <w:instrText>SEQ Tabla \* ARABIC</w:instrText>
      </w:r>
      <w:r w:rsidRPr="005970E9">
        <w:rPr>
          <w:rFonts w:ascii="Century Schoolbook" w:hAnsi="Century Schoolbook"/>
        </w:rPr>
        <w:fldChar w:fldCharType="separate"/>
      </w:r>
      <w:r w:rsidR="009D1829" w:rsidRPr="005970E9">
        <w:rPr>
          <w:rFonts w:ascii="Century Schoolbook" w:hAnsi="Century Schoolbook"/>
          <w:noProof/>
        </w:rPr>
        <w:t>1</w:t>
      </w:r>
      <w:r w:rsidRPr="005970E9">
        <w:rPr>
          <w:rFonts w:ascii="Century Schoolbook" w:hAnsi="Century Schoolbook"/>
        </w:rPr>
        <w:fldChar w:fldCharType="end"/>
      </w:r>
      <w:r w:rsidR="00306AE3" w:rsidRPr="005970E9">
        <w:rPr>
          <w:rFonts w:ascii="Century Schoolbook" w:hAnsi="Century Schoolbook"/>
          <w:i w:val="0"/>
          <w:iCs w:val="0"/>
        </w:rPr>
        <w:t>.</w:t>
      </w:r>
      <w:r w:rsidR="00FF6ECF" w:rsidRPr="005970E9">
        <w:rPr>
          <w:rFonts w:ascii="Century Schoolbook" w:hAnsi="Century Schoolbook"/>
          <w:i w:val="0"/>
          <w:iCs w:val="0"/>
        </w:rPr>
        <w:t xml:space="preserve"> </w:t>
      </w:r>
      <w:r w:rsidR="00FF6ECF" w:rsidRPr="005970E9">
        <w:rPr>
          <w:rFonts w:ascii="Century Schoolbook" w:eastAsia="Century Schoolbook" w:hAnsi="Century Schoolbook" w:cs="Century Schoolbook"/>
          <w:bCs/>
          <w:i w:val="0"/>
          <w:iCs w:val="0"/>
          <w:color w:val="000000"/>
          <w:sz w:val="20"/>
          <w:szCs w:val="20"/>
        </w:rPr>
        <w:t xml:space="preserve">Población de 15 y más años de edad, no agrícola </w:t>
      </w:r>
      <w:r w:rsidR="00604445" w:rsidRPr="005970E9">
        <w:rPr>
          <w:rFonts w:ascii="Century Schoolbook" w:eastAsia="Century Schoolbook" w:hAnsi="Century Schoolbook" w:cs="Century Schoolbook"/>
          <w:bCs/>
          <w:i w:val="0"/>
          <w:iCs w:val="0"/>
          <w:color w:val="000000"/>
          <w:sz w:val="20"/>
          <w:szCs w:val="20"/>
        </w:rPr>
        <w:t>ocupada</w:t>
      </w:r>
      <w:r w:rsidR="00604445" w:rsidRPr="005970E9">
        <w:rPr>
          <w:rFonts w:ascii="Century Schoolbook" w:eastAsia="Century Schoolbook" w:hAnsi="Century Schoolbook" w:cs="Century Schoolbook"/>
          <w:bCs/>
          <w:i w:val="0"/>
          <w:iCs w:val="0"/>
          <w:color w:val="000000"/>
          <w:sz w:val="20"/>
          <w:szCs w:val="20"/>
          <w:vertAlign w:val="superscript"/>
        </w:rPr>
        <w:t xml:space="preserve"> (</w:t>
      </w:r>
      <w:r w:rsidR="00137AAE" w:rsidRPr="005970E9">
        <w:rPr>
          <w:rFonts w:ascii="Century Schoolbook" w:eastAsia="Century Schoolbook" w:hAnsi="Century Schoolbook" w:cs="Century Schoolbook"/>
          <w:bCs/>
          <w:i w:val="0"/>
          <w:iCs w:val="0"/>
          <w:color w:val="000000"/>
          <w:sz w:val="20"/>
          <w:szCs w:val="20"/>
          <w:vertAlign w:val="superscript"/>
        </w:rPr>
        <w:t>*)</w:t>
      </w:r>
      <w:r w:rsidR="00FF6ECF" w:rsidRPr="005970E9">
        <w:rPr>
          <w:rFonts w:ascii="Century Schoolbook" w:eastAsia="Century Schoolbook" w:hAnsi="Century Schoolbook" w:cs="Century Schoolbook"/>
          <w:bCs/>
          <w:i w:val="0"/>
          <w:iCs w:val="0"/>
          <w:color w:val="000000"/>
          <w:sz w:val="20"/>
          <w:szCs w:val="20"/>
        </w:rPr>
        <w:t xml:space="preserve"> por nivel de instrucción por sexo</w:t>
      </w:r>
      <w:r w:rsidR="00FF6ECF" w:rsidRPr="005970E9">
        <w:rPr>
          <w:rFonts w:ascii="Century Schoolbook" w:eastAsia="Century Schoolbook" w:hAnsi="Century Schoolbook" w:cs="Century Schoolbook"/>
          <w:b/>
          <w:color w:val="000000"/>
          <w:sz w:val="20"/>
          <w:szCs w:val="20"/>
        </w:rPr>
        <w:t>.</w:t>
      </w:r>
      <w:bookmarkEnd w:id="54"/>
    </w:p>
    <w:tbl>
      <w:tblPr>
        <w:tblW w:w="8567" w:type="dxa"/>
        <w:tblCellMar>
          <w:left w:w="70" w:type="dxa"/>
          <w:right w:w="70" w:type="dxa"/>
        </w:tblCellMar>
        <w:tblLook w:val="04A0" w:firstRow="1" w:lastRow="0" w:firstColumn="1" w:lastColumn="0" w:noHBand="0" w:noVBand="1"/>
      </w:tblPr>
      <w:tblGrid>
        <w:gridCol w:w="1240"/>
        <w:gridCol w:w="872"/>
        <w:gridCol w:w="1240"/>
        <w:gridCol w:w="1031"/>
        <w:gridCol w:w="11"/>
        <w:gridCol w:w="1214"/>
        <w:gridCol w:w="833"/>
        <w:gridCol w:w="1225"/>
        <w:gridCol w:w="901"/>
      </w:tblGrid>
      <w:tr w:rsidR="00277817" w:rsidRPr="005970E9" w14:paraId="708F4135" w14:textId="77777777" w:rsidTr="00A82C39">
        <w:trPr>
          <w:trHeight w:val="300"/>
        </w:trPr>
        <w:tc>
          <w:tcPr>
            <w:tcW w:w="2112" w:type="dxa"/>
            <w:gridSpan w:val="2"/>
            <w:vMerge w:val="restart"/>
            <w:tcBorders>
              <w:top w:val="single" w:sz="12" w:space="0" w:color="auto"/>
              <w:left w:val="single" w:sz="12" w:space="0" w:color="auto"/>
              <w:bottom w:val="single" w:sz="8" w:space="0" w:color="000000"/>
              <w:right w:val="nil"/>
            </w:tcBorders>
            <w:shd w:val="clear" w:color="auto" w:fill="auto"/>
            <w:vAlign w:val="center"/>
            <w:hideMark/>
          </w:tcPr>
          <w:p w14:paraId="5A064883" w14:textId="77777777" w:rsidR="00277817" w:rsidRPr="005970E9" w:rsidRDefault="00277817" w:rsidP="00277817">
            <w:pPr>
              <w:jc w:val="center"/>
              <w:rPr>
                <w:rFonts w:eastAsia="Times New Roman"/>
                <w:b/>
                <w:bCs/>
                <w:color w:val="000000"/>
                <w:sz w:val="20"/>
                <w:szCs w:val="20"/>
              </w:rPr>
            </w:pPr>
            <w:r w:rsidRPr="005970E9">
              <w:rPr>
                <w:rFonts w:eastAsia="Times New Roman"/>
                <w:b/>
                <w:bCs/>
                <w:color w:val="000000"/>
                <w:sz w:val="20"/>
                <w:szCs w:val="20"/>
              </w:rPr>
              <w:t>Nivel de instrucción</w:t>
            </w:r>
          </w:p>
        </w:tc>
        <w:tc>
          <w:tcPr>
            <w:tcW w:w="2271" w:type="dxa"/>
            <w:gridSpan w:val="2"/>
            <w:tcBorders>
              <w:top w:val="single" w:sz="12" w:space="0" w:color="auto"/>
              <w:left w:val="single" w:sz="8" w:space="0" w:color="auto"/>
              <w:bottom w:val="single" w:sz="8" w:space="0" w:color="auto"/>
              <w:right w:val="single" w:sz="8" w:space="0" w:color="000000"/>
            </w:tcBorders>
            <w:shd w:val="clear" w:color="auto" w:fill="auto"/>
            <w:noWrap/>
            <w:vAlign w:val="bottom"/>
            <w:hideMark/>
          </w:tcPr>
          <w:p w14:paraId="3E18A514" w14:textId="77777777" w:rsidR="00277817" w:rsidRPr="005970E9" w:rsidRDefault="00277817" w:rsidP="00277817">
            <w:pPr>
              <w:jc w:val="center"/>
              <w:rPr>
                <w:rFonts w:eastAsia="Times New Roman"/>
                <w:b/>
                <w:bCs/>
                <w:color w:val="000000"/>
              </w:rPr>
            </w:pPr>
            <w:r w:rsidRPr="005970E9">
              <w:rPr>
                <w:rFonts w:eastAsia="Times New Roman"/>
                <w:b/>
                <w:bCs/>
                <w:color w:val="000000"/>
              </w:rPr>
              <w:t>Total</w:t>
            </w:r>
          </w:p>
        </w:tc>
        <w:tc>
          <w:tcPr>
            <w:tcW w:w="2056" w:type="dxa"/>
            <w:gridSpan w:val="3"/>
            <w:tcBorders>
              <w:top w:val="single" w:sz="12" w:space="0" w:color="auto"/>
              <w:left w:val="nil"/>
              <w:bottom w:val="single" w:sz="8" w:space="0" w:color="000000"/>
              <w:right w:val="single" w:sz="8" w:space="0" w:color="000000"/>
            </w:tcBorders>
            <w:shd w:val="clear" w:color="auto" w:fill="auto"/>
            <w:vAlign w:val="center"/>
            <w:hideMark/>
          </w:tcPr>
          <w:p w14:paraId="5281C1C9" w14:textId="77777777" w:rsidR="00277817" w:rsidRPr="005970E9" w:rsidRDefault="00277817" w:rsidP="00277817">
            <w:pPr>
              <w:jc w:val="center"/>
              <w:rPr>
                <w:rFonts w:eastAsia="Times New Roman"/>
                <w:b/>
                <w:bCs/>
                <w:color w:val="000000"/>
                <w:sz w:val="20"/>
                <w:szCs w:val="20"/>
              </w:rPr>
            </w:pPr>
            <w:r w:rsidRPr="005970E9">
              <w:rPr>
                <w:rFonts w:eastAsia="Times New Roman"/>
                <w:b/>
                <w:bCs/>
                <w:color w:val="000000"/>
                <w:sz w:val="20"/>
                <w:szCs w:val="20"/>
              </w:rPr>
              <w:t>Mujeres</w:t>
            </w:r>
          </w:p>
        </w:tc>
        <w:tc>
          <w:tcPr>
            <w:tcW w:w="2126" w:type="dxa"/>
            <w:gridSpan w:val="2"/>
            <w:tcBorders>
              <w:top w:val="single" w:sz="12" w:space="0" w:color="auto"/>
              <w:left w:val="nil"/>
              <w:bottom w:val="single" w:sz="8" w:space="0" w:color="000000"/>
              <w:right w:val="single" w:sz="12" w:space="0" w:color="auto"/>
            </w:tcBorders>
            <w:shd w:val="clear" w:color="auto" w:fill="auto"/>
            <w:vAlign w:val="center"/>
            <w:hideMark/>
          </w:tcPr>
          <w:p w14:paraId="56F42DD6" w14:textId="77777777" w:rsidR="00277817" w:rsidRPr="005970E9" w:rsidRDefault="00277817" w:rsidP="00277817">
            <w:pPr>
              <w:jc w:val="center"/>
              <w:rPr>
                <w:rFonts w:eastAsia="Times New Roman"/>
                <w:b/>
                <w:bCs/>
                <w:color w:val="000000"/>
                <w:sz w:val="20"/>
                <w:szCs w:val="20"/>
              </w:rPr>
            </w:pPr>
            <w:r w:rsidRPr="005970E9">
              <w:rPr>
                <w:rFonts w:eastAsia="Times New Roman"/>
                <w:b/>
                <w:bCs/>
                <w:color w:val="000000"/>
                <w:sz w:val="20"/>
                <w:szCs w:val="20"/>
              </w:rPr>
              <w:t>Hombres</w:t>
            </w:r>
          </w:p>
        </w:tc>
      </w:tr>
      <w:tr w:rsidR="00277817" w:rsidRPr="005970E9" w14:paraId="2F8FF963" w14:textId="77777777" w:rsidTr="00A82C39">
        <w:trPr>
          <w:trHeight w:val="300"/>
        </w:trPr>
        <w:tc>
          <w:tcPr>
            <w:tcW w:w="2112" w:type="dxa"/>
            <w:gridSpan w:val="2"/>
            <w:vMerge/>
            <w:tcBorders>
              <w:top w:val="single" w:sz="8" w:space="0" w:color="000000"/>
              <w:left w:val="single" w:sz="12" w:space="0" w:color="auto"/>
              <w:bottom w:val="single" w:sz="8" w:space="0" w:color="000000"/>
              <w:right w:val="single" w:sz="4" w:space="0" w:color="auto"/>
            </w:tcBorders>
            <w:vAlign w:val="center"/>
            <w:hideMark/>
          </w:tcPr>
          <w:p w14:paraId="42C57F9F" w14:textId="77777777" w:rsidR="00277817" w:rsidRPr="005970E9" w:rsidRDefault="00277817" w:rsidP="00277817">
            <w:pPr>
              <w:rPr>
                <w:rFonts w:eastAsia="Times New Roman"/>
                <w:b/>
                <w:bCs/>
                <w:color w:val="000000"/>
                <w:sz w:val="20"/>
                <w:szCs w:val="20"/>
              </w:rPr>
            </w:pPr>
          </w:p>
        </w:tc>
        <w:tc>
          <w:tcPr>
            <w:tcW w:w="1240" w:type="dxa"/>
            <w:tcBorders>
              <w:top w:val="nil"/>
              <w:left w:val="single" w:sz="4" w:space="0" w:color="auto"/>
              <w:bottom w:val="single" w:sz="8" w:space="0" w:color="000000"/>
              <w:right w:val="single" w:sz="8" w:space="0" w:color="000000"/>
            </w:tcBorders>
            <w:shd w:val="clear" w:color="auto" w:fill="auto"/>
            <w:vAlign w:val="center"/>
            <w:hideMark/>
          </w:tcPr>
          <w:p w14:paraId="2DBDC9DC" w14:textId="77777777" w:rsidR="00277817" w:rsidRPr="005970E9" w:rsidRDefault="00277817" w:rsidP="00277817">
            <w:pPr>
              <w:jc w:val="right"/>
              <w:rPr>
                <w:rFonts w:eastAsia="Times New Roman"/>
                <w:b/>
                <w:bCs/>
                <w:color w:val="000000"/>
                <w:sz w:val="20"/>
                <w:szCs w:val="20"/>
              </w:rPr>
            </w:pPr>
            <w:r w:rsidRPr="005970E9">
              <w:rPr>
                <w:rFonts w:eastAsia="Times New Roman"/>
                <w:b/>
                <w:bCs/>
                <w:color w:val="000000"/>
                <w:sz w:val="20"/>
                <w:szCs w:val="20"/>
              </w:rPr>
              <w:t>1,644,045</w:t>
            </w:r>
          </w:p>
        </w:tc>
        <w:tc>
          <w:tcPr>
            <w:tcW w:w="1031" w:type="dxa"/>
            <w:tcBorders>
              <w:top w:val="nil"/>
              <w:left w:val="nil"/>
              <w:bottom w:val="single" w:sz="8" w:space="0" w:color="000000"/>
              <w:right w:val="single" w:sz="8" w:space="0" w:color="000000"/>
            </w:tcBorders>
            <w:shd w:val="clear" w:color="auto" w:fill="auto"/>
            <w:vAlign w:val="center"/>
            <w:hideMark/>
          </w:tcPr>
          <w:p w14:paraId="64F5C141" w14:textId="2DC605B0" w:rsidR="00277817" w:rsidRPr="005970E9" w:rsidRDefault="00277817" w:rsidP="00277817">
            <w:pPr>
              <w:jc w:val="right"/>
              <w:rPr>
                <w:rFonts w:eastAsia="Times New Roman"/>
                <w:b/>
                <w:bCs/>
                <w:color w:val="000000"/>
                <w:sz w:val="20"/>
                <w:szCs w:val="20"/>
              </w:rPr>
            </w:pPr>
            <w:r w:rsidRPr="005970E9">
              <w:rPr>
                <w:rFonts w:eastAsia="Times New Roman"/>
                <w:b/>
                <w:bCs/>
                <w:color w:val="000000"/>
                <w:sz w:val="20"/>
                <w:szCs w:val="20"/>
              </w:rPr>
              <w:t>100</w:t>
            </w:r>
          </w:p>
        </w:tc>
        <w:tc>
          <w:tcPr>
            <w:tcW w:w="1225" w:type="dxa"/>
            <w:gridSpan w:val="2"/>
            <w:tcBorders>
              <w:top w:val="nil"/>
              <w:left w:val="nil"/>
              <w:bottom w:val="single" w:sz="8" w:space="0" w:color="000000"/>
              <w:right w:val="single" w:sz="8" w:space="0" w:color="000000"/>
            </w:tcBorders>
            <w:shd w:val="clear" w:color="auto" w:fill="auto"/>
            <w:vAlign w:val="center"/>
            <w:hideMark/>
          </w:tcPr>
          <w:p w14:paraId="4303CDA1" w14:textId="77777777" w:rsidR="00277817" w:rsidRPr="005970E9" w:rsidRDefault="00277817" w:rsidP="00277817">
            <w:pPr>
              <w:jc w:val="right"/>
              <w:rPr>
                <w:rFonts w:eastAsia="Times New Roman"/>
                <w:b/>
                <w:bCs/>
                <w:color w:val="000000"/>
                <w:sz w:val="20"/>
                <w:szCs w:val="20"/>
              </w:rPr>
            </w:pPr>
            <w:r w:rsidRPr="005970E9">
              <w:rPr>
                <w:rFonts w:eastAsia="Times New Roman"/>
                <w:b/>
                <w:bCs/>
                <w:color w:val="000000"/>
                <w:sz w:val="20"/>
                <w:szCs w:val="20"/>
              </w:rPr>
              <w:t>734,176</w:t>
            </w:r>
          </w:p>
        </w:tc>
        <w:tc>
          <w:tcPr>
            <w:tcW w:w="831" w:type="dxa"/>
            <w:tcBorders>
              <w:top w:val="nil"/>
              <w:left w:val="nil"/>
              <w:bottom w:val="single" w:sz="8" w:space="0" w:color="000000"/>
              <w:right w:val="single" w:sz="8" w:space="0" w:color="000000"/>
            </w:tcBorders>
            <w:shd w:val="clear" w:color="auto" w:fill="auto"/>
            <w:vAlign w:val="center"/>
            <w:hideMark/>
          </w:tcPr>
          <w:p w14:paraId="03F46C5D" w14:textId="77777777" w:rsidR="00277817" w:rsidRPr="005970E9" w:rsidRDefault="00277817" w:rsidP="00277817">
            <w:pPr>
              <w:jc w:val="right"/>
              <w:rPr>
                <w:rFonts w:eastAsia="Times New Roman"/>
                <w:b/>
                <w:bCs/>
                <w:color w:val="000000"/>
                <w:sz w:val="20"/>
                <w:szCs w:val="20"/>
              </w:rPr>
            </w:pPr>
            <w:r w:rsidRPr="005970E9">
              <w:rPr>
                <w:rFonts w:eastAsia="Times New Roman"/>
                <w:b/>
                <w:bCs/>
                <w:color w:val="000000"/>
                <w:sz w:val="20"/>
                <w:szCs w:val="20"/>
              </w:rPr>
              <w:t>100%</w:t>
            </w:r>
          </w:p>
        </w:tc>
        <w:tc>
          <w:tcPr>
            <w:tcW w:w="1225" w:type="dxa"/>
            <w:tcBorders>
              <w:top w:val="nil"/>
              <w:left w:val="nil"/>
              <w:bottom w:val="single" w:sz="8" w:space="0" w:color="000000"/>
              <w:right w:val="single" w:sz="8" w:space="0" w:color="000000"/>
            </w:tcBorders>
            <w:shd w:val="clear" w:color="auto" w:fill="auto"/>
            <w:vAlign w:val="center"/>
            <w:hideMark/>
          </w:tcPr>
          <w:p w14:paraId="52EDDB37" w14:textId="77777777" w:rsidR="00277817" w:rsidRPr="005970E9" w:rsidRDefault="00277817" w:rsidP="00277817">
            <w:pPr>
              <w:jc w:val="right"/>
              <w:rPr>
                <w:rFonts w:eastAsia="Times New Roman"/>
                <w:b/>
                <w:bCs/>
                <w:color w:val="000000"/>
                <w:sz w:val="20"/>
                <w:szCs w:val="20"/>
              </w:rPr>
            </w:pPr>
            <w:r w:rsidRPr="005970E9">
              <w:rPr>
                <w:rFonts w:eastAsia="Times New Roman"/>
                <w:b/>
                <w:bCs/>
                <w:color w:val="000000"/>
                <w:sz w:val="20"/>
                <w:szCs w:val="20"/>
              </w:rPr>
              <w:t>909,869</w:t>
            </w:r>
          </w:p>
        </w:tc>
        <w:tc>
          <w:tcPr>
            <w:tcW w:w="901" w:type="dxa"/>
            <w:tcBorders>
              <w:top w:val="nil"/>
              <w:left w:val="nil"/>
              <w:bottom w:val="single" w:sz="8" w:space="0" w:color="000000"/>
              <w:right w:val="single" w:sz="12" w:space="0" w:color="auto"/>
            </w:tcBorders>
            <w:shd w:val="clear" w:color="auto" w:fill="auto"/>
            <w:vAlign w:val="center"/>
            <w:hideMark/>
          </w:tcPr>
          <w:p w14:paraId="09FFA600" w14:textId="77777777" w:rsidR="00277817" w:rsidRPr="005970E9" w:rsidRDefault="00277817" w:rsidP="00277817">
            <w:pPr>
              <w:jc w:val="right"/>
              <w:rPr>
                <w:rFonts w:eastAsia="Times New Roman"/>
                <w:b/>
                <w:bCs/>
                <w:color w:val="000000"/>
                <w:sz w:val="20"/>
                <w:szCs w:val="20"/>
              </w:rPr>
            </w:pPr>
            <w:r w:rsidRPr="005970E9">
              <w:rPr>
                <w:rFonts w:eastAsia="Times New Roman"/>
                <w:b/>
                <w:bCs/>
                <w:color w:val="000000"/>
                <w:sz w:val="20"/>
                <w:szCs w:val="20"/>
              </w:rPr>
              <w:t>100%</w:t>
            </w:r>
          </w:p>
        </w:tc>
      </w:tr>
      <w:tr w:rsidR="00277817" w:rsidRPr="005970E9" w14:paraId="37A083C4" w14:textId="77777777" w:rsidTr="00A82C39">
        <w:trPr>
          <w:trHeight w:val="300"/>
        </w:trPr>
        <w:tc>
          <w:tcPr>
            <w:tcW w:w="2112" w:type="dxa"/>
            <w:gridSpan w:val="2"/>
            <w:tcBorders>
              <w:top w:val="single" w:sz="8" w:space="0" w:color="000000"/>
              <w:left w:val="single" w:sz="12" w:space="0" w:color="auto"/>
              <w:bottom w:val="single" w:sz="8" w:space="0" w:color="000000"/>
              <w:right w:val="single" w:sz="8" w:space="0" w:color="000000"/>
            </w:tcBorders>
            <w:shd w:val="clear" w:color="auto" w:fill="auto"/>
            <w:vAlign w:val="center"/>
            <w:hideMark/>
          </w:tcPr>
          <w:p w14:paraId="415F04F6" w14:textId="77777777" w:rsidR="00277817" w:rsidRPr="005970E9" w:rsidRDefault="00277817" w:rsidP="00277817">
            <w:pPr>
              <w:jc w:val="center"/>
              <w:rPr>
                <w:rFonts w:eastAsia="Times New Roman"/>
                <w:color w:val="000000"/>
                <w:sz w:val="20"/>
                <w:szCs w:val="20"/>
              </w:rPr>
            </w:pPr>
            <w:r w:rsidRPr="005970E9">
              <w:rPr>
                <w:rFonts w:eastAsia="Times New Roman"/>
                <w:color w:val="000000"/>
                <w:sz w:val="20"/>
                <w:szCs w:val="20"/>
              </w:rPr>
              <w:t xml:space="preserve">Ningún grado </w:t>
            </w:r>
          </w:p>
        </w:tc>
        <w:tc>
          <w:tcPr>
            <w:tcW w:w="1240" w:type="dxa"/>
            <w:tcBorders>
              <w:top w:val="nil"/>
              <w:left w:val="nil"/>
              <w:bottom w:val="single" w:sz="8" w:space="0" w:color="000000"/>
              <w:right w:val="single" w:sz="8" w:space="0" w:color="000000"/>
            </w:tcBorders>
            <w:shd w:val="clear" w:color="auto" w:fill="auto"/>
            <w:vAlign w:val="center"/>
            <w:hideMark/>
          </w:tcPr>
          <w:p w14:paraId="754E1B78"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24,303</w:t>
            </w:r>
          </w:p>
        </w:tc>
        <w:tc>
          <w:tcPr>
            <w:tcW w:w="1031" w:type="dxa"/>
            <w:tcBorders>
              <w:top w:val="nil"/>
              <w:left w:val="nil"/>
              <w:bottom w:val="single" w:sz="8" w:space="0" w:color="000000"/>
              <w:right w:val="single" w:sz="8" w:space="0" w:color="000000"/>
            </w:tcBorders>
            <w:shd w:val="clear" w:color="auto" w:fill="auto"/>
            <w:vAlign w:val="center"/>
            <w:hideMark/>
          </w:tcPr>
          <w:p w14:paraId="5080BD15"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1.48</w:t>
            </w:r>
          </w:p>
        </w:tc>
        <w:tc>
          <w:tcPr>
            <w:tcW w:w="1225" w:type="dxa"/>
            <w:gridSpan w:val="2"/>
            <w:tcBorders>
              <w:top w:val="nil"/>
              <w:left w:val="nil"/>
              <w:bottom w:val="single" w:sz="8" w:space="0" w:color="000000"/>
              <w:right w:val="single" w:sz="8" w:space="0" w:color="000000"/>
            </w:tcBorders>
            <w:shd w:val="clear" w:color="auto" w:fill="auto"/>
            <w:vAlign w:val="center"/>
            <w:hideMark/>
          </w:tcPr>
          <w:p w14:paraId="75E2BD72"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14,354</w:t>
            </w:r>
          </w:p>
        </w:tc>
        <w:tc>
          <w:tcPr>
            <w:tcW w:w="831" w:type="dxa"/>
            <w:tcBorders>
              <w:top w:val="nil"/>
              <w:left w:val="nil"/>
              <w:bottom w:val="single" w:sz="8" w:space="0" w:color="000000"/>
              <w:right w:val="single" w:sz="8" w:space="0" w:color="000000"/>
            </w:tcBorders>
            <w:shd w:val="clear" w:color="auto" w:fill="auto"/>
            <w:vAlign w:val="center"/>
            <w:hideMark/>
          </w:tcPr>
          <w:p w14:paraId="168AB10F"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1.95</w:t>
            </w:r>
          </w:p>
        </w:tc>
        <w:tc>
          <w:tcPr>
            <w:tcW w:w="1225" w:type="dxa"/>
            <w:tcBorders>
              <w:top w:val="nil"/>
              <w:left w:val="nil"/>
              <w:bottom w:val="single" w:sz="8" w:space="0" w:color="000000"/>
              <w:right w:val="single" w:sz="8" w:space="0" w:color="000000"/>
            </w:tcBorders>
            <w:shd w:val="clear" w:color="auto" w:fill="auto"/>
            <w:vAlign w:val="center"/>
            <w:hideMark/>
          </w:tcPr>
          <w:p w14:paraId="61B73CA0"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9,949</w:t>
            </w:r>
          </w:p>
        </w:tc>
        <w:tc>
          <w:tcPr>
            <w:tcW w:w="901" w:type="dxa"/>
            <w:tcBorders>
              <w:top w:val="nil"/>
              <w:left w:val="nil"/>
              <w:bottom w:val="single" w:sz="8" w:space="0" w:color="000000"/>
              <w:right w:val="single" w:sz="12" w:space="0" w:color="auto"/>
            </w:tcBorders>
            <w:shd w:val="clear" w:color="auto" w:fill="auto"/>
            <w:vAlign w:val="center"/>
            <w:hideMark/>
          </w:tcPr>
          <w:p w14:paraId="4D9DBE76"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1.09</w:t>
            </w:r>
          </w:p>
        </w:tc>
      </w:tr>
      <w:tr w:rsidR="00277817" w:rsidRPr="005970E9" w14:paraId="1DB247B0" w14:textId="77777777" w:rsidTr="00A82C39">
        <w:trPr>
          <w:trHeight w:val="300"/>
        </w:trPr>
        <w:tc>
          <w:tcPr>
            <w:tcW w:w="1240" w:type="dxa"/>
            <w:vMerge w:val="restart"/>
            <w:tcBorders>
              <w:top w:val="nil"/>
              <w:left w:val="single" w:sz="12" w:space="0" w:color="auto"/>
              <w:bottom w:val="single" w:sz="8" w:space="0" w:color="000000"/>
              <w:right w:val="single" w:sz="8" w:space="0" w:color="000000"/>
            </w:tcBorders>
            <w:shd w:val="clear" w:color="auto" w:fill="auto"/>
            <w:vAlign w:val="center"/>
            <w:hideMark/>
          </w:tcPr>
          <w:p w14:paraId="23EBDA4F" w14:textId="77777777" w:rsidR="00277817" w:rsidRPr="005970E9" w:rsidRDefault="00277817" w:rsidP="00277817">
            <w:pPr>
              <w:jc w:val="center"/>
              <w:rPr>
                <w:rFonts w:eastAsia="Times New Roman"/>
                <w:color w:val="000000"/>
                <w:sz w:val="20"/>
                <w:szCs w:val="20"/>
              </w:rPr>
            </w:pPr>
            <w:r w:rsidRPr="005970E9">
              <w:rPr>
                <w:rFonts w:eastAsia="Times New Roman"/>
                <w:color w:val="000000"/>
                <w:sz w:val="20"/>
                <w:szCs w:val="20"/>
              </w:rPr>
              <w:t>Primaria</w:t>
            </w:r>
          </w:p>
        </w:tc>
        <w:tc>
          <w:tcPr>
            <w:tcW w:w="872" w:type="dxa"/>
            <w:tcBorders>
              <w:top w:val="nil"/>
              <w:left w:val="nil"/>
              <w:bottom w:val="single" w:sz="8" w:space="0" w:color="000000"/>
              <w:right w:val="single" w:sz="8" w:space="0" w:color="000000"/>
            </w:tcBorders>
            <w:shd w:val="clear" w:color="auto" w:fill="auto"/>
            <w:vAlign w:val="center"/>
            <w:hideMark/>
          </w:tcPr>
          <w:p w14:paraId="2A22D5F4" w14:textId="77777777" w:rsidR="00277817" w:rsidRPr="005970E9" w:rsidRDefault="00277817" w:rsidP="00277817">
            <w:pPr>
              <w:jc w:val="center"/>
              <w:rPr>
                <w:rFonts w:eastAsia="Times New Roman"/>
                <w:color w:val="000000"/>
                <w:sz w:val="20"/>
                <w:szCs w:val="20"/>
              </w:rPr>
            </w:pPr>
            <w:r w:rsidRPr="005970E9">
              <w:rPr>
                <w:rFonts w:eastAsia="Times New Roman"/>
                <w:color w:val="000000"/>
                <w:sz w:val="20"/>
                <w:szCs w:val="20"/>
              </w:rPr>
              <w:t>1 a 3</w:t>
            </w:r>
          </w:p>
        </w:tc>
        <w:tc>
          <w:tcPr>
            <w:tcW w:w="1240" w:type="dxa"/>
            <w:tcBorders>
              <w:top w:val="nil"/>
              <w:left w:val="nil"/>
              <w:bottom w:val="single" w:sz="8" w:space="0" w:color="000000"/>
              <w:right w:val="single" w:sz="8" w:space="0" w:color="000000"/>
            </w:tcBorders>
            <w:shd w:val="clear" w:color="auto" w:fill="auto"/>
            <w:vAlign w:val="center"/>
            <w:hideMark/>
          </w:tcPr>
          <w:p w14:paraId="1576AF89"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31,416</w:t>
            </w:r>
          </w:p>
        </w:tc>
        <w:tc>
          <w:tcPr>
            <w:tcW w:w="1031" w:type="dxa"/>
            <w:tcBorders>
              <w:top w:val="nil"/>
              <w:left w:val="nil"/>
              <w:bottom w:val="single" w:sz="8" w:space="0" w:color="000000"/>
              <w:right w:val="single" w:sz="8" w:space="0" w:color="000000"/>
            </w:tcBorders>
            <w:shd w:val="clear" w:color="auto" w:fill="auto"/>
            <w:vAlign w:val="center"/>
            <w:hideMark/>
          </w:tcPr>
          <w:p w14:paraId="0538CF99"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1.91</w:t>
            </w:r>
          </w:p>
        </w:tc>
        <w:tc>
          <w:tcPr>
            <w:tcW w:w="1225" w:type="dxa"/>
            <w:gridSpan w:val="2"/>
            <w:tcBorders>
              <w:top w:val="nil"/>
              <w:left w:val="nil"/>
              <w:bottom w:val="single" w:sz="8" w:space="0" w:color="000000"/>
              <w:right w:val="single" w:sz="8" w:space="0" w:color="000000"/>
            </w:tcBorders>
            <w:shd w:val="clear" w:color="auto" w:fill="auto"/>
            <w:vAlign w:val="center"/>
            <w:hideMark/>
          </w:tcPr>
          <w:p w14:paraId="6F80D63A"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13,739</w:t>
            </w:r>
          </w:p>
        </w:tc>
        <w:tc>
          <w:tcPr>
            <w:tcW w:w="831" w:type="dxa"/>
            <w:tcBorders>
              <w:top w:val="nil"/>
              <w:left w:val="nil"/>
              <w:bottom w:val="single" w:sz="8" w:space="0" w:color="000000"/>
              <w:right w:val="single" w:sz="8" w:space="0" w:color="000000"/>
            </w:tcBorders>
            <w:shd w:val="clear" w:color="auto" w:fill="auto"/>
            <w:vAlign w:val="center"/>
            <w:hideMark/>
          </w:tcPr>
          <w:p w14:paraId="3CA7715F"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1.87</w:t>
            </w:r>
          </w:p>
        </w:tc>
        <w:tc>
          <w:tcPr>
            <w:tcW w:w="1225" w:type="dxa"/>
            <w:tcBorders>
              <w:top w:val="nil"/>
              <w:left w:val="nil"/>
              <w:bottom w:val="single" w:sz="8" w:space="0" w:color="000000"/>
              <w:right w:val="single" w:sz="8" w:space="0" w:color="000000"/>
            </w:tcBorders>
            <w:shd w:val="clear" w:color="auto" w:fill="auto"/>
            <w:vAlign w:val="center"/>
            <w:hideMark/>
          </w:tcPr>
          <w:p w14:paraId="7EB51E8D"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17,677</w:t>
            </w:r>
          </w:p>
        </w:tc>
        <w:tc>
          <w:tcPr>
            <w:tcW w:w="901" w:type="dxa"/>
            <w:tcBorders>
              <w:top w:val="nil"/>
              <w:left w:val="nil"/>
              <w:bottom w:val="single" w:sz="8" w:space="0" w:color="000000"/>
              <w:right w:val="single" w:sz="12" w:space="0" w:color="auto"/>
            </w:tcBorders>
            <w:shd w:val="clear" w:color="auto" w:fill="auto"/>
            <w:vAlign w:val="center"/>
            <w:hideMark/>
          </w:tcPr>
          <w:p w14:paraId="05620DA6"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1.94</w:t>
            </w:r>
          </w:p>
        </w:tc>
      </w:tr>
      <w:tr w:rsidR="00277817" w:rsidRPr="005970E9" w14:paraId="769B3060" w14:textId="77777777" w:rsidTr="00A82C39">
        <w:trPr>
          <w:trHeight w:val="300"/>
        </w:trPr>
        <w:tc>
          <w:tcPr>
            <w:tcW w:w="1240" w:type="dxa"/>
            <w:vMerge/>
            <w:tcBorders>
              <w:top w:val="nil"/>
              <w:left w:val="single" w:sz="12" w:space="0" w:color="auto"/>
              <w:bottom w:val="single" w:sz="8" w:space="0" w:color="000000"/>
              <w:right w:val="single" w:sz="8" w:space="0" w:color="000000"/>
            </w:tcBorders>
            <w:vAlign w:val="center"/>
            <w:hideMark/>
          </w:tcPr>
          <w:p w14:paraId="5B74EF1F" w14:textId="77777777" w:rsidR="00277817" w:rsidRPr="005970E9" w:rsidRDefault="00277817" w:rsidP="00277817">
            <w:pPr>
              <w:rPr>
                <w:rFonts w:eastAsia="Times New Roman"/>
                <w:color w:val="000000"/>
                <w:sz w:val="20"/>
                <w:szCs w:val="20"/>
              </w:rPr>
            </w:pPr>
          </w:p>
        </w:tc>
        <w:tc>
          <w:tcPr>
            <w:tcW w:w="872" w:type="dxa"/>
            <w:tcBorders>
              <w:top w:val="nil"/>
              <w:left w:val="nil"/>
              <w:bottom w:val="single" w:sz="8" w:space="0" w:color="000000"/>
              <w:right w:val="single" w:sz="8" w:space="0" w:color="000000"/>
            </w:tcBorders>
            <w:shd w:val="clear" w:color="auto" w:fill="auto"/>
            <w:vAlign w:val="center"/>
            <w:hideMark/>
          </w:tcPr>
          <w:p w14:paraId="30065D57" w14:textId="77777777" w:rsidR="00277817" w:rsidRPr="005970E9" w:rsidRDefault="00277817" w:rsidP="00277817">
            <w:pPr>
              <w:jc w:val="center"/>
              <w:rPr>
                <w:rFonts w:eastAsia="Times New Roman"/>
                <w:color w:val="000000"/>
                <w:sz w:val="20"/>
                <w:szCs w:val="20"/>
              </w:rPr>
            </w:pPr>
            <w:r w:rsidRPr="005970E9">
              <w:rPr>
                <w:rFonts w:eastAsia="Times New Roman"/>
                <w:color w:val="000000"/>
                <w:sz w:val="20"/>
                <w:szCs w:val="20"/>
              </w:rPr>
              <w:t>4 a 6</w:t>
            </w:r>
          </w:p>
        </w:tc>
        <w:tc>
          <w:tcPr>
            <w:tcW w:w="1240" w:type="dxa"/>
            <w:tcBorders>
              <w:top w:val="nil"/>
              <w:left w:val="nil"/>
              <w:bottom w:val="single" w:sz="8" w:space="0" w:color="000000"/>
              <w:right w:val="single" w:sz="8" w:space="0" w:color="000000"/>
            </w:tcBorders>
            <w:shd w:val="clear" w:color="auto" w:fill="auto"/>
            <w:vAlign w:val="center"/>
            <w:hideMark/>
          </w:tcPr>
          <w:p w14:paraId="7F37ADB7"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219,782</w:t>
            </w:r>
          </w:p>
        </w:tc>
        <w:tc>
          <w:tcPr>
            <w:tcW w:w="1031" w:type="dxa"/>
            <w:tcBorders>
              <w:top w:val="nil"/>
              <w:left w:val="nil"/>
              <w:bottom w:val="single" w:sz="8" w:space="0" w:color="000000"/>
              <w:right w:val="single" w:sz="8" w:space="0" w:color="000000"/>
            </w:tcBorders>
            <w:shd w:val="clear" w:color="auto" w:fill="auto"/>
            <w:vAlign w:val="center"/>
            <w:hideMark/>
          </w:tcPr>
          <w:p w14:paraId="161040E4"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13.37</w:t>
            </w:r>
          </w:p>
        </w:tc>
        <w:tc>
          <w:tcPr>
            <w:tcW w:w="1225" w:type="dxa"/>
            <w:gridSpan w:val="2"/>
            <w:tcBorders>
              <w:top w:val="nil"/>
              <w:left w:val="nil"/>
              <w:bottom w:val="single" w:sz="8" w:space="0" w:color="000000"/>
              <w:right w:val="single" w:sz="8" w:space="0" w:color="000000"/>
            </w:tcBorders>
            <w:shd w:val="clear" w:color="auto" w:fill="auto"/>
            <w:vAlign w:val="center"/>
            <w:hideMark/>
          </w:tcPr>
          <w:p w14:paraId="0896249A"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88,665</w:t>
            </w:r>
          </w:p>
        </w:tc>
        <w:tc>
          <w:tcPr>
            <w:tcW w:w="831" w:type="dxa"/>
            <w:tcBorders>
              <w:top w:val="nil"/>
              <w:left w:val="nil"/>
              <w:bottom w:val="single" w:sz="8" w:space="0" w:color="000000"/>
              <w:right w:val="single" w:sz="8" w:space="0" w:color="000000"/>
            </w:tcBorders>
            <w:shd w:val="clear" w:color="auto" w:fill="auto"/>
            <w:vAlign w:val="center"/>
            <w:hideMark/>
          </w:tcPr>
          <w:p w14:paraId="0306DD26"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12.08</w:t>
            </w:r>
          </w:p>
        </w:tc>
        <w:tc>
          <w:tcPr>
            <w:tcW w:w="1225" w:type="dxa"/>
            <w:tcBorders>
              <w:top w:val="nil"/>
              <w:left w:val="nil"/>
              <w:bottom w:val="single" w:sz="8" w:space="0" w:color="000000"/>
              <w:right w:val="single" w:sz="8" w:space="0" w:color="000000"/>
            </w:tcBorders>
            <w:shd w:val="clear" w:color="auto" w:fill="auto"/>
            <w:vAlign w:val="center"/>
            <w:hideMark/>
          </w:tcPr>
          <w:p w14:paraId="395EACEF"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131,117</w:t>
            </w:r>
          </w:p>
        </w:tc>
        <w:tc>
          <w:tcPr>
            <w:tcW w:w="901" w:type="dxa"/>
            <w:tcBorders>
              <w:top w:val="nil"/>
              <w:left w:val="nil"/>
              <w:bottom w:val="single" w:sz="8" w:space="0" w:color="000000"/>
              <w:right w:val="single" w:sz="12" w:space="0" w:color="auto"/>
            </w:tcBorders>
            <w:shd w:val="clear" w:color="auto" w:fill="auto"/>
            <w:vAlign w:val="center"/>
            <w:hideMark/>
          </w:tcPr>
          <w:p w14:paraId="001D142A"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14.41</w:t>
            </w:r>
          </w:p>
        </w:tc>
      </w:tr>
      <w:tr w:rsidR="00277817" w:rsidRPr="005970E9" w14:paraId="46FA7E96" w14:textId="77777777" w:rsidTr="00A82C39">
        <w:trPr>
          <w:trHeight w:val="300"/>
        </w:trPr>
        <w:tc>
          <w:tcPr>
            <w:tcW w:w="1240" w:type="dxa"/>
            <w:vMerge w:val="restart"/>
            <w:tcBorders>
              <w:top w:val="nil"/>
              <w:left w:val="single" w:sz="12" w:space="0" w:color="auto"/>
              <w:bottom w:val="single" w:sz="8" w:space="0" w:color="000000"/>
              <w:right w:val="single" w:sz="8" w:space="0" w:color="000000"/>
            </w:tcBorders>
            <w:shd w:val="clear" w:color="auto" w:fill="auto"/>
            <w:vAlign w:val="center"/>
            <w:hideMark/>
          </w:tcPr>
          <w:p w14:paraId="3A9BB7A8" w14:textId="77777777" w:rsidR="00277817" w:rsidRPr="005970E9" w:rsidRDefault="00277817" w:rsidP="00277817">
            <w:pPr>
              <w:jc w:val="center"/>
              <w:rPr>
                <w:rFonts w:eastAsia="Times New Roman"/>
                <w:color w:val="000000"/>
                <w:sz w:val="20"/>
                <w:szCs w:val="20"/>
              </w:rPr>
            </w:pPr>
            <w:r w:rsidRPr="005970E9">
              <w:rPr>
                <w:rFonts w:eastAsia="Times New Roman"/>
                <w:color w:val="000000"/>
                <w:sz w:val="20"/>
                <w:szCs w:val="20"/>
              </w:rPr>
              <w:t>Secundaria</w:t>
            </w:r>
          </w:p>
        </w:tc>
        <w:tc>
          <w:tcPr>
            <w:tcW w:w="872" w:type="dxa"/>
            <w:tcBorders>
              <w:top w:val="nil"/>
              <w:left w:val="nil"/>
              <w:bottom w:val="single" w:sz="8" w:space="0" w:color="000000"/>
              <w:right w:val="single" w:sz="8" w:space="0" w:color="000000"/>
            </w:tcBorders>
            <w:shd w:val="clear" w:color="auto" w:fill="auto"/>
            <w:vAlign w:val="center"/>
            <w:hideMark/>
          </w:tcPr>
          <w:p w14:paraId="02E175BC" w14:textId="77777777" w:rsidR="00277817" w:rsidRPr="005970E9" w:rsidRDefault="00277817" w:rsidP="00277817">
            <w:pPr>
              <w:jc w:val="center"/>
              <w:rPr>
                <w:rFonts w:eastAsia="Times New Roman"/>
                <w:color w:val="000000"/>
                <w:sz w:val="20"/>
                <w:szCs w:val="20"/>
              </w:rPr>
            </w:pPr>
            <w:r w:rsidRPr="005970E9">
              <w:rPr>
                <w:rFonts w:eastAsia="Times New Roman"/>
                <w:color w:val="000000"/>
                <w:sz w:val="20"/>
                <w:szCs w:val="20"/>
              </w:rPr>
              <w:t>1 a 3</w:t>
            </w:r>
          </w:p>
        </w:tc>
        <w:tc>
          <w:tcPr>
            <w:tcW w:w="1240" w:type="dxa"/>
            <w:tcBorders>
              <w:top w:val="nil"/>
              <w:left w:val="nil"/>
              <w:bottom w:val="single" w:sz="8" w:space="0" w:color="000000"/>
              <w:right w:val="single" w:sz="8" w:space="0" w:color="000000"/>
            </w:tcBorders>
            <w:shd w:val="clear" w:color="auto" w:fill="auto"/>
            <w:vAlign w:val="center"/>
            <w:hideMark/>
          </w:tcPr>
          <w:p w14:paraId="1E6E6EA3"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232,253</w:t>
            </w:r>
          </w:p>
        </w:tc>
        <w:tc>
          <w:tcPr>
            <w:tcW w:w="1031" w:type="dxa"/>
            <w:tcBorders>
              <w:top w:val="nil"/>
              <w:left w:val="nil"/>
              <w:bottom w:val="single" w:sz="8" w:space="0" w:color="000000"/>
              <w:right w:val="single" w:sz="8" w:space="0" w:color="000000"/>
            </w:tcBorders>
            <w:shd w:val="clear" w:color="auto" w:fill="auto"/>
            <w:vAlign w:val="center"/>
            <w:hideMark/>
          </w:tcPr>
          <w:p w14:paraId="0D9725AF"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14.13</w:t>
            </w:r>
          </w:p>
        </w:tc>
        <w:tc>
          <w:tcPr>
            <w:tcW w:w="1225" w:type="dxa"/>
            <w:gridSpan w:val="2"/>
            <w:tcBorders>
              <w:top w:val="nil"/>
              <w:left w:val="nil"/>
              <w:bottom w:val="single" w:sz="8" w:space="0" w:color="000000"/>
              <w:right w:val="single" w:sz="8" w:space="0" w:color="000000"/>
            </w:tcBorders>
            <w:shd w:val="clear" w:color="auto" w:fill="auto"/>
            <w:vAlign w:val="center"/>
            <w:hideMark/>
          </w:tcPr>
          <w:p w14:paraId="7A8D531B"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80,964</w:t>
            </w:r>
          </w:p>
        </w:tc>
        <w:tc>
          <w:tcPr>
            <w:tcW w:w="831" w:type="dxa"/>
            <w:tcBorders>
              <w:top w:val="nil"/>
              <w:left w:val="nil"/>
              <w:bottom w:val="single" w:sz="8" w:space="0" w:color="000000"/>
              <w:right w:val="single" w:sz="8" w:space="0" w:color="000000"/>
            </w:tcBorders>
            <w:shd w:val="clear" w:color="auto" w:fill="auto"/>
            <w:vAlign w:val="center"/>
            <w:hideMark/>
          </w:tcPr>
          <w:p w14:paraId="1ABA3D47"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11.03</w:t>
            </w:r>
          </w:p>
        </w:tc>
        <w:tc>
          <w:tcPr>
            <w:tcW w:w="1225" w:type="dxa"/>
            <w:tcBorders>
              <w:top w:val="nil"/>
              <w:left w:val="nil"/>
              <w:bottom w:val="single" w:sz="8" w:space="0" w:color="000000"/>
              <w:right w:val="single" w:sz="8" w:space="0" w:color="000000"/>
            </w:tcBorders>
            <w:shd w:val="clear" w:color="auto" w:fill="auto"/>
            <w:vAlign w:val="center"/>
            <w:hideMark/>
          </w:tcPr>
          <w:p w14:paraId="75CD9A0B"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151,289</w:t>
            </w:r>
          </w:p>
        </w:tc>
        <w:tc>
          <w:tcPr>
            <w:tcW w:w="901" w:type="dxa"/>
            <w:tcBorders>
              <w:top w:val="nil"/>
              <w:left w:val="nil"/>
              <w:bottom w:val="single" w:sz="8" w:space="0" w:color="000000"/>
              <w:right w:val="single" w:sz="12" w:space="0" w:color="auto"/>
            </w:tcBorders>
            <w:shd w:val="clear" w:color="auto" w:fill="auto"/>
            <w:vAlign w:val="center"/>
            <w:hideMark/>
          </w:tcPr>
          <w:p w14:paraId="6B9B7C3F"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16.63</w:t>
            </w:r>
          </w:p>
        </w:tc>
      </w:tr>
      <w:tr w:rsidR="00277817" w:rsidRPr="005970E9" w14:paraId="4678F036" w14:textId="77777777" w:rsidTr="00A82C39">
        <w:trPr>
          <w:trHeight w:val="300"/>
        </w:trPr>
        <w:tc>
          <w:tcPr>
            <w:tcW w:w="1240" w:type="dxa"/>
            <w:vMerge/>
            <w:tcBorders>
              <w:top w:val="nil"/>
              <w:left w:val="single" w:sz="12" w:space="0" w:color="auto"/>
              <w:bottom w:val="single" w:sz="8" w:space="0" w:color="000000"/>
              <w:right w:val="single" w:sz="8" w:space="0" w:color="000000"/>
            </w:tcBorders>
            <w:vAlign w:val="center"/>
            <w:hideMark/>
          </w:tcPr>
          <w:p w14:paraId="12D72A85" w14:textId="77777777" w:rsidR="00277817" w:rsidRPr="005970E9" w:rsidRDefault="00277817" w:rsidP="00277817">
            <w:pPr>
              <w:rPr>
                <w:rFonts w:eastAsia="Times New Roman"/>
                <w:color w:val="000000"/>
                <w:sz w:val="20"/>
                <w:szCs w:val="20"/>
              </w:rPr>
            </w:pPr>
          </w:p>
        </w:tc>
        <w:tc>
          <w:tcPr>
            <w:tcW w:w="872" w:type="dxa"/>
            <w:tcBorders>
              <w:top w:val="nil"/>
              <w:left w:val="nil"/>
              <w:bottom w:val="single" w:sz="8" w:space="0" w:color="000000"/>
              <w:right w:val="single" w:sz="8" w:space="0" w:color="000000"/>
            </w:tcBorders>
            <w:shd w:val="clear" w:color="auto" w:fill="auto"/>
            <w:vAlign w:val="center"/>
            <w:hideMark/>
          </w:tcPr>
          <w:p w14:paraId="6386E49D" w14:textId="77777777" w:rsidR="00277817" w:rsidRPr="005970E9" w:rsidRDefault="00277817" w:rsidP="00277817">
            <w:pPr>
              <w:jc w:val="center"/>
              <w:rPr>
                <w:rFonts w:eastAsia="Times New Roman"/>
                <w:color w:val="000000"/>
                <w:sz w:val="20"/>
                <w:szCs w:val="20"/>
              </w:rPr>
            </w:pPr>
            <w:r w:rsidRPr="005970E9">
              <w:rPr>
                <w:rFonts w:eastAsia="Times New Roman"/>
                <w:color w:val="000000"/>
                <w:sz w:val="20"/>
                <w:szCs w:val="20"/>
              </w:rPr>
              <w:t>4 a 6</w:t>
            </w:r>
          </w:p>
        </w:tc>
        <w:tc>
          <w:tcPr>
            <w:tcW w:w="1240" w:type="dxa"/>
            <w:tcBorders>
              <w:top w:val="nil"/>
              <w:left w:val="nil"/>
              <w:bottom w:val="single" w:sz="8" w:space="0" w:color="000000"/>
              <w:right w:val="single" w:sz="8" w:space="0" w:color="000000"/>
            </w:tcBorders>
            <w:shd w:val="clear" w:color="auto" w:fill="auto"/>
            <w:vAlign w:val="center"/>
            <w:hideMark/>
          </w:tcPr>
          <w:p w14:paraId="48FD52FF"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555,061</w:t>
            </w:r>
          </w:p>
        </w:tc>
        <w:tc>
          <w:tcPr>
            <w:tcW w:w="1031" w:type="dxa"/>
            <w:tcBorders>
              <w:top w:val="nil"/>
              <w:left w:val="nil"/>
              <w:bottom w:val="single" w:sz="8" w:space="0" w:color="000000"/>
              <w:right w:val="single" w:sz="8" w:space="0" w:color="000000"/>
            </w:tcBorders>
            <w:shd w:val="clear" w:color="auto" w:fill="auto"/>
            <w:vAlign w:val="center"/>
            <w:hideMark/>
          </w:tcPr>
          <w:p w14:paraId="3965D30F"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33.76</w:t>
            </w:r>
          </w:p>
        </w:tc>
        <w:tc>
          <w:tcPr>
            <w:tcW w:w="1225" w:type="dxa"/>
            <w:gridSpan w:val="2"/>
            <w:tcBorders>
              <w:top w:val="nil"/>
              <w:left w:val="nil"/>
              <w:bottom w:val="single" w:sz="8" w:space="0" w:color="000000"/>
              <w:right w:val="single" w:sz="8" w:space="0" w:color="000000"/>
            </w:tcBorders>
            <w:shd w:val="clear" w:color="auto" w:fill="auto"/>
            <w:vAlign w:val="center"/>
            <w:hideMark/>
          </w:tcPr>
          <w:p w14:paraId="125EB8CC"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221,088</w:t>
            </w:r>
          </w:p>
        </w:tc>
        <w:tc>
          <w:tcPr>
            <w:tcW w:w="831" w:type="dxa"/>
            <w:tcBorders>
              <w:top w:val="nil"/>
              <w:left w:val="nil"/>
              <w:bottom w:val="single" w:sz="8" w:space="0" w:color="000000"/>
              <w:right w:val="single" w:sz="8" w:space="0" w:color="000000"/>
            </w:tcBorders>
            <w:shd w:val="clear" w:color="auto" w:fill="auto"/>
            <w:vAlign w:val="center"/>
            <w:hideMark/>
          </w:tcPr>
          <w:p w14:paraId="56E4357C"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30.11</w:t>
            </w:r>
          </w:p>
        </w:tc>
        <w:tc>
          <w:tcPr>
            <w:tcW w:w="1225" w:type="dxa"/>
            <w:tcBorders>
              <w:top w:val="nil"/>
              <w:left w:val="nil"/>
              <w:bottom w:val="single" w:sz="8" w:space="0" w:color="000000"/>
              <w:right w:val="single" w:sz="8" w:space="0" w:color="000000"/>
            </w:tcBorders>
            <w:shd w:val="clear" w:color="auto" w:fill="auto"/>
            <w:vAlign w:val="center"/>
            <w:hideMark/>
          </w:tcPr>
          <w:p w14:paraId="0BE4CBEA"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333,973</w:t>
            </w:r>
          </w:p>
        </w:tc>
        <w:tc>
          <w:tcPr>
            <w:tcW w:w="901" w:type="dxa"/>
            <w:tcBorders>
              <w:top w:val="nil"/>
              <w:left w:val="nil"/>
              <w:bottom w:val="single" w:sz="8" w:space="0" w:color="000000"/>
              <w:right w:val="single" w:sz="12" w:space="0" w:color="auto"/>
            </w:tcBorders>
            <w:shd w:val="clear" w:color="auto" w:fill="auto"/>
            <w:vAlign w:val="center"/>
            <w:hideMark/>
          </w:tcPr>
          <w:p w14:paraId="636F78C4"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36.71</w:t>
            </w:r>
          </w:p>
        </w:tc>
      </w:tr>
      <w:tr w:rsidR="00277817" w:rsidRPr="005970E9" w14:paraId="492FF03D" w14:textId="77777777" w:rsidTr="00A82C39">
        <w:trPr>
          <w:trHeight w:val="300"/>
        </w:trPr>
        <w:tc>
          <w:tcPr>
            <w:tcW w:w="2112" w:type="dxa"/>
            <w:gridSpan w:val="2"/>
            <w:tcBorders>
              <w:top w:val="single" w:sz="8" w:space="0" w:color="000000"/>
              <w:left w:val="single" w:sz="12" w:space="0" w:color="auto"/>
              <w:bottom w:val="single" w:sz="8" w:space="0" w:color="000000"/>
              <w:right w:val="single" w:sz="8" w:space="0" w:color="000000"/>
            </w:tcBorders>
            <w:shd w:val="clear" w:color="auto" w:fill="auto"/>
            <w:vAlign w:val="center"/>
            <w:hideMark/>
          </w:tcPr>
          <w:p w14:paraId="28A42EDF" w14:textId="77777777" w:rsidR="00277817" w:rsidRPr="005970E9" w:rsidRDefault="00277817" w:rsidP="00277817">
            <w:pPr>
              <w:jc w:val="center"/>
              <w:rPr>
                <w:rFonts w:eastAsia="Times New Roman"/>
                <w:color w:val="000000"/>
                <w:sz w:val="20"/>
                <w:szCs w:val="20"/>
              </w:rPr>
            </w:pPr>
            <w:r w:rsidRPr="005970E9">
              <w:rPr>
                <w:rFonts w:eastAsia="Times New Roman"/>
                <w:color w:val="000000"/>
                <w:sz w:val="20"/>
                <w:szCs w:val="20"/>
              </w:rPr>
              <w:t>Vocacional</w:t>
            </w:r>
          </w:p>
        </w:tc>
        <w:tc>
          <w:tcPr>
            <w:tcW w:w="1240" w:type="dxa"/>
            <w:tcBorders>
              <w:top w:val="nil"/>
              <w:left w:val="nil"/>
              <w:bottom w:val="single" w:sz="8" w:space="0" w:color="000000"/>
              <w:right w:val="single" w:sz="8" w:space="0" w:color="000000"/>
            </w:tcBorders>
            <w:shd w:val="clear" w:color="auto" w:fill="auto"/>
            <w:vAlign w:val="center"/>
            <w:hideMark/>
          </w:tcPr>
          <w:p w14:paraId="3DA6E007"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15,980</w:t>
            </w:r>
          </w:p>
        </w:tc>
        <w:tc>
          <w:tcPr>
            <w:tcW w:w="1031" w:type="dxa"/>
            <w:tcBorders>
              <w:top w:val="nil"/>
              <w:left w:val="nil"/>
              <w:bottom w:val="single" w:sz="8" w:space="0" w:color="000000"/>
              <w:right w:val="single" w:sz="8" w:space="0" w:color="000000"/>
            </w:tcBorders>
            <w:shd w:val="clear" w:color="auto" w:fill="auto"/>
            <w:vAlign w:val="center"/>
            <w:hideMark/>
          </w:tcPr>
          <w:p w14:paraId="45ED3D2A"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0.97</w:t>
            </w:r>
          </w:p>
        </w:tc>
        <w:tc>
          <w:tcPr>
            <w:tcW w:w="1225" w:type="dxa"/>
            <w:gridSpan w:val="2"/>
            <w:tcBorders>
              <w:top w:val="nil"/>
              <w:left w:val="nil"/>
              <w:bottom w:val="single" w:sz="8" w:space="0" w:color="000000"/>
              <w:right w:val="single" w:sz="8" w:space="0" w:color="000000"/>
            </w:tcBorders>
            <w:shd w:val="clear" w:color="auto" w:fill="auto"/>
            <w:vAlign w:val="center"/>
            <w:hideMark/>
          </w:tcPr>
          <w:p w14:paraId="39505F2E"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6,290</w:t>
            </w:r>
          </w:p>
        </w:tc>
        <w:tc>
          <w:tcPr>
            <w:tcW w:w="831" w:type="dxa"/>
            <w:tcBorders>
              <w:top w:val="nil"/>
              <w:left w:val="nil"/>
              <w:bottom w:val="single" w:sz="8" w:space="0" w:color="000000"/>
              <w:right w:val="single" w:sz="8" w:space="0" w:color="000000"/>
            </w:tcBorders>
            <w:shd w:val="clear" w:color="auto" w:fill="auto"/>
            <w:vAlign w:val="center"/>
            <w:hideMark/>
          </w:tcPr>
          <w:p w14:paraId="5B604944"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0.86</w:t>
            </w:r>
          </w:p>
        </w:tc>
        <w:tc>
          <w:tcPr>
            <w:tcW w:w="1225" w:type="dxa"/>
            <w:tcBorders>
              <w:top w:val="nil"/>
              <w:left w:val="nil"/>
              <w:bottom w:val="single" w:sz="8" w:space="0" w:color="000000"/>
              <w:right w:val="single" w:sz="8" w:space="0" w:color="000000"/>
            </w:tcBorders>
            <w:shd w:val="clear" w:color="auto" w:fill="auto"/>
            <w:vAlign w:val="center"/>
            <w:hideMark/>
          </w:tcPr>
          <w:p w14:paraId="17E7A294"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9,690</w:t>
            </w:r>
          </w:p>
        </w:tc>
        <w:tc>
          <w:tcPr>
            <w:tcW w:w="901" w:type="dxa"/>
            <w:tcBorders>
              <w:top w:val="nil"/>
              <w:left w:val="nil"/>
              <w:bottom w:val="single" w:sz="8" w:space="0" w:color="000000"/>
              <w:right w:val="single" w:sz="12" w:space="0" w:color="auto"/>
            </w:tcBorders>
            <w:shd w:val="clear" w:color="auto" w:fill="auto"/>
            <w:vAlign w:val="center"/>
            <w:hideMark/>
          </w:tcPr>
          <w:p w14:paraId="2C54B852"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1.06</w:t>
            </w:r>
          </w:p>
        </w:tc>
      </w:tr>
      <w:tr w:rsidR="00277817" w:rsidRPr="005970E9" w14:paraId="74586B68" w14:textId="77777777" w:rsidTr="00A82C39">
        <w:trPr>
          <w:trHeight w:val="300"/>
        </w:trPr>
        <w:tc>
          <w:tcPr>
            <w:tcW w:w="2112" w:type="dxa"/>
            <w:gridSpan w:val="2"/>
            <w:tcBorders>
              <w:top w:val="single" w:sz="8" w:space="0" w:color="000000"/>
              <w:left w:val="single" w:sz="12" w:space="0" w:color="auto"/>
              <w:bottom w:val="single" w:sz="8" w:space="0" w:color="000000"/>
              <w:right w:val="single" w:sz="8" w:space="0" w:color="000000"/>
            </w:tcBorders>
            <w:shd w:val="clear" w:color="auto" w:fill="auto"/>
            <w:vAlign w:val="center"/>
            <w:hideMark/>
          </w:tcPr>
          <w:p w14:paraId="4F2034D1" w14:textId="77777777" w:rsidR="00277817" w:rsidRPr="005970E9" w:rsidRDefault="00277817" w:rsidP="00277817">
            <w:pPr>
              <w:jc w:val="center"/>
              <w:rPr>
                <w:rFonts w:eastAsia="Times New Roman"/>
                <w:color w:val="000000"/>
                <w:sz w:val="20"/>
                <w:szCs w:val="20"/>
              </w:rPr>
            </w:pPr>
            <w:r w:rsidRPr="005970E9">
              <w:rPr>
                <w:rFonts w:eastAsia="Times New Roman"/>
                <w:color w:val="000000"/>
                <w:sz w:val="20"/>
                <w:szCs w:val="20"/>
              </w:rPr>
              <w:t>Universitaria</w:t>
            </w:r>
          </w:p>
        </w:tc>
        <w:tc>
          <w:tcPr>
            <w:tcW w:w="1240" w:type="dxa"/>
            <w:tcBorders>
              <w:top w:val="nil"/>
              <w:left w:val="nil"/>
              <w:bottom w:val="single" w:sz="8" w:space="0" w:color="000000"/>
              <w:right w:val="single" w:sz="8" w:space="0" w:color="000000"/>
            </w:tcBorders>
            <w:shd w:val="clear" w:color="auto" w:fill="auto"/>
            <w:vAlign w:val="center"/>
            <w:hideMark/>
          </w:tcPr>
          <w:p w14:paraId="21971BE8"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555,336</w:t>
            </w:r>
          </w:p>
        </w:tc>
        <w:tc>
          <w:tcPr>
            <w:tcW w:w="1031" w:type="dxa"/>
            <w:tcBorders>
              <w:top w:val="nil"/>
              <w:left w:val="nil"/>
              <w:bottom w:val="single" w:sz="8" w:space="0" w:color="000000"/>
              <w:right w:val="single" w:sz="8" w:space="0" w:color="000000"/>
            </w:tcBorders>
            <w:shd w:val="clear" w:color="auto" w:fill="auto"/>
            <w:vAlign w:val="center"/>
            <w:hideMark/>
          </w:tcPr>
          <w:p w14:paraId="3D164EED"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33.78</w:t>
            </w:r>
          </w:p>
        </w:tc>
        <w:tc>
          <w:tcPr>
            <w:tcW w:w="1225" w:type="dxa"/>
            <w:gridSpan w:val="2"/>
            <w:tcBorders>
              <w:top w:val="nil"/>
              <w:left w:val="nil"/>
              <w:bottom w:val="single" w:sz="8" w:space="0" w:color="000000"/>
              <w:right w:val="single" w:sz="8" w:space="0" w:color="000000"/>
            </w:tcBorders>
            <w:shd w:val="clear" w:color="auto" w:fill="auto"/>
            <w:vAlign w:val="center"/>
            <w:hideMark/>
          </w:tcPr>
          <w:p w14:paraId="1BDEA40E"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303,711</w:t>
            </w:r>
          </w:p>
        </w:tc>
        <w:tc>
          <w:tcPr>
            <w:tcW w:w="831" w:type="dxa"/>
            <w:tcBorders>
              <w:top w:val="nil"/>
              <w:left w:val="nil"/>
              <w:bottom w:val="single" w:sz="8" w:space="0" w:color="000000"/>
              <w:right w:val="single" w:sz="8" w:space="0" w:color="000000"/>
            </w:tcBorders>
            <w:shd w:val="clear" w:color="auto" w:fill="auto"/>
            <w:vAlign w:val="center"/>
            <w:hideMark/>
          </w:tcPr>
          <w:p w14:paraId="47486B47"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41.37</w:t>
            </w:r>
          </w:p>
        </w:tc>
        <w:tc>
          <w:tcPr>
            <w:tcW w:w="1225" w:type="dxa"/>
            <w:tcBorders>
              <w:top w:val="nil"/>
              <w:left w:val="nil"/>
              <w:bottom w:val="single" w:sz="8" w:space="0" w:color="000000"/>
              <w:right w:val="single" w:sz="8" w:space="0" w:color="000000"/>
            </w:tcBorders>
            <w:shd w:val="clear" w:color="auto" w:fill="auto"/>
            <w:vAlign w:val="center"/>
            <w:hideMark/>
          </w:tcPr>
          <w:p w14:paraId="4048537E"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251,625</w:t>
            </w:r>
          </w:p>
        </w:tc>
        <w:tc>
          <w:tcPr>
            <w:tcW w:w="901" w:type="dxa"/>
            <w:tcBorders>
              <w:top w:val="nil"/>
              <w:left w:val="nil"/>
              <w:bottom w:val="single" w:sz="8" w:space="0" w:color="000000"/>
              <w:right w:val="single" w:sz="12" w:space="0" w:color="auto"/>
            </w:tcBorders>
            <w:shd w:val="clear" w:color="auto" w:fill="auto"/>
            <w:vAlign w:val="center"/>
            <w:hideMark/>
          </w:tcPr>
          <w:p w14:paraId="31B7D44D"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27.66</w:t>
            </w:r>
          </w:p>
        </w:tc>
      </w:tr>
      <w:tr w:rsidR="00277817" w:rsidRPr="005970E9" w14:paraId="488667BF" w14:textId="77777777" w:rsidTr="00A82C39">
        <w:trPr>
          <w:trHeight w:val="300"/>
        </w:trPr>
        <w:tc>
          <w:tcPr>
            <w:tcW w:w="2112" w:type="dxa"/>
            <w:gridSpan w:val="2"/>
            <w:tcBorders>
              <w:top w:val="single" w:sz="8" w:space="0" w:color="000000"/>
              <w:left w:val="single" w:sz="12" w:space="0" w:color="auto"/>
              <w:bottom w:val="single" w:sz="8" w:space="0" w:color="000000"/>
              <w:right w:val="single" w:sz="8" w:space="0" w:color="000000"/>
            </w:tcBorders>
            <w:shd w:val="clear" w:color="auto" w:fill="auto"/>
            <w:vAlign w:val="center"/>
            <w:hideMark/>
          </w:tcPr>
          <w:p w14:paraId="7F1D6206" w14:textId="77777777" w:rsidR="00277817" w:rsidRPr="005970E9" w:rsidRDefault="00277817" w:rsidP="00277817">
            <w:pPr>
              <w:jc w:val="center"/>
              <w:rPr>
                <w:rFonts w:eastAsia="Times New Roman"/>
                <w:color w:val="000000"/>
                <w:sz w:val="20"/>
                <w:szCs w:val="20"/>
              </w:rPr>
            </w:pPr>
            <w:r w:rsidRPr="005970E9">
              <w:rPr>
                <w:rFonts w:eastAsia="Times New Roman"/>
                <w:color w:val="000000"/>
                <w:sz w:val="20"/>
                <w:szCs w:val="20"/>
              </w:rPr>
              <w:t>No universitaria</w:t>
            </w:r>
          </w:p>
        </w:tc>
        <w:tc>
          <w:tcPr>
            <w:tcW w:w="1240" w:type="dxa"/>
            <w:tcBorders>
              <w:top w:val="nil"/>
              <w:left w:val="nil"/>
              <w:bottom w:val="single" w:sz="8" w:space="0" w:color="000000"/>
              <w:right w:val="single" w:sz="8" w:space="0" w:color="000000"/>
            </w:tcBorders>
            <w:shd w:val="clear" w:color="auto" w:fill="auto"/>
            <w:vAlign w:val="center"/>
            <w:hideMark/>
          </w:tcPr>
          <w:p w14:paraId="25467A17"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9,914</w:t>
            </w:r>
          </w:p>
        </w:tc>
        <w:tc>
          <w:tcPr>
            <w:tcW w:w="1031" w:type="dxa"/>
            <w:tcBorders>
              <w:top w:val="nil"/>
              <w:left w:val="nil"/>
              <w:bottom w:val="single" w:sz="8" w:space="0" w:color="000000"/>
              <w:right w:val="single" w:sz="8" w:space="0" w:color="000000"/>
            </w:tcBorders>
            <w:shd w:val="clear" w:color="auto" w:fill="auto"/>
            <w:vAlign w:val="center"/>
            <w:hideMark/>
          </w:tcPr>
          <w:p w14:paraId="1BC68C37"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0.60</w:t>
            </w:r>
          </w:p>
        </w:tc>
        <w:tc>
          <w:tcPr>
            <w:tcW w:w="1225" w:type="dxa"/>
            <w:gridSpan w:val="2"/>
            <w:tcBorders>
              <w:top w:val="nil"/>
              <w:left w:val="nil"/>
              <w:bottom w:val="single" w:sz="8" w:space="0" w:color="000000"/>
              <w:right w:val="single" w:sz="8" w:space="0" w:color="000000"/>
            </w:tcBorders>
            <w:shd w:val="clear" w:color="auto" w:fill="auto"/>
            <w:vAlign w:val="center"/>
            <w:hideMark/>
          </w:tcPr>
          <w:p w14:paraId="2AFDD4E0"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5,365</w:t>
            </w:r>
          </w:p>
        </w:tc>
        <w:tc>
          <w:tcPr>
            <w:tcW w:w="831" w:type="dxa"/>
            <w:tcBorders>
              <w:top w:val="nil"/>
              <w:left w:val="nil"/>
              <w:bottom w:val="single" w:sz="8" w:space="0" w:color="000000"/>
              <w:right w:val="single" w:sz="8" w:space="0" w:color="000000"/>
            </w:tcBorders>
            <w:shd w:val="clear" w:color="auto" w:fill="auto"/>
            <w:vAlign w:val="center"/>
            <w:hideMark/>
          </w:tcPr>
          <w:p w14:paraId="66DC665F"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0.73</w:t>
            </w:r>
          </w:p>
        </w:tc>
        <w:tc>
          <w:tcPr>
            <w:tcW w:w="1225" w:type="dxa"/>
            <w:tcBorders>
              <w:top w:val="nil"/>
              <w:left w:val="nil"/>
              <w:bottom w:val="single" w:sz="8" w:space="0" w:color="000000"/>
              <w:right w:val="single" w:sz="8" w:space="0" w:color="000000"/>
            </w:tcBorders>
            <w:shd w:val="clear" w:color="auto" w:fill="auto"/>
            <w:vAlign w:val="center"/>
            <w:hideMark/>
          </w:tcPr>
          <w:p w14:paraId="305031EA"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4,549</w:t>
            </w:r>
          </w:p>
        </w:tc>
        <w:tc>
          <w:tcPr>
            <w:tcW w:w="901" w:type="dxa"/>
            <w:tcBorders>
              <w:top w:val="nil"/>
              <w:left w:val="nil"/>
              <w:bottom w:val="single" w:sz="8" w:space="0" w:color="000000"/>
              <w:right w:val="single" w:sz="12" w:space="0" w:color="auto"/>
            </w:tcBorders>
            <w:shd w:val="clear" w:color="auto" w:fill="auto"/>
            <w:vAlign w:val="center"/>
            <w:hideMark/>
          </w:tcPr>
          <w:p w14:paraId="0F97AAF6" w14:textId="77777777" w:rsidR="00277817" w:rsidRPr="005970E9" w:rsidRDefault="00277817" w:rsidP="00277817">
            <w:pPr>
              <w:jc w:val="right"/>
              <w:rPr>
                <w:rFonts w:eastAsia="Times New Roman"/>
                <w:color w:val="000000"/>
                <w:sz w:val="20"/>
                <w:szCs w:val="20"/>
              </w:rPr>
            </w:pPr>
            <w:r w:rsidRPr="005970E9">
              <w:rPr>
                <w:rFonts w:eastAsia="Times New Roman"/>
                <w:color w:val="000000"/>
                <w:sz w:val="20"/>
                <w:szCs w:val="20"/>
              </w:rPr>
              <w:t>0.5</w:t>
            </w:r>
          </w:p>
        </w:tc>
      </w:tr>
      <w:tr w:rsidR="00277817" w:rsidRPr="005970E9" w14:paraId="219D90FE" w14:textId="77777777" w:rsidTr="00A82C39">
        <w:trPr>
          <w:trHeight w:val="300"/>
        </w:trPr>
        <w:tc>
          <w:tcPr>
            <w:tcW w:w="4394" w:type="dxa"/>
            <w:gridSpan w:val="5"/>
            <w:tcBorders>
              <w:top w:val="single" w:sz="8" w:space="0" w:color="000000"/>
              <w:left w:val="single" w:sz="12" w:space="0" w:color="auto"/>
              <w:bottom w:val="single" w:sz="12" w:space="0" w:color="auto"/>
              <w:right w:val="single" w:sz="8" w:space="0" w:color="000000"/>
            </w:tcBorders>
            <w:shd w:val="clear" w:color="auto" w:fill="auto"/>
            <w:noWrap/>
            <w:vAlign w:val="bottom"/>
            <w:hideMark/>
          </w:tcPr>
          <w:p w14:paraId="6746F60E" w14:textId="77777777" w:rsidR="00277817" w:rsidRPr="005970E9" w:rsidRDefault="00277817" w:rsidP="00277817">
            <w:pPr>
              <w:jc w:val="center"/>
              <w:rPr>
                <w:rFonts w:eastAsia="Times New Roman"/>
                <w:color w:val="000000"/>
              </w:rPr>
            </w:pPr>
            <w:r w:rsidRPr="005970E9">
              <w:rPr>
                <w:rFonts w:eastAsia="Times New Roman"/>
                <w:color w:val="000000"/>
              </w:rPr>
              <w:t>Promedio de años aprobados</w:t>
            </w:r>
          </w:p>
        </w:tc>
        <w:tc>
          <w:tcPr>
            <w:tcW w:w="2047" w:type="dxa"/>
            <w:gridSpan w:val="2"/>
            <w:tcBorders>
              <w:top w:val="single" w:sz="8" w:space="0" w:color="000000"/>
              <w:left w:val="nil"/>
              <w:bottom w:val="single" w:sz="12" w:space="0" w:color="auto"/>
              <w:right w:val="single" w:sz="8" w:space="0" w:color="000000"/>
            </w:tcBorders>
            <w:shd w:val="clear" w:color="auto" w:fill="auto"/>
            <w:vAlign w:val="center"/>
            <w:hideMark/>
          </w:tcPr>
          <w:p w14:paraId="285A77F7" w14:textId="77777777" w:rsidR="00277817" w:rsidRPr="005970E9" w:rsidRDefault="00277817" w:rsidP="00277817">
            <w:pPr>
              <w:jc w:val="center"/>
              <w:rPr>
                <w:rFonts w:eastAsia="Times New Roman"/>
                <w:color w:val="000000"/>
                <w:sz w:val="20"/>
                <w:szCs w:val="20"/>
              </w:rPr>
            </w:pPr>
            <w:r w:rsidRPr="005970E9">
              <w:rPr>
                <w:rFonts w:eastAsia="Times New Roman"/>
                <w:color w:val="000000"/>
                <w:sz w:val="20"/>
                <w:szCs w:val="20"/>
              </w:rPr>
              <w:t>12</w:t>
            </w:r>
          </w:p>
        </w:tc>
        <w:tc>
          <w:tcPr>
            <w:tcW w:w="2126" w:type="dxa"/>
            <w:gridSpan w:val="2"/>
            <w:tcBorders>
              <w:top w:val="single" w:sz="8" w:space="0" w:color="000000"/>
              <w:left w:val="nil"/>
              <w:bottom w:val="single" w:sz="12" w:space="0" w:color="auto"/>
              <w:right w:val="single" w:sz="12" w:space="0" w:color="auto"/>
            </w:tcBorders>
            <w:shd w:val="clear" w:color="auto" w:fill="auto"/>
            <w:vAlign w:val="center"/>
            <w:hideMark/>
          </w:tcPr>
          <w:p w14:paraId="31B90264" w14:textId="77777777" w:rsidR="00277817" w:rsidRPr="005970E9" w:rsidRDefault="00277817" w:rsidP="00277817">
            <w:pPr>
              <w:jc w:val="center"/>
              <w:rPr>
                <w:rFonts w:eastAsia="Times New Roman"/>
                <w:color w:val="000000"/>
                <w:sz w:val="20"/>
                <w:szCs w:val="20"/>
              </w:rPr>
            </w:pPr>
            <w:r w:rsidRPr="005970E9">
              <w:rPr>
                <w:rFonts w:eastAsia="Times New Roman"/>
                <w:color w:val="000000"/>
                <w:sz w:val="20"/>
                <w:szCs w:val="20"/>
              </w:rPr>
              <w:t>11</w:t>
            </w:r>
          </w:p>
        </w:tc>
      </w:tr>
    </w:tbl>
    <w:p w14:paraId="4C868D6F" w14:textId="210C1A32" w:rsidR="00FF6ECF" w:rsidRPr="005970E9" w:rsidRDefault="00FF6ECF" w:rsidP="00604445">
      <w:pPr>
        <w:jc w:val="both"/>
        <w:rPr>
          <w:rFonts w:eastAsia="Century Schoolbook" w:cs="Century Schoolbook"/>
          <w:sz w:val="20"/>
          <w:szCs w:val="20"/>
        </w:rPr>
      </w:pPr>
      <w:r w:rsidRPr="005970E9">
        <w:rPr>
          <w:rFonts w:eastAsia="Century Schoolbook" w:cs="Century Schoolbook"/>
          <w:sz w:val="20"/>
          <w:szCs w:val="20"/>
        </w:rPr>
        <w:t>Fuente: INEC.</w:t>
      </w:r>
      <w:r w:rsidRPr="005970E9">
        <w:rPr>
          <w:sz w:val="20"/>
          <w:szCs w:val="20"/>
        </w:rPr>
        <w:t xml:space="preserve"> </w:t>
      </w:r>
      <w:r w:rsidRPr="005970E9">
        <w:rPr>
          <w:rFonts w:eastAsia="Century Schoolbook" w:cs="Century Schoolbook"/>
          <w:sz w:val="20"/>
          <w:szCs w:val="20"/>
        </w:rPr>
        <w:t>ENCUESTA DE MERCADO LABORAL, AGOSTO 2019.</w:t>
      </w:r>
    </w:p>
    <w:p w14:paraId="6855BACA" w14:textId="04DA8B56" w:rsidR="00137AAE" w:rsidRPr="005970E9" w:rsidRDefault="00137AAE" w:rsidP="00FF6ECF">
      <w:pPr>
        <w:spacing w:after="120"/>
        <w:jc w:val="both"/>
        <w:rPr>
          <w:rFonts w:eastAsia="Century Schoolbook" w:cs="Century Schoolbook"/>
          <w:sz w:val="20"/>
          <w:szCs w:val="20"/>
        </w:rPr>
      </w:pPr>
      <w:r w:rsidRPr="005970E9">
        <w:rPr>
          <w:rFonts w:eastAsia="Century Schoolbook" w:cs="Century Schoolbook"/>
          <w:sz w:val="20"/>
          <w:szCs w:val="20"/>
        </w:rPr>
        <w:t xml:space="preserve">(*) Nota: La tabla no incluye al 14.4% (276,597) de la población ocupada en el ámbito agrícola. En este está inserta un 8.4% (67,505) de mujeres y 18.7% de hombres (209,092).  </w:t>
      </w:r>
    </w:p>
    <w:p w14:paraId="2A838AAB" w14:textId="77777777" w:rsidR="00137AAE" w:rsidRPr="005970E9" w:rsidRDefault="00137AAE" w:rsidP="00FF6ECF">
      <w:pPr>
        <w:spacing w:after="120"/>
        <w:jc w:val="both"/>
        <w:rPr>
          <w:rFonts w:eastAsia="Century Schoolbook" w:cs="Century Schoolbook"/>
          <w:sz w:val="20"/>
          <w:szCs w:val="20"/>
        </w:rPr>
      </w:pPr>
    </w:p>
    <w:p w14:paraId="64FC869F" w14:textId="3A19FCF1" w:rsidR="00137AAE" w:rsidRPr="005970E9" w:rsidRDefault="00137AAE" w:rsidP="00137AAE">
      <w:pPr>
        <w:spacing w:before="240" w:after="240" w:line="276" w:lineRule="auto"/>
        <w:jc w:val="both"/>
        <w:rPr>
          <w:rFonts w:eastAsia="Century Schoolbook" w:cs="Century Schoolbook"/>
        </w:rPr>
      </w:pPr>
      <w:r w:rsidRPr="005970E9">
        <w:rPr>
          <w:rFonts w:eastAsia="Century Schoolbook" w:cs="Century Schoolbook"/>
        </w:rPr>
        <w:t xml:space="preserve">En agosto de 2019 el desempleo ascendió a 7.1% y el establecimiento de una política económica de recorte, no expansiva, auguraba que el crecimiento del PIB en 2020 se ralentizará aún más. La política pública de respuesta a la pandemia del COVID-19 tampoco </w:t>
      </w:r>
      <w:r w:rsidR="00C87980" w:rsidRPr="005970E9">
        <w:rPr>
          <w:rFonts w:eastAsia="Century Schoolbook" w:cs="Century Schoolbook"/>
        </w:rPr>
        <w:t xml:space="preserve">muestra </w:t>
      </w:r>
      <w:r w:rsidRPr="005970E9">
        <w:rPr>
          <w:rFonts w:eastAsia="Century Schoolbook" w:cs="Century Schoolbook"/>
        </w:rPr>
        <w:t>apeg</w:t>
      </w:r>
      <w:r w:rsidR="00C87980" w:rsidRPr="005970E9">
        <w:rPr>
          <w:rFonts w:eastAsia="Century Schoolbook" w:cs="Century Schoolbook"/>
        </w:rPr>
        <w:t>o</w:t>
      </w:r>
      <w:r w:rsidRPr="005970E9">
        <w:rPr>
          <w:rFonts w:eastAsia="Century Schoolbook" w:cs="Century Schoolbook"/>
        </w:rPr>
        <w:t xml:space="preserve"> al establecimiento de políticas expansivas, en condiciones que ya CEPAL ha estimado que la reducción del PIB estará por el orden del 2%, </w:t>
      </w:r>
      <w:r w:rsidR="00C87980" w:rsidRPr="005970E9">
        <w:rPr>
          <w:rFonts w:eastAsia="Century Schoolbook" w:cs="Century Schoolbook"/>
        </w:rPr>
        <w:t xml:space="preserve">y se espera que </w:t>
      </w:r>
      <w:r w:rsidRPr="005970E9">
        <w:rPr>
          <w:rFonts w:eastAsia="Century Schoolbook" w:cs="Century Schoolbook"/>
        </w:rPr>
        <w:t xml:space="preserve">la economía </w:t>
      </w:r>
      <w:r w:rsidR="00C87980" w:rsidRPr="005970E9">
        <w:rPr>
          <w:rFonts w:eastAsia="Century Schoolbook" w:cs="Century Schoolbook"/>
        </w:rPr>
        <w:t xml:space="preserve">se </w:t>
      </w:r>
      <w:r w:rsidRPr="005970E9">
        <w:rPr>
          <w:rFonts w:eastAsia="Century Schoolbook" w:cs="Century Schoolbook"/>
        </w:rPr>
        <w:t>recuper</w:t>
      </w:r>
      <w:r w:rsidR="00C87980" w:rsidRPr="005970E9">
        <w:rPr>
          <w:rFonts w:eastAsia="Century Schoolbook" w:cs="Century Schoolbook"/>
        </w:rPr>
        <w:t>e</w:t>
      </w:r>
      <w:r w:rsidRPr="005970E9">
        <w:rPr>
          <w:rFonts w:eastAsia="Century Schoolbook" w:cs="Century Schoolbook"/>
        </w:rPr>
        <w:t xml:space="preserve"> para el año 2021.</w:t>
      </w:r>
      <w:r w:rsidR="00336208" w:rsidRPr="005970E9">
        <w:rPr>
          <w:rFonts w:eastAsia="Century Schoolbook" w:cs="Century Schoolbook"/>
        </w:rPr>
        <w:t xml:space="preserve">  El</w:t>
      </w:r>
      <w:r w:rsidR="007F6FB4" w:rsidRPr="005970E9">
        <w:rPr>
          <w:rFonts w:eastAsia="Century Schoolbook" w:cs="Century Schoolbook"/>
        </w:rPr>
        <w:t xml:space="preserve"> año 2020 según el</w:t>
      </w:r>
      <w:r w:rsidR="00336208" w:rsidRPr="005970E9">
        <w:rPr>
          <w:rFonts w:eastAsia="Century Schoolbook" w:cs="Century Schoolbook"/>
        </w:rPr>
        <w:t xml:space="preserve"> Ministerio de Trabajo y Desarrollo Laboral </w:t>
      </w:r>
      <w:r w:rsidR="007F6FB4" w:rsidRPr="005970E9">
        <w:rPr>
          <w:rFonts w:eastAsia="Century Schoolbook" w:cs="Century Schoolbook"/>
        </w:rPr>
        <w:t>concluirá con 400 mil trabajadores/as sin empleo</w:t>
      </w:r>
      <w:r w:rsidR="00EB1DA6" w:rsidRPr="005970E9">
        <w:rPr>
          <w:rFonts w:eastAsia="Century Schoolbook" w:cs="Century Schoolbook"/>
        </w:rPr>
        <w:t xml:space="preserve"> ya que</w:t>
      </w:r>
      <w:r w:rsidR="007F6FB4" w:rsidRPr="005970E9">
        <w:rPr>
          <w:rFonts w:eastAsia="Century Schoolbook" w:cs="Century Schoolbook"/>
        </w:rPr>
        <w:t xml:space="preserve"> estiman que el desempleo ascenderá a 20%.</w:t>
      </w:r>
      <w:r w:rsidR="007F6FB4" w:rsidRPr="005970E9">
        <w:rPr>
          <w:rStyle w:val="FootnoteReference"/>
          <w:rFonts w:eastAsia="Century Schoolbook" w:cs="Century Schoolbook"/>
        </w:rPr>
        <w:footnoteReference w:id="17"/>
      </w:r>
    </w:p>
    <w:p w14:paraId="339EF129" w14:textId="77777777" w:rsidR="00FF6ECF" w:rsidRPr="005970E9" w:rsidRDefault="00FF6ECF" w:rsidP="00FF6ECF">
      <w:pPr>
        <w:spacing w:after="120"/>
        <w:jc w:val="both"/>
        <w:rPr>
          <w:rFonts w:eastAsia="Century Schoolbook" w:cs="Century Schoolbook"/>
          <w:sz w:val="20"/>
          <w:szCs w:val="20"/>
        </w:rPr>
      </w:pPr>
    </w:p>
    <w:p w14:paraId="0CC601BC" w14:textId="35AE9127" w:rsidR="00B76B0C" w:rsidRPr="005970E9" w:rsidRDefault="003B5C05" w:rsidP="00D478B6">
      <w:pPr>
        <w:pStyle w:val="Heading1"/>
        <w:numPr>
          <w:ilvl w:val="0"/>
          <w:numId w:val="56"/>
        </w:numPr>
      </w:pPr>
      <w:bookmarkStart w:id="55" w:name="_Toc42159186"/>
      <w:bookmarkStart w:id="56" w:name="_Toc42549422"/>
      <w:r w:rsidRPr="005970E9">
        <w:lastRenderedPageBreak/>
        <w:t>DIMENSIÓN POLÍTICA</w:t>
      </w:r>
      <w:bookmarkEnd w:id="55"/>
      <w:bookmarkEnd w:id="56"/>
    </w:p>
    <w:p w14:paraId="233D2E2A" w14:textId="77777777" w:rsidR="00B76B0C" w:rsidRPr="005970E9" w:rsidRDefault="003B5C05">
      <w:pPr>
        <w:pStyle w:val="Heading1"/>
        <w:ind w:left="360"/>
      </w:pPr>
      <w:bookmarkStart w:id="57" w:name="_Toc42159187"/>
      <w:bookmarkStart w:id="58" w:name="_Toc42549423"/>
      <w:r w:rsidRPr="005970E9">
        <w:t>MARCO POLÍTICO, JURÍDICO E INSTITUCIONAL</w:t>
      </w:r>
      <w:bookmarkEnd w:id="57"/>
      <w:bookmarkEnd w:id="58"/>
    </w:p>
    <w:p w14:paraId="7D20C2D1" w14:textId="77777777" w:rsidR="00B76B0C" w:rsidRPr="005970E9" w:rsidRDefault="003B5C05" w:rsidP="002338C0">
      <w:pPr>
        <w:pStyle w:val="Heading2"/>
        <w:numPr>
          <w:ilvl w:val="1"/>
          <w:numId w:val="8"/>
        </w:numPr>
      </w:pPr>
      <w:bookmarkStart w:id="59" w:name="_Toc42159188"/>
      <w:bookmarkStart w:id="60" w:name="_Toc42549424"/>
      <w:r w:rsidRPr="005970E9">
        <w:t>Marco Político</w:t>
      </w:r>
      <w:bookmarkEnd w:id="59"/>
      <w:bookmarkEnd w:id="60"/>
    </w:p>
    <w:p w14:paraId="6CDEC9A7" w14:textId="40F30785" w:rsidR="00B73D6F" w:rsidRPr="005970E9" w:rsidRDefault="00B73D6F" w:rsidP="00135AD9">
      <w:pPr>
        <w:spacing w:before="240" w:after="120" w:line="276" w:lineRule="auto"/>
        <w:jc w:val="both"/>
        <w:rPr>
          <w:rFonts w:eastAsia="Century Schoolbook" w:cs="Century Schoolbook"/>
          <w:color w:val="FF0000"/>
        </w:rPr>
      </w:pPr>
      <w:r w:rsidRPr="005970E9">
        <w:rPr>
          <w:rFonts w:eastAsia="Century Schoolbook" w:cs="Century Schoolbook"/>
          <w:color w:val="000000"/>
        </w:rPr>
        <w:t>El pasado siglo XX fue marcado por la transformación</w:t>
      </w:r>
      <w:r w:rsidR="0077721A" w:rsidRPr="005970E9">
        <w:rPr>
          <w:rFonts w:eastAsia="Century Schoolbook" w:cs="Century Schoolbook"/>
          <w:color w:val="000000"/>
        </w:rPr>
        <w:t>. L</w:t>
      </w:r>
      <w:r w:rsidRPr="005970E9">
        <w:rPr>
          <w:rFonts w:eastAsia="Century Schoolbook" w:cs="Century Schoolbook"/>
          <w:color w:val="000000"/>
        </w:rPr>
        <w:t>os países del mundo ampliaron el alcance de los derechos legales de las mujeres. Sin embargo, en la actualidad para millones de mujeres en muchas regiones del mundo esas leyes y políticas aún no se reflejan en igualdad y justicia</w:t>
      </w:r>
      <w:r w:rsidRPr="005970E9">
        <w:rPr>
          <w:rFonts w:eastAsia="Century Schoolbook" w:cs="Century Schoolbook"/>
          <w:color w:val="000000"/>
          <w:vertAlign w:val="superscript"/>
        </w:rPr>
        <w:footnoteReference w:id="18"/>
      </w:r>
      <w:r w:rsidRPr="005970E9">
        <w:rPr>
          <w:rFonts w:eastAsia="Century Schoolbook" w:cs="Century Schoolbook"/>
          <w:color w:val="000000"/>
        </w:rPr>
        <w:t xml:space="preserve">. </w:t>
      </w:r>
    </w:p>
    <w:p w14:paraId="39EB0414" w14:textId="135E73ED" w:rsidR="00B73D6F" w:rsidRPr="005970E9" w:rsidRDefault="00B73D6F" w:rsidP="00B73D6F">
      <w:pPr>
        <w:spacing w:before="120" w:after="120" w:line="276" w:lineRule="auto"/>
        <w:jc w:val="both"/>
        <w:rPr>
          <w:rFonts w:eastAsia="Century Schoolbook" w:cs="Century Schoolbook"/>
          <w:color w:val="000000"/>
        </w:rPr>
      </w:pPr>
      <w:r w:rsidRPr="005970E9">
        <w:rPr>
          <w:rFonts w:eastAsia="Century Schoolbook" w:cs="Century Schoolbook"/>
          <w:color w:val="000000"/>
        </w:rPr>
        <w:t xml:space="preserve">En nuestra región se produjeron cambios importantes y significativos en la construcción de agendas inclusivas y facilitadoras del desarrollo social, político y económico con equidad. Desde el núcleo de distintas organizaciones de mujeres </w:t>
      </w:r>
      <w:r w:rsidR="0077721A" w:rsidRPr="005970E9">
        <w:rPr>
          <w:rFonts w:eastAsia="Century Schoolbook" w:cs="Century Schoolbook"/>
          <w:color w:val="000000"/>
        </w:rPr>
        <w:t xml:space="preserve">y feministas </w:t>
      </w:r>
      <w:r w:rsidRPr="005970E9">
        <w:rPr>
          <w:rFonts w:eastAsia="Century Schoolbook" w:cs="Century Schoolbook"/>
          <w:color w:val="000000"/>
        </w:rPr>
        <w:t>se ha logrado incorporar un número importante de leyes</w:t>
      </w:r>
      <w:r w:rsidR="0077721A" w:rsidRPr="005970E9">
        <w:rPr>
          <w:rFonts w:eastAsia="Century Schoolbook" w:cs="Century Schoolbook"/>
          <w:color w:val="000000"/>
        </w:rPr>
        <w:t>,</w:t>
      </w:r>
      <w:r w:rsidRPr="005970E9">
        <w:rPr>
          <w:rFonts w:eastAsia="Century Schoolbook" w:cs="Century Schoolbook"/>
          <w:color w:val="000000"/>
        </w:rPr>
        <w:t xml:space="preserve"> decretos y acuerdos institucionales para impulsar la igualdad </w:t>
      </w:r>
      <w:r w:rsidR="0077721A" w:rsidRPr="005970E9">
        <w:rPr>
          <w:rFonts w:eastAsia="Century Schoolbook" w:cs="Century Schoolbook"/>
          <w:color w:val="000000"/>
        </w:rPr>
        <w:t xml:space="preserve">en </w:t>
      </w:r>
      <w:r w:rsidRPr="005970E9">
        <w:rPr>
          <w:rFonts w:eastAsia="Century Schoolbook" w:cs="Century Schoolbook"/>
          <w:color w:val="000000"/>
        </w:rPr>
        <w:t>todas las esferas de la sociedad panameña.</w:t>
      </w:r>
      <w:r w:rsidR="0077721A" w:rsidRPr="005970E9">
        <w:rPr>
          <w:rFonts w:eastAsia="Century Schoolbook" w:cs="Century Schoolbook"/>
          <w:color w:val="000000"/>
        </w:rPr>
        <w:t xml:space="preserve"> Los debates en la Comisión de la Mujer de la Asamblea Nacional respecto al proyecto de ley </w:t>
      </w:r>
      <w:r w:rsidR="00B719CE" w:rsidRPr="005970E9">
        <w:rPr>
          <w:rFonts w:eastAsia="Century Schoolbook" w:cs="Century Schoolbook"/>
          <w:color w:val="000000"/>
        </w:rPr>
        <w:t xml:space="preserve">que haría </w:t>
      </w:r>
      <w:r w:rsidR="0077721A" w:rsidRPr="005970E9">
        <w:rPr>
          <w:rFonts w:eastAsia="Century Schoolbook" w:cs="Century Schoolbook"/>
          <w:color w:val="000000"/>
        </w:rPr>
        <w:t xml:space="preserve">reconocimiento de perdidas neonatales y otros proyectos, </w:t>
      </w:r>
      <w:r w:rsidR="00B719CE" w:rsidRPr="005970E9">
        <w:rPr>
          <w:rFonts w:eastAsia="Century Schoolbook" w:cs="Century Schoolbook"/>
          <w:color w:val="000000"/>
        </w:rPr>
        <w:t xml:space="preserve">han puesto </w:t>
      </w:r>
      <w:r w:rsidR="0077721A" w:rsidRPr="005970E9">
        <w:rPr>
          <w:rFonts w:eastAsia="Century Schoolbook" w:cs="Century Schoolbook"/>
          <w:color w:val="000000"/>
        </w:rPr>
        <w:t xml:space="preserve">de manifiesto que estas leyes </w:t>
      </w:r>
      <w:r w:rsidR="00B719CE" w:rsidRPr="005970E9">
        <w:rPr>
          <w:rFonts w:eastAsia="Century Schoolbook" w:cs="Century Schoolbook"/>
          <w:color w:val="000000"/>
        </w:rPr>
        <w:t xml:space="preserve">de igualdad </w:t>
      </w:r>
      <w:r w:rsidR="0077721A" w:rsidRPr="005970E9">
        <w:rPr>
          <w:rFonts w:eastAsia="Century Schoolbook" w:cs="Century Schoolbook"/>
          <w:color w:val="000000"/>
        </w:rPr>
        <w:t>no son evaluadas para observar los avances en el cierre de brechas de desigualdad de género, no se le asignan los recursos económicos que requiere su aplicación y</w:t>
      </w:r>
      <w:r w:rsidR="00B719CE" w:rsidRPr="005970E9">
        <w:rPr>
          <w:rFonts w:eastAsia="Century Schoolbook" w:cs="Century Schoolbook"/>
          <w:color w:val="000000"/>
        </w:rPr>
        <w:t>,</w:t>
      </w:r>
      <w:r w:rsidR="0077721A" w:rsidRPr="005970E9">
        <w:rPr>
          <w:rFonts w:eastAsia="Century Schoolbook" w:cs="Century Schoolbook"/>
          <w:color w:val="000000"/>
        </w:rPr>
        <w:t xml:space="preserve"> </w:t>
      </w:r>
      <w:r w:rsidR="00B719CE" w:rsidRPr="005970E9">
        <w:rPr>
          <w:rFonts w:eastAsia="Century Schoolbook" w:cs="Century Schoolbook"/>
          <w:color w:val="000000"/>
        </w:rPr>
        <w:t xml:space="preserve">por el contrario, </w:t>
      </w:r>
      <w:r w:rsidR="0077721A" w:rsidRPr="005970E9">
        <w:rPr>
          <w:rFonts w:eastAsia="Century Schoolbook" w:cs="Century Schoolbook"/>
          <w:color w:val="000000"/>
        </w:rPr>
        <w:t xml:space="preserve">se propone nueva legislación que incluso afecta los derechos de las mujeres ya conquistados. </w:t>
      </w:r>
    </w:p>
    <w:p w14:paraId="08084936" w14:textId="03C0E485" w:rsidR="00B73D6F" w:rsidRPr="005970E9" w:rsidRDefault="00B73D6F" w:rsidP="00B73D6F">
      <w:pPr>
        <w:spacing w:before="120" w:after="120" w:line="276" w:lineRule="auto"/>
        <w:jc w:val="both"/>
        <w:rPr>
          <w:rFonts w:eastAsia="Century Schoolbook" w:cs="Century Schoolbook"/>
          <w:color w:val="000000"/>
        </w:rPr>
      </w:pPr>
      <w:r w:rsidRPr="005970E9">
        <w:rPr>
          <w:rFonts w:eastAsia="Century Schoolbook" w:cs="Century Schoolbook"/>
          <w:color w:val="000000"/>
        </w:rPr>
        <w:t>En concreto, la realidad social y política demuestra que las mujeres no cuentan con las mismas posibilidades de acceso a puestos de decisión ni de participación en la toma de decisiones</w:t>
      </w:r>
      <w:r w:rsidR="0077721A" w:rsidRPr="005970E9">
        <w:rPr>
          <w:rFonts w:eastAsia="Century Schoolbook" w:cs="Century Schoolbook"/>
          <w:color w:val="000000"/>
        </w:rPr>
        <w:t>. Es recurrente l</w:t>
      </w:r>
      <w:r w:rsidRPr="005970E9">
        <w:rPr>
          <w:rFonts w:eastAsia="Century Schoolbook" w:cs="Century Schoolbook"/>
          <w:color w:val="000000"/>
        </w:rPr>
        <w:t>a falta de consideración de sus capacidades para ocupar puestos públicos</w:t>
      </w:r>
      <w:r w:rsidR="0077721A" w:rsidRPr="005970E9">
        <w:rPr>
          <w:rFonts w:eastAsia="Century Schoolbook" w:cs="Century Schoolbook"/>
          <w:color w:val="000000"/>
        </w:rPr>
        <w:t xml:space="preserve"> de jerarquía en paridad</w:t>
      </w:r>
      <w:r w:rsidRPr="005970E9">
        <w:rPr>
          <w:rFonts w:eastAsia="Century Schoolbook" w:cs="Century Schoolbook"/>
          <w:color w:val="000000"/>
        </w:rPr>
        <w:t>. La desigualdad y la discriminación se evidencian claramente en el todavía insuficiente ejercicio del derecho a la participación y representación política, a la ciudadanía plena, por parte de las mujeres.</w:t>
      </w:r>
    </w:p>
    <w:p w14:paraId="40ED5D35" w14:textId="77777777" w:rsidR="00B73D6F" w:rsidRPr="005970E9" w:rsidRDefault="00B73D6F" w:rsidP="00B73D6F">
      <w:pPr>
        <w:spacing w:before="120" w:after="120" w:line="276" w:lineRule="auto"/>
        <w:jc w:val="both"/>
        <w:rPr>
          <w:rFonts w:eastAsia="Century Schoolbook" w:cs="Century Schoolbook"/>
          <w:color w:val="000000"/>
        </w:rPr>
      </w:pPr>
      <w:r w:rsidRPr="005970E9">
        <w:rPr>
          <w:rFonts w:eastAsia="Century Schoolbook" w:cs="Century Schoolbook"/>
          <w:color w:val="000000"/>
        </w:rPr>
        <w:t>He aquí donde las estrategias y políticas públicas con enfoque de género implican asumir la necesidad de corregir desigualdades y exclusiones que afectan a las mujeres, a su vínculo con los hombres y las relaciones de poder y subordinación que se han establecido y se mantienen entre ambos.</w:t>
      </w:r>
    </w:p>
    <w:p w14:paraId="6D1D83C2" w14:textId="77777777" w:rsidR="00B73D6F" w:rsidRPr="005970E9" w:rsidRDefault="00B73D6F" w:rsidP="00B73D6F">
      <w:pPr>
        <w:pStyle w:val="Heading2"/>
        <w:numPr>
          <w:ilvl w:val="1"/>
          <w:numId w:val="8"/>
        </w:numPr>
      </w:pPr>
      <w:bookmarkStart w:id="61" w:name="_2bn6wsx"/>
      <w:bookmarkStart w:id="62" w:name="_Toc42159189"/>
      <w:bookmarkStart w:id="63" w:name="_Toc42549425"/>
      <w:bookmarkEnd w:id="61"/>
      <w:r w:rsidRPr="005970E9">
        <w:t>Marco Jurídico</w:t>
      </w:r>
      <w:bookmarkEnd w:id="62"/>
      <w:bookmarkEnd w:id="63"/>
    </w:p>
    <w:p w14:paraId="20548A96" w14:textId="60F9FDE9" w:rsidR="00B73D6F" w:rsidRPr="005970E9" w:rsidRDefault="00B73D6F" w:rsidP="00B73D6F">
      <w:pPr>
        <w:spacing w:before="120" w:after="120" w:line="276" w:lineRule="auto"/>
        <w:jc w:val="both"/>
        <w:rPr>
          <w:rFonts w:eastAsia="Century Schoolbook" w:cs="Century Schoolbook"/>
          <w:color w:val="000000"/>
        </w:rPr>
      </w:pPr>
      <w:r w:rsidRPr="005970E9">
        <w:rPr>
          <w:rFonts w:eastAsia="Century Schoolbook" w:cs="Century Schoolbook"/>
          <w:color w:val="000000"/>
        </w:rPr>
        <w:t xml:space="preserve">La constitución política de </w:t>
      </w:r>
      <w:r w:rsidR="00B719CE" w:rsidRPr="005970E9">
        <w:rPr>
          <w:rFonts w:eastAsia="Century Schoolbook" w:cs="Century Schoolbook"/>
          <w:color w:val="000000"/>
        </w:rPr>
        <w:t>l</w:t>
      </w:r>
      <w:r w:rsidRPr="005970E9">
        <w:rPr>
          <w:rFonts w:eastAsia="Century Schoolbook" w:cs="Century Schoolbook"/>
          <w:color w:val="000000"/>
        </w:rPr>
        <w:t>a República de Panamá establece que se acatan las normas del derecho internacional (Artículo 4); a su vez, señala que las autoridades de la república están llamadas a asegurar la efectividad de los derechos y deberes individuales y sociales (artículo 17) y no habrá fuero ni privilegios o discriminación por razón de raza, nacimiento, discapacidad, clase social, sexo, religión o ideas políticas (artículo 19). Aspectos que permiten acciones concretas en la eliminación de brechas de desigualdad y un marco normativo con perspectiva de género.</w:t>
      </w:r>
    </w:p>
    <w:p w14:paraId="5E8C3291" w14:textId="29FBF708" w:rsidR="00B6333C" w:rsidRPr="005970E9" w:rsidRDefault="00B73D6F" w:rsidP="008E686F">
      <w:pPr>
        <w:pStyle w:val="CommentText"/>
        <w:spacing w:line="276" w:lineRule="auto"/>
        <w:jc w:val="both"/>
        <w:rPr>
          <w:rFonts w:ascii="Century Schoolbook" w:hAnsi="Century Schoolbook"/>
          <w:sz w:val="22"/>
          <w:szCs w:val="22"/>
        </w:rPr>
      </w:pPr>
      <w:r w:rsidRPr="005970E9">
        <w:rPr>
          <w:rFonts w:ascii="Century Schoolbook" w:hAnsi="Century Schoolbook"/>
          <w:color w:val="000000" w:themeColor="text1"/>
          <w:sz w:val="22"/>
          <w:szCs w:val="22"/>
        </w:rPr>
        <w:lastRenderedPageBreak/>
        <w:t xml:space="preserve">La ley 4 de 29 de enero de 1999, que instituye la igualdad de oportunidades, reglamentada a través del Decreto ejecutivo 53 de 25 de junio de 2002, </w:t>
      </w:r>
      <w:r w:rsidR="00B719CE" w:rsidRPr="005970E9">
        <w:rPr>
          <w:rFonts w:ascii="Century Schoolbook" w:hAnsi="Century Schoolbook"/>
          <w:color w:val="000000" w:themeColor="text1"/>
          <w:sz w:val="22"/>
          <w:szCs w:val="22"/>
        </w:rPr>
        <w:t>acoge en sus partes los mandatos de la Convención sobre la eliminación de toda forma de discriminación contra la mujer (CEDAW</w:t>
      </w:r>
      <w:r w:rsidR="00B719CE" w:rsidRPr="005970E9">
        <w:rPr>
          <w:rFonts w:ascii="Century Schoolbook" w:eastAsia="Century Schoolbook" w:hAnsi="Century Schoolbook" w:cs="Century Schoolbook"/>
          <w:color w:val="000000" w:themeColor="text1"/>
          <w:sz w:val="22"/>
          <w:szCs w:val="22"/>
        </w:rPr>
        <w:t>)</w:t>
      </w:r>
      <w:r w:rsidR="575C76FD" w:rsidRPr="005970E9">
        <w:rPr>
          <w:rFonts w:ascii="Century Schoolbook" w:eastAsia="Century Schoolbook" w:hAnsi="Century Schoolbook" w:cs="Century Schoolbook"/>
          <w:color w:val="000000" w:themeColor="text1"/>
          <w:sz w:val="22"/>
          <w:szCs w:val="22"/>
        </w:rPr>
        <w:t>,</w:t>
      </w:r>
      <w:r w:rsidR="00B719CE" w:rsidRPr="005970E9">
        <w:rPr>
          <w:rFonts w:ascii="Century Schoolbook" w:hAnsi="Century Schoolbook"/>
          <w:color w:val="000000" w:themeColor="text1"/>
          <w:sz w:val="22"/>
          <w:szCs w:val="22"/>
        </w:rPr>
        <w:t xml:space="preserve"> </w:t>
      </w:r>
      <w:r w:rsidRPr="005970E9">
        <w:rPr>
          <w:rFonts w:ascii="Century Schoolbook" w:hAnsi="Century Schoolbook"/>
          <w:color w:val="000000" w:themeColor="text1"/>
          <w:sz w:val="22"/>
          <w:szCs w:val="22"/>
        </w:rPr>
        <w:t xml:space="preserve">es el marco legal de referencia ya que establece una serie de mecanismos para el desarrollo de políticas públicas anti discriminación de género por parte del </w:t>
      </w:r>
      <w:r w:rsidR="00B719CE" w:rsidRPr="005970E9">
        <w:rPr>
          <w:rFonts w:ascii="Century Schoolbook" w:hAnsi="Century Schoolbook"/>
          <w:color w:val="000000" w:themeColor="text1"/>
          <w:sz w:val="22"/>
          <w:szCs w:val="22"/>
        </w:rPr>
        <w:t>E</w:t>
      </w:r>
      <w:r w:rsidRPr="005970E9">
        <w:rPr>
          <w:rFonts w:ascii="Century Schoolbook" w:hAnsi="Century Schoolbook"/>
          <w:color w:val="000000" w:themeColor="text1"/>
          <w:sz w:val="22"/>
          <w:szCs w:val="22"/>
        </w:rPr>
        <w:t>stado, tendiente a que se logre la integración plena de las mujeres panameñas al proceso de desarrollo político, económico, social y cultural del país. Este constituye un escalón de suma importancia en el camino a propiciar estrategias y acciones efectivas que permitan, con equidad, la plena incorporación de las mujeres al proceso de desarrollo en todas las esferas activas del país.</w:t>
      </w:r>
      <w:r w:rsidR="00B6333C" w:rsidRPr="005970E9">
        <w:rPr>
          <w:rFonts w:ascii="Century Schoolbook" w:hAnsi="Century Schoolbook"/>
          <w:color w:val="000000" w:themeColor="text1"/>
          <w:sz w:val="22"/>
          <w:szCs w:val="22"/>
        </w:rPr>
        <w:t xml:space="preserve"> No obstante, </w:t>
      </w:r>
      <w:r w:rsidR="00B6333C" w:rsidRPr="005970E9">
        <w:rPr>
          <w:rFonts w:ascii="Century Schoolbook" w:hAnsi="Century Schoolbook"/>
          <w:sz w:val="22"/>
          <w:szCs w:val="22"/>
        </w:rPr>
        <w:t>a 20 años de su establecimiento, sigue pendiente su plena implementación para lograr una igualdad sustantiva entre hombres y mujeres.</w:t>
      </w:r>
    </w:p>
    <w:p w14:paraId="559B9FED" w14:textId="437CBCCB" w:rsidR="00B719CE" w:rsidRPr="005970E9" w:rsidRDefault="00B719CE" w:rsidP="00B73D6F">
      <w:pPr>
        <w:spacing w:before="120" w:after="120" w:line="276" w:lineRule="auto"/>
        <w:jc w:val="both"/>
        <w:rPr>
          <w:rFonts w:eastAsia="Century Schoolbook" w:cs="Century Schoolbook"/>
          <w:color w:val="000000"/>
        </w:rPr>
      </w:pPr>
    </w:p>
    <w:p w14:paraId="743F93DD" w14:textId="77777777" w:rsidR="00B73D6F" w:rsidRPr="005970E9" w:rsidRDefault="00B73D6F" w:rsidP="00B73D6F">
      <w:pPr>
        <w:pStyle w:val="Heading2"/>
        <w:numPr>
          <w:ilvl w:val="1"/>
          <w:numId w:val="8"/>
        </w:numPr>
      </w:pPr>
      <w:bookmarkStart w:id="64" w:name="_qsh70q"/>
      <w:bookmarkStart w:id="65" w:name="_Toc42159190"/>
      <w:bookmarkStart w:id="66" w:name="_Toc42549426"/>
      <w:bookmarkEnd w:id="64"/>
      <w:r w:rsidRPr="005970E9">
        <w:t>Marco Institucional (Mecanismo</w:t>
      </w:r>
      <w:r w:rsidR="002861B8" w:rsidRPr="005970E9">
        <w:t>s</w:t>
      </w:r>
      <w:r w:rsidRPr="005970E9">
        <w:t xml:space="preserve"> de adelanto de las mujeres)</w:t>
      </w:r>
      <w:bookmarkEnd w:id="65"/>
      <w:bookmarkEnd w:id="66"/>
    </w:p>
    <w:p w14:paraId="461877DA" w14:textId="41D89F44" w:rsidR="00B73D6F" w:rsidRPr="005970E9" w:rsidRDefault="00B73D6F" w:rsidP="00B73D6F">
      <w:pPr>
        <w:spacing w:before="120" w:after="120" w:line="276" w:lineRule="auto"/>
        <w:jc w:val="both"/>
        <w:rPr>
          <w:rFonts w:eastAsia="Century Schoolbook" w:cs="Century Schoolbook"/>
        </w:rPr>
      </w:pPr>
      <w:r w:rsidRPr="005970E9">
        <w:rPr>
          <w:rFonts w:eastAsia="Century Schoolbook" w:cs="Century Schoolbook"/>
        </w:rPr>
        <w:t xml:space="preserve">Desde 1994 existe la voluntad política e institucional de avanzar en mecanismos que faciliten el cierre de la brecha de igualdad de género en Panamá; de esta forma nace el Consejo Nacional de la Mujer (CONAMU), y la Dirección Nacional de la Mujer (DINAMU), adscritas en primera instancia al entonces, Ministerio de </w:t>
      </w:r>
      <w:r w:rsidR="00711883" w:rsidRPr="005970E9">
        <w:rPr>
          <w:rFonts w:eastAsia="Century Schoolbook" w:cs="Century Schoolbook"/>
        </w:rPr>
        <w:t>T</w:t>
      </w:r>
      <w:r w:rsidRPr="005970E9">
        <w:rPr>
          <w:rFonts w:eastAsia="Century Schoolbook" w:cs="Century Schoolbook"/>
        </w:rPr>
        <w:t xml:space="preserve">rabajo y Bienestar </w:t>
      </w:r>
      <w:r w:rsidR="00716D6C" w:rsidRPr="005970E9">
        <w:rPr>
          <w:rFonts w:eastAsia="Century Schoolbook" w:cs="Century Schoolbook"/>
        </w:rPr>
        <w:t>S</w:t>
      </w:r>
      <w:r w:rsidRPr="005970E9">
        <w:rPr>
          <w:rFonts w:eastAsia="Century Schoolbook" w:cs="Century Schoolbook"/>
        </w:rPr>
        <w:t xml:space="preserve">ocial, </w:t>
      </w:r>
      <w:r w:rsidR="00711883" w:rsidRPr="005970E9">
        <w:rPr>
          <w:rFonts w:eastAsia="Century Schoolbook" w:cs="Century Schoolbook"/>
        </w:rPr>
        <w:t xml:space="preserve">posteriormente se incluye en la estructura del </w:t>
      </w:r>
      <w:r w:rsidRPr="005970E9">
        <w:rPr>
          <w:rFonts w:eastAsia="Century Schoolbook" w:cs="Century Schoolbook"/>
        </w:rPr>
        <w:t>hoy Ministerio de Desarrollo Social (MIDES).</w:t>
      </w:r>
    </w:p>
    <w:p w14:paraId="1CD93CCA" w14:textId="02274A6E" w:rsidR="00B73D6F" w:rsidRPr="005970E9" w:rsidRDefault="00711883" w:rsidP="00B73D6F">
      <w:pPr>
        <w:spacing w:before="120" w:after="120" w:line="276" w:lineRule="auto"/>
        <w:jc w:val="both"/>
        <w:rPr>
          <w:rFonts w:eastAsia="Century Schoolbook" w:cs="Century Schoolbook"/>
        </w:rPr>
      </w:pPr>
      <w:r w:rsidRPr="005970E9">
        <w:rPr>
          <w:rFonts w:eastAsia="Century Schoolbook" w:cs="Century Schoolbook"/>
        </w:rPr>
        <w:t>A</w:t>
      </w:r>
      <w:r w:rsidR="00B73D6F" w:rsidRPr="005970E9">
        <w:rPr>
          <w:rFonts w:eastAsia="Century Schoolbook" w:cs="Century Schoolbook"/>
        </w:rPr>
        <w:t xml:space="preserve"> partir de 1995</w:t>
      </w:r>
      <w:r w:rsidRPr="005970E9">
        <w:rPr>
          <w:rFonts w:eastAsia="Century Schoolbook" w:cs="Century Schoolbook"/>
        </w:rPr>
        <w:t>,</w:t>
      </w:r>
      <w:r w:rsidR="00B73D6F" w:rsidRPr="005970E9">
        <w:rPr>
          <w:rFonts w:eastAsia="Century Schoolbook" w:cs="Century Schoolbook"/>
        </w:rPr>
        <w:t xml:space="preserve"> empiezan a aparecer en el sector público panameño departamentos o unidades administrativas conocidas como oficinas de la mujer</w:t>
      </w:r>
      <w:r w:rsidRPr="005970E9">
        <w:rPr>
          <w:rFonts w:eastAsia="Century Schoolbook" w:cs="Century Schoolbook"/>
        </w:rPr>
        <w:t xml:space="preserve"> o puntos focales de género, o de igualdad</w:t>
      </w:r>
      <w:r w:rsidR="00B73D6F" w:rsidRPr="005970E9">
        <w:rPr>
          <w:rFonts w:eastAsia="Century Schoolbook" w:cs="Century Schoolbook"/>
        </w:rPr>
        <w:t>.</w:t>
      </w:r>
      <w:r w:rsidRPr="005970E9">
        <w:rPr>
          <w:rFonts w:eastAsia="Century Schoolbook" w:cs="Century Schoolbook"/>
        </w:rPr>
        <w:t xml:space="preserve"> Estas instancias son fundamentadas legalmente, en 1999 con la aprobación de </w:t>
      </w:r>
      <w:r w:rsidR="00B73D6F" w:rsidRPr="005970E9">
        <w:rPr>
          <w:rFonts w:eastAsia="Century Schoolbook" w:cs="Century Schoolbook"/>
        </w:rPr>
        <w:t xml:space="preserve">la Ley No. 4 de enero de 1999 por la cual se instituye la igualdad de oportunidades en </w:t>
      </w:r>
      <w:r w:rsidRPr="005970E9">
        <w:rPr>
          <w:rFonts w:eastAsia="Century Schoolbook" w:cs="Century Schoolbook"/>
        </w:rPr>
        <w:t>P</w:t>
      </w:r>
      <w:r w:rsidR="00B73D6F" w:rsidRPr="005970E9">
        <w:rPr>
          <w:rFonts w:eastAsia="Century Schoolbook" w:cs="Century Schoolbook"/>
        </w:rPr>
        <w:t>anamá</w:t>
      </w:r>
      <w:r w:rsidRPr="005970E9">
        <w:rPr>
          <w:rFonts w:eastAsia="Century Schoolbook" w:cs="Century Schoolbook"/>
        </w:rPr>
        <w:t>. S</w:t>
      </w:r>
      <w:r w:rsidR="00B73D6F" w:rsidRPr="005970E9">
        <w:rPr>
          <w:rFonts w:eastAsia="Century Schoolbook" w:cs="Century Schoolbook"/>
        </w:rPr>
        <w:t xml:space="preserve">e constituyen en mecanismos del </w:t>
      </w:r>
      <w:r w:rsidRPr="005970E9">
        <w:rPr>
          <w:rFonts w:eastAsia="Century Schoolbook" w:cs="Century Schoolbook"/>
        </w:rPr>
        <w:t>E</w:t>
      </w:r>
      <w:r w:rsidR="00B73D6F" w:rsidRPr="005970E9">
        <w:rPr>
          <w:rFonts w:eastAsia="Century Schoolbook" w:cs="Century Schoolbook"/>
        </w:rPr>
        <w:t>stado</w:t>
      </w:r>
      <w:r w:rsidRPr="005970E9">
        <w:rPr>
          <w:rFonts w:eastAsia="Century Schoolbook" w:cs="Century Schoolbook"/>
        </w:rPr>
        <w:t>,</w:t>
      </w:r>
      <w:r w:rsidR="00B73D6F" w:rsidRPr="005970E9">
        <w:rPr>
          <w:rFonts w:eastAsia="Century Schoolbook" w:cs="Century Schoolbook"/>
        </w:rPr>
        <w:t xml:space="preserve"> responsables de </w:t>
      </w:r>
      <w:r w:rsidRPr="005970E9">
        <w:rPr>
          <w:rFonts w:eastAsia="Century Schoolbook" w:cs="Century Schoolbook"/>
        </w:rPr>
        <w:t xml:space="preserve">incorporar </w:t>
      </w:r>
      <w:r w:rsidR="00B73D6F" w:rsidRPr="005970E9">
        <w:rPr>
          <w:rFonts w:eastAsia="Century Schoolbook" w:cs="Century Schoolbook"/>
        </w:rPr>
        <w:t xml:space="preserve">la </w:t>
      </w:r>
      <w:r w:rsidRPr="005970E9">
        <w:rPr>
          <w:rFonts w:eastAsia="Century Schoolbook" w:cs="Century Schoolbook"/>
        </w:rPr>
        <w:t xml:space="preserve">igualdad y </w:t>
      </w:r>
      <w:r w:rsidR="00B73D6F" w:rsidRPr="005970E9">
        <w:rPr>
          <w:rFonts w:eastAsia="Century Schoolbook" w:cs="Century Schoolbook"/>
        </w:rPr>
        <w:t xml:space="preserve">equidad de género </w:t>
      </w:r>
      <w:r w:rsidRPr="005970E9">
        <w:rPr>
          <w:rFonts w:eastAsia="Century Schoolbook" w:cs="Century Schoolbook"/>
        </w:rPr>
        <w:t xml:space="preserve">en </w:t>
      </w:r>
      <w:r w:rsidR="00B73D6F" w:rsidRPr="005970E9">
        <w:rPr>
          <w:rFonts w:eastAsia="Century Schoolbook" w:cs="Century Schoolbook"/>
        </w:rPr>
        <w:t>todas las políticas públicas.</w:t>
      </w:r>
    </w:p>
    <w:p w14:paraId="54FDE407" w14:textId="77777777" w:rsidR="00B73D6F" w:rsidRPr="005970E9" w:rsidRDefault="00B73D6F" w:rsidP="00B73D6F">
      <w:pPr>
        <w:spacing w:before="120" w:after="120" w:line="276" w:lineRule="auto"/>
        <w:jc w:val="both"/>
        <w:rPr>
          <w:rFonts w:eastAsia="Century Schoolbook" w:cs="Century Schoolbook"/>
        </w:rPr>
      </w:pPr>
      <w:r w:rsidRPr="005970E9">
        <w:rPr>
          <w:rFonts w:eastAsia="Century Schoolbook" w:cs="Century Schoolbook"/>
        </w:rPr>
        <w:t>Estas instituciones nacen con 3 propósitos centrales:</w:t>
      </w:r>
    </w:p>
    <w:p w14:paraId="2B21C7CC" w14:textId="77777777" w:rsidR="00B73D6F" w:rsidRPr="005970E9" w:rsidRDefault="00B73D6F" w:rsidP="00B73D6F">
      <w:pPr>
        <w:numPr>
          <w:ilvl w:val="0"/>
          <w:numId w:val="27"/>
        </w:numPr>
        <w:spacing w:before="120" w:line="276" w:lineRule="auto"/>
        <w:jc w:val="both"/>
        <w:rPr>
          <w:rFonts w:eastAsia="Century Schoolbook" w:cs="Century Schoolbook"/>
        </w:rPr>
      </w:pPr>
      <w:r w:rsidRPr="005970E9">
        <w:rPr>
          <w:rFonts w:eastAsia="Century Schoolbook" w:cs="Century Schoolbook"/>
        </w:rPr>
        <w:t>Ampliar la participación de las mujeres en los procesos democráticos y en toda la gestión de la vida social del país.</w:t>
      </w:r>
    </w:p>
    <w:p w14:paraId="49FA9C20" w14:textId="77777777" w:rsidR="00B73D6F" w:rsidRPr="005970E9" w:rsidRDefault="00B73D6F" w:rsidP="00B73D6F">
      <w:pPr>
        <w:numPr>
          <w:ilvl w:val="0"/>
          <w:numId w:val="27"/>
        </w:numPr>
        <w:spacing w:line="276" w:lineRule="auto"/>
        <w:jc w:val="both"/>
        <w:rPr>
          <w:rFonts w:eastAsia="Century Schoolbook" w:cs="Century Schoolbook"/>
        </w:rPr>
      </w:pPr>
      <w:r w:rsidRPr="005970E9">
        <w:rPr>
          <w:rFonts w:eastAsia="Century Schoolbook" w:cs="Century Schoolbook"/>
        </w:rPr>
        <w:t>Institucionalizar la perspectiva de género en todo el proceso de formulación y aplicación de políticas públicas, la planificación, ejecución, seguimiento y evaluación.</w:t>
      </w:r>
    </w:p>
    <w:p w14:paraId="2E444840" w14:textId="77777777" w:rsidR="00B73D6F" w:rsidRPr="005970E9" w:rsidRDefault="00B73D6F" w:rsidP="00B73D6F">
      <w:pPr>
        <w:numPr>
          <w:ilvl w:val="0"/>
          <w:numId w:val="27"/>
        </w:numPr>
        <w:spacing w:after="120" w:line="276" w:lineRule="auto"/>
        <w:jc w:val="both"/>
        <w:rPr>
          <w:rFonts w:eastAsia="Century Schoolbook" w:cs="Century Schoolbook"/>
        </w:rPr>
      </w:pPr>
      <w:r w:rsidRPr="005970E9">
        <w:rPr>
          <w:rFonts w:eastAsia="Century Schoolbook" w:cs="Century Schoolbook"/>
        </w:rPr>
        <w:t>Garantizar que dicha perspectiva conceptual se evidencie en las políticas y acciones externas e internas en el tiempo, de modo sistemático.</w:t>
      </w:r>
    </w:p>
    <w:p w14:paraId="0C9483D0" w14:textId="135E76B5" w:rsidR="00B73D6F" w:rsidRPr="005970E9" w:rsidRDefault="00B73D6F" w:rsidP="00B73D6F">
      <w:pPr>
        <w:spacing w:before="120" w:after="120" w:line="276" w:lineRule="auto"/>
        <w:jc w:val="both"/>
        <w:rPr>
          <w:rFonts w:eastAsia="Century Schoolbook" w:cs="Century Schoolbook"/>
        </w:rPr>
      </w:pPr>
      <w:r w:rsidRPr="005970E9">
        <w:rPr>
          <w:rFonts w:eastAsia="Century Schoolbook" w:cs="Century Schoolbook"/>
        </w:rPr>
        <w:t>El permanente cambio y la necesidad de extender mecanismos administrativos que garanticen el cumplimiento de estos y otros objetivos lleva a la lógica</w:t>
      </w:r>
      <w:r w:rsidR="00711883" w:rsidRPr="005970E9">
        <w:rPr>
          <w:rFonts w:eastAsia="Century Schoolbook" w:cs="Century Schoolbook"/>
        </w:rPr>
        <w:t xml:space="preserve"> de</w:t>
      </w:r>
      <w:r w:rsidRPr="005970E9">
        <w:rPr>
          <w:rFonts w:eastAsia="Century Schoolbook" w:cs="Century Schoolbook"/>
        </w:rPr>
        <w:t xml:space="preserve"> transformación de las instituciones; en ese sentido</w:t>
      </w:r>
      <w:r w:rsidR="00716D6C" w:rsidRPr="005970E9">
        <w:rPr>
          <w:rFonts w:eastAsia="Century Schoolbook" w:cs="Century Schoolbook"/>
        </w:rPr>
        <w:t>,</w:t>
      </w:r>
      <w:r w:rsidRPr="005970E9">
        <w:rPr>
          <w:rFonts w:eastAsia="Century Schoolbook" w:cs="Century Schoolbook"/>
        </w:rPr>
        <w:t xml:space="preserve"> </w:t>
      </w:r>
      <w:r w:rsidR="00716D6C" w:rsidRPr="005970E9">
        <w:rPr>
          <w:rFonts w:eastAsia="Century Schoolbook" w:cs="Century Schoolbook"/>
        </w:rPr>
        <w:t>e</w:t>
      </w:r>
      <w:r w:rsidRPr="005970E9">
        <w:rPr>
          <w:rFonts w:eastAsia="Century Schoolbook" w:cs="Century Schoolbook"/>
        </w:rPr>
        <w:t xml:space="preserve">l </w:t>
      </w:r>
      <w:r w:rsidR="00711883" w:rsidRPr="005970E9">
        <w:rPr>
          <w:rFonts w:eastAsia="Century Schoolbook" w:cs="Century Schoolbook"/>
        </w:rPr>
        <w:t>I</w:t>
      </w:r>
      <w:r w:rsidRPr="005970E9">
        <w:rPr>
          <w:rFonts w:eastAsia="Century Schoolbook" w:cs="Century Schoolbook"/>
        </w:rPr>
        <w:t xml:space="preserve">nstituto Nacional de la Mujer (INAMU) es el resultado de una lucha de las organizaciones de mujeres por el logro de una entidad </w:t>
      </w:r>
      <w:r w:rsidRPr="005970E9">
        <w:rPr>
          <w:rFonts w:eastAsia="Century Schoolbook" w:cs="Century Schoolbook"/>
        </w:rPr>
        <w:lastRenderedPageBreak/>
        <w:t>autónoma. Esto se concreta a través de la incidencia del Consejo Nacional de la Mujer como entidad impulsora de su creación mediante la Ley 71 de 23 de diciembre de 2008.</w:t>
      </w:r>
    </w:p>
    <w:p w14:paraId="38917DC2" w14:textId="29FCB3B4" w:rsidR="00B73D6F" w:rsidRPr="005970E9" w:rsidRDefault="00B73D6F" w:rsidP="00B73D6F">
      <w:pPr>
        <w:spacing w:before="120" w:after="120" w:line="276" w:lineRule="auto"/>
        <w:jc w:val="both"/>
        <w:rPr>
          <w:rFonts w:eastAsia="Century Schoolbook" w:cs="Century Schoolbook"/>
        </w:rPr>
      </w:pPr>
      <w:r w:rsidRPr="005970E9">
        <w:rPr>
          <w:rFonts w:eastAsia="Century Schoolbook" w:cs="Century Schoolbook"/>
        </w:rPr>
        <w:t>Uno de los principales propósitos de la Ley que crea la entidad es consolidarla como ente rector de la</w:t>
      </w:r>
      <w:r w:rsidR="00716D6C" w:rsidRPr="005970E9">
        <w:rPr>
          <w:rFonts w:eastAsia="Century Schoolbook" w:cs="Century Schoolbook"/>
        </w:rPr>
        <w:t>s</w:t>
      </w:r>
      <w:r w:rsidRPr="005970E9">
        <w:rPr>
          <w:rFonts w:eastAsia="Century Schoolbook" w:cs="Century Schoolbook"/>
        </w:rPr>
        <w:t xml:space="preserve"> Políticas Públicas de Igualdad de Oportunidades para las Mujeres, a fin de articular respuestas que permitan erradicar las condiciones sociales, políticas, económicas, culturales y jurídicas que impiden el pleno goce y desarrollo de los derechos de las Mujeres.</w:t>
      </w:r>
    </w:p>
    <w:p w14:paraId="409241FC" w14:textId="7D59E6C1" w:rsidR="00B73D6F" w:rsidRPr="005970E9" w:rsidRDefault="00B73D6F" w:rsidP="009F31CB">
      <w:pPr>
        <w:spacing w:before="180" w:after="180" w:line="276" w:lineRule="auto"/>
        <w:jc w:val="both"/>
        <w:rPr>
          <w:rFonts w:eastAsia="Century Schoolbook" w:cs="Century Schoolbook"/>
        </w:rPr>
      </w:pPr>
      <w:r w:rsidRPr="005970E9">
        <w:rPr>
          <w:rFonts w:eastAsia="Century Schoolbook" w:cs="Century Schoolbook"/>
        </w:rPr>
        <w:t xml:space="preserve">Para el año 2014 la institución contaba con un presupuesto de 2.9 millones de balboas y una presencia parcial en </w:t>
      </w:r>
      <w:r w:rsidR="00555A8C" w:rsidRPr="005970E9">
        <w:rPr>
          <w:rFonts w:eastAsia="Century Schoolbook" w:cs="Century Schoolbook"/>
        </w:rPr>
        <w:t>tres (</w:t>
      </w:r>
      <w:r w:rsidRPr="005970E9">
        <w:rPr>
          <w:rFonts w:eastAsia="Century Schoolbook" w:cs="Century Schoolbook"/>
        </w:rPr>
        <w:t>3</w:t>
      </w:r>
      <w:r w:rsidR="00555A8C" w:rsidRPr="005970E9">
        <w:rPr>
          <w:rFonts w:eastAsia="Century Schoolbook" w:cs="Century Schoolbook"/>
        </w:rPr>
        <w:t>)</w:t>
      </w:r>
      <w:r w:rsidRPr="005970E9">
        <w:rPr>
          <w:rFonts w:eastAsia="Century Schoolbook" w:cs="Century Schoolbook"/>
        </w:rPr>
        <w:t xml:space="preserve"> provincias, dedicadas a la autonomía física. Al 2018, el Instituto Nacional de la Mujer cuenta con un presupuesto anual de 6.6 millones y con presencia territorial en </w:t>
      </w:r>
      <w:r w:rsidR="00555A8C" w:rsidRPr="005970E9">
        <w:rPr>
          <w:rFonts w:eastAsia="Century Schoolbook" w:cs="Century Schoolbook"/>
        </w:rPr>
        <w:t>diez (</w:t>
      </w:r>
      <w:r w:rsidRPr="005970E9">
        <w:rPr>
          <w:rFonts w:eastAsia="Century Schoolbook" w:cs="Century Schoolbook"/>
        </w:rPr>
        <w:t>10</w:t>
      </w:r>
      <w:r w:rsidR="00555A8C" w:rsidRPr="005970E9">
        <w:rPr>
          <w:rFonts w:eastAsia="Century Schoolbook" w:cs="Century Schoolbook"/>
        </w:rPr>
        <w:t>)</w:t>
      </w:r>
      <w:r w:rsidRPr="005970E9">
        <w:rPr>
          <w:rFonts w:eastAsia="Century Schoolbook" w:cs="Century Schoolbook"/>
        </w:rPr>
        <w:t xml:space="preserve"> provincias y </w:t>
      </w:r>
      <w:r w:rsidR="00555A8C" w:rsidRPr="005970E9">
        <w:rPr>
          <w:rFonts w:eastAsia="Century Schoolbook" w:cs="Century Schoolbook"/>
        </w:rPr>
        <w:t>dos (</w:t>
      </w:r>
      <w:r w:rsidRPr="005970E9">
        <w:rPr>
          <w:rFonts w:eastAsia="Century Schoolbook" w:cs="Century Schoolbook"/>
        </w:rPr>
        <w:t>2</w:t>
      </w:r>
      <w:r w:rsidR="00555A8C" w:rsidRPr="005970E9">
        <w:rPr>
          <w:rFonts w:eastAsia="Century Schoolbook" w:cs="Century Schoolbook"/>
        </w:rPr>
        <w:t>)</w:t>
      </w:r>
      <w:r w:rsidRPr="005970E9">
        <w:rPr>
          <w:rFonts w:eastAsia="Century Schoolbook" w:cs="Century Schoolbook"/>
        </w:rPr>
        <w:t xml:space="preserve"> comarcas, logrando una mayor cobertura geográfica a diferencia de años anteriores, ampliando el circuito de prevención y protección de las mujeres a través de los centros denominados CINAMU y los </w:t>
      </w:r>
      <w:r w:rsidR="00555A8C" w:rsidRPr="005970E9">
        <w:rPr>
          <w:rFonts w:eastAsia="Century Schoolbook" w:cs="Century Schoolbook"/>
        </w:rPr>
        <w:t>dos (</w:t>
      </w:r>
      <w:r w:rsidRPr="005970E9">
        <w:rPr>
          <w:rFonts w:eastAsia="Century Schoolbook" w:cs="Century Schoolbook"/>
        </w:rPr>
        <w:t>2</w:t>
      </w:r>
      <w:r w:rsidR="00555A8C" w:rsidRPr="005970E9">
        <w:rPr>
          <w:rFonts w:eastAsia="Century Schoolbook" w:cs="Century Schoolbook"/>
        </w:rPr>
        <w:t>)</w:t>
      </w:r>
      <w:r w:rsidRPr="005970E9">
        <w:rPr>
          <w:rFonts w:eastAsia="Century Schoolbook" w:cs="Century Schoolbook"/>
        </w:rPr>
        <w:t xml:space="preserve"> Albergues Nacionales para violencia doméstica de alto riesgo.</w:t>
      </w:r>
      <w:r w:rsidR="00BF5D6E" w:rsidRPr="005970E9">
        <w:rPr>
          <w:rStyle w:val="FootnoteReference"/>
          <w:rFonts w:eastAsia="Century Schoolbook" w:cs="Century Schoolbook"/>
        </w:rPr>
        <w:footnoteReference w:id="19"/>
      </w:r>
    </w:p>
    <w:p w14:paraId="45FA3777" w14:textId="3A8B801E" w:rsidR="00B73D6F" w:rsidRPr="005970E9" w:rsidRDefault="00B73D6F" w:rsidP="009F31CB">
      <w:pPr>
        <w:spacing w:before="180" w:after="180" w:line="276" w:lineRule="auto"/>
        <w:jc w:val="both"/>
        <w:rPr>
          <w:rFonts w:eastAsia="Century Schoolbook" w:cs="Century Schoolbook"/>
        </w:rPr>
      </w:pPr>
      <w:r w:rsidRPr="005970E9">
        <w:rPr>
          <w:rFonts w:eastAsia="Century Schoolbook" w:cs="Century Schoolbook"/>
        </w:rPr>
        <w:t xml:space="preserve">Por otra parte, el Instituto Nacional de la Mujer (INAMU) se trazó en 2015 la meta de extender su cobertura de intervención a las Provincias y Comarcas Indígenas del país, a fin de fortalecer el servicio de atención especializada y gratuita para las Mujeres, sobre todo para aquellas que son supervivientes de violencia doméstica o potencialmente pueden llegar a serlo. La creación de los Centros del Instituto Nacional de la Mujer (CINAMU), </w:t>
      </w:r>
      <w:r w:rsidR="00716D6C" w:rsidRPr="005970E9">
        <w:rPr>
          <w:rFonts w:eastAsia="Century Schoolbook" w:cs="Century Schoolbook"/>
        </w:rPr>
        <w:t xml:space="preserve">son </w:t>
      </w:r>
      <w:r w:rsidRPr="005970E9">
        <w:rPr>
          <w:rFonts w:eastAsia="Century Schoolbook" w:cs="Century Schoolbook"/>
        </w:rPr>
        <w:t>concebidos como espacios o ventanas de oportunidad para la salvaguarda, la autonomía y la transformación de la vida de las Mujeres</w:t>
      </w:r>
      <w:r w:rsidR="00555A8C" w:rsidRPr="005970E9">
        <w:rPr>
          <w:rFonts w:eastAsia="Century Schoolbook" w:cs="Century Schoolbook"/>
        </w:rPr>
        <w:t xml:space="preserve">. Se trata de dar </w:t>
      </w:r>
      <w:r w:rsidRPr="005970E9">
        <w:rPr>
          <w:rFonts w:eastAsia="Century Schoolbook" w:cs="Century Schoolbook"/>
        </w:rPr>
        <w:t xml:space="preserve">respuesta al problema </w:t>
      </w:r>
      <w:r w:rsidR="00555A8C" w:rsidRPr="005970E9">
        <w:rPr>
          <w:rFonts w:eastAsia="Century Schoolbook" w:cs="Century Schoolbook"/>
        </w:rPr>
        <w:t>de violencia</w:t>
      </w:r>
      <w:r w:rsidRPr="005970E9">
        <w:rPr>
          <w:rFonts w:eastAsia="Century Schoolbook" w:cs="Century Schoolbook"/>
        </w:rPr>
        <w:t>,</w:t>
      </w:r>
      <w:r w:rsidR="00555A8C" w:rsidRPr="005970E9">
        <w:rPr>
          <w:rFonts w:eastAsia="Century Schoolbook" w:cs="Century Schoolbook"/>
        </w:rPr>
        <w:t xml:space="preserve"> acercando la gestión institucional en la protección de sus derechos. </w:t>
      </w:r>
      <w:r w:rsidR="007A7C0B" w:rsidRPr="005970E9">
        <w:t xml:space="preserve">Los CINAMU suponen una oportunidad para desarrollar otro tipo de servicios e iniciativas dirigidos al logro de una verdadera igualdad sustantiva entre hombres y mujeres en los territorios, </w:t>
      </w:r>
      <w:r w:rsidR="008E686F" w:rsidRPr="005970E9">
        <w:t xml:space="preserve">además </w:t>
      </w:r>
      <w:r w:rsidR="008E686F" w:rsidRPr="005970E9">
        <w:rPr>
          <w:rFonts w:eastAsia="Century Schoolbook" w:cs="Century Schoolbook"/>
        </w:rPr>
        <w:t>proporcionan</w:t>
      </w:r>
      <w:r w:rsidR="00555A8C" w:rsidRPr="005970E9">
        <w:rPr>
          <w:rFonts w:eastAsia="Century Schoolbook" w:cs="Century Schoolbook"/>
        </w:rPr>
        <w:t xml:space="preserve"> </w:t>
      </w:r>
      <w:r w:rsidRPr="005970E9">
        <w:rPr>
          <w:rFonts w:eastAsia="Century Schoolbook" w:cs="Century Schoolbook"/>
        </w:rPr>
        <w:t xml:space="preserve">información propicia y oportuna, </w:t>
      </w:r>
      <w:r w:rsidR="007A7C0B" w:rsidRPr="005970E9">
        <w:rPr>
          <w:rFonts w:eastAsia="Century Schoolbook" w:cs="Century Schoolbook"/>
        </w:rPr>
        <w:t xml:space="preserve">y </w:t>
      </w:r>
      <w:r w:rsidR="008E686F" w:rsidRPr="005970E9">
        <w:rPr>
          <w:rFonts w:eastAsia="Century Schoolbook" w:cs="Century Schoolbook"/>
        </w:rPr>
        <w:t>son herramientas</w:t>
      </w:r>
      <w:r w:rsidRPr="005970E9">
        <w:rPr>
          <w:rFonts w:eastAsia="Century Schoolbook" w:cs="Century Schoolbook"/>
        </w:rPr>
        <w:t xml:space="preserve"> básicas para </w:t>
      </w:r>
      <w:r w:rsidR="007A7C0B" w:rsidRPr="005970E9">
        <w:rPr>
          <w:rFonts w:eastAsia="Century Schoolbook" w:cs="Century Schoolbook"/>
        </w:rPr>
        <w:t xml:space="preserve">el </w:t>
      </w:r>
      <w:r w:rsidRPr="005970E9">
        <w:rPr>
          <w:rFonts w:eastAsia="Century Schoolbook" w:cs="Century Schoolbook"/>
        </w:rPr>
        <w:t>empoderamiento</w:t>
      </w:r>
      <w:r w:rsidR="007A7C0B" w:rsidRPr="005970E9">
        <w:rPr>
          <w:rFonts w:eastAsia="Century Schoolbook" w:cs="Century Schoolbook"/>
        </w:rPr>
        <w:t xml:space="preserve"> de las mujeres</w:t>
      </w:r>
      <w:r w:rsidRPr="005970E9">
        <w:rPr>
          <w:rFonts w:eastAsia="Century Schoolbook" w:cs="Century Schoolbook"/>
        </w:rPr>
        <w:t>.</w:t>
      </w:r>
    </w:p>
    <w:p w14:paraId="2B2E9EAF" w14:textId="789D7960" w:rsidR="003E5792" w:rsidRPr="005970E9" w:rsidRDefault="00B73D6F" w:rsidP="00B73D6F">
      <w:pPr>
        <w:spacing w:before="120" w:after="120" w:line="276" w:lineRule="auto"/>
        <w:jc w:val="both"/>
        <w:rPr>
          <w:rFonts w:eastAsia="Century Schoolbook" w:cs="Century Schoolbook"/>
          <w:highlight w:val="white"/>
        </w:rPr>
      </w:pPr>
      <w:r w:rsidRPr="005970E9">
        <w:rPr>
          <w:rFonts w:eastAsia="Century Schoolbook" w:cs="Century Schoolbook"/>
        </w:rPr>
        <w:t>En julio de 2019</w:t>
      </w:r>
      <w:r w:rsidR="00DC59F0" w:rsidRPr="005970E9">
        <w:rPr>
          <w:rFonts w:eastAsia="Century Schoolbook" w:cs="Century Schoolbook"/>
        </w:rPr>
        <w:t>,</w:t>
      </w:r>
      <w:r w:rsidRPr="005970E9">
        <w:rPr>
          <w:rFonts w:eastAsia="Century Schoolbook" w:cs="Century Schoolbook"/>
        </w:rPr>
        <w:t xml:space="preserve"> </w:t>
      </w:r>
      <w:r w:rsidR="00716D6C" w:rsidRPr="005970E9">
        <w:rPr>
          <w:rFonts w:eastAsia="Century Schoolbook" w:cs="Century Schoolbook"/>
        </w:rPr>
        <w:t xml:space="preserve">las </w:t>
      </w:r>
      <w:r w:rsidRPr="005970E9">
        <w:rPr>
          <w:rFonts w:eastAsia="Century Schoolbook" w:cs="Century Schoolbook"/>
        </w:rPr>
        <w:t xml:space="preserve">organizaciones de mujeres presentaron ante la Asamblea Nacional un proyecto de ley que crearía el Ministerio de la Mujer. </w:t>
      </w:r>
      <w:r w:rsidR="00555A8C" w:rsidRPr="005970E9">
        <w:rPr>
          <w:rFonts w:eastAsia="Century Schoolbook" w:cs="Century Schoolbook"/>
        </w:rPr>
        <w:t>L</w:t>
      </w:r>
      <w:r w:rsidRPr="005970E9">
        <w:rPr>
          <w:rFonts w:eastAsia="Century Schoolbook" w:cs="Century Schoolbook"/>
        </w:rPr>
        <w:t>a misma fue presentada ante la oficina de participación ciudadana del Legislativo</w:t>
      </w:r>
      <w:r w:rsidR="00BF5D6E" w:rsidRPr="005970E9">
        <w:rPr>
          <w:rStyle w:val="FootnoteReference"/>
          <w:rFonts w:eastAsia="Century Schoolbook" w:cs="Century Schoolbook"/>
        </w:rPr>
        <w:footnoteReference w:id="20"/>
      </w:r>
      <w:r w:rsidRPr="005970E9">
        <w:rPr>
          <w:rFonts w:eastAsia="Century Schoolbook" w:cs="Century Schoolbook"/>
        </w:rPr>
        <w:t xml:space="preserve">. Esta iniciativa se encuentra impregnada de matices políticos ya que la misma se encontraba incluida dentro del paquete de propuestas político-electorales de la actual administración. Desde la constitución del CONAMU hasta su evolución como INAMU es evidente el robustecimiento institucional que este tema ha adquirido y es lógico pensar en que los mecanismos tienen que evolucionar a fin de hacer frente a la permanente lucha por la igualdad de género. Como también es lógico concluir en la necesidad del trabajo coordinado en un eje común. </w:t>
      </w:r>
    </w:p>
    <w:p w14:paraId="368A59DF" w14:textId="24234B19" w:rsidR="003E5792" w:rsidRPr="005970E9" w:rsidRDefault="003E5792" w:rsidP="00B73D6F">
      <w:pPr>
        <w:spacing w:before="120" w:after="120" w:line="276" w:lineRule="auto"/>
        <w:jc w:val="both"/>
        <w:rPr>
          <w:rFonts w:eastAsia="Century Schoolbook" w:cs="Century Schoolbook"/>
          <w:color w:val="000000"/>
        </w:rPr>
      </w:pPr>
      <w:r w:rsidRPr="005970E9">
        <w:rPr>
          <w:rFonts w:eastAsia="Century Schoolbook" w:cs="Century Schoolbook"/>
        </w:rPr>
        <w:lastRenderedPageBreak/>
        <w:t>El INAMU</w:t>
      </w:r>
      <w:r w:rsidR="00DC59F0" w:rsidRPr="005970E9">
        <w:rPr>
          <w:rFonts w:eastAsia="Century Schoolbook" w:cs="Century Schoolbook"/>
        </w:rPr>
        <w:t>,</w:t>
      </w:r>
      <w:r w:rsidRPr="005970E9">
        <w:rPr>
          <w:rFonts w:eastAsia="Century Schoolbook" w:cs="Century Schoolbook"/>
        </w:rPr>
        <w:t xml:space="preserve"> en el </w:t>
      </w:r>
      <w:r w:rsidRPr="005970E9">
        <w:t xml:space="preserve">Informe de la República de Panamá </w:t>
      </w:r>
      <w:r w:rsidR="00DC59F0" w:rsidRPr="005970E9">
        <w:t>“</w:t>
      </w:r>
      <w:r w:rsidRPr="005970E9">
        <w:t xml:space="preserve">Aplicación de la Declaración y Plataforma de Acción de Beijing (1995) y los resultados del vigésimo tercer período extraordinario de sesiones de la Asamblea General (2000), establece que con base en </w:t>
      </w:r>
      <w:r w:rsidR="00B73D6F" w:rsidRPr="005970E9">
        <w:rPr>
          <w:rFonts w:eastAsia="Century Schoolbook" w:cs="Century Schoolbook"/>
          <w:color w:val="000000"/>
        </w:rPr>
        <w:t>la Ley N</w:t>
      </w:r>
      <w:r w:rsidR="00DC59F0" w:rsidRPr="005970E9">
        <w:rPr>
          <w:rFonts w:eastAsia="Century Schoolbook" w:cs="Century Schoolbook"/>
          <w:color w:val="000000"/>
        </w:rPr>
        <w:t>.</w:t>
      </w:r>
      <w:r w:rsidR="00B73D6F" w:rsidRPr="005970E9">
        <w:rPr>
          <w:rFonts w:eastAsia="Century Schoolbook" w:cs="Century Schoolbook"/>
          <w:color w:val="000000"/>
        </w:rPr>
        <w:t xml:space="preserve">º 4 de 1999, </w:t>
      </w:r>
      <w:r w:rsidRPr="005970E9">
        <w:rPr>
          <w:rFonts w:eastAsia="Century Schoolbook" w:cs="Century Schoolbook"/>
          <w:color w:val="000000"/>
        </w:rPr>
        <w:t>crearon “</w:t>
      </w:r>
      <w:r w:rsidR="00B73D6F" w:rsidRPr="005970E9">
        <w:rPr>
          <w:rFonts w:eastAsia="Century Schoolbook" w:cs="Century Schoolbook"/>
          <w:color w:val="000000"/>
        </w:rPr>
        <w:t>organismos especializados para promover las políticas públicas de Igualdad de Oportunidades para las mujeres además de garantizar la aplicación de la perspectiva de género en todos los planes, programas, proyectos y estrategias que desarrollen en sus instituciones en el ámbito de sus competencias.</w:t>
      </w:r>
      <w:r w:rsidRPr="005970E9">
        <w:rPr>
          <w:rFonts w:eastAsia="Century Schoolbook" w:cs="Century Schoolbook"/>
          <w:color w:val="000000"/>
        </w:rPr>
        <w:t>”</w:t>
      </w:r>
      <w:r w:rsidRPr="005970E9">
        <w:rPr>
          <w:rFonts w:eastAsia="Century Schoolbook" w:cs="Century Schoolbook"/>
          <w:color w:val="000000"/>
          <w:highlight w:val="white"/>
        </w:rPr>
        <w:t xml:space="preserve"> </w:t>
      </w:r>
      <w:r w:rsidRPr="005970E9">
        <w:rPr>
          <w:rFonts w:eastAsia="Century Schoolbook" w:cs="Century Schoolbook"/>
          <w:color w:val="000000"/>
        </w:rPr>
        <w:t>(INAMU, 2014)</w:t>
      </w:r>
      <w:r w:rsidR="00B25358" w:rsidRPr="005970E9">
        <w:rPr>
          <w:rFonts w:eastAsia="Century Schoolbook" w:cs="Century Schoolbook"/>
          <w:color w:val="000000"/>
        </w:rPr>
        <w:t>.</w:t>
      </w:r>
    </w:p>
    <w:p w14:paraId="1B5B0ED2" w14:textId="769A9C54" w:rsidR="00C36303" w:rsidRPr="005970E9" w:rsidRDefault="003E5792" w:rsidP="008E686F">
      <w:pPr>
        <w:pStyle w:val="CommentText"/>
        <w:spacing w:line="276" w:lineRule="auto"/>
        <w:jc w:val="both"/>
        <w:rPr>
          <w:rFonts w:ascii="Century Schoolbook" w:hAnsi="Century Schoolbook"/>
          <w:sz w:val="22"/>
          <w:szCs w:val="22"/>
        </w:rPr>
      </w:pPr>
      <w:r w:rsidRPr="005970E9">
        <w:rPr>
          <w:rFonts w:ascii="Century Schoolbook" w:hAnsi="Century Schoolbook"/>
          <w:color w:val="000000" w:themeColor="text1"/>
          <w:sz w:val="22"/>
          <w:szCs w:val="22"/>
        </w:rPr>
        <w:t xml:space="preserve">Estos Mecanismos son de carácter sectorial, </w:t>
      </w:r>
      <w:r w:rsidR="00DC59F0" w:rsidRPr="005970E9">
        <w:rPr>
          <w:rFonts w:ascii="Century Schoolbook" w:hAnsi="Century Schoolbook"/>
          <w:color w:val="000000" w:themeColor="text1"/>
          <w:sz w:val="22"/>
          <w:szCs w:val="22"/>
        </w:rPr>
        <w:t xml:space="preserve">actualmente </w:t>
      </w:r>
      <w:r w:rsidRPr="005970E9">
        <w:rPr>
          <w:rFonts w:ascii="Century Schoolbook" w:hAnsi="Century Schoolbook"/>
          <w:color w:val="000000" w:themeColor="text1"/>
          <w:sz w:val="22"/>
          <w:szCs w:val="22"/>
        </w:rPr>
        <w:t xml:space="preserve">son treinta y siete, entre </w:t>
      </w:r>
      <w:r w:rsidR="00B73D6F" w:rsidRPr="005970E9">
        <w:rPr>
          <w:rFonts w:ascii="Century Schoolbook" w:hAnsi="Century Schoolbook"/>
          <w:color w:val="000000" w:themeColor="text1"/>
          <w:sz w:val="22"/>
          <w:szCs w:val="22"/>
        </w:rPr>
        <w:t xml:space="preserve">oficinas de la mujer o género, unidades de enlace o programas para las mujeres. </w:t>
      </w:r>
      <w:r w:rsidRPr="005970E9">
        <w:rPr>
          <w:rFonts w:ascii="Century Schoolbook" w:hAnsi="Century Schoolbook"/>
          <w:color w:val="000000" w:themeColor="text1"/>
          <w:sz w:val="22"/>
          <w:szCs w:val="22"/>
        </w:rPr>
        <w:t xml:space="preserve">Treinta y tres </w:t>
      </w:r>
      <w:r w:rsidR="00574394" w:rsidRPr="005970E9">
        <w:rPr>
          <w:rFonts w:ascii="Century Schoolbook" w:hAnsi="Century Schoolbook"/>
          <w:color w:val="000000" w:themeColor="text1"/>
          <w:sz w:val="22"/>
          <w:szCs w:val="22"/>
        </w:rPr>
        <w:t>son dependencias</w:t>
      </w:r>
      <w:r w:rsidR="00B73D6F" w:rsidRPr="005970E9">
        <w:rPr>
          <w:rFonts w:ascii="Century Schoolbook" w:hAnsi="Century Schoolbook"/>
          <w:color w:val="000000" w:themeColor="text1"/>
          <w:sz w:val="22"/>
          <w:szCs w:val="22"/>
        </w:rPr>
        <w:t xml:space="preserve"> </w:t>
      </w:r>
      <w:r w:rsidRPr="005970E9">
        <w:rPr>
          <w:rFonts w:ascii="Century Schoolbook" w:hAnsi="Century Schoolbook"/>
          <w:color w:val="000000" w:themeColor="text1"/>
          <w:sz w:val="22"/>
          <w:szCs w:val="22"/>
        </w:rPr>
        <w:t xml:space="preserve">con un nivel de </w:t>
      </w:r>
      <w:r w:rsidR="00B73D6F" w:rsidRPr="005970E9">
        <w:rPr>
          <w:rFonts w:ascii="Century Schoolbook" w:hAnsi="Century Schoolbook"/>
          <w:color w:val="000000" w:themeColor="text1"/>
          <w:sz w:val="22"/>
          <w:szCs w:val="22"/>
        </w:rPr>
        <w:t xml:space="preserve">Dirección u Oficina de Género o Igualdad de Oportunidades, académica y </w:t>
      </w:r>
      <w:r w:rsidRPr="005970E9">
        <w:rPr>
          <w:rFonts w:ascii="Century Schoolbook" w:hAnsi="Century Schoolbook"/>
          <w:color w:val="000000" w:themeColor="text1"/>
          <w:sz w:val="22"/>
          <w:szCs w:val="22"/>
        </w:rPr>
        <w:t>dos</w:t>
      </w:r>
      <w:r w:rsidR="00B73D6F" w:rsidRPr="005970E9">
        <w:rPr>
          <w:rFonts w:ascii="Century Schoolbook" w:hAnsi="Century Schoolbook"/>
          <w:color w:val="000000" w:themeColor="text1"/>
          <w:sz w:val="22"/>
          <w:szCs w:val="22"/>
        </w:rPr>
        <w:t xml:space="preserve"> Municip</w:t>
      </w:r>
      <w:r w:rsidR="00B73D6F" w:rsidRPr="005970E9">
        <w:rPr>
          <w:rFonts w:ascii="Century Schoolbook" w:eastAsia="Century Schoolbook" w:hAnsi="Century Schoolbook" w:cs="Century Schoolbook"/>
          <w:sz w:val="22"/>
          <w:szCs w:val="22"/>
        </w:rPr>
        <w:t>ales</w:t>
      </w:r>
      <w:r w:rsidR="00B73D6F" w:rsidRPr="005970E9">
        <w:rPr>
          <w:rFonts w:ascii="Century Schoolbook" w:hAnsi="Century Schoolbook"/>
          <w:color w:val="000000" w:themeColor="text1"/>
          <w:sz w:val="22"/>
          <w:szCs w:val="22"/>
        </w:rPr>
        <w:t>.</w:t>
      </w:r>
      <w:r w:rsidR="00C36303" w:rsidRPr="005970E9">
        <w:rPr>
          <w:rFonts w:ascii="Century Schoolbook" w:hAnsi="Century Schoolbook"/>
          <w:color w:val="000000" w:themeColor="text1"/>
          <w:sz w:val="22"/>
          <w:szCs w:val="22"/>
        </w:rPr>
        <w:t xml:space="preserve"> </w:t>
      </w:r>
    </w:p>
    <w:p w14:paraId="327AFF22" w14:textId="77B2786C" w:rsidR="00B73D6F" w:rsidRPr="005970E9" w:rsidRDefault="00B73D6F" w:rsidP="00135AD9">
      <w:pPr>
        <w:spacing w:before="120" w:after="120" w:line="276" w:lineRule="auto"/>
        <w:jc w:val="both"/>
        <w:rPr>
          <w:rFonts w:eastAsia="Century Schoolbook" w:cs="Century Schoolbook"/>
          <w:color w:val="000000"/>
        </w:rPr>
      </w:pPr>
      <w:r w:rsidRPr="005970E9">
        <w:rPr>
          <w:rFonts w:eastAsia="Century Schoolbook" w:cs="Century Schoolbook"/>
          <w:color w:val="000000"/>
        </w:rPr>
        <w:t xml:space="preserve">Las 37 Instituciones </w:t>
      </w:r>
      <w:r w:rsidR="003E5792" w:rsidRPr="005970E9">
        <w:rPr>
          <w:rFonts w:eastAsia="Century Schoolbook" w:cs="Century Schoolbook"/>
          <w:color w:val="000000"/>
        </w:rPr>
        <w:t>constituyen una</w:t>
      </w:r>
      <w:r w:rsidRPr="005970E9">
        <w:rPr>
          <w:rFonts w:eastAsia="Century Schoolbook" w:cs="Century Schoolbook"/>
          <w:color w:val="000000"/>
        </w:rPr>
        <w:t xml:space="preserve"> Red de Mecanismos</w:t>
      </w:r>
      <w:r w:rsidR="003E5792" w:rsidRPr="005970E9">
        <w:rPr>
          <w:rFonts w:eastAsia="Century Schoolbook" w:cs="Century Schoolbook"/>
          <w:color w:val="000000"/>
        </w:rPr>
        <w:t xml:space="preserve"> </w:t>
      </w:r>
      <w:r w:rsidR="00574394" w:rsidRPr="005970E9">
        <w:rPr>
          <w:rFonts w:eastAsia="Century Schoolbook" w:cs="Century Schoolbook"/>
          <w:color w:val="000000"/>
        </w:rPr>
        <w:t>Gubernamentales para la atención y desarrollo de políticas para la igualdad de género, coordinada por el INAMU, como instancia superior y cuenta con una coordinación adjunta de carácter rotativo. La estructura de la Red está integrada por tres comisiones de trabajo: Comisión de Promoción y Formación; Comisión de Investigación, Planificación</w:t>
      </w:r>
      <w:r w:rsidR="00DC59F0" w:rsidRPr="005970E9">
        <w:rPr>
          <w:rFonts w:eastAsia="Century Schoolbook" w:cs="Century Schoolbook"/>
          <w:color w:val="000000"/>
        </w:rPr>
        <w:t>,</w:t>
      </w:r>
      <w:r w:rsidR="00574394" w:rsidRPr="005970E9">
        <w:rPr>
          <w:rFonts w:eastAsia="Century Schoolbook" w:cs="Century Schoolbook"/>
          <w:color w:val="000000"/>
        </w:rPr>
        <w:t xml:space="preserve"> Ejecución y Evaluación y, la Comisión de Divulgación y Comunicación. Estos Mecanismos sectoriales corresponden a los siguientes ministerios e instituciones públicas</w:t>
      </w:r>
      <w:r w:rsidRPr="005970E9">
        <w:rPr>
          <w:rFonts w:eastAsia="Century Schoolbook" w:cs="Century Schoolbook"/>
          <w:color w:val="000000"/>
        </w:rPr>
        <w:t xml:space="preserve">: </w:t>
      </w:r>
    </w:p>
    <w:p w14:paraId="339A854F"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 xml:space="preserve">1. Ministerio de Educación (MEDUCA), </w:t>
      </w:r>
    </w:p>
    <w:p w14:paraId="49F8E5E4"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 xml:space="preserve">2. Ministerio de Comercio e Industria (MICI), </w:t>
      </w:r>
    </w:p>
    <w:p w14:paraId="6C982C86"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 xml:space="preserve">3. Ministerio de Seguridad Pública (MINSEG), </w:t>
      </w:r>
    </w:p>
    <w:p w14:paraId="24F10293"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 xml:space="preserve">4. Ministerio de Salud (MINSA), </w:t>
      </w:r>
    </w:p>
    <w:p w14:paraId="4CFC7879"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 xml:space="preserve">5. Ministerio de Economía y Finanzas (MEF), </w:t>
      </w:r>
    </w:p>
    <w:p w14:paraId="0CA6A735"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 xml:space="preserve">6. Ministerio de Desarrollo Agropecuario (MIDA), </w:t>
      </w:r>
    </w:p>
    <w:p w14:paraId="70694948"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7.</w:t>
      </w:r>
      <w:r w:rsidR="00CE4259" w:rsidRPr="005970E9">
        <w:rPr>
          <w:rFonts w:eastAsia="Century Schoolbook" w:cs="Century Schoolbook"/>
          <w:color w:val="000000"/>
        </w:rPr>
        <w:t xml:space="preserve"> </w:t>
      </w:r>
      <w:r w:rsidRPr="005970E9">
        <w:rPr>
          <w:rFonts w:eastAsia="Century Schoolbook" w:cs="Century Schoolbook"/>
          <w:color w:val="000000"/>
        </w:rPr>
        <w:t xml:space="preserve">Ministerio de Trabajo y Desarrollo Laboral (MITRADEL), </w:t>
      </w:r>
    </w:p>
    <w:p w14:paraId="122D55BB"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8.</w:t>
      </w:r>
      <w:r w:rsidR="00CE4259" w:rsidRPr="005970E9">
        <w:rPr>
          <w:rFonts w:eastAsia="Century Schoolbook" w:cs="Century Schoolbook"/>
          <w:color w:val="000000"/>
        </w:rPr>
        <w:t xml:space="preserve"> </w:t>
      </w:r>
      <w:r w:rsidRPr="005970E9">
        <w:rPr>
          <w:rFonts w:eastAsia="Century Schoolbook" w:cs="Century Schoolbook"/>
          <w:color w:val="000000"/>
        </w:rPr>
        <w:t xml:space="preserve">Ministerio de Vivienda Y Ordenamiento Territorial (MIVIOT), </w:t>
      </w:r>
    </w:p>
    <w:p w14:paraId="703EA319"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9.</w:t>
      </w:r>
      <w:r w:rsidR="00CE4259" w:rsidRPr="005970E9">
        <w:rPr>
          <w:rFonts w:eastAsia="Century Schoolbook" w:cs="Century Schoolbook"/>
          <w:color w:val="000000"/>
        </w:rPr>
        <w:t xml:space="preserve"> </w:t>
      </w:r>
      <w:r w:rsidRPr="005970E9">
        <w:rPr>
          <w:rFonts w:eastAsia="Century Schoolbook" w:cs="Century Schoolbook"/>
          <w:color w:val="000000"/>
        </w:rPr>
        <w:t xml:space="preserve">Ministerio de Obras Públicas (MOP), </w:t>
      </w:r>
    </w:p>
    <w:p w14:paraId="2E03F0D1"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10.</w:t>
      </w:r>
      <w:r w:rsidR="00CE4259" w:rsidRPr="005970E9">
        <w:rPr>
          <w:rFonts w:eastAsia="Century Schoolbook" w:cs="Century Schoolbook"/>
          <w:color w:val="000000"/>
        </w:rPr>
        <w:t xml:space="preserve"> </w:t>
      </w:r>
      <w:r w:rsidRPr="005970E9">
        <w:rPr>
          <w:rFonts w:eastAsia="Century Schoolbook" w:cs="Century Schoolbook"/>
          <w:color w:val="000000"/>
        </w:rPr>
        <w:t xml:space="preserve">Instituto Panameño Autónomo Cooperativo (IPACOOP), </w:t>
      </w:r>
    </w:p>
    <w:p w14:paraId="683A49C8"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11.</w:t>
      </w:r>
      <w:r w:rsidR="00CE4259" w:rsidRPr="005970E9">
        <w:rPr>
          <w:rFonts w:eastAsia="Century Schoolbook" w:cs="Century Schoolbook"/>
          <w:color w:val="000000"/>
        </w:rPr>
        <w:t xml:space="preserve"> </w:t>
      </w:r>
      <w:r w:rsidRPr="005970E9">
        <w:rPr>
          <w:rFonts w:eastAsia="Century Schoolbook" w:cs="Century Schoolbook"/>
          <w:color w:val="000000"/>
        </w:rPr>
        <w:t xml:space="preserve">Instituto Nacional de Cultura (INAC), </w:t>
      </w:r>
    </w:p>
    <w:p w14:paraId="1F2D5EEA"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12.</w:t>
      </w:r>
      <w:r w:rsidR="00CE4259" w:rsidRPr="005970E9">
        <w:rPr>
          <w:rFonts w:eastAsia="Century Schoolbook" w:cs="Century Schoolbook"/>
          <w:color w:val="000000"/>
        </w:rPr>
        <w:t xml:space="preserve"> </w:t>
      </w:r>
      <w:r w:rsidRPr="005970E9">
        <w:rPr>
          <w:rFonts w:eastAsia="Century Schoolbook" w:cs="Century Schoolbook"/>
          <w:color w:val="000000"/>
        </w:rPr>
        <w:t>PANDEPORTE</w:t>
      </w:r>
      <w:r w:rsidRPr="005970E9">
        <w:rPr>
          <w:rFonts w:eastAsia="Century Schoolbook" w:cs="Century Schoolbook"/>
        </w:rPr>
        <w:t>S</w:t>
      </w:r>
    </w:p>
    <w:p w14:paraId="2A9F0802"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13.</w:t>
      </w:r>
      <w:r w:rsidR="00CE4259" w:rsidRPr="005970E9">
        <w:rPr>
          <w:rFonts w:eastAsia="Century Schoolbook" w:cs="Century Schoolbook"/>
          <w:color w:val="000000"/>
        </w:rPr>
        <w:t xml:space="preserve"> </w:t>
      </w:r>
      <w:r w:rsidRPr="005970E9">
        <w:rPr>
          <w:rFonts w:eastAsia="Century Schoolbook" w:cs="Century Schoolbook"/>
          <w:color w:val="000000"/>
        </w:rPr>
        <w:t xml:space="preserve">Autoridad Marítima de Panamá (AMP), </w:t>
      </w:r>
    </w:p>
    <w:p w14:paraId="3202F5C4"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14.</w:t>
      </w:r>
      <w:r w:rsidR="00CE4259" w:rsidRPr="005970E9">
        <w:rPr>
          <w:rFonts w:eastAsia="Century Schoolbook" w:cs="Century Schoolbook"/>
          <w:color w:val="000000"/>
        </w:rPr>
        <w:t xml:space="preserve"> </w:t>
      </w:r>
      <w:r w:rsidRPr="005970E9">
        <w:rPr>
          <w:rFonts w:eastAsia="Century Schoolbook" w:cs="Century Schoolbook"/>
          <w:color w:val="000000"/>
        </w:rPr>
        <w:t xml:space="preserve">Instituto Panameño de Habilitación Especial (IPHE), </w:t>
      </w:r>
    </w:p>
    <w:p w14:paraId="369B2D28"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15.</w:t>
      </w:r>
      <w:r w:rsidR="00CE4259" w:rsidRPr="005970E9">
        <w:rPr>
          <w:rFonts w:eastAsia="Century Schoolbook" w:cs="Century Schoolbook"/>
          <w:color w:val="000000"/>
        </w:rPr>
        <w:t xml:space="preserve"> </w:t>
      </w:r>
      <w:r w:rsidRPr="005970E9">
        <w:rPr>
          <w:rFonts w:eastAsia="Century Schoolbook" w:cs="Century Schoolbook"/>
          <w:color w:val="000000"/>
        </w:rPr>
        <w:t xml:space="preserve">Autoridad del Canal de Panamá (ACP), </w:t>
      </w:r>
    </w:p>
    <w:p w14:paraId="7A201FE9"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16.</w:t>
      </w:r>
      <w:r w:rsidR="00CE4259" w:rsidRPr="005970E9">
        <w:rPr>
          <w:rFonts w:eastAsia="Century Schoolbook" w:cs="Century Schoolbook"/>
          <w:color w:val="000000"/>
        </w:rPr>
        <w:t xml:space="preserve"> </w:t>
      </w:r>
      <w:r w:rsidRPr="005970E9">
        <w:rPr>
          <w:rFonts w:eastAsia="Century Schoolbook" w:cs="Century Schoolbook"/>
          <w:color w:val="000000"/>
        </w:rPr>
        <w:t xml:space="preserve">Instituto Para la Formación y Aprovechamiento de los Recursos Humanos (IFARHU), </w:t>
      </w:r>
    </w:p>
    <w:p w14:paraId="3D751951"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17.</w:t>
      </w:r>
      <w:r w:rsidR="00CE4259" w:rsidRPr="005970E9">
        <w:rPr>
          <w:rFonts w:eastAsia="Century Schoolbook" w:cs="Century Schoolbook"/>
          <w:color w:val="000000"/>
        </w:rPr>
        <w:t xml:space="preserve"> </w:t>
      </w:r>
      <w:r w:rsidRPr="005970E9">
        <w:rPr>
          <w:rFonts w:eastAsia="Century Schoolbook" w:cs="Century Schoolbook"/>
          <w:color w:val="000000"/>
        </w:rPr>
        <w:t xml:space="preserve">Benemérito Cuerpo de los Bomberos de Panamá (BCBDP), </w:t>
      </w:r>
    </w:p>
    <w:p w14:paraId="50591303"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18.</w:t>
      </w:r>
      <w:r w:rsidR="00CE4259" w:rsidRPr="005970E9">
        <w:rPr>
          <w:rFonts w:eastAsia="Century Schoolbook" w:cs="Century Schoolbook"/>
          <w:color w:val="000000"/>
        </w:rPr>
        <w:t xml:space="preserve"> </w:t>
      </w:r>
      <w:r w:rsidRPr="005970E9">
        <w:rPr>
          <w:rFonts w:eastAsia="Century Schoolbook" w:cs="Century Schoolbook"/>
          <w:color w:val="000000"/>
        </w:rPr>
        <w:t xml:space="preserve">Caja de Seguro social (CSS), </w:t>
      </w:r>
    </w:p>
    <w:p w14:paraId="043B4B16" w14:textId="5E4C74B2"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19.</w:t>
      </w:r>
      <w:r w:rsidR="00CE4259" w:rsidRPr="005970E9">
        <w:rPr>
          <w:rFonts w:eastAsia="Century Schoolbook" w:cs="Century Schoolbook"/>
          <w:color w:val="000000"/>
        </w:rPr>
        <w:t xml:space="preserve"> </w:t>
      </w:r>
      <w:r w:rsidR="00DC59F0" w:rsidRPr="005970E9">
        <w:rPr>
          <w:rFonts w:eastAsia="Century Schoolbook" w:cs="Century Schoolbook"/>
          <w:color w:val="000000"/>
        </w:rPr>
        <w:t>Ministerio de Trabajo y Desarrollo Laboral</w:t>
      </w:r>
      <w:r w:rsidRPr="005970E9">
        <w:rPr>
          <w:rFonts w:eastAsia="Century Schoolbook" w:cs="Century Schoolbook"/>
          <w:color w:val="000000"/>
        </w:rPr>
        <w:t xml:space="preserve"> (MITRADEL), </w:t>
      </w:r>
    </w:p>
    <w:p w14:paraId="71BC3B2B"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20.</w:t>
      </w:r>
      <w:r w:rsidR="00CE4259" w:rsidRPr="005970E9">
        <w:rPr>
          <w:rFonts w:eastAsia="Century Schoolbook" w:cs="Century Schoolbook"/>
          <w:color w:val="000000"/>
        </w:rPr>
        <w:t xml:space="preserve"> </w:t>
      </w:r>
      <w:r w:rsidRPr="005970E9">
        <w:rPr>
          <w:rFonts w:eastAsia="Century Schoolbook" w:cs="Century Schoolbook"/>
          <w:color w:val="000000"/>
        </w:rPr>
        <w:t xml:space="preserve">Policía Nacional de Panamá (PNP), </w:t>
      </w:r>
    </w:p>
    <w:p w14:paraId="5D36D8F4" w14:textId="727E37F4"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21.</w:t>
      </w:r>
      <w:r w:rsidR="00CE4259" w:rsidRPr="005970E9">
        <w:rPr>
          <w:rFonts w:eastAsia="Century Schoolbook" w:cs="Century Schoolbook"/>
          <w:color w:val="000000"/>
        </w:rPr>
        <w:t xml:space="preserve"> </w:t>
      </w:r>
      <w:r w:rsidR="00DC59F0" w:rsidRPr="005970E9">
        <w:rPr>
          <w:rFonts w:eastAsia="Century Schoolbook" w:cs="Century Schoolbook"/>
          <w:color w:val="000000"/>
        </w:rPr>
        <w:t xml:space="preserve">Ministerio de </w:t>
      </w:r>
      <w:r w:rsidRPr="005970E9">
        <w:rPr>
          <w:rFonts w:eastAsia="Century Schoolbook" w:cs="Century Schoolbook"/>
          <w:color w:val="000000"/>
        </w:rPr>
        <w:t>Ambiente (</w:t>
      </w:r>
      <w:r w:rsidR="00DC59F0" w:rsidRPr="005970E9">
        <w:rPr>
          <w:rFonts w:eastAsia="Century Schoolbook" w:cs="Century Schoolbook"/>
          <w:color w:val="000000"/>
        </w:rPr>
        <w:t>MIAMBIENTE</w:t>
      </w:r>
      <w:r w:rsidRPr="005970E9">
        <w:rPr>
          <w:rFonts w:eastAsia="Century Schoolbook" w:cs="Century Schoolbook"/>
          <w:color w:val="000000"/>
        </w:rPr>
        <w:t xml:space="preserve">), </w:t>
      </w:r>
    </w:p>
    <w:p w14:paraId="1C2DFE0E"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22.</w:t>
      </w:r>
      <w:r w:rsidR="00CE4259" w:rsidRPr="005970E9">
        <w:rPr>
          <w:rFonts w:eastAsia="Century Schoolbook" w:cs="Century Schoolbook"/>
          <w:color w:val="000000"/>
        </w:rPr>
        <w:t xml:space="preserve"> </w:t>
      </w:r>
      <w:r w:rsidRPr="005970E9">
        <w:rPr>
          <w:rFonts w:eastAsia="Century Schoolbook" w:cs="Century Schoolbook"/>
          <w:color w:val="000000"/>
        </w:rPr>
        <w:t xml:space="preserve">Instituto de la Mujer de la Universidad de Panamá (IMUP), </w:t>
      </w:r>
    </w:p>
    <w:p w14:paraId="2B782AC4"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23.</w:t>
      </w:r>
      <w:r w:rsidR="00CE4259" w:rsidRPr="005970E9">
        <w:rPr>
          <w:rFonts w:eastAsia="Century Schoolbook" w:cs="Century Schoolbook"/>
          <w:color w:val="000000"/>
        </w:rPr>
        <w:t xml:space="preserve"> </w:t>
      </w:r>
      <w:r w:rsidRPr="005970E9">
        <w:rPr>
          <w:rFonts w:eastAsia="Century Schoolbook" w:cs="Century Schoolbook"/>
          <w:color w:val="000000"/>
        </w:rPr>
        <w:t xml:space="preserve">Secretaría Nacional de Ciencia, Tecnología e Innovación (SENACYT), </w:t>
      </w:r>
    </w:p>
    <w:p w14:paraId="3C0D6636"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24.</w:t>
      </w:r>
      <w:r w:rsidR="00CE4259" w:rsidRPr="005970E9">
        <w:rPr>
          <w:rFonts w:eastAsia="Century Schoolbook" w:cs="Century Schoolbook"/>
          <w:color w:val="000000"/>
        </w:rPr>
        <w:t xml:space="preserve"> </w:t>
      </w:r>
      <w:r w:rsidRPr="005970E9">
        <w:rPr>
          <w:rFonts w:eastAsia="Century Schoolbook" w:cs="Century Schoolbook"/>
          <w:color w:val="000000"/>
        </w:rPr>
        <w:t xml:space="preserve">Secretaría Nacional de Discapacidad (SENADIS), </w:t>
      </w:r>
    </w:p>
    <w:p w14:paraId="69170A9E"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lastRenderedPageBreak/>
        <w:t>25.</w:t>
      </w:r>
      <w:r w:rsidR="00CE4259" w:rsidRPr="005970E9">
        <w:rPr>
          <w:rFonts w:eastAsia="Century Schoolbook" w:cs="Century Schoolbook"/>
          <w:color w:val="000000"/>
        </w:rPr>
        <w:t xml:space="preserve"> </w:t>
      </w:r>
      <w:r w:rsidRPr="005970E9">
        <w:rPr>
          <w:rFonts w:eastAsia="Century Schoolbook" w:cs="Century Schoolbook"/>
          <w:color w:val="000000"/>
        </w:rPr>
        <w:t xml:space="preserve">Secretaría Nacional de Niñez, Adolescencia y Familia (SENNIAF), </w:t>
      </w:r>
    </w:p>
    <w:p w14:paraId="33FF49E8" w14:textId="4E9106AC"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26.</w:t>
      </w:r>
      <w:r w:rsidR="00CE4259" w:rsidRPr="005970E9">
        <w:rPr>
          <w:rFonts w:eastAsia="Century Schoolbook" w:cs="Century Schoolbook"/>
          <w:color w:val="000000"/>
        </w:rPr>
        <w:t xml:space="preserve"> </w:t>
      </w:r>
      <w:r w:rsidRPr="005970E9">
        <w:rPr>
          <w:rFonts w:eastAsia="Century Schoolbook" w:cs="Century Schoolbook"/>
          <w:color w:val="000000"/>
        </w:rPr>
        <w:t>Órgano Judicial</w:t>
      </w:r>
      <w:r w:rsidR="00DC59F0" w:rsidRPr="005970E9">
        <w:rPr>
          <w:rFonts w:eastAsia="Century Schoolbook" w:cs="Century Schoolbook"/>
          <w:color w:val="000000"/>
        </w:rPr>
        <w:t xml:space="preserve"> (CSJ)</w:t>
      </w:r>
    </w:p>
    <w:p w14:paraId="63C32272"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27.</w:t>
      </w:r>
      <w:r w:rsidR="00CE4259" w:rsidRPr="005970E9">
        <w:rPr>
          <w:rFonts w:eastAsia="Century Schoolbook" w:cs="Century Schoolbook"/>
          <w:color w:val="000000"/>
        </w:rPr>
        <w:t xml:space="preserve"> </w:t>
      </w:r>
      <w:r w:rsidRPr="005970E9">
        <w:rPr>
          <w:rFonts w:eastAsia="Century Schoolbook" w:cs="Century Schoolbook"/>
          <w:color w:val="000000"/>
        </w:rPr>
        <w:t xml:space="preserve">Autoridad de Tránsito y Transporte Terrestre (ATTT), </w:t>
      </w:r>
    </w:p>
    <w:p w14:paraId="500D4F19"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28.</w:t>
      </w:r>
      <w:r w:rsidR="00CE4259" w:rsidRPr="005970E9">
        <w:rPr>
          <w:rFonts w:eastAsia="Century Schoolbook" w:cs="Century Schoolbook"/>
          <w:color w:val="000000"/>
        </w:rPr>
        <w:t xml:space="preserve"> </w:t>
      </w:r>
      <w:r w:rsidRPr="005970E9">
        <w:rPr>
          <w:rFonts w:eastAsia="Century Schoolbook" w:cs="Century Schoolbook"/>
          <w:color w:val="000000"/>
        </w:rPr>
        <w:t xml:space="preserve">Banco Hipotecario Nacional (BHN), </w:t>
      </w:r>
    </w:p>
    <w:p w14:paraId="29A04A33"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29.</w:t>
      </w:r>
      <w:r w:rsidR="00CE4259" w:rsidRPr="005970E9">
        <w:rPr>
          <w:rFonts w:eastAsia="Century Schoolbook" w:cs="Century Schoolbook"/>
          <w:color w:val="000000"/>
        </w:rPr>
        <w:t xml:space="preserve"> </w:t>
      </w:r>
      <w:r w:rsidRPr="005970E9">
        <w:rPr>
          <w:rFonts w:eastAsia="Century Schoolbook" w:cs="Century Schoolbook"/>
          <w:color w:val="000000"/>
        </w:rPr>
        <w:t xml:space="preserve">Instituto de Mercadeo Agropecuario (IMA), </w:t>
      </w:r>
    </w:p>
    <w:p w14:paraId="054B5162"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30.</w:t>
      </w:r>
      <w:r w:rsidR="00CE4259" w:rsidRPr="005970E9">
        <w:rPr>
          <w:rFonts w:eastAsia="Century Schoolbook" w:cs="Century Schoolbook"/>
          <w:color w:val="000000"/>
        </w:rPr>
        <w:t xml:space="preserve"> </w:t>
      </w:r>
      <w:r w:rsidRPr="005970E9">
        <w:rPr>
          <w:rFonts w:eastAsia="Century Schoolbook" w:cs="Century Schoolbook"/>
          <w:color w:val="000000"/>
        </w:rPr>
        <w:t xml:space="preserve">Instituto Nacional de Formación Profesional y Desarrollo Humano (INADEH), </w:t>
      </w:r>
    </w:p>
    <w:p w14:paraId="357DE1B0"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31.</w:t>
      </w:r>
      <w:r w:rsidR="00CE4259" w:rsidRPr="005970E9">
        <w:rPr>
          <w:rFonts w:eastAsia="Century Schoolbook" w:cs="Century Schoolbook"/>
          <w:color w:val="000000"/>
        </w:rPr>
        <w:t xml:space="preserve"> </w:t>
      </w:r>
      <w:r w:rsidRPr="005970E9">
        <w:rPr>
          <w:rFonts w:eastAsia="Century Schoolbook" w:cs="Century Schoolbook"/>
          <w:color w:val="000000"/>
        </w:rPr>
        <w:t xml:space="preserve">Universidad tecnológica de Panamá (UTP), </w:t>
      </w:r>
    </w:p>
    <w:p w14:paraId="3947E28C"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32.</w:t>
      </w:r>
      <w:r w:rsidR="00CE4259" w:rsidRPr="005970E9">
        <w:rPr>
          <w:rFonts w:eastAsia="Century Schoolbook" w:cs="Century Schoolbook"/>
          <w:color w:val="000000"/>
        </w:rPr>
        <w:t xml:space="preserve"> </w:t>
      </w:r>
      <w:r w:rsidRPr="005970E9">
        <w:rPr>
          <w:rFonts w:eastAsia="Century Schoolbook" w:cs="Century Schoolbook"/>
          <w:color w:val="000000"/>
        </w:rPr>
        <w:t xml:space="preserve">Servicio Nacional de Fronteras (SENAFRONT), </w:t>
      </w:r>
    </w:p>
    <w:p w14:paraId="15CAE4E3"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33.</w:t>
      </w:r>
      <w:r w:rsidR="00CE4259" w:rsidRPr="005970E9">
        <w:rPr>
          <w:rFonts w:eastAsia="Century Schoolbook" w:cs="Century Schoolbook"/>
          <w:color w:val="000000"/>
        </w:rPr>
        <w:t xml:space="preserve"> </w:t>
      </w:r>
      <w:r w:rsidRPr="005970E9">
        <w:rPr>
          <w:rFonts w:eastAsia="Century Schoolbook" w:cs="Century Schoolbook"/>
          <w:color w:val="000000"/>
        </w:rPr>
        <w:t xml:space="preserve">Defensoría del Pueblo,  </w:t>
      </w:r>
    </w:p>
    <w:p w14:paraId="23BB8BA5"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34.</w:t>
      </w:r>
      <w:r w:rsidR="00CE4259" w:rsidRPr="005970E9">
        <w:rPr>
          <w:rFonts w:eastAsia="Century Schoolbook" w:cs="Century Schoolbook"/>
          <w:color w:val="000000"/>
        </w:rPr>
        <w:t xml:space="preserve"> </w:t>
      </w:r>
      <w:r w:rsidRPr="005970E9">
        <w:rPr>
          <w:rFonts w:eastAsia="Century Schoolbook" w:cs="Century Schoolbook"/>
          <w:color w:val="000000"/>
        </w:rPr>
        <w:t xml:space="preserve">Municipio de Arraiján, </w:t>
      </w:r>
    </w:p>
    <w:p w14:paraId="6CE8EEBD"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35.</w:t>
      </w:r>
      <w:r w:rsidR="00CE4259" w:rsidRPr="005970E9">
        <w:rPr>
          <w:rFonts w:eastAsia="Century Schoolbook" w:cs="Century Schoolbook"/>
          <w:color w:val="000000"/>
        </w:rPr>
        <w:t xml:space="preserve"> </w:t>
      </w:r>
      <w:r w:rsidRPr="005970E9">
        <w:rPr>
          <w:rFonts w:eastAsia="Century Schoolbook" w:cs="Century Schoolbook"/>
          <w:color w:val="000000"/>
        </w:rPr>
        <w:t xml:space="preserve">Municipio de Colón, </w:t>
      </w:r>
    </w:p>
    <w:p w14:paraId="3F1BB289" w14:textId="77777777" w:rsidR="00B73D6F" w:rsidRPr="005970E9" w:rsidRDefault="00B73D6F" w:rsidP="00AE440A">
      <w:pPr>
        <w:jc w:val="both"/>
        <w:rPr>
          <w:rFonts w:eastAsia="Century Schoolbook" w:cs="Century Schoolbook"/>
          <w:color w:val="000000"/>
        </w:rPr>
      </w:pPr>
      <w:r w:rsidRPr="005970E9">
        <w:rPr>
          <w:rFonts w:eastAsia="Century Schoolbook" w:cs="Century Schoolbook"/>
          <w:color w:val="000000"/>
        </w:rPr>
        <w:t>36.</w:t>
      </w:r>
      <w:r w:rsidR="00CE4259" w:rsidRPr="005970E9">
        <w:rPr>
          <w:rFonts w:eastAsia="Century Schoolbook" w:cs="Century Schoolbook"/>
          <w:color w:val="000000"/>
        </w:rPr>
        <w:t xml:space="preserve"> </w:t>
      </w:r>
      <w:r w:rsidRPr="005970E9">
        <w:rPr>
          <w:rFonts w:eastAsia="Century Schoolbook" w:cs="Century Schoolbook"/>
          <w:color w:val="000000"/>
        </w:rPr>
        <w:t xml:space="preserve">Servicio Nacional de Migración y </w:t>
      </w:r>
    </w:p>
    <w:p w14:paraId="249CFE93" w14:textId="77777777" w:rsidR="00B73D6F" w:rsidRPr="005970E9" w:rsidRDefault="00B73D6F" w:rsidP="00AE440A">
      <w:pPr>
        <w:spacing w:after="120"/>
        <w:jc w:val="both"/>
        <w:rPr>
          <w:rFonts w:eastAsia="Century Schoolbook" w:cs="Century Schoolbook"/>
          <w:color w:val="000000"/>
        </w:rPr>
      </w:pPr>
      <w:r w:rsidRPr="005970E9">
        <w:rPr>
          <w:rFonts w:eastAsia="Century Schoolbook" w:cs="Century Schoolbook"/>
          <w:color w:val="000000"/>
        </w:rPr>
        <w:t xml:space="preserve">37. Ministerio Público. </w:t>
      </w:r>
    </w:p>
    <w:p w14:paraId="799679DD" w14:textId="55961D95" w:rsidR="00FE3FA8" w:rsidRPr="005970E9" w:rsidRDefault="00B25358" w:rsidP="008E686F">
      <w:pPr>
        <w:spacing w:line="276" w:lineRule="auto"/>
        <w:jc w:val="both"/>
        <w:rPr>
          <w:rFonts w:eastAsia="Century Schoolbook" w:cs="Century Schoolbook"/>
          <w:color w:val="000000"/>
        </w:rPr>
      </w:pPr>
      <w:r w:rsidRPr="005970E9">
        <w:rPr>
          <w:color w:val="000000" w:themeColor="text1"/>
        </w:rPr>
        <w:t xml:space="preserve">Los </w:t>
      </w:r>
      <w:r w:rsidR="00574394" w:rsidRPr="005970E9">
        <w:rPr>
          <w:color w:val="000000" w:themeColor="text1"/>
        </w:rPr>
        <w:t>Mecanismos y su funcionamiento responde</w:t>
      </w:r>
      <w:r w:rsidRPr="005970E9">
        <w:rPr>
          <w:color w:val="000000" w:themeColor="text1"/>
        </w:rPr>
        <w:t>n</w:t>
      </w:r>
      <w:r w:rsidR="00574394" w:rsidRPr="005970E9">
        <w:rPr>
          <w:color w:val="000000" w:themeColor="text1"/>
        </w:rPr>
        <w:t xml:space="preserve"> a funciones sectoriales </w:t>
      </w:r>
      <w:r w:rsidR="00EC4B76" w:rsidRPr="005970E9">
        <w:rPr>
          <w:color w:val="000000" w:themeColor="text1"/>
        </w:rPr>
        <w:t xml:space="preserve">contenidas en </w:t>
      </w:r>
      <w:r w:rsidR="00574394" w:rsidRPr="005970E9">
        <w:rPr>
          <w:color w:val="000000" w:themeColor="text1"/>
        </w:rPr>
        <w:t xml:space="preserve">la política pública </w:t>
      </w:r>
      <w:r w:rsidR="00EC4B76" w:rsidRPr="005970E9">
        <w:rPr>
          <w:color w:val="000000" w:themeColor="text1"/>
        </w:rPr>
        <w:t>de igualdad de oportunidades para la</w:t>
      </w:r>
      <w:r w:rsidR="00DC59F0" w:rsidRPr="005970E9">
        <w:rPr>
          <w:color w:val="000000" w:themeColor="text1"/>
        </w:rPr>
        <w:t>s</w:t>
      </w:r>
      <w:r w:rsidR="00EC4B76" w:rsidRPr="005970E9">
        <w:rPr>
          <w:color w:val="000000" w:themeColor="text1"/>
        </w:rPr>
        <w:t xml:space="preserve"> mujer</w:t>
      </w:r>
      <w:r w:rsidR="00DC59F0" w:rsidRPr="005970E9">
        <w:rPr>
          <w:color w:val="000000" w:themeColor="text1"/>
        </w:rPr>
        <w:t xml:space="preserve">es, en general muchos tienen atribuciones que exceden las competencias de la igualdad de género, </w:t>
      </w:r>
      <w:r w:rsidR="00FE3FA8" w:rsidRPr="005970E9">
        <w:rPr>
          <w:color w:val="000000" w:themeColor="text1"/>
        </w:rPr>
        <w:t xml:space="preserve">e </w:t>
      </w:r>
      <w:r w:rsidR="00DC59F0" w:rsidRPr="005970E9">
        <w:rPr>
          <w:color w:val="000000" w:themeColor="text1"/>
        </w:rPr>
        <w:t>incluyen</w:t>
      </w:r>
      <w:r w:rsidR="00FE3FA8" w:rsidRPr="005970E9">
        <w:rPr>
          <w:color w:val="000000" w:themeColor="text1"/>
        </w:rPr>
        <w:t xml:space="preserve"> entre sus </w:t>
      </w:r>
      <w:r w:rsidR="00DC59F0" w:rsidRPr="005970E9">
        <w:rPr>
          <w:color w:val="000000" w:themeColor="text1"/>
        </w:rPr>
        <w:t xml:space="preserve">funciones </w:t>
      </w:r>
      <w:r w:rsidR="00FE3FA8" w:rsidRPr="005970E9">
        <w:rPr>
          <w:color w:val="000000" w:themeColor="text1"/>
        </w:rPr>
        <w:t>actividades propias de su institución lo cual reduce el tiempo de trabajo para la atención de las políticas de igualdad y empoderamiento de las mujeres</w:t>
      </w:r>
      <w:r w:rsidR="006311B3" w:rsidRPr="005970E9">
        <w:rPr>
          <w:color w:val="000000" w:themeColor="text1"/>
        </w:rPr>
        <w:t xml:space="preserve"> (PNUD, 2016</w:t>
      </w:r>
      <w:r w:rsidR="00D1661E" w:rsidRPr="005970E9">
        <w:rPr>
          <w:color w:val="000000" w:themeColor="text1"/>
        </w:rPr>
        <w:t>)</w:t>
      </w:r>
      <w:r w:rsidR="00EC4B76" w:rsidRPr="005970E9">
        <w:rPr>
          <w:color w:val="000000" w:themeColor="text1"/>
        </w:rPr>
        <w:t>.</w:t>
      </w:r>
    </w:p>
    <w:p w14:paraId="27C8DFDA" w14:textId="77777777" w:rsidR="00FE3FA8" w:rsidRPr="005970E9" w:rsidRDefault="00FE3FA8" w:rsidP="00FE3FA8">
      <w:pPr>
        <w:jc w:val="both"/>
        <w:rPr>
          <w:rFonts w:eastAsia="Century Schoolbook" w:cs="Century Schoolbook"/>
          <w:color w:val="000000"/>
        </w:rPr>
      </w:pPr>
    </w:p>
    <w:p w14:paraId="483CDD62" w14:textId="77777777" w:rsidR="00B76B0C" w:rsidRPr="005970E9" w:rsidRDefault="003B5C05" w:rsidP="002338C0">
      <w:pPr>
        <w:pStyle w:val="Heading2"/>
        <w:numPr>
          <w:ilvl w:val="1"/>
          <w:numId w:val="8"/>
        </w:numPr>
      </w:pPr>
      <w:bookmarkStart w:id="67" w:name="_Toc42159191"/>
      <w:bookmarkStart w:id="68" w:name="_Toc42549427"/>
      <w:r w:rsidRPr="005970E9">
        <w:t>Género, liderazgo y participación social y paridad política</w:t>
      </w:r>
      <w:bookmarkEnd w:id="67"/>
      <w:bookmarkEnd w:id="68"/>
    </w:p>
    <w:p w14:paraId="6205D25D" w14:textId="6E89CF75" w:rsidR="0089726B" w:rsidRPr="005970E9" w:rsidRDefault="0089726B" w:rsidP="00EC2A14">
      <w:pPr>
        <w:pStyle w:val="NormalWeb"/>
        <w:spacing w:before="120" w:beforeAutospacing="0" w:after="0" w:afterAutospacing="0"/>
        <w:ind w:left="1440"/>
        <w:jc w:val="right"/>
        <w:rPr>
          <w:rFonts w:ascii="Century Schoolbook" w:hAnsi="Century Schoolbook"/>
          <w:b/>
          <w:bCs/>
          <w:color w:val="E36C0A" w:themeColor="accent6" w:themeShade="BF"/>
          <w:sz w:val="18"/>
          <w:szCs w:val="18"/>
        </w:rPr>
      </w:pPr>
      <w:r w:rsidRPr="005970E9">
        <w:rPr>
          <w:rFonts w:ascii="Century Schoolbook" w:hAnsi="Century Schoolbook"/>
          <w:b/>
          <w:bCs/>
          <w:color w:val="E36C0A" w:themeColor="accent6" w:themeShade="BF"/>
          <w:sz w:val="18"/>
          <w:szCs w:val="18"/>
        </w:rPr>
        <w:t>El siglo XXI debe ser el siglo de la igualdad de la mujer en las negociaciones de paz y las negociaciones comerciales; en los consejos de administración y en las aulas, y en el G20 y la ONU.</w:t>
      </w:r>
      <w:r w:rsidR="008356EE" w:rsidRPr="005970E9">
        <w:rPr>
          <w:rFonts w:ascii="Century Schoolbook" w:hAnsi="Century Schoolbook"/>
          <w:b/>
          <w:bCs/>
          <w:color w:val="E36C0A" w:themeColor="accent6" w:themeShade="BF"/>
          <w:sz w:val="18"/>
          <w:szCs w:val="18"/>
        </w:rPr>
        <w:t xml:space="preserve"> </w:t>
      </w:r>
      <w:r w:rsidRPr="005970E9">
        <w:rPr>
          <w:rFonts w:ascii="Century Schoolbook" w:hAnsi="Century Schoolbook"/>
          <w:b/>
          <w:bCs/>
          <w:color w:val="E36C0A" w:themeColor="accent6" w:themeShade="BF"/>
          <w:sz w:val="18"/>
          <w:szCs w:val="18"/>
        </w:rPr>
        <w:t>Es hora de dejar de intentar cambiar a las mujeres y de empezar a cambiar los sistemas que les impiden desplegar su potencial.</w:t>
      </w:r>
    </w:p>
    <w:p w14:paraId="00DE3CC4" w14:textId="31954A79" w:rsidR="00C9339A" w:rsidRPr="005970E9" w:rsidRDefault="00C9339A" w:rsidP="008E686F">
      <w:pPr>
        <w:shd w:val="clear" w:color="auto" w:fill="FFFFFF"/>
        <w:spacing w:after="240"/>
        <w:jc w:val="right"/>
        <w:textAlignment w:val="center"/>
        <w:rPr>
          <w:rFonts w:eastAsia="Times New Roman" w:cs="Arial"/>
          <w:color w:val="303030"/>
          <w:sz w:val="19"/>
          <w:szCs w:val="19"/>
          <w:lang w:val="es-ES" w:eastAsia="es-US"/>
        </w:rPr>
      </w:pPr>
      <w:r w:rsidRPr="005970E9">
        <w:rPr>
          <w:rFonts w:eastAsia="Times New Roman" w:cs="Arial"/>
          <w:b/>
          <w:bCs/>
          <w:color w:val="303030"/>
          <w:sz w:val="19"/>
          <w:szCs w:val="19"/>
          <w:lang w:val="es-ES" w:eastAsia="es-US"/>
        </w:rPr>
        <w:t>Antonio Guterres.</w:t>
      </w:r>
      <w:r w:rsidRPr="005970E9">
        <w:rPr>
          <w:rStyle w:val="FootnoteReference"/>
          <w:rFonts w:eastAsia="Times New Roman" w:cs="Arial"/>
          <w:b/>
          <w:bCs/>
          <w:color w:val="303030"/>
          <w:sz w:val="19"/>
          <w:szCs w:val="19"/>
          <w:lang w:val="es-ES" w:eastAsia="es-US"/>
        </w:rPr>
        <w:footnoteReference w:id="21"/>
      </w:r>
      <w:r w:rsidRPr="005970E9">
        <w:rPr>
          <w:rFonts w:eastAsia="Times New Roman" w:cs="Arial"/>
          <w:b/>
          <w:bCs/>
          <w:color w:val="303030"/>
          <w:sz w:val="19"/>
          <w:szCs w:val="19"/>
          <w:lang w:val="es-ES" w:eastAsia="es-US"/>
        </w:rPr>
        <w:t xml:space="preserve"> </w:t>
      </w:r>
    </w:p>
    <w:p w14:paraId="379074DE" w14:textId="57D08691" w:rsidR="00FE3FA8" w:rsidRPr="005970E9" w:rsidRDefault="006311B3" w:rsidP="00EC2A14">
      <w:pPr>
        <w:pStyle w:val="NormalWeb"/>
        <w:spacing w:before="0" w:beforeAutospacing="0" w:after="0" w:afterAutospacing="0"/>
        <w:ind w:left="1440"/>
        <w:jc w:val="right"/>
        <w:rPr>
          <w:rFonts w:ascii="Century Schoolbook" w:hAnsi="Century Schoolbook"/>
          <w:b/>
          <w:bCs/>
          <w:i/>
          <w:iCs/>
          <w:color w:val="E36C0A" w:themeColor="accent6" w:themeShade="BF"/>
          <w:sz w:val="18"/>
          <w:szCs w:val="18"/>
        </w:rPr>
      </w:pPr>
      <w:r w:rsidRPr="005970E9">
        <w:rPr>
          <w:rFonts w:ascii="Century Schoolbook" w:hAnsi="Century Schoolbook"/>
          <w:noProof/>
        </w:rPr>
        <w:lastRenderedPageBreak/>
        <mc:AlternateContent>
          <mc:Choice Requires="wps">
            <w:drawing>
              <wp:anchor distT="0" distB="0" distL="457200" distR="114300" simplePos="0" relativeHeight="251658248" behindDoc="1" locked="0" layoutInCell="1" allowOverlap="0" wp14:anchorId="23D6D0D8" wp14:editId="47FB34C5">
                <wp:simplePos x="0" y="0"/>
                <wp:positionH relativeFrom="page">
                  <wp:posOffset>1112520</wp:posOffset>
                </wp:positionH>
                <wp:positionV relativeFrom="margin">
                  <wp:posOffset>2232025</wp:posOffset>
                </wp:positionV>
                <wp:extent cx="5593080" cy="3429000"/>
                <wp:effectExtent l="0" t="0" r="26670" b="19050"/>
                <wp:wrapTight wrapText="bothSides">
                  <wp:wrapPolygon edited="0">
                    <wp:start x="0" y="0"/>
                    <wp:lineTo x="0" y="21600"/>
                    <wp:lineTo x="21629" y="21600"/>
                    <wp:lineTo x="21629" y="0"/>
                    <wp:lineTo x="0" y="0"/>
                  </wp:wrapPolygon>
                </wp:wrapTight>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3429000"/>
                        </a:xfrm>
                        <a:prstGeom prst="rect">
                          <a:avLst/>
                        </a:prstGeom>
                        <a:solidFill>
                          <a:srgbClr val="7030A0">
                            <a:alpha val="34901"/>
                          </a:srgbClr>
                        </a:solidFill>
                        <a:ln w="9525">
                          <a:solidFill>
                            <a:srgbClr val="7030A0"/>
                          </a:solidFill>
                          <a:miter lim="800000"/>
                          <a:headEnd/>
                          <a:tailEnd/>
                        </a:ln>
                      </wps:spPr>
                      <wps:txbx>
                        <w:txbxContent>
                          <w:p w14:paraId="35C3F052" w14:textId="3FEB450C" w:rsidR="00DC0EAB" w:rsidRPr="009A5E65" w:rsidRDefault="00DC0EAB" w:rsidP="009A5E65">
                            <w:pPr>
                              <w:pStyle w:val="Contenidodelmarco"/>
                              <w:spacing w:after="120"/>
                              <w:jc w:val="both"/>
                              <w:rPr>
                                <w:rFonts w:ascii="Century Schoolbook" w:hAnsi="Century Schoolbook"/>
                                <w:b/>
                                <w:bCs/>
                                <w:sz w:val="20"/>
                                <w:szCs w:val="20"/>
                              </w:rPr>
                            </w:pPr>
                            <w:r w:rsidRPr="009A5E65">
                              <w:rPr>
                                <w:rFonts w:ascii="Century Schoolbook" w:hAnsi="Century Schoolbook"/>
                                <w:b/>
                                <w:bCs/>
                                <w:sz w:val="20"/>
                                <w:szCs w:val="20"/>
                              </w:rPr>
                              <w:t>Empoderamiento político de las mujeres</w:t>
                            </w:r>
                          </w:p>
                          <w:p w14:paraId="01FFC187" w14:textId="79478A9A" w:rsidR="00DC0EAB" w:rsidRPr="002C77C2" w:rsidRDefault="00DC0EAB" w:rsidP="009A5E65">
                            <w:pPr>
                              <w:pStyle w:val="Contenidodelmarco"/>
                              <w:spacing w:before="120"/>
                              <w:jc w:val="both"/>
                              <w:rPr>
                                <w:rFonts w:ascii="Century Schoolbook" w:hAnsi="Century Schoolbook"/>
                                <w:sz w:val="20"/>
                                <w:szCs w:val="20"/>
                              </w:rPr>
                            </w:pPr>
                            <w:r w:rsidRPr="002C77C2">
                              <w:rPr>
                                <w:rFonts w:ascii="Century Schoolbook" w:hAnsi="Century Schoolbook"/>
                                <w:sz w:val="20"/>
                                <w:szCs w:val="20"/>
                              </w:rPr>
                              <w:t>América Latina y el Caribe se caracterizan por mantener sistemas</w:t>
                            </w:r>
                            <w:r>
                              <w:rPr>
                                <w:rFonts w:ascii="Century Schoolbook" w:hAnsi="Century Schoolbook"/>
                                <w:sz w:val="20"/>
                                <w:szCs w:val="20"/>
                              </w:rPr>
                              <w:t xml:space="preserve"> </w:t>
                            </w:r>
                            <w:r w:rsidRPr="002C77C2">
                              <w:rPr>
                                <w:rFonts w:ascii="Century Schoolbook" w:hAnsi="Century Schoolbook"/>
                                <w:sz w:val="20"/>
                                <w:szCs w:val="20"/>
                              </w:rPr>
                              <w:t>democráticos estables y encontrarse en un crecimiento económico. Sin embargo, permanece con una muy deficiente redistribución de la riqueza en la mayoría de los países, con altas tasas de inequidad y exclusión social, que impactan más a las mujeres indígenas y afrodescendientes, empeorada por la permanencia de la desigualdad de género. Esa inequidad está present</w:t>
                            </w:r>
                            <w:r>
                              <w:rPr>
                                <w:rFonts w:ascii="Century Schoolbook" w:hAnsi="Century Schoolbook"/>
                                <w:sz w:val="20"/>
                                <w:szCs w:val="20"/>
                              </w:rPr>
                              <w:t>e</w:t>
                            </w:r>
                            <w:r w:rsidRPr="002C77C2">
                              <w:rPr>
                                <w:rFonts w:ascii="Century Schoolbook" w:hAnsi="Century Schoolbook"/>
                                <w:sz w:val="20"/>
                                <w:szCs w:val="20"/>
                              </w:rPr>
                              <w:t xml:space="preserve"> también en el ámbito político y en el público.</w:t>
                            </w:r>
                          </w:p>
                          <w:p w14:paraId="4BB013D6" w14:textId="77777777" w:rsidR="00DC0EAB" w:rsidRPr="002C77C2" w:rsidRDefault="00DC0EAB" w:rsidP="009A5E65">
                            <w:pPr>
                              <w:pStyle w:val="Contenidodelmarco"/>
                              <w:spacing w:before="120" w:after="120"/>
                              <w:jc w:val="both"/>
                              <w:rPr>
                                <w:rFonts w:ascii="Century Schoolbook" w:hAnsi="Century Schoolbook"/>
                                <w:sz w:val="20"/>
                                <w:szCs w:val="20"/>
                              </w:rPr>
                            </w:pPr>
                            <w:r w:rsidRPr="002C77C2">
                              <w:rPr>
                                <w:rFonts w:ascii="Century Schoolbook" w:hAnsi="Century Schoolbook"/>
                                <w:sz w:val="20"/>
                                <w:szCs w:val="20"/>
                              </w:rPr>
                              <w:t>Su origen está vinculado con la tradicional dicotomía que identifica lo público como una dimensión masculina, mientras que lo privado y, en particular, el cuidado del hogar y de la familia, sería el espacio de y para las mujeres. La participación política y pública de las mujeres, sigue siendo desigual, heterogénea e insuficiente.</w:t>
                            </w:r>
                          </w:p>
                          <w:p w14:paraId="3CF5D0A3" w14:textId="77777777" w:rsidR="00DC0EAB" w:rsidRPr="002C77C2" w:rsidRDefault="00DC0EAB" w:rsidP="009A5E65">
                            <w:pPr>
                              <w:pStyle w:val="Contenidodelmarco"/>
                              <w:spacing w:before="120"/>
                              <w:jc w:val="both"/>
                              <w:rPr>
                                <w:rFonts w:ascii="Century Schoolbook" w:hAnsi="Century Schoolbook"/>
                                <w:sz w:val="20"/>
                                <w:szCs w:val="20"/>
                              </w:rPr>
                            </w:pPr>
                            <w:r w:rsidRPr="002C77C2">
                              <w:rPr>
                                <w:rFonts w:ascii="Century Schoolbook" w:hAnsi="Century Schoolbook"/>
                                <w:sz w:val="20"/>
                                <w:szCs w:val="20"/>
                              </w:rPr>
                              <w:t xml:space="preserve">Junto a ello, las mujeres siguen teniendo menos recursos y un menor acceso a redes de apoyo para poder participar en espacios de decisión política. Su dependencia económica de los hombres, el trabajo en el hogar no renumerado, la brecha salarial con los hombres y la persistencia de actos de violencia por razón de género, incluido en el ámbito de la política, constituyen barreras a su empoderamiento político. </w:t>
                            </w:r>
                          </w:p>
                          <w:p w14:paraId="3D51CA2B" w14:textId="77777777" w:rsidR="00DC0EAB" w:rsidRPr="00385435" w:rsidRDefault="00DC0EAB" w:rsidP="009A5E65">
                            <w:pPr>
                              <w:pStyle w:val="Contenidodelmarco"/>
                              <w:spacing w:before="120"/>
                              <w:jc w:val="both"/>
                              <w:rPr>
                                <w:sz w:val="20"/>
                                <w:szCs w:val="20"/>
                              </w:rPr>
                            </w:pPr>
                            <w:r w:rsidRPr="002C77C2">
                              <w:rPr>
                                <w:rFonts w:ascii="Century Schoolbook" w:hAnsi="Century Schoolbook"/>
                                <w:sz w:val="20"/>
                                <w:szCs w:val="20"/>
                              </w:rPr>
                              <w:t>(EMPODERAMIENTO POLÍTICO DE LAS MUJERES: MARCO PARA UNA ACCIÓN ESTRATÉGICA. 2014-2017. ONU MUJERES)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6D0D8" id="Rectángulo 25" o:spid="_x0000_s1026" style="position:absolute;left:0;text-align:left;margin-left:87.6pt;margin-top:175.75pt;width:440.4pt;height:270pt;z-index:-25165823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" o:allowoverlap="f" fillcolor="#7030a0" strokecolor="#7030a0">
                <v:fill opacity="22873f"/>
                <v:textbox inset="14.4pt,14.4pt,14.4pt,14.4pt">
                  <w:txbxContent>
                    <w:p w14:paraId="35C3F052" w14:textId="3FEB450C" w:rsidR="00DC0EAB" w:rsidRPr="009A5E65" w:rsidRDefault="00DC0EAB" w:rsidP="009A5E65">
                      <w:pPr>
                        <w:pStyle w:val="Contenidodelmarco"/>
                        <w:spacing w:after="120"/>
                        <w:jc w:val="both"/>
                        <w:rPr>
                          <w:rFonts w:ascii="Century Schoolbook" w:hAnsi="Century Schoolbook"/>
                          <w:b/>
                          <w:bCs/>
                          <w:sz w:val="20"/>
                          <w:szCs w:val="20"/>
                        </w:rPr>
                      </w:pPr>
                      <w:r w:rsidRPr="009A5E65">
                        <w:rPr>
                          <w:rFonts w:ascii="Century Schoolbook" w:hAnsi="Century Schoolbook"/>
                          <w:b/>
                          <w:bCs/>
                          <w:sz w:val="20"/>
                          <w:szCs w:val="20"/>
                        </w:rPr>
                        <w:t>Empoderamiento político de las mujeres</w:t>
                      </w:r>
                    </w:p>
                    <w:p w14:paraId="01FFC187" w14:textId="79478A9A" w:rsidR="00DC0EAB" w:rsidRPr="002C77C2" w:rsidRDefault="00DC0EAB" w:rsidP="009A5E65">
                      <w:pPr>
                        <w:pStyle w:val="Contenidodelmarco"/>
                        <w:spacing w:before="120"/>
                        <w:jc w:val="both"/>
                        <w:rPr>
                          <w:rFonts w:ascii="Century Schoolbook" w:hAnsi="Century Schoolbook"/>
                          <w:sz w:val="20"/>
                          <w:szCs w:val="20"/>
                        </w:rPr>
                      </w:pPr>
                      <w:r w:rsidRPr="002C77C2">
                        <w:rPr>
                          <w:rFonts w:ascii="Century Schoolbook" w:hAnsi="Century Schoolbook"/>
                          <w:sz w:val="20"/>
                          <w:szCs w:val="20"/>
                        </w:rPr>
                        <w:t>América Latina y el Caribe se caracterizan por mantener sistemas</w:t>
                      </w:r>
                      <w:r>
                        <w:rPr>
                          <w:rFonts w:ascii="Century Schoolbook" w:hAnsi="Century Schoolbook"/>
                          <w:sz w:val="20"/>
                          <w:szCs w:val="20"/>
                        </w:rPr>
                        <w:t xml:space="preserve"> </w:t>
                      </w:r>
                      <w:r w:rsidRPr="002C77C2">
                        <w:rPr>
                          <w:rFonts w:ascii="Century Schoolbook" w:hAnsi="Century Schoolbook"/>
                          <w:sz w:val="20"/>
                          <w:szCs w:val="20"/>
                        </w:rPr>
                        <w:t>democráticos estables y encontrarse en un crecimiento económico. Sin embargo, permanece con una muy deficiente redistribución de la riqueza en la mayoría de los países, con altas tasas de inequidad y exclusión social, que impactan más a las mujeres indígenas y afrodescendientes, empeorada por la permanencia de la desigualdad de género. Esa inequidad está present</w:t>
                      </w:r>
                      <w:r>
                        <w:rPr>
                          <w:rFonts w:ascii="Century Schoolbook" w:hAnsi="Century Schoolbook"/>
                          <w:sz w:val="20"/>
                          <w:szCs w:val="20"/>
                        </w:rPr>
                        <w:t>e</w:t>
                      </w:r>
                      <w:r w:rsidRPr="002C77C2">
                        <w:rPr>
                          <w:rFonts w:ascii="Century Schoolbook" w:hAnsi="Century Schoolbook"/>
                          <w:sz w:val="20"/>
                          <w:szCs w:val="20"/>
                        </w:rPr>
                        <w:t xml:space="preserve"> también en el ámbito político y en el público.</w:t>
                      </w:r>
                    </w:p>
                    <w:p w14:paraId="4BB013D6" w14:textId="77777777" w:rsidR="00DC0EAB" w:rsidRPr="002C77C2" w:rsidRDefault="00DC0EAB" w:rsidP="009A5E65">
                      <w:pPr>
                        <w:pStyle w:val="Contenidodelmarco"/>
                        <w:spacing w:before="120" w:after="120"/>
                        <w:jc w:val="both"/>
                        <w:rPr>
                          <w:rFonts w:ascii="Century Schoolbook" w:hAnsi="Century Schoolbook"/>
                          <w:sz w:val="20"/>
                          <w:szCs w:val="20"/>
                        </w:rPr>
                      </w:pPr>
                      <w:r w:rsidRPr="002C77C2">
                        <w:rPr>
                          <w:rFonts w:ascii="Century Schoolbook" w:hAnsi="Century Schoolbook"/>
                          <w:sz w:val="20"/>
                          <w:szCs w:val="20"/>
                        </w:rPr>
                        <w:t>Su origen está vinculado con la tradicional dicotomía que identifica lo público como una dimensión masculina, mientras que lo privado y, en particular, el cuidado del hogar y de la familia, sería el espacio de y para las mujeres. La participación política y pública de las mujeres, sigue siendo desigual, heterogénea e insuficiente.</w:t>
                      </w:r>
                    </w:p>
                    <w:p w14:paraId="3CF5D0A3" w14:textId="77777777" w:rsidR="00DC0EAB" w:rsidRPr="002C77C2" w:rsidRDefault="00DC0EAB" w:rsidP="009A5E65">
                      <w:pPr>
                        <w:pStyle w:val="Contenidodelmarco"/>
                        <w:spacing w:before="120"/>
                        <w:jc w:val="both"/>
                        <w:rPr>
                          <w:rFonts w:ascii="Century Schoolbook" w:hAnsi="Century Schoolbook"/>
                          <w:sz w:val="20"/>
                          <w:szCs w:val="20"/>
                        </w:rPr>
                      </w:pPr>
                      <w:r w:rsidRPr="002C77C2">
                        <w:rPr>
                          <w:rFonts w:ascii="Century Schoolbook" w:hAnsi="Century Schoolbook"/>
                          <w:sz w:val="20"/>
                          <w:szCs w:val="20"/>
                        </w:rPr>
                        <w:t xml:space="preserve">Junto a ello, las mujeres siguen teniendo menos recursos y un menor acceso a redes de apoyo para poder participar en espacios de decisión política. Su dependencia económica de los hombres, el trabajo en el hogar no renumerado, la brecha salarial con los hombres y la persistencia de actos de violencia por razón de género, incluido en el ámbito de la política, constituyen barreras a su empoderamiento político. </w:t>
                      </w:r>
                    </w:p>
                    <w:p w14:paraId="3D51CA2B" w14:textId="77777777" w:rsidR="00DC0EAB" w:rsidRPr="00385435" w:rsidRDefault="00DC0EAB" w:rsidP="009A5E65">
                      <w:pPr>
                        <w:pStyle w:val="Contenidodelmarco"/>
                        <w:spacing w:before="120"/>
                        <w:jc w:val="both"/>
                        <w:rPr>
                          <w:sz w:val="20"/>
                          <w:szCs w:val="20"/>
                        </w:rPr>
                      </w:pPr>
                      <w:r w:rsidRPr="002C77C2">
                        <w:rPr>
                          <w:rFonts w:ascii="Century Schoolbook" w:hAnsi="Century Schoolbook"/>
                          <w:sz w:val="20"/>
                          <w:szCs w:val="20"/>
                        </w:rPr>
                        <w:t>(EMPODERAMIENTO POLÍTICO DE LAS MUJERES: MARCO PARA UNA ACCIÓN ESTRATÉGICA. 2014-2017. ONU MUJERES)</w:t>
                      </w:r>
                    </w:p>
                  </w:txbxContent>
                </v:textbox>
                <w10:wrap type="tight" anchorx="page" anchory="margin"/>
              </v:rect>
            </w:pict>
          </mc:Fallback>
        </mc:AlternateContent>
      </w:r>
    </w:p>
    <w:p w14:paraId="47A04C8C" w14:textId="3359ABE4" w:rsidR="00FE3FA8" w:rsidRPr="005970E9" w:rsidRDefault="00FE3FA8" w:rsidP="008E686F">
      <w:pPr>
        <w:pStyle w:val="NormalWeb"/>
        <w:spacing w:before="0" w:beforeAutospacing="0" w:after="0" w:afterAutospacing="0" w:line="276" w:lineRule="auto"/>
        <w:jc w:val="both"/>
        <w:rPr>
          <w:rFonts w:ascii="Century Schoolbook" w:hAnsi="Century Schoolbook" w:cs="UniversLTStd-Light"/>
          <w:sz w:val="22"/>
          <w:szCs w:val="22"/>
        </w:rPr>
      </w:pPr>
      <w:r w:rsidRPr="005970E9">
        <w:rPr>
          <w:rFonts w:ascii="Century Schoolbook" w:hAnsi="Century Schoolbook" w:cs="UniversLTStd-Light"/>
          <w:sz w:val="22"/>
          <w:szCs w:val="22"/>
        </w:rPr>
        <w:t xml:space="preserve">La Comisión Económica para América Latina y el Caribe (CEPAL) asevera </w:t>
      </w:r>
      <w:r w:rsidRPr="005970E9">
        <w:rPr>
          <w:rFonts w:ascii="Century Schoolbook" w:hAnsi="Century Schoolbook"/>
          <w:sz w:val="22"/>
          <w:szCs w:val="22"/>
        </w:rPr>
        <w:t>que la región sigue siendo la más desigual del mundo, con</w:t>
      </w:r>
      <w:r w:rsidRPr="005970E9">
        <w:rPr>
          <w:rFonts w:ascii="Century Schoolbook" w:hAnsi="Century Schoolbook" w:cs="UniversLTStd-Light"/>
          <w:sz w:val="22"/>
          <w:szCs w:val="22"/>
        </w:rPr>
        <w:t xml:space="preserve"> profundas diferencias socioeconómicas y de género, con n</w:t>
      </w:r>
      <w:r w:rsidRPr="005970E9">
        <w:rPr>
          <w:rFonts w:ascii="Century Schoolbook" w:hAnsi="Century Schoolbook"/>
          <w:sz w:val="22"/>
          <w:szCs w:val="22"/>
        </w:rPr>
        <w:t xml:space="preserve">iveles de pobreza muy </w:t>
      </w:r>
      <w:r w:rsidRPr="005970E9">
        <w:rPr>
          <w:rFonts w:ascii="Century Schoolbook" w:hAnsi="Century Schoolbook" w:cs="UniversLTStd-Light"/>
          <w:sz w:val="22"/>
          <w:szCs w:val="22"/>
        </w:rPr>
        <w:t>significativos y amplios sectores muy vulnerables a los cambios económicos, por lo que la igualdad cobra especial relevancia, “no solo como igualdad de medios desde el punto de vista económico y distributivo, sino también como igualdad en el ejercicio de los derechos, en el desarrollo de las capacidades y en el reconocimiento recíproco de los actores sociales”, para cumplir con la agenda 2030 y lograr el Desarrollo Sostenible (CEPAL. 2020. Pág. 18).</w:t>
      </w:r>
    </w:p>
    <w:p w14:paraId="0EA2F3C1" w14:textId="6086D514" w:rsidR="000162FA" w:rsidRPr="005970E9" w:rsidRDefault="0089726B" w:rsidP="0089726B">
      <w:pPr>
        <w:spacing w:before="120" w:after="120" w:line="276" w:lineRule="auto"/>
        <w:jc w:val="both"/>
        <w:rPr>
          <w:rFonts w:cs="TimesNewRoman"/>
        </w:rPr>
      </w:pPr>
      <w:r w:rsidRPr="005970E9">
        <w:rPr>
          <w:rFonts w:cs="UniversLTStd-Light"/>
        </w:rPr>
        <w:t xml:space="preserve">Atendiendo a lo anterior se promulga el </w:t>
      </w:r>
      <w:r w:rsidRPr="005970E9">
        <w:t xml:space="preserve">acuerdo No 12 de Santiago que plantea: “Alentar los esfuerzos sostenidos para aumentar la representación de las mujeres, incluidas las mujeres con discapacidad, en los procesos de toma de decisiones a fin de alcanzar la democracia paritaria, </w:t>
      </w:r>
      <w:r w:rsidRPr="005970E9">
        <w:rPr>
          <w:rFonts w:cs="TimesNewRoman"/>
        </w:rPr>
        <w:t>con un enfoque intercultural y étnico-racial, afianzando la presencia de mujeres en todos los poderes del Estado y niveles y ámbitos de gobierno, garantizar la protección de los derechos de las mujeres que participan en política, de las defensoras de derechos humanos y de las mujeres periodistas, y condenar la violencia política”</w:t>
      </w:r>
      <w:r w:rsidR="00B429FB" w:rsidRPr="005970E9">
        <w:rPr>
          <w:rStyle w:val="FootnoteReference"/>
          <w:rFonts w:cs="TimesNewRoman"/>
        </w:rPr>
        <w:footnoteReference w:id="22"/>
      </w:r>
    </w:p>
    <w:p w14:paraId="16BFBC96" w14:textId="274DD3ED" w:rsidR="0089726B" w:rsidRPr="005970E9" w:rsidRDefault="0089726B" w:rsidP="00551F88">
      <w:pPr>
        <w:pStyle w:val="Heading3"/>
        <w:numPr>
          <w:ilvl w:val="2"/>
          <w:numId w:val="8"/>
        </w:numPr>
      </w:pPr>
      <w:bookmarkStart w:id="69" w:name="_Toc42159192"/>
      <w:bookmarkStart w:id="70" w:name="_Toc42549428"/>
      <w:r w:rsidRPr="005970E9">
        <w:t>Marco jurídico para la participación política y social de las mujeres panameñas</w:t>
      </w:r>
      <w:bookmarkEnd w:id="69"/>
      <w:bookmarkEnd w:id="70"/>
    </w:p>
    <w:p w14:paraId="54B280B6" w14:textId="12C56C07" w:rsidR="0089726B" w:rsidRPr="005970E9" w:rsidRDefault="0089726B" w:rsidP="0089726B">
      <w:pPr>
        <w:spacing w:before="120" w:after="120" w:line="276" w:lineRule="auto"/>
        <w:jc w:val="both"/>
        <w:rPr>
          <w:rStyle w:val="A4"/>
        </w:rPr>
      </w:pPr>
      <w:r w:rsidRPr="005970E9">
        <w:rPr>
          <w:rStyle w:val="A4"/>
        </w:rPr>
        <w:t xml:space="preserve">Los principales instrumentos legales son los siguientes: </w:t>
      </w:r>
    </w:p>
    <w:p w14:paraId="5F00A520" w14:textId="492D4326" w:rsidR="0089726B" w:rsidRPr="005970E9" w:rsidRDefault="0089726B" w:rsidP="0089726B">
      <w:pPr>
        <w:pStyle w:val="ListParagraph"/>
        <w:numPr>
          <w:ilvl w:val="0"/>
          <w:numId w:val="23"/>
        </w:numPr>
        <w:spacing w:before="120" w:after="120" w:line="276" w:lineRule="auto"/>
        <w:ind w:left="714" w:hanging="357"/>
        <w:contextualSpacing w:val="0"/>
        <w:jc w:val="both"/>
        <w:rPr>
          <w:rStyle w:val="A4"/>
          <w:rFonts w:ascii="Century Schoolbook" w:hAnsi="Century Schoolbook"/>
        </w:rPr>
      </w:pPr>
      <w:r w:rsidRPr="005970E9">
        <w:rPr>
          <w:rStyle w:val="A4"/>
          <w:rFonts w:ascii="Century Schoolbook" w:hAnsi="Century Schoolbook"/>
        </w:rPr>
        <w:lastRenderedPageBreak/>
        <w:t>La Constitución Política de la República de Panamá</w:t>
      </w:r>
      <w:r w:rsidR="009A5E65" w:rsidRPr="005970E9">
        <w:rPr>
          <w:rStyle w:val="A4"/>
          <w:rFonts w:ascii="Century Schoolbook" w:hAnsi="Century Schoolbook"/>
        </w:rPr>
        <w:t xml:space="preserve"> en</w:t>
      </w:r>
      <w:r w:rsidRPr="005970E9">
        <w:rPr>
          <w:rStyle w:val="A4"/>
          <w:rFonts w:ascii="Century Schoolbook" w:hAnsi="Century Schoolbook"/>
        </w:rPr>
        <w:t xml:space="preserve"> el artículo 19 establece el principio de no discriminación por sexo: </w:t>
      </w:r>
      <w:r w:rsidRPr="005970E9">
        <w:rPr>
          <w:rStyle w:val="A4"/>
          <w:rFonts w:ascii="Century Schoolbook" w:hAnsi="Century Schoolbook"/>
          <w:i/>
          <w:iCs/>
        </w:rPr>
        <w:t>“No habrá fueros o privilegios ni discriminación por razón de raza, nacimiento, discapacidad, clase social, sexo, religión o ideas políticas”</w:t>
      </w:r>
      <w:r w:rsidRPr="005970E9">
        <w:rPr>
          <w:rStyle w:val="A4"/>
          <w:rFonts w:ascii="Century Schoolbook" w:hAnsi="Century Schoolbook"/>
        </w:rPr>
        <w:t>. (</w:t>
      </w:r>
      <w:r w:rsidRPr="005970E9">
        <w:rPr>
          <w:rFonts w:ascii="Century Schoolbook" w:hAnsi="Century Schoolbook"/>
        </w:rPr>
        <w:t>MIDES. VII Informe Nacional Clara González. 2016 Pág. 69)</w:t>
      </w:r>
      <w:r w:rsidR="009A5E65" w:rsidRPr="005970E9">
        <w:rPr>
          <w:rFonts w:ascii="Century Schoolbook" w:hAnsi="Century Schoolbook"/>
        </w:rPr>
        <w:t>.</w:t>
      </w:r>
    </w:p>
    <w:p w14:paraId="36CBA2C1" w14:textId="0CB2CF0F" w:rsidR="0089726B" w:rsidRPr="005970E9" w:rsidRDefault="0089726B" w:rsidP="0089726B">
      <w:pPr>
        <w:pStyle w:val="ListParagraph"/>
        <w:numPr>
          <w:ilvl w:val="0"/>
          <w:numId w:val="23"/>
        </w:numPr>
        <w:spacing w:before="120" w:after="120" w:line="276" w:lineRule="auto"/>
        <w:ind w:left="714" w:hanging="357"/>
        <w:contextualSpacing w:val="0"/>
        <w:jc w:val="both"/>
        <w:rPr>
          <w:rStyle w:val="A4"/>
          <w:rFonts w:ascii="Century Schoolbook" w:hAnsi="Century Schoolbook"/>
        </w:rPr>
      </w:pPr>
      <w:r w:rsidRPr="005970E9">
        <w:rPr>
          <w:rStyle w:val="A4"/>
          <w:rFonts w:ascii="Century Schoolbook" w:hAnsi="Century Schoolbook"/>
        </w:rPr>
        <w:t>En el artículo 132 de la Constitución se anuncia que los “derechos políticos y la capacidad para ejercer cargos públicos con mando y jurisdicción, se reservan a los ciudadanos panameños”. Lo que significa que panameños y panameñas tienen el derecho político de ser elegidos o elegidas (</w:t>
      </w:r>
      <w:r w:rsidRPr="005970E9">
        <w:rPr>
          <w:rFonts w:ascii="Century Schoolbook" w:hAnsi="Century Schoolbook"/>
        </w:rPr>
        <w:t>MIDES. Pág. 69)</w:t>
      </w:r>
      <w:r w:rsidR="009A5E65" w:rsidRPr="005970E9">
        <w:rPr>
          <w:rFonts w:ascii="Century Schoolbook" w:hAnsi="Century Schoolbook"/>
        </w:rPr>
        <w:t>.</w:t>
      </w:r>
    </w:p>
    <w:p w14:paraId="3D2F8FB2" w14:textId="12C7B206" w:rsidR="0089726B" w:rsidRPr="005970E9" w:rsidRDefault="0089726B" w:rsidP="0089726B">
      <w:pPr>
        <w:pStyle w:val="ListParagraph"/>
        <w:numPr>
          <w:ilvl w:val="0"/>
          <w:numId w:val="23"/>
        </w:numPr>
        <w:spacing w:before="120" w:after="120" w:line="276" w:lineRule="auto"/>
        <w:ind w:left="714" w:hanging="357"/>
        <w:contextualSpacing w:val="0"/>
        <w:jc w:val="both"/>
        <w:rPr>
          <w:rStyle w:val="A4"/>
          <w:rFonts w:ascii="Century Schoolbook" w:hAnsi="Century Schoolbook"/>
        </w:rPr>
      </w:pPr>
      <w:r w:rsidRPr="005970E9">
        <w:rPr>
          <w:rStyle w:val="A4"/>
          <w:rFonts w:ascii="Century Schoolbook" w:hAnsi="Century Schoolbook"/>
        </w:rPr>
        <w:t>Desde 1997, el Código Electoral que crea y reglamenta el derecho al sufragio y la participación de los distintos cargos de representación popular, establece la cuota mínima de participación de las mujeres, conocida como cuota electoral (</w:t>
      </w:r>
      <w:r w:rsidRPr="005970E9">
        <w:rPr>
          <w:rFonts w:ascii="Century Schoolbook" w:hAnsi="Century Schoolbook"/>
        </w:rPr>
        <w:t>MIDES. Pág. 69</w:t>
      </w:r>
      <w:r w:rsidRPr="005970E9">
        <w:rPr>
          <w:rStyle w:val="A4"/>
          <w:rFonts w:ascii="Century Schoolbook" w:hAnsi="Century Schoolbook"/>
        </w:rPr>
        <w:t>)</w:t>
      </w:r>
      <w:r w:rsidR="009A5E65" w:rsidRPr="005970E9">
        <w:rPr>
          <w:rStyle w:val="A4"/>
          <w:rFonts w:ascii="Century Schoolbook" w:hAnsi="Century Schoolbook"/>
        </w:rPr>
        <w:t>.</w:t>
      </w:r>
      <w:r w:rsidRPr="005970E9">
        <w:rPr>
          <w:rStyle w:val="A4"/>
          <w:rFonts w:ascii="Century Schoolbook" w:hAnsi="Century Schoolbook"/>
        </w:rPr>
        <w:t xml:space="preserve"> </w:t>
      </w:r>
    </w:p>
    <w:p w14:paraId="64A86160" w14:textId="12055079" w:rsidR="0089726B" w:rsidRPr="005970E9" w:rsidRDefault="0089726B" w:rsidP="0089726B">
      <w:pPr>
        <w:pStyle w:val="ListParagraph"/>
        <w:numPr>
          <w:ilvl w:val="0"/>
          <w:numId w:val="23"/>
        </w:numPr>
        <w:spacing w:before="120" w:after="120" w:line="276" w:lineRule="auto"/>
        <w:ind w:left="714" w:hanging="357"/>
        <w:contextualSpacing w:val="0"/>
        <w:jc w:val="both"/>
        <w:rPr>
          <w:rStyle w:val="A4"/>
          <w:rFonts w:ascii="Century Schoolbook" w:hAnsi="Century Schoolbook"/>
        </w:rPr>
      </w:pPr>
      <w:r w:rsidRPr="005970E9">
        <w:rPr>
          <w:rStyle w:val="A4"/>
          <w:rFonts w:ascii="Century Schoolbook" w:hAnsi="Century Schoolbook"/>
        </w:rPr>
        <w:t xml:space="preserve">La ratificación de la Convención sobre la eliminación de todas las formas de discriminación contra la mujer (CEDAW) da paso al proceso de creación de políticas públicas encaminadas a crear mecanismos para lograr la igualdad de oportunidades para las mujeres. </w:t>
      </w:r>
    </w:p>
    <w:p w14:paraId="2AAC852E" w14:textId="4A4A6F15" w:rsidR="0089726B" w:rsidRPr="005970E9" w:rsidRDefault="0089726B" w:rsidP="0089726B">
      <w:pPr>
        <w:pStyle w:val="ListParagraph"/>
        <w:numPr>
          <w:ilvl w:val="0"/>
          <w:numId w:val="23"/>
        </w:numPr>
        <w:spacing w:before="120" w:after="120" w:line="276" w:lineRule="auto"/>
        <w:ind w:left="714" w:hanging="357"/>
        <w:contextualSpacing w:val="0"/>
        <w:jc w:val="both"/>
        <w:rPr>
          <w:rStyle w:val="A4"/>
          <w:rFonts w:ascii="Century Schoolbook" w:hAnsi="Century Schoolbook"/>
        </w:rPr>
      </w:pPr>
      <w:r w:rsidRPr="005970E9">
        <w:rPr>
          <w:rStyle w:val="A4"/>
          <w:rFonts w:ascii="Century Schoolbook" w:hAnsi="Century Schoolbook"/>
        </w:rPr>
        <w:t>La Ley No. 4 del 29 de enero de 1999 (Ley 4/1999), instituye la regulación específica en materia de igualdad de oportunidades para las mujeres. Reglamentada y aprobada por el Decreto Ejecutivo No. 53 del 25 de junio de 2002. En estos instrumentos se establecen las acciones públicas que el Estado debe desarrollar para estimular la participación política de las mujeres en los puestos de poder, así como crear componentes que contribuyan a la eliminación de estereotipos tradicionales excluyentes para las mujeres del mundo público. Además, crea mecanismos para la solidaridad entre las mujeres y los hombres de diferentes partidos políticos, fortaleciendo el liderazgo femenino en todos los niveles organizativos (MIDES. Pág. 70 y PNUD</w:t>
      </w:r>
      <w:r w:rsidRPr="005970E9">
        <w:rPr>
          <w:rStyle w:val="A1"/>
          <w:rFonts w:ascii="Century Schoolbook" w:hAnsi="Century Schoolbook"/>
        </w:rPr>
        <w:t>-</w:t>
      </w:r>
      <w:r w:rsidRPr="005970E9">
        <w:rPr>
          <w:rStyle w:val="A1"/>
          <w:rFonts w:ascii="Century Schoolbook" w:hAnsi="Century Schoolbook"/>
          <w:b w:val="0"/>
          <w:bCs w:val="0"/>
        </w:rPr>
        <w:t>ONUMUJERES-IDEA</w:t>
      </w:r>
      <w:r w:rsidRPr="005970E9">
        <w:rPr>
          <w:rStyle w:val="A4"/>
          <w:rFonts w:ascii="Century Schoolbook" w:hAnsi="Century Schoolbook"/>
          <w:b/>
          <w:bCs/>
        </w:rPr>
        <w:t>.</w:t>
      </w:r>
      <w:r w:rsidRPr="005970E9">
        <w:rPr>
          <w:rStyle w:val="A4"/>
          <w:rFonts w:ascii="Century Schoolbook" w:hAnsi="Century Schoolbook"/>
        </w:rPr>
        <w:t xml:space="preserve"> Pág. 20)</w:t>
      </w:r>
      <w:r w:rsidR="009A5E65" w:rsidRPr="005970E9">
        <w:rPr>
          <w:rStyle w:val="A4"/>
          <w:rFonts w:ascii="Century Schoolbook" w:hAnsi="Century Schoolbook"/>
        </w:rPr>
        <w:t>.</w:t>
      </w:r>
    </w:p>
    <w:p w14:paraId="377DFF5E" w14:textId="6A69A889" w:rsidR="0089726B" w:rsidRPr="005970E9" w:rsidRDefault="0089726B" w:rsidP="0089726B">
      <w:pPr>
        <w:pStyle w:val="ListParagraph"/>
        <w:numPr>
          <w:ilvl w:val="0"/>
          <w:numId w:val="23"/>
        </w:numPr>
        <w:spacing w:before="120" w:after="120" w:line="276" w:lineRule="auto"/>
        <w:ind w:left="714" w:hanging="357"/>
        <w:contextualSpacing w:val="0"/>
        <w:jc w:val="both"/>
        <w:rPr>
          <w:rFonts w:ascii="Century Schoolbook" w:eastAsia="Times New Roman" w:hAnsi="Century Schoolbook"/>
          <w:lang w:eastAsia="es-US"/>
        </w:rPr>
      </w:pPr>
      <w:r w:rsidRPr="005970E9">
        <w:rPr>
          <w:rFonts w:ascii="Century Schoolbook" w:hAnsi="Century Schoolbook" w:cs="Arial"/>
          <w:color w:val="222222"/>
        </w:rPr>
        <w:t xml:space="preserve">La Ley 71 De 23 de diciembre de 2008, </w:t>
      </w:r>
      <w:r w:rsidRPr="005970E9">
        <w:rPr>
          <w:rFonts w:ascii="Century Schoolbook" w:hAnsi="Century Schoolbook"/>
        </w:rPr>
        <w:t xml:space="preserve">crea el Instituto Nacional de la Mujer (INAMU), que es el mecanismo nacional para la promoción de la igualdad de género en la Política Pública, sin embargo, desde su propio diseño dependiente del Ministerio de Desarrollo Social, con limitaciones presupuestarias, humanas y técnicas, afectan su autoridad para incidir en la Política Pública y le restan capacidad para cumplir con su papel rector en la búsqueda de </w:t>
      </w:r>
      <w:r w:rsidRPr="005970E9">
        <w:rPr>
          <w:rFonts w:ascii="Century Schoolbook" w:eastAsia="Times New Roman" w:hAnsi="Century Schoolbook"/>
          <w:color w:val="000000"/>
          <w:lang w:eastAsia="es-US"/>
        </w:rPr>
        <w:t xml:space="preserve">la igualdad de género y la paridad política y como </w:t>
      </w:r>
      <w:r w:rsidRPr="005970E9">
        <w:rPr>
          <w:rFonts w:ascii="Century Schoolbook" w:hAnsi="Century Schoolbook"/>
        </w:rPr>
        <w:t>secretariado del Consejo Nacional de la Mujer presidido por el Ministro de Desarrollo Social y conformado por representantes de instituciones de todos los poderes del Estado y la sociedad civil</w:t>
      </w:r>
      <w:r w:rsidRPr="005970E9">
        <w:rPr>
          <w:rFonts w:ascii="Century Schoolbook" w:eastAsia="Times New Roman" w:hAnsi="Century Schoolbook"/>
          <w:color w:val="000000"/>
          <w:lang w:eastAsia="es-US"/>
        </w:rPr>
        <w:t xml:space="preserve">. Por el otro lado, la Oficina </w:t>
      </w:r>
      <w:r w:rsidRPr="005970E9">
        <w:rPr>
          <w:rFonts w:ascii="Century Schoolbook" w:eastAsia="Times New Roman" w:hAnsi="Century Schoolbook"/>
          <w:spacing w:val="-2"/>
          <w:lang w:val="es-GT"/>
        </w:rPr>
        <w:t>Regional de ONU Mujeres en Panamá, brindó asistencia técnica al Foro de Mujeres de Partidos Políticos en la reglamentación de la Paridad Política y apoyó el análisis de las postulaciones de mujeres en las elecciones del 2019 (CEDAW. 2019)</w:t>
      </w:r>
      <w:r w:rsidR="009A5E65" w:rsidRPr="005970E9">
        <w:rPr>
          <w:rFonts w:ascii="Century Schoolbook" w:eastAsia="Times New Roman" w:hAnsi="Century Schoolbook"/>
          <w:spacing w:val="-2"/>
          <w:lang w:val="es-GT"/>
        </w:rPr>
        <w:t>.</w:t>
      </w:r>
    </w:p>
    <w:p w14:paraId="77BA81D3" w14:textId="77777777" w:rsidR="0089726B" w:rsidRPr="005970E9" w:rsidRDefault="0089726B" w:rsidP="00551F88">
      <w:pPr>
        <w:pStyle w:val="Heading3"/>
        <w:numPr>
          <w:ilvl w:val="2"/>
          <w:numId w:val="8"/>
        </w:numPr>
        <w:rPr>
          <w:lang w:eastAsia="en-US"/>
        </w:rPr>
      </w:pPr>
      <w:bookmarkStart w:id="71" w:name="_Toc42159193"/>
      <w:bookmarkStart w:id="72" w:name="_Toc42549429"/>
      <w:r w:rsidRPr="005970E9">
        <w:lastRenderedPageBreak/>
        <w:t>Índice de Paridad Política</w:t>
      </w:r>
      <w:bookmarkEnd w:id="71"/>
      <w:bookmarkEnd w:id="72"/>
    </w:p>
    <w:p w14:paraId="49138333" w14:textId="4E249E2A" w:rsidR="0089726B" w:rsidRPr="005970E9" w:rsidRDefault="0089726B" w:rsidP="0089726B">
      <w:pPr>
        <w:pStyle w:val="Default"/>
        <w:spacing w:before="120" w:after="120" w:line="276" w:lineRule="auto"/>
        <w:jc w:val="both"/>
        <w:rPr>
          <w:rFonts w:ascii="Century Schoolbook" w:hAnsi="Century Schoolbook" w:cs="Calibri"/>
          <w:b/>
          <w:bCs/>
          <w:sz w:val="22"/>
          <w:szCs w:val="22"/>
        </w:rPr>
      </w:pPr>
      <w:r w:rsidRPr="005970E9">
        <w:rPr>
          <w:rFonts w:ascii="Century Schoolbook" w:hAnsi="Century Schoolbook" w:cs="Myriad Pro"/>
          <w:sz w:val="22"/>
          <w:szCs w:val="22"/>
        </w:rPr>
        <w:t xml:space="preserve">El Índice de Paridad Política (IPP) del Mecanismo de Aceleración </w:t>
      </w:r>
      <w:r w:rsidRPr="005970E9">
        <w:rPr>
          <w:rFonts w:ascii="Century Schoolbook" w:hAnsi="Century Schoolbook" w:cs="Myriad Pro"/>
          <w:i/>
          <w:iCs/>
          <w:sz w:val="22"/>
          <w:szCs w:val="22"/>
        </w:rPr>
        <w:t>ATENEA</w:t>
      </w:r>
      <w:r w:rsidRPr="005970E9">
        <w:rPr>
          <w:rFonts w:ascii="Century Schoolbook" w:hAnsi="Century Schoolbook" w:cs="Myriad Pro"/>
          <w:sz w:val="22"/>
          <w:szCs w:val="22"/>
        </w:rPr>
        <w:t xml:space="preserve">, se aplicó en Panamá en el 2014 como herramienta de </w:t>
      </w:r>
      <w:commentRangeStart w:id="73"/>
      <w:r w:rsidRPr="005970E9">
        <w:rPr>
          <w:rFonts w:ascii="Century Schoolbook" w:hAnsi="Century Schoolbook" w:cs="Myriad Pro"/>
          <w:sz w:val="22"/>
          <w:szCs w:val="22"/>
        </w:rPr>
        <w:t>información</w:t>
      </w:r>
      <w:commentRangeEnd w:id="73"/>
      <w:r w:rsidRPr="005970E9">
        <w:rPr>
          <w:rStyle w:val="CommentReference"/>
          <w:rFonts w:ascii="Century Schoolbook" w:hAnsi="Century Schoolbook"/>
        </w:rPr>
        <w:commentReference w:id="73"/>
      </w:r>
      <w:r w:rsidR="00B759DA" w:rsidRPr="005970E9">
        <w:rPr>
          <w:rFonts w:ascii="Century Schoolbook" w:hAnsi="Century Schoolbook" w:cs="Myriad Pro"/>
          <w:sz w:val="22"/>
          <w:szCs w:val="22"/>
        </w:rPr>
        <w:t xml:space="preserve"> p</w:t>
      </w:r>
      <w:r w:rsidR="00B759DA" w:rsidRPr="005970E9">
        <w:rPr>
          <w:rFonts w:ascii="Century Schoolbook" w:hAnsi="Century Schoolbook"/>
        </w:rPr>
        <w:t>ara la acción y toma de decisiones, para lo cual se hicieron reuniones con múltiples actores y se elaboraron hojas de ruta estratégica para avanzar en la paridad y la democracia inclusiva</w:t>
      </w:r>
      <w:r w:rsidR="00FB767F" w:rsidRPr="005970E9">
        <w:rPr>
          <w:rFonts w:ascii="Century Schoolbook" w:hAnsi="Century Schoolbook"/>
        </w:rPr>
        <w:t>,</w:t>
      </w:r>
      <w:r w:rsidRPr="005970E9">
        <w:rPr>
          <w:rFonts w:ascii="Century Schoolbook" w:hAnsi="Century Schoolbook" w:cs="Myriad Pro"/>
          <w:sz w:val="22"/>
          <w:szCs w:val="22"/>
        </w:rPr>
        <w:t xml:space="preserve"> </w:t>
      </w:r>
      <w:r w:rsidR="00FB767F" w:rsidRPr="005970E9">
        <w:rPr>
          <w:rFonts w:ascii="Century Schoolbook" w:hAnsi="Century Schoolbook" w:cs="Myriad Pro"/>
          <w:sz w:val="22"/>
          <w:szCs w:val="22"/>
        </w:rPr>
        <w:t>d</w:t>
      </w:r>
      <w:r w:rsidRPr="005970E9">
        <w:rPr>
          <w:rFonts w:ascii="Century Schoolbook" w:hAnsi="Century Schoolbook" w:cs="Myriad Pro"/>
          <w:sz w:val="22"/>
          <w:szCs w:val="22"/>
        </w:rPr>
        <w:t xml:space="preserve">esde este Mecanismo de Aceleración </w:t>
      </w:r>
      <w:r w:rsidRPr="005970E9">
        <w:rPr>
          <w:rFonts w:ascii="Century Schoolbook" w:hAnsi="Century Schoolbook" w:cs="Myriad Pro"/>
          <w:i/>
          <w:iCs/>
          <w:color w:val="00000A"/>
          <w:sz w:val="22"/>
          <w:szCs w:val="22"/>
        </w:rPr>
        <w:t>ATENEA</w:t>
      </w:r>
      <w:r w:rsidRPr="005970E9">
        <w:rPr>
          <w:rFonts w:ascii="Century Schoolbook" w:hAnsi="Century Schoolbook" w:cs="Myriad Pro"/>
          <w:sz w:val="22"/>
          <w:szCs w:val="22"/>
        </w:rPr>
        <w:t xml:space="preserve"> </w:t>
      </w:r>
      <w:r w:rsidRPr="005970E9">
        <w:rPr>
          <w:rFonts w:ascii="Century Schoolbook" w:hAnsi="Century Schoolbook" w:cs="Myriad Pro"/>
          <w:color w:val="00000A"/>
          <w:sz w:val="22"/>
          <w:szCs w:val="22"/>
        </w:rPr>
        <w:t xml:space="preserve">se utiliza el concepto de “paridad estricta”; o sea, 50%-50% de presencia para ambos sexos. </w:t>
      </w:r>
      <w:r w:rsidRPr="005970E9">
        <w:rPr>
          <w:rFonts w:ascii="Century Schoolbook" w:hAnsi="Century Schoolbook" w:cs="Myriad Pro"/>
          <w:sz w:val="22"/>
          <w:szCs w:val="22"/>
        </w:rPr>
        <w:t xml:space="preserve">Este Índice de Paridad Política se define como: </w:t>
      </w:r>
      <w:r w:rsidRPr="005970E9">
        <w:rPr>
          <w:rFonts w:ascii="Century Schoolbook" w:hAnsi="Century Schoolbook" w:cs="Myriad Pro"/>
          <w:i/>
          <w:iCs/>
          <w:sz w:val="22"/>
          <w:szCs w:val="22"/>
        </w:rPr>
        <w:t>“El derecho (...) al acceso y la plena participación en la vida política y pública lo que implica un ejercicio real y efectivo del poder político, así como del proceso de toma de decisiones en todas las esferas de la vida pública y política en igualdad de condiciones con los hombres y sin discriminación de ningún tipo” (</w:t>
      </w:r>
      <w:r w:rsidRPr="005970E9">
        <w:rPr>
          <w:rStyle w:val="A1"/>
          <w:rFonts w:ascii="Century Schoolbook" w:hAnsi="Century Schoolbook"/>
          <w:b w:val="0"/>
          <w:bCs w:val="0"/>
          <w:sz w:val="22"/>
          <w:szCs w:val="22"/>
        </w:rPr>
        <w:t>PNUD-ONUMUJERES-IDEA.  2015. Pág. 10)</w:t>
      </w:r>
      <w:r w:rsidR="00EC2A14" w:rsidRPr="005970E9">
        <w:rPr>
          <w:rStyle w:val="A1"/>
          <w:rFonts w:ascii="Century Schoolbook" w:hAnsi="Century Schoolbook"/>
          <w:b w:val="0"/>
          <w:bCs w:val="0"/>
          <w:sz w:val="22"/>
          <w:szCs w:val="22"/>
        </w:rPr>
        <w:t>.</w:t>
      </w:r>
      <w:r w:rsidRPr="005970E9">
        <w:rPr>
          <w:rStyle w:val="A1"/>
          <w:rFonts w:ascii="Century Schoolbook" w:hAnsi="Century Schoolbook"/>
          <w:b w:val="0"/>
          <w:bCs w:val="0"/>
          <w:sz w:val="22"/>
          <w:szCs w:val="22"/>
        </w:rPr>
        <w:t xml:space="preserve"> </w:t>
      </w:r>
    </w:p>
    <w:p w14:paraId="0C9D05A3" w14:textId="4A79F5F3" w:rsidR="0089726B" w:rsidRPr="005970E9" w:rsidRDefault="0089726B" w:rsidP="0089726B">
      <w:pPr>
        <w:pStyle w:val="Pa6"/>
        <w:spacing w:before="120" w:after="120" w:line="276" w:lineRule="auto"/>
        <w:jc w:val="both"/>
        <w:rPr>
          <w:rFonts w:ascii="Century Schoolbook" w:hAnsi="Century Schoolbook" w:cs="Myriad Pro"/>
          <w:b/>
          <w:bCs/>
          <w:color w:val="000000"/>
          <w:sz w:val="22"/>
          <w:szCs w:val="22"/>
        </w:rPr>
      </w:pPr>
      <w:r w:rsidRPr="005970E9">
        <w:rPr>
          <w:rFonts w:ascii="Century Schoolbook" w:hAnsi="Century Schoolbook" w:cs="Myriad Pro"/>
          <w:color w:val="000000"/>
          <w:sz w:val="22"/>
          <w:szCs w:val="22"/>
        </w:rPr>
        <w:t>El diagnóstico del IPP demostró que las panameñas viven una gran desigualdad como consecuencia, entre otros factores, de la debilidad legal sobre derechos humanos, lo que ha influido en los indicadores de derechos políticos de las mujeres donde el país obtuvo un puntaje global de 37 sobre 100</w:t>
      </w:r>
      <w:r w:rsidR="00E66625" w:rsidRPr="005970E9">
        <w:rPr>
          <w:rFonts w:ascii="Century Schoolbook" w:hAnsi="Century Schoolbook" w:cs="Myriad Pro"/>
          <w:color w:val="000000"/>
          <w:sz w:val="22"/>
          <w:szCs w:val="22"/>
        </w:rPr>
        <w:t xml:space="preserve"> </w:t>
      </w:r>
      <w:r w:rsidR="00AF7998" w:rsidRPr="005970E9">
        <w:rPr>
          <w:rFonts w:ascii="Century Schoolbook" w:hAnsi="Century Schoolbook" w:cs="Myriad Pro"/>
          <w:color w:val="000000"/>
          <w:sz w:val="22"/>
          <w:szCs w:val="22"/>
        </w:rPr>
        <w:t>(tabla 2)</w:t>
      </w:r>
      <w:r w:rsidRPr="005970E9">
        <w:rPr>
          <w:rFonts w:ascii="Century Schoolbook" w:hAnsi="Century Schoolbook" w:cs="Myriad Pro"/>
          <w:color w:val="000000"/>
          <w:sz w:val="22"/>
          <w:szCs w:val="22"/>
        </w:rPr>
        <w:t>. El índice se midió a través de 8 dimensiones y 40 indicadores. El puntaje más alto se obtuvo en la dimensión II (</w:t>
      </w:r>
      <w:r w:rsidRPr="005970E9">
        <w:rPr>
          <w:rStyle w:val="A6"/>
          <w:rFonts w:ascii="Century Schoolbook" w:hAnsi="Century Schoolbook"/>
          <w:b w:val="0"/>
          <w:bCs w:val="0"/>
          <w:sz w:val="22"/>
          <w:szCs w:val="22"/>
        </w:rPr>
        <w:t>Ejercicio del derecho al sufragio)</w:t>
      </w:r>
      <w:r w:rsidRPr="005970E9">
        <w:rPr>
          <w:rStyle w:val="A6"/>
          <w:rFonts w:ascii="Century Schoolbook" w:hAnsi="Century Schoolbook"/>
          <w:sz w:val="22"/>
          <w:szCs w:val="22"/>
        </w:rPr>
        <w:t xml:space="preserve"> </w:t>
      </w:r>
      <w:r w:rsidRPr="005970E9">
        <w:rPr>
          <w:rFonts w:ascii="Century Schoolbook" w:hAnsi="Century Schoolbook" w:cs="Myriad Pro"/>
          <w:color w:val="000000"/>
          <w:sz w:val="22"/>
          <w:szCs w:val="22"/>
        </w:rPr>
        <w:t>con una puntuación de 80 debido a los importantes niveles de ejercicio del voto que se registraron (</w:t>
      </w:r>
      <w:r w:rsidRPr="005970E9">
        <w:rPr>
          <w:rStyle w:val="A1"/>
          <w:rFonts w:ascii="Century Schoolbook" w:hAnsi="Century Schoolbook"/>
          <w:b w:val="0"/>
          <w:bCs w:val="0"/>
          <w:sz w:val="22"/>
          <w:szCs w:val="22"/>
        </w:rPr>
        <w:t>PNUD-ONUMUJERES-IDEA</w:t>
      </w:r>
      <w:r w:rsidR="003A226B" w:rsidRPr="005970E9">
        <w:rPr>
          <w:rStyle w:val="A1"/>
          <w:rFonts w:ascii="Century Schoolbook" w:hAnsi="Century Schoolbook"/>
          <w:b w:val="0"/>
          <w:bCs w:val="0"/>
          <w:sz w:val="22"/>
          <w:szCs w:val="22"/>
        </w:rPr>
        <w:t>,</w:t>
      </w:r>
      <w:r w:rsidRPr="005970E9">
        <w:rPr>
          <w:rStyle w:val="Ancladenotaalpie"/>
          <w:rFonts w:ascii="Century Schoolbook" w:hAnsi="Century Schoolbook" w:cs="Myriad Pro"/>
          <w:color w:val="000000"/>
          <w:sz w:val="22"/>
          <w:szCs w:val="22"/>
          <w:vertAlign w:val="baseline"/>
        </w:rPr>
        <w:t xml:space="preserve"> 2015. Pág. 10)</w:t>
      </w:r>
      <w:r w:rsidR="003A226B" w:rsidRPr="005970E9">
        <w:rPr>
          <w:rStyle w:val="Ancladenotaalpie"/>
          <w:rFonts w:ascii="Century Schoolbook" w:hAnsi="Century Schoolbook" w:cs="Myriad Pro"/>
          <w:b/>
          <w:bCs/>
          <w:color w:val="000000"/>
          <w:sz w:val="22"/>
          <w:szCs w:val="22"/>
          <w:vertAlign w:val="baseline"/>
        </w:rPr>
        <w:t>.</w:t>
      </w:r>
    </w:p>
    <w:p w14:paraId="7EEDE3FA" w14:textId="081AEA2F" w:rsidR="0089726B" w:rsidRPr="005970E9" w:rsidRDefault="0089726B" w:rsidP="0089726B">
      <w:pPr>
        <w:spacing w:before="120" w:after="120" w:line="276" w:lineRule="auto"/>
        <w:jc w:val="both"/>
        <w:rPr>
          <w:rFonts w:cs="Myriad Pro"/>
          <w:color w:val="000000"/>
        </w:rPr>
      </w:pPr>
      <w:r w:rsidRPr="005970E9">
        <w:rPr>
          <w:color w:val="000000" w:themeColor="text1"/>
        </w:rPr>
        <w:t>La recopilación de datos para la dimensión I (</w:t>
      </w:r>
      <w:r w:rsidRPr="005970E9">
        <w:rPr>
          <w:rStyle w:val="A6"/>
          <w:b w:val="0"/>
          <w:bCs w:val="0"/>
          <w:sz w:val="22"/>
          <w:szCs w:val="22"/>
        </w:rPr>
        <w:t>Compromisos nacionales con la igualdad en la constitución y el marco legal)</w:t>
      </w:r>
      <w:r w:rsidRPr="005970E9">
        <w:rPr>
          <w:color w:val="000000" w:themeColor="text1"/>
        </w:rPr>
        <w:t xml:space="preserve">, </w:t>
      </w:r>
      <w:r w:rsidR="00B759DA" w:rsidRPr="005970E9">
        <w:rPr>
          <w:color w:val="000000" w:themeColor="text1"/>
        </w:rPr>
        <w:t>constató</w:t>
      </w:r>
      <w:r w:rsidRPr="005970E9">
        <w:rPr>
          <w:color w:val="000000" w:themeColor="text1"/>
        </w:rPr>
        <w:t>, que el Estado panameño no ha suscrito ni ratificado la Convención sobre los Derechos Políticos de la Mujer (1952)</w:t>
      </w:r>
      <w:r w:rsidR="0060139E" w:rsidRPr="005970E9">
        <w:rPr>
          <w:color w:val="000000" w:themeColor="text1"/>
        </w:rPr>
        <w:t>,</w:t>
      </w:r>
      <w:r w:rsidR="0060139E" w:rsidRPr="005970E9">
        <w:rPr>
          <w:rStyle w:val="FootnoteReference"/>
          <w:color w:val="000000" w:themeColor="text1"/>
        </w:rPr>
        <w:footnoteReference w:id="23"/>
      </w:r>
      <w:r w:rsidRPr="005970E9">
        <w:rPr>
          <w:color w:val="000000" w:themeColor="text1"/>
        </w:rPr>
        <w:t xml:space="preserve"> por lo que, solo se pud</w:t>
      </w:r>
      <w:r w:rsidR="003A226B" w:rsidRPr="005970E9">
        <w:rPr>
          <w:color w:val="000000" w:themeColor="text1"/>
        </w:rPr>
        <w:t>ieron</w:t>
      </w:r>
      <w:r w:rsidRPr="005970E9">
        <w:rPr>
          <w:color w:val="000000" w:themeColor="text1"/>
        </w:rPr>
        <w:t xml:space="preserve"> medir las condiciones formales mínimas que brinda el país para garantizar la igualdad de las mujeres en su derecho a la participación política. Panamá alcanzó un puntaje de 40 en esta dimensión, que tenía indicadores importantes a nivel constitucional y determinadas leyes (igualdad, acceso a una vida libre de violencia y contra la discriminación). Estos resultados muestran que el país tiene un marco legal básico para promover los derechos humanos de las mujeres, pero aún faltan por resolver muchos indicadores </w:t>
      </w:r>
      <w:r w:rsidR="003E6CE9" w:rsidRPr="005970E9">
        <w:rPr>
          <w:rFonts w:cs="Myriad Pro"/>
          <w:color w:val="000000"/>
        </w:rPr>
        <w:t>(</w:t>
      </w:r>
      <w:r w:rsidR="003E6CE9" w:rsidRPr="005970E9">
        <w:rPr>
          <w:rStyle w:val="A1"/>
          <w:b w:val="0"/>
          <w:bCs w:val="0"/>
          <w:sz w:val="22"/>
          <w:szCs w:val="22"/>
        </w:rPr>
        <w:t>PNUD-ONUMUJERES-IDEA,</w:t>
      </w:r>
      <w:r w:rsidR="003E6CE9" w:rsidRPr="005970E9">
        <w:rPr>
          <w:rStyle w:val="Ancladenotaalpie"/>
          <w:rFonts w:cs="Myriad Pro"/>
          <w:color w:val="000000"/>
          <w:vertAlign w:val="baseline"/>
        </w:rPr>
        <w:t xml:space="preserve"> 2015. Pág. 20)</w:t>
      </w:r>
      <w:r w:rsidR="003E6CE9" w:rsidRPr="005970E9">
        <w:rPr>
          <w:rStyle w:val="Ancladenotaalpie"/>
          <w:rFonts w:cs="Myriad Pro"/>
          <w:b/>
          <w:bCs/>
          <w:color w:val="000000"/>
          <w:vertAlign w:val="baseline"/>
        </w:rPr>
        <w:t>.</w:t>
      </w:r>
    </w:p>
    <w:p w14:paraId="074FDCA5" w14:textId="10AC2FF1" w:rsidR="0089726B" w:rsidRPr="005970E9" w:rsidRDefault="0089726B" w:rsidP="0089726B">
      <w:pPr>
        <w:pStyle w:val="FootnoteText"/>
        <w:spacing w:line="276" w:lineRule="auto"/>
        <w:jc w:val="both"/>
        <w:rPr>
          <w:rFonts w:ascii="Century Schoolbook" w:hAnsi="Century Schoolbook"/>
          <w:sz w:val="22"/>
          <w:szCs w:val="22"/>
        </w:rPr>
      </w:pPr>
      <w:r w:rsidRPr="005970E9">
        <w:rPr>
          <w:rFonts w:ascii="Century Schoolbook" w:hAnsi="Century Schoolbook" w:cs="Myriad Pro"/>
          <w:color w:val="000000"/>
          <w:sz w:val="22"/>
          <w:szCs w:val="22"/>
        </w:rPr>
        <w:t>Como se observa en la tabla siguiente, existen varias dimensiones con importantes carencias: Poder Judicial y Poder Electoral (ausencia total de mujeres magistradas e inexistencia de mecanismos de género en el órgano jurisdiccional electoral); Poder Legislativo (escasa presencia de mujeres en las nominaciones electorales y cargos electos a nivel legislativo, ausencia en los puestos de mayor poder parlamentario y la inexistencia de algunas condiciones para facilitar el ejercicio de su función); Gobierno local-municipal</w:t>
      </w:r>
      <w:r w:rsidRPr="005970E9">
        <w:rPr>
          <w:rFonts w:ascii="Century Schoolbook" w:hAnsi="Century Schoolbook" w:cs="Myriad Pro"/>
          <w:b/>
          <w:bCs/>
          <w:color w:val="000000"/>
          <w:sz w:val="22"/>
          <w:szCs w:val="22"/>
        </w:rPr>
        <w:t xml:space="preserve"> </w:t>
      </w:r>
      <w:r w:rsidRPr="005970E9">
        <w:rPr>
          <w:rFonts w:ascii="Century Schoolbook" w:hAnsi="Century Schoolbook" w:cs="Myriad Pro"/>
          <w:color w:val="000000"/>
          <w:sz w:val="22"/>
          <w:szCs w:val="22"/>
        </w:rPr>
        <w:t xml:space="preserve">(escasos porcentajes de mujeres en los cargos respectivos a nivel local);  </w:t>
      </w:r>
      <w:r w:rsidRPr="005970E9">
        <w:rPr>
          <w:rFonts w:ascii="Century Schoolbook" w:hAnsi="Century Schoolbook" w:cs="Myriad Pro"/>
          <w:color w:val="000000"/>
          <w:sz w:val="22"/>
          <w:szCs w:val="22"/>
        </w:rPr>
        <w:lastRenderedPageBreak/>
        <w:t>Compromisos nacionales con la igualdad en la Constitución y el marco legal</w:t>
      </w:r>
      <w:r w:rsidRPr="005970E9">
        <w:rPr>
          <w:rFonts w:ascii="Century Schoolbook" w:hAnsi="Century Schoolbook" w:cs="Myriad Pro"/>
          <w:b/>
          <w:bCs/>
          <w:color w:val="000000"/>
          <w:sz w:val="22"/>
          <w:szCs w:val="22"/>
        </w:rPr>
        <w:t xml:space="preserve"> </w:t>
      </w:r>
      <w:r w:rsidRPr="005970E9">
        <w:rPr>
          <w:rFonts w:ascii="Century Schoolbook" w:hAnsi="Century Schoolbook" w:cs="Myriad Pro"/>
          <w:color w:val="000000"/>
          <w:sz w:val="22"/>
          <w:szCs w:val="22"/>
        </w:rPr>
        <w:t>(inexistencia de una normativa específica o de la regulación deficitaria en algunos temas clave); y Cuota/Paridad</w:t>
      </w:r>
      <w:r w:rsidRPr="005970E9">
        <w:rPr>
          <w:rFonts w:ascii="Century Schoolbook" w:hAnsi="Century Schoolbook" w:cs="Myriad Pro"/>
          <w:b/>
          <w:bCs/>
          <w:color w:val="000000"/>
          <w:sz w:val="22"/>
          <w:szCs w:val="22"/>
        </w:rPr>
        <w:t xml:space="preserve"> </w:t>
      </w:r>
      <w:r w:rsidRPr="005970E9">
        <w:rPr>
          <w:rFonts w:ascii="Century Schoolbook" w:hAnsi="Century Schoolbook" w:cs="Myriad Pro"/>
          <w:color w:val="000000"/>
          <w:sz w:val="22"/>
          <w:szCs w:val="22"/>
        </w:rPr>
        <w:t>(débil diseño de las medidas aprobadas para incorporar mujeres en las nominaciones a cargos de elección, tanto en la contienda electoral como en los cargos electos) (</w:t>
      </w:r>
      <w:r w:rsidRPr="005970E9">
        <w:rPr>
          <w:rFonts w:ascii="Century Schoolbook" w:hAnsi="Century Schoolbook"/>
          <w:sz w:val="22"/>
          <w:szCs w:val="22"/>
        </w:rPr>
        <w:t>Ibidem. Pág. 15)</w:t>
      </w:r>
      <w:r w:rsidR="00FB767F" w:rsidRPr="005970E9">
        <w:rPr>
          <w:rFonts w:ascii="Century Schoolbook" w:hAnsi="Century Schoolbook"/>
          <w:sz w:val="22"/>
          <w:szCs w:val="22"/>
        </w:rPr>
        <w:t>.</w:t>
      </w:r>
    </w:p>
    <w:p w14:paraId="5AFDC6D2" w14:textId="6CF971FF" w:rsidR="0089726B" w:rsidRPr="005970E9" w:rsidRDefault="008A61AF" w:rsidP="00306AE3">
      <w:pPr>
        <w:pStyle w:val="Caption"/>
        <w:rPr>
          <w:rFonts w:ascii="Century Schoolbook" w:hAnsi="Century Schoolbook" w:cs="TimesNewRoman"/>
          <w:i w:val="0"/>
          <w:iCs w:val="0"/>
        </w:rPr>
      </w:pPr>
      <w:bookmarkStart w:id="74" w:name="_Toc42549196"/>
      <w:r w:rsidRPr="005970E9">
        <w:rPr>
          <w:rFonts w:ascii="Century Schoolbook" w:hAnsi="Century Schoolbook"/>
          <w:i w:val="0"/>
          <w:iCs w:val="0"/>
        </w:rPr>
        <w:t>Tabla</w:t>
      </w:r>
      <w:r w:rsidR="00306AE3" w:rsidRPr="005970E9">
        <w:rPr>
          <w:rFonts w:ascii="Century Schoolbook" w:hAnsi="Century Schoolbook"/>
          <w:i w:val="0"/>
          <w:iCs w:val="0"/>
        </w:rPr>
        <w:t xml:space="preserve"> </w:t>
      </w:r>
      <w:r w:rsidRPr="005970E9">
        <w:rPr>
          <w:rFonts w:ascii="Century Schoolbook" w:hAnsi="Century Schoolbook"/>
          <w:i w:val="0"/>
          <w:iCs w:val="0"/>
        </w:rPr>
        <w:fldChar w:fldCharType="begin"/>
      </w:r>
      <w:r w:rsidRPr="005970E9">
        <w:rPr>
          <w:rFonts w:ascii="Century Schoolbook" w:hAnsi="Century Schoolbook"/>
          <w:i w:val="0"/>
          <w:iCs w:val="0"/>
        </w:rPr>
        <w:instrText>SEQ Tabla \* ARABIC</w:instrText>
      </w:r>
      <w:r w:rsidRPr="005970E9">
        <w:rPr>
          <w:rFonts w:ascii="Century Schoolbook" w:hAnsi="Century Schoolbook"/>
          <w:i w:val="0"/>
          <w:iCs w:val="0"/>
        </w:rPr>
        <w:fldChar w:fldCharType="separate"/>
      </w:r>
      <w:r w:rsidR="009D1829" w:rsidRPr="005970E9">
        <w:rPr>
          <w:rFonts w:ascii="Century Schoolbook" w:hAnsi="Century Schoolbook"/>
          <w:i w:val="0"/>
          <w:iCs w:val="0"/>
          <w:noProof/>
        </w:rPr>
        <w:t>2</w:t>
      </w:r>
      <w:r w:rsidRPr="005970E9">
        <w:rPr>
          <w:rFonts w:ascii="Century Schoolbook" w:hAnsi="Century Schoolbook"/>
          <w:i w:val="0"/>
          <w:iCs w:val="0"/>
        </w:rPr>
        <w:fldChar w:fldCharType="end"/>
      </w:r>
      <w:r w:rsidR="003A226B" w:rsidRPr="005970E9">
        <w:rPr>
          <w:rFonts w:ascii="Century Schoolbook" w:hAnsi="Century Schoolbook"/>
          <w:i w:val="0"/>
          <w:iCs w:val="0"/>
        </w:rPr>
        <w:t xml:space="preserve">. </w:t>
      </w:r>
      <w:r w:rsidR="0089726B" w:rsidRPr="005970E9">
        <w:rPr>
          <w:rFonts w:ascii="Century Schoolbook" w:hAnsi="Century Schoolbook" w:cs="Myriad Pro"/>
          <w:i w:val="0"/>
          <w:iCs w:val="0"/>
          <w:color w:val="000000"/>
        </w:rPr>
        <w:t>Resultados de la aplicación del Índice de Paridad Política en Panamá, por dimensión y puntaje. 2014</w:t>
      </w:r>
      <w:bookmarkEnd w:id="74"/>
    </w:p>
    <w:tbl>
      <w:tblPr>
        <w:tblW w:w="9016" w:type="dxa"/>
        <w:jc w:val="center"/>
        <w:tblLook w:val="04A0" w:firstRow="1" w:lastRow="0" w:firstColumn="1" w:lastColumn="0" w:noHBand="0" w:noVBand="1"/>
      </w:tblPr>
      <w:tblGrid>
        <w:gridCol w:w="6658"/>
        <w:gridCol w:w="2358"/>
      </w:tblGrid>
      <w:tr w:rsidR="0089726B" w:rsidRPr="005970E9" w14:paraId="0D2FEDA3" w14:textId="77777777" w:rsidTr="00BB345F">
        <w:trPr>
          <w:trHeight w:val="366"/>
          <w:jc w:val="center"/>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14:paraId="5FBD89B9" w14:textId="77777777" w:rsidR="00BB345F" w:rsidRPr="005970E9" w:rsidRDefault="0089726B">
            <w:pPr>
              <w:tabs>
                <w:tab w:val="left" w:pos="567"/>
              </w:tabs>
              <w:spacing w:after="80"/>
              <w:rPr>
                <w:rFonts w:eastAsia="Times New Roman"/>
                <w:b/>
                <w:bCs/>
                <w:spacing w:val="-2"/>
                <w:lang w:val="es-GT"/>
              </w:rPr>
            </w:pPr>
            <w:r w:rsidRPr="005970E9">
              <w:rPr>
                <w:rFonts w:eastAsia="Times New Roman"/>
                <w:b/>
                <w:bCs/>
                <w:spacing w:val="-2"/>
                <w:lang w:val="es-GT"/>
              </w:rPr>
              <w:t>Dimensión</w:t>
            </w:r>
          </w:p>
          <w:p w14:paraId="54C14C91" w14:textId="5C2B6A95" w:rsidR="0089726B" w:rsidRPr="005970E9" w:rsidRDefault="00BB345F" w:rsidP="00716887">
            <w:pPr>
              <w:tabs>
                <w:tab w:val="left" w:pos="567"/>
              </w:tabs>
              <w:spacing w:after="80"/>
              <w:jc w:val="center"/>
              <w:rPr>
                <w:rFonts w:eastAsia="Times New Roman"/>
                <w:spacing w:val="-2"/>
                <w:sz w:val="20"/>
                <w:szCs w:val="20"/>
                <w:lang w:val="es-GT"/>
              </w:rPr>
            </w:pPr>
            <w:r w:rsidRPr="005970E9">
              <w:rPr>
                <w:rFonts w:eastAsia="Times New Roman"/>
                <w:spacing w:val="-2"/>
                <w:sz w:val="20"/>
                <w:szCs w:val="20"/>
                <w:lang w:val="es-GT"/>
              </w:rPr>
              <w:t>(</w:t>
            </w:r>
            <w:r w:rsidR="00716887" w:rsidRPr="005970E9">
              <w:rPr>
                <w:spacing w:val="-2"/>
                <w:sz w:val="20"/>
                <w:szCs w:val="20"/>
                <w:lang w:val="es-GT" w:eastAsia="es-MX"/>
              </w:rPr>
              <w:t>Para cada dimensión el total es de 100 puntos y se obtuvo mediante el cálculo especial de un grupo de indicadores. El número de indicadores era diferente para cada dimensión</w:t>
            </w:r>
            <w:r w:rsidRPr="005970E9">
              <w:rPr>
                <w:rFonts w:eastAsia="Times New Roman"/>
                <w:spacing w:val="-2"/>
                <w:sz w:val="20"/>
                <w:szCs w:val="20"/>
                <w:lang w:val="es-GT"/>
              </w:rPr>
              <w:t>)</w:t>
            </w:r>
            <w:r w:rsidR="006F50C2" w:rsidRPr="005970E9">
              <w:rPr>
                <w:rFonts w:eastAsia="Times New Roman"/>
                <w:spacing w:val="-2"/>
                <w:sz w:val="20"/>
                <w:szCs w:val="20"/>
                <w:lang w:val="es-GT"/>
              </w:rPr>
              <w:t>.</w:t>
            </w: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16A32E32" w14:textId="6009A30C" w:rsidR="0089726B" w:rsidRPr="005970E9" w:rsidRDefault="0089726B">
            <w:pPr>
              <w:tabs>
                <w:tab w:val="left" w:pos="567"/>
              </w:tabs>
              <w:spacing w:after="80"/>
              <w:jc w:val="center"/>
              <w:rPr>
                <w:rFonts w:eastAsia="Times New Roman"/>
                <w:b/>
                <w:bCs/>
                <w:spacing w:val="-2"/>
                <w:lang w:val="es-GT"/>
              </w:rPr>
            </w:pPr>
            <w:r w:rsidRPr="005970E9">
              <w:rPr>
                <w:rFonts w:eastAsia="Times New Roman"/>
                <w:b/>
                <w:bCs/>
                <w:spacing w:val="-2"/>
                <w:lang w:val="es-GT"/>
              </w:rPr>
              <w:t>Puntaje de</w:t>
            </w:r>
            <w:r w:rsidR="00FB767F" w:rsidRPr="005970E9">
              <w:rPr>
                <w:rFonts w:eastAsia="Times New Roman"/>
                <w:b/>
                <w:bCs/>
                <w:spacing w:val="-2"/>
                <w:lang w:val="es-GT"/>
              </w:rPr>
              <w:t>l índice en cada</w:t>
            </w:r>
            <w:r w:rsidRPr="005970E9">
              <w:rPr>
                <w:rFonts w:eastAsia="Times New Roman"/>
                <w:b/>
                <w:bCs/>
                <w:spacing w:val="-2"/>
                <w:lang w:val="es-GT"/>
              </w:rPr>
              <w:t xml:space="preserve"> dimensión</w:t>
            </w:r>
            <w:r w:rsidR="00FF49AB" w:rsidRPr="005970E9">
              <w:rPr>
                <w:rFonts w:eastAsia="Times New Roman"/>
                <w:b/>
                <w:bCs/>
                <w:spacing w:val="-2"/>
                <w:lang w:val="es-GT"/>
              </w:rPr>
              <w:t xml:space="preserve"> </w:t>
            </w:r>
          </w:p>
        </w:tc>
      </w:tr>
      <w:tr w:rsidR="0089726B" w:rsidRPr="005970E9" w14:paraId="2919F207" w14:textId="77777777" w:rsidTr="00BB345F">
        <w:trPr>
          <w:trHeight w:val="366"/>
          <w:jc w:val="center"/>
        </w:trPr>
        <w:tc>
          <w:tcPr>
            <w:tcW w:w="6658" w:type="dxa"/>
            <w:tcBorders>
              <w:top w:val="single" w:sz="4" w:space="0" w:color="auto"/>
              <w:left w:val="single" w:sz="4" w:space="0" w:color="auto"/>
              <w:bottom w:val="single" w:sz="4" w:space="0" w:color="auto"/>
              <w:right w:val="single" w:sz="4" w:space="0" w:color="auto"/>
            </w:tcBorders>
            <w:hideMark/>
          </w:tcPr>
          <w:p w14:paraId="02BC45E8" w14:textId="77777777" w:rsidR="0089726B" w:rsidRPr="005970E9" w:rsidRDefault="0089726B">
            <w:pPr>
              <w:pStyle w:val="Pa1"/>
              <w:jc w:val="both"/>
              <w:rPr>
                <w:rFonts w:ascii="Century Schoolbook" w:eastAsia="Times New Roman" w:hAnsi="Century Schoolbook"/>
                <w:b/>
                <w:bCs/>
                <w:spacing w:val="-2"/>
                <w:sz w:val="22"/>
                <w:szCs w:val="22"/>
              </w:rPr>
            </w:pPr>
            <w:r w:rsidRPr="005970E9">
              <w:rPr>
                <w:rStyle w:val="A6"/>
                <w:rFonts w:ascii="Century Schoolbook" w:hAnsi="Century Schoolbook"/>
                <w:b w:val="0"/>
                <w:bCs w:val="0"/>
                <w:sz w:val="22"/>
                <w:szCs w:val="22"/>
              </w:rPr>
              <w:t xml:space="preserve">I. Compromisos nacionales con la igualdad en la constitución y el marco legal </w:t>
            </w:r>
          </w:p>
        </w:tc>
        <w:tc>
          <w:tcPr>
            <w:tcW w:w="2358" w:type="dxa"/>
            <w:tcBorders>
              <w:top w:val="single" w:sz="4" w:space="0" w:color="auto"/>
              <w:left w:val="single" w:sz="4" w:space="0" w:color="auto"/>
              <w:bottom w:val="single" w:sz="4" w:space="0" w:color="auto"/>
              <w:right w:val="single" w:sz="4" w:space="0" w:color="auto"/>
            </w:tcBorders>
            <w:hideMark/>
          </w:tcPr>
          <w:p w14:paraId="0BD297E5" w14:textId="2AC9D6DE" w:rsidR="0089726B" w:rsidRPr="005970E9" w:rsidRDefault="0089726B" w:rsidP="00B87E70">
            <w:pPr>
              <w:tabs>
                <w:tab w:val="left" w:pos="567"/>
              </w:tabs>
              <w:spacing w:after="80"/>
              <w:jc w:val="right"/>
              <w:rPr>
                <w:rFonts w:eastAsia="Times New Roman"/>
                <w:spacing w:val="-2"/>
                <w:lang w:val="es-GT"/>
              </w:rPr>
            </w:pPr>
            <w:r w:rsidRPr="005970E9">
              <w:rPr>
                <w:rFonts w:eastAsia="Times New Roman"/>
                <w:spacing w:val="-2"/>
                <w:lang w:val="es-GT"/>
              </w:rPr>
              <w:t>40</w:t>
            </w:r>
            <w:r w:rsidR="00FB767F" w:rsidRPr="005970E9">
              <w:rPr>
                <w:rFonts w:eastAsia="Times New Roman"/>
                <w:spacing w:val="-2"/>
                <w:lang w:val="es-GT"/>
              </w:rPr>
              <w:t>%</w:t>
            </w:r>
          </w:p>
        </w:tc>
      </w:tr>
      <w:tr w:rsidR="0089726B" w:rsidRPr="005970E9" w14:paraId="110E7EC4" w14:textId="77777777" w:rsidTr="00BB345F">
        <w:trPr>
          <w:trHeight w:val="366"/>
          <w:jc w:val="center"/>
        </w:trPr>
        <w:tc>
          <w:tcPr>
            <w:tcW w:w="6658" w:type="dxa"/>
            <w:tcBorders>
              <w:top w:val="single" w:sz="4" w:space="0" w:color="auto"/>
              <w:left w:val="single" w:sz="4" w:space="0" w:color="auto"/>
              <w:bottom w:val="single" w:sz="4" w:space="0" w:color="auto"/>
              <w:right w:val="single" w:sz="4" w:space="0" w:color="auto"/>
            </w:tcBorders>
            <w:hideMark/>
          </w:tcPr>
          <w:p w14:paraId="6366CC1A" w14:textId="77777777" w:rsidR="0089726B" w:rsidRPr="005970E9" w:rsidRDefault="0089726B">
            <w:pPr>
              <w:pStyle w:val="Pa1"/>
              <w:jc w:val="both"/>
              <w:rPr>
                <w:rFonts w:ascii="Century Schoolbook" w:eastAsia="Times New Roman" w:hAnsi="Century Schoolbook"/>
                <w:b/>
                <w:bCs/>
                <w:spacing w:val="-2"/>
                <w:sz w:val="22"/>
                <w:szCs w:val="22"/>
                <w:lang w:val="es-GT"/>
              </w:rPr>
            </w:pPr>
            <w:r w:rsidRPr="005970E9">
              <w:rPr>
                <w:rStyle w:val="A6"/>
                <w:rFonts w:ascii="Century Schoolbook" w:hAnsi="Century Schoolbook"/>
                <w:b w:val="0"/>
                <w:bCs w:val="0"/>
                <w:sz w:val="22"/>
                <w:szCs w:val="22"/>
              </w:rPr>
              <w:t xml:space="preserve">II. Ejercicio del derecho al sufragio </w:t>
            </w:r>
          </w:p>
        </w:tc>
        <w:tc>
          <w:tcPr>
            <w:tcW w:w="2358" w:type="dxa"/>
            <w:tcBorders>
              <w:top w:val="single" w:sz="4" w:space="0" w:color="auto"/>
              <w:left w:val="single" w:sz="4" w:space="0" w:color="auto"/>
              <w:bottom w:val="single" w:sz="4" w:space="0" w:color="auto"/>
              <w:right w:val="single" w:sz="4" w:space="0" w:color="auto"/>
            </w:tcBorders>
            <w:hideMark/>
          </w:tcPr>
          <w:p w14:paraId="79B0DCAB" w14:textId="1C44D406" w:rsidR="0089726B" w:rsidRPr="005970E9" w:rsidRDefault="0089726B" w:rsidP="00B87E70">
            <w:pPr>
              <w:tabs>
                <w:tab w:val="left" w:pos="567"/>
              </w:tabs>
              <w:spacing w:after="80"/>
              <w:jc w:val="right"/>
              <w:rPr>
                <w:rFonts w:eastAsia="Times New Roman"/>
                <w:spacing w:val="-2"/>
                <w:lang w:val="es-GT"/>
              </w:rPr>
            </w:pPr>
            <w:r w:rsidRPr="005970E9">
              <w:rPr>
                <w:rFonts w:eastAsia="Times New Roman"/>
                <w:spacing w:val="-2"/>
                <w:lang w:val="es-GT"/>
              </w:rPr>
              <w:t>80</w:t>
            </w:r>
            <w:r w:rsidR="00FB767F" w:rsidRPr="005970E9">
              <w:rPr>
                <w:rFonts w:eastAsia="Times New Roman"/>
                <w:spacing w:val="-2"/>
                <w:lang w:val="es-GT"/>
              </w:rPr>
              <w:t>%</w:t>
            </w:r>
          </w:p>
        </w:tc>
      </w:tr>
      <w:tr w:rsidR="0089726B" w:rsidRPr="005970E9" w14:paraId="1D17F074" w14:textId="77777777" w:rsidTr="00BB345F">
        <w:trPr>
          <w:trHeight w:val="355"/>
          <w:jc w:val="center"/>
        </w:trPr>
        <w:tc>
          <w:tcPr>
            <w:tcW w:w="6658" w:type="dxa"/>
            <w:tcBorders>
              <w:top w:val="single" w:sz="4" w:space="0" w:color="auto"/>
              <w:left w:val="single" w:sz="4" w:space="0" w:color="auto"/>
              <w:bottom w:val="single" w:sz="4" w:space="0" w:color="auto"/>
              <w:right w:val="single" w:sz="4" w:space="0" w:color="auto"/>
            </w:tcBorders>
            <w:hideMark/>
          </w:tcPr>
          <w:p w14:paraId="7421D561" w14:textId="77777777" w:rsidR="0089726B" w:rsidRPr="005970E9" w:rsidRDefault="0089726B">
            <w:pPr>
              <w:pStyle w:val="Pa1"/>
              <w:jc w:val="both"/>
              <w:rPr>
                <w:rFonts w:ascii="Century Schoolbook" w:eastAsia="Times New Roman" w:hAnsi="Century Schoolbook"/>
                <w:b/>
                <w:bCs/>
                <w:spacing w:val="-2"/>
                <w:sz w:val="22"/>
                <w:szCs w:val="22"/>
                <w:lang w:val="es-GT"/>
              </w:rPr>
            </w:pPr>
            <w:r w:rsidRPr="005970E9">
              <w:rPr>
                <w:rStyle w:val="A6"/>
                <w:rFonts w:ascii="Century Schoolbook" w:hAnsi="Century Schoolbook"/>
                <w:b w:val="0"/>
                <w:bCs w:val="0"/>
                <w:sz w:val="22"/>
                <w:szCs w:val="22"/>
              </w:rPr>
              <w:t xml:space="preserve">III. Cuota/ paridad </w:t>
            </w:r>
          </w:p>
        </w:tc>
        <w:tc>
          <w:tcPr>
            <w:tcW w:w="2358" w:type="dxa"/>
            <w:tcBorders>
              <w:top w:val="single" w:sz="4" w:space="0" w:color="auto"/>
              <w:left w:val="single" w:sz="4" w:space="0" w:color="auto"/>
              <w:bottom w:val="single" w:sz="4" w:space="0" w:color="auto"/>
              <w:right w:val="single" w:sz="4" w:space="0" w:color="auto"/>
            </w:tcBorders>
            <w:hideMark/>
          </w:tcPr>
          <w:p w14:paraId="5103E293" w14:textId="1786A7B3" w:rsidR="0089726B" w:rsidRPr="005970E9" w:rsidRDefault="0089726B" w:rsidP="00B87E70">
            <w:pPr>
              <w:tabs>
                <w:tab w:val="left" w:pos="567"/>
              </w:tabs>
              <w:spacing w:after="80"/>
              <w:jc w:val="right"/>
              <w:rPr>
                <w:rFonts w:eastAsia="Times New Roman"/>
                <w:spacing w:val="-2"/>
                <w:lang w:val="es-GT"/>
              </w:rPr>
            </w:pPr>
            <w:r w:rsidRPr="005970E9">
              <w:rPr>
                <w:rFonts w:eastAsia="Times New Roman"/>
                <w:spacing w:val="-2"/>
                <w:lang w:val="es-GT"/>
              </w:rPr>
              <w:t>20</w:t>
            </w:r>
            <w:r w:rsidR="00FB767F" w:rsidRPr="005970E9">
              <w:rPr>
                <w:rFonts w:eastAsia="Times New Roman"/>
                <w:spacing w:val="-2"/>
                <w:lang w:val="es-GT"/>
              </w:rPr>
              <w:t>%</w:t>
            </w:r>
          </w:p>
        </w:tc>
      </w:tr>
      <w:tr w:rsidR="0089726B" w:rsidRPr="005970E9" w14:paraId="451A769D" w14:textId="77777777" w:rsidTr="00BB345F">
        <w:trPr>
          <w:trHeight w:val="366"/>
          <w:jc w:val="center"/>
        </w:trPr>
        <w:tc>
          <w:tcPr>
            <w:tcW w:w="6658" w:type="dxa"/>
            <w:tcBorders>
              <w:top w:val="single" w:sz="4" w:space="0" w:color="auto"/>
              <w:left w:val="single" w:sz="4" w:space="0" w:color="auto"/>
              <w:bottom w:val="single" w:sz="4" w:space="0" w:color="auto"/>
              <w:right w:val="single" w:sz="4" w:space="0" w:color="auto"/>
            </w:tcBorders>
            <w:hideMark/>
          </w:tcPr>
          <w:p w14:paraId="3A705DD2" w14:textId="77777777" w:rsidR="0089726B" w:rsidRPr="005970E9" w:rsidRDefault="0089726B">
            <w:pPr>
              <w:pStyle w:val="Pa1"/>
              <w:jc w:val="both"/>
              <w:rPr>
                <w:rFonts w:ascii="Century Schoolbook" w:eastAsia="Times New Roman" w:hAnsi="Century Schoolbook"/>
                <w:b/>
                <w:bCs/>
                <w:spacing w:val="-2"/>
                <w:sz w:val="22"/>
                <w:szCs w:val="22"/>
                <w:lang w:val="es-GT"/>
              </w:rPr>
            </w:pPr>
            <w:r w:rsidRPr="005970E9">
              <w:rPr>
                <w:rStyle w:val="A6"/>
                <w:rFonts w:ascii="Century Schoolbook" w:hAnsi="Century Schoolbook"/>
                <w:b w:val="0"/>
                <w:bCs w:val="0"/>
                <w:sz w:val="22"/>
                <w:szCs w:val="22"/>
              </w:rPr>
              <w:t xml:space="preserve">IV. Poder ejecutivo y administración pública </w:t>
            </w:r>
          </w:p>
        </w:tc>
        <w:tc>
          <w:tcPr>
            <w:tcW w:w="2358" w:type="dxa"/>
            <w:tcBorders>
              <w:top w:val="single" w:sz="4" w:space="0" w:color="auto"/>
              <w:left w:val="single" w:sz="4" w:space="0" w:color="auto"/>
              <w:bottom w:val="single" w:sz="4" w:space="0" w:color="auto"/>
              <w:right w:val="single" w:sz="4" w:space="0" w:color="auto"/>
            </w:tcBorders>
            <w:hideMark/>
          </w:tcPr>
          <w:p w14:paraId="03CC064D" w14:textId="68E9524A" w:rsidR="0089726B" w:rsidRPr="005970E9" w:rsidRDefault="0089726B" w:rsidP="00B87E70">
            <w:pPr>
              <w:tabs>
                <w:tab w:val="left" w:pos="567"/>
              </w:tabs>
              <w:spacing w:after="80"/>
              <w:jc w:val="right"/>
              <w:rPr>
                <w:rFonts w:eastAsia="Times New Roman"/>
                <w:spacing w:val="-2"/>
                <w:lang w:val="es-GT"/>
              </w:rPr>
            </w:pPr>
            <w:r w:rsidRPr="005970E9">
              <w:rPr>
                <w:rFonts w:eastAsia="Times New Roman"/>
                <w:spacing w:val="-2"/>
                <w:lang w:val="es-GT"/>
              </w:rPr>
              <w:t>53.8</w:t>
            </w:r>
            <w:r w:rsidR="00BB345F" w:rsidRPr="005970E9">
              <w:rPr>
                <w:rFonts w:eastAsia="Times New Roman"/>
                <w:spacing w:val="-2"/>
                <w:lang w:val="es-GT"/>
              </w:rPr>
              <w:t>%</w:t>
            </w:r>
          </w:p>
        </w:tc>
      </w:tr>
      <w:tr w:rsidR="0089726B" w:rsidRPr="005970E9" w14:paraId="32D6DB0F" w14:textId="77777777" w:rsidTr="00BB345F">
        <w:trPr>
          <w:trHeight w:val="366"/>
          <w:jc w:val="center"/>
        </w:trPr>
        <w:tc>
          <w:tcPr>
            <w:tcW w:w="6658" w:type="dxa"/>
            <w:tcBorders>
              <w:top w:val="single" w:sz="4" w:space="0" w:color="auto"/>
              <w:left w:val="single" w:sz="4" w:space="0" w:color="auto"/>
              <w:bottom w:val="single" w:sz="4" w:space="0" w:color="auto"/>
              <w:right w:val="single" w:sz="4" w:space="0" w:color="auto"/>
            </w:tcBorders>
            <w:hideMark/>
          </w:tcPr>
          <w:p w14:paraId="2345392F" w14:textId="77777777" w:rsidR="0089726B" w:rsidRPr="005970E9" w:rsidRDefault="0089726B">
            <w:pPr>
              <w:pStyle w:val="Pa1"/>
              <w:jc w:val="both"/>
              <w:rPr>
                <w:rFonts w:ascii="Century Schoolbook" w:eastAsia="Times New Roman" w:hAnsi="Century Schoolbook"/>
                <w:b/>
                <w:bCs/>
                <w:spacing w:val="-2"/>
                <w:sz w:val="22"/>
                <w:szCs w:val="22"/>
              </w:rPr>
            </w:pPr>
            <w:r w:rsidRPr="005970E9">
              <w:rPr>
                <w:rStyle w:val="A6"/>
                <w:rFonts w:ascii="Century Schoolbook" w:hAnsi="Century Schoolbook"/>
                <w:b w:val="0"/>
                <w:bCs w:val="0"/>
                <w:sz w:val="22"/>
                <w:szCs w:val="22"/>
              </w:rPr>
              <w:t xml:space="preserve">V. Poder legislativo (cámara baja/ única) </w:t>
            </w:r>
          </w:p>
        </w:tc>
        <w:tc>
          <w:tcPr>
            <w:tcW w:w="2358" w:type="dxa"/>
            <w:tcBorders>
              <w:top w:val="single" w:sz="4" w:space="0" w:color="auto"/>
              <w:left w:val="single" w:sz="4" w:space="0" w:color="auto"/>
              <w:bottom w:val="single" w:sz="4" w:space="0" w:color="auto"/>
              <w:right w:val="single" w:sz="4" w:space="0" w:color="auto"/>
            </w:tcBorders>
            <w:hideMark/>
          </w:tcPr>
          <w:p w14:paraId="31AF72E0" w14:textId="5A06DA7D" w:rsidR="0089726B" w:rsidRPr="005970E9" w:rsidRDefault="0089726B" w:rsidP="00B87E70">
            <w:pPr>
              <w:tabs>
                <w:tab w:val="left" w:pos="567"/>
              </w:tabs>
              <w:spacing w:after="80"/>
              <w:jc w:val="right"/>
              <w:rPr>
                <w:rFonts w:eastAsia="Times New Roman"/>
                <w:spacing w:val="-2"/>
                <w:lang w:val="es-GT"/>
              </w:rPr>
            </w:pPr>
            <w:r w:rsidRPr="005970E9">
              <w:rPr>
                <w:rFonts w:eastAsia="Times New Roman"/>
                <w:spacing w:val="-2"/>
                <w:lang w:val="es-GT"/>
              </w:rPr>
              <w:t>20.3</w:t>
            </w:r>
            <w:r w:rsidR="00BB345F" w:rsidRPr="005970E9">
              <w:rPr>
                <w:rFonts w:eastAsia="Times New Roman"/>
                <w:spacing w:val="-2"/>
                <w:lang w:val="es-GT"/>
              </w:rPr>
              <w:t>%</w:t>
            </w:r>
          </w:p>
        </w:tc>
      </w:tr>
      <w:tr w:rsidR="0089726B" w:rsidRPr="005970E9" w14:paraId="7C87CD90" w14:textId="77777777" w:rsidTr="00BB345F">
        <w:trPr>
          <w:trHeight w:val="366"/>
          <w:jc w:val="center"/>
        </w:trPr>
        <w:tc>
          <w:tcPr>
            <w:tcW w:w="6658" w:type="dxa"/>
            <w:tcBorders>
              <w:top w:val="single" w:sz="4" w:space="0" w:color="auto"/>
              <w:left w:val="single" w:sz="4" w:space="0" w:color="auto"/>
              <w:bottom w:val="single" w:sz="4" w:space="0" w:color="auto"/>
              <w:right w:val="single" w:sz="4" w:space="0" w:color="auto"/>
            </w:tcBorders>
            <w:hideMark/>
          </w:tcPr>
          <w:p w14:paraId="779EA690" w14:textId="77777777" w:rsidR="0089726B" w:rsidRPr="005970E9" w:rsidRDefault="0089726B">
            <w:pPr>
              <w:pStyle w:val="Pa1"/>
              <w:jc w:val="both"/>
              <w:rPr>
                <w:rStyle w:val="A6"/>
                <w:rFonts w:ascii="Century Schoolbook" w:hAnsi="Century Schoolbook"/>
                <w:b w:val="0"/>
                <w:bCs w:val="0"/>
                <w:sz w:val="22"/>
                <w:szCs w:val="22"/>
              </w:rPr>
            </w:pPr>
            <w:r w:rsidRPr="005970E9">
              <w:rPr>
                <w:rStyle w:val="A6"/>
                <w:rFonts w:ascii="Century Schoolbook" w:hAnsi="Century Schoolbook"/>
                <w:b w:val="0"/>
                <w:bCs w:val="0"/>
                <w:sz w:val="22"/>
                <w:szCs w:val="22"/>
              </w:rPr>
              <w:t xml:space="preserve">VI. Poder judicial y poder electoral </w:t>
            </w:r>
          </w:p>
        </w:tc>
        <w:tc>
          <w:tcPr>
            <w:tcW w:w="2358" w:type="dxa"/>
            <w:tcBorders>
              <w:top w:val="single" w:sz="4" w:space="0" w:color="auto"/>
              <w:left w:val="single" w:sz="4" w:space="0" w:color="auto"/>
              <w:bottom w:val="single" w:sz="4" w:space="0" w:color="auto"/>
              <w:right w:val="single" w:sz="4" w:space="0" w:color="auto"/>
            </w:tcBorders>
            <w:hideMark/>
          </w:tcPr>
          <w:p w14:paraId="1C68D388" w14:textId="77777777" w:rsidR="0089726B" w:rsidRPr="005970E9" w:rsidRDefault="0089726B" w:rsidP="00B87E70">
            <w:pPr>
              <w:tabs>
                <w:tab w:val="left" w:pos="567"/>
              </w:tabs>
              <w:spacing w:after="80"/>
              <w:jc w:val="right"/>
              <w:rPr>
                <w:rFonts w:eastAsia="Times New Roman"/>
                <w:spacing w:val="-2"/>
                <w:lang w:val="es-GT"/>
              </w:rPr>
            </w:pPr>
            <w:r w:rsidRPr="005970E9">
              <w:rPr>
                <w:rFonts w:eastAsia="Times New Roman"/>
                <w:spacing w:val="-2"/>
                <w:lang w:val="es-GT"/>
              </w:rPr>
              <w:t>0</w:t>
            </w:r>
          </w:p>
        </w:tc>
      </w:tr>
      <w:tr w:rsidR="0089726B" w:rsidRPr="005970E9" w14:paraId="4D42269C" w14:textId="77777777" w:rsidTr="00BB345F">
        <w:trPr>
          <w:trHeight w:val="366"/>
          <w:jc w:val="center"/>
        </w:trPr>
        <w:tc>
          <w:tcPr>
            <w:tcW w:w="6658" w:type="dxa"/>
            <w:tcBorders>
              <w:top w:val="single" w:sz="4" w:space="0" w:color="auto"/>
              <w:left w:val="single" w:sz="4" w:space="0" w:color="auto"/>
              <w:bottom w:val="single" w:sz="4" w:space="0" w:color="auto"/>
              <w:right w:val="single" w:sz="4" w:space="0" w:color="auto"/>
            </w:tcBorders>
            <w:hideMark/>
          </w:tcPr>
          <w:p w14:paraId="00E60042" w14:textId="77777777" w:rsidR="0089726B" w:rsidRPr="005970E9" w:rsidRDefault="0089726B">
            <w:pPr>
              <w:pStyle w:val="Pa1"/>
              <w:jc w:val="both"/>
              <w:rPr>
                <w:rStyle w:val="A6"/>
                <w:rFonts w:ascii="Century Schoolbook" w:hAnsi="Century Schoolbook"/>
                <w:b w:val="0"/>
                <w:bCs w:val="0"/>
                <w:sz w:val="22"/>
                <w:szCs w:val="22"/>
              </w:rPr>
            </w:pPr>
            <w:r w:rsidRPr="005970E9">
              <w:rPr>
                <w:rStyle w:val="A6"/>
                <w:rFonts w:ascii="Century Schoolbook" w:hAnsi="Century Schoolbook"/>
                <w:b w:val="0"/>
                <w:bCs w:val="0"/>
                <w:sz w:val="22"/>
                <w:szCs w:val="22"/>
              </w:rPr>
              <w:t xml:space="preserve">VII. Partidos políticos </w:t>
            </w:r>
          </w:p>
        </w:tc>
        <w:tc>
          <w:tcPr>
            <w:tcW w:w="2358" w:type="dxa"/>
            <w:tcBorders>
              <w:top w:val="single" w:sz="4" w:space="0" w:color="auto"/>
              <w:left w:val="single" w:sz="4" w:space="0" w:color="auto"/>
              <w:bottom w:val="single" w:sz="4" w:space="0" w:color="auto"/>
              <w:right w:val="single" w:sz="4" w:space="0" w:color="auto"/>
            </w:tcBorders>
            <w:hideMark/>
          </w:tcPr>
          <w:p w14:paraId="12A489AB" w14:textId="53F8E60B" w:rsidR="0089726B" w:rsidRPr="005970E9" w:rsidRDefault="0089726B" w:rsidP="00B87E70">
            <w:pPr>
              <w:tabs>
                <w:tab w:val="left" w:pos="567"/>
              </w:tabs>
              <w:spacing w:after="80"/>
              <w:jc w:val="right"/>
              <w:rPr>
                <w:rFonts w:eastAsia="Times New Roman"/>
                <w:spacing w:val="-2"/>
                <w:lang w:val="es-GT"/>
              </w:rPr>
            </w:pPr>
            <w:r w:rsidRPr="005970E9">
              <w:rPr>
                <w:rFonts w:eastAsia="Times New Roman"/>
                <w:spacing w:val="-2"/>
                <w:lang w:val="es-GT"/>
              </w:rPr>
              <w:t>55.6</w:t>
            </w:r>
            <w:r w:rsidR="00BB345F" w:rsidRPr="005970E9">
              <w:rPr>
                <w:rFonts w:eastAsia="Times New Roman"/>
                <w:spacing w:val="-2"/>
                <w:lang w:val="es-GT"/>
              </w:rPr>
              <w:t>%</w:t>
            </w:r>
          </w:p>
        </w:tc>
      </w:tr>
      <w:tr w:rsidR="0089726B" w:rsidRPr="005970E9" w14:paraId="75C2C2A8" w14:textId="77777777" w:rsidTr="00BB345F">
        <w:trPr>
          <w:trHeight w:val="366"/>
          <w:jc w:val="center"/>
        </w:trPr>
        <w:tc>
          <w:tcPr>
            <w:tcW w:w="6658" w:type="dxa"/>
            <w:tcBorders>
              <w:top w:val="single" w:sz="4" w:space="0" w:color="auto"/>
              <w:left w:val="single" w:sz="4" w:space="0" w:color="auto"/>
              <w:bottom w:val="single" w:sz="4" w:space="0" w:color="auto"/>
              <w:right w:val="single" w:sz="4" w:space="0" w:color="auto"/>
            </w:tcBorders>
            <w:hideMark/>
          </w:tcPr>
          <w:p w14:paraId="7DD00A91" w14:textId="577469DB" w:rsidR="0089726B" w:rsidRPr="005970E9" w:rsidRDefault="0089726B">
            <w:pPr>
              <w:pStyle w:val="Pa1"/>
              <w:jc w:val="both"/>
              <w:rPr>
                <w:rStyle w:val="A6"/>
                <w:rFonts w:ascii="Century Schoolbook" w:hAnsi="Century Schoolbook"/>
                <w:b w:val="0"/>
                <w:bCs w:val="0"/>
                <w:sz w:val="22"/>
                <w:szCs w:val="22"/>
              </w:rPr>
            </w:pPr>
            <w:r w:rsidRPr="005970E9">
              <w:rPr>
                <w:rStyle w:val="A6"/>
                <w:rFonts w:ascii="Century Schoolbook" w:hAnsi="Century Schoolbook"/>
                <w:b w:val="0"/>
                <w:bCs w:val="0"/>
                <w:sz w:val="22"/>
                <w:szCs w:val="22"/>
              </w:rPr>
              <w:t xml:space="preserve">VIII. Gobierno local (municipal) </w:t>
            </w:r>
          </w:p>
        </w:tc>
        <w:tc>
          <w:tcPr>
            <w:tcW w:w="2358" w:type="dxa"/>
            <w:tcBorders>
              <w:top w:val="single" w:sz="4" w:space="0" w:color="auto"/>
              <w:left w:val="single" w:sz="4" w:space="0" w:color="auto"/>
              <w:bottom w:val="single" w:sz="4" w:space="0" w:color="auto"/>
              <w:right w:val="single" w:sz="4" w:space="0" w:color="auto"/>
            </w:tcBorders>
            <w:hideMark/>
          </w:tcPr>
          <w:p w14:paraId="313267BE" w14:textId="0E9E1EC6" w:rsidR="0089726B" w:rsidRPr="005970E9" w:rsidRDefault="0089726B" w:rsidP="00B87E70">
            <w:pPr>
              <w:tabs>
                <w:tab w:val="left" w:pos="567"/>
              </w:tabs>
              <w:spacing w:after="80"/>
              <w:jc w:val="right"/>
              <w:rPr>
                <w:rFonts w:eastAsia="Times New Roman"/>
                <w:spacing w:val="-2"/>
                <w:lang w:val="es-GT"/>
              </w:rPr>
            </w:pPr>
            <w:r w:rsidRPr="005970E9">
              <w:rPr>
                <w:rFonts w:eastAsia="Times New Roman"/>
                <w:spacing w:val="-2"/>
                <w:lang w:val="es-GT"/>
              </w:rPr>
              <w:t>26.4</w:t>
            </w:r>
            <w:r w:rsidR="00BB345F" w:rsidRPr="005970E9">
              <w:rPr>
                <w:rFonts w:eastAsia="Times New Roman"/>
                <w:spacing w:val="-2"/>
                <w:lang w:val="es-GT"/>
              </w:rPr>
              <w:t>%</w:t>
            </w:r>
          </w:p>
        </w:tc>
      </w:tr>
      <w:tr w:rsidR="0089726B" w:rsidRPr="005970E9" w14:paraId="739065A2" w14:textId="77777777" w:rsidTr="00BB345F">
        <w:trPr>
          <w:trHeight w:val="366"/>
          <w:jc w:val="center"/>
        </w:trPr>
        <w:tc>
          <w:tcPr>
            <w:tcW w:w="6658" w:type="dxa"/>
            <w:tcBorders>
              <w:top w:val="single" w:sz="4" w:space="0" w:color="auto"/>
              <w:left w:val="single" w:sz="4" w:space="0" w:color="auto"/>
              <w:bottom w:val="single" w:sz="4" w:space="0" w:color="auto"/>
              <w:right w:val="single" w:sz="4" w:space="0" w:color="auto"/>
            </w:tcBorders>
            <w:hideMark/>
          </w:tcPr>
          <w:p w14:paraId="4BB290AE" w14:textId="1A342915" w:rsidR="0089726B" w:rsidRPr="005970E9" w:rsidRDefault="00727CEC">
            <w:pPr>
              <w:pStyle w:val="Pa1"/>
              <w:jc w:val="both"/>
              <w:rPr>
                <w:rStyle w:val="A6"/>
                <w:rFonts w:ascii="Century Schoolbook" w:hAnsi="Century Schoolbook"/>
                <w:b w:val="0"/>
                <w:bCs w:val="0"/>
                <w:sz w:val="22"/>
                <w:szCs w:val="22"/>
              </w:rPr>
            </w:pPr>
            <w:r w:rsidRPr="005970E9">
              <w:rPr>
                <w:rStyle w:val="A6"/>
                <w:rFonts w:ascii="Century Schoolbook" w:hAnsi="Century Schoolbook"/>
                <w:b w:val="0"/>
                <w:bCs w:val="0"/>
                <w:sz w:val="22"/>
                <w:szCs w:val="22"/>
              </w:rPr>
              <w:t xml:space="preserve">Puntaje global </w:t>
            </w:r>
            <w:r w:rsidRPr="005970E9">
              <w:rPr>
                <w:rStyle w:val="A6"/>
                <w:rFonts w:ascii="Century Schoolbook" w:hAnsi="Century Schoolbook"/>
                <w:b w:val="0"/>
                <w:bCs w:val="0"/>
                <w:color w:val="auto"/>
                <w:sz w:val="22"/>
                <w:szCs w:val="22"/>
              </w:rPr>
              <w:t>IPP</w:t>
            </w:r>
            <w:r w:rsidR="00716887" w:rsidRPr="005970E9">
              <w:rPr>
                <w:rStyle w:val="A6"/>
                <w:rFonts w:ascii="Century Schoolbook" w:hAnsi="Century Schoolbook"/>
                <w:b w:val="0"/>
                <w:bCs w:val="0"/>
                <w:color w:val="auto"/>
                <w:sz w:val="22"/>
                <w:szCs w:val="22"/>
              </w:rPr>
              <w:t xml:space="preserve"> </w:t>
            </w:r>
            <w:r w:rsidR="00716887" w:rsidRPr="005970E9">
              <w:rPr>
                <w:rStyle w:val="A6"/>
                <w:rFonts w:ascii="Century Schoolbook" w:hAnsi="Century Schoolbook"/>
                <w:b w:val="0"/>
                <w:bCs w:val="0"/>
                <w:color w:val="auto"/>
                <w:lang w:eastAsia="es-MX"/>
              </w:rPr>
              <w:t>(Es el total de acuerdo a la fórmula diseñada para dicho cálculo. No se refiere a la sumatoria de todas las dimensiones)</w:t>
            </w:r>
            <w:r w:rsidRPr="005970E9">
              <w:rPr>
                <w:rStyle w:val="A6"/>
                <w:rFonts w:ascii="Century Schoolbook" w:hAnsi="Century Schoolbook"/>
                <w:b w:val="0"/>
                <w:bCs w:val="0"/>
                <w:color w:val="auto"/>
                <w:sz w:val="22"/>
                <w:szCs w:val="22"/>
              </w:rPr>
              <w:t xml:space="preserve"> </w:t>
            </w:r>
            <w:r w:rsidR="0089726B" w:rsidRPr="005970E9">
              <w:rPr>
                <w:rStyle w:val="A6"/>
                <w:rFonts w:ascii="Century Schoolbook" w:hAnsi="Century Schoolbook"/>
                <w:b w:val="0"/>
                <w:bCs w:val="0"/>
                <w:color w:val="auto"/>
                <w:sz w:val="22"/>
                <w:szCs w:val="22"/>
              </w:rPr>
              <w:t xml:space="preserve"> </w:t>
            </w:r>
          </w:p>
        </w:tc>
        <w:tc>
          <w:tcPr>
            <w:tcW w:w="2358" w:type="dxa"/>
            <w:tcBorders>
              <w:top w:val="single" w:sz="4" w:space="0" w:color="auto"/>
              <w:left w:val="single" w:sz="4" w:space="0" w:color="auto"/>
              <w:bottom w:val="single" w:sz="4" w:space="0" w:color="auto"/>
              <w:right w:val="single" w:sz="4" w:space="0" w:color="auto"/>
            </w:tcBorders>
            <w:hideMark/>
          </w:tcPr>
          <w:p w14:paraId="1C65418C" w14:textId="630F3F2F" w:rsidR="0089726B" w:rsidRPr="005970E9" w:rsidRDefault="0089726B" w:rsidP="00B87E70">
            <w:pPr>
              <w:tabs>
                <w:tab w:val="left" w:pos="567"/>
              </w:tabs>
              <w:spacing w:after="80"/>
              <w:jc w:val="right"/>
              <w:rPr>
                <w:rFonts w:eastAsia="Times New Roman"/>
                <w:spacing w:val="-2"/>
                <w:lang w:val="es-GT"/>
              </w:rPr>
            </w:pPr>
            <w:r w:rsidRPr="005970E9">
              <w:rPr>
                <w:rFonts w:eastAsia="Times New Roman"/>
                <w:spacing w:val="-2"/>
                <w:lang w:val="es-GT"/>
              </w:rPr>
              <w:t>37</w:t>
            </w:r>
            <w:r w:rsidR="00BB345F" w:rsidRPr="005970E9">
              <w:rPr>
                <w:rFonts w:eastAsia="Times New Roman"/>
                <w:spacing w:val="-2"/>
                <w:lang w:val="es-GT"/>
              </w:rPr>
              <w:t>%</w:t>
            </w:r>
          </w:p>
        </w:tc>
      </w:tr>
    </w:tbl>
    <w:p w14:paraId="0597E686" w14:textId="5E18BC61" w:rsidR="0089726B" w:rsidRPr="005970E9" w:rsidRDefault="0089726B" w:rsidP="00716887">
      <w:pPr>
        <w:tabs>
          <w:tab w:val="left" w:pos="567"/>
        </w:tabs>
        <w:jc w:val="both"/>
        <w:rPr>
          <w:rFonts w:eastAsia="Times New Roman"/>
          <w:spacing w:val="-2"/>
          <w:sz w:val="20"/>
          <w:szCs w:val="20"/>
          <w:lang w:val="es-GT"/>
        </w:rPr>
      </w:pPr>
      <w:r w:rsidRPr="005970E9">
        <w:rPr>
          <w:rFonts w:eastAsia="Times New Roman"/>
          <w:spacing w:val="-2"/>
          <w:sz w:val="20"/>
          <w:szCs w:val="20"/>
          <w:lang w:val="es-GT"/>
        </w:rPr>
        <w:t xml:space="preserve">Fuente: </w:t>
      </w:r>
      <w:r w:rsidRPr="005970E9">
        <w:rPr>
          <w:rStyle w:val="A1"/>
          <w:b w:val="0"/>
          <w:bCs w:val="0"/>
          <w:sz w:val="20"/>
          <w:szCs w:val="20"/>
        </w:rPr>
        <w:t>PNUD-ONUMUJERES-IDEA</w:t>
      </w:r>
      <w:r w:rsidRPr="005970E9">
        <w:rPr>
          <w:rStyle w:val="Ancladenotaalpie"/>
          <w:rFonts w:cs="Myriad Pro"/>
          <w:color w:val="000000"/>
          <w:sz w:val="20"/>
          <w:szCs w:val="20"/>
          <w:vertAlign w:val="baseline"/>
        </w:rPr>
        <w:t>. ATENEA. 2015. Pág</w:t>
      </w:r>
      <w:r w:rsidRPr="005970E9">
        <w:rPr>
          <w:rFonts w:eastAsia="Times New Roman"/>
          <w:spacing w:val="-2"/>
          <w:sz w:val="20"/>
          <w:szCs w:val="20"/>
          <w:lang w:val="es-GT"/>
        </w:rPr>
        <w:t>. 13-14</w:t>
      </w:r>
    </w:p>
    <w:p w14:paraId="75FFC674" w14:textId="3F78D33D" w:rsidR="00716887" w:rsidRPr="005970E9" w:rsidRDefault="00716887" w:rsidP="00BB345F">
      <w:pPr>
        <w:tabs>
          <w:tab w:val="left" w:pos="567"/>
        </w:tabs>
        <w:spacing w:after="360"/>
        <w:jc w:val="both"/>
        <w:rPr>
          <w:rFonts w:eastAsia="Times New Roman"/>
          <w:spacing w:val="-2"/>
          <w:sz w:val="20"/>
          <w:szCs w:val="20"/>
          <w:lang w:val="es-GT"/>
        </w:rPr>
      </w:pPr>
      <w:r w:rsidRPr="005970E9">
        <w:rPr>
          <w:sz w:val="20"/>
          <w:szCs w:val="20"/>
          <w:lang w:eastAsia="es-MX"/>
        </w:rPr>
        <w:t>Nota: El formato de tabla responde solamente a la presentación de la información, no es una tabla con fines estadísticos. La numeración (en números romanos) y el orden de las dimensiones responden al estudio original.</w:t>
      </w:r>
    </w:p>
    <w:p w14:paraId="7860BB52" w14:textId="040A325F" w:rsidR="0089726B" w:rsidRPr="005970E9" w:rsidRDefault="0089726B" w:rsidP="00551F88">
      <w:pPr>
        <w:pStyle w:val="Heading3"/>
        <w:numPr>
          <w:ilvl w:val="2"/>
          <w:numId w:val="8"/>
        </w:numPr>
      </w:pPr>
      <w:bookmarkStart w:id="75" w:name="_Toc42159194"/>
      <w:bookmarkStart w:id="76" w:name="_Toc42549430"/>
      <w:r w:rsidRPr="005970E9">
        <w:t xml:space="preserve">Participación política de las mujeres panameñas </w:t>
      </w:r>
      <w:r w:rsidR="00CC20D3" w:rsidRPr="005970E9">
        <w:t>en</w:t>
      </w:r>
      <w:r w:rsidRPr="005970E9">
        <w:t xml:space="preserve"> puestos de elección popular</w:t>
      </w:r>
      <w:bookmarkEnd w:id="75"/>
      <w:bookmarkEnd w:id="76"/>
    </w:p>
    <w:p w14:paraId="31FF1E51" w14:textId="17E2AD58" w:rsidR="0089726B" w:rsidRPr="005970E9" w:rsidRDefault="0089726B" w:rsidP="003218CE">
      <w:pPr>
        <w:spacing w:before="120" w:after="120" w:line="276" w:lineRule="auto"/>
        <w:jc w:val="both"/>
        <w:rPr>
          <w:rFonts w:cs="Times New Roman"/>
        </w:rPr>
      </w:pPr>
      <w:r w:rsidRPr="005970E9">
        <w:rPr>
          <w:rFonts w:cs="PVHQRP+TimesNewRomanPSMT"/>
          <w:lang w:eastAsia="en-US"/>
        </w:rPr>
        <w:t>En los puestos de elección popular es donde más se evidencian los mecanismos de participación de las mujeres dentro de los partidos políticos y la puesta en práctica de la paridad política, desde las elecciones primarias de los partidos hasta las elecciones para el órgano legislativo y los poderes locales (Alcaldía y Juntas Comunales). El cargo de Diputadas es uno de los de mayor relevancia a nivel nacional, por la incidencia en la formulación de leyes que contribuyan al mejoramiento de las condiciones de vida de las mujeres, adolescentes y niñas desde un enfoque de género, derechos humanos, interculturalidad y multietnicidad. Sin embargo, el contar con mujeres en la cámara legislativa no siempre garantiza que las leyes que se aprueben tengan dichos enfoques y respondan al logro de la equidad social, entendida como la i</w:t>
      </w:r>
      <w:r w:rsidRPr="005970E9">
        <w:t>gualdad de oportunidades para toda</w:t>
      </w:r>
      <w:r w:rsidR="006E08D9" w:rsidRPr="005970E9">
        <w:t>s</w:t>
      </w:r>
      <w:r w:rsidRPr="005970E9">
        <w:t xml:space="preserve"> </w:t>
      </w:r>
      <w:r w:rsidR="006E08D9" w:rsidRPr="005970E9">
        <w:t xml:space="preserve">las </w:t>
      </w:r>
      <w:r w:rsidRPr="005970E9">
        <w:t>persona</w:t>
      </w:r>
      <w:r w:rsidR="00EC2A14" w:rsidRPr="005970E9">
        <w:t>s</w:t>
      </w:r>
      <w:r w:rsidR="006E08D9" w:rsidRPr="005970E9">
        <w:t xml:space="preserve">, por </w:t>
      </w:r>
      <w:r w:rsidRPr="005970E9">
        <w:t>la inclusión y disminu</w:t>
      </w:r>
      <w:r w:rsidR="006E08D9" w:rsidRPr="005970E9">
        <w:t xml:space="preserve">ción de </w:t>
      </w:r>
      <w:r w:rsidRPr="005970E9">
        <w:t>las inequidades sociales.</w:t>
      </w:r>
    </w:p>
    <w:p w14:paraId="54A2EE31" w14:textId="661E2328" w:rsidR="004D1536" w:rsidRPr="005970E9" w:rsidRDefault="0089726B" w:rsidP="00224AED">
      <w:pPr>
        <w:pStyle w:val="ListParagraph"/>
        <w:tabs>
          <w:tab w:val="left" w:pos="1701"/>
        </w:tabs>
        <w:spacing w:before="120" w:after="120" w:line="276" w:lineRule="auto"/>
        <w:ind w:left="0"/>
        <w:contextualSpacing w:val="0"/>
        <w:jc w:val="both"/>
        <w:rPr>
          <w:rFonts w:ascii="Century Schoolbook" w:hAnsi="Century Schoolbook" w:cs="PVHQRP+TimesNewRomanPSMT"/>
          <w:lang w:eastAsia="en-US"/>
        </w:rPr>
      </w:pPr>
      <w:r w:rsidRPr="005970E9">
        <w:rPr>
          <w:rFonts w:ascii="Century Schoolbook" w:hAnsi="Century Schoolbook" w:cs="PVHQRP+TimesNewRomanPSMT"/>
          <w:lang w:eastAsia="en-US"/>
        </w:rPr>
        <w:lastRenderedPageBreak/>
        <w:t xml:space="preserve">En general, como se muestra en la gráfica </w:t>
      </w:r>
      <w:r w:rsidR="0007174B" w:rsidRPr="005970E9">
        <w:rPr>
          <w:rFonts w:ascii="Century Schoolbook" w:hAnsi="Century Schoolbook" w:cs="PVHQRP+TimesNewRomanPSMT"/>
          <w:lang w:eastAsia="en-US"/>
        </w:rPr>
        <w:t>1</w:t>
      </w:r>
      <w:r w:rsidRPr="005970E9">
        <w:rPr>
          <w:rFonts w:ascii="Century Schoolbook" w:hAnsi="Century Schoolbook" w:cs="PVHQRP+TimesNewRomanPSMT"/>
          <w:lang w:eastAsia="en-US"/>
        </w:rPr>
        <w:t xml:space="preserve"> , </w:t>
      </w:r>
      <w:r w:rsidRPr="005970E9">
        <w:rPr>
          <w:rFonts w:ascii="Century Schoolbook" w:hAnsi="Century Schoolbook" w:cs="Arial"/>
          <w:lang w:val="es-ES"/>
        </w:rPr>
        <w:t xml:space="preserve">la participación de la mujer como candidata a cargos de elección popular, </w:t>
      </w:r>
      <w:r w:rsidR="006E08D9" w:rsidRPr="005970E9">
        <w:rPr>
          <w:rFonts w:ascii="Century Schoolbook" w:hAnsi="Century Schoolbook" w:cs="Arial"/>
          <w:lang w:val="es-ES"/>
        </w:rPr>
        <w:t xml:space="preserve">hace </w:t>
      </w:r>
      <w:r w:rsidRPr="005970E9">
        <w:rPr>
          <w:rFonts w:ascii="Century Schoolbook" w:hAnsi="Century Schoolbook" w:cs="Arial"/>
          <w:lang w:val="es-ES"/>
        </w:rPr>
        <w:t xml:space="preserve">evidente la </w:t>
      </w:r>
      <w:r w:rsidRPr="005970E9">
        <w:rPr>
          <w:rFonts w:ascii="Century Schoolbook" w:hAnsi="Century Schoolbook" w:cstheme="minorBidi"/>
        </w:rPr>
        <w:t>desigualdad de género que históricamente ha imperado en el país</w:t>
      </w:r>
      <w:r w:rsidR="006E08D9" w:rsidRPr="005970E9">
        <w:rPr>
          <w:rFonts w:ascii="Century Schoolbook" w:hAnsi="Century Schoolbook" w:cstheme="minorBidi"/>
        </w:rPr>
        <w:t>,</w:t>
      </w:r>
      <w:r w:rsidRPr="005970E9">
        <w:rPr>
          <w:rFonts w:ascii="Century Schoolbook" w:hAnsi="Century Schoolbook" w:cstheme="minorBidi"/>
        </w:rPr>
        <w:t xml:space="preserve"> a pesar de la existencia de la cuota electoral desde 1997 y las reformas al Código Electoral en el 2012 que incrementó del 30% al 50% las postulaciones de mujeres en las elecciones internas de los partidos políticos. Sin embargo, </w:t>
      </w:r>
      <w:r w:rsidR="006E08D9" w:rsidRPr="005970E9">
        <w:rPr>
          <w:rFonts w:ascii="Century Schoolbook" w:hAnsi="Century Schoolbook" w:cs="PVHQRP+TimesNewRomanPSMT"/>
          <w:lang w:eastAsia="en-US"/>
        </w:rPr>
        <w:t>el acceso</w:t>
      </w:r>
      <w:r w:rsidRPr="005970E9">
        <w:rPr>
          <w:rFonts w:ascii="Century Schoolbook" w:hAnsi="Century Schoolbook" w:cs="PVHQRP+TimesNewRomanPSMT"/>
          <w:lang w:eastAsia="en-US"/>
        </w:rPr>
        <w:t xml:space="preserve"> de mujeres como </w:t>
      </w:r>
      <w:r w:rsidR="00FF49AB" w:rsidRPr="005970E9">
        <w:rPr>
          <w:rFonts w:ascii="Century Schoolbook" w:hAnsi="Century Schoolbook" w:cs="PVHQRP+TimesNewRomanPSMT"/>
          <w:lang w:eastAsia="en-US"/>
        </w:rPr>
        <w:t xml:space="preserve">candidatas </w:t>
      </w:r>
      <w:r w:rsidR="0060139E" w:rsidRPr="005970E9">
        <w:rPr>
          <w:rFonts w:ascii="Century Schoolbook" w:hAnsi="Century Schoolbook" w:cs="PVHQRP+TimesNewRomanPSMT"/>
          <w:lang w:eastAsia="en-US"/>
        </w:rPr>
        <w:t>principales o</w:t>
      </w:r>
      <w:r w:rsidR="00FF49AB" w:rsidRPr="005970E9">
        <w:rPr>
          <w:rFonts w:ascii="Century Schoolbook" w:hAnsi="Century Schoolbook" w:cs="PVHQRP+TimesNewRomanPSMT"/>
          <w:lang w:eastAsia="en-US"/>
        </w:rPr>
        <w:t xml:space="preserve"> titulares a diputadas </w:t>
      </w:r>
      <w:r w:rsidRPr="005970E9">
        <w:rPr>
          <w:rFonts w:ascii="Century Schoolbook" w:hAnsi="Century Schoolbook" w:cs="PVHQRP+TimesNewRomanPSMT"/>
          <w:lang w:eastAsia="en-US"/>
        </w:rPr>
        <w:t>ha sido muy escas</w:t>
      </w:r>
      <w:r w:rsidR="006E08D9" w:rsidRPr="005970E9">
        <w:rPr>
          <w:rFonts w:ascii="Century Schoolbook" w:hAnsi="Century Schoolbook" w:cs="PVHQRP+TimesNewRomanPSMT"/>
          <w:lang w:eastAsia="en-US"/>
        </w:rPr>
        <w:t>o</w:t>
      </w:r>
      <w:r w:rsidRPr="005970E9">
        <w:rPr>
          <w:rStyle w:val="FootnoteReference"/>
          <w:rFonts w:ascii="Century Schoolbook" w:hAnsi="Century Schoolbook" w:cs="PVHQRP+TimesNewRomanPSMT"/>
          <w:lang w:eastAsia="en-US"/>
        </w:rPr>
        <w:footnoteReference w:id="24"/>
      </w:r>
      <w:r w:rsidRPr="005970E9">
        <w:rPr>
          <w:rFonts w:ascii="Century Schoolbook" w:hAnsi="Century Schoolbook" w:cs="PVHQRP+TimesNewRomanPSMT"/>
          <w:lang w:eastAsia="en-US"/>
        </w:rPr>
        <w:t xml:space="preserve"> en la Asamblea Legislativa, aunque se observa un leve incremento, pero muy lejos de la paridad aspirada. En los 15 períodos electorales desde 1945 hasta el 2019, sólo 82 mujeres alcanzaron un peldaño como principales en el órgano legislativo, significando un 9.1%, mientras que en el mismo período lo hicieron 820 hombres para un 90.9%. </w:t>
      </w:r>
    </w:p>
    <w:p w14:paraId="25E5711A" w14:textId="79D41FD9" w:rsidR="0089726B" w:rsidRPr="005970E9" w:rsidRDefault="0089726B" w:rsidP="00716887">
      <w:pPr>
        <w:pStyle w:val="ListParagraph"/>
        <w:tabs>
          <w:tab w:val="left" w:pos="1701"/>
        </w:tabs>
        <w:spacing w:before="120" w:after="240" w:line="276" w:lineRule="auto"/>
        <w:ind w:left="0"/>
        <w:jc w:val="both"/>
        <w:rPr>
          <w:rFonts w:ascii="Century Schoolbook" w:hAnsi="Century Schoolbook" w:cs="PVHQRP+TimesNewRomanPSMT"/>
          <w:lang w:eastAsia="en-US"/>
        </w:rPr>
      </w:pPr>
      <w:r w:rsidRPr="005970E9">
        <w:rPr>
          <w:rFonts w:ascii="Century Schoolbook" w:hAnsi="Century Schoolbook" w:cs="PVHQRP+TimesNewRomanPSMT"/>
          <w:lang w:eastAsia="en-US"/>
        </w:rPr>
        <w:t xml:space="preserve">Definitivamente el país se encuentra lejos de la paridad. </w:t>
      </w:r>
      <w:r w:rsidR="004D1536" w:rsidRPr="005970E9">
        <w:rPr>
          <w:rFonts w:ascii="Century Schoolbook" w:hAnsi="Century Schoolbook"/>
        </w:rPr>
        <w:t xml:space="preserve">Ningún partido cumple con la cuota de paridad en las </w:t>
      </w:r>
      <w:r w:rsidR="00FF49AB" w:rsidRPr="005970E9">
        <w:rPr>
          <w:rFonts w:ascii="Century Schoolbook" w:hAnsi="Century Schoolbook"/>
        </w:rPr>
        <w:t xml:space="preserve">elecciones </w:t>
      </w:r>
      <w:r w:rsidR="004D1536" w:rsidRPr="005970E9">
        <w:rPr>
          <w:rFonts w:ascii="Century Schoolbook" w:hAnsi="Century Schoolbook"/>
        </w:rPr>
        <w:t xml:space="preserve">primarias ni en las generales, esto aunado a que la norma electoral es débil y sin sanciones asociadas es el mejor caldo de cultivo para el bajo número de mujeres candidatas en el país, elección tras elección. </w:t>
      </w:r>
    </w:p>
    <w:p w14:paraId="31711BD7" w14:textId="59BE1892" w:rsidR="006E08D9" w:rsidRPr="005970E9" w:rsidRDefault="004C1B95" w:rsidP="004C1B95">
      <w:pPr>
        <w:pStyle w:val="Caption"/>
        <w:rPr>
          <w:rFonts w:ascii="Century Schoolbook" w:hAnsi="Century Schoolbook"/>
        </w:rPr>
      </w:pPr>
      <w:bookmarkStart w:id="77" w:name="_Toc42549233"/>
      <w:r w:rsidRPr="005970E9">
        <w:rPr>
          <w:rFonts w:ascii="Century Schoolbook" w:hAnsi="Century Schoolbook"/>
        </w:rPr>
        <w:t xml:space="preserve">Gráfica </w:t>
      </w:r>
      <w:r w:rsidR="00F202BE" w:rsidRPr="005970E9">
        <w:rPr>
          <w:rFonts w:ascii="Century Schoolbook" w:hAnsi="Century Schoolbook"/>
        </w:rPr>
        <w:fldChar w:fldCharType="begin"/>
      </w:r>
      <w:r w:rsidR="00F202BE" w:rsidRPr="005970E9">
        <w:rPr>
          <w:rFonts w:ascii="Century Schoolbook" w:hAnsi="Century Schoolbook"/>
        </w:rPr>
        <w:instrText xml:space="preserve"> SEQ Gráfica \* ARABIC </w:instrText>
      </w:r>
      <w:r w:rsidR="00F202BE" w:rsidRPr="005970E9">
        <w:rPr>
          <w:rFonts w:ascii="Century Schoolbook" w:hAnsi="Century Schoolbook"/>
        </w:rPr>
        <w:fldChar w:fldCharType="separate"/>
      </w:r>
      <w:r w:rsidR="00C5041B" w:rsidRPr="005970E9">
        <w:rPr>
          <w:rFonts w:ascii="Century Schoolbook" w:hAnsi="Century Schoolbook"/>
          <w:noProof/>
        </w:rPr>
        <w:t>1</w:t>
      </w:r>
      <w:r w:rsidR="00F202BE" w:rsidRPr="005970E9">
        <w:rPr>
          <w:rFonts w:ascii="Century Schoolbook" w:hAnsi="Century Schoolbook"/>
        </w:rPr>
        <w:fldChar w:fldCharType="end"/>
      </w:r>
      <w:r w:rsidR="00985296" w:rsidRPr="005970E9">
        <w:rPr>
          <w:rFonts w:ascii="Century Schoolbook" w:hAnsi="Century Schoolbook"/>
        </w:rPr>
        <w:t xml:space="preserve"> </w:t>
      </w:r>
      <w:r w:rsidR="00985296" w:rsidRPr="005970E9">
        <w:rPr>
          <w:rFonts w:ascii="Century Schoolbook" w:hAnsi="Century Schoolbook"/>
          <w:lang w:val="es-US"/>
        </w:rPr>
        <w:t xml:space="preserve"> </w:t>
      </w:r>
      <w:r w:rsidR="0055660B" w:rsidRPr="005970E9">
        <w:rPr>
          <w:rFonts w:ascii="Century Schoolbook" w:hAnsi="Century Schoolbook"/>
          <w:lang w:val="es-US"/>
        </w:rPr>
        <w:t>Número de</w:t>
      </w:r>
      <w:r w:rsidR="00985296" w:rsidRPr="005970E9">
        <w:rPr>
          <w:rFonts w:ascii="Century Schoolbook" w:hAnsi="Century Schoolbook"/>
          <w:lang w:val="es-US"/>
        </w:rPr>
        <w:t xml:space="preserve"> mujeres </w:t>
      </w:r>
      <w:r w:rsidR="003B36B0" w:rsidRPr="005970E9">
        <w:rPr>
          <w:rFonts w:ascii="Century Schoolbook" w:hAnsi="Century Schoolbook"/>
          <w:lang w:val="es-US"/>
        </w:rPr>
        <w:t xml:space="preserve">electas </w:t>
      </w:r>
      <w:r w:rsidR="00985296" w:rsidRPr="005970E9">
        <w:rPr>
          <w:rFonts w:ascii="Century Schoolbook" w:hAnsi="Century Schoolbook"/>
          <w:lang w:val="es-US"/>
        </w:rPr>
        <w:t xml:space="preserve">como </w:t>
      </w:r>
      <w:r w:rsidR="00FF49AB" w:rsidRPr="005970E9">
        <w:rPr>
          <w:rFonts w:ascii="Century Schoolbook" w:hAnsi="Century Schoolbook"/>
          <w:lang w:val="es-US"/>
        </w:rPr>
        <w:t>titulares</w:t>
      </w:r>
      <w:r w:rsidR="00985296" w:rsidRPr="005970E9">
        <w:rPr>
          <w:rFonts w:ascii="Century Schoolbook" w:hAnsi="Century Schoolbook"/>
          <w:lang w:val="es-US"/>
        </w:rPr>
        <w:t xml:space="preserve"> en la Asamblea legislativa, según período electoral. 1945 - 201</w:t>
      </w:r>
      <w:r w:rsidR="0055660B" w:rsidRPr="005970E9">
        <w:rPr>
          <w:rFonts w:ascii="Century Schoolbook" w:hAnsi="Century Schoolbook"/>
          <w:lang w:val="es-US"/>
        </w:rPr>
        <w:t>9</w:t>
      </w:r>
      <w:bookmarkEnd w:id="77"/>
    </w:p>
    <w:p w14:paraId="6E30AA44" w14:textId="77777777" w:rsidR="0089726B" w:rsidRPr="005970E9" w:rsidRDefault="0089726B" w:rsidP="0089726B">
      <w:pPr>
        <w:pStyle w:val="ListParagraph"/>
        <w:tabs>
          <w:tab w:val="left" w:pos="1701"/>
        </w:tabs>
        <w:spacing w:before="120" w:after="120" w:line="276" w:lineRule="auto"/>
        <w:ind w:left="284"/>
        <w:jc w:val="both"/>
        <w:rPr>
          <w:rFonts w:ascii="Century Schoolbook" w:hAnsi="Century Schoolbook" w:cs="PVHQRP+TimesNewRomanPSMT"/>
          <w:lang w:eastAsia="en-US"/>
        </w:rPr>
      </w:pPr>
      <w:r w:rsidRPr="005970E9">
        <w:rPr>
          <w:rFonts w:ascii="Century Schoolbook" w:hAnsi="Century Schoolbook"/>
          <w:noProof/>
          <w:shd w:val="clear" w:color="auto" w:fill="7030A0"/>
        </w:rPr>
        <w:drawing>
          <wp:inline distT="0" distB="0" distL="0" distR="0" wp14:anchorId="166C514C" wp14:editId="5BD6B54D">
            <wp:extent cx="5204460" cy="3052482"/>
            <wp:effectExtent l="0" t="0" r="15240" b="14605"/>
            <wp:docPr id="16" name="Gráfico 16">
              <a:extLst xmlns:a="http://schemas.openxmlformats.org/drawingml/2006/main">
                <a:ext uri="{FF2B5EF4-FFF2-40B4-BE49-F238E27FC236}">
                  <a16:creationId xmlns:a16="http://schemas.microsoft.com/office/drawing/2014/main" id="{5372C373-272E-4E6A-9A01-58A271D93E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00D8E7" w14:textId="56F6288F" w:rsidR="0089726B" w:rsidRPr="005970E9" w:rsidRDefault="0089726B" w:rsidP="00466521">
      <w:pPr>
        <w:pStyle w:val="ListParagraph"/>
        <w:tabs>
          <w:tab w:val="left" w:pos="1701"/>
        </w:tabs>
        <w:spacing w:before="120" w:after="120"/>
        <w:ind w:left="284"/>
        <w:jc w:val="both"/>
        <w:rPr>
          <w:rFonts w:ascii="Century Schoolbook" w:hAnsi="Century Schoolbook" w:cs="PVHQRP+TimesNewRomanPSMT"/>
          <w:sz w:val="20"/>
          <w:szCs w:val="20"/>
          <w:lang w:eastAsia="en-US"/>
        </w:rPr>
      </w:pPr>
      <w:r w:rsidRPr="005970E9">
        <w:rPr>
          <w:rFonts w:ascii="Century Schoolbook" w:hAnsi="Century Schoolbook" w:cs="PVHQRP+TimesNewRomanPSMT"/>
          <w:sz w:val="20"/>
          <w:szCs w:val="20"/>
          <w:lang w:eastAsia="en-US"/>
        </w:rPr>
        <w:t>Fuente: Gráfica elaborada para este documento con datos del Informe Clara González 2013, página 42 y datos del Tribunal Electoral 2019</w:t>
      </w:r>
      <w:r w:rsidR="00466521" w:rsidRPr="005970E9">
        <w:rPr>
          <w:rFonts w:ascii="Century Schoolbook" w:hAnsi="Century Schoolbook" w:cs="PVHQRP+TimesNewRomanPSMT"/>
          <w:sz w:val="20"/>
          <w:szCs w:val="20"/>
          <w:lang w:eastAsia="en-US"/>
        </w:rPr>
        <w:t>.</w:t>
      </w:r>
    </w:p>
    <w:p w14:paraId="76B84BDE" w14:textId="280DD592" w:rsidR="00125A3C" w:rsidRPr="005970E9" w:rsidRDefault="0089726B" w:rsidP="003218CE">
      <w:pPr>
        <w:autoSpaceDE w:val="0"/>
        <w:autoSpaceDN w:val="0"/>
        <w:adjustRightInd w:val="0"/>
        <w:spacing w:before="240" w:after="120" w:line="276" w:lineRule="auto"/>
        <w:jc w:val="both"/>
        <w:rPr>
          <w:rFonts w:cs="TTE10D5308t00"/>
        </w:rPr>
      </w:pPr>
      <w:r w:rsidRPr="005970E9">
        <w:rPr>
          <w:rFonts w:cstheme="minorHAnsi"/>
          <w:lang w:val="es-US"/>
        </w:rPr>
        <w:lastRenderedPageBreak/>
        <w:t>L</w:t>
      </w:r>
      <w:r w:rsidRPr="005970E9">
        <w:rPr>
          <w:rFonts w:cstheme="minorHAnsi"/>
        </w:rPr>
        <w:t xml:space="preserve">a participación de la mujer en el órgano legislativo fue ínfima durante casi todo el siglo pasado, comenzando a destacarse en los períodos electorales 1994 – 1999 y 1999 -2004 con 7 diputadas electas en cada período, duplicándose casi en las elecciones del </w:t>
      </w:r>
      <w:r w:rsidRPr="005970E9">
        <w:rPr>
          <w:rFonts w:cs="TTE10D5308t00"/>
        </w:rPr>
        <w:t>2004 con 12 diputadas.  Pero</w:t>
      </w:r>
      <w:r w:rsidR="006E08D9" w:rsidRPr="005970E9">
        <w:rPr>
          <w:rFonts w:cs="TTE10D5308t00"/>
        </w:rPr>
        <w:t>,</w:t>
      </w:r>
      <w:r w:rsidRPr="005970E9">
        <w:rPr>
          <w:rFonts w:cs="TTE10D5308t00"/>
        </w:rPr>
        <w:t xml:space="preserve"> ese aumento no se dio en todos los espacios, mientras que en el poder legislativo se aumenta la representación ocupando la décima </w:t>
      </w:r>
      <w:r w:rsidRPr="005970E9">
        <w:rPr>
          <w:rFonts w:cstheme="minorHAnsi"/>
        </w:rPr>
        <w:t>parte de las curules (9.86%) en el</w:t>
      </w:r>
      <w:r w:rsidR="006E08D9" w:rsidRPr="005970E9">
        <w:rPr>
          <w:rFonts w:cstheme="minorHAnsi"/>
        </w:rPr>
        <w:t xml:space="preserve"> año</w:t>
      </w:r>
      <w:r w:rsidRPr="005970E9">
        <w:rPr>
          <w:rFonts w:cstheme="minorHAnsi"/>
        </w:rPr>
        <w:t xml:space="preserve"> 1999</w:t>
      </w:r>
      <w:r w:rsidR="001C4EED" w:rsidRPr="005970E9">
        <w:rPr>
          <w:rFonts w:cstheme="minorHAnsi"/>
        </w:rPr>
        <w:t>,</w:t>
      </w:r>
      <w:r w:rsidRPr="005970E9">
        <w:rPr>
          <w:rFonts w:cstheme="minorHAnsi"/>
        </w:rPr>
        <w:t xml:space="preserve"> al 17% en el 2004, en el poder local se pierde potestad al disminuir el número de alcaldesas de 10 (13%) en 1999 a solo 7 (9%) en el 2004. Como concejal ninguna mujer llegó al cargo como principal </w:t>
      </w:r>
      <w:bookmarkStart w:id="78" w:name="_Hlk42168678"/>
      <w:r w:rsidRPr="005970E9">
        <w:rPr>
          <w:rFonts w:cstheme="minorHAnsi"/>
        </w:rPr>
        <w:t>(AECI, PNUD, 2004. Pág. 38</w:t>
      </w:r>
      <w:bookmarkEnd w:id="78"/>
      <w:r w:rsidRPr="005970E9">
        <w:rPr>
          <w:rFonts w:cstheme="minorHAnsi"/>
        </w:rPr>
        <w:t xml:space="preserve">). </w:t>
      </w:r>
      <w:r w:rsidRPr="005970E9">
        <w:rPr>
          <w:rFonts w:cs="TTE10D5308t00"/>
        </w:rPr>
        <w:t>Pese a los avances, en ninguno de los dos periodos se logró alcanzar la cuota del 30% establecida por la Ley 22.</w:t>
      </w:r>
    </w:p>
    <w:p w14:paraId="300FB810" w14:textId="476E7A3C" w:rsidR="00125A3C" w:rsidRPr="005970E9" w:rsidRDefault="00125A3C" w:rsidP="003218CE">
      <w:pPr>
        <w:autoSpaceDE w:val="0"/>
        <w:autoSpaceDN w:val="0"/>
        <w:adjustRightInd w:val="0"/>
        <w:spacing w:before="240" w:after="120" w:line="276" w:lineRule="auto"/>
        <w:jc w:val="both"/>
        <w:rPr>
          <w:rFonts w:cs="TTE10D5308t00"/>
        </w:rPr>
      </w:pPr>
      <w:r w:rsidRPr="005970E9">
        <w:rPr>
          <w:rFonts w:cstheme="minorHAnsi"/>
        </w:rPr>
        <w:t>Más de un quinquenio de haber sido aprobada la cuota electoral del 50%, aún persisten los estereotipos femeninos y subsiste el modelo masculino dentro de la política en los puestos de poder, a pesar de los avances que se dieron desde la proclamación de la primera cuota electoral en 1997.</w:t>
      </w:r>
    </w:p>
    <w:p w14:paraId="58F407EA" w14:textId="77777777" w:rsidR="00BA7295" w:rsidRPr="005970E9" w:rsidRDefault="00BA7295" w:rsidP="00466521">
      <w:pPr>
        <w:autoSpaceDE w:val="0"/>
        <w:autoSpaceDN w:val="0"/>
        <w:adjustRightInd w:val="0"/>
        <w:spacing w:before="120" w:after="120" w:line="276" w:lineRule="auto"/>
        <w:jc w:val="center"/>
        <w:rPr>
          <w:rFonts w:cs="Arial"/>
          <w:lang w:val="es-ES"/>
        </w:rPr>
      </w:pPr>
    </w:p>
    <w:p w14:paraId="6C4074CA" w14:textId="60EAB39D" w:rsidR="00125A3C" w:rsidRPr="005970E9" w:rsidRDefault="00980330" w:rsidP="00466521">
      <w:pPr>
        <w:autoSpaceDE w:val="0"/>
        <w:autoSpaceDN w:val="0"/>
        <w:adjustRightInd w:val="0"/>
        <w:spacing w:before="120" w:after="120" w:line="276" w:lineRule="auto"/>
        <w:jc w:val="center"/>
        <w:rPr>
          <w:rFonts w:cs="Arial"/>
          <w:lang w:val="es-ES"/>
        </w:rPr>
      </w:pPr>
      <w:r w:rsidRPr="005970E9">
        <w:rPr>
          <w:noProof/>
        </w:rPr>
        <w:drawing>
          <wp:anchor distT="0" distB="0" distL="114300" distR="114300" simplePos="0" relativeHeight="251725865" behindDoc="1" locked="0" layoutInCell="1" allowOverlap="1" wp14:anchorId="0794AE5C" wp14:editId="6F48DFB0">
            <wp:simplePos x="0" y="0"/>
            <wp:positionH relativeFrom="margin">
              <wp:posOffset>207645</wp:posOffset>
            </wp:positionH>
            <wp:positionV relativeFrom="paragraph">
              <wp:posOffset>555625</wp:posOffset>
            </wp:positionV>
            <wp:extent cx="5173980" cy="2566670"/>
            <wp:effectExtent l="0" t="0" r="7620" b="5080"/>
            <wp:wrapTight wrapText="bothSides">
              <wp:wrapPolygon edited="0">
                <wp:start x="0" y="0"/>
                <wp:lineTo x="0" y="21482"/>
                <wp:lineTo x="21552" y="21482"/>
                <wp:lineTo x="21552" y="0"/>
                <wp:lineTo x="0" y="0"/>
              </wp:wrapPolygon>
            </wp:wrapTight>
            <wp:docPr id="223"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125A3C" w:rsidRPr="005970E9">
        <w:rPr>
          <w:noProof/>
        </w:rPr>
        <mc:AlternateContent>
          <mc:Choice Requires="wps">
            <w:drawing>
              <wp:anchor distT="0" distB="0" distL="114300" distR="114300" simplePos="0" relativeHeight="251726889" behindDoc="1" locked="0" layoutInCell="1" allowOverlap="1" wp14:anchorId="0832D724" wp14:editId="21B8DEBC">
                <wp:simplePos x="0" y="0"/>
                <wp:positionH relativeFrom="column">
                  <wp:posOffset>131445</wp:posOffset>
                </wp:positionH>
                <wp:positionV relativeFrom="paragraph">
                  <wp:posOffset>0</wp:posOffset>
                </wp:positionV>
                <wp:extent cx="5554980" cy="464820"/>
                <wp:effectExtent l="0" t="0" r="7620" b="0"/>
                <wp:wrapTight wrapText="bothSides">
                  <wp:wrapPolygon edited="0">
                    <wp:start x="0" y="0"/>
                    <wp:lineTo x="0" y="20361"/>
                    <wp:lineTo x="21556" y="20361"/>
                    <wp:lineTo x="21556" y="0"/>
                    <wp:lineTo x="0" y="0"/>
                  </wp:wrapPolygon>
                </wp:wrapTight>
                <wp:docPr id="222" name="Cuadro de texto 44"/>
                <wp:cNvGraphicFramePr/>
                <a:graphic xmlns:a="http://schemas.openxmlformats.org/drawingml/2006/main">
                  <a:graphicData uri="http://schemas.microsoft.com/office/word/2010/wordprocessingShape">
                    <wps:wsp>
                      <wps:cNvSpPr txBox="1"/>
                      <wps:spPr>
                        <a:xfrm>
                          <a:off x="0" y="0"/>
                          <a:ext cx="5554980" cy="464820"/>
                        </a:xfrm>
                        <a:prstGeom prst="rect">
                          <a:avLst/>
                        </a:prstGeom>
                        <a:solidFill>
                          <a:prstClr val="white"/>
                        </a:solidFill>
                        <a:ln>
                          <a:noFill/>
                        </a:ln>
                      </wps:spPr>
                      <wps:txbx>
                        <w:txbxContent>
                          <w:p w14:paraId="1EEFEBBA" w14:textId="4B53F184" w:rsidR="00DC0EAB" w:rsidRPr="00985296" w:rsidRDefault="00DC0EAB" w:rsidP="00985296">
                            <w:pPr>
                              <w:pStyle w:val="Caption"/>
                              <w:jc w:val="both"/>
                            </w:pPr>
                            <w:bookmarkStart w:id="79" w:name="_Toc42549234"/>
                            <w:r>
                              <w:t xml:space="preserve">Gráfica </w:t>
                            </w:r>
                            <w:r w:rsidR="00062ABE">
                              <w:fldChar w:fldCharType="begin"/>
                            </w:r>
                            <w:r w:rsidR="00062ABE">
                              <w:instrText xml:space="preserve"> SEQ Gráfica \* ARABIC </w:instrText>
                            </w:r>
                            <w:r w:rsidR="00062ABE">
                              <w:fldChar w:fldCharType="separate"/>
                            </w:r>
                            <w:r>
                              <w:rPr>
                                <w:noProof/>
                              </w:rPr>
                              <w:t>2</w:t>
                            </w:r>
                            <w:r w:rsidR="00062ABE">
                              <w:rPr>
                                <w:noProof/>
                              </w:rPr>
                              <w:fldChar w:fldCharType="end"/>
                            </w:r>
                            <w:r>
                              <w:t xml:space="preserve"> </w:t>
                            </w:r>
                            <w:r w:rsidRPr="00985296">
                              <w:t>Postulaciones de Hombres y Mujeres a cargos elección popular. Elecciones 2009, 2014, 2019. En porcentajes</w:t>
                            </w:r>
                            <w:r>
                              <w:t>.</w:t>
                            </w:r>
                            <w:bookmarkEnd w:id="79"/>
                          </w:p>
                          <w:p w14:paraId="7532F2CB" w14:textId="77777777" w:rsidR="00DC0EAB" w:rsidRPr="00813D4B" w:rsidRDefault="00DC0EAB" w:rsidP="001C4EED">
                            <w:pPr>
                              <w:pStyle w:val="Caption"/>
                              <w:spacing w:before="0" w:after="0"/>
                              <w:jc w:val="both"/>
                              <w:rPr>
                                <w:rFonts w:ascii="Century Schoolbook" w:hAnsi="Century Schoolbook"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2D724" id="_x0000_t202" coordsize="21600,21600" o:spt="202" path="m,l,21600r21600,l21600,xe">
                <v:stroke joinstyle="miter"/>
                <v:path gradientshapeok="t" o:connecttype="rect"/>
              </v:shapetype>
              <v:shape id="Cuadro de texto 44" o:spid="_x0000_s1027" type="#_x0000_t202" style="position:absolute;left:0;text-align:left;margin-left:10.35pt;margin-top:0;width:437.4pt;height:36.6pt;z-index:-251589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" stroked="f">
                <v:textbox inset="0,0,0,0">
                  <w:txbxContent>
                    <w:p w14:paraId="1EEFEBBA" w14:textId="4B53F184" w:rsidR="00DC0EAB" w:rsidRPr="00985296" w:rsidRDefault="00DC0EAB" w:rsidP="00985296">
                      <w:pPr>
                        <w:pStyle w:val="Caption"/>
                        <w:jc w:val="both"/>
                      </w:pPr>
                      <w:bookmarkStart w:id="80" w:name="_Toc42549234"/>
                      <w:r>
                        <w:t xml:space="preserve">Gráfica </w:t>
                      </w:r>
                      <w:r w:rsidR="00062ABE">
                        <w:fldChar w:fldCharType="begin"/>
                      </w:r>
                      <w:r w:rsidR="00062ABE">
                        <w:instrText xml:space="preserve"> SEQ Gráfica \* ARABIC </w:instrText>
                      </w:r>
                      <w:r w:rsidR="00062ABE">
                        <w:fldChar w:fldCharType="separate"/>
                      </w:r>
                      <w:r>
                        <w:rPr>
                          <w:noProof/>
                        </w:rPr>
                        <w:t>2</w:t>
                      </w:r>
                      <w:r w:rsidR="00062ABE">
                        <w:rPr>
                          <w:noProof/>
                        </w:rPr>
                        <w:fldChar w:fldCharType="end"/>
                      </w:r>
                      <w:r>
                        <w:t xml:space="preserve"> </w:t>
                      </w:r>
                      <w:r w:rsidRPr="00985296">
                        <w:t>Postulaciones de Hombres y Mujeres a cargos elección popular. Elecciones 2009, 2014, 2019. En porcentajes</w:t>
                      </w:r>
                      <w:r>
                        <w:t>.</w:t>
                      </w:r>
                      <w:bookmarkEnd w:id="80"/>
                    </w:p>
                    <w:p w14:paraId="7532F2CB" w14:textId="77777777" w:rsidR="00DC0EAB" w:rsidRPr="00813D4B" w:rsidRDefault="00DC0EAB" w:rsidP="001C4EED">
                      <w:pPr>
                        <w:pStyle w:val="Caption"/>
                        <w:spacing w:before="0" w:after="0"/>
                        <w:jc w:val="both"/>
                        <w:rPr>
                          <w:rFonts w:ascii="Century Schoolbook" w:hAnsi="Century Schoolbook" w:cstheme="minorHAnsi"/>
                        </w:rPr>
                      </w:pPr>
                    </w:p>
                  </w:txbxContent>
                </v:textbox>
                <w10:wrap type="tight"/>
              </v:shape>
            </w:pict>
          </mc:Fallback>
        </mc:AlternateContent>
      </w:r>
      <w:r w:rsidR="00125A3C" w:rsidRPr="005970E9">
        <w:rPr>
          <w:rFonts w:cs="Arial"/>
          <w:lang w:val="es-ES"/>
        </w:rPr>
        <w:t>Tribunal Electoral, Boletín 2019 y Bonilla, abril 2019</w:t>
      </w:r>
    </w:p>
    <w:p w14:paraId="326C78EC" w14:textId="6437A310" w:rsidR="00125A3C" w:rsidRPr="005970E9" w:rsidRDefault="00125A3C" w:rsidP="00125A3C">
      <w:pPr>
        <w:pStyle w:val="ListParagraph"/>
        <w:tabs>
          <w:tab w:val="left" w:pos="1701"/>
        </w:tabs>
        <w:spacing w:after="240" w:line="276" w:lineRule="auto"/>
        <w:ind w:left="0"/>
        <w:jc w:val="both"/>
        <w:rPr>
          <w:rFonts w:ascii="Century Schoolbook" w:hAnsi="Century Schoolbook" w:cstheme="minorHAnsi"/>
        </w:rPr>
      </w:pPr>
    </w:p>
    <w:p w14:paraId="7CBE83C5" w14:textId="20EF4E11" w:rsidR="0089726B" w:rsidRPr="005970E9" w:rsidRDefault="008B1351" w:rsidP="008B1351">
      <w:pPr>
        <w:spacing w:line="276" w:lineRule="auto"/>
        <w:jc w:val="both"/>
        <w:rPr>
          <w:rFonts w:cs="Arial"/>
          <w:lang w:val="es-ES"/>
        </w:rPr>
      </w:pPr>
      <w:r w:rsidRPr="005970E9">
        <w:rPr>
          <w:rFonts w:cstheme="minorHAnsi"/>
        </w:rPr>
        <w:t xml:space="preserve">En una </w:t>
      </w:r>
      <w:r w:rsidRPr="005970E9">
        <w:rPr>
          <w:rFonts w:cs="Arial"/>
          <w:lang w:val="es-ES"/>
        </w:rPr>
        <w:t xml:space="preserve">década, tres elecciones (2009, 2014 y 2019) indican que el sistema político siguió siendo antidemocrático para las mujeres. Los datos muestran que la participación de las mujeres está muy lejos de la verdadera paridad política, si tenemos en cuenta que solo aumentó un 0.8% en las elecciones de 2009 al 2019. Se advierte que en las elecciones de 2009 y 2014 se retrocedió en un punto porcentual (1%) en la participación femenina.  No obstante, en las contiendas de 2014 y el 2019 hubo un aumento de 1.8% punto </w:t>
      </w:r>
      <w:r w:rsidRPr="005970E9">
        <w:rPr>
          <w:rFonts w:cs="Arial"/>
          <w:lang w:val="es-ES"/>
        </w:rPr>
        <w:lastRenderedPageBreak/>
        <w:t xml:space="preserve">porcentual. En el 2009 hubo un 16% de mujeres candidatas (613 mujeres y 3,212 hombres) en el 2014 un 15% (665 mujeres y 3,758 hombres) y en el 2019 un 16.8% de mujeres candidatas ante el 83.2% de hombres candidatos (988 mujeres y 4,877 hombres) ver </w:t>
      </w:r>
      <w:r w:rsidR="003B3143" w:rsidRPr="005970E9">
        <w:rPr>
          <w:rFonts w:cs="Arial"/>
          <w:lang w:val="es-ES"/>
        </w:rPr>
        <w:t>(</w:t>
      </w:r>
      <w:r w:rsidR="005321C5" w:rsidRPr="005970E9">
        <w:rPr>
          <w:rFonts w:cs="Arial"/>
          <w:lang w:val="es-ES"/>
        </w:rPr>
        <w:t xml:space="preserve">gráfico </w:t>
      </w:r>
      <w:r w:rsidR="003B3143" w:rsidRPr="005970E9">
        <w:rPr>
          <w:rFonts w:cs="Arial"/>
          <w:lang w:val="es-ES"/>
        </w:rPr>
        <w:t>2)</w:t>
      </w:r>
      <w:r w:rsidR="00E573DA" w:rsidRPr="005970E9">
        <w:rPr>
          <w:rFonts w:cs="Arial"/>
          <w:lang w:val="es-ES"/>
        </w:rPr>
        <w:t>.</w:t>
      </w:r>
    </w:p>
    <w:p w14:paraId="33D20910" w14:textId="43ED033B" w:rsidR="0089726B" w:rsidRPr="005970E9" w:rsidRDefault="00912B1F" w:rsidP="00E573DA">
      <w:pPr>
        <w:pStyle w:val="ListParagraph"/>
        <w:tabs>
          <w:tab w:val="left" w:pos="1701"/>
        </w:tabs>
        <w:spacing w:before="120" w:after="120" w:line="276" w:lineRule="auto"/>
        <w:ind w:left="0"/>
        <w:contextualSpacing w:val="0"/>
        <w:jc w:val="both"/>
        <w:rPr>
          <w:rFonts w:ascii="Century Schoolbook" w:hAnsi="Century Schoolbook" w:cs="Arial"/>
          <w:lang w:val="es-ES"/>
        </w:rPr>
      </w:pPr>
      <w:r w:rsidRPr="005970E9">
        <w:rPr>
          <w:rFonts w:ascii="Century Schoolbook" w:hAnsi="Century Schoolbook" w:cs="Arial"/>
          <w:lang w:val="es-ES"/>
        </w:rPr>
        <w:t>En la</w:t>
      </w:r>
      <w:r w:rsidR="002F21D2" w:rsidRPr="005970E9">
        <w:rPr>
          <w:rFonts w:ascii="Century Schoolbook" w:hAnsi="Century Schoolbook" w:cs="Arial"/>
          <w:lang w:val="es-ES"/>
        </w:rPr>
        <w:t xml:space="preserve"> </w:t>
      </w:r>
      <w:r w:rsidR="00B53CBA" w:rsidRPr="005970E9">
        <w:rPr>
          <w:rFonts w:ascii="Century Schoolbook" w:hAnsi="Century Schoolbook" w:cs="Arial"/>
          <w:lang w:val="es-ES"/>
        </w:rPr>
        <w:t>siguiente tabla</w:t>
      </w:r>
      <w:r w:rsidR="002F21D2" w:rsidRPr="005970E9">
        <w:rPr>
          <w:rFonts w:ascii="Century Schoolbook" w:hAnsi="Century Schoolbook" w:cs="Arial"/>
          <w:lang w:val="es-ES"/>
        </w:rPr>
        <w:t xml:space="preserve"> 3</w:t>
      </w:r>
      <w:r w:rsidR="00E573DA" w:rsidRPr="005970E9">
        <w:rPr>
          <w:rFonts w:ascii="Century Schoolbook" w:hAnsi="Century Schoolbook" w:cs="Arial"/>
          <w:lang w:val="es-ES"/>
        </w:rPr>
        <w:t xml:space="preserve"> </w:t>
      </w:r>
      <w:r w:rsidR="0089726B" w:rsidRPr="005970E9">
        <w:rPr>
          <w:rFonts w:ascii="Century Schoolbook" w:hAnsi="Century Schoolbook" w:cs="Arial"/>
          <w:lang w:val="es-ES"/>
        </w:rPr>
        <w:t>se presentan las autoridades nacionales y locales electas en mayo del 2019. Se observa, tanto en la cantidad de postuladas (</w:t>
      </w:r>
      <w:r w:rsidR="00E24DB7" w:rsidRPr="005970E9">
        <w:rPr>
          <w:rFonts w:ascii="Century Schoolbook" w:hAnsi="Century Schoolbook" w:cs="Arial"/>
          <w:lang w:val="es-ES"/>
        </w:rPr>
        <w:t>gráfico 2</w:t>
      </w:r>
      <w:r w:rsidR="0089726B" w:rsidRPr="005970E9">
        <w:rPr>
          <w:rFonts w:ascii="Century Schoolbook" w:hAnsi="Century Schoolbook" w:cs="Arial"/>
          <w:lang w:val="es-ES"/>
        </w:rPr>
        <w:t>) como de electas, que aún persisten prejuicios y estereotipos de género en el imaginario colectivo donde se le atribuye a la mujer un rol de seguidora de</w:t>
      </w:r>
      <w:r w:rsidR="008B1351" w:rsidRPr="005970E9">
        <w:rPr>
          <w:rFonts w:ascii="Century Schoolbook" w:hAnsi="Century Schoolbook" w:cs="Arial"/>
          <w:lang w:val="es-ES"/>
        </w:rPr>
        <w:t>l</w:t>
      </w:r>
      <w:r w:rsidR="0089726B" w:rsidRPr="005970E9">
        <w:rPr>
          <w:rFonts w:ascii="Century Schoolbook" w:hAnsi="Century Schoolbook" w:cs="Arial"/>
          <w:lang w:val="es-ES"/>
        </w:rPr>
        <w:t xml:space="preserve"> líder político y no de protagonista, lo que limita la posibilidad de acceso a puestos de autoridad y desarrollar su capacidad de liderazgo, corroborando los resultados del</w:t>
      </w:r>
      <w:r w:rsidR="00C72EA6" w:rsidRPr="005970E9">
        <w:rPr>
          <w:rFonts w:ascii="Century Schoolbook" w:hAnsi="Century Schoolbook" w:cs="Arial"/>
          <w:lang w:val="es-ES"/>
        </w:rPr>
        <w:t xml:space="preserve"> (PNUD, 2019ª).</w:t>
      </w:r>
      <w:r w:rsidR="0089726B" w:rsidRPr="005970E9">
        <w:rPr>
          <w:rFonts w:ascii="Century Schoolbook" w:hAnsi="Century Schoolbook" w:cs="Arial"/>
          <w:lang w:val="es-ES"/>
        </w:rPr>
        <w:t xml:space="preserve"> </w:t>
      </w:r>
    </w:p>
    <w:p w14:paraId="1BB28541" w14:textId="301CB237" w:rsidR="0089726B" w:rsidRPr="005970E9" w:rsidRDefault="0089726B" w:rsidP="0089726B">
      <w:pPr>
        <w:tabs>
          <w:tab w:val="left" w:pos="1701"/>
        </w:tabs>
        <w:spacing w:before="120" w:after="120" w:line="276" w:lineRule="auto"/>
        <w:jc w:val="both"/>
        <w:rPr>
          <w:rFonts w:cs="Times New Roman"/>
          <w:lang w:val="es-ES"/>
        </w:rPr>
      </w:pPr>
      <w:r w:rsidRPr="005970E9">
        <w:rPr>
          <w:lang w:val="es-ES"/>
        </w:rPr>
        <w:t xml:space="preserve">Mientras que a nivel mundial las mujeres ocupan el 24% de los escaños parlamentarios </w:t>
      </w:r>
      <w:r w:rsidR="008B1351" w:rsidRPr="005970E9">
        <w:rPr>
          <w:lang w:val="es-ES"/>
        </w:rPr>
        <w:t>acá se</w:t>
      </w:r>
      <w:r w:rsidRPr="005970E9">
        <w:rPr>
          <w:lang w:val="es-ES"/>
        </w:rPr>
        <w:t xml:space="preserve"> </w:t>
      </w:r>
      <w:r w:rsidR="008B1351" w:rsidRPr="005970E9">
        <w:rPr>
          <w:lang w:val="es-ES"/>
        </w:rPr>
        <w:t>está</w:t>
      </w:r>
      <w:r w:rsidRPr="005970E9">
        <w:rPr>
          <w:lang w:val="es-ES"/>
        </w:rPr>
        <w:t xml:space="preserve"> a medio camino de la paridad (ONU</w:t>
      </w:r>
      <w:r w:rsidR="00912B1F" w:rsidRPr="005970E9">
        <w:rPr>
          <w:lang w:val="es-ES"/>
        </w:rPr>
        <w:t xml:space="preserve"> </w:t>
      </w:r>
      <w:r w:rsidRPr="005970E9">
        <w:rPr>
          <w:lang w:val="es-ES"/>
        </w:rPr>
        <w:t>MUJERES. 2019. Pág.3), en Panamá llegamos al 22.</w:t>
      </w:r>
      <w:r w:rsidR="007C5022" w:rsidRPr="005970E9">
        <w:rPr>
          <w:lang w:val="es-ES"/>
        </w:rPr>
        <w:t>53</w:t>
      </w:r>
      <w:r w:rsidRPr="005970E9">
        <w:rPr>
          <w:lang w:val="es-ES"/>
        </w:rPr>
        <w:t xml:space="preserve">% de representación femenina (16 diputadas) en el período 2019 - 2024 (una </w:t>
      </w:r>
      <w:r w:rsidR="00C72EA6" w:rsidRPr="005970E9">
        <w:rPr>
          <w:lang w:val="es-ES"/>
        </w:rPr>
        <w:t xml:space="preserve">(1) </w:t>
      </w:r>
      <w:r w:rsidRPr="005970E9">
        <w:rPr>
          <w:lang w:val="es-ES"/>
        </w:rPr>
        <w:t xml:space="preserve">de la Comarca Guna Yala, una </w:t>
      </w:r>
      <w:r w:rsidR="00C72EA6" w:rsidRPr="005970E9">
        <w:rPr>
          <w:lang w:val="es-ES"/>
        </w:rPr>
        <w:t xml:space="preserve">(1) </w:t>
      </w:r>
      <w:r w:rsidRPr="005970E9">
        <w:rPr>
          <w:lang w:val="es-ES"/>
        </w:rPr>
        <w:t>de Chiriquí y otra</w:t>
      </w:r>
      <w:r w:rsidR="00C72EA6" w:rsidRPr="005970E9">
        <w:rPr>
          <w:lang w:val="es-ES"/>
        </w:rPr>
        <w:t xml:space="preserve"> (1)</w:t>
      </w:r>
      <w:r w:rsidRPr="005970E9">
        <w:rPr>
          <w:lang w:val="es-ES"/>
        </w:rPr>
        <w:t xml:space="preserve"> de Veraguas,</w:t>
      </w:r>
      <w:r w:rsidR="00C72EA6" w:rsidRPr="005970E9">
        <w:rPr>
          <w:lang w:val="es-ES"/>
        </w:rPr>
        <w:t xml:space="preserve"> ocho</w:t>
      </w:r>
      <w:r w:rsidRPr="005970E9">
        <w:rPr>
          <w:lang w:val="es-ES"/>
        </w:rPr>
        <w:t xml:space="preserve"> </w:t>
      </w:r>
      <w:r w:rsidR="00C72EA6" w:rsidRPr="005970E9">
        <w:rPr>
          <w:lang w:val="es-ES"/>
        </w:rPr>
        <w:t>(</w:t>
      </w:r>
      <w:r w:rsidRPr="005970E9">
        <w:rPr>
          <w:lang w:val="es-ES"/>
        </w:rPr>
        <w:t>8</w:t>
      </w:r>
      <w:r w:rsidR="00C72EA6" w:rsidRPr="005970E9">
        <w:rPr>
          <w:lang w:val="es-ES"/>
        </w:rPr>
        <w:t>)</w:t>
      </w:r>
      <w:r w:rsidRPr="005970E9">
        <w:rPr>
          <w:lang w:val="es-ES"/>
        </w:rPr>
        <w:t xml:space="preserve"> de Panamá y </w:t>
      </w:r>
      <w:r w:rsidR="00C72EA6" w:rsidRPr="005970E9">
        <w:rPr>
          <w:lang w:val="es-ES"/>
        </w:rPr>
        <w:t>cinco (</w:t>
      </w:r>
      <w:r w:rsidRPr="005970E9">
        <w:rPr>
          <w:lang w:val="es-ES"/>
        </w:rPr>
        <w:t>5</w:t>
      </w:r>
      <w:r w:rsidR="00C72EA6" w:rsidRPr="005970E9">
        <w:rPr>
          <w:lang w:val="es-ES"/>
        </w:rPr>
        <w:t>)</w:t>
      </w:r>
      <w:r w:rsidRPr="005970E9">
        <w:rPr>
          <w:lang w:val="es-ES"/>
        </w:rPr>
        <w:t xml:space="preserve"> de Panamá Oeste) y aunque </w:t>
      </w:r>
      <w:r w:rsidR="00B41A2E" w:rsidRPr="005970E9">
        <w:rPr>
          <w:lang w:val="es-ES"/>
        </w:rPr>
        <w:t xml:space="preserve">siguen </w:t>
      </w:r>
      <w:r w:rsidRPr="005970E9">
        <w:rPr>
          <w:lang w:val="es-ES"/>
        </w:rPr>
        <w:t>en minoría respecto a los hombres, dicha representación permitirá que se lleven adelante acciones críticas para el avance de la igualdad de las mujeres (PNUD, 2019</w:t>
      </w:r>
      <w:r w:rsidR="00C72EA6" w:rsidRPr="005970E9">
        <w:rPr>
          <w:lang w:val="es-ES"/>
        </w:rPr>
        <w:t>a</w:t>
      </w:r>
      <w:r w:rsidRPr="005970E9">
        <w:rPr>
          <w:lang w:val="es-ES"/>
        </w:rPr>
        <w:t>). Por otro lado, el que por primera vez llegue una diputada</w:t>
      </w:r>
      <w:r w:rsidRPr="005970E9">
        <w:rPr>
          <w:rFonts w:cs="Arial"/>
          <w:lang w:val="es-ES"/>
        </w:rPr>
        <w:t xml:space="preserve"> indígena como principal (Comarca Guna Yala) puede marcar la diferencia y más que una </w:t>
      </w:r>
      <w:r w:rsidRPr="005970E9">
        <w:rPr>
          <w:rFonts w:cs="Verdana"/>
          <w:color w:val="000000"/>
          <w:lang w:val="es-US" w:eastAsia="en-US"/>
        </w:rPr>
        <w:t xml:space="preserve">representación descriptiva puede ser sustantiva para el logo de las demandas </w:t>
      </w:r>
      <w:r w:rsidRPr="005970E9">
        <w:rPr>
          <w:rFonts w:cs="Arial"/>
          <w:lang w:val="es-ES"/>
        </w:rPr>
        <w:t xml:space="preserve">de las mujeres, </w:t>
      </w:r>
      <w:r w:rsidR="008B1351" w:rsidRPr="005970E9">
        <w:rPr>
          <w:rFonts w:cs="Arial"/>
          <w:lang w:val="es-ES"/>
        </w:rPr>
        <w:t xml:space="preserve">las </w:t>
      </w:r>
      <w:r w:rsidRPr="005970E9">
        <w:rPr>
          <w:rFonts w:cs="Arial"/>
          <w:lang w:val="es-ES"/>
        </w:rPr>
        <w:t xml:space="preserve">niñas y </w:t>
      </w:r>
      <w:r w:rsidR="008B1351" w:rsidRPr="005970E9">
        <w:rPr>
          <w:rFonts w:cs="Arial"/>
          <w:lang w:val="es-ES"/>
        </w:rPr>
        <w:t xml:space="preserve">las </w:t>
      </w:r>
      <w:r w:rsidRPr="005970E9">
        <w:rPr>
          <w:rFonts w:cs="Arial"/>
          <w:lang w:val="es-ES"/>
        </w:rPr>
        <w:t xml:space="preserve">adolescentes de todas las comarcas. </w:t>
      </w:r>
    </w:p>
    <w:p w14:paraId="2AAECB4F" w14:textId="2DE785B7" w:rsidR="0089726B" w:rsidRPr="005970E9" w:rsidRDefault="0089726B" w:rsidP="00437BB9">
      <w:pPr>
        <w:spacing w:before="120" w:after="120" w:line="276" w:lineRule="auto"/>
        <w:jc w:val="both"/>
        <w:rPr>
          <w:rFonts w:eastAsia="Times New Roman"/>
          <w:kern w:val="36"/>
          <w:lang w:eastAsia="es-US"/>
        </w:rPr>
      </w:pPr>
      <w:r w:rsidRPr="005970E9">
        <w:rPr>
          <w:lang w:val="es-ES"/>
        </w:rPr>
        <w:t xml:space="preserve">Datos desalentadores reflejaron que las mujeres representantes de corregimiento para el periodo 2019 – 2024 en las provincias solo alcanzaron un 10.36% y en la comarca Ngäbe Buglé un 7.14% que fue en la única comarca donde las mujeres estuvieron presentes en este peldaño, lo que puede significar un quinquenio perdido para alcanzar las demandas de las mujeres desde el poder local. Algunas experiencias han demostrado que la presencia de mujeres </w:t>
      </w:r>
      <w:r w:rsidRPr="005970E9">
        <w:rPr>
          <w:rFonts w:eastAsia="Times New Roman" w:cs="Tahoma"/>
          <w:lang w:eastAsia="es-US"/>
        </w:rPr>
        <w:t>en los pue</w:t>
      </w:r>
      <w:r w:rsidR="67D2D847" w:rsidRPr="005970E9">
        <w:rPr>
          <w:rFonts w:eastAsia="Times New Roman" w:cs="Tahoma"/>
          <w:lang w:eastAsia="es-US"/>
        </w:rPr>
        <w:t>s</w:t>
      </w:r>
      <w:r w:rsidRPr="005970E9">
        <w:rPr>
          <w:rFonts w:eastAsia="Times New Roman" w:cs="Tahoma"/>
          <w:lang w:eastAsia="es-US"/>
        </w:rPr>
        <w:t>tos de autoridad en los gobiernos locales puede suponer un mecanismo impulsor de proyectos para el beneficio de las comunidades y por ende de las familias, como los relacionados con la dotación de agua potable, caminos de acceso a centros educativos, centros de salud, entre otros que mejoran la calidad de vida de las personas. Por ejemplo, una investigación sobre los consejos locales en la India reveló que donde había mujeres dirigiendo los proyectos de abastecimiento de agua eran un 62% mayor que donde había hombres al frente y en Noruega se destacó “…una relación de causalidad directa entre la presencia de mujeres en los consejos municipales y la cobertura del cuidado infantil” (</w:t>
      </w:r>
      <w:r w:rsidRPr="005970E9">
        <w:rPr>
          <w:lang w:val="es-ES"/>
        </w:rPr>
        <w:t>ONU Mujeres</w:t>
      </w:r>
      <w:r w:rsidR="00C72EA6" w:rsidRPr="005970E9">
        <w:rPr>
          <w:lang w:val="es-ES"/>
        </w:rPr>
        <w:t xml:space="preserve">, </w:t>
      </w:r>
      <w:r w:rsidRPr="005970E9">
        <w:rPr>
          <w:rFonts w:eastAsia="Times New Roman"/>
          <w:kern w:val="36"/>
          <w:lang w:eastAsia="es-US"/>
        </w:rPr>
        <w:t>2020, Pág. 3)</w:t>
      </w:r>
      <w:r w:rsidR="009666C7" w:rsidRPr="005970E9">
        <w:rPr>
          <w:rFonts w:eastAsia="Times New Roman"/>
          <w:kern w:val="36"/>
          <w:lang w:eastAsia="es-US"/>
        </w:rPr>
        <w:t>.</w:t>
      </w:r>
    </w:p>
    <w:p w14:paraId="1C53CC7D" w14:textId="37A73A8F" w:rsidR="0089726B" w:rsidRPr="005970E9" w:rsidRDefault="0089726B" w:rsidP="002B0389">
      <w:pPr>
        <w:spacing w:before="240" w:after="120" w:line="276" w:lineRule="auto"/>
        <w:jc w:val="both"/>
        <w:rPr>
          <w:rFonts w:eastAsia="Times New Roman" w:cs="Times New Roman"/>
          <w:kern w:val="36"/>
          <w:lang w:val="es-ES" w:eastAsia="es-US"/>
        </w:rPr>
      </w:pPr>
      <w:r w:rsidRPr="005970E9">
        <w:rPr>
          <w:lang w:val="es-ES"/>
        </w:rPr>
        <w:t xml:space="preserve">Después de las elecciones del 2019, las candidatas declararon que el reto que todas tuvieron fue el factor económico (PNUD. 2019), demostrando, por un lado, que el factor económico es un impedimento importante para las postulaciones de las mujeres y por el otro, que el poder económico confía más en la capacidad de persuasión y acción de los hombres. El mundo público sigue siendo un lugar pensado y asignado a los hombres. </w:t>
      </w:r>
    </w:p>
    <w:p w14:paraId="55D886FD" w14:textId="17C9C6C9" w:rsidR="0089726B" w:rsidRPr="005970E9" w:rsidRDefault="008A61AF" w:rsidP="00F05050">
      <w:pPr>
        <w:pStyle w:val="Caption"/>
        <w:keepNext/>
        <w:jc w:val="center"/>
        <w:rPr>
          <w:rFonts w:ascii="Century Schoolbook" w:hAnsi="Century Schoolbook"/>
          <w:bCs/>
          <w:i w:val="0"/>
          <w:iCs w:val="0"/>
          <w:sz w:val="20"/>
          <w:szCs w:val="20"/>
        </w:rPr>
      </w:pPr>
      <w:bookmarkStart w:id="81" w:name="_Toc42549197"/>
      <w:r w:rsidRPr="005970E9">
        <w:rPr>
          <w:rFonts w:ascii="Century Schoolbook" w:hAnsi="Century Schoolbook"/>
          <w:i w:val="0"/>
          <w:iCs w:val="0"/>
          <w:sz w:val="20"/>
          <w:szCs w:val="20"/>
        </w:rPr>
        <w:lastRenderedPageBreak/>
        <w:t>Tabla</w:t>
      </w:r>
      <w:r w:rsidR="009666C7" w:rsidRPr="005970E9">
        <w:rPr>
          <w:rFonts w:ascii="Century Schoolbook" w:hAnsi="Century Schoolbook"/>
          <w:i w:val="0"/>
          <w:iCs w:val="0"/>
          <w:sz w:val="20"/>
          <w:szCs w:val="20"/>
        </w:rPr>
        <w:t xml:space="preserve">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9D1829" w:rsidRPr="005970E9">
        <w:rPr>
          <w:rFonts w:ascii="Century Schoolbook" w:hAnsi="Century Schoolbook"/>
          <w:i w:val="0"/>
          <w:iCs w:val="0"/>
          <w:noProof/>
          <w:sz w:val="20"/>
          <w:szCs w:val="20"/>
        </w:rPr>
        <w:t>3</w:t>
      </w:r>
      <w:r w:rsidRPr="005970E9">
        <w:rPr>
          <w:rFonts w:ascii="Century Schoolbook" w:hAnsi="Century Schoolbook"/>
          <w:i w:val="0"/>
          <w:iCs w:val="0"/>
          <w:sz w:val="20"/>
          <w:szCs w:val="20"/>
        </w:rPr>
        <w:fldChar w:fldCharType="end"/>
      </w:r>
      <w:r w:rsidR="009666C7" w:rsidRPr="005970E9">
        <w:rPr>
          <w:rFonts w:ascii="Century Schoolbook" w:hAnsi="Century Schoolbook"/>
          <w:i w:val="0"/>
          <w:iCs w:val="0"/>
          <w:sz w:val="20"/>
          <w:szCs w:val="20"/>
        </w:rPr>
        <w:t xml:space="preserve">. </w:t>
      </w:r>
      <w:r w:rsidR="0089726B" w:rsidRPr="005970E9">
        <w:rPr>
          <w:rFonts w:ascii="Century Schoolbook" w:hAnsi="Century Schoolbook"/>
          <w:bCs/>
          <w:i w:val="0"/>
          <w:iCs w:val="0"/>
          <w:sz w:val="20"/>
          <w:szCs w:val="20"/>
        </w:rPr>
        <w:t xml:space="preserve"> Autoridades nacionales y locales, por sexo, según cargo. 2019 – 2024</w:t>
      </w:r>
      <w:bookmarkEnd w:id="81"/>
    </w:p>
    <w:tbl>
      <w:tblPr>
        <w:tblW w:w="9395" w:type="dxa"/>
        <w:jc w:val="center"/>
        <w:tblLook w:val="04A0" w:firstRow="1" w:lastRow="0" w:firstColumn="1" w:lastColumn="0" w:noHBand="0" w:noVBand="1"/>
      </w:tblPr>
      <w:tblGrid>
        <w:gridCol w:w="3539"/>
        <w:gridCol w:w="2142"/>
        <w:gridCol w:w="1137"/>
        <w:gridCol w:w="767"/>
        <w:gridCol w:w="1043"/>
        <w:gridCol w:w="767"/>
      </w:tblGrid>
      <w:tr w:rsidR="0089726B" w:rsidRPr="005970E9" w14:paraId="133627B5" w14:textId="77777777" w:rsidTr="006A2415">
        <w:trPr>
          <w:jc w:val="center"/>
        </w:trPr>
        <w:tc>
          <w:tcPr>
            <w:tcW w:w="3539" w:type="dxa"/>
            <w:vMerge w:val="restart"/>
            <w:tcBorders>
              <w:top w:val="single" w:sz="4" w:space="0" w:color="auto"/>
              <w:left w:val="single" w:sz="4" w:space="0" w:color="auto"/>
              <w:bottom w:val="single" w:sz="4" w:space="0" w:color="auto"/>
              <w:right w:val="single" w:sz="4" w:space="0" w:color="auto"/>
            </w:tcBorders>
            <w:hideMark/>
          </w:tcPr>
          <w:p w14:paraId="6EBF7EDC" w14:textId="77777777" w:rsidR="0089726B" w:rsidRPr="005970E9" w:rsidRDefault="0089726B">
            <w:r w:rsidRPr="005970E9">
              <w:t xml:space="preserve">Cargos de elección </w:t>
            </w:r>
          </w:p>
        </w:tc>
        <w:tc>
          <w:tcPr>
            <w:tcW w:w="2142" w:type="dxa"/>
            <w:vMerge w:val="restart"/>
            <w:tcBorders>
              <w:top w:val="single" w:sz="4" w:space="0" w:color="auto"/>
              <w:left w:val="single" w:sz="4" w:space="0" w:color="auto"/>
              <w:bottom w:val="single" w:sz="4" w:space="0" w:color="auto"/>
              <w:right w:val="single" w:sz="4" w:space="0" w:color="auto"/>
            </w:tcBorders>
            <w:hideMark/>
          </w:tcPr>
          <w:p w14:paraId="4372ADCA" w14:textId="77777777" w:rsidR="0089726B" w:rsidRPr="005970E9" w:rsidRDefault="0089726B">
            <w:r w:rsidRPr="005970E9">
              <w:t xml:space="preserve">Total de puestos </w:t>
            </w:r>
          </w:p>
        </w:tc>
        <w:tc>
          <w:tcPr>
            <w:tcW w:w="0" w:type="auto"/>
            <w:gridSpan w:val="4"/>
            <w:tcBorders>
              <w:top w:val="single" w:sz="4" w:space="0" w:color="auto"/>
              <w:left w:val="single" w:sz="4" w:space="0" w:color="auto"/>
              <w:bottom w:val="single" w:sz="4" w:space="0" w:color="auto"/>
              <w:right w:val="single" w:sz="4" w:space="0" w:color="auto"/>
            </w:tcBorders>
            <w:hideMark/>
          </w:tcPr>
          <w:p w14:paraId="2181FF91" w14:textId="77777777" w:rsidR="0089726B" w:rsidRPr="005970E9" w:rsidRDefault="0089726B">
            <w:pPr>
              <w:jc w:val="center"/>
            </w:pPr>
            <w:r w:rsidRPr="005970E9">
              <w:t>Sexo de las personas electas</w:t>
            </w:r>
          </w:p>
        </w:tc>
      </w:tr>
      <w:tr w:rsidR="0089726B" w:rsidRPr="005970E9" w14:paraId="3098F076" w14:textId="77777777" w:rsidTr="006A2415">
        <w:trPr>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F9E0FEA" w14:textId="77777777" w:rsidR="0089726B" w:rsidRPr="005970E9" w:rsidRDefault="0089726B"/>
        </w:tc>
        <w:tc>
          <w:tcPr>
            <w:tcW w:w="2142" w:type="dxa"/>
            <w:vMerge/>
            <w:tcBorders>
              <w:top w:val="single" w:sz="4" w:space="0" w:color="auto"/>
              <w:left w:val="single" w:sz="4" w:space="0" w:color="auto"/>
              <w:bottom w:val="single" w:sz="4" w:space="0" w:color="auto"/>
              <w:right w:val="single" w:sz="4" w:space="0" w:color="auto"/>
            </w:tcBorders>
            <w:vAlign w:val="center"/>
            <w:hideMark/>
          </w:tcPr>
          <w:p w14:paraId="0DD55097" w14:textId="77777777" w:rsidR="0089726B" w:rsidRPr="005970E9" w:rsidRDefault="0089726B"/>
        </w:tc>
        <w:tc>
          <w:tcPr>
            <w:tcW w:w="0" w:type="auto"/>
            <w:tcBorders>
              <w:top w:val="single" w:sz="4" w:space="0" w:color="auto"/>
              <w:left w:val="single" w:sz="4" w:space="0" w:color="auto"/>
              <w:bottom w:val="single" w:sz="4" w:space="0" w:color="auto"/>
              <w:right w:val="single" w:sz="4" w:space="0" w:color="auto"/>
            </w:tcBorders>
            <w:hideMark/>
          </w:tcPr>
          <w:p w14:paraId="4B815665" w14:textId="77777777" w:rsidR="0089726B" w:rsidRPr="005970E9" w:rsidRDefault="0089726B">
            <w:r w:rsidRPr="005970E9">
              <w:t xml:space="preserve">Hombres </w:t>
            </w:r>
          </w:p>
        </w:tc>
        <w:tc>
          <w:tcPr>
            <w:tcW w:w="0" w:type="auto"/>
            <w:tcBorders>
              <w:top w:val="single" w:sz="4" w:space="0" w:color="auto"/>
              <w:left w:val="single" w:sz="4" w:space="0" w:color="auto"/>
              <w:bottom w:val="single" w:sz="4" w:space="0" w:color="auto"/>
              <w:right w:val="single" w:sz="4" w:space="0" w:color="auto"/>
            </w:tcBorders>
            <w:hideMark/>
          </w:tcPr>
          <w:p w14:paraId="3BDC3A9B" w14:textId="77777777" w:rsidR="0089726B" w:rsidRPr="005970E9" w:rsidRDefault="0089726B">
            <w:r w:rsidRPr="005970E9">
              <w:t>%</w:t>
            </w:r>
          </w:p>
        </w:tc>
        <w:tc>
          <w:tcPr>
            <w:tcW w:w="0" w:type="auto"/>
            <w:tcBorders>
              <w:top w:val="single" w:sz="4" w:space="0" w:color="auto"/>
              <w:left w:val="single" w:sz="4" w:space="0" w:color="auto"/>
              <w:bottom w:val="single" w:sz="4" w:space="0" w:color="auto"/>
              <w:right w:val="single" w:sz="4" w:space="0" w:color="auto"/>
            </w:tcBorders>
            <w:hideMark/>
          </w:tcPr>
          <w:p w14:paraId="0AC124F4" w14:textId="77777777" w:rsidR="0089726B" w:rsidRPr="005970E9" w:rsidRDefault="0089726B">
            <w:pPr>
              <w:jc w:val="center"/>
            </w:pPr>
            <w:r w:rsidRPr="005970E9">
              <w:t>Mujeres</w:t>
            </w:r>
          </w:p>
        </w:tc>
        <w:tc>
          <w:tcPr>
            <w:tcW w:w="0" w:type="auto"/>
            <w:tcBorders>
              <w:top w:val="single" w:sz="4" w:space="0" w:color="auto"/>
              <w:left w:val="single" w:sz="4" w:space="0" w:color="auto"/>
              <w:bottom w:val="single" w:sz="4" w:space="0" w:color="auto"/>
              <w:right w:val="single" w:sz="4" w:space="0" w:color="auto"/>
            </w:tcBorders>
            <w:hideMark/>
          </w:tcPr>
          <w:p w14:paraId="2EB3538C" w14:textId="77777777" w:rsidR="0089726B" w:rsidRPr="005970E9" w:rsidRDefault="0089726B">
            <w:pPr>
              <w:jc w:val="center"/>
            </w:pPr>
            <w:r w:rsidRPr="005970E9">
              <w:t>%</w:t>
            </w:r>
          </w:p>
        </w:tc>
      </w:tr>
      <w:tr w:rsidR="0089726B" w:rsidRPr="005970E9" w14:paraId="1C1A94FF" w14:textId="77777777" w:rsidTr="006A2415">
        <w:trPr>
          <w:jc w:val="center"/>
        </w:trPr>
        <w:tc>
          <w:tcPr>
            <w:tcW w:w="3539" w:type="dxa"/>
            <w:tcBorders>
              <w:top w:val="single" w:sz="4" w:space="0" w:color="auto"/>
              <w:left w:val="single" w:sz="4" w:space="0" w:color="auto"/>
              <w:bottom w:val="single" w:sz="4" w:space="0" w:color="auto"/>
              <w:right w:val="single" w:sz="4" w:space="0" w:color="auto"/>
            </w:tcBorders>
            <w:hideMark/>
          </w:tcPr>
          <w:p w14:paraId="764DA718" w14:textId="77777777" w:rsidR="0089726B" w:rsidRPr="005970E9" w:rsidRDefault="0089726B">
            <w:r w:rsidRPr="005970E9">
              <w:t xml:space="preserve">Presidencia </w:t>
            </w:r>
          </w:p>
        </w:tc>
        <w:tc>
          <w:tcPr>
            <w:tcW w:w="2142" w:type="dxa"/>
            <w:tcBorders>
              <w:top w:val="single" w:sz="4" w:space="0" w:color="auto"/>
              <w:left w:val="single" w:sz="4" w:space="0" w:color="auto"/>
              <w:bottom w:val="single" w:sz="4" w:space="0" w:color="auto"/>
              <w:right w:val="single" w:sz="4" w:space="0" w:color="auto"/>
            </w:tcBorders>
            <w:hideMark/>
          </w:tcPr>
          <w:p w14:paraId="1C1047D2" w14:textId="77777777" w:rsidR="0089726B" w:rsidRPr="005970E9" w:rsidRDefault="0089726B">
            <w:pPr>
              <w:jc w:val="right"/>
            </w:pPr>
            <w:r w:rsidRPr="005970E9">
              <w:t>1</w:t>
            </w:r>
          </w:p>
        </w:tc>
        <w:tc>
          <w:tcPr>
            <w:tcW w:w="0" w:type="auto"/>
            <w:tcBorders>
              <w:top w:val="single" w:sz="4" w:space="0" w:color="auto"/>
              <w:left w:val="single" w:sz="4" w:space="0" w:color="auto"/>
              <w:bottom w:val="single" w:sz="4" w:space="0" w:color="auto"/>
              <w:right w:val="single" w:sz="4" w:space="0" w:color="auto"/>
            </w:tcBorders>
            <w:hideMark/>
          </w:tcPr>
          <w:p w14:paraId="379FFFC2" w14:textId="77777777" w:rsidR="0089726B" w:rsidRPr="005970E9" w:rsidRDefault="0089726B">
            <w:pPr>
              <w:jc w:val="right"/>
            </w:pPr>
            <w:r w:rsidRPr="005970E9">
              <w:t>1</w:t>
            </w:r>
          </w:p>
        </w:tc>
        <w:tc>
          <w:tcPr>
            <w:tcW w:w="0" w:type="auto"/>
            <w:tcBorders>
              <w:top w:val="single" w:sz="4" w:space="0" w:color="auto"/>
              <w:left w:val="single" w:sz="4" w:space="0" w:color="auto"/>
              <w:bottom w:val="single" w:sz="4" w:space="0" w:color="auto"/>
              <w:right w:val="single" w:sz="4" w:space="0" w:color="auto"/>
            </w:tcBorders>
            <w:hideMark/>
          </w:tcPr>
          <w:p w14:paraId="10237F5C" w14:textId="77777777" w:rsidR="0089726B" w:rsidRPr="005970E9" w:rsidRDefault="0089726B">
            <w:pPr>
              <w:jc w:val="right"/>
            </w:pPr>
            <w:r w:rsidRPr="005970E9">
              <w:t>100</w:t>
            </w:r>
          </w:p>
        </w:tc>
        <w:tc>
          <w:tcPr>
            <w:tcW w:w="0" w:type="auto"/>
            <w:tcBorders>
              <w:top w:val="single" w:sz="4" w:space="0" w:color="auto"/>
              <w:left w:val="single" w:sz="4" w:space="0" w:color="auto"/>
              <w:bottom w:val="single" w:sz="4" w:space="0" w:color="auto"/>
              <w:right w:val="single" w:sz="4" w:space="0" w:color="auto"/>
            </w:tcBorders>
            <w:hideMark/>
          </w:tcPr>
          <w:p w14:paraId="3CD9A3A5" w14:textId="77777777" w:rsidR="0089726B" w:rsidRPr="005970E9" w:rsidRDefault="0089726B">
            <w:pPr>
              <w:jc w:val="right"/>
            </w:pPr>
            <w:r w:rsidRPr="005970E9">
              <w:t>-</w:t>
            </w:r>
          </w:p>
        </w:tc>
        <w:tc>
          <w:tcPr>
            <w:tcW w:w="0" w:type="auto"/>
            <w:tcBorders>
              <w:top w:val="single" w:sz="4" w:space="0" w:color="auto"/>
              <w:left w:val="single" w:sz="4" w:space="0" w:color="auto"/>
              <w:bottom w:val="single" w:sz="4" w:space="0" w:color="auto"/>
              <w:right w:val="single" w:sz="4" w:space="0" w:color="auto"/>
            </w:tcBorders>
            <w:hideMark/>
          </w:tcPr>
          <w:p w14:paraId="0467C5C4" w14:textId="77777777" w:rsidR="0089726B" w:rsidRPr="005970E9" w:rsidRDefault="0089726B">
            <w:pPr>
              <w:jc w:val="right"/>
            </w:pPr>
            <w:r w:rsidRPr="005970E9">
              <w:t>-</w:t>
            </w:r>
          </w:p>
        </w:tc>
      </w:tr>
      <w:tr w:rsidR="0089726B" w:rsidRPr="005970E9" w14:paraId="1DA1E7D4" w14:textId="77777777" w:rsidTr="006A2415">
        <w:trPr>
          <w:jc w:val="center"/>
        </w:trPr>
        <w:tc>
          <w:tcPr>
            <w:tcW w:w="3539" w:type="dxa"/>
            <w:tcBorders>
              <w:top w:val="single" w:sz="4" w:space="0" w:color="auto"/>
              <w:left w:val="single" w:sz="4" w:space="0" w:color="auto"/>
              <w:bottom w:val="single" w:sz="4" w:space="0" w:color="auto"/>
              <w:right w:val="single" w:sz="4" w:space="0" w:color="auto"/>
            </w:tcBorders>
            <w:hideMark/>
          </w:tcPr>
          <w:p w14:paraId="42D2B53B" w14:textId="77777777" w:rsidR="0089726B" w:rsidRPr="005970E9" w:rsidRDefault="0089726B">
            <w:r w:rsidRPr="005970E9">
              <w:t xml:space="preserve">Vicepresidencia </w:t>
            </w:r>
          </w:p>
        </w:tc>
        <w:tc>
          <w:tcPr>
            <w:tcW w:w="2142" w:type="dxa"/>
            <w:tcBorders>
              <w:top w:val="single" w:sz="4" w:space="0" w:color="auto"/>
              <w:left w:val="single" w:sz="4" w:space="0" w:color="auto"/>
              <w:bottom w:val="single" w:sz="4" w:space="0" w:color="auto"/>
              <w:right w:val="single" w:sz="4" w:space="0" w:color="auto"/>
            </w:tcBorders>
            <w:hideMark/>
          </w:tcPr>
          <w:p w14:paraId="287F73EC" w14:textId="77777777" w:rsidR="0089726B" w:rsidRPr="005970E9" w:rsidRDefault="0089726B">
            <w:pPr>
              <w:jc w:val="right"/>
            </w:pPr>
            <w:r w:rsidRPr="005970E9">
              <w:t>1</w:t>
            </w:r>
          </w:p>
        </w:tc>
        <w:tc>
          <w:tcPr>
            <w:tcW w:w="0" w:type="auto"/>
            <w:tcBorders>
              <w:top w:val="single" w:sz="4" w:space="0" w:color="auto"/>
              <w:left w:val="single" w:sz="4" w:space="0" w:color="auto"/>
              <w:bottom w:val="single" w:sz="4" w:space="0" w:color="auto"/>
              <w:right w:val="single" w:sz="4" w:space="0" w:color="auto"/>
            </w:tcBorders>
            <w:hideMark/>
          </w:tcPr>
          <w:p w14:paraId="3C8EF642" w14:textId="77777777" w:rsidR="0089726B" w:rsidRPr="005970E9" w:rsidRDefault="0089726B">
            <w:pPr>
              <w:jc w:val="right"/>
            </w:pPr>
            <w:r w:rsidRPr="005970E9">
              <w:t>1</w:t>
            </w:r>
          </w:p>
        </w:tc>
        <w:tc>
          <w:tcPr>
            <w:tcW w:w="0" w:type="auto"/>
            <w:tcBorders>
              <w:top w:val="single" w:sz="4" w:space="0" w:color="auto"/>
              <w:left w:val="single" w:sz="4" w:space="0" w:color="auto"/>
              <w:bottom w:val="single" w:sz="4" w:space="0" w:color="auto"/>
              <w:right w:val="single" w:sz="4" w:space="0" w:color="auto"/>
            </w:tcBorders>
            <w:hideMark/>
          </w:tcPr>
          <w:p w14:paraId="538A0D6E" w14:textId="77777777" w:rsidR="0089726B" w:rsidRPr="005970E9" w:rsidRDefault="0089726B">
            <w:pPr>
              <w:jc w:val="right"/>
            </w:pPr>
            <w:r w:rsidRPr="005970E9">
              <w:t>100</w:t>
            </w:r>
          </w:p>
        </w:tc>
        <w:tc>
          <w:tcPr>
            <w:tcW w:w="0" w:type="auto"/>
            <w:tcBorders>
              <w:top w:val="single" w:sz="4" w:space="0" w:color="auto"/>
              <w:left w:val="single" w:sz="4" w:space="0" w:color="auto"/>
              <w:bottom w:val="single" w:sz="4" w:space="0" w:color="auto"/>
              <w:right w:val="single" w:sz="4" w:space="0" w:color="auto"/>
            </w:tcBorders>
            <w:hideMark/>
          </w:tcPr>
          <w:p w14:paraId="72320B6D" w14:textId="77777777" w:rsidR="0089726B" w:rsidRPr="005970E9" w:rsidRDefault="0089726B">
            <w:pPr>
              <w:jc w:val="right"/>
            </w:pPr>
            <w:r w:rsidRPr="005970E9">
              <w:t>-</w:t>
            </w:r>
          </w:p>
        </w:tc>
        <w:tc>
          <w:tcPr>
            <w:tcW w:w="0" w:type="auto"/>
            <w:tcBorders>
              <w:top w:val="single" w:sz="4" w:space="0" w:color="auto"/>
              <w:left w:val="single" w:sz="4" w:space="0" w:color="auto"/>
              <w:bottom w:val="single" w:sz="4" w:space="0" w:color="auto"/>
              <w:right w:val="single" w:sz="4" w:space="0" w:color="auto"/>
            </w:tcBorders>
            <w:hideMark/>
          </w:tcPr>
          <w:p w14:paraId="04ED45F8" w14:textId="77777777" w:rsidR="0089726B" w:rsidRPr="005970E9" w:rsidRDefault="0089726B">
            <w:pPr>
              <w:jc w:val="right"/>
            </w:pPr>
            <w:r w:rsidRPr="005970E9">
              <w:t>-</w:t>
            </w:r>
          </w:p>
        </w:tc>
      </w:tr>
      <w:tr w:rsidR="0089726B" w:rsidRPr="005970E9" w14:paraId="08550262" w14:textId="77777777" w:rsidTr="006A2415">
        <w:trPr>
          <w:jc w:val="center"/>
        </w:trPr>
        <w:tc>
          <w:tcPr>
            <w:tcW w:w="3539" w:type="dxa"/>
            <w:vMerge w:val="restart"/>
            <w:tcBorders>
              <w:top w:val="single" w:sz="4" w:space="0" w:color="auto"/>
              <w:left w:val="single" w:sz="4" w:space="0" w:color="auto"/>
              <w:bottom w:val="single" w:sz="4" w:space="0" w:color="auto"/>
              <w:right w:val="single" w:sz="4" w:space="0" w:color="auto"/>
            </w:tcBorders>
            <w:hideMark/>
          </w:tcPr>
          <w:p w14:paraId="67477459" w14:textId="77777777" w:rsidR="0089726B" w:rsidRPr="005970E9" w:rsidRDefault="0089726B">
            <w:r w:rsidRPr="005970E9">
              <w:t xml:space="preserve">Órgano ejecutivo </w:t>
            </w:r>
          </w:p>
        </w:tc>
        <w:tc>
          <w:tcPr>
            <w:tcW w:w="2142" w:type="dxa"/>
            <w:tcBorders>
              <w:top w:val="single" w:sz="4" w:space="0" w:color="auto"/>
              <w:left w:val="single" w:sz="4" w:space="0" w:color="auto"/>
              <w:bottom w:val="single" w:sz="4" w:space="0" w:color="auto"/>
              <w:right w:val="single" w:sz="4" w:space="0" w:color="auto"/>
            </w:tcBorders>
            <w:hideMark/>
          </w:tcPr>
          <w:p w14:paraId="3B476D59" w14:textId="77777777" w:rsidR="0089726B" w:rsidRPr="005970E9" w:rsidRDefault="0089726B">
            <w:pPr>
              <w:jc w:val="right"/>
            </w:pPr>
            <w:r w:rsidRPr="005970E9">
              <w:t xml:space="preserve">17 ministerios </w:t>
            </w:r>
          </w:p>
        </w:tc>
        <w:tc>
          <w:tcPr>
            <w:tcW w:w="0" w:type="auto"/>
            <w:tcBorders>
              <w:top w:val="single" w:sz="4" w:space="0" w:color="auto"/>
              <w:left w:val="single" w:sz="4" w:space="0" w:color="auto"/>
              <w:bottom w:val="single" w:sz="4" w:space="0" w:color="auto"/>
              <w:right w:val="single" w:sz="4" w:space="0" w:color="auto"/>
            </w:tcBorders>
            <w:hideMark/>
          </w:tcPr>
          <w:p w14:paraId="3E3AC234" w14:textId="77777777" w:rsidR="0089726B" w:rsidRPr="005970E9" w:rsidRDefault="0089726B">
            <w:pPr>
              <w:jc w:val="right"/>
            </w:pPr>
            <w:r w:rsidRPr="005970E9">
              <w:t>11</w:t>
            </w:r>
          </w:p>
        </w:tc>
        <w:tc>
          <w:tcPr>
            <w:tcW w:w="0" w:type="auto"/>
            <w:tcBorders>
              <w:top w:val="single" w:sz="4" w:space="0" w:color="auto"/>
              <w:left w:val="single" w:sz="4" w:space="0" w:color="auto"/>
              <w:bottom w:val="single" w:sz="4" w:space="0" w:color="auto"/>
              <w:right w:val="single" w:sz="4" w:space="0" w:color="auto"/>
            </w:tcBorders>
            <w:hideMark/>
          </w:tcPr>
          <w:p w14:paraId="6F391AAE" w14:textId="77777777" w:rsidR="0089726B" w:rsidRPr="005970E9" w:rsidRDefault="0089726B">
            <w:pPr>
              <w:jc w:val="right"/>
            </w:pPr>
            <w:r w:rsidRPr="005970E9">
              <w:t>64.71</w:t>
            </w:r>
          </w:p>
        </w:tc>
        <w:tc>
          <w:tcPr>
            <w:tcW w:w="0" w:type="auto"/>
            <w:tcBorders>
              <w:top w:val="single" w:sz="4" w:space="0" w:color="auto"/>
              <w:left w:val="single" w:sz="4" w:space="0" w:color="auto"/>
              <w:bottom w:val="single" w:sz="4" w:space="0" w:color="auto"/>
              <w:right w:val="single" w:sz="4" w:space="0" w:color="auto"/>
            </w:tcBorders>
            <w:hideMark/>
          </w:tcPr>
          <w:p w14:paraId="7CC18496" w14:textId="77777777" w:rsidR="0089726B" w:rsidRPr="005970E9" w:rsidRDefault="0089726B">
            <w:pPr>
              <w:jc w:val="right"/>
            </w:pPr>
            <w:r w:rsidRPr="005970E9">
              <w:t>6</w:t>
            </w:r>
          </w:p>
        </w:tc>
        <w:tc>
          <w:tcPr>
            <w:tcW w:w="0" w:type="auto"/>
            <w:tcBorders>
              <w:top w:val="single" w:sz="4" w:space="0" w:color="auto"/>
              <w:left w:val="single" w:sz="4" w:space="0" w:color="auto"/>
              <w:bottom w:val="single" w:sz="4" w:space="0" w:color="auto"/>
              <w:right w:val="single" w:sz="4" w:space="0" w:color="auto"/>
            </w:tcBorders>
            <w:hideMark/>
          </w:tcPr>
          <w:p w14:paraId="2708669B" w14:textId="77777777" w:rsidR="0089726B" w:rsidRPr="005970E9" w:rsidRDefault="0089726B">
            <w:pPr>
              <w:jc w:val="right"/>
            </w:pPr>
            <w:r w:rsidRPr="005970E9">
              <w:t>35.29</w:t>
            </w:r>
          </w:p>
        </w:tc>
      </w:tr>
      <w:tr w:rsidR="0089726B" w:rsidRPr="005970E9" w14:paraId="13C5B705" w14:textId="77777777" w:rsidTr="006A2415">
        <w:trPr>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40491450" w14:textId="77777777" w:rsidR="0089726B" w:rsidRPr="005970E9" w:rsidRDefault="0089726B"/>
        </w:tc>
        <w:tc>
          <w:tcPr>
            <w:tcW w:w="2142" w:type="dxa"/>
            <w:tcBorders>
              <w:top w:val="single" w:sz="4" w:space="0" w:color="auto"/>
              <w:left w:val="single" w:sz="4" w:space="0" w:color="auto"/>
              <w:bottom w:val="single" w:sz="4" w:space="0" w:color="auto"/>
              <w:right w:val="single" w:sz="4" w:space="0" w:color="auto"/>
            </w:tcBorders>
            <w:hideMark/>
          </w:tcPr>
          <w:p w14:paraId="4E9D0911" w14:textId="77777777" w:rsidR="0089726B" w:rsidRPr="005970E9" w:rsidRDefault="0089726B">
            <w:pPr>
              <w:jc w:val="right"/>
            </w:pPr>
            <w:r w:rsidRPr="005970E9">
              <w:t xml:space="preserve">20 viceministerios </w:t>
            </w:r>
          </w:p>
        </w:tc>
        <w:tc>
          <w:tcPr>
            <w:tcW w:w="0" w:type="auto"/>
            <w:tcBorders>
              <w:top w:val="single" w:sz="4" w:space="0" w:color="auto"/>
              <w:left w:val="single" w:sz="4" w:space="0" w:color="auto"/>
              <w:bottom w:val="single" w:sz="4" w:space="0" w:color="auto"/>
              <w:right w:val="single" w:sz="4" w:space="0" w:color="auto"/>
            </w:tcBorders>
            <w:hideMark/>
          </w:tcPr>
          <w:p w14:paraId="7971C05E" w14:textId="77777777" w:rsidR="0089726B" w:rsidRPr="005970E9" w:rsidRDefault="0089726B">
            <w:pPr>
              <w:jc w:val="right"/>
            </w:pPr>
            <w:r w:rsidRPr="005970E9">
              <w:t>14</w:t>
            </w:r>
          </w:p>
        </w:tc>
        <w:tc>
          <w:tcPr>
            <w:tcW w:w="0" w:type="auto"/>
            <w:tcBorders>
              <w:top w:val="single" w:sz="4" w:space="0" w:color="auto"/>
              <w:left w:val="single" w:sz="4" w:space="0" w:color="auto"/>
              <w:bottom w:val="single" w:sz="4" w:space="0" w:color="auto"/>
              <w:right w:val="single" w:sz="4" w:space="0" w:color="auto"/>
            </w:tcBorders>
            <w:hideMark/>
          </w:tcPr>
          <w:p w14:paraId="1BEDC545" w14:textId="77777777" w:rsidR="0089726B" w:rsidRPr="005970E9" w:rsidRDefault="0089726B">
            <w:pPr>
              <w:jc w:val="right"/>
            </w:pPr>
            <w:r w:rsidRPr="005970E9">
              <w:t>70.00</w:t>
            </w:r>
          </w:p>
        </w:tc>
        <w:tc>
          <w:tcPr>
            <w:tcW w:w="0" w:type="auto"/>
            <w:tcBorders>
              <w:top w:val="single" w:sz="4" w:space="0" w:color="auto"/>
              <w:left w:val="single" w:sz="4" w:space="0" w:color="auto"/>
              <w:bottom w:val="single" w:sz="4" w:space="0" w:color="auto"/>
              <w:right w:val="single" w:sz="4" w:space="0" w:color="auto"/>
            </w:tcBorders>
            <w:hideMark/>
          </w:tcPr>
          <w:p w14:paraId="0BB5A9EF" w14:textId="77777777" w:rsidR="0089726B" w:rsidRPr="005970E9" w:rsidRDefault="0089726B">
            <w:pPr>
              <w:jc w:val="right"/>
            </w:pPr>
            <w:r w:rsidRPr="005970E9">
              <w:t>6</w:t>
            </w:r>
          </w:p>
        </w:tc>
        <w:tc>
          <w:tcPr>
            <w:tcW w:w="0" w:type="auto"/>
            <w:tcBorders>
              <w:top w:val="single" w:sz="4" w:space="0" w:color="auto"/>
              <w:left w:val="single" w:sz="4" w:space="0" w:color="auto"/>
              <w:bottom w:val="single" w:sz="4" w:space="0" w:color="auto"/>
              <w:right w:val="single" w:sz="4" w:space="0" w:color="auto"/>
            </w:tcBorders>
            <w:hideMark/>
          </w:tcPr>
          <w:p w14:paraId="5344DC56" w14:textId="77777777" w:rsidR="0089726B" w:rsidRPr="005970E9" w:rsidRDefault="0089726B">
            <w:pPr>
              <w:jc w:val="right"/>
            </w:pPr>
            <w:r w:rsidRPr="005970E9">
              <w:t>30.00</w:t>
            </w:r>
          </w:p>
        </w:tc>
      </w:tr>
      <w:tr w:rsidR="0089726B" w:rsidRPr="005970E9" w14:paraId="6FD0CB3B" w14:textId="77777777" w:rsidTr="006A2415">
        <w:trPr>
          <w:jc w:val="center"/>
        </w:trPr>
        <w:tc>
          <w:tcPr>
            <w:tcW w:w="3539" w:type="dxa"/>
            <w:tcBorders>
              <w:top w:val="single" w:sz="4" w:space="0" w:color="auto"/>
              <w:left w:val="single" w:sz="4" w:space="0" w:color="auto"/>
              <w:bottom w:val="single" w:sz="4" w:space="0" w:color="auto"/>
              <w:right w:val="single" w:sz="4" w:space="0" w:color="auto"/>
            </w:tcBorders>
            <w:hideMark/>
          </w:tcPr>
          <w:p w14:paraId="230B0440" w14:textId="77777777" w:rsidR="0089726B" w:rsidRPr="005970E9" w:rsidRDefault="0089726B">
            <w:r w:rsidRPr="005970E9">
              <w:t xml:space="preserve">Asamblea legislativa - principal </w:t>
            </w:r>
          </w:p>
        </w:tc>
        <w:tc>
          <w:tcPr>
            <w:tcW w:w="2142" w:type="dxa"/>
            <w:tcBorders>
              <w:top w:val="single" w:sz="4" w:space="0" w:color="auto"/>
              <w:left w:val="single" w:sz="4" w:space="0" w:color="auto"/>
              <w:bottom w:val="single" w:sz="4" w:space="0" w:color="auto"/>
              <w:right w:val="single" w:sz="4" w:space="0" w:color="auto"/>
            </w:tcBorders>
            <w:hideMark/>
          </w:tcPr>
          <w:p w14:paraId="78AEBF06" w14:textId="77777777" w:rsidR="0089726B" w:rsidRPr="005970E9" w:rsidRDefault="0089726B">
            <w:pPr>
              <w:jc w:val="right"/>
            </w:pPr>
            <w:r w:rsidRPr="005970E9">
              <w:t>71</w:t>
            </w:r>
          </w:p>
        </w:tc>
        <w:tc>
          <w:tcPr>
            <w:tcW w:w="0" w:type="auto"/>
            <w:tcBorders>
              <w:top w:val="single" w:sz="4" w:space="0" w:color="auto"/>
              <w:left w:val="single" w:sz="4" w:space="0" w:color="auto"/>
              <w:bottom w:val="single" w:sz="4" w:space="0" w:color="auto"/>
              <w:right w:val="single" w:sz="4" w:space="0" w:color="auto"/>
            </w:tcBorders>
            <w:hideMark/>
          </w:tcPr>
          <w:p w14:paraId="62E336B9" w14:textId="77777777" w:rsidR="0089726B" w:rsidRPr="005970E9" w:rsidRDefault="0089726B">
            <w:pPr>
              <w:jc w:val="right"/>
            </w:pPr>
            <w:r w:rsidRPr="005970E9">
              <w:t>55</w:t>
            </w:r>
          </w:p>
        </w:tc>
        <w:tc>
          <w:tcPr>
            <w:tcW w:w="0" w:type="auto"/>
            <w:tcBorders>
              <w:top w:val="single" w:sz="4" w:space="0" w:color="auto"/>
              <w:left w:val="single" w:sz="4" w:space="0" w:color="auto"/>
              <w:bottom w:val="single" w:sz="4" w:space="0" w:color="auto"/>
              <w:right w:val="single" w:sz="4" w:space="0" w:color="auto"/>
            </w:tcBorders>
            <w:hideMark/>
          </w:tcPr>
          <w:p w14:paraId="41B746A0" w14:textId="77777777" w:rsidR="0089726B" w:rsidRPr="005970E9" w:rsidRDefault="0089726B">
            <w:pPr>
              <w:jc w:val="right"/>
            </w:pPr>
            <w:r w:rsidRPr="005970E9">
              <w:t>77.46</w:t>
            </w:r>
          </w:p>
        </w:tc>
        <w:tc>
          <w:tcPr>
            <w:tcW w:w="0" w:type="auto"/>
            <w:tcBorders>
              <w:top w:val="single" w:sz="4" w:space="0" w:color="auto"/>
              <w:left w:val="single" w:sz="4" w:space="0" w:color="auto"/>
              <w:bottom w:val="single" w:sz="4" w:space="0" w:color="auto"/>
              <w:right w:val="single" w:sz="4" w:space="0" w:color="auto"/>
            </w:tcBorders>
            <w:hideMark/>
          </w:tcPr>
          <w:p w14:paraId="2F1D45C9" w14:textId="77777777" w:rsidR="0089726B" w:rsidRPr="005970E9" w:rsidRDefault="0089726B">
            <w:pPr>
              <w:jc w:val="right"/>
            </w:pPr>
            <w:r w:rsidRPr="005970E9">
              <w:t>16</w:t>
            </w:r>
          </w:p>
        </w:tc>
        <w:tc>
          <w:tcPr>
            <w:tcW w:w="0" w:type="auto"/>
            <w:tcBorders>
              <w:top w:val="single" w:sz="4" w:space="0" w:color="auto"/>
              <w:left w:val="single" w:sz="4" w:space="0" w:color="auto"/>
              <w:bottom w:val="single" w:sz="4" w:space="0" w:color="auto"/>
              <w:right w:val="single" w:sz="4" w:space="0" w:color="auto"/>
            </w:tcBorders>
            <w:hideMark/>
          </w:tcPr>
          <w:p w14:paraId="110B0BCF" w14:textId="77777777" w:rsidR="0089726B" w:rsidRPr="005970E9" w:rsidRDefault="0089726B">
            <w:pPr>
              <w:jc w:val="right"/>
            </w:pPr>
            <w:r w:rsidRPr="005970E9">
              <w:t>22.54</w:t>
            </w:r>
          </w:p>
        </w:tc>
      </w:tr>
      <w:tr w:rsidR="0089726B" w:rsidRPr="005970E9" w14:paraId="37E59B53" w14:textId="77777777" w:rsidTr="006A2415">
        <w:trPr>
          <w:jc w:val="center"/>
        </w:trPr>
        <w:tc>
          <w:tcPr>
            <w:tcW w:w="3539" w:type="dxa"/>
            <w:tcBorders>
              <w:top w:val="single" w:sz="4" w:space="0" w:color="auto"/>
              <w:left w:val="single" w:sz="4" w:space="0" w:color="auto"/>
              <w:bottom w:val="single" w:sz="4" w:space="0" w:color="auto"/>
              <w:right w:val="single" w:sz="4" w:space="0" w:color="auto"/>
            </w:tcBorders>
            <w:hideMark/>
          </w:tcPr>
          <w:p w14:paraId="381177C4" w14:textId="77777777" w:rsidR="0089726B" w:rsidRPr="005970E9" w:rsidRDefault="0089726B">
            <w:r w:rsidRPr="005970E9">
              <w:t xml:space="preserve">Alcaldías de las provincias </w:t>
            </w:r>
          </w:p>
        </w:tc>
        <w:tc>
          <w:tcPr>
            <w:tcW w:w="2142" w:type="dxa"/>
            <w:tcBorders>
              <w:top w:val="single" w:sz="4" w:space="0" w:color="auto"/>
              <w:left w:val="single" w:sz="4" w:space="0" w:color="auto"/>
              <w:bottom w:val="single" w:sz="4" w:space="0" w:color="auto"/>
              <w:right w:val="single" w:sz="4" w:space="0" w:color="auto"/>
            </w:tcBorders>
            <w:hideMark/>
          </w:tcPr>
          <w:p w14:paraId="112C723F" w14:textId="77777777" w:rsidR="0089726B" w:rsidRPr="005970E9" w:rsidRDefault="0089726B">
            <w:pPr>
              <w:jc w:val="right"/>
            </w:pPr>
            <w:r w:rsidRPr="005970E9">
              <w:t>70</w:t>
            </w:r>
          </w:p>
        </w:tc>
        <w:tc>
          <w:tcPr>
            <w:tcW w:w="0" w:type="auto"/>
            <w:tcBorders>
              <w:top w:val="single" w:sz="4" w:space="0" w:color="auto"/>
              <w:left w:val="single" w:sz="4" w:space="0" w:color="auto"/>
              <w:bottom w:val="single" w:sz="4" w:space="0" w:color="auto"/>
              <w:right w:val="single" w:sz="4" w:space="0" w:color="auto"/>
            </w:tcBorders>
            <w:hideMark/>
          </w:tcPr>
          <w:p w14:paraId="71279EC5" w14:textId="77777777" w:rsidR="0089726B" w:rsidRPr="005970E9" w:rsidRDefault="0089726B">
            <w:pPr>
              <w:jc w:val="right"/>
            </w:pPr>
            <w:r w:rsidRPr="005970E9">
              <w:t>62</w:t>
            </w:r>
          </w:p>
        </w:tc>
        <w:tc>
          <w:tcPr>
            <w:tcW w:w="0" w:type="auto"/>
            <w:tcBorders>
              <w:top w:val="single" w:sz="4" w:space="0" w:color="auto"/>
              <w:left w:val="single" w:sz="4" w:space="0" w:color="auto"/>
              <w:bottom w:val="single" w:sz="4" w:space="0" w:color="auto"/>
              <w:right w:val="single" w:sz="4" w:space="0" w:color="auto"/>
            </w:tcBorders>
            <w:hideMark/>
          </w:tcPr>
          <w:p w14:paraId="1802DB23" w14:textId="77777777" w:rsidR="0089726B" w:rsidRPr="005970E9" w:rsidRDefault="0089726B">
            <w:pPr>
              <w:jc w:val="right"/>
            </w:pPr>
            <w:r w:rsidRPr="005970E9">
              <w:t>88.58</w:t>
            </w:r>
          </w:p>
        </w:tc>
        <w:tc>
          <w:tcPr>
            <w:tcW w:w="0" w:type="auto"/>
            <w:tcBorders>
              <w:top w:val="single" w:sz="4" w:space="0" w:color="auto"/>
              <w:left w:val="single" w:sz="4" w:space="0" w:color="auto"/>
              <w:bottom w:val="single" w:sz="4" w:space="0" w:color="auto"/>
              <w:right w:val="single" w:sz="4" w:space="0" w:color="auto"/>
            </w:tcBorders>
            <w:hideMark/>
          </w:tcPr>
          <w:p w14:paraId="409D9306" w14:textId="77777777" w:rsidR="0089726B" w:rsidRPr="005970E9" w:rsidRDefault="0089726B">
            <w:pPr>
              <w:jc w:val="right"/>
            </w:pPr>
            <w:r w:rsidRPr="005970E9">
              <w:t>8</w:t>
            </w:r>
          </w:p>
        </w:tc>
        <w:tc>
          <w:tcPr>
            <w:tcW w:w="0" w:type="auto"/>
            <w:tcBorders>
              <w:top w:val="single" w:sz="4" w:space="0" w:color="auto"/>
              <w:left w:val="single" w:sz="4" w:space="0" w:color="auto"/>
              <w:bottom w:val="single" w:sz="4" w:space="0" w:color="auto"/>
              <w:right w:val="single" w:sz="4" w:space="0" w:color="auto"/>
            </w:tcBorders>
            <w:hideMark/>
          </w:tcPr>
          <w:p w14:paraId="781E27B1" w14:textId="77777777" w:rsidR="0089726B" w:rsidRPr="005970E9" w:rsidRDefault="0089726B">
            <w:pPr>
              <w:jc w:val="right"/>
            </w:pPr>
            <w:r w:rsidRPr="005970E9">
              <w:t>11.42</w:t>
            </w:r>
          </w:p>
        </w:tc>
      </w:tr>
      <w:tr w:rsidR="0089726B" w:rsidRPr="005970E9" w14:paraId="794509A3" w14:textId="77777777" w:rsidTr="006A2415">
        <w:trPr>
          <w:jc w:val="center"/>
        </w:trPr>
        <w:tc>
          <w:tcPr>
            <w:tcW w:w="3539" w:type="dxa"/>
            <w:tcBorders>
              <w:top w:val="single" w:sz="4" w:space="0" w:color="auto"/>
              <w:left w:val="single" w:sz="4" w:space="0" w:color="auto"/>
              <w:bottom w:val="single" w:sz="4" w:space="0" w:color="auto"/>
              <w:right w:val="single" w:sz="4" w:space="0" w:color="auto"/>
            </w:tcBorders>
            <w:hideMark/>
          </w:tcPr>
          <w:p w14:paraId="7E8499E3" w14:textId="77777777" w:rsidR="0089726B" w:rsidRPr="005970E9" w:rsidRDefault="0089726B">
            <w:r w:rsidRPr="005970E9">
              <w:t xml:space="preserve">Alcaldías de la Comarca Ngäbe Buglé </w:t>
            </w:r>
          </w:p>
        </w:tc>
        <w:tc>
          <w:tcPr>
            <w:tcW w:w="2142" w:type="dxa"/>
            <w:tcBorders>
              <w:top w:val="single" w:sz="4" w:space="0" w:color="auto"/>
              <w:left w:val="single" w:sz="4" w:space="0" w:color="auto"/>
              <w:bottom w:val="single" w:sz="4" w:space="0" w:color="auto"/>
              <w:right w:val="single" w:sz="4" w:space="0" w:color="auto"/>
            </w:tcBorders>
            <w:hideMark/>
          </w:tcPr>
          <w:p w14:paraId="40109865" w14:textId="77777777" w:rsidR="0089726B" w:rsidRPr="005970E9" w:rsidRDefault="0089726B">
            <w:pPr>
              <w:jc w:val="right"/>
            </w:pPr>
            <w:r w:rsidRPr="005970E9">
              <w:t>9</w:t>
            </w:r>
          </w:p>
        </w:tc>
        <w:tc>
          <w:tcPr>
            <w:tcW w:w="0" w:type="auto"/>
            <w:tcBorders>
              <w:top w:val="single" w:sz="4" w:space="0" w:color="auto"/>
              <w:left w:val="single" w:sz="4" w:space="0" w:color="auto"/>
              <w:bottom w:val="single" w:sz="4" w:space="0" w:color="auto"/>
              <w:right w:val="single" w:sz="4" w:space="0" w:color="auto"/>
            </w:tcBorders>
            <w:hideMark/>
          </w:tcPr>
          <w:p w14:paraId="57B32924" w14:textId="77777777" w:rsidR="0089726B" w:rsidRPr="005970E9" w:rsidRDefault="0089726B">
            <w:pPr>
              <w:jc w:val="right"/>
            </w:pPr>
            <w:r w:rsidRPr="005970E9">
              <w:t>5</w:t>
            </w:r>
          </w:p>
        </w:tc>
        <w:tc>
          <w:tcPr>
            <w:tcW w:w="0" w:type="auto"/>
            <w:tcBorders>
              <w:top w:val="single" w:sz="4" w:space="0" w:color="auto"/>
              <w:left w:val="single" w:sz="4" w:space="0" w:color="auto"/>
              <w:bottom w:val="single" w:sz="4" w:space="0" w:color="auto"/>
              <w:right w:val="single" w:sz="4" w:space="0" w:color="auto"/>
            </w:tcBorders>
            <w:hideMark/>
          </w:tcPr>
          <w:p w14:paraId="0F3E2ABD" w14:textId="77777777" w:rsidR="0089726B" w:rsidRPr="005970E9" w:rsidRDefault="0089726B">
            <w:pPr>
              <w:jc w:val="right"/>
            </w:pPr>
            <w:r w:rsidRPr="005970E9">
              <w:t>55.55</w:t>
            </w:r>
          </w:p>
        </w:tc>
        <w:tc>
          <w:tcPr>
            <w:tcW w:w="0" w:type="auto"/>
            <w:tcBorders>
              <w:top w:val="single" w:sz="4" w:space="0" w:color="auto"/>
              <w:left w:val="single" w:sz="4" w:space="0" w:color="auto"/>
              <w:bottom w:val="single" w:sz="4" w:space="0" w:color="auto"/>
              <w:right w:val="single" w:sz="4" w:space="0" w:color="auto"/>
            </w:tcBorders>
            <w:hideMark/>
          </w:tcPr>
          <w:p w14:paraId="5EFA5446" w14:textId="77777777" w:rsidR="0089726B" w:rsidRPr="005970E9" w:rsidRDefault="0089726B">
            <w:pPr>
              <w:jc w:val="right"/>
            </w:pPr>
            <w:r w:rsidRPr="005970E9">
              <w:t>4</w:t>
            </w:r>
          </w:p>
        </w:tc>
        <w:tc>
          <w:tcPr>
            <w:tcW w:w="0" w:type="auto"/>
            <w:tcBorders>
              <w:top w:val="single" w:sz="4" w:space="0" w:color="auto"/>
              <w:left w:val="single" w:sz="4" w:space="0" w:color="auto"/>
              <w:bottom w:val="single" w:sz="4" w:space="0" w:color="auto"/>
              <w:right w:val="single" w:sz="4" w:space="0" w:color="auto"/>
            </w:tcBorders>
            <w:hideMark/>
          </w:tcPr>
          <w:p w14:paraId="447FE370" w14:textId="77777777" w:rsidR="0089726B" w:rsidRPr="005970E9" w:rsidRDefault="0089726B">
            <w:pPr>
              <w:jc w:val="right"/>
            </w:pPr>
            <w:r w:rsidRPr="005970E9">
              <w:t>44.44</w:t>
            </w:r>
          </w:p>
        </w:tc>
      </w:tr>
      <w:tr w:rsidR="0089726B" w:rsidRPr="005970E9" w14:paraId="7065E0FF" w14:textId="77777777" w:rsidTr="006A2415">
        <w:trPr>
          <w:jc w:val="center"/>
        </w:trPr>
        <w:tc>
          <w:tcPr>
            <w:tcW w:w="3539" w:type="dxa"/>
            <w:tcBorders>
              <w:top w:val="single" w:sz="4" w:space="0" w:color="auto"/>
              <w:left w:val="single" w:sz="4" w:space="0" w:color="auto"/>
              <w:bottom w:val="single" w:sz="4" w:space="0" w:color="auto"/>
              <w:right w:val="single" w:sz="4" w:space="0" w:color="auto"/>
            </w:tcBorders>
            <w:hideMark/>
          </w:tcPr>
          <w:p w14:paraId="688FBD21" w14:textId="77777777" w:rsidR="0089726B" w:rsidRPr="005970E9" w:rsidRDefault="0089726B">
            <w:r w:rsidRPr="005970E9">
              <w:t xml:space="preserve">Representantes de corregimientos de las provincias </w:t>
            </w:r>
          </w:p>
        </w:tc>
        <w:tc>
          <w:tcPr>
            <w:tcW w:w="2142" w:type="dxa"/>
            <w:tcBorders>
              <w:top w:val="single" w:sz="4" w:space="0" w:color="auto"/>
              <w:left w:val="single" w:sz="4" w:space="0" w:color="auto"/>
              <w:bottom w:val="single" w:sz="4" w:space="0" w:color="auto"/>
              <w:right w:val="single" w:sz="4" w:space="0" w:color="auto"/>
            </w:tcBorders>
            <w:hideMark/>
          </w:tcPr>
          <w:p w14:paraId="6D579232" w14:textId="77777777" w:rsidR="0089726B" w:rsidRPr="005970E9" w:rsidRDefault="0089726B">
            <w:pPr>
              <w:jc w:val="right"/>
            </w:pPr>
            <w:r w:rsidRPr="005970E9">
              <w:t>598</w:t>
            </w:r>
          </w:p>
        </w:tc>
        <w:tc>
          <w:tcPr>
            <w:tcW w:w="0" w:type="auto"/>
            <w:tcBorders>
              <w:top w:val="single" w:sz="4" w:space="0" w:color="auto"/>
              <w:left w:val="single" w:sz="4" w:space="0" w:color="auto"/>
              <w:bottom w:val="single" w:sz="4" w:space="0" w:color="auto"/>
              <w:right w:val="single" w:sz="4" w:space="0" w:color="auto"/>
            </w:tcBorders>
            <w:hideMark/>
          </w:tcPr>
          <w:p w14:paraId="539087FE" w14:textId="77777777" w:rsidR="0089726B" w:rsidRPr="005970E9" w:rsidRDefault="0089726B">
            <w:pPr>
              <w:jc w:val="right"/>
            </w:pPr>
            <w:r w:rsidRPr="005970E9">
              <w:t>536</w:t>
            </w:r>
          </w:p>
        </w:tc>
        <w:tc>
          <w:tcPr>
            <w:tcW w:w="0" w:type="auto"/>
            <w:tcBorders>
              <w:top w:val="single" w:sz="4" w:space="0" w:color="auto"/>
              <w:left w:val="single" w:sz="4" w:space="0" w:color="auto"/>
              <w:bottom w:val="single" w:sz="4" w:space="0" w:color="auto"/>
              <w:right w:val="single" w:sz="4" w:space="0" w:color="auto"/>
            </w:tcBorders>
            <w:hideMark/>
          </w:tcPr>
          <w:p w14:paraId="6ABDF09D" w14:textId="77777777" w:rsidR="0089726B" w:rsidRPr="005970E9" w:rsidRDefault="0089726B">
            <w:pPr>
              <w:jc w:val="right"/>
            </w:pPr>
            <w:r w:rsidRPr="005970E9">
              <w:t>89.63</w:t>
            </w:r>
          </w:p>
        </w:tc>
        <w:tc>
          <w:tcPr>
            <w:tcW w:w="0" w:type="auto"/>
            <w:tcBorders>
              <w:top w:val="single" w:sz="4" w:space="0" w:color="auto"/>
              <w:left w:val="single" w:sz="4" w:space="0" w:color="auto"/>
              <w:bottom w:val="single" w:sz="4" w:space="0" w:color="auto"/>
              <w:right w:val="single" w:sz="4" w:space="0" w:color="auto"/>
            </w:tcBorders>
            <w:hideMark/>
          </w:tcPr>
          <w:p w14:paraId="13C4B2F8" w14:textId="77777777" w:rsidR="0089726B" w:rsidRPr="005970E9" w:rsidRDefault="0089726B">
            <w:pPr>
              <w:jc w:val="right"/>
            </w:pPr>
            <w:r w:rsidRPr="005970E9">
              <w:t>62</w:t>
            </w:r>
          </w:p>
        </w:tc>
        <w:tc>
          <w:tcPr>
            <w:tcW w:w="0" w:type="auto"/>
            <w:tcBorders>
              <w:top w:val="single" w:sz="4" w:space="0" w:color="auto"/>
              <w:left w:val="single" w:sz="4" w:space="0" w:color="auto"/>
              <w:bottom w:val="single" w:sz="4" w:space="0" w:color="auto"/>
              <w:right w:val="single" w:sz="4" w:space="0" w:color="auto"/>
            </w:tcBorders>
            <w:hideMark/>
          </w:tcPr>
          <w:p w14:paraId="7C129833" w14:textId="77777777" w:rsidR="0089726B" w:rsidRPr="005970E9" w:rsidRDefault="0089726B">
            <w:pPr>
              <w:jc w:val="right"/>
            </w:pPr>
            <w:r w:rsidRPr="005970E9">
              <w:t>10.36</w:t>
            </w:r>
          </w:p>
        </w:tc>
      </w:tr>
      <w:tr w:rsidR="0089726B" w:rsidRPr="005970E9" w14:paraId="50CCC145" w14:textId="77777777" w:rsidTr="006A2415">
        <w:trPr>
          <w:jc w:val="center"/>
        </w:trPr>
        <w:tc>
          <w:tcPr>
            <w:tcW w:w="3539" w:type="dxa"/>
            <w:tcBorders>
              <w:top w:val="single" w:sz="4" w:space="0" w:color="auto"/>
              <w:left w:val="single" w:sz="4" w:space="0" w:color="auto"/>
              <w:bottom w:val="single" w:sz="4" w:space="0" w:color="auto"/>
              <w:right w:val="single" w:sz="4" w:space="0" w:color="auto"/>
            </w:tcBorders>
            <w:hideMark/>
          </w:tcPr>
          <w:p w14:paraId="0F759C3D" w14:textId="77777777" w:rsidR="0089726B" w:rsidRPr="005970E9" w:rsidRDefault="0089726B">
            <w:r w:rsidRPr="005970E9">
              <w:t>Representantes de corregimientos de la comarca Ngäbe Buglé</w:t>
            </w:r>
          </w:p>
        </w:tc>
        <w:tc>
          <w:tcPr>
            <w:tcW w:w="2142" w:type="dxa"/>
            <w:tcBorders>
              <w:top w:val="single" w:sz="4" w:space="0" w:color="auto"/>
              <w:left w:val="single" w:sz="4" w:space="0" w:color="auto"/>
              <w:bottom w:val="single" w:sz="4" w:space="0" w:color="auto"/>
              <w:right w:val="single" w:sz="4" w:space="0" w:color="auto"/>
            </w:tcBorders>
            <w:hideMark/>
          </w:tcPr>
          <w:p w14:paraId="2DF77E8B" w14:textId="77777777" w:rsidR="0089726B" w:rsidRPr="005970E9" w:rsidRDefault="0089726B">
            <w:pPr>
              <w:jc w:val="right"/>
            </w:pPr>
            <w:r w:rsidRPr="005970E9">
              <w:t>70</w:t>
            </w:r>
          </w:p>
        </w:tc>
        <w:tc>
          <w:tcPr>
            <w:tcW w:w="0" w:type="auto"/>
            <w:tcBorders>
              <w:top w:val="single" w:sz="4" w:space="0" w:color="auto"/>
              <w:left w:val="single" w:sz="4" w:space="0" w:color="auto"/>
              <w:bottom w:val="single" w:sz="4" w:space="0" w:color="auto"/>
              <w:right w:val="single" w:sz="4" w:space="0" w:color="auto"/>
            </w:tcBorders>
            <w:hideMark/>
          </w:tcPr>
          <w:p w14:paraId="0ABE5EAF" w14:textId="77777777" w:rsidR="0089726B" w:rsidRPr="005970E9" w:rsidRDefault="0089726B">
            <w:pPr>
              <w:jc w:val="right"/>
            </w:pPr>
            <w:r w:rsidRPr="005970E9">
              <w:t>65</w:t>
            </w:r>
          </w:p>
        </w:tc>
        <w:tc>
          <w:tcPr>
            <w:tcW w:w="0" w:type="auto"/>
            <w:tcBorders>
              <w:top w:val="single" w:sz="4" w:space="0" w:color="auto"/>
              <w:left w:val="single" w:sz="4" w:space="0" w:color="auto"/>
              <w:bottom w:val="single" w:sz="4" w:space="0" w:color="auto"/>
              <w:right w:val="single" w:sz="4" w:space="0" w:color="auto"/>
            </w:tcBorders>
            <w:hideMark/>
          </w:tcPr>
          <w:p w14:paraId="44431E4A" w14:textId="77777777" w:rsidR="0089726B" w:rsidRPr="005970E9" w:rsidRDefault="0089726B">
            <w:pPr>
              <w:jc w:val="right"/>
            </w:pPr>
            <w:r w:rsidRPr="005970E9">
              <w:t>92.85</w:t>
            </w:r>
          </w:p>
        </w:tc>
        <w:tc>
          <w:tcPr>
            <w:tcW w:w="0" w:type="auto"/>
            <w:tcBorders>
              <w:top w:val="single" w:sz="4" w:space="0" w:color="auto"/>
              <w:left w:val="single" w:sz="4" w:space="0" w:color="auto"/>
              <w:bottom w:val="single" w:sz="4" w:space="0" w:color="auto"/>
              <w:right w:val="single" w:sz="4" w:space="0" w:color="auto"/>
            </w:tcBorders>
            <w:hideMark/>
          </w:tcPr>
          <w:p w14:paraId="5DEDD7FE" w14:textId="77777777" w:rsidR="0089726B" w:rsidRPr="005970E9" w:rsidRDefault="0089726B">
            <w:pPr>
              <w:jc w:val="right"/>
            </w:pPr>
            <w:r w:rsidRPr="005970E9">
              <w:t>5</w:t>
            </w:r>
          </w:p>
        </w:tc>
        <w:tc>
          <w:tcPr>
            <w:tcW w:w="0" w:type="auto"/>
            <w:tcBorders>
              <w:top w:val="single" w:sz="4" w:space="0" w:color="auto"/>
              <w:left w:val="single" w:sz="4" w:space="0" w:color="auto"/>
              <w:bottom w:val="single" w:sz="4" w:space="0" w:color="auto"/>
              <w:right w:val="single" w:sz="4" w:space="0" w:color="auto"/>
            </w:tcBorders>
            <w:hideMark/>
          </w:tcPr>
          <w:p w14:paraId="088426AF" w14:textId="77777777" w:rsidR="0089726B" w:rsidRPr="005970E9" w:rsidRDefault="0089726B">
            <w:pPr>
              <w:jc w:val="right"/>
            </w:pPr>
            <w:r w:rsidRPr="005970E9">
              <w:t>7.14</w:t>
            </w:r>
          </w:p>
        </w:tc>
      </w:tr>
      <w:tr w:rsidR="0089726B" w:rsidRPr="005970E9" w14:paraId="1D55E95F" w14:textId="77777777" w:rsidTr="006A2415">
        <w:trPr>
          <w:jc w:val="center"/>
        </w:trPr>
        <w:tc>
          <w:tcPr>
            <w:tcW w:w="3539" w:type="dxa"/>
            <w:tcBorders>
              <w:top w:val="single" w:sz="4" w:space="0" w:color="auto"/>
              <w:left w:val="single" w:sz="4" w:space="0" w:color="auto"/>
              <w:bottom w:val="single" w:sz="4" w:space="0" w:color="auto"/>
              <w:right w:val="single" w:sz="4" w:space="0" w:color="auto"/>
            </w:tcBorders>
            <w:hideMark/>
          </w:tcPr>
          <w:p w14:paraId="5A1F48A9" w14:textId="77777777" w:rsidR="0089726B" w:rsidRPr="005970E9" w:rsidRDefault="0089726B">
            <w:r w:rsidRPr="005970E9">
              <w:t xml:space="preserve">Alcaldías de la Comarca Emberá – Wounaan </w:t>
            </w:r>
          </w:p>
        </w:tc>
        <w:tc>
          <w:tcPr>
            <w:tcW w:w="2142" w:type="dxa"/>
            <w:tcBorders>
              <w:top w:val="single" w:sz="4" w:space="0" w:color="auto"/>
              <w:left w:val="single" w:sz="4" w:space="0" w:color="auto"/>
              <w:bottom w:val="single" w:sz="4" w:space="0" w:color="auto"/>
              <w:right w:val="single" w:sz="4" w:space="0" w:color="auto"/>
            </w:tcBorders>
            <w:hideMark/>
          </w:tcPr>
          <w:p w14:paraId="7D335801" w14:textId="77777777" w:rsidR="0089726B" w:rsidRPr="005970E9" w:rsidRDefault="0089726B">
            <w:pPr>
              <w:jc w:val="right"/>
            </w:pPr>
            <w:r w:rsidRPr="005970E9">
              <w:t>2</w:t>
            </w:r>
          </w:p>
        </w:tc>
        <w:tc>
          <w:tcPr>
            <w:tcW w:w="0" w:type="auto"/>
            <w:tcBorders>
              <w:top w:val="single" w:sz="4" w:space="0" w:color="auto"/>
              <w:left w:val="single" w:sz="4" w:space="0" w:color="auto"/>
              <w:bottom w:val="single" w:sz="4" w:space="0" w:color="auto"/>
              <w:right w:val="single" w:sz="4" w:space="0" w:color="auto"/>
            </w:tcBorders>
            <w:hideMark/>
          </w:tcPr>
          <w:p w14:paraId="35C40BAF" w14:textId="77777777" w:rsidR="0089726B" w:rsidRPr="005970E9" w:rsidRDefault="0089726B">
            <w:pPr>
              <w:jc w:val="right"/>
            </w:pPr>
            <w:r w:rsidRPr="005970E9">
              <w:t>2</w:t>
            </w:r>
          </w:p>
        </w:tc>
        <w:tc>
          <w:tcPr>
            <w:tcW w:w="0" w:type="auto"/>
            <w:tcBorders>
              <w:top w:val="single" w:sz="4" w:space="0" w:color="auto"/>
              <w:left w:val="single" w:sz="4" w:space="0" w:color="auto"/>
              <w:bottom w:val="single" w:sz="4" w:space="0" w:color="auto"/>
              <w:right w:val="single" w:sz="4" w:space="0" w:color="auto"/>
            </w:tcBorders>
            <w:hideMark/>
          </w:tcPr>
          <w:p w14:paraId="3D011303" w14:textId="77777777" w:rsidR="0089726B" w:rsidRPr="005970E9" w:rsidRDefault="0089726B">
            <w:pPr>
              <w:jc w:val="right"/>
            </w:pPr>
            <w:r w:rsidRPr="005970E9">
              <w:t>100</w:t>
            </w:r>
          </w:p>
        </w:tc>
        <w:tc>
          <w:tcPr>
            <w:tcW w:w="0" w:type="auto"/>
            <w:tcBorders>
              <w:top w:val="single" w:sz="4" w:space="0" w:color="auto"/>
              <w:left w:val="single" w:sz="4" w:space="0" w:color="auto"/>
              <w:bottom w:val="single" w:sz="4" w:space="0" w:color="auto"/>
              <w:right w:val="single" w:sz="4" w:space="0" w:color="auto"/>
            </w:tcBorders>
            <w:hideMark/>
          </w:tcPr>
          <w:p w14:paraId="6D433D25" w14:textId="77777777" w:rsidR="0089726B" w:rsidRPr="005970E9" w:rsidRDefault="0089726B">
            <w:pPr>
              <w:jc w:val="right"/>
            </w:pPr>
            <w:r w:rsidRPr="005970E9">
              <w:t>-</w:t>
            </w:r>
          </w:p>
        </w:tc>
        <w:tc>
          <w:tcPr>
            <w:tcW w:w="0" w:type="auto"/>
            <w:tcBorders>
              <w:top w:val="single" w:sz="4" w:space="0" w:color="auto"/>
              <w:left w:val="single" w:sz="4" w:space="0" w:color="auto"/>
              <w:bottom w:val="single" w:sz="4" w:space="0" w:color="auto"/>
              <w:right w:val="single" w:sz="4" w:space="0" w:color="auto"/>
            </w:tcBorders>
            <w:hideMark/>
          </w:tcPr>
          <w:p w14:paraId="478D933A" w14:textId="77777777" w:rsidR="0089726B" w:rsidRPr="005970E9" w:rsidRDefault="0089726B">
            <w:pPr>
              <w:jc w:val="right"/>
            </w:pPr>
            <w:r w:rsidRPr="005970E9">
              <w:t>-</w:t>
            </w:r>
          </w:p>
        </w:tc>
      </w:tr>
      <w:tr w:rsidR="0089726B" w:rsidRPr="005970E9" w14:paraId="2028EB5D" w14:textId="77777777" w:rsidTr="006A2415">
        <w:trPr>
          <w:jc w:val="center"/>
        </w:trPr>
        <w:tc>
          <w:tcPr>
            <w:tcW w:w="3539" w:type="dxa"/>
            <w:tcBorders>
              <w:top w:val="single" w:sz="4" w:space="0" w:color="auto"/>
              <w:left w:val="single" w:sz="4" w:space="0" w:color="auto"/>
              <w:bottom w:val="single" w:sz="4" w:space="0" w:color="auto"/>
              <w:right w:val="single" w:sz="4" w:space="0" w:color="auto"/>
            </w:tcBorders>
            <w:hideMark/>
          </w:tcPr>
          <w:p w14:paraId="03E69810" w14:textId="77777777" w:rsidR="0089726B" w:rsidRPr="005970E9" w:rsidRDefault="0089726B">
            <w:r w:rsidRPr="005970E9">
              <w:t>Representantes de corregimientos de la comarca Emberá – Wounaan</w:t>
            </w:r>
          </w:p>
        </w:tc>
        <w:tc>
          <w:tcPr>
            <w:tcW w:w="2142" w:type="dxa"/>
            <w:tcBorders>
              <w:top w:val="single" w:sz="4" w:space="0" w:color="auto"/>
              <w:left w:val="single" w:sz="4" w:space="0" w:color="auto"/>
              <w:bottom w:val="single" w:sz="4" w:space="0" w:color="auto"/>
              <w:right w:val="single" w:sz="4" w:space="0" w:color="auto"/>
            </w:tcBorders>
            <w:hideMark/>
          </w:tcPr>
          <w:p w14:paraId="40645A48" w14:textId="77777777" w:rsidR="0089726B" w:rsidRPr="005970E9" w:rsidRDefault="0089726B">
            <w:pPr>
              <w:jc w:val="right"/>
            </w:pPr>
            <w:r w:rsidRPr="005970E9">
              <w:t>5</w:t>
            </w:r>
          </w:p>
        </w:tc>
        <w:tc>
          <w:tcPr>
            <w:tcW w:w="0" w:type="auto"/>
            <w:tcBorders>
              <w:top w:val="single" w:sz="4" w:space="0" w:color="auto"/>
              <w:left w:val="single" w:sz="4" w:space="0" w:color="auto"/>
              <w:bottom w:val="single" w:sz="4" w:space="0" w:color="auto"/>
              <w:right w:val="single" w:sz="4" w:space="0" w:color="auto"/>
            </w:tcBorders>
            <w:hideMark/>
          </w:tcPr>
          <w:p w14:paraId="64E84609" w14:textId="77777777" w:rsidR="0089726B" w:rsidRPr="005970E9" w:rsidRDefault="0089726B">
            <w:pPr>
              <w:jc w:val="right"/>
            </w:pPr>
            <w:r w:rsidRPr="005970E9">
              <w:t>5</w:t>
            </w:r>
          </w:p>
        </w:tc>
        <w:tc>
          <w:tcPr>
            <w:tcW w:w="0" w:type="auto"/>
            <w:tcBorders>
              <w:top w:val="single" w:sz="4" w:space="0" w:color="auto"/>
              <w:left w:val="single" w:sz="4" w:space="0" w:color="auto"/>
              <w:bottom w:val="single" w:sz="4" w:space="0" w:color="auto"/>
              <w:right w:val="single" w:sz="4" w:space="0" w:color="auto"/>
            </w:tcBorders>
            <w:hideMark/>
          </w:tcPr>
          <w:p w14:paraId="3DD3A4DB" w14:textId="77777777" w:rsidR="0089726B" w:rsidRPr="005970E9" w:rsidRDefault="0089726B">
            <w:pPr>
              <w:jc w:val="right"/>
            </w:pPr>
            <w:r w:rsidRPr="005970E9">
              <w:t>100</w:t>
            </w:r>
          </w:p>
        </w:tc>
        <w:tc>
          <w:tcPr>
            <w:tcW w:w="0" w:type="auto"/>
            <w:tcBorders>
              <w:top w:val="single" w:sz="4" w:space="0" w:color="auto"/>
              <w:left w:val="single" w:sz="4" w:space="0" w:color="auto"/>
              <w:bottom w:val="single" w:sz="4" w:space="0" w:color="auto"/>
              <w:right w:val="single" w:sz="4" w:space="0" w:color="auto"/>
            </w:tcBorders>
            <w:hideMark/>
          </w:tcPr>
          <w:p w14:paraId="7B683A60" w14:textId="77777777" w:rsidR="0089726B" w:rsidRPr="005970E9" w:rsidRDefault="0089726B">
            <w:pPr>
              <w:jc w:val="right"/>
            </w:pPr>
            <w:r w:rsidRPr="005970E9">
              <w:t>-</w:t>
            </w:r>
          </w:p>
        </w:tc>
        <w:tc>
          <w:tcPr>
            <w:tcW w:w="0" w:type="auto"/>
            <w:tcBorders>
              <w:top w:val="single" w:sz="4" w:space="0" w:color="auto"/>
              <w:left w:val="single" w:sz="4" w:space="0" w:color="auto"/>
              <w:bottom w:val="single" w:sz="4" w:space="0" w:color="auto"/>
              <w:right w:val="single" w:sz="4" w:space="0" w:color="auto"/>
            </w:tcBorders>
            <w:hideMark/>
          </w:tcPr>
          <w:p w14:paraId="68946664" w14:textId="77777777" w:rsidR="0089726B" w:rsidRPr="005970E9" w:rsidRDefault="0089726B">
            <w:pPr>
              <w:jc w:val="right"/>
            </w:pPr>
            <w:r w:rsidRPr="005970E9">
              <w:t>-</w:t>
            </w:r>
          </w:p>
        </w:tc>
      </w:tr>
      <w:tr w:rsidR="0089726B" w:rsidRPr="005970E9" w14:paraId="3A1AC24B" w14:textId="77777777" w:rsidTr="006A2415">
        <w:trPr>
          <w:jc w:val="center"/>
        </w:trPr>
        <w:tc>
          <w:tcPr>
            <w:tcW w:w="3539" w:type="dxa"/>
            <w:tcBorders>
              <w:top w:val="single" w:sz="4" w:space="0" w:color="auto"/>
              <w:left w:val="single" w:sz="4" w:space="0" w:color="auto"/>
              <w:bottom w:val="single" w:sz="4" w:space="0" w:color="auto"/>
              <w:right w:val="single" w:sz="4" w:space="0" w:color="auto"/>
            </w:tcBorders>
            <w:hideMark/>
          </w:tcPr>
          <w:p w14:paraId="5CDA0AE0" w14:textId="77777777" w:rsidR="0089726B" w:rsidRPr="005970E9" w:rsidRDefault="0089726B">
            <w:r w:rsidRPr="005970E9">
              <w:t xml:space="preserve">Representantes de corregimientos </w:t>
            </w:r>
            <w:r w:rsidR="003218CE" w:rsidRPr="005970E9">
              <w:t>de la</w:t>
            </w:r>
            <w:r w:rsidRPr="005970E9">
              <w:t xml:space="preserve"> Comarca Guna Yala </w:t>
            </w:r>
          </w:p>
        </w:tc>
        <w:tc>
          <w:tcPr>
            <w:tcW w:w="2142" w:type="dxa"/>
            <w:tcBorders>
              <w:top w:val="single" w:sz="4" w:space="0" w:color="auto"/>
              <w:left w:val="single" w:sz="4" w:space="0" w:color="auto"/>
              <w:bottom w:val="single" w:sz="4" w:space="0" w:color="auto"/>
              <w:right w:val="single" w:sz="4" w:space="0" w:color="auto"/>
            </w:tcBorders>
            <w:hideMark/>
          </w:tcPr>
          <w:p w14:paraId="33E02724" w14:textId="77777777" w:rsidR="0089726B" w:rsidRPr="005970E9" w:rsidRDefault="0089726B">
            <w:pPr>
              <w:jc w:val="right"/>
            </w:pPr>
            <w:r w:rsidRPr="005970E9">
              <w:t>4</w:t>
            </w:r>
          </w:p>
        </w:tc>
        <w:tc>
          <w:tcPr>
            <w:tcW w:w="0" w:type="auto"/>
            <w:tcBorders>
              <w:top w:val="single" w:sz="4" w:space="0" w:color="auto"/>
              <w:left w:val="single" w:sz="4" w:space="0" w:color="auto"/>
              <w:bottom w:val="single" w:sz="4" w:space="0" w:color="auto"/>
              <w:right w:val="single" w:sz="4" w:space="0" w:color="auto"/>
            </w:tcBorders>
            <w:hideMark/>
          </w:tcPr>
          <w:p w14:paraId="394A5BE8" w14:textId="77777777" w:rsidR="0089726B" w:rsidRPr="005970E9" w:rsidRDefault="0089726B">
            <w:pPr>
              <w:jc w:val="right"/>
            </w:pPr>
            <w:r w:rsidRPr="005970E9">
              <w:t>4</w:t>
            </w:r>
          </w:p>
        </w:tc>
        <w:tc>
          <w:tcPr>
            <w:tcW w:w="0" w:type="auto"/>
            <w:tcBorders>
              <w:top w:val="single" w:sz="4" w:space="0" w:color="auto"/>
              <w:left w:val="single" w:sz="4" w:space="0" w:color="auto"/>
              <w:bottom w:val="single" w:sz="4" w:space="0" w:color="auto"/>
              <w:right w:val="single" w:sz="4" w:space="0" w:color="auto"/>
            </w:tcBorders>
            <w:hideMark/>
          </w:tcPr>
          <w:p w14:paraId="74B4A639" w14:textId="77777777" w:rsidR="0089726B" w:rsidRPr="005970E9" w:rsidRDefault="0089726B">
            <w:pPr>
              <w:jc w:val="right"/>
            </w:pPr>
            <w:r w:rsidRPr="005970E9">
              <w:t>100</w:t>
            </w:r>
          </w:p>
        </w:tc>
        <w:tc>
          <w:tcPr>
            <w:tcW w:w="0" w:type="auto"/>
            <w:tcBorders>
              <w:top w:val="single" w:sz="4" w:space="0" w:color="auto"/>
              <w:left w:val="single" w:sz="4" w:space="0" w:color="auto"/>
              <w:bottom w:val="single" w:sz="4" w:space="0" w:color="auto"/>
              <w:right w:val="single" w:sz="4" w:space="0" w:color="auto"/>
            </w:tcBorders>
            <w:hideMark/>
          </w:tcPr>
          <w:p w14:paraId="5159DBD5" w14:textId="77777777" w:rsidR="0089726B" w:rsidRPr="005970E9" w:rsidRDefault="0089726B">
            <w:pPr>
              <w:jc w:val="right"/>
            </w:pPr>
            <w:r w:rsidRPr="005970E9">
              <w:t>-</w:t>
            </w:r>
          </w:p>
        </w:tc>
        <w:tc>
          <w:tcPr>
            <w:tcW w:w="0" w:type="auto"/>
            <w:tcBorders>
              <w:top w:val="single" w:sz="4" w:space="0" w:color="auto"/>
              <w:left w:val="single" w:sz="4" w:space="0" w:color="auto"/>
              <w:bottom w:val="single" w:sz="4" w:space="0" w:color="auto"/>
              <w:right w:val="single" w:sz="4" w:space="0" w:color="auto"/>
            </w:tcBorders>
            <w:hideMark/>
          </w:tcPr>
          <w:p w14:paraId="7F534F6B" w14:textId="77777777" w:rsidR="0089726B" w:rsidRPr="005970E9" w:rsidRDefault="0089726B">
            <w:pPr>
              <w:jc w:val="right"/>
            </w:pPr>
            <w:r w:rsidRPr="005970E9">
              <w:t>-</w:t>
            </w:r>
          </w:p>
        </w:tc>
      </w:tr>
      <w:tr w:rsidR="0089726B" w:rsidRPr="005970E9" w14:paraId="3EEA090B" w14:textId="77777777" w:rsidTr="006A2415">
        <w:trPr>
          <w:jc w:val="center"/>
        </w:trPr>
        <w:tc>
          <w:tcPr>
            <w:tcW w:w="3539" w:type="dxa"/>
            <w:tcBorders>
              <w:top w:val="single" w:sz="4" w:space="0" w:color="auto"/>
              <w:left w:val="single" w:sz="4" w:space="0" w:color="auto"/>
              <w:bottom w:val="single" w:sz="4" w:space="0" w:color="auto"/>
              <w:right w:val="single" w:sz="4" w:space="0" w:color="auto"/>
            </w:tcBorders>
            <w:hideMark/>
          </w:tcPr>
          <w:p w14:paraId="2F9C8BFE" w14:textId="77777777" w:rsidR="0089726B" w:rsidRPr="005970E9" w:rsidRDefault="0089726B">
            <w:r w:rsidRPr="005970E9">
              <w:t>Representantes de corregimientos de la Comarca Guna de Madugandí</w:t>
            </w:r>
          </w:p>
        </w:tc>
        <w:tc>
          <w:tcPr>
            <w:tcW w:w="2142" w:type="dxa"/>
            <w:tcBorders>
              <w:top w:val="single" w:sz="4" w:space="0" w:color="auto"/>
              <w:left w:val="single" w:sz="4" w:space="0" w:color="auto"/>
              <w:bottom w:val="single" w:sz="4" w:space="0" w:color="auto"/>
              <w:right w:val="single" w:sz="4" w:space="0" w:color="auto"/>
            </w:tcBorders>
            <w:hideMark/>
          </w:tcPr>
          <w:p w14:paraId="23B35376" w14:textId="77777777" w:rsidR="0089726B" w:rsidRPr="005970E9" w:rsidRDefault="0089726B">
            <w:pPr>
              <w:jc w:val="right"/>
            </w:pPr>
            <w:r w:rsidRPr="005970E9">
              <w:t>2</w:t>
            </w:r>
          </w:p>
        </w:tc>
        <w:tc>
          <w:tcPr>
            <w:tcW w:w="0" w:type="auto"/>
            <w:tcBorders>
              <w:top w:val="single" w:sz="4" w:space="0" w:color="auto"/>
              <w:left w:val="single" w:sz="4" w:space="0" w:color="auto"/>
              <w:bottom w:val="single" w:sz="4" w:space="0" w:color="auto"/>
              <w:right w:val="single" w:sz="4" w:space="0" w:color="auto"/>
            </w:tcBorders>
            <w:hideMark/>
          </w:tcPr>
          <w:p w14:paraId="31959495" w14:textId="77777777" w:rsidR="0089726B" w:rsidRPr="005970E9" w:rsidRDefault="0089726B">
            <w:pPr>
              <w:jc w:val="right"/>
            </w:pPr>
            <w:r w:rsidRPr="005970E9">
              <w:t>2</w:t>
            </w:r>
          </w:p>
        </w:tc>
        <w:tc>
          <w:tcPr>
            <w:tcW w:w="0" w:type="auto"/>
            <w:tcBorders>
              <w:top w:val="single" w:sz="4" w:space="0" w:color="auto"/>
              <w:left w:val="single" w:sz="4" w:space="0" w:color="auto"/>
              <w:bottom w:val="single" w:sz="4" w:space="0" w:color="auto"/>
              <w:right w:val="single" w:sz="4" w:space="0" w:color="auto"/>
            </w:tcBorders>
            <w:hideMark/>
          </w:tcPr>
          <w:p w14:paraId="5271F33E" w14:textId="77777777" w:rsidR="0089726B" w:rsidRPr="005970E9" w:rsidRDefault="0089726B">
            <w:pPr>
              <w:jc w:val="right"/>
            </w:pPr>
            <w:r w:rsidRPr="005970E9">
              <w:t>100</w:t>
            </w:r>
          </w:p>
        </w:tc>
        <w:tc>
          <w:tcPr>
            <w:tcW w:w="0" w:type="auto"/>
            <w:tcBorders>
              <w:top w:val="single" w:sz="4" w:space="0" w:color="auto"/>
              <w:left w:val="single" w:sz="4" w:space="0" w:color="auto"/>
              <w:bottom w:val="single" w:sz="4" w:space="0" w:color="auto"/>
              <w:right w:val="single" w:sz="4" w:space="0" w:color="auto"/>
            </w:tcBorders>
            <w:hideMark/>
          </w:tcPr>
          <w:p w14:paraId="788D6690" w14:textId="77777777" w:rsidR="0089726B" w:rsidRPr="005970E9" w:rsidRDefault="0089726B">
            <w:pPr>
              <w:jc w:val="right"/>
            </w:pPr>
            <w:r w:rsidRPr="005970E9">
              <w:t>-</w:t>
            </w:r>
          </w:p>
        </w:tc>
        <w:tc>
          <w:tcPr>
            <w:tcW w:w="0" w:type="auto"/>
            <w:tcBorders>
              <w:top w:val="single" w:sz="4" w:space="0" w:color="auto"/>
              <w:left w:val="single" w:sz="4" w:space="0" w:color="auto"/>
              <w:bottom w:val="single" w:sz="4" w:space="0" w:color="auto"/>
              <w:right w:val="single" w:sz="4" w:space="0" w:color="auto"/>
            </w:tcBorders>
            <w:hideMark/>
          </w:tcPr>
          <w:p w14:paraId="63A4A8BB" w14:textId="77777777" w:rsidR="0089726B" w:rsidRPr="005970E9" w:rsidRDefault="0089726B">
            <w:pPr>
              <w:jc w:val="right"/>
            </w:pPr>
            <w:r w:rsidRPr="005970E9">
              <w:t>-</w:t>
            </w:r>
          </w:p>
        </w:tc>
      </w:tr>
      <w:tr w:rsidR="0089726B" w:rsidRPr="005970E9" w14:paraId="79D63481" w14:textId="77777777" w:rsidTr="006A2415">
        <w:trPr>
          <w:jc w:val="center"/>
        </w:trPr>
        <w:tc>
          <w:tcPr>
            <w:tcW w:w="3539" w:type="dxa"/>
            <w:tcBorders>
              <w:top w:val="single" w:sz="4" w:space="0" w:color="auto"/>
              <w:left w:val="single" w:sz="4" w:space="0" w:color="auto"/>
              <w:bottom w:val="single" w:sz="4" w:space="0" w:color="auto"/>
              <w:right w:val="single" w:sz="4" w:space="0" w:color="auto"/>
            </w:tcBorders>
            <w:hideMark/>
          </w:tcPr>
          <w:p w14:paraId="3369AF2F" w14:textId="77777777" w:rsidR="0089726B" w:rsidRPr="005970E9" w:rsidRDefault="003218CE">
            <w:r w:rsidRPr="005970E9">
              <w:t>Concejales</w:t>
            </w:r>
          </w:p>
        </w:tc>
        <w:tc>
          <w:tcPr>
            <w:tcW w:w="2142" w:type="dxa"/>
            <w:tcBorders>
              <w:top w:val="single" w:sz="4" w:space="0" w:color="auto"/>
              <w:left w:val="single" w:sz="4" w:space="0" w:color="auto"/>
              <w:bottom w:val="single" w:sz="4" w:space="0" w:color="auto"/>
              <w:right w:val="single" w:sz="4" w:space="0" w:color="auto"/>
            </w:tcBorders>
            <w:hideMark/>
          </w:tcPr>
          <w:p w14:paraId="78725CC9" w14:textId="77777777" w:rsidR="0089726B" w:rsidRPr="005970E9" w:rsidRDefault="0089726B">
            <w:pPr>
              <w:jc w:val="right"/>
            </w:pPr>
            <w:r w:rsidRPr="005970E9">
              <w:t>9</w:t>
            </w:r>
          </w:p>
        </w:tc>
        <w:tc>
          <w:tcPr>
            <w:tcW w:w="0" w:type="auto"/>
            <w:tcBorders>
              <w:top w:val="single" w:sz="4" w:space="0" w:color="auto"/>
              <w:left w:val="single" w:sz="4" w:space="0" w:color="auto"/>
              <w:bottom w:val="single" w:sz="4" w:space="0" w:color="auto"/>
              <w:right w:val="single" w:sz="4" w:space="0" w:color="auto"/>
            </w:tcBorders>
            <w:hideMark/>
          </w:tcPr>
          <w:p w14:paraId="565E8C7F" w14:textId="77777777" w:rsidR="0089726B" w:rsidRPr="005970E9" w:rsidRDefault="0089726B">
            <w:pPr>
              <w:jc w:val="right"/>
            </w:pPr>
            <w:r w:rsidRPr="005970E9">
              <w:t>7</w:t>
            </w:r>
          </w:p>
        </w:tc>
        <w:tc>
          <w:tcPr>
            <w:tcW w:w="0" w:type="auto"/>
            <w:tcBorders>
              <w:top w:val="single" w:sz="4" w:space="0" w:color="auto"/>
              <w:left w:val="single" w:sz="4" w:space="0" w:color="auto"/>
              <w:bottom w:val="single" w:sz="4" w:space="0" w:color="auto"/>
              <w:right w:val="single" w:sz="4" w:space="0" w:color="auto"/>
            </w:tcBorders>
            <w:hideMark/>
          </w:tcPr>
          <w:p w14:paraId="0440B92F" w14:textId="77777777" w:rsidR="0089726B" w:rsidRPr="005970E9" w:rsidRDefault="0089726B">
            <w:pPr>
              <w:jc w:val="right"/>
            </w:pPr>
            <w:r w:rsidRPr="005970E9">
              <w:t>77.78</w:t>
            </w:r>
          </w:p>
        </w:tc>
        <w:tc>
          <w:tcPr>
            <w:tcW w:w="0" w:type="auto"/>
            <w:tcBorders>
              <w:top w:val="single" w:sz="4" w:space="0" w:color="auto"/>
              <w:left w:val="single" w:sz="4" w:space="0" w:color="auto"/>
              <w:bottom w:val="single" w:sz="4" w:space="0" w:color="auto"/>
              <w:right w:val="single" w:sz="4" w:space="0" w:color="auto"/>
            </w:tcBorders>
            <w:hideMark/>
          </w:tcPr>
          <w:p w14:paraId="420CF9C5" w14:textId="77777777" w:rsidR="0089726B" w:rsidRPr="005970E9" w:rsidRDefault="0089726B">
            <w:pPr>
              <w:jc w:val="right"/>
            </w:pPr>
            <w:r w:rsidRPr="005970E9">
              <w:t>2</w:t>
            </w:r>
          </w:p>
        </w:tc>
        <w:tc>
          <w:tcPr>
            <w:tcW w:w="0" w:type="auto"/>
            <w:tcBorders>
              <w:top w:val="single" w:sz="4" w:space="0" w:color="auto"/>
              <w:left w:val="single" w:sz="4" w:space="0" w:color="auto"/>
              <w:bottom w:val="single" w:sz="4" w:space="0" w:color="auto"/>
              <w:right w:val="single" w:sz="4" w:space="0" w:color="auto"/>
            </w:tcBorders>
            <w:hideMark/>
          </w:tcPr>
          <w:p w14:paraId="06D6CF2A" w14:textId="77777777" w:rsidR="0089726B" w:rsidRPr="005970E9" w:rsidRDefault="0089726B">
            <w:pPr>
              <w:jc w:val="right"/>
            </w:pPr>
            <w:r w:rsidRPr="005970E9">
              <w:t>22.22</w:t>
            </w:r>
          </w:p>
        </w:tc>
      </w:tr>
    </w:tbl>
    <w:p w14:paraId="29A9262F" w14:textId="77777777" w:rsidR="0089726B" w:rsidRPr="005970E9" w:rsidRDefault="0089726B" w:rsidP="0089726B">
      <w:pPr>
        <w:jc w:val="both"/>
        <w:rPr>
          <w:sz w:val="20"/>
          <w:szCs w:val="20"/>
        </w:rPr>
      </w:pPr>
      <w:r w:rsidRPr="005970E9">
        <w:rPr>
          <w:sz w:val="20"/>
          <w:szCs w:val="20"/>
        </w:rPr>
        <w:t xml:space="preserve">Fuente: Elaboración propia con datos de AMUPA (listado de alcaldías y corregimientos), Tribunal Electoral y documento del PNUD 2019: </w:t>
      </w:r>
      <w:r w:rsidRPr="005970E9">
        <w:rPr>
          <w:rFonts w:cs="Arial"/>
          <w:sz w:val="20"/>
          <w:szCs w:val="20"/>
          <w:lang w:val="es-ES"/>
        </w:rPr>
        <w:t>Crecimiento sin Igualdad no es Desarrollo. La Política También es Asunto de Mujeres.</w:t>
      </w:r>
    </w:p>
    <w:p w14:paraId="56358BA5" w14:textId="3003A8D6" w:rsidR="0089726B" w:rsidRPr="005970E9" w:rsidRDefault="0089726B" w:rsidP="00551F88">
      <w:pPr>
        <w:pStyle w:val="Heading3"/>
        <w:numPr>
          <w:ilvl w:val="2"/>
          <w:numId w:val="8"/>
        </w:numPr>
        <w:rPr>
          <w:rFonts w:cs="EFBIJK+BalloonBold"/>
          <w:bCs/>
          <w:lang w:eastAsia="en-US"/>
        </w:rPr>
      </w:pPr>
      <w:bookmarkStart w:id="82" w:name="_Toc42159195"/>
      <w:bookmarkStart w:id="83" w:name="_Toc42549431"/>
      <w:r w:rsidRPr="005970E9">
        <w:t>Participación de las mujeres panameñas en el Órgano Ejecutivo</w:t>
      </w:r>
      <w:bookmarkEnd w:id="82"/>
      <w:bookmarkEnd w:id="83"/>
      <w:r w:rsidRPr="005970E9">
        <w:t xml:space="preserve"> </w:t>
      </w:r>
    </w:p>
    <w:p w14:paraId="5F3B17B9" w14:textId="47B18B69" w:rsidR="0089726B" w:rsidRPr="005970E9" w:rsidRDefault="0089726B" w:rsidP="0089726B">
      <w:pPr>
        <w:tabs>
          <w:tab w:val="left" w:pos="1701"/>
        </w:tabs>
        <w:spacing w:before="120" w:after="120" w:line="276" w:lineRule="auto"/>
        <w:jc w:val="both"/>
        <w:rPr>
          <w:rFonts w:cs="Arial"/>
          <w:lang w:val="es-ES"/>
        </w:rPr>
      </w:pPr>
      <w:r w:rsidRPr="005970E9">
        <w:rPr>
          <w:rFonts w:cs="Arial"/>
          <w:lang w:val="es-ES"/>
        </w:rPr>
        <w:t>E</w:t>
      </w:r>
      <w:r w:rsidR="00B53CBA" w:rsidRPr="005970E9">
        <w:rPr>
          <w:rFonts w:cs="Arial"/>
          <w:lang w:val="es-ES"/>
        </w:rPr>
        <w:t>n e</w:t>
      </w:r>
      <w:r w:rsidRPr="005970E9">
        <w:rPr>
          <w:rFonts w:cs="Arial"/>
          <w:lang w:val="es-ES"/>
        </w:rPr>
        <w:t>l período 2019 – 202</w:t>
      </w:r>
      <w:r w:rsidR="00870BD5" w:rsidRPr="005970E9">
        <w:rPr>
          <w:rFonts w:cs="Arial"/>
          <w:lang w:val="es-ES"/>
        </w:rPr>
        <w:t>4</w:t>
      </w:r>
      <w:r w:rsidRPr="005970E9">
        <w:rPr>
          <w:rFonts w:cs="Arial"/>
          <w:lang w:val="es-ES"/>
        </w:rPr>
        <w:t xml:space="preserve"> el cargo de presidente correspondió a un hombre, como ha ocurrido históricamente, salvo en el periodo 1999 </w:t>
      </w:r>
      <w:r w:rsidRPr="005970E9">
        <w:rPr>
          <w:rStyle w:val="algo-summary"/>
        </w:rPr>
        <w:t xml:space="preserve">- 2004 donde una mujer fue presidenta, pero sin </w:t>
      </w:r>
      <w:r w:rsidR="002253EE" w:rsidRPr="005970E9">
        <w:rPr>
          <w:rStyle w:val="algo-summary"/>
        </w:rPr>
        <w:t xml:space="preserve">lograr un </w:t>
      </w:r>
      <w:r w:rsidRPr="005970E9">
        <w:rPr>
          <w:rStyle w:val="algo-summary"/>
        </w:rPr>
        <w:t xml:space="preserve">impacto </w:t>
      </w:r>
      <w:r w:rsidR="002B0389" w:rsidRPr="005970E9">
        <w:rPr>
          <w:rStyle w:val="algo-summary"/>
        </w:rPr>
        <w:t xml:space="preserve">relevante </w:t>
      </w:r>
      <w:r w:rsidRPr="005970E9">
        <w:rPr>
          <w:rStyle w:val="algo-summary"/>
        </w:rPr>
        <w:t>para la representación de los intereses prácticos y estratégicos de las mujeres, las adolescentes y las niñas</w:t>
      </w:r>
      <w:r w:rsidR="002B0389" w:rsidRPr="005970E9">
        <w:rPr>
          <w:rStyle w:val="algo-summary"/>
        </w:rPr>
        <w:t xml:space="preserve">. En su periodo se </w:t>
      </w:r>
      <w:r w:rsidRPr="005970E9">
        <w:rPr>
          <w:rStyle w:val="algo-summary"/>
        </w:rPr>
        <w:t>formul</w:t>
      </w:r>
      <w:r w:rsidR="002B0389" w:rsidRPr="005970E9">
        <w:rPr>
          <w:rStyle w:val="algo-summary"/>
        </w:rPr>
        <w:t xml:space="preserve">ó el Plan de Igualdad de Oportunidades </w:t>
      </w:r>
      <w:r w:rsidR="00AA46AE" w:rsidRPr="005970E9">
        <w:rPr>
          <w:rStyle w:val="algo-summary"/>
        </w:rPr>
        <w:t>que dio seguimiento al Plan Nacional Mujer y Desarrollo, elaborado por las organizaciones de mujeres y que inició su ejecución con el Programa PROIGUALDAD 1997-2002</w:t>
      </w:r>
      <w:r w:rsidR="00AA46AE" w:rsidRPr="005970E9">
        <w:rPr>
          <w:rStyle w:val="FootnoteReference"/>
        </w:rPr>
        <w:footnoteReference w:id="25"/>
      </w:r>
      <w:r w:rsidRPr="005970E9">
        <w:rPr>
          <w:rStyle w:val="algo-summary"/>
        </w:rPr>
        <w:t xml:space="preserve">. En cuanto a la vicepresidencia de la república </w:t>
      </w:r>
      <w:r w:rsidR="005F4EB4" w:rsidRPr="005970E9">
        <w:rPr>
          <w:rStyle w:val="algo-summary"/>
        </w:rPr>
        <w:t xml:space="preserve">los hombres se suceden en ese cargo, con la </w:t>
      </w:r>
      <w:r w:rsidRPr="005970E9">
        <w:rPr>
          <w:rFonts w:cs="Arial"/>
          <w:lang w:val="es-ES"/>
        </w:rPr>
        <w:t>excepci</w:t>
      </w:r>
      <w:r w:rsidR="005F4EB4" w:rsidRPr="005970E9">
        <w:rPr>
          <w:rFonts w:cs="Arial"/>
          <w:lang w:val="es-ES"/>
        </w:rPr>
        <w:t xml:space="preserve">ón del </w:t>
      </w:r>
      <w:r w:rsidRPr="005970E9">
        <w:rPr>
          <w:rFonts w:cs="Arial"/>
          <w:lang w:val="es-ES"/>
        </w:rPr>
        <w:t xml:space="preserve">período 2015 – 2019 donde hubo una mujer vicepresidenta, pero su presencia no </w:t>
      </w:r>
      <w:r w:rsidR="00810FE5" w:rsidRPr="005970E9">
        <w:rPr>
          <w:rFonts w:cs="Arial"/>
          <w:lang w:val="es-ES"/>
        </w:rPr>
        <w:t>logr</w:t>
      </w:r>
      <w:r w:rsidRPr="005970E9">
        <w:rPr>
          <w:rFonts w:cs="Arial"/>
          <w:lang w:val="es-ES"/>
        </w:rPr>
        <w:t>ó</w:t>
      </w:r>
      <w:r w:rsidR="002D0C62" w:rsidRPr="005970E9">
        <w:rPr>
          <w:rFonts w:cs="Arial"/>
          <w:lang w:val="es-ES"/>
        </w:rPr>
        <w:t xml:space="preserve"> que se dieran</w:t>
      </w:r>
      <w:r w:rsidRPr="005970E9">
        <w:rPr>
          <w:rFonts w:cs="Arial"/>
          <w:lang w:val="es-ES"/>
        </w:rPr>
        <w:t xml:space="preserve"> cambios sustanciales en cuanto a la transversalización de género</w:t>
      </w:r>
      <w:r w:rsidR="005F4EB4" w:rsidRPr="005970E9">
        <w:rPr>
          <w:rFonts w:cs="Arial"/>
          <w:lang w:val="es-ES"/>
        </w:rPr>
        <w:t>. L</w:t>
      </w:r>
      <w:r w:rsidR="002D0C62" w:rsidRPr="005970E9">
        <w:rPr>
          <w:rFonts w:cs="Arial"/>
          <w:lang w:val="es-ES"/>
        </w:rPr>
        <w:t>os estudios, la reflexión y p</w:t>
      </w:r>
      <w:r w:rsidRPr="005970E9">
        <w:rPr>
          <w:rFonts w:cs="Arial"/>
          <w:lang w:val="es-ES"/>
        </w:rPr>
        <w:t>olíticas públicas favorables para la equidad y la paridad política</w:t>
      </w:r>
      <w:r w:rsidR="002D0C62" w:rsidRPr="005970E9">
        <w:rPr>
          <w:rFonts w:cs="Arial"/>
          <w:lang w:val="es-ES"/>
        </w:rPr>
        <w:t xml:space="preserve"> no lograron </w:t>
      </w:r>
      <w:r w:rsidR="002D0C62" w:rsidRPr="005970E9">
        <w:rPr>
          <w:rFonts w:cs="Arial"/>
          <w:lang w:val="es-ES"/>
        </w:rPr>
        <w:lastRenderedPageBreak/>
        <w:t>asignaciones presupuestarias para su desarrollo,</w:t>
      </w:r>
      <w:r w:rsidR="00810FE5" w:rsidRPr="005970E9">
        <w:rPr>
          <w:rFonts w:cs="Arial"/>
          <w:lang w:val="es-ES"/>
        </w:rPr>
        <w:t xml:space="preserve"> </w:t>
      </w:r>
      <w:r w:rsidR="002D0C62" w:rsidRPr="005970E9">
        <w:rPr>
          <w:rFonts w:cs="Arial"/>
          <w:lang w:val="es-ES"/>
        </w:rPr>
        <w:t xml:space="preserve">los </w:t>
      </w:r>
      <w:r w:rsidR="00810FE5" w:rsidRPr="005970E9">
        <w:rPr>
          <w:rFonts w:cs="Arial"/>
          <w:lang w:val="es-ES"/>
        </w:rPr>
        <w:t xml:space="preserve">proyectos </w:t>
      </w:r>
      <w:r w:rsidR="002D0C62" w:rsidRPr="005970E9">
        <w:rPr>
          <w:rFonts w:cs="Arial"/>
          <w:lang w:val="es-ES"/>
        </w:rPr>
        <w:t xml:space="preserve">relevantes realizados fueron </w:t>
      </w:r>
      <w:r w:rsidR="00810FE5" w:rsidRPr="005970E9">
        <w:rPr>
          <w:rFonts w:cs="Arial"/>
          <w:lang w:val="es-ES"/>
        </w:rPr>
        <w:t>puntuales</w:t>
      </w:r>
      <w:r w:rsidR="005F4EB4" w:rsidRPr="005970E9">
        <w:rPr>
          <w:rFonts w:cs="Arial"/>
          <w:lang w:val="es-ES"/>
        </w:rPr>
        <w:t xml:space="preserve"> y</w:t>
      </w:r>
      <w:r w:rsidR="00810FE5" w:rsidRPr="005970E9">
        <w:rPr>
          <w:rFonts w:cs="Arial"/>
          <w:lang w:val="es-ES"/>
        </w:rPr>
        <w:t xml:space="preserve"> financiados por la cooperación internacional</w:t>
      </w:r>
      <w:r w:rsidRPr="005970E9">
        <w:rPr>
          <w:rFonts w:cs="Arial"/>
          <w:lang w:val="es-ES"/>
        </w:rPr>
        <w:t xml:space="preserve">.  </w:t>
      </w:r>
    </w:p>
    <w:p w14:paraId="790A0BCA" w14:textId="57144BF9" w:rsidR="0089726B" w:rsidRPr="005970E9" w:rsidRDefault="0089726B" w:rsidP="0089726B">
      <w:pPr>
        <w:tabs>
          <w:tab w:val="left" w:pos="1701"/>
        </w:tabs>
        <w:spacing w:before="120" w:after="120" w:line="276" w:lineRule="auto"/>
        <w:jc w:val="both"/>
        <w:rPr>
          <w:rFonts w:cs="Arial"/>
        </w:rPr>
      </w:pPr>
      <w:r w:rsidRPr="005970E9">
        <w:rPr>
          <w:rFonts w:cs="Arial"/>
        </w:rPr>
        <w:t>La Ley 4 de Igualdad de Oportunidades para las Mujeres de 1999 estableció la obligatoriedad de garantizar la participación del 30%, por lo menos, de mujeres en los distintos cargos de autoridad política y gubernamental (ministras, viceministras, directoras de instituciones autónomas y semiautónomas y demás). En el período 2014 -2016 la designación de ministras mujeres fue de 14% y del 2015 – 2016 fue de 21% y para las entidades autónomas y semiautónomas de los mismos períodos fue de 33% y 28% respectivamente (MIDES, 2016, pág. 77)</w:t>
      </w:r>
      <w:r w:rsidR="00810FE5" w:rsidRPr="005970E9">
        <w:rPr>
          <w:rFonts w:cs="Arial"/>
        </w:rPr>
        <w:t>.</w:t>
      </w:r>
    </w:p>
    <w:p w14:paraId="117340B1" w14:textId="74E57A88" w:rsidR="0089726B" w:rsidRPr="005970E9" w:rsidRDefault="0089726B" w:rsidP="00437BB9">
      <w:pPr>
        <w:spacing w:line="276" w:lineRule="auto"/>
        <w:jc w:val="both"/>
        <w:rPr>
          <w:rFonts w:eastAsia="Times New Roman" w:cs="Times New Roman"/>
          <w:kern w:val="36"/>
          <w:lang w:eastAsia="es-US"/>
        </w:rPr>
      </w:pPr>
      <w:r w:rsidRPr="005970E9">
        <w:rPr>
          <w:lang w:val="es-ES"/>
        </w:rPr>
        <w:t>Pasadas las últimas elecciones en mayo 2019, las mujeres designadas para ministras personifican el 35.29%</w:t>
      </w:r>
      <w:r w:rsidRPr="005970E9">
        <w:rPr>
          <w:rStyle w:val="FootnoteReference"/>
          <w:rFonts w:cs="Arial"/>
          <w:lang w:val="es-ES"/>
        </w:rPr>
        <w:footnoteReference w:id="26"/>
      </w:r>
      <w:r w:rsidRPr="005970E9">
        <w:rPr>
          <w:lang w:val="es-ES"/>
        </w:rPr>
        <w:t xml:space="preserve"> del ejecutivo, ocupando aquellas carteras que tradicionalmente se consideran más “adecuadas” para mujeres por su rol reproductivo y de cuidadoras, como los ministerios de educación, salud, desarrollo social, y vivienda, entre otros. Los resultados anteriores superan en porcentaje las referencias internacionales que mostraron que, en el 2019</w:t>
      </w:r>
      <w:r w:rsidRPr="005970E9">
        <w:rPr>
          <w:rFonts w:eastAsia="Times New Roman" w:cs="Tahoma"/>
          <w:lang w:eastAsia="es-US"/>
        </w:rPr>
        <w:t>, solo el 20.7 % de los cargos ministeriales estaban ocupados por mujeres, pero similar a las cinco carteras más comunes que ocupan las mujeres: las de asuntos sociales; las de carácter social (familia, infancia, juventud, adultos mayores, discapacidad); medio ambiente (recursos naturales y energía)</w:t>
      </w:r>
      <w:r w:rsidR="00E64C7B" w:rsidRPr="005970E9">
        <w:rPr>
          <w:rFonts w:eastAsia="Times New Roman" w:cs="Tahoma"/>
          <w:lang w:eastAsia="es-US"/>
        </w:rPr>
        <w:t>;</w:t>
      </w:r>
      <w:r w:rsidRPr="005970E9">
        <w:rPr>
          <w:rFonts w:eastAsia="Times New Roman" w:cs="Tahoma"/>
          <w:lang w:eastAsia="es-US"/>
        </w:rPr>
        <w:t xml:space="preserve"> trabajo y formación vocacional; y comercio e industria (</w:t>
      </w:r>
      <w:r w:rsidRPr="005970E9">
        <w:rPr>
          <w:lang w:val="es-ES"/>
        </w:rPr>
        <w:t>ONU</w:t>
      </w:r>
      <w:r w:rsidR="001A2721" w:rsidRPr="005970E9">
        <w:rPr>
          <w:lang w:val="es-ES"/>
        </w:rPr>
        <w:t xml:space="preserve">, </w:t>
      </w:r>
      <w:r w:rsidRPr="005970E9">
        <w:rPr>
          <w:rFonts w:eastAsia="Times New Roman"/>
          <w:kern w:val="36"/>
          <w:lang w:eastAsia="es-US"/>
        </w:rPr>
        <w:t>2020, Pág. 3)</w:t>
      </w:r>
      <w:r w:rsidR="00E64C7B" w:rsidRPr="005970E9">
        <w:rPr>
          <w:rFonts w:eastAsia="Times New Roman"/>
          <w:kern w:val="36"/>
          <w:lang w:eastAsia="es-US"/>
        </w:rPr>
        <w:t>.</w:t>
      </w:r>
    </w:p>
    <w:p w14:paraId="0D8586F8" w14:textId="7BF4455E" w:rsidR="0089726B" w:rsidRPr="005970E9" w:rsidRDefault="0089726B" w:rsidP="0089726B">
      <w:pPr>
        <w:tabs>
          <w:tab w:val="left" w:pos="1701"/>
        </w:tabs>
        <w:spacing w:before="120" w:after="120" w:line="276" w:lineRule="auto"/>
        <w:jc w:val="both"/>
        <w:rPr>
          <w:rFonts w:eastAsiaTheme="minorHAnsi" w:cs="Arial"/>
          <w:lang w:val="es-ES"/>
        </w:rPr>
      </w:pPr>
      <w:r w:rsidRPr="005970E9">
        <w:rPr>
          <w:rFonts w:cs="Arial"/>
          <w:lang w:val="es-ES"/>
        </w:rPr>
        <w:t xml:space="preserve">Comparado con periodos anteriores se puede decir que del 2019 al 2020, en cuanto al cargo de ministra, se cumple con el porcentaje mínimo asignado, pero no </w:t>
      </w:r>
      <w:r w:rsidR="005372D7" w:rsidRPr="005970E9">
        <w:rPr>
          <w:rFonts w:cs="Arial"/>
          <w:lang w:val="es-ES"/>
        </w:rPr>
        <w:t xml:space="preserve">se </w:t>
      </w:r>
      <w:r w:rsidR="000B0782" w:rsidRPr="005970E9">
        <w:rPr>
          <w:rFonts w:cs="Arial"/>
          <w:lang w:val="es-ES"/>
        </w:rPr>
        <w:t>puede afirmar</w:t>
      </w:r>
      <w:r w:rsidRPr="005970E9">
        <w:rPr>
          <w:rFonts w:cs="Arial"/>
          <w:lang w:val="es-ES"/>
        </w:rPr>
        <w:t xml:space="preserve"> si fue por convicción, por coyuntura partidista, por capacidades, aptitudes y experiencia profesional de los hombres y mujeres designadas.  </w:t>
      </w:r>
    </w:p>
    <w:p w14:paraId="56978234" w14:textId="6B186909" w:rsidR="0089726B" w:rsidRPr="005970E9" w:rsidRDefault="0089726B" w:rsidP="0089726B">
      <w:pPr>
        <w:tabs>
          <w:tab w:val="left" w:pos="1701"/>
        </w:tabs>
        <w:spacing w:before="120" w:after="120" w:line="276" w:lineRule="auto"/>
        <w:jc w:val="both"/>
        <w:rPr>
          <w:rFonts w:cs="Arial"/>
          <w:lang w:val="es-ES"/>
        </w:rPr>
      </w:pPr>
      <w:r w:rsidRPr="005970E9">
        <w:rPr>
          <w:rFonts w:cs="Arial"/>
          <w:lang w:val="es-ES"/>
        </w:rPr>
        <w:t>Otros cargos dentro del ejecutivo (2019 -2024) no corrieron con la misma suerte, como en las entidades autónomas y semiautónomas donde la representación de directoras fue de 21.06% y en las secretarías ejecutivas de 20%</w:t>
      </w:r>
      <w:r w:rsidRPr="005970E9">
        <w:rPr>
          <w:rStyle w:val="FootnoteReference"/>
          <w:rFonts w:cs="Arial"/>
          <w:lang w:val="es-ES"/>
        </w:rPr>
        <w:footnoteReference w:id="27"/>
      </w:r>
      <w:r w:rsidRPr="005970E9">
        <w:rPr>
          <w:rFonts w:cs="Arial"/>
          <w:lang w:val="es-ES"/>
        </w:rPr>
        <w:t xml:space="preserve">. Hay que destacar que en este período llega por primera vez una mujer a compartir la administración del Canal de Panamá, demostrando altos niveles de empoderamiento individual y colectivo, lo que sin duda dará un impulso al Sello de </w:t>
      </w:r>
      <w:r w:rsidR="2EA5BF3A" w:rsidRPr="005970E9">
        <w:rPr>
          <w:rFonts w:cs="Arial"/>
          <w:lang w:val="es-ES"/>
        </w:rPr>
        <w:t xml:space="preserve">Igualdad de </w:t>
      </w:r>
      <w:r w:rsidRPr="005970E9">
        <w:rPr>
          <w:rFonts w:cs="Arial"/>
          <w:lang w:val="es-ES"/>
        </w:rPr>
        <w:t>Género</w:t>
      </w:r>
      <w:r w:rsidRPr="005970E9">
        <w:rPr>
          <w:rStyle w:val="FootnoteReference"/>
          <w:rFonts w:cs="Arial"/>
          <w:lang w:val="es-ES"/>
        </w:rPr>
        <w:footnoteReference w:id="28"/>
      </w:r>
      <w:r w:rsidRPr="005970E9">
        <w:rPr>
          <w:rFonts w:cs="Arial"/>
          <w:lang w:val="es-ES"/>
        </w:rPr>
        <w:t xml:space="preserve"> obtenido por la institución que sub-administra.   </w:t>
      </w:r>
    </w:p>
    <w:p w14:paraId="0D6AE1E1" w14:textId="77777777" w:rsidR="0089726B" w:rsidRPr="005970E9" w:rsidRDefault="0089726B" w:rsidP="00551F88">
      <w:pPr>
        <w:pStyle w:val="Heading3"/>
        <w:numPr>
          <w:ilvl w:val="2"/>
          <w:numId w:val="8"/>
        </w:numPr>
        <w:rPr>
          <w:rFonts w:cs="Times New Roman"/>
        </w:rPr>
      </w:pPr>
      <w:bookmarkStart w:id="84" w:name="_Toc42159196"/>
      <w:bookmarkStart w:id="85" w:name="_Toc42549432"/>
      <w:r w:rsidRPr="005970E9">
        <w:lastRenderedPageBreak/>
        <w:t>Participación política de las mujeres panameñas en los partidos políticos</w:t>
      </w:r>
      <w:bookmarkEnd w:id="84"/>
      <w:bookmarkEnd w:id="85"/>
      <w:r w:rsidRPr="005970E9">
        <w:t xml:space="preserve"> </w:t>
      </w:r>
    </w:p>
    <w:p w14:paraId="5868382C" w14:textId="65D9209E" w:rsidR="0089726B" w:rsidRPr="005970E9" w:rsidRDefault="0089726B" w:rsidP="0089726B">
      <w:pPr>
        <w:tabs>
          <w:tab w:val="left" w:pos="1701"/>
        </w:tabs>
        <w:spacing w:before="120" w:after="120" w:line="276" w:lineRule="auto"/>
        <w:jc w:val="both"/>
        <w:rPr>
          <w:rFonts w:cs="PVHQRP+TimesNewRomanPSMT"/>
          <w:lang w:eastAsia="en-US"/>
        </w:rPr>
      </w:pPr>
      <w:r w:rsidRPr="005970E9">
        <w:rPr>
          <w:bCs/>
        </w:rPr>
        <w:t>La participación política de las mujeres siempre ha sido cuesta arriba, salvando obstáculos propios de una cultura patriarcal que ha sumido a las mujeres en una falta de representación total hasta el sufragio femenino en Panamá y</w:t>
      </w:r>
      <w:r w:rsidR="00E64C7B" w:rsidRPr="005970E9">
        <w:rPr>
          <w:bCs/>
        </w:rPr>
        <w:t>,</w:t>
      </w:r>
      <w:r w:rsidRPr="005970E9">
        <w:rPr>
          <w:bCs/>
        </w:rPr>
        <w:t xml:space="preserve"> posteriormente</w:t>
      </w:r>
      <w:r w:rsidR="00E64C7B" w:rsidRPr="005970E9">
        <w:rPr>
          <w:bCs/>
        </w:rPr>
        <w:t>,</w:t>
      </w:r>
      <w:r w:rsidRPr="005970E9">
        <w:rPr>
          <w:bCs/>
        </w:rPr>
        <w:t xml:space="preserve"> en una subrepresentación histórica que persiste hasta nuestros días. La participación política de la</w:t>
      </w:r>
      <w:r w:rsidR="00E64C7B" w:rsidRPr="005970E9">
        <w:rPr>
          <w:bCs/>
        </w:rPr>
        <w:t>s</w:t>
      </w:r>
      <w:r w:rsidRPr="005970E9">
        <w:rPr>
          <w:bCs/>
        </w:rPr>
        <w:t xml:space="preserve"> mujer</w:t>
      </w:r>
      <w:r w:rsidR="00E64C7B" w:rsidRPr="005970E9">
        <w:rPr>
          <w:bCs/>
        </w:rPr>
        <w:t>es</w:t>
      </w:r>
      <w:r w:rsidRPr="005970E9">
        <w:rPr>
          <w:bCs/>
        </w:rPr>
        <w:t xml:space="preserve"> en nuestro país ha tenido dos roles principales: uno como</w:t>
      </w:r>
      <w:r w:rsidRPr="005970E9">
        <w:rPr>
          <w:rFonts w:cs="PVHQRP+TimesNewRomanPSMT"/>
          <w:lang w:eastAsia="en-US"/>
        </w:rPr>
        <w:t xml:space="preserve"> votante y participación en las filas de los partidos políticos y otro como participante en los puestos de poder donde se discuten y toman las decisiones. En el primer caso los avances son significativos tanto en la asistencia a las urnas de votación, como en la participación dentro de las dinámicas de los partidos políticos, pero mucho más lento ha sido el avance en los puestos de toma de decisiones. </w:t>
      </w:r>
    </w:p>
    <w:p w14:paraId="313FDC1B" w14:textId="77777777" w:rsidR="0089726B" w:rsidRPr="005970E9" w:rsidRDefault="0089726B" w:rsidP="0089726B">
      <w:pPr>
        <w:tabs>
          <w:tab w:val="left" w:pos="1701"/>
        </w:tabs>
        <w:spacing w:before="120" w:after="120" w:line="276" w:lineRule="auto"/>
        <w:jc w:val="both"/>
        <w:rPr>
          <w:rStyle w:val="A4"/>
        </w:rPr>
      </w:pPr>
      <w:r w:rsidRPr="005970E9">
        <w:rPr>
          <w:rStyle w:val="A4"/>
        </w:rPr>
        <w:t>La participación de las mujeres en los partidos políticos y en los procesos electorales ha aumentado, por ejemplo, en el 2004 el 56.4% de las mujeres que votaron pertenecían a partidos políticos y en el 2009 el 51%. (</w:t>
      </w:r>
      <w:r w:rsidRPr="005970E9">
        <w:rPr>
          <w:rStyle w:val="A1"/>
          <w:b w:val="0"/>
          <w:bCs w:val="0"/>
        </w:rPr>
        <w:t>PNUD-ONUMUJERES-IDEA</w:t>
      </w:r>
      <w:r w:rsidRPr="005970E9">
        <w:rPr>
          <w:rStyle w:val="A4"/>
        </w:rPr>
        <w:t xml:space="preserve">. Pág. 25 -26) En el 2014 las cifras oficiales del Tribunal Electoral de las elecciones del 2014 que muestran que del total de personas que estaban registradas para votar, un 49.9% eran hombres y un 50.1% mujeres y ese mismo año del total que votaron el 47.7% fueron hombres y el resto 52.3% mujeres. </w:t>
      </w:r>
    </w:p>
    <w:p w14:paraId="5EAD336E" w14:textId="7AD714A8" w:rsidR="0089726B" w:rsidRPr="005970E9" w:rsidRDefault="0089726B" w:rsidP="0089726B">
      <w:pPr>
        <w:tabs>
          <w:tab w:val="left" w:pos="1701"/>
        </w:tabs>
        <w:spacing w:before="120" w:after="120" w:line="276" w:lineRule="auto"/>
        <w:jc w:val="both"/>
        <w:rPr>
          <w:rStyle w:val="A4"/>
        </w:rPr>
      </w:pPr>
      <w:r w:rsidRPr="005970E9">
        <w:rPr>
          <w:rStyle w:val="A4"/>
        </w:rPr>
        <w:t>En las elecciones del 2019 el 49.18% de qu</w:t>
      </w:r>
      <w:r w:rsidR="001A2721" w:rsidRPr="005970E9">
        <w:rPr>
          <w:rStyle w:val="A4"/>
        </w:rPr>
        <w:t>i</w:t>
      </w:r>
      <w:r w:rsidRPr="005970E9">
        <w:rPr>
          <w:rStyle w:val="A4"/>
        </w:rPr>
        <w:t>e</w:t>
      </w:r>
      <w:r w:rsidR="001A2721" w:rsidRPr="005970E9">
        <w:rPr>
          <w:rStyle w:val="A4"/>
        </w:rPr>
        <w:t>nes</w:t>
      </w:r>
      <w:r w:rsidRPr="005970E9">
        <w:rPr>
          <w:rStyle w:val="A4"/>
        </w:rPr>
        <w:t xml:space="preserve"> estaban en el padrón electoral eran mujeres pertenecientes a partidos políticos, muy cerca de la paridad con los hombres (50.82%) afiliados a partidos políticos</w:t>
      </w:r>
      <w:r w:rsidR="00D10CE6" w:rsidRPr="005970E9">
        <w:rPr>
          <w:rStyle w:val="A4"/>
        </w:rPr>
        <w:t xml:space="preserve"> (tabla 4)</w:t>
      </w:r>
      <w:r w:rsidRPr="005970E9">
        <w:rPr>
          <w:rStyle w:val="A4"/>
        </w:rPr>
        <w:t xml:space="preserve">. Sin embargo, la equivalencia en los puestos de poder está muy distante en todos los partidos políticos, lo que llama a la reflexión en la creación de mecanismos para la verdadera transversalización de género a lo interno de los partidos y educar a las mujeres para lograr el empoderamiento y alcanzar la verdadera paridad en todos los ámbitos, no solo en la participación. </w:t>
      </w:r>
    </w:p>
    <w:p w14:paraId="4F65271C" w14:textId="5CF1BA1E" w:rsidR="00AA0344" w:rsidRPr="005970E9" w:rsidRDefault="00AA0344" w:rsidP="00AA0344">
      <w:pPr>
        <w:tabs>
          <w:tab w:val="left" w:pos="1701"/>
        </w:tabs>
        <w:spacing w:before="120" w:after="120" w:line="276" w:lineRule="auto"/>
        <w:jc w:val="center"/>
        <w:rPr>
          <w:rStyle w:val="A4"/>
          <w:sz w:val="20"/>
          <w:szCs w:val="20"/>
        </w:rPr>
      </w:pPr>
      <w:bookmarkStart w:id="86" w:name="_Toc42549198"/>
      <w:r w:rsidRPr="005970E9">
        <w:rPr>
          <w:sz w:val="20"/>
          <w:szCs w:val="20"/>
        </w:rPr>
        <w:t xml:space="preserve">Tabla </w:t>
      </w:r>
      <w:r w:rsidRPr="005970E9">
        <w:rPr>
          <w:sz w:val="20"/>
          <w:szCs w:val="20"/>
        </w:rPr>
        <w:fldChar w:fldCharType="begin"/>
      </w:r>
      <w:r w:rsidRPr="005970E9">
        <w:rPr>
          <w:sz w:val="20"/>
          <w:szCs w:val="20"/>
        </w:rPr>
        <w:instrText xml:space="preserve"> SEQ Tabla \* ARABIC </w:instrText>
      </w:r>
      <w:r w:rsidRPr="005970E9">
        <w:rPr>
          <w:sz w:val="20"/>
          <w:szCs w:val="20"/>
        </w:rPr>
        <w:fldChar w:fldCharType="separate"/>
      </w:r>
      <w:r w:rsidR="009D1829" w:rsidRPr="005970E9">
        <w:rPr>
          <w:noProof/>
          <w:sz w:val="20"/>
          <w:szCs w:val="20"/>
        </w:rPr>
        <w:t>4</w:t>
      </w:r>
      <w:r w:rsidRPr="005970E9">
        <w:rPr>
          <w:sz w:val="20"/>
          <w:szCs w:val="20"/>
        </w:rPr>
        <w:fldChar w:fldCharType="end"/>
      </w:r>
      <w:r w:rsidRPr="005970E9">
        <w:rPr>
          <w:sz w:val="20"/>
          <w:szCs w:val="20"/>
        </w:rPr>
        <w:t xml:space="preserve">. </w:t>
      </w:r>
      <w:r w:rsidR="00D10CE6" w:rsidRPr="005970E9">
        <w:rPr>
          <w:sz w:val="20"/>
          <w:szCs w:val="20"/>
        </w:rPr>
        <w:t xml:space="preserve">Número </w:t>
      </w:r>
      <w:r w:rsidR="00A220E5" w:rsidRPr="005970E9">
        <w:rPr>
          <w:sz w:val="20"/>
          <w:szCs w:val="20"/>
        </w:rPr>
        <w:t xml:space="preserve">y porcentaje </w:t>
      </w:r>
      <w:r w:rsidR="00D10CE6" w:rsidRPr="005970E9">
        <w:rPr>
          <w:sz w:val="20"/>
          <w:szCs w:val="20"/>
        </w:rPr>
        <w:t xml:space="preserve">de </w:t>
      </w:r>
      <w:r w:rsidR="008D7BA2" w:rsidRPr="005970E9">
        <w:rPr>
          <w:sz w:val="20"/>
          <w:szCs w:val="20"/>
        </w:rPr>
        <w:t>v</w:t>
      </w:r>
      <w:r w:rsidRPr="005970E9">
        <w:rPr>
          <w:rStyle w:val="A4"/>
          <w:sz w:val="20"/>
          <w:szCs w:val="20"/>
        </w:rPr>
        <w:t>otantes en las elecciones de 2019</w:t>
      </w:r>
      <w:r w:rsidR="0066518B" w:rsidRPr="005970E9">
        <w:rPr>
          <w:rStyle w:val="A4"/>
          <w:sz w:val="20"/>
          <w:szCs w:val="20"/>
        </w:rPr>
        <w:t xml:space="preserve"> según afiliación</w:t>
      </w:r>
      <w:bookmarkEnd w:id="86"/>
    </w:p>
    <w:tbl>
      <w:tblPr>
        <w:tblpPr w:leftFromText="141" w:rightFromText="141" w:vertAnchor="text" w:horzAnchor="page" w:tblpX="2491" w:tblpY="163"/>
        <w:tblW w:w="7318" w:type="dxa"/>
        <w:tblLook w:val="04A0" w:firstRow="1" w:lastRow="0" w:firstColumn="1" w:lastColumn="0" w:noHBand="0" w:noVBand="1"/>
      </w:tblPr>
      <w:tblGrid>
        <w:gridCol w:w="1054"/>
        <w:gridCol w:w="1106"/>
        <w:gridCol w:w="931"/>
        <w:gridCol w:w="1258"/>
        <w:gridCol w:w="816"/>
        <w:gridCol w:w="1301"/>
        <w:gridCol w:w="843"/>
        <w:gridCol w:w="9"/>
      </w:tblGrid>
      <w:tr w:rsidR="00F00BBF" w:rsidRPr="005970E9" w14:paraId="609BC391" w14:textId="77777777" w:rsidTr="006E2590">
        <w:trPr>
          <w:gridAfter w:val="1"/>
          <w:wAfter w:w="9" w:type="dxa"/>
          <w:trHeight w:val="304"/>
        </w:trPr>
        <w:tc>
          <w:tcPr>
            <w:tcW w:w="0" w:type="auto"/>
            <w:vMerge w:val="restart"/>
            <w:tcBorders>
              <w:top w:val="single" w:sz="4" w:space="0" w:color="auto"/>
              <w:left w:val="single" w:sz="4" w:space="0" w:color="auto"/>
              <w:right w:val="single" w:sz="4" w:space="0" w:color="auto"/>
            </w:tcBorders>
            <w:shd w:val="clear" w:color="auto" w:fill="B2A1C7" w:themeFill="accent4" w:themeFillTint="99"/>
            <w:vAlign w:val="center"/>
          </w:tcPr>
          <w:p w14:paraId="42BF37D2" w14:textId="77777777" w:rsidR="00F00BBF" w:rsidRPr="005970E9" w:rsidRDefault="00F00BBF" w:rsidP="00F00BBF">
            <w:pPr>
              <w:tabs>
                <w:tab w:val="left" w:pos="1701"/>
              </w:tabs>
              <w:rPr>
                <w:rStyle w:val="A4"/>
                <w:sz w:val="20"/>
                <w:szCs w:val="20"/>
              </w:rPr>
            </w:pPr>
            <w:r w:rsidRPr="005970E9">
              <w:rPr>
                <w:rStyle w:val="A4"/>
                <w:sz w:val="20"/>
                <w:szCs w:val="20"/>
              </w:rPr>
              <w:t>Sexo</w:t>
            </w:r>
          </w:p>
        </w:tc>
        <w:tc>
          <w:tcPr>
            <w:tcW w:w="1634" w:type="dxa"/>
            <w:gridSpan w:val="2"/>
            <w:tcBorders>
              <w:top w:val="single" w:sz="4" w:space="0" w:color="auto"/>
              <w:left w:val="single" w:sz="4" w:space="0" w:color="auto"/>
              <w:right w:val="single" w:sz="4" w:space="0" w:color="auto"/>
            </w:tcBorders>
            <w:shd w:val="clear" w:color="auto" w:fill="B2A1C7" w:themeFill="accent4" w:themeFillTint="99"/>
          </w:tcPr>
          <w:p w14:paraId="3CCD3AC5" w14:textId="77777777" w:rsidR="00F00BBF" w:rsidRPr="005970E9" w:rsidRDefault="00F00BBF" w:rsidP="00F00BBF">
            <w:pPr>
              <w:tabs>
                <w:tab w:val="left" w:pos="1701"/>
              </w:tabs>
              <w:jc w:val="center"/>
              <w:rPr>
                <w:rStyle w:val="A4"/>
                <w:sz w:val="20"/>
                <w:szCs w:val="20"/>
              </w:rPr>
            </w:pPr>
            <w:r w:rsidRPr="005970E9">
              <w:rPr>
                <w:rStyle w:val="A4"/>
                <w:sz w:val="20"/>
                <w:szCs w:val="20"/>
              </w:rPr>
              <w:t>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28547C59" w14:textId="77777777" w:rsidR="00F00BBF" w:rsidRPr="005970E9" w:rsidRDefault="00F00BBF" w:rsidP="00F00BBF">
            <w:pPr>
              <w:tabs>
                <w:tab w:val="left" w:pos="1701"/>
              </w:tabs>
              <w:jc w:val="both"/>
              <w:rPr>
                <w:rStyle w:val="A4"/>
                <w:sz w:val="20"/>
                <w:szCs w:val="20"/>
              </w:rPr>
            </w:pPr>
            <w:r w:rsidRPr="005970E9">
              <w:rPr>
                <w:rStyle w:val="A4"/>
                <w:sz w:val="20"/>
                <w:szCs w:val="20"/>
              </w:rPr>
              <w:t xml:space="preserve">Afiliados a partidos políticos </w:t>
            </w:r>
          </w:p>
        </w:tc>
        <w:tc>
          <w:tcPr>
            <w:tcW w:w="0" w:type="auto"/>
            <w:gridSpan w:val="2"/>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4C332192" w14:textId="3A65F7D3" w:rsidR="00F00BBF" w:rsidRPr="005970E9" w:rsidRDefault="00F00BBF" w:rsidP="00F00BBF">
            <w:pPr>
              <w:tabs>
                <w:tab w:val="left" w:pos="1701"/>
              </w:tabs>
              <w:jc w:val="both"/>
              <w:rPr>
                <w:rStyle w:val="A4"/>
                <w:sz w:val="20"/>
                <w:szCs w:val="20"/>
              </w:rPr>
            </w:pPr>
            <w:r w:rsidRPr="005970E9">
              <w:rPr>
                <w:rStyle w:val="A4"/>
                <w:sz w:val="20"/>
                <w:szCs w:val="20"/>
              </w:rPr>
              <w:t xml:space="preserve">No </w:t>
            </w:r>
            <w:r w:rsidR="003A2C4D" w:rsidRPr="005970E9">
              <w:rPr>
                <w:rStyle w:val="A4"/>
                <w:sz w:val="20"/>
                <w:szCs w:val="20"/>
              </w:rPr>
              <w:t>a</w:t>
            </w:r>
            <w:r w:rsidRPr="005970E9">
              <w:rPr>
                <w:rStyle w:val="A4"/>
                <w:sz w:val="20"/>
                <w:szCs w:val="20"/>
              </w:rPr>
              <w:t>filiados a partidos políticos</w:t>
            </w:r>
          </w:p>
        </w:tc>
      </w:tr>
      <w:tr w:rsidR="00F00BBF" w:rsidRPr="005970E9" w14:paraId="1B4099AB" w14:textId="77777777" w:rsidTr="006E2590">
        <w:trPr>
          <w:gridAfter w:val="1"/>
          <w:wAfter w:w="9" w:type="dxa"/>
          <w:trHeight w:val="316"/>
        </w:trPr>
        <w:tc>
          <w:tcPr>
            <w:tcW w:w="0" w:type="auto"/>
            <w:vMerge/>
            <w:tcBorders>
              <w:left w:val="single" w:sz="4" w:space="0" w:color="auto"/>
              <w:bottom w:val="single" w:sz="4" w:space="0" w:color="auto"/>
              <w:right w:val="single" w:sz="4" w:space="0" w:color="auto"/>
            </w:tcBorders>
            <w:shd w:val="clear" w:color="auto" w:fill="B2A1C7" w:themeFill="accent4" w:themeFillTint="99"/>
          </w:tcPr>
          <w:p w14:paraId="52AA703C" w14:textId="77777777" w:rsidR="00F00BBF" w:rsidRPr="005970E9" w:rsidRDefault="00F00BBF" w:rsidP="00F00BBF">
            <w:pPr>
              <w:tabs>
                <w:tab w:val="left" w:pos="1701"/>
              </w:tabs>
              <w:jc w:val="both"/>
              <w:rPr>
                <w:rStyle w:val="A4"/>
                <w:sz w:val="20"/>
                <w:szCs w:val="20"/>
              </w:rPr>
            </w:pPr>
          </w:p>
        </w:tc>
        <w:tc>
          <w:tcPr>
            <w:tcW w:w="0" w:type="auto"/>
            <w:tcBorders>
              <w:left w:val="single" w:sz="4" w:space="0" w:color="auto"/>
              <w:bottom w:val="single" w:sz="4" w:space="0" w:color="auto"/>
              <w:right w:val="single" w:sz="4" w:space="0" w:color="auto"/>
            </w:tcBorders>
            <w:shd w:val="clear" w:color="auto" w:fill="B2A1C7" w:themeFill="accent4" w:themeFillTint="99"/>
          </w:tcPr>
          <w:p w14:paraId="6FA0907A" w14:textId="77777777" w:rsidR="00F00BBF" w:rsidRPr="005970E9" w:rsidRDefault="00F00BBF" w:rsidP="00F00BBF">
            <w:pPr>
              <w:tabs>
                <w:tab w:val="left" w:pos="1701"/>
              </w:tabs>
              <w:jc w:val="both"/>
              <w:rPr>
                <w:rStyle w:val="A4"/>
                <w:sz w:val="20"/>
                <w:szCs w:val="20"/>
              </w:rPr>
            </w:pPr>
            <w:r w:rsidRPr="005970E9">
              <w:rPr>
                <w:rStyle w:val="A4"/>
                <w:sz w:val="20"/>
                <w:szCs w:val="20"/>
              </w:rPr>
              <w:t xml:space="preserve">Total </w:t>
            </w:r>
          </w:p>
        </w:tc>
        <w:tc>
          <w:tcPr>
            <w:tcW w:w="932" w:type="dxa"/>
            <w:tcBorders>
              <w:left w:val="single" w:sz="4" w:space="0" w:color="auto"/>
              <w:bottom w:val="single" w:sz="4" w:space="0" w:color="auto"/>
              <w:right w:val="single" w:sz="4" w:space="0" w:color="auto"/>
            </w:tcBorders>
            <w:shd w:val="clear" w:color="auto" w:fill="B2A1C7" w:themeFill="accent4" w:themeFillTint="99"/>
          </w:tcPr>
          <w:p w14:paraId="7DD37A9F" w14:textId="77777777" w:rsidR="00F00BBF" w:rsidRPr="005970E9" w:rsidRDefault="00F00BBF" w:rsidP="00F00BBF">
            <w:pPr>
              <w:tabs>
                <w:tab w:val="left" w:pos="1701"/>
              </w:tabs>
              <w:jc w:val="both"/>
              <w:rPr>
                <w:rStyle w:val="A4"/>
                <w:sz w:val="20"/>
                <w:szCs w:val="20"/>
              </w:rPr>
            </w:pPr>
            <w:r w:rsidRPr="005970E9">
              <w:rPr>
                <w:rStyle w:val="A4"/>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351431F4" w14:textId="77777777" w:rsidR="00F00BBF" w:rsidRPr="005970E9" w:rsidRDefault="00F00BBF" w:rsidP="00F00BBF">
            <w:pPr>
              <w:tabs>
                <w:tab w:val="left" w:pos="1701"/>
              </w:tabs>
              <w:jc w:val="both"/>
              <w:rPr>
                <w:rStyle w:val="A4"/>
                <w:sz w:val="20"/>
                <w:szCs w:val="20"/>
              </w:rPr>
            </w:pPr>
            <w:r w:rsidRPr="005970E9">
              <w:rPr>
                <w:rStyle w:val="A4"/>
                <w:sz w:val="20"/>
                <w:szCs w:val="20"/>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62CD31C9" w14:textId="77777777" w:rsidR="00F00BBF" w:rsidRPr="005970E9" w:rsidRDefault="00F00BBF" w:rsidP="00F00BBF">
            <w:pPr>
              <w:tabs>
                <w:tab w:val="left" w:pos="1701"/>
              </w:tabs>
              <w:jc w:val="both"/>
              <w:rPr>
                <w:rStyle w:val="A4"/>
                <w:sz w:val="20"/>
                <w:szCs w:val="20"/>
              </w:rPr>
            </w:pPr>
            <w:r w:rsidRPr="005970E9">
              <w:rPr>
                <w:rStyle w:val="A4"/>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74FBC52E" w14:textId="77777777" w:rsidR="00F00BBF" w:rsidRPr="005970E9" w:rsidRDefault="00F00BBF" w:rsidP="00F00BBF">
            <w:pPr>
              <w:tabs>
                <w:tab w:val="left" w:pos="1701"/>
              </w:tabs>
              <w:jc w:val="both"/>
              <w:rPr>
                <w:rStyle w:val="A4"/>
                <w:sz w:val="20"/>
                <w:szCs w:val="20"/>
              </w:rPr>
            </w:pPr>
            <w:r w:rsidRPr="005970E9">
              <w:rPr>
                <w:rStyle w:val="A4"/>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79C87BC1" w14:textId="77777777" w:rsidR="00F00BBF" w:rsidRPr="005970E9" w:rsidRDefault="00F00BBF" w:rsidP="00F00BBF">
            <w:pPr>
              <w:tabs>
                <w:tab w:val="left" w:pos="1701"/>
              </w:tabs>
              <w:jc w:val="both"/>
              <w:rPr>
                <w:rStyle w:val="A4"/>
                <w:sz w:val="20"/>
                <w:szCs w:val="20"/>
              </w:rPr>
            </w:pPr>
            <w:r w:rsidRPr="005970E9">
              <w:rPr>
                <w:rStyle w:val="A4"/>
                <w:sz w:val="20"/>
                <w:szCs w:val="20"/>
              </w:rPr>
              <w:t>%</w:t>
            </w:r>
          </w:p>
        </w:tc>
      </w:tr>
      <w:tr w:rsidR="00F00BBF" w:rsidRPr="005970E9" w14:paraId="043F0180" w14:textId="77777777" w:rsidTr="00F00BBF">
        <w:trPr>
          <w:gridAfter w:val="1"/>
          <w:wAfter w:w="9" w:type="dxa"/>
          <w:trHeight w:val="355"/>
        </w:trPr>
        <w:tc>
          <w:tcPr>
            <w:tcW w:w="0" w:type="auto"/>
            <w:tcBorders>
              <w:top w:val="single" w:sz="4" w:space="0" w:color="auto"/>
              <w:left w:val="single" w:sz="4" w:space="0" w:color="auto"/>
              <w:bottom w:val="single" w:sz="4" w:space="0" w:color="auto"/>
              <w:right w:val="single" w:sz="4" w:space="0" w:color="auto"/>
            </w:tcBorders>
            <w:hideMark/>
          </w:tcPr>
          <w:p w14:paraId="18540705" w14:textId="77777777" w:rsidR="00F00BBF" w:rsidRPr="005970E9" w:rsidRDefault="00F00BBF" w:rsidP="00F00BBF">
            <w:pPr>
              <w:tabs>
                <w:tab w:val="left" w:pos="1701"/>
              </w:tabs>
              <w:jc w:val="both"/>
              <w:rPr>
                <w:rStyle w:val="A4"/>
                <w:sz w:val="20"/>
                <w:szCs w:val="20"/>
              </w:rPr>
            </w:pPr>
            <w:r w:rsidRPr="005970E9">
              <w:rPr>
                <w:rStyle w:val="A4"/>
                <w:sz w:val="20"/>
                <w:szCs w:val="20"/>
              </w:rPr>
              <w:t xml:space="preserve">Total </w:t>
            </w:r>
          </w:p>
        </w:tc>
        <w:tc>
          <w:tcPr>
            <w:tcW w:w="0" w:type="auto"/>
            <w:tcBorders>
              <w:top w:val="single" w:sz="4" w:space="0" w:color="auto"/>
              <w:left w:val="single" w:sz="4" w:space="0" w:color="auto"/>
              <w:bottom w:val="single" w:sz="4" w:space="0" w:color="auto"/>
              <w:right w:val="single" w:sz="4" w:space="0" w:color="auto"/>
            </w:tcBorders>
          </w:tcPr>
          <w:p w14:paraId="6A9E12BF" w14:textId="4EEAC8DB" w:rsidR="00F00BBF" w:rsidRPr="005970E9" w:rsidRDefault="007950EF" w:rsidP="00F00BBF">
            <w:pPr>
              <w:tabs>
                <w:tab w:val="left" w:pos="1701"/>
              </w:tabs>
              <w:jc w:val="right"/>
              <w:rPr>
                <w:rStyle w:val="A4"/>
                <w:sz w:val="20"/>
                <w:szCs w:val="20"/>
              </w:rPr>
            </w:pPr>
            <w:r w:rsidRPr="005970E9">
              <w:rPr>
                <w:rStyle w:val="A4"/>
                <w:sz w:val="20"/>
                <w:szCs w:val="20"/>
              </w:rPr>
              <w:t>2,757,823</w:t>
            </w:r>
          </w:p>
        </w:tc>
        <w:tc>
          <w:tcPr>
            <w:tcW w:w="932" w:type="dxa"/>
            <w:tcBorders>
              <w:top w:val="single" w:sz="4" w:space="0" w:color="auto"/>
              <w:left w:val="single" w:sz="4" w:space="0" w:color="auto"/>
              <w:bottom w:val="single" w:sz="4" w:space="0" w:color="auto"/>
              <w:right w:val="single" w:sz="4" w:space="0" w:color="auto"/>
            </w:tcBorders>
          </w:tcPr>
          <w:p w14:paraId="4D42119D" w14:textId="315345A0" w:rsidR="00F00BBF" w:rsidRPr="005970E9" w:rsidRDefault="007950EF" w:rsidP="00F00BBF">
            <w:pPr>
              <w:tabs>
                <w:tab w:val="left" w:pos="1701"/>
              </w:tabs>
              <w:jc w:val="right"/>
              <w:rPr>
                <w:rStyle w:val="A4"/>
                <w:sz w:val="20"/>
                <w:szCs w:val="20"/>
              </w:rPr>
            </w:pPr>
            <w:r w:rsidRPr="005970E9">
              <w:rPr>
                <w:rStyle w:val="A4"/>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14:paraId="7AAA80E9" w14:textId="77777777" w:rsidR="00F00BBF" w:rsidRPr="005970E9" w:rsidRDefault="00F00BBF" w:rsidP="00F00BBF">
            <w:pPr>
              <w:tabs>
                <w:tab w:val="left" w:pos="1701"/>
              </w:tabs>
              <w:jc w:val="right"/>
              <w:rPr>
                <w:rStyle w:val="A4"/>
                <w:sz w:val="20"/>
                <w:szCs w:val="20"/>
              </w:rPr>
            </w:pPr>
            <w:r w:rsidRPr="005970E9">
              <w:rPr>
                <w:rStyle w:val="A4"/>
                <w:sz w:val="20"/>
                <w:szCs w:val="20"/>
              </w:rPr>
              <w:t>1,424,515</w:t>
            </w:r>
          </w:p>
        </w:tc>
        <w:tc>
          <w:tcPr>
            <w:tcW w:w="0" w:type="auto"/>
            <w:tcBorders>
              <w:top w:val="single" w:sz="4" w:space="0" w:color="auto"/>
              <w:left w:val="single" w:sz="4" w:space="0" w:color="auto"/>
              <w:bottom w:val="single" w:sz="4" w:space="0" w:color="auto"/>
              <w:right w:val="single" w:sz="4" w:space="0" w:color="auto"/>
            </w:tcBorders>
            <w:hideMark/>
          </w:tcPr>
          <w:p w14:paraId="7A20526B" w14:textId="77777777" w:rsidR="00F00BBF" w:rsidRPr="005970E9" w:rsidRDefault="00F00BBF" w:rsidP="00F00BBF">
            <w:pPr>
              <w:tabs>
                <w:tab w:val="left" w:pos="1701"/>
              </w:tabs>
              <w:jc w:val="right"/>
              <w:rPr>
                <w:rStyle w:val="A4"/>
                <w:sz w:val="20"/>
                <w:szCs w:val="20"/>
              </w:rPr>
            </w:pPr>
            <w:r w:rsidRPr="005970E9">
              <w:rPr>
                <w:rStyle w:val="A4"/>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14:paraId="4506C2BD" w14:textId="77777777" w:rsidR="00F00BBF" w:rsidRPr="005970E9" w:rsidRDefault="00F00BBF" w:rsidP="00F00BBF">
            <w:pPr>
              <w:tabs>
                <w:tab w:val="left" w:pos="1701"/>
              </w:tabs>
              <w:jc w:val="right"/>
              <w:rPr>
                <w:rStyle w:val="A4"/>
                <w:sz w:val="20"/>
                <w:szCs w:val="20"/>
              </w:rPr>
            </w:pPr>
            <w:r w:rsidRPr="005970E9">
              <w:rPr>
                <w:rStyle w:val="A4"/>
                <w:sz w:val="20"/>
                <w:szCs w:val="20"/>
              </w:rPr>
              <w:t>1,333,308</w:t>
            </w:r>
          </w:p>
        </w:tc>
        <w:tc>
          <w:tcPr>
            <w:tcW w:w="0" w:type="auto"/>
            <w:tcBorders>
              <w:top w:val="single" w:sz="4" w:space="0" w:color="auto"/>
              <w:left w:val="single" w:sz="4" w:space="0" w:color="auto"/>
              <w:bottom w:val="single" w:sz="4" w:space="0" w:color="auto"/>
              <w:right w:val="single" w:sz="4" w:space="0" w:color="auto"/>
            </w:tcBorders>
            <w:hideMark/>
          </w:tcPr>
          <w:p w14:paraId="2F69ADD8" w14:textId="77777777" w:rsidR="00F00BBF" w:rsidRPr="005970E9" w:rsidRDefault="00F00BBF" w:rsidP="00F00BBF">
            <w:pPr>
              <w:tabs>
                <w:tab w:val="left" w:pos="1701"/>
              </w:tabs>
              <w:jc w:val="right"/>
              <w:rPr>
                <w:rStyle w:val="A4"/>
                <w:sz w:val="20"/>
                <w:szCs w:val="20"/>
              </w:rPr>
            </w:pPr>
            <w:r w:rsidRPr="005970E9">
              <w:rPr>
                <w:rStyle w:val="A4"/>
                <w:sz w:val="20"/>
                <w:szCs w:val="20"/>
              </w:rPr>
              <w:t>100</w:t>
            </w:r>
          </w:p>
        </w:tc>
      </w:tr>
      <w:tr w:rsidR="00F00BBF" w:rsidRPr="005970E9" w14:paraId="49D66E9D" w14:textId="77777777" w:rsidTr="00F00BBF">
        <w:trPr>
          <w:gridAfter w:val="1"/>
          <w:wAfter w:w="9" w:type="dxa"/>
          <w:trHeight w:val="200"/>
        </w:trPr>
        <w:tc>
          <w:tcPr>
            <w:tcW w:w="0" w:type="auto"/>
            <w:tcBorders>
              <w:top w:val="single" w:sz="4" w:space="0" w:color="auto"/>
              <w:left w:val="single" w:sz="4" w:space="0" w:color="auto"/>
              <w:bottom w:val="single" w:sz="4" w:space="0" w:color="auto"/>
              <w:right w:val="single" w:sz="4" w:space="0" w:color="auto"/>
            </w:tcBorders>
            <w:hideMark/>
          </w:tcPr>
          <w:p w14:paraId="002950AA" w14:textId="77777777" w:rsidR="00F00BBF" w:rsidRPr="005970E9" w:rsidRDefault="00F00BBF" w:rsidP="00F00BBF">
            <w:pPr>
              <w:tabs>
                <w:tab w:val="left" w:pos="1701"/>
              </w:tabs>
              <w:jc w:val="both"/>
              <w:rPr>
                <w:rStyle w:val="A4"/>
                <w:sz w:val="20"/>
                <w:szCs w:val="20"/>
              </w:rPr>
            </w:pPr>
            <w:r w:rsidRPr="005970E9">
              <w:rPr>
                <w:rStyle w:val="A4"/>
                <w:sz w:val="20"/>
                <w:szCs w:val="20"/>
              </w:rPr>
              <w:t xml:space="preserve">Mujeres </w:t>
            </w:r>
          </w:p>
        </w:tc>
        <w:tc>
          <w:tcPr>
            <w:tcW w:w="0" w:type="auto"/>
            <w:tcBorders>
              <w:top w:val="single" w:sz="4" w:space="0" w:color="auto"/>
              <w:left w:val="single" w:sz="4" w:space="0" w:color="auto"/>
              <w:bottom w:val="single" w:sz="4" w:space="0" w:color="auto"/>
              <w:right w:val="single" w:sz="4" w:space="0" w:color="auto"/>
            </w:tcBorders>
          </w:tcPr>
          <w:p w14:paraId="4C082FF9" w14:textId="0C096553" w:rsidR="00F00BBF" w:rsidRPr="005970E9" w:rsidRDefault="007950EF" w:rsidP="00F00BBF">
            <w:pPr>
              <w:tabs>
                <w:tab w:val="left" w:pos="1701"/>
              </w:tabs>
              <w:jc w:val="right"/>
              <w:rPr>
                <w:rStyle w:val="A4"/>
                <w:sz w:val="20"/>
                <w:szCs w:val="20"/>
              </w:rPr>
            </w:pPr>
            <w:r w:rsidRPr="005970E9">
              <w:rPr>
                <w:rStyle w:val="A4"/>
                <w:sz w:val="20"/>
                <w:szCs w:val="20"/>
              </w:rPr>
              <w:t>1,385,076</w:t>
            </w:r>
          </w:p>
        </w:tc>
        <w:tc>
          <w:tcPr>
            <w:tcW w:w="932" w:type="dxa"/>
            <w:tcBorders>
              <w:top w:val="single" w:sz="4" w:space="0" w:color="auto"/>
              <w:left w:val="single" w:sz="4" w:space="0" w:color="auto"/>
              <w:bottom w:val="single" w:sz="4" w:space="0" w:color="auto"/>
              <w:right w:val="single" w:sz="4" w:space="0" w:color="auto"/>
            </w:tcBorders>
          </w:tcPr>
          <w:p w14:paraId="71252F5C" w14:textId="015F228D" w:rsidR="00F00BBF" w:rsidRPr="005970E9" w:rsidRDefault="007950EF" w:rsidP="00F00BBF">
            <w:pPr>
              <w:tabs>
                <w:tab w:val="left" w:pos="1701"/>
              </w:tabs>
              <w:jc w:val="right"/>
              <w:rPr>
                <w:rStyle w:val="A4"/>
                <w:sz w:val="20"/>
                <w:szCs w:val="20"/>
              </w:rPr>
            </w:pPr>
            <w:r w:rsidRPr="005970E9">
              <w:rPr>
                <w:rStyle w:val="A4"/>
                <w:sz w:val="20"/>
                <w:szCs w:val="20"/>
              </w:rPr>
              <w:t>50.22</w:t>
            </w:r>
          </w:p>
        </w:tc>
        <w:tc>
          <w:tcPr>
            <w:tcW w:w="0" w:type="auto"/>
            <w:tcBorders>
              <w:top w:val="single" w:sz="4" w:space="0" w:color="auto"/>
              <w:left w:val="single" w:sz="4" w:space="0" w:color="auto"/>
              <w:bottom w:val="single" w:sz="4" w:space="0" w:color="auto"/>
              <w:right w:val="single" w:sz="4" w:space="0" w:color="auto"/>
            </w:tcBorders>
            <w:hideMark/>
          </w:tcPr>
          <w:p w14:paraId="3A96C4B9" w14:textId="77777777" w:rsidR="00F00BBF" w:rsidRPr="005970E9" w:rsidRDefault="00F00BBF" w:rsidP="00F00BBF">
            <w:pPr>
              <w:tabs>
                <w:tab w:val="left" w:pos="1701"/>
              </w:tabs>
              <w:jc w:val="right"/>
              <w:rPr>
                <w:rStyle w:val="A4"/>
                <w:sz w:val="20"/>
                <w:szCs w:val="20"/>
              </w:rPr>
            </w:pPr>
            <w:r w:rsidRPr="005970E9">
              <w:rPr>
                <w:rStyle w:val="A4"/>
                <w:sz w:val="20"/>
                <w:szCs w:val="20"/>
              </w:rPr>
              <w:t>700,683</w:t>
            </w:r>
          </w:p>
        </w:tc>
        <w:tc>
          <w:tcPr>
            <w:tcW w:w="0" w:type="auto"/>
            <w:tcBorders>
              <w:top w:val="single" w:sz="4" w:space="0" w:color="auto"/>
              <w:left w:val="single" w:sz="4" w:space="0" w:color="auto"/>
              <w:bottom w:val="single" w:sz="4" w:space="0" w:color="auto"/>
              <w:right w:val="single" w:sz="4" w:space="0" w:color="auto"/>
            </w:tcBorders>
            <w:hideMark/>
          </w:tcPr>
          <w:p w14:paraId="4505C10D" w14:textId="77777777" w:rsidR="00F00BBF" w:rsidRPr="005970E9" w:rsidRDefault="00F00BBF" w:rsidP="00F00BBF">
            <w:pPr>
              <w:tabs>
                <w:tab w:val="left" w:pos="1701"/>
              </w:tabs>
              <w:jc w:val="right"/>
              <w:rPr>
                <w:rStyle w:val="A4"/>
                <w:sz w:val="20"/>
                <w:szCs w:val="20"/>
              </w:rPr>
            </w:pPr>
            <w:r w:rsidRPr="005970E9">
              <w:rPr>
                <w:rStyle w:val="A4"/>
                <w:sz w:val="20"/>
                <w:szCs w:val="20"/>
              </w:rPr>
              <w:t>49.18</w:t>
            </w:r>
          </w:p>
        </w:tc>
        <w:tc>
          <w:tcPr>
            <w:tcW w:w="0" w:type="auto"/>
            <w:tcBorders>
              <w:top w:val="single" w:sz="4" w:space="0" w:color="auto"/>
              <w:left w:val="single" w:sz="4" w:space="0" w:color="auto"/>
              <w:bottom w:val="single" w:sz="4" w:space="0" w:color="auto"/>
              <w:right w:val="single" w:sz="4" w:space="0" w:color="auto"/>
            </w:tcBorders>
            <w:hideMark/>
          </w:tcPr>
          <w:p w14:paraId="08CBF362" w14:textId="77777777" w:rsidR="00F00BBF" w:rsidRPr="005970E9" w:rsidRDefault="00F00BBF" w:rsidP="00F00BBF">
            <w:pPr>
              <w:tabs>
                <w:tab w:val="left" w:pos="1701"/>
              </w:tabs>
              <w:jc w:val="right"/>
              <w:rPr>
                <w:rStyle w:val="A4"/>
                <w:sz w:val="20"/>
                <w:szCs w:val="20"/>
              </w:rPr>
            </w:pPr>
            <w:r w:rsidRPr="005970E9">
              <w:rPr>
                <w:rStyle w:val="A4"/>
                <w:sz w:val="20"/>
                <w:szCs w:val="20"/>
              </w:rPr>
              <w:t>684,393</w:t>
            </w:r>
          </w:p>
        </w:tc>
        <w:tc>
          <w:tcPr>
            <w:tcW w:w="0" w:type="auto"/>
            <w:tcBorders>
              <w:top w:val="single" w:sz="4" w:space="0" w:color="auto"/>
              <w:left w:val="single" w:sz="4" w:space="0" w:color="auto"/>
              <w:bottom w:val="single" w:sz="4" w:space="0" w:color="auto"/>
              <w:right w:val="single" w:sz="4" w:space="0" w:color="auto"/>
            </w:tcBorders>
            <w:hideMark/>
          </w:tcPr>
          <w:p w14:paraId="13449A0C" w14:textId="77777777" w:rsidR="00F00BBF" w:rsidRPr="005970E9" w:rsidRDefault="00F00BBF" w:rsidP="00F00BBF">
            <w:pPr>
              <w:tabs>
                <w:tab w:val="left" w:pos="1701"/>
              </w:tabs>
              <w:jc w:val="right"/>
              <w:rPr>
                <w:rStyle w:val="A4"/>
                <w:sz w:val="20"/>
                <w:szCs w:val="20"/>
              </w:rPr>
            </w:pPr>
            <w:r w:rsidRPr="005970E9">
              <w:rPr>
                <w:rStyle w:val="A4"/>
                <w:sz w:val="20"/>
                <w:szCs w:val="20"/>
              </w:rPr>
              <w:t>51.34</w:t>
            </w:r>
          </w:p>
        </w:tc>
      </w:tr>
      <w:tr w:rsidR="00F00BBF" w:rsidRPr="005970E9" w14:paraId="33C052B4" w14:textId="77777777" w:rsidTr="00F00BBF">
        <w:trPr>
          <w:gridAfter w:val="1"/>
          <w:wAfter w:w="9" w:type="dxa"/>
          <w:trHeight w:val="398"/>
        </w:trPr>
        <w:tc>
          <w:tcPr>
            <w:tcW w:w="0" w:type="auto"/>
            <w:tcBorders>
              <w:top w:val="single" w:sz="4" w:space="0" w:color="auto"/>
              <w:left w:val="single" w:sz="4" w:space="0" w:color="auto"/>
              <w:bottom w:val="single" w:sz="4" w:space="0" w:color="auto"/>
              <w:right w:val="single" w:sz="4" w:space="0" w:color="auto"/>
            </w:tcBorders>
            <w:hideMark/>
          </w:tcPr>
          <w:p w14:paraId="425E55FA" w14:textId="77777777" w:rsidR="00F00BBF" w:rsidRPr="005970E9" w:rsidRDefault="00F00BBF" w:rsidP="00F00BBF">
            <w:pPr>
              <w:tabs>
                <w:tab w:val="left" w:pos="1701"/>
              </w:tabs>
              <w:spacing w:before="120" w:after="120"/>
              <w:jc w:val="both"/>
              <w:rPr>
                <w:rStyle w:val="A4"/>
                <w:sz w:val="20"/>
                <w:szCs w:val="20"/>
              </w:rPr>
            </w:pPr>
            <w:r w:rsidRPr="005970E9">
              <w:rPr>
                <w:rStyle w:val="A4"/>
                <w:sz w:val="20"/>
                <w:szCs w:val="20"/>
              </w:rPr>
              <w:t xml:space="preserve">Hombres </w:t>
            </w:r>
          </w:p>
        </w:tc>
        <w:tc>
          <w:tcPr>
            <w:tcW w:w="0" w:type="auto"/>
            <w:tcBorders>
              <w:top w:val="single" w:sz="4" w:space="0" w:color="auto"/>
              <w:left w:val="single" w:sz="4" w:space="0" w:color="auto"/>
              <w:bottom w:val="single" w:sz="4" w:space="0" w:color="auto"/>
              <w:right w:val="single" w:sz="4" w:space="0" w:color="auto"/>
            </w:tcBorders>
          </w:tcPr>
          <w:p w14:paraId="38152299" w14:textId="6B6841EA" w:rsidR="00F00BBF" w:rsidRPr="005970E9" w:rsidRDefault="007950EF" w:rsidP="00F00BBF">
            <w:pPr>
              <w:tabs>
                <w:tab w:val="left" w:pos="1701"/>
              </w:tabs>
              <w:spacing w:before="120" w:after="120"/>
              <w:jc w:val="right"/>
              <w:rPr>
                <w:rStyle w:val="A4"/>
                <w:sz w:val="20"/>
                <w:szCs w:val="20"/>
              </w:rPr>
            </w:pPr>
            <w:r w:rsidRPr="005970E9">
              <w:rPr>
                <w:rStyle w:val="A4"/>
                <w:sz w:val="20"/>
                <w:szCs w:val="20"/>
              </w:rPr>
              <w:t>1,372,747</w:t>
            </w:r>
          </w:p>
        </w:tc>
        <w:tc>
          <w:tcPr>
            <w:tcW w:w="932" w:type="dxa"/>
            <w:tcBorders>
              <w:top w:val="single" w:sz="4" w:space="0" w:color="auto"/>
              <w:left w:val="single" w:sz="4" w:space="0" w:color="auto"/>
              <w:bottom w:val="single" w:sz="4" w:space="0" w:color="auto"/>
              <w:right w:val="single" w:sz="4" w:space="0" w:color="auto"/>
            </w:tcBorders>
          </w:tcPr>
          <w:p w14:paraId="1DDD2C10" w14:textId="6E297314" w:rsidR="00F00BBF" w:rsidRPr="005970E9" w:rsidRDefault="007950EF" w:rsidP="00F00BBF">
            <w:pPr>
              <w:tabs>
                <w:tab w:val="left" w:pos="1701"/>
              </w:tabs>
              <w:spacing w:before="120" w:after="120"/>
              <w:jc w:val="right"/>
              <w:rPr>
                <w:rStyle w:val="A4"/>
                <w:sz w:val="20"/>
                <w:szCs w:val="20"/>
              </w:rPr>
            </w:pPr>
            <w:r w:rsidRPr="005970E9">
              <w:rPr>
                <w:rStyle w:val="A4"/>
                <w:sz w:val="20"/>
                <w:szCs w:val="20"/>
              </w:rPr>
              <w:t>49.78</w:t>
            </w:r>
          </w:p>
        </w:tc>
        <w:tc>
          <w:tcPr>
            <w:tcW w:w="0" w:type="auto"/>
            <w:tcBorders>
              <w:top w:val="single" w:sz="4" w:space="0" w:color="auto"/>
              <w:left w:val="single" w:sz="4" w:space="0" w:color="auto"/>
              <w:bottom w:val="single" w:sz="4" w:space="0" w:color="auto"/>
              <w:right w:val="single" w:sz="4" w:space="0" w:color="auto"/>
            </w:tcBorders>
            <w:hideMark/>
          </w:tcPr>
          <w:p w14:paraId="48F02B8B" w14:textId="77777777" w:rsidR="00F00BBF" w:rsidRPr="005970E9" w:rsidRDefault="00F00BBF" w:rsidP="00F00BBF">
            <w:pPr>
              <w:tabs>
                <w:tab w:val="left" w:pos="1701"/>
              </w:tabs>
              <w:spacing w:before="120" w:after="120"/>
              <w:jc w:val="right"/>
              <w:rPr>
                <w:rStyle w:val="A4"/>
                <w:sz w:val="20"/>
                <w:szCs w:val="20"/>
              </w:rPr>
            </w:pPr>
            <w:r w:rsidRPr="005970E9">
              <w:rPr>
                <w:rStyle w:val="A4"/>
                <w:sz w:val="20"/>
                <w:szCs w:val="20"/>
              </w:rPr>
              <w:t>723,832</w:t>
            </w:r>
          </w:p>
        </w:tc>
        <w:tc>
          <w:tcPr>
            <w:tcW w:w="0" w:type="auto"/>
            <w:tcBorders>
              <w:top w:val="single" w:sz="4" w:space="0" w:color="auto"/>
              <w:left w:val="single" w:sz="4" w:space="0" w:color="auto"/>
              <w:bottom w:val="single" w:sz="4" w:space="0" w:color="auto"/>
              <w:right w:val="single" w:sz="4" w:space="0" w:color="auto"/>
            </w:tcBorders>
            <w:hideMark/>
          </w:tcPr>
          <w:p w14:paraId="40C34325" w14:textId="77777777" w:rsidR="00F00BBF" w:rsidRPr="005970E9" w:rsidRDefault="00F00BBF" w:rsidP="00F00BBF">
            <w:pPr>
              <w:tabs>
                <w:tab w:val="left" w:pos="1701"/>
              </w:tabs>
              <w:spacing w:before="120" w:after="120"/>
              <w:jc w:val="right"/>
              <w:rPr>
                <w:rStyle w:val="A4"/>
                <w:sz w:val="20"/>
                <w:szCs w:val="20"/>
              </w:rPr>
            </w:pPr>
            <w:r w:rsidRPr="005970E9">
              <w:rPr>
                <w:rStyle w:val="A4"/>
                <w:sz w:val="20"/>
                <w:szCs w:val="20"/>
              </w:rPr>
              <w:t>50.82</w:t>
            </w:r>
          </w:p>
        </w:tc>
        <w:tc>
          <w:tcPr>
            <w:tcW w:w="0" w:type="auto"/>
            <w:tcBorders>
              <w:top w:val="single" w:sz="4" w:space="0" w:color="auto"/>
              <w:left w:val="single" w:sz="4" w:space="0" w:color="auto"/>
              <w:bottom w:val="single" w:sz="4" w:space="0" w:color="auto"/>
              <w:right w:val="single" w:sz="4" w:space="0" w:color="auto"/>
            </w:tcBorders>
            <w:hideMark/>
          </w:tcPr>
          <w:p w14:paraId="1DF3BF81" w14:textId="77777777" w:rsidR="00F00BBF" w:rsidRPr="005970E9" w:rsidRDefault="00F00BBF" w:rsidP="00F00BBF">
            <w:pPr>
              <w:tabs>
                <w:tab w:val="left" w:pos="1701"/>
              </w:tabs>
              <w:spacing w:before="120" w:after="120"/>
              <w:jc w:val="right"/>
              <w:rPr>
                <w:rStyle w:val="A4"/>
                <w:sz w:val="20"/>
                <w:szCs w:val="20"/>
              </w:rPr>
            </w:pPr>
            <w:r w:rsidRPr="005970E9">
              <w:rPr>
                <w:rStyle w:val="A4"/>
                <w:sz w:val="20"/>
                <w:szCs w:val="20"/>
              </w:rPr>
              <w:t>648,915</w:t>
            </w:r>
          </w:p>
        </w:tc>
        <w:tc>
          <w:tcPr>
            <w:tcW w:w="0" w:type="auto"/>
            <w:tcBorders>
              <w:top w:val="single" w:sz="4" w:space="0" w:color="auto"/>
              <w:left w:val="single" w:sz="4" w:space="0" w:color="auto"/>
              <w:bottom w:val="single" w:sz="4" w:space="0" w:color="auto"/>
              <w:right w:val="single" w:sz="4" w:space="0" w:color="auto"/>
            </w:tcBorders>
            <w:hideMark/>
          </w:tcPr>
          <w:p w14:paraId="2B068245" w14:textId="77777777" w:rsidR="00F00BBF" w:rsidRPr="005970E9" w:rsidRDefault="00F00BBF" w:rsidP="00F00BBF">
            <w:pPr>
              <w:tabs>
                <w:tab w:val="left" w:pos="1701"/>
              </w:tabs>
              <w:spacing w:before="120" w:after="120"/>
              <w:jc w:val="right"/>
              <w:rPr>
                <w:rStyle w:val="A4"/>
                <w:sz w:val="20"/>
                <w:szCs w:val="20"/>
              </w:rPr>
            </w:pPr>
            <w:r w:rsidRPr="005970E9">
              <w:rPr>
                <w:rStyle w:val="A4"/>
                <w:sz w:val="20"/>
                <w:szCs w:val="20"/>
              </w:rPr>
              <w:t>48.66</w:t>
            </w:r>
          </w:p>
        </w:tc>
      </w:tr>
      <w:tr w:rsidR="0089726B" w:rsidRPr="005970E9" w14:paraId="1E2477DD" w14:textId="77777777" w:rsidTr="006E2590">
        <w:trPr>
          <w:trHeight w:val="254"/>
        </w:trPr>
        <w:tc>
          <w:tcPr>
            <w:tcW w:w="7318" w:type="dxa"/>
            <w:gridSpan w:val="8"/>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93B9734" w14:textId="77777777" w:rsidR="0089726B" w:rsidRPr="005970E9" w:rsidRDefault="0089726B">
            <w:pPr>
              <w:tabs>
                <w:tab w:val="left" w:pos="1701"/>
              </w:tabs>
              <w:jc w:val="both"/>
              <w:rPr>
                <w:rStyle w:val="A4"/>
                <w:sz w:val="20"/>
                <w:szCs w:val="20"/>
              </w:rPr>
            </w:pPr>
            <w:r w:rsidRPr="005970E9">
              <w:rPr>
                <w:rStyle w:val="A4"/>
                <w:sz w:val="20"/>
                <w:szCs w:val="20"/>
              </w:rPr>
              <w:t>Fuente: Tribunal electoral 2019</w:t>
            </w:r>
          </w:p>
        </w:tc>
      </w:tr>
    </w:tbl>
    <w:p w14:paraId="1382D562" w14:textId="1D40D025" w:rsidR="00AA0344" w:rsidRPr="005970E9" w:rsidRDefault="00AA0344" w:rsidP="0089726B">
      <w:pPr>
        <w:tabs>
          <w:tab w:val="left" w:pos="1701"/>
        </w:tabs>
        <w:spacing w:before="120" w:after="120" w:line="276" w:lineRule="auto"/>
        <w:jc w:val="both"/>
        <w:rPr>
          <w:rStyle w:val="A4"/>
        </w:rPr>
      </w:pPr>
    </w:p>
    <w:p w14:paraId="5A7DD01D" w14:textId="27A5DCFA" w:rsidR="00AA0344" w:rsidRPr="005970E9" w:rsidRDefault="00AA0344" w:rsidP="0089726B">
      <w:pPr>
        <w:tabs>
          <w:tab w:val="left" w:pos="1701"/>
        </w:tabs>
        <w:spacing w:before="120" w:after="120" w:line="276" w:lineRule="auto"/>
        <w:jc w:val="both"/>
        <w:rPr>
          <w:rStyle w:val="A4"/>
        </w:rPr>
      </w:pPr>
    </w:p>
    <w:p w14:paraId="211B20A3" w14:textId="28BFE170" w:rsidR="00AA0344" w:rsidRPr="005970E9" w:rsidRDefault="00AA0344" w:rsidP="0089726B">
      <w:pPr>
        <w:tabs>
          <w:tab w:val="left" w:pos="1701"/>
        </w:tabs>
        <w:spacing w:before="120" w:after="120" w:line="276" w:lineRule="auto"/>
        <w:jc w:val="both"/>
        <w:rPr>
          <w:rStyle w:val="A4"/>
        </w:rPr>
      </w:pPr>
    </w:p>
    <w:p w14:paraId="64383F75" w14:textId="77777777" w:rsidR="00AA0344" w:rsidRPr="005970E9" w:rsidRDefault="00AA0344" w:rsidP="0089726B">
      <w:pPr>
        <w:tabs>
          <w:tab w:val="left" w:pos="1701"/>
        </w:tabs>
        <w:spacing w:before="120" w:after="120" w:line="276" w:lineRule="auto"/>
        <w:jc w:val="both"/>
        <w:rPr>
          <w:rStyle w:val="A4"/>
        </w:rPr>
      </w:pPr>
    </w:p>
    <w:p w14:paraId="37DFDA3E" w14:textId="77777777" w:rsidR="0066518B" w:rsidRPr="005970E9" w:rsidRDefault="0066518B" w:rsidP="009D61B9">
      <w:pPr>
        <w:autoSpaceDE w:val="0"/>
        <w:autoSpaceDN w:val="0"/>
        <w:adjustRightInd w:val="0"/>
        <w:spacing w:before="120" w:after="120" w:line="276" w:lineRule="auto"/>
        <w:jc w:val="both"/>
        <w:rPr>
          <w:rFonts w:cs="EFBIJK+BalloonBold"/>
          <w:color w:val="000000"/>
          <w:lang w:val="es-US" w:eastAsia="en-US"/>
        </w:rPr>
      </w:pPr>
    </w:p>
    <w:p w14:paraId="045A3DA7" w14:textId="77777777" w:rsidR="0066518B" w:rsidRPr="005970E9" w:rsidRDefault="0066518B" w:rsidP="009D61B9">
      <w:pPr>
        <w:autoSpaceDE w:val="0"/>
        <w:autoSpaceDN w:val="0"/>
        <w:adjustRightInd w:val="0"/>
        <w:spacing w:before="120" w:after="120" w:line="276" w:lineRule="auto"/>
        <w:jc w:val="both"/>
        <w:rPr>
          <w:rFonts w:cs="EFBIJK+BalloonBold"/>
          <w:color w:val="000000"/>
          <w:lang w:val="es-US" w:eastAsia="en-US"/>
        </w:rPr>
      </w:pPr>
    </w:p>
    <w:p w14:paraId="359AE019" w14:textId="626C4E79" w:rsidR="0089726B" w:rsidRPr="005970E9" w:rsidRDefault="0089726B" w:rsidP="009D61B9">
      <w:pPr>
        <w:autoSpaceDE w:val="0"/>
        <w:autoSpaceDN w:val="0"/>
        <w:adjustRightInd w:val="0"/>
        <w:spacing w:before="120" w:after="120" w:line="276" w:lineRule="auto"/>
        <w:jc w:val="both"/>
        <w:rPr>
          <w:rFonts w:cs="EFBIJK+BalloonBold"/>
          <w:color w:val="000000"/>
          <w:lang w:val="es-US" w:eastAsia="en-US"/>
        </w:rPr>
      </w:pPr>
      <w:r w:rsidRPr="005970E9">
        <w:rPr>
          <w:rFonts w:cs="EFBIJK+BalloonBold"/>
          <w:color w:val="000000"/>
          <w:lang w:val="es-US" w:eastAsia="en-US"/>
        </w:rPr>
        <w:t>Lograr la paridad dentro del directorio de los partidos políticos panameños, sigue siendo la asignatura pendiente</w:t>
      </w:r>
      <w:r w:rsidR="003A2C4D" w:rsidRPr="005970E9">
        <w:rPr>
          <w:rFonts w:cs="EFBIJK+BalloonBold"/>
          <w:color w:val="000000"/>
          <w:lang w:val="es-US" w:eastAsia="en-US"/>
        </w:rPr>
        <w:t>. L</w:t>
      </w:r>
      <w:r w:rsidRPr="005970E9">
        <w:rPr>
          <w:rFonts w:cs="EFBIJK+BalloonBold"/>
          <w:color w:val="000000"/>
          <w:lang w:val="es-US" w:eastAsia="en-US"/>
        </w:rPr>
        <w:t xml:space="preserve">as mujeres a pesar de ser casi la mitad o más de la mitad de los miembros de dichos partidos, siguen ocupando dentro de los directorios nacionales o en las juntas directivas los espacios de </w:t>
      </w:r>
      <w:r w:rsidR="003A2C4D" w:rsidRPr="005970E9">
        <w:rPr>
          <w:rFonts w:cs="EFBIJK+BalloonBold"/>
          <w:color w:val="000000"/>
          <w:lang w:val="es-US" w:eastAsia="en-US"/>
        </w:rPr>
        <w:t>menor jerarquía (</w:t>
      </w:r>
      <w:r w:rsidRPr="005970E9">
        <w:rPr>
          <w:rFonts w:cs="EFBIJK+BalloonBold"/>
          <w:color w:val="000000"/>
          <w:lang w:val="es-US" w:eastAsia="en-US"/>
        </w:rPr>
        <w:t xml:space="preserve">las secretarías y </w:t>
      </w:r>
      <w:r w:rsidRPr="005970E9">
        <w:rPr>
          <w:rFonts w:cs="EFBIJK+BalloonBold"/>
          <w:color w:val="000000"/>
          <w:lang w:val="es-US" w:eastAsia="en-US"/>
        </w:rPr>
        <w:lastRenderedPageBreak/>
        <w:t>subsecretarías</w:t>
      </w:r>
      <w:r w:rsidR="003A2C4D" w:rsidRPr="005970E9">
        <w:rPr>
          <w:rFonts w:cs="EFBIJK+BalloonBold"/>
          <w:color w:val="000000"/>
          <w:lang w:val="es-US" w:eastAsia="en-US"/>
        </w:rPr>
        <w:t>). L</w:t>
      </w:r>
      <w:r w:rsidRPr="005970E9">
        <w:rPr>
          <w:rFonts w:cs="EFBIJK+BalloonBold"/>
          <w:color w:val="000000"/>
          <w:lang w:val="es-US" w:eastAsia="en-US"/>
        </w:rPr>
        <w:t xml:space="preserve">os asuntos de poder y la toma de decisiones sobre la vida de los partidos políticos </w:t>
      </w:r>
      <w:r w:rsidR="006E2590" w:rsidRPr="005970E9">
        <w:rPr>
          <w:rFonts w:cs="EFBIJK+BalloonBold"/>
          <w:color w:val="000000"/>
          <w:lang w:val="es-US" w:eastAsia="en-US"/>
        </w:rPr>
        <w:t>continúan</w:t>
      </w:r>
      <w:r w:rsidRPr="005970E9">
        <w:rPr>
          <w:rFonts w:cs="EFBIJK+BalloonBold"/>
          <w:color w:val="000000"/>
          <w:lang w:val="es-US" w:eastAsia="en-US"/>
        </w:rPr>
        <w:t xml:space="preserve"> masculinizada</w:t>
      </w:r>
      <w:r w:rsidR="006E2590" w:rsidRPr="005970E9">
        <w:rPr>
          <w:rFonts w:cs="EFBIJK+BalloonBold"/>
          <w:color w:val="000000"/>
          <w:lang w:val="es-US" w:eastAsia="en-US"/>
        </w:rPr>
        <w:t>s</w:t>
      </w:r>
      <w:r w:rsidRPr="005970E9">
        <w:rPr>
          <w:rFonts w:cs="EFBIJK+BalloonBold"/>
          <w:color w:val="000000"/>
          <w:lang w:val="es-US" w:eastAsia="en-US"/>
        </w:rPr>
        <w:t xml:space="preserve">. </w:t>
      </w:r>
    </w:p>
    <w:p w14:paraId="1193F075" w14:textId="1D048A68" w:rsidR="0089726B" w:rsidRPr="005970E9" w:rsidRDefault="0089726B" w:rsidP="009D61B9">
      <w:pPr>
        <w:autoSpaceDE w:val="0"/>
        <w:autoSpaceDN w:val="0"/>
        <w:adjustRightInd w:val="0"/>
        <w:spacing w:before="120" w:after="120" w:line="276" w:lineRule="auto"/>
        <w:jc w:val="both"/>
        <w:rPr>
          <w:rFonts w:cs="IQZGNC+Balloon"/>
          <w:color w:val="000000"/>
          <w:lang w:val="es-US" w:eastAsia="en-US"/>
        </w:rPr>
      </w:pPr>
      <w:r w:rsidRPr="005970E9">
        <w:rPr>
          <w:rFonts w:cs="IQZGNC+Balloon"/>
          <w:color w:val="000000"/>
          <w:lang w:val="es-US" w:eastAsia="en-US"/>
        </w:rPr>
        <w:t xml:space="preserve">Para los años 2011 y 2013 la cuota de participación de las mujeres en los Directorios Nacionales no se cumplió en ningún partido, </w:t>
      </w:r>
      <w:r w:rsidR="009B0486" w:rsidRPr="005970E9">
        <w:rPr>
          <w:rFonts w:cs="IQZGNC+Balloon"/>
          <w:color w:val="000000"/>
          <w:lang w:val="es-US" w:eastAsia="en-US"/>
        </w:rPr>
        <w:t>de acuerdo con</w:t>
      </w:r>
      <w:r w:rsidRPr="005970E9">
        <w:rPr>
          <w:rFonts w:cs="IQZGNC+Balloon"/>
          <w:color w:val="000000"/>
          <w:lang w:val="es-US" w:eastAsia="en-US"/>
        </w:rPr>
        <w:t xml:space="preserve"> los datos recabados. En las Juntas Directivas (2015 </w:t>
      </w:r>
      <w:r w:rsidR="0076412B" w:rsidRPr="005970E9">
        <w:rPr>
          <w:rFonts w:cs="IQZGNC+Balloon"/>
          <w:color w:val="000000"/>
          <w:lang w:val="es-US" w:eastAsia="en-US"/>
        </w:rPr>
        <w:t>y</w:t>
      </w:r>
      <w:r w:rsidRPr="005970E9">
        <w:rPr>
          <w:rFonts w:cs="IQZGNC+Balloon"/>
          <w:color w:val="000000"/>
          <w:lang w:val="es-US" w:eastAsia="en-US"/>
        </w:rPr>
        <w:t xml:space="preserve"> 2020) el partido que cumplió con la cuota del 30% fue el Partido Revolucionario Democrático (PRD) pero no con la paridad. Para los mismos años el partido Popular fue la excepción al registrar un 75% de mujeres dentro de la Junta Directiva, de acuerdo a los datos del Tribunal Electoral en febrero de 2020.  En el Partido Panameñista las mujeres no estuvieron representadas en el 2015</w:t>
      </w:r>
      <w:r w:rsidR="003A2C4D" w:rsidRPr="005970E9">
        <w:rPr>
          <w:rFonts w:cs="IQZGNC+Balloon"/>
          <w:color w:val="000000"/>
          <w:lang w:val="es-US" w:eastAsia="en-US"/>
        </w:rPr>
        <w:t>,</w:t>
      </w:r>
      <w:r w:rsidRPr="005970E9">
        <w:rPr>
          <w:rFonts w:cs="IQZGNC+Balloon"/>
          <w:color w:val="000000"/>
          <w:lang w:val="es-US" w:eastAsia="en-US"/>
        </w:rPr>
        <w:t xml:space="preserve"> en la Junta Directiva y</w:t>
      </w:r>
      <w:r w:rsidR="003A2C4D" w:rsidRPr="005970E9">
        <w:rPr>
          <w:rFonts w:cs="IQZGNC+Balloon"/>
          <w:color w:val="000000"/>
          <w:lang w:val="es-US" w:eastAsia="en-US"/>
        </w:rPr>
        <w:t>,</w:t>
      </w:r>
      <w:r w:rsidRPr="005970E9">
        <w:rPr>
          <w:rFonts w:cs="IQZGNC+Balloon"/>
          <w:color w:val="000000"/>
          <w:lang w:val="es-US" w:eastAsia="en-US"/>
        </w:rPr>
        <w:t xml:space="preserve"> en el 2020 sólo una mujer está registrada en el Tribunal Electoral como parte de la Junta Directiva. (</w:t>
      </w:r>
      <w:r w:rsidR="0076412B" w:rsidRPr="005970E9">
        <w:rPr>
          <w:rFonts w:cs="IQZGNC+Balloon"/>
          <w:color w:val="000000"/>
          <w:lang w:val="es-US" w:eastAsia="en-US"/>
        </w:rPr>
        <w:t>Tabla 5.</w:t>
      </w:r>
      <w:r w:rsidRPr="005970E9">
        <w:rPr>
          <w:rFonts w:cs="IQZGNC+Balloon"/>
          <w:color w:val="000000"/>
          <w:lang w:val="es-US" w:eastAsia="en-US"/>
        </w:rPr>
        <w:t>).</w:t>
      </w:r>
    </w:p>
    <w:p w14:paraId="3B6271EF" w14:textId="77777777" w:rsidR="009B0486" w:rsidRPr="005970E9" w:rsidRDefault="009B0486" w:rsidP="009D61B9">
      <w:pPr>
        <w:autoSpaceDE w:val="0"/>
        <w:autoSpaceDN w:val="0"/>
        <w:adjustRightInd w:val="0"/>
        <w:spacing w:before="120" w:after="120" w:line="276" w:lineRule="auto"/>
        <w:jc w:val="both"/>
        <w:rPr>
          <w:rFonts w:cs="IQZGNC+Balloon"/>
          <w:color w:val="000000"/>
          <w:lang w:val="es-US" w:eastAsia="en-US"/>
        </w:rPr>
      </w:pPr>
    </w:p>
    <w:p w14:paraId="737C7604" w14:textId="20414E5D" w:rsidR="0089726B" w:rsidRPr="005970E9" w:rsidRDefault="008A61AF" w:rsidP="0076412B">
      <w:pPr>
        <w:pStyle w:val="Caption"/>
        <w:rPr>
          <w:rFonts w:ascii="Century Schoolbook" w:hAnsi="Century Schoolbook" w:cs="IQZGNC+Balloon"/>
          <w:i w:val="0"/>
          <w:iCs w:val="0"/>
          <w:color w:val="000000"/>
          <w:sz w:val="20"/>
          <w:szCs w:val="20"/>
          <w:lang w:val="es-US" w:eastAsia="en-US"/>
        </w:rPr>
      </w:pPr>
      <w:bookmarkStart w:id="87" w:name="_Toc42549199"/>
      <w:r w:rsidRPr="005970E9">
        <w:rPr>
          <w:rFonts w:ascii="Century Schoolbook" w:hAnsi="Century Schoolbook"/>
          <w:i w:val="0"/>
          <w:iCs w:val="0"/>
          <w:sz w:val="20"/>
          <w:szCs w:val="20"/>
        </w:rPr>
        <w:t>Tabla</w:t>
      </w:r>
      <w:r w:rsidR="0076412B" w:rsidRPr="005970E9">
        <w:rPr>
          <w:rFonts w:ascii="Century Schoolbook" w:hAnsi="Century Schoolbook"/>
          <w:i w:val="0"/>
          <w:iCs w:val="0"/>
          <w:sz w:val="20"/>
          <w:szCs w:val="20"/>
        </w:rPr>
        <w:t xml:space="preserve">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9D1829" w:rsidRPr="005970E9">
        <w:rPr>
          <w:rFonts w:ascii="Century Schoolbook" w:hAnsi="Century Schoolbook"/>
          <w:i w:val="0"/>
          <w:iCs w:val="0"/>
          <w:noProof/>
          <w:sz w:val="20"/>
          <w:szCs w:val="20"/>
        </w:rPr>
        <w:t>5</w:t>
      </w:r>
      <w:r w:rsidRPr="005970E9">
        <w:rPr>
          <w:rFonts w:ascii="Century Schoolbook" w:hAnsi="Century Schoolbook"/>
          <w:i w:val="0"/>
          <w:iCs w:val="0"/>
          <w:sz w:val="20"/>
          <w:szCs w:val="20"/>
        </w:rPr>
        <w:fldChar w:fldCharType="end"/>
      </w:r>
      <w:r w:rsidR="0076412B" w:rsidRPr="005970E9">
        <w:rPr>
          <w:rFonts w:ascii="Century Schoolbook" w:hAnsi="Century Schoolbook"/>
          <w:i w:val="0"/>
          <w:iCs w:val="0"/>
          <w:sz w:val="20"/>
          <w:szCs w:val="20"/>
        </w:rPr>
        <w:t>.</w:t>
      </w:r>
      <w:r w:rsidR="0089726B" w:rsidRPr="005970E9">
        <w:rPr>
          <w:rFonts w:ascii="Century Schoolbook" w:hAnsi="Century Schoolbook" w:cs="IQZGNC+Balloon"/>
          <w:i w:val="0"/>
          <w:iCs w:val="0"/>
          <w:color w:val="000000"/>
          <w:sz w:val="20"/>
          <w:szCs w:val="20"/>
          <w:lang w:val="es-US" w:eastAsia="en-US"/>
        </w:rPr>
        <w:t xml:space="preserve"> Mujeres con cargos en los Directorios Nacionales y Juntas Directivas de los Partidos Políticos</w:t>
      </w:r>
      <w:r w:rsidR="00E81FBC" w:rsidRPr="005970E9">
        <w:rPr>
          <w:rFonts w:ascii="Century Schoolbook" w:hAnsi="Century Schoolbook" w:cs="IQZGNC+Balloon"/>
          <w:i w:val="0"/>
          <w:iCs w:val="0"/>
          <w:color w:val="000000"/>
          <w:sz w:val="20"/>
          <w:szCs w:val="20"/>
          <w:lang w:val="es-US" w:eastAsia="en-US"/>
        </w:rPr>
        <w:t xml:space="preserve"> 1/</w:t>
      </w:r>
      <w:bookmarkEnd w:id="87"/>
    </w:p>
    <w:tbl>
      <w:tblPr>
        <w:tblW w:w="8877" w:type="dxa"/>
        <w:tblLook w:val="04A0" w:firstRow="1" w:lastRow="0" w:firstColumn="1" w:lastColumn="0" w:noHBand="0" w:noVBand="1"/>
      </w:tblPr>
      <w:tblGrid>
        <w:gridCol w:w="1544"/>
        <w:gridCol w:w="761"/>
        <w:gridCol w:w="604"/>
        <w:gridCol w:w="606"/>
        <w:gridCol w:w="761"/>
        <w:gridCol w:w="550"/>
        <w:gridCol w:w="606"/>
        <w:gridCol w:w="761"/>
        <w:gridCol w:w="439"/>
        <w:gridCol w:w="606"/>
        <w:gridCol w:w="761"/>
        <w:gridCol w:w="439"/>
        <w:gridCol w:w="439"/>
      </w:tblGrid>
      <w:tr w:rsidR="0076412B" w:rsidRPr="005970E9" w14:paraId="756B2F0F" w14:textId="77777777" w:rsidTr="00777873">
        <w:trPr>
          <w:trHeight w:val="265"/>
        </w:trPr>
        <w:tc>
          <w:tcPr>
            <w:tcW w:w="1696" w:type="dxa"/>
            <w:vMerge w:val="restart"/>
            <w:tcBorders>
              <w:top w:val="single" w:sz="4" w:space="0" w:color="auto"/>
              <w:left w:val="single" w:sz="4" w:space="0" w:color="auto"/>
              <w:right w:val="single" w:sz="4" w:space="0" w:color="auto"/>
            </w:tcBorders>
            <w:shd w:val="clear" w:color="auto" w:fill="B2A1C7" w:themeFill="accent4" w:themeFillTint="99"/>
            <w:vAlign w:val="center"/>
          </w:tcPr>
          <w:p w14:paraId="08C87C88" w14:textId="52981C97" w:rsidR="0076412B" w:rsidRPr="005970E9" w:rsidRDefault="0076412B" w:rsidP="0076412B">
            <w:pPr>
              <w:autoSpaceDE w:val="0"/>
              <w:autoSpaceDN w:val="0"/>
              <w:adjustRightInd w:val="0"/>
              <w:rPr>
                <w:rFonts w:cs="IQZGNC+Balloon"/>
                <w:b/>
                <w:bCs/>
                <w:color w:val="000000"/>
                <w:sz w:val="20"/>
                <w:szCs w:val="20"/>
                <w:lang w:val="es-US"/>
              </w:rPr>
            </w:pPr>
            <w:r w:rsidRPr="005970E9">
              <w:rPr>
                <w:b/>
                <w:bCs/>
                <w:sz w:val="20"/>
                <w:szCs w:val="20"/>
              </w:rPr>
              <w:t>Partido político</w:t>
            </w:r>
          </w:p>
        </w:tc>
        <w:tc>
          <w:tcPr>
            <w:tcW w:w="3854" w:type="dxa"/>
            <w:gridSpan w:val="6"/>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0E5E114D" w14:textId="77777777" w:rsidR="0076412B" w:rsidRPr="005970E9" w:rsidRDefault="0076412B">
            <w:pPr>
              <w:autoSpaceDE w:val="0"/>
              <w:autoSpaceDN w:val="0"/>
              <w:adjustRightInd w:val="0"/>
              <w:jc w:val="center"/>
              <w:rPr>
                <w:rFonts w:cs="IQZGNC+Balloon"/>
                <w:color w:val="000000"/>
                <w:sz w:val="20"/>
                <w:szCs w:val="20"/>
                <w:lang w:val="es-US"/>
              </w:rPr>
            </w:pPr>
            <w:r w:rsidRPr="005970E9">
              <w:rPr>
                <w:rFonts w:cs="IQZGNC+Balloon"/>
                <w:color w:val="000000"/>
                <w:sz w:val="20"/>
                <w:szCs w:val="20"/>
                <w:lang w:val="es-US"/>
              </w:rPr>
              <w:t>Directorio Nacional</w:t>
            </w:r>
          </w:p>
        </w:tc>
        <w:tc>
          <w:tcPr>
            <w:tcW w:w="0" w:type="auto"/>
            <w:gridSpan w:val="6"/>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49CA6AAC" w14:textId="77777777" w:rsidR="0076412B" w:rsidRPr="005970E9" w:rsidRDefault="0076412B">
            <w:pPr>
              <w:autoSpaceDE w:val="0"/>
              <w:autoSpaceDN w:val="0"/>
              <w:adjustRightInd w:val="0"/>
              <w:jc w:val="center"/>
              <w:rPr>
                <w:rFonts w:cs="IQZGNC+Balloon"/>
                <w:color w:val="000000"/>
                <w:sz w:val="20"/>
                <w:szCs w:val="20"/>
                <w:lang w:val="es-US"/>
              </w:rPr>
            </w:pPr>
            <w:r w:rsidRPr="005970E9">
              <w:rPr>
                <w:sz w:val="20"/>
                <w:szCs w:val="20"/>
              </w:rPr>
              <w:t>*Juntas directivas</w:t>
            </w:r>
          </w:p>
        </w:tc>
      </w:tr>
      <w:tr w:rsidR="0076412B" w:rsidRPr="005970E9" w14:paraId="64136C9B" w14:textId="77777777" w:rsidTr="00777873">
        <w:trPr>
          <w:trHeight w:val="265"/>
        </w:trPr>
        <w:tc>
          <w:tcPr>
            <w:tcW w:w="1696" w:type="dxa"/>
            <w:vMerge/>
            <w:tcBorders>
              <w:left w:val="single" w:sz="4" w:space="0" w:color="auto"/>
              <w:right w:val="single" w:sz="4" w:space="0" w:color="auto"/>
            </w:tcBorders>
            <w:shd w:val="clear" w:color="auto" w:fill="B2A1C7" w:themeFill="accent4" w:themeFillTint="99"/>
          </w:tcPr>
          <w:p w14:paraId="2BF945D7" w14:textId="758035AD" w:rsidR="0076412B" w:rsidRPr="005970E9" w:rsidRDefault="0076412B" w:rsidP="00752C00">
            <w:pPr>
              <w:autoSpaceDE w:val="0"/>
              <w:autoSpaceDN w:val="0"/>
              <w:adjustRightInd w:val="0"/>
              <w:rPr>
                <w:rFonts w:cs="IQZGNC+Balloon"/>
                <w:color w:val="000000"/>
                <w:sz w:val="20"/>
                <w:szCs w:val="20"/>
                <w:lang w:val="es-US"/>
              </w:rPr>
            </w:pPr>
          </w:p>
        </w:tc>
        <w:tc>
          <w:tcPr>
            <w:tcW w:w="1996"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14F91875" w14:textId="77777777" w:rsidR="0076412B" w:rsidRPr="005970E9" w:rsidRDefault="0076412B">
            <w:pPr>
              <w:autoSpaceDE w:val="0"/>
              <w:autoSpaceDN w:val="0"/>
              <w:adjustRightInd w:val="0"/>
              <w:jc w:val="center"/>
              <w:rPr>
                <w:rFonts w:cs="IQZGNC+Balloon"/>
                <w:color w:val="000000"/>
                <w:sz w:val="20"/>
                <w:szCs w:val="20"/>
                <w:lang w:val="es-US"/>
              </w:rPr>
            </w:pPr>
            <w:r w:rsidRPr="005970E9">
              <w:rPr>
                <w:sz w:val="20"/>
                <w:szCs w:val="20"/>
              </w:rPr>
              <w:t>2011</w:t>
            </w:r>
          </w:p>
        </w:tc>
        <w:tc>
          <w:tcPr>
            <w:tcW w:w="0" w:type="auto"/>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332C01B1" w14:textId="77777777" w:rsidR="0076412B" w:rsidRPr="005970E9" w:rsidRDefault="0076412B">
            <w:pPr>
              <w:autoSpaceDE w:val="0"/>
              <w:autoSpaceDN w:val="0"/>
              <w:adjustRightInd w:val="0"/>
              <w:jc w:val="center"/>
              <w:rPr>
                <w:rFonts w:cs="IQZGNC+Balloon"/>
                <w:color w:val="000000"/>
                <w:sz w:val="20"/>
                <w:szCs w:val="20"/>
                <w:lang w:val="es-US"/>
              </w:rPr>
            </w:pPr>
            <w:r w:rsidRPr="005970E9">
              <w:rPr>
                <w:sz w:val="20"/>
                <w:szCs w:val="20"/>
              </w:rPr>
              <w:t>2013</w:t>
            </w:r>
          </w:p>
        </w:tc>
        <w:tc>
          <w:tcPr>
            <w:tcW w:w="0" w:type="auto"/>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3A49BE31" w14:textId="77777777" w:rsidR="0076412B" w:rsidRPr="005970E9" w:rsidRDefault="0076412B">
            <w:pPr>
              <w:autoSpaceDE w:val="0"/>
              <w:autoSpaceDN w:val="0"/>
              <w:adjustRightInd w:val="0"/>
              <w:jc w:val="center"/>
              <w:rPr>
                <w:rFonts w:cs="IQZGNC+Balloon"/>
                <w:color w:val="000000"/>
                <w:sz w:val="20"/>
                <w:szCs w:val="20"/>
                <w:lang w:val="es-US"/>
              </w:rPr>
            </w:pPr>
            <w:r w:rsidRPr="005970E9">
              <w:rPr>
                <w:sz w:val="20"/>
                <w:szCs w:val="20"/>
              </w:rPr>
              <w:t>2015</w:t>
            </w:r>
          </w:p>
        </w:tc>
        <w:tc>
          <w:tcPr>
            <w:tcW w:w="0" w:type="auto"/>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3A121DF1" w14:textId="77777777" w:rsidR="0076412B" w:rsidRPr="005970E9" w:rsidRDefault="0076412B">
            <w:pPr>
              <w:autoSpaceDE w:val="0"/>
              <w:autoSpaceDN w:val="0"/>
              <w:adjustRightInd w:val="0"/>
              <w:jc w:val="center"/>
              <w:rPr>
                <w:rFonts w:cs="IQZGNC+Balloon"/>
                <w:color w:val="000000"/>
                <w:sz w:val="20"/>
                <w:szCs w:val="20"/>
                <w:lang w:val="es-US"/>
              </w:rPr>
            </w:pPr>
            <w:r w:rsidRPr="005970E9">
              <w:rPr>
                <w:sz w:val="20"/>
                <w:szCs w:val="20"/>
              </w:rPr>
              <w:t>2020</w:t>
            </w:r>
          </w:p>
        </w:tc>
      </w:tr>
      <w:tr w:rsidR="0076412B" w:rsidRPr="005970E9" w14:paraId="1BAE922F" w14:textId="77777777" w:rsidTr="00777873">
        <w:trPr>
          <w:trHeight w:val="269"/>
        </w:trPr>
        <w:tc>
          <w:tcPr>
            <w:tcW w:w="1696" w:type="dxa"/>
            <w:vMerge/>
            <w:tcBorders>
              <w:left w:val="single" w:sz="4" w:space="0" w:color="auto"/>
              <w:bottom w:val="single" w:sz="4" w:space="0" w:color="auto"/>
              <w:right w:val="single" w:sz="4" w:space="0" w:color="auto"/>
            </w:tcBorders>
            <w:shd w:val="clear" w:color="auto" w:fill="B2A1C7" w:themeFill="accent4" w:themeFillTint="99"/>
            <w:hideMark/>
          </w:tcPr>
          <w:p w14:paraId="583A7024" w14:textId="7303A315" w:rsidR="0076412B" w:rsidRPr="005970E9" w:rsidRDefault="0076412B">
            <w:pPr>
              <w:autoSpaceDE w:val="0"/>
              <w:autoSpaceDN w:val="0"/>
              <w:adjustRightInd w:val="0"/>
              <w:rPr>
                <w:rFonts w:cs="IQZGNC+Balloon"/>
                <w:color w:val="000000"/>
                <w:sz w:val="20"/>
                <w:szCs w:val="20"/>
                <w:lang w:val="es-US"/>
              </w:rPr>
            </w:pPr>
          </w:p>
        </w:tc>
        <w:tc>
          <w:tcPr>
            <w:tcW w:w="709"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22962806" w14:textId="476DBDBE" w:rsidR="0076412B" w:rsidRPr="005970E9" w:rsidRDefault="0076412B" w:rsidP="0076412B">
            <w:pPr>
              <w:jc w:val="center"/>
              <w:rPr>
                <w:rFonts w:cs="IQZGNC+Balloon"/>
                <w:b/>
                <w:bCs/>
                <w:color w:val="000000"/>
                <w:sz w:val="20"/>
                <w:szCs w:val="20"/>
                <w:lang w:val="es-US"/>
              </w:rPr>
            </w:pPr>
            <w:r w:rsidRPr="005970E9">
              <w:rPr>
                <w:b/>
                <w:bCs/>
                <w:sz w:val="20"/>
                <w:szCs w:val="20"/>
              </w:rPr>
              <w:t>Total</w:t>
            </w:r>
          </w:p>
        </w:tc>
        <w:tc>
          <w:tcPr>
            <w:tcW w:w="681"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758A42EC" w14:textId="51DC826D" w:rsidR="0076412B" w:rsidRPr="005970E9" w:rsidRDefault="0076412B" w:rsidP="0076412B">
            <w:pPr>
              <w:autoSpaceDE w:val="0"/>
              <w:autoSpaceDN w:val="0"/>
              <w:adjustRightInd w:val="0"/>
              <w:jc w:val="center"/>
              <w:rPr>
                <w:rFonts w:cs="IQZGNC+Balloon"/>
                <w:b/>
                <w:bCs/>
                <w:color w:val="000000"/>
                <w:sz w:val="20"/>
                <w:szCs w:val="20"/>
                <w:lang w:val="es-US"/>
              </w:rPr>
            </w:pPr>
            <w:r w:rsidRPr="005970E9">
              <w:rPr>
                <w:b/>
                <w:bCs/>
                <w:sz w:val="20"/>
                <w:szCs w:val="20"/>
              </w:rPr>
              <w:t>M</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099A962" w14:textId="5814EC93" w:rsidR="0076412B" w:rsidRPr="005970E9" w:rsidRDefault="0076412B" w:rsidP="0076412B">
            <w:pPr>
              <w:jc w:val="center"/>
              <w:rPr>
                <w:rFonts w:cs="IQZGNC+Balloon"/>
                <w:b/>
                <w:bCs/>
                <w:color w:val="000000"/>
                <w:sz w:val="20"/>
                <w:szCs w:val="20"/>
                <w:lang w:val="es-US"/>
              </w:rPr>
            </w:pPr>
            <w:r w:rsidRPr="005970E9">
              <w:rPr>
                <w:b/>
                <w:bCs/>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E26BC78" w14:textId="35C4B957" w:rsidR="0076412B" w:rsidRPr="005970E9" w:rsidRDefault="0076412B" w:rsidP="0076412B">
            <w:pPr>
              <w:jc w:val="center"/>
              <w:rPr>
                <w:rFonts w:cs="IQZGNC+Balloon"/>
                <w:b/>
                <w:bCs/>
                <w:color w:val="000000"/>
                <w:sz w:val="20"/>
                <w:szCs w:val="20"/>
                <w:lang w:val="es-US"/>
              </w:rPr>
            </w:pPr>
            <w:r w:rsidRPr="005970E9">
              <w:rPr>
                <w:b/>
                <w:bCs/>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3F192867" w14:textId="77777777" w:rsidR="0076412B" w:rsidRPr="005970E9" w:rsidRDefault="0076412B" w:rsidP="0076412B">
            <w:pPr>
              <w:autoSpaceDE w:val="0"/>
              <w:autoSpaceDN w:val="0"/>
              <w:adjustRightInd w:val="0"/>
              <w:jc w:val="center"/>
              <w:rPr>
                <w:rFonts w:cs="IQZGNC+Balloon"/>
                <w:b/>
                <w:bCs/>
                <w:color w:val="000000"/>
                <w:sz w:val="20"/>
                <w:szCs w:val="20"/>
                <w:lang w:val="es-US"/>
              </w:rPr>
            </w:pPr>
            <w:r w:rsidRPr="005970E9">
              <w:rPr>
                <w:b/>
                <w:bCs/>
                <w:sz w:val="20"/>
                <w:szCs w:val="20"/>
              </w:rPr>
              <w:t>M</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AA437DC" w14:textId="570714B2" w:rsidR="0076412B" w:rsidRPr="005970E9" w:rsidRDefault="0076412B" w:rsidP="0076412B">
            <w:pPr>
              <w:jc w:val="center"/>
              <w:rPr>
                <w:rFonts w:cs="IQZGNC+Balloon"/>
                <w:b/>
                <w:bCs/>
                <w:color w:val="000000"/>
                <w:sz w:val="20"/>
                <w:szCs w:val="20"/>
                <w:lang w:val="es-US"/>
              </w:rPr>
            </w:pPr>
            <w:r w:rsidRPr="005970E9">
              <w:rPr>
                <w:b/>
                <w:bCs/>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28FFBDA1" w14:textId="77777777" w:rsidR="0076412B" w:rsidRPr="005970E9" w:rsidRDefault="0076412B" w:rsidP="0076412B">
            <w:pPr>
              <w:autoSpaceDE w:val="0"/>
              <w:autoSpaceDN w:val="0"/>
              <w:adjustRightInd w:val="0"/>
              <w:jc w:val="center"/>
              <w:rPr>
                <w:rFonts w:cs="IQZGNC+Balloon"/>
                <w:b/>
                <w:bCs/>
                <w:color w:val="000000"/>
                <w:sz w:val="20"/>
                <w:szCs w:val="20"/>
                <w:lang w:val="es-US"/>
              </w:rPr>
            </w:pPr>
            <w:r w:rsidRPr="005970E9">
              <w:rPr>
                <w:b/>
                <w:bCs/>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761A80A2" w14:textId="77777777" w:rsidR="0076412B" w:rsidRPr="005970E9" w:rsidRDefault="0076412B" w:rsidP="0076412B">
            <w:pPr>
              <w:autoSpaceDE w:val="0"/>
              <w:autoSpaceDN w:val="0"/>
              <w:adjustRightInd w:val="0"/>
              <w:jc w:val="center"/>
              <w:rPr>
                <w:rFonts w:cs="IQZGNC+Balloon"/>
                <w:b/>
                <w:bCs/>
                <w:color w:val="000000"/>
                <w:sz w:val="20"/>
                <w:szCs w:val="20"/>
                <w:lang w:val="es-US"/>
              </w:rPr>
            </w:pPr>
            <w:r w:rsidRPr="005970E9">
              <w:rPr>
                <w:b/>
                <w:bCs/>
                <w:sz w:val="20"/>
                <w:szCs w:val="20"/>
              </w:rPr>
              <w:t>M</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71C5BB10" w14:textId="77777777" w:rsidR="0076412B" w:rsidRPr="005970E9" w:rsidRDefault="0076412B" w:rsidP="0076412B">
            <w:pPr>
              <w:autoSpaceDE w:val="0"/>
              <w:autoSpaceDN w:val="0"/>
              <w:adjustRightInd w:val="0"/>
              <w:jc w:val="center"/>
              <w:rPr>
                <w:rFonts w:cs="IQZGNC+Balloon"/>
                <w:b/>
                <w:bCs/>
                <w:color w:val="000000"/>
                <w:sz w:val="20"/>
                <w:szCs w:val="20"/>
                <w:lang w:val="es-US"/>
              </w:rPr>
            </w:pPr>
            <w:r w:rsidRPr="005970E9">
              <w:rPr>
                <w:b/>
                <w:bCs/>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49A64A86" w14:textId="77777777" w:rsidR="0076412B" w:rsidRPr="005970E9" w:rsidRDefault="0076412B" w:rsidP="0076412B">
            <w:pPr>
              <w:autoSpaceDE w:val="0"/>
              <w:autoSpaceDN w:val="0"/>
              <w:adjustRightInd w:val="0"/>
              <w:jc w:val="center"/>
              <w:rPr>
                <w:rFonts w:cs="IQZGNC+Balloon"/>
                <w:b/>
                <w:bCs/>
                <w:color w:val="000000"/>
                <w:sz w:val="20"/>
                <w:szCs w:val="20"/>
                <w:lang w:val="es-US"/>
              </w:rPr>
            </w:pPr>
            <w:r w:rsidRPr="005970E9">
              <w:rPr>
                <w:b/>
                <w:bCs/>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0B85DE4F" w14:textId="77777777" w:rsidR="0076412B" w:rsidRPr="005970E9" w:rsidRDefault="0076412B" w:rsidP="0076412B">
            <w:pPr>
              <w:autoSpaceDE w:val="0"/>
              <w:autoSpaceDN w:val="0"/>
              <w:adjustRightInd w:val="0"/>
              <w:jc w:val="center"/>
              <w:rPr>
                <w:rFonts w:cs="IQZGNC+Balloon"/>
                <w:b/>
                <w:bCs/>
                <w:color w:val="000000"/>
                <w:sz w:val="20"/>
                <w:szCs w:val="20"/>
                <w:lang w:val="es-US"/>
              </w:rPr>
            </w:pPr>
            <w:r w:rsidRPr="005970E9">
              <w:rPr>
                <w:b/>
                <w:bCs/>
                <w:sz w:val="20"/>
                <w:szCs w:val="20"/>
              </w:rPr>
              <w:t>M</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29AE3832" w14:textId="77777777" w:rsidR="0076412B" w:rsidRPr="005970E9" w:rsidRDefault="0076412B" w:rsidP="0076412B">
            <w:pPr>
              <w:autoSpaceDE w:val="0"/>
              <w:autoSpaceDN w:val="0"/>
              <w:adjustRightInd w:val="0"/>
              <w:jc w:val="center"/>
              <w:rPr>
                <w:rFonts w:cs="IQZGNC+Balloon"/>
                <w:b/>
                <w:bCs/>
                <w:color w:val="000000"/>
                <w:sz w:val="20"/>
                <w:szCs w:val="20"/>
                <w:lang w:val="es-US"/>
              </w:rPr>
            </w:pPr>
            <w:r w:rsidRPr="005970E9">
              <w:rPr>
                <w:b/>
                <w:bCs/>
                <w:sz w:val="20"/>
                <w:szCs w:val="20"/>
              </w:rPr>
              <w:t>%</w:t>
            </w:r>
          </w:p>
        </w:tc>
      </w:tr>
      <w:tr w:rsidR="0089726B" w:rsidRPr="005970E9" w14:paraId="1CC23E87" w14:textId="77777777" w:rsidTr="00385435">
        <w:trPr>
          <w:trHeight w:val="277"/>
        </w:trPr>
        <w:tc>
          <w:tcPr>
            <w:tcW w:w="1696" w:type="dxa"/>
            <w:tcBorders>
              <w:top w:val="single" w:sz="4" w:space="0" w:color="auto"/>
              <w:left w:val="single" w:sz="4" w:space="0" w:color="auto"/>
              <w:bottom w:val="single" w:sz="4" w:space="0" w:color="auto"/>
              <w:right w:val="single" w:sz="4" w:space="0" w:color="auto"/>
            </w:tcBorders>
            <w:hideMark/>
          </w:tcPr>
          <w:p w14:paraId="132ADB83" w14:textId="77777777" w:rsidR="0089726B" w:rsidRPr="005970E9" w:rsidRDefault="0089726B">
            <w:pPr>
              <w:autoSpaceDE w:val="0"/>
              <w:autoSpaceDN w:val="0"/>
              <w:adjustRightInd w:val="0"/>
              <w:rPr>
                <w:rFonts w:cs="IQZGNC+Balloon"/>
                <w:color w:val="000000"/>
                <w:sz w:val="20"/>
                <w:szCs w:val="20"/>
                <w:lang w:val="es-US"/>
              </w:rPr>
            </w:pPr>
            <w:r w:rsidRPr="005970E9">
              <w:rPr>
                <w:sz w:val="20"/>
                <w:szCs w:val="20"/>
              </w:rPr>
              <w:t xml:space="preserve">PRD </w:t>
            </w:r>
          </w:p>
        </w:tc>
        <w:tc>
          <w:tcPr>
            <w:tcW w:w="709" w:type="dxa"/>
            <w:tcBorders>
              <w:top w:val="single" w:sz="4" w:space="0" w:color="auto"/>
              <w:left w:val="single" w:sz="4" w:space="0" w:color="auto"/>
              <w:bottom w:val="single" w:sz="4" w:space="0" w:color="auto"/>
              <w:right w:val="single" w:sz="4" w:space="0" w:color="auto"/>
            </w:tcBorders>
            <w:hideMark/>
          </w:tcPr>
          <w:p w14:paraId="6E33DA2C"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300</w:t>
            </w:r>
          </w:p>
        </w:tc>
        <w:tc>
          <w:tcPr>
            <w:tcW w:w="681" w:type="dxa"/>
            <w:tcBorders>
              <w:top w:val="single" w:sz="4" w:space="0" w:color="auto"/>
              <w:left w:val="single" w:sz="4" w:space="0" w:color="auto"/>
              <w:bottom w:val="single" w:sz="4" w:space="0" w:color="auto"/>
              <w:right w:val="single" w:sz="4" w:space="0" w:color="auto"/>
            </w:tcBorders>
            <w:hideMark/>
          </w:tcPr>
          <w:p w14:paraId="5645C2EB"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70</w:t>
            </w:r>
          </w:p>
        </w:tc>
        <w:tc>
          <w:tcPr>
            <w:tcW w:w="0" w:type="auto"/>
            <w:tcBorders>
              <w:top w:val="single" w:sz="4" w:space="0" w:color="auto"/>
              <w:left w:val="single" w:sz="4" w:space="0" w:color="auto"/>
              <w:bottom w:val="single" w:sz="4" w:space="0" w:color="auto"/>
              <w:right w:val="single" w:sz="4" w:space="0" w:color="auto"/>
            </w:tcBorders>
            <w:hideMark/>
          </w:tcPr>
          <w:p w14:paraId="4D5391CE"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23.3</w:t>
            </w:r>
          </w:p>
        </w:tc>
        <w:tc>
          <w:tcPr>
            <w:tcW w:w="0" w:type="auto"/>
            <w:tcBorders>
              <w:top w:val="single" w:sz="4" w:space="0" w:color="auto"/>
              <w:left w:val="single" w:sz="4" w:space="0" w:color="auto"/>
              <w:bottom w:val="single" w:sz="4" w:space="0" w:color="auto"/>
              <w:right w:val="single" w:sz="4" w:space="0" w:color="auto"/>
            </w:tcBorders>
            <w:hideMark/>
          </w:tcPr>
          <w:p w14:paraId="1A0D5CE9"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300</w:t>
            </w:r>
          </w:p>
        </w:tc>
        <w:tc>
          <w:tcPr>
            <w:tcW w:w="0" w:type="auto"/>
            <w:tcBorders>
              <w:top w:val="single" w:sz="4" w:space="0" w:color="auto"/>
              <w:left w:val="single" w:sz="4" w:space="0" w:color="auto"/>
              <w:bottom w:val="single" w:sz="4" w:space="0" w:color="auto"/>
              <w:right w:val="single" w:sz="4" w:space="0" w:color="auto"/>
            </w:tcBorders>
            <w:hideMark/>
          </w:tcPr>
          <w:p w14:paraId="0DB21EA7"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74</w:t>
            </w:r>
          </w:p>
        </w:tc>
        <w:tc>
          <w:tcPr>
            <w:tcW w:w="0" w:type="auto"/>
            <w:tcBorders>
              <w:top w:val="single" w:sz="4" w:space="0" w:color="auto"/>
              <w:left w:val="single" w:sz="4" w:space="0" w:color="auto"/>
              <w:bottom w:val="single" w:sz="4" w:space="0" w:color="auto"/>
              <w:right w:val="single" w:sz="4" w:space="0" w:color="auto"/>
            </w:tcBorders>
            <w:hideMark/>
          </w:tcPr>
          <w:p w14:paraId="054EB581"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24.6</w:t>
            </w:r>
          </w:p>
        </w:tc>
        <w:tc>
          <w:tcPr>
            <w:tcW w:w="0" w:type="auto"/>
            <w:tcBorders>
              <w:top w:val="single" w:sz="4" w:space="0" w:color="auto"/>
              <w:left w:val="single" w:sz="4" w:space="0" w:color="auto"/>
              <w:bottom w:val="single" w:sz="4" w:space="0" w:color="auto"/>
              <w:right w:val="single" w:sz="4" w:space="0" w:color="auto"/>
            </w:tcBorders>
            <w:hideMark/>
          </w:tcPr>
          <w:p w14:paraId="3795B842"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10</w:t>
            </w:r>
          </w:p>
        </w:tc>
        <w:tc>
          <w:tcPr>
            <w:tcW w:w="0" w:type="auto"/>
            <w:tcBorders>
              <w:top w:val="single" w:sz="4" w:space="0" w:color="auto"/>
              <w:left w:val="single" w:sz="4" w:space="0" w:color="auto"/>
              <w:bottom w:val="single" w:sz="4" w:space="0" w:color="auto"/>
              <w:right w:val="single" w:sz="4" w:space="0" w:color="auto"/>
            </w:tcBorders>
            <w:hideMark/>
          </w:tcPr>
          <w:p w14:paraId="05CA7DC4"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14:paraId="44478E1C"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30</w:t>
            </w:r>
          </w:p>
        </w:tc>
        <w:tc>
          <w:tcPr>
            <w:tcW w:w="0" w:type="auto"/>
            <w:tcBorders>
              <w:top w:val="single" w:sz="4" w:space="0" w:color="auto"/>
              <w:left w:val="single" w:sz="4" w:space="0" w:color="auto"/>
              <w:bottom w:val="single" w:sz="4" w:space="0" w:color="auto"/>
              <w:right w:val="single" w:sz="4" w:space="0" w:color="auto"/>
            </w:tcBorders>
            <w:hideMark/>
          </w:tcPr>
          <w:p w14:paraId="0823B413"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10</w:t>
            </w:r>
          </w:p>
        </w:tc>
        <w:tc>
          <w:tcPr>
            <w:tcW w:w="0" w:type="auto"/>
            <w:tcBorders>
              <w:top w:val="single" w:sz="4" w:space="0" w:color="auto"/>
              <w:left w:val="single" w:sz="4" w:space="0" w:color="auto"/>
              <w:bottom w:val="single" w:sz="4" w:space="0" w:color="auto"/>
              <w:right w:val="single" w:sz="4" w:space="0" w:color="auto"/>
            </w:tcBorders>
            <w:hideMark/>
          </w:tcPr>
          <w:p w14:paraId="5CBFDF98"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14:paraId="47F1A7E1"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30</w:t>
            </w:r>
          </w:p>
        </w:tc>
      </w:tr>
      <w:tr w:rsidR="0089726B" w:rsidRPr="005970E9" w14:paraId="59F497D9" w14:textId="77777777" w:rsidTr="00385435">
        <w:trPr>
          <w:trHeight w:val="265"/>
        </w:trPr>
        <w:tc>
          <w:tcPr>
            <w:tcW w:w="1696" w:type="dxa"/>
            <w:tcBorders>
              <w:top w:val="single" w:sz="4" w:space="0" w:color="auto"/>
              <w:left w:val="single" w:sz="4" w:space="0" w:color="auto"/>
              <w:bottom w:val="single" w:sz="4" w:space="0" w:color="auto"/>
              <w:right w:val="single" w:sz="4" w:space="0" w:color="auto"/>
            </w:tcBorders>
            <w:hideMark/>
          </w:tcPr>
          <w:p w14:paraId="62E58813" w14:textId="77777777" w:rsidR="0089726B" w:rsidRPr="005970E9" w:rsidRDefault="0089726B">
            <w:pPr>
              <w:autoSpaceDE w:val="0"/>
              <w:autoSpaceDN w:val="0"/>
              <w:adjustRightInd w:val="0"/>
              <w:rPr>
                <w:rFonts w:cs="IQZGNC+Balloon"/>
                <w:color w:val="000000"/>
                <w:sz w:val="20"/>
                <w:szCs w:val="20"/>
                <w:lang w:val="es-US"/>
              </w:rPr>
            </w:pPr>
            <w:r w:rsidRPr="005970E9">
              <w:rPr>
                <w:sz w:val="20"/>
                <w:szCs w:val="20"/>
              </w:rPr>
              <w:t xml:space="preserve">Panameñista </w:t>
            </w:r>
          </w:p>
        </w:tc>
        <w:tc>
          <w:tcPr>
            <w:tcW w:w="709" w:type="dxa"/>
            <w:tcBorders>
              <w:top w:val="single" w:sz="4" w:space="0" w:color="auto"/>
              <w:left w:val="single" w:sz="4" w:space="0" w:color="auto"/>
              <w:bottom w:val="single" w:sz="4" w:space="0" w:color="auto"/>
              <w:right w:val="single" w:sz="4" w:space="0" w:color="auto"/>
            </w:tcBorders>
            <w:hideMark/>
          </w:tcPr>
          <w:p w14:paraId="1AA2223D"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40</w:t>
            </w:r>
          </w:p>
        </w:tc>
        <w:tc>
          <w:tcPr>
            <w:tcW w:w="681" w:type="dxa"/>
            <w:tcBorders>
              <w:top w:val="single" w:sz="4" w:space="0" w:color="auto"/>
              <w:left w:val="single" w:sz="4" w:space="0" w:color="auto"/>
              <w:bottom w:val="single" w:sz="4" w:space="0" w:color="auto"/>
              <w:right w:val="single" w:sz="4" w:space="0" w:color="auto"/>
            </w:tcBorders>
            <w:hideMark/>
          </w:tcPr>
          <w:p w14:paraId="59082FC3"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14:paraId="2A1D2F1F"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7.5</w:t>
            </w:r>
          </w:p>
        </w:tc>
        <w:tc>
          <w:tcPr>
            <w:tcW w:w="0" w:type="auto"/>
            <w:tcBorders>
              <w:top w:val="single" w:sz="4" w:space="0" w:color="auto"/>
              <w:left w:val="single" w:sz="4" w:space="0" w:color="auto"/>
              <w:bottom w:val="single" w:sz="4" w:space="0" w:color="auto"/>
              <w:right w:val="single" w:sz="4" w:space="0" w:color="auto"/>
            </w:tcBorders>
            <w:hideMark/>
          </w:tcPr>
          <w:p w14:paraId="3CA58597"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40</w:t>
            </w:r>
          </w:p>
        </w:tc>
        <w:tc>
          <w:tcPr>
            <w:tcW w:w="0" w:type="auto"/>
            <w:tcBorders>
              <w:top w:val="single" w:sz="4" w:space="0" w:color="auto"/>
              <w:left w:val="single" w:sz="4" w:space="0" w:color="auto"/>
              <w:bottom w:val="single" w:sz="4" w:space="0" w:color="auto"/>
              <w:right w:val="single" w:sz="4" w:space="0" w:color="auto"/>
            </w:tcBorders>
            <w:hideMark/>
          </w:tcPr>
          <w:p w14:paraId="3502B6B7"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14:paraId="4428618C"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7.5</w:t>
            </w:r>
          </w:p>
        </w:tc>
        <w:tc>
          <w:tcPr>
            <w:tcW w:w="0" w:type="auto"/>
            <w:tcBorders>
              <w:top w:val="single" w:sz="4" w:space="0" w:color="auto"/>
              <w:left w:val="single" w:sz="4" w:space="0" w:color="auto"/>
              <w:bottom w:val="single" w:sz="4" w:space="0" w:color="auto"/>
              <w:right w:val="single" w:sz="4" w:space="0" w:color="auto"/>
            </w:tcBorders>
            <w:hideMark/>
          </w:tcPr>
          <w:p w14:paraId="5C33143F"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11</w:t>
            </w:r>
          </w:p>
        </w:tc>
        <w:tc>
          <w:tcPr>
            <w:tcW w:w="0" w:type="auto"/>
            <w:tcBorders>
              <w:top w:val="single" w:sz="4" w:space="0" w:color="auto"/>
              <w:left w:val="single" w:sz="4" w:space="0" w:color="auto"/>
              <w:bottom w:val="single" w:sz="4" w:space="0" w:color="auto"/>
              <w:right w:val="single" w:sz="4" w:space="0" w:color="auto"/>
            </w:tcBorders>
            <w:hideMark/>
          </w:tcPr>
          <w:p w14:paraId="2E9C8D4E"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6E5A9B3"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73AC12FD"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11</w:t>
            </w:r>
          </w:p>
        </w:tc>
        <w:tc>
          <w:tcPr>
            <w:tcW w:w="0" w:type="auto"/>
            <w:tcBorders>
              <w:top w:val="single" w:sz="4" w:space="0" w:color="auto"/>
              <w:left w:val="single" w:sz="4" w:space="0" w:color="auto"/>
              <w:bottom w:val="single" w:sz="4" w:space="0" w:color="auto"/>
              <w:right w:val="single" w:sz="4" w:space="0" w:color="auto"/>
            </w:tcBorders>
            <w:hideMark/>
          </w:tcPr>
          <w:p w14:paraId="2B616162"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51E1AE9D"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9</w:t>
            </w:r>
          </w:p>
        </w:tc>
      </w:tr>
      <w:tr w:rsidR="0089726B" w:rsidRPr="005970E9" w14:paraId="1DBB1E07" w14:textId="77777777" w:rsidTr="00385435">
        <w:trPr>
          <w:trHeight w:val="265"/>
        </w:trPr>
        <w:tc>
          <w:tcPr>
            <w:tcW w:w="1696" w:type="dxa"/>
            <w:tcBorders>
              <w:top w:val="single" w:sz="4" w:space="0" w:color="auto"/>
              <w:left w:val="single" w:sz="4" w:space="0" w:color="auto"/>
              <w:bottom w:val="single" w:sz="4" w:space="0" w:color="auto"/>
              <w:right w:val="single" w:sz="4" w:space="0" w:color="auto"/>
            </w:tcBorders>
            <w:hideMark/>
          </w:tcPr>
          <w:p w14:paraId="17723F5E" w14:textId="77777777" w:rsidR="0089726B" w:rsidRPr="005970E9" w:rsidRDefault="0089726B">
            <w:pPr>
              <w:autoSpaceDE w:val="0"/>
              <w:autoSpaceDN w:val="0"/>
              <w:adjustRightInd w:val="0"/>
              <w:rPr>
                <w:rFonts w:cs="IQZGNC+Balloon"/>
                <w:color w:val="000000"/>
                <w:sz w:val="20"/>
                <w:szCs w:val="20"/>
                <w:lang w:val="es-US"/>
              </w:rPr>
            </w:pPr>
            <w:r w:rsidRPr="005970E9">
              <w:rPr>
                <w:sz w:val="20"/>
                <w:szCs w:val="20"/>
              </w:rPr>
              <w:t>Cambio Democrático</w:t>
            </w:r>
          </w:p>
        </w:tc>
        <w:tc>
          <w:tcPr>
            <w:tcW w:w="709" w:type="dxa"/>
            <w:tcBorders>
              <w:top w:val="single" w:sz="4" w:space="0" w:color="auto"/>
              <w:left w:val="single" w:sz="4" w:space="0" w:color="auto"/>
              <w:bottom w:val="single" w:sz="4" w:space="0" w:color="auto"/>
              <w:right w:val="single" w:sz="4" w:space="0" w:color="auto"/>
            </w:tcBorders>
            <w:hideMark/>
          </w:tcPr>
          <w:p w14:paraId="14F5C355"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124</w:t>
            </w:r>
          </w:p>
        </w:tc>
        <w:tc>
          <w:tcPr>
            <w:tcW w:w="681" w:type="dxa"/>
            <w:tcBorders>
              <w:top w:val="single" w:sz="4" w:space="0" w:color="auto"/>
              <w:left w:val="single" w:sz="4" w:space="0" w:color="auto"/>
              <w:bottom w:val="single" w:sz="4" w:space="0" w:color="auto"/>
              <w:right w:val="single" w:sz="4" w:space="0" w:color="auto"/>
            </w:tcBorders>
            <w:hideMark/>
          </w:tcPr>
          <w:p w14:paraId="3353409D"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34</w:t>
            </w:r>
          </w:p>
        </w:tc>
        <w:tc>
          <w:tcPr>
            <w:tcW w:w="0" w:type="auto"/>
            <w:tcBorders>
              <w:top w:val="single" w:sz="4" w:space="0" w:color="auto"/>
              <w:left w:val="single" w:sz="4" w:space="0" w:color="auto"/>
              <w:bottom w:val="single" w:sz="4" w:space="0" w:color="auto"/>
              <w:right w:val="single" w:sz="4" w:space="0" w:color="auto"/>
            </w:tcBorders>
            <w:hideMark/>
          </w:tcPr>
          <w:p w14:paraId="1BE28B5F"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27.4</w:t>
            </w:r>
          </w:p>
        </w:tc>
        <w:tc>
          <w:tcPr>
            <w:tcW w:w="0" w:type="auto"/>
            <w:tcBorders>
              <w:top w:val="single" w:sz="4" w:space="0" w:color="auto"/>
              <w:left w:val="single" w:sz="4" w:space="0" w:color="auto"/>
              <w:bottom w:val="single" w:sz="4" w:space="0" w:color="auto"/>
              <w:right w:val="single" w:sz="4" w:space="0" w:color="auto"/>
            </w:tcBorders>
            <w:hideMark/>
          </w:tcPr>
          <w:p w14:paraId="5D098829"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186</w:t>
            </w:r>
          </w:p>
        </w:tc>
        <w:tc>
          <w:tcPr>
            <w:tcW w:w="0" w:type="auto"/>
            <w:tcBorders>
              <w:top w:val="single" w:sz="4" w:space="0" w:color="auto"/>
              <w:left w:val="single" w:sz="4" w:space="0" w:color="auto"/>
              <w:bottom w:val="single" w:sz="4" w:space="0" w:color="auto"/>
              <w:right w:val="single" w:sz="4" w:space="0" w:color="auto"/>
            </w:tcBorders>
            <w:hideMark/>
          </w:tcPr>
          <w:p w14:paraId="51B98621"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44</w:t>
            </w:r>
          </w:p>
        </w:tc>
        <w:tc>
          <w:tcPr>
            <w:tcW w:w="0" w:type="auto"/>
            <w:tcBorders>
              <w:top w:val="single" w:sz="4" w:space="0" w:color="auto"/>
              <w:left w:val="single" w:sz="4" w:space="0" w:color="auto"/>
              <w:bottom w:val="single" w:sz="4" w:space="0" w:color="auto"/>
              <w:right w:val="single" w:sz="4" w:space="0" w:color="auto"/>
            </w:tcBorders>
            <w:hideMark/>
          </w:tcPr>
          <w:p w14:paraId="555B75C8"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23.7</w:t>
            </w:r>
          </w:p>
        </w:tc>
        <w:tc>
          <w:tcPr>
            <w:tcW w:w="0" w:type="auto"/>
            <w:tcBorders>
              <w:top w:val="single" w:sz="4" w:space="0" w:color="auto"/>
              <w:left w:val="single" w:sz="4" w:space="0" w:color="auto"/>
              <w:bottom w:val="single" w:sz="4" w:space="0" w:color="auto"/>
              <w:right w:val="single" w:sz="4" w:space="0" w:color="auto"/>
            </w:tcBorders>
            <w:hideMark/>
          </w:tcPr>
          <w:p w14:paraId="30C252AC"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24</w:t>
            </w:r>
          </w:p>
        </w:tc>
        <w:tc>
          <w:tcPr>
            <w:tcW w:w="0" w:type="auto"/>
            <w:tcBorders>
              <w:top w:val="single" w:sz="4" w:space="0" w:color="auto"/>
              <w:left w:val="single" w:sz="4" w:space="0" w:color="auto"/>
              <w:bottom w:val="single" w:sz="4" w:space="0" w:color="auto"/>
              <w:right w:val="single" w:sz="4" w:space="0" w:color="auto"/>
            </w:tcBorders>
            <w:hideMark/>
          </w:tcPr>
          <w:p w14:paraId="29EA623C"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1FC751CB"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17</w:t>
            </w:r>
          </w:p>
        </w:tc>
        <w:tc>
          <w:tcPr>
            <w:tcW w:w="0" w:type="auto"/>
            <w:tcBorders>
              <w:top w:val="single" w:sz="4" w:space="0" w:color="auto"/>
              <w:left w:val="single" w:sz="4" w:space="0" w:color="auto"/>
              <w:bottom w:val="single" w:sz="4" w:space="0" w:color="auto"/>
              <w:right w:val="single" w:sz="4" w:space="0" w:color="auto"/>
            </w:tcBorders>
            <w:hideMark/>
          </w:tcPr>
          <w:p w14:paraId="3C99A2DA"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15</w:t>
            </w:r>
          </w:p>
        </w:tc>
        <w:tc>
          <w:tcPr>
            <w:tcW w:w="0" w:type="auto"/>
            <w:tcBorders>
              <w:top w:val="single" w:sz="4" w:space="0" w:color="auto"/>
              <w:left w:val="single" w:sz="4" w:space="0" w:color="auto"/>
              <w:bottom w:val="single" w:sz="4" w:space="0" w:color="auto"/>
              <w:right w:val="single" w:sz="4" w:space="0" w:color="auto"/>
            </w:tcBorders>
            <w:hideMark/>
          </w:tcPr>
          <w:p w14:paraId="6D095152"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1981A59C"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26</w:t>
            </w:r>
          </w:p>
        </w:tc>
      </w:tr>
      <w:tr w:rsidR="0089726B" w:rsidRPr="005970E9" w14:paraId="54170B38" w14:textId="77777777" w:rsidTr="00385435">
        <w:trPr>
          <w:trHeight w:val="265"/>
        </w:trPr>
        <w:tc>
          <w:tcPr>
            <w:tcW w:w="1696" w:type="dxa"/>
            <w:tcBorders>
              <w:top w:val="single" w:sz="4" w:space="0" w:color="auto"/>
              <w:left w:val="single" w:sz="4" w:space="0" w:color="auto"/>
              <w:bottom w:val="single" w:sz="4" w:space="0" w:color="auto"/>
              <w:right w:val="single" w:sz="4" w:space="0" w:color="auto"/>
            </w:tcBorders>
            <w:hideMark/>
          </w:tcPr>
          <w:p w14:paraId="2E7BA98B" w14:textId="77777777" w:rsidR="0089726B" w:rsidRPr="005970E9" w:rsidRDefault="0089726B">
            <w:pPr>
              <w:autoSpaceDE w:val="0"/>
              <w:autoSpaceDN w:val="0"/>
              <w:adjustRightInd w:val="0"/>
              <w:rPr>
                <w:rFonts w:cs="IQZGNC+Balloon"/>
                <w:color w:val="000000"/>
                <w:sz w:val="20"/>
                <w:szCs w:val="20"/>
                <w:lang w:val="es-US"/>
              </w:rPr>
            </w:pPr>
            <w:r w:rsidRPr="005970E9">
              <w:rPr>
                <w:sz w:val="20"/>
                <w:szCs w:val="20"/>
              </w:rPr>
              <w:t>MOLIRENA</w:t>
            </w:r>
          </w:p>
        </w:tc>
        <w:tc>
          <w:tcPr>
            <w:tcW w:w="709" w:type="dxa"/>
            <w:tcBorders>
              <w:top w:val="single" w:sz="4" w:space="0" w:color="auto"/>
              <w:left w:val="single" w:sz="4" w:space="0" w:color="auto"/>
              <w:bottom w:val="single" w:sz="4" w:space="0" w:color="auto"/>
              <w:right w:val="single" w:sz="4" w:space="0" w:color="auto"/>
            </w:tcBorders>
            <w:hideMark/>
          </w:tcPr>
          <w:p w14:paraId="5923F969"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195*</w:t>
            </w:r>
          </w:p>
        </w:tc>
        <w:tc>
          <w:tcPr>
            <w:tcW w:w="681" w:type="dxa"/>
            <w:tcBorders>
              <w:top w:val="single" w:sz="4" w:space="0" w:color="auto"/>
              <w:left w:val="single" w:sz="4" w:space="0" w:color="auto"/>
              <w:bottom w:val="single" w:sz="4" w:space="0" w:color="auto"/>
              <w:right w:val="single" w:sz="4" w:space="0" w:color="auto"/>
            </w:tcBorders>
            <w:hideMark/>
          </w:tcPr>
          <w:p w14:paraId="542408A9"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41</w:t>
            </w:r>
          </w:p>
        </w:tc>
        <w:tc>
          <w:tcPr>
            <w:tcW w:w="0" w:type="auto"/>
            <w:tcBorders>
              <w:top w:val="single" w:sz="4" w:space="0" w:color="auto"/>
              <w:left w:val="single" w:sz="4" w:space="0" w:color="auto"/>
              <w:bottom w:val="single" w:sz="4" w:space="0" w:color="auto"/>
              <w:right w:val="single" w:sz="4" w:space="0" w:color="auto"/>
            </w:tcBorders>
            <w:hideMark/>
          </w:tcPr>
          <w:p w14:paraId="056D1B3B"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21.0</w:t>
            </w:r>
          </w:p>
        </w:tc>
        <w:tc>
          <w:tcPr>
            <w:tcW w:w="0" w:type="auto"/>
            <w:tcBorders>
              <w:top w:val="single" w:sz="4" w:space="0" w:color="auto"/>
              <w:left w:val="single" w:sz="4" w:space="0" w:color="auto"/>
              <w:bottom w:val="single" w:sz="4" w:space="0" w:color="auto"/>
              <w:right w:val="single" w:sz="4" w:space="0" w:color="auto"/>
            </w:tcBorders>
            <w:hideMark/>
          </w:tcPr>
          <w:p w14:paraId="45BA661F"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190</w:t>
            </w:r>
          </w:p>
        </w:tc>
        <w:tc>
          <w:tcPr>
            <w:tcW w:w="0" w:type="auto"/>
            <w:tcBorders>
              <w:top w:val="single" w:sz="4" w:space="0" w:color="auto"/>
              <w:left w:val="single" w:sz="4" w:space="0" w:color="auto"/>
              <w:bottom w:val="single" w:sz="4" w:space="0" w:color="auto"/>
              <w:right w:val="single" w:sz="4" w:space="0" w:color="auto"/>
            </w:tcBorders>
            <w:hideMark/>
          </w:tcPr>
          <w:p w14:paraId="1AEC9C3D"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47</w:t>
            </w:r>
          </w:p>
        </w:tc>
        <w:tc>
          <w:tcPr>
            <w:tcW w:w="0" w:type="auto"/>
            <w:tcBorders>
              <w:top w:val="single" w:sz="4" w:space="0" w:color="auto"/>
              <w:left w:val="single" w:sz="4" w:space="0" w:color="auto"/>
              <w:bottom w:val="single" w:sz="4" w:space="0" w:color="auto"/>
              <w:right w:val="single" w:sz="4" w:space="0" w:color="auto"/>
            </w:tcBorders>
            <w:hideMark/>
          </w:tcPr>
          <w:p w14:paraId="023295FF"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24.7</w:t>
            </w:r>
          </w:p>
        </w:tc>
        <w:tc>
          <w:tcPr>
            <w:tcW w:w="0" w:type="auto"/>
            <w:tcBorders>
              <w:top w:val="single" w:sz="4" w:space="0" w:color="auto"/>
              <w:left w:val="single" w:sz="4" w:space="0" w:color="auto"/>
              <w:bottom w:val="single" w:sz="4" w:space="0" w:color="auto"/>
              <w:right w:val="single" w:sz="4" w:space="0" w:color="auto"/>
            </w:tcBorders>
            <w:hideMark/>
          </w:tcPr>
          <w:p w14:paraId="69B11633"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44</w:t>
            </w:r>
          </w:p>
        </w:tc>
        <w:tc>
          <w:tcPr>
            <w:tcW w:w="0" w:type="auto"/>
            <w:tcBorders>
              <w:top w:val="single" w:sz="4" w:space="0" w:color="auto"/>
              <w:left w:val="single" w:sz="4" w:space="0" w:color="auto"/>
              <w:bottom w:val="single" w:sz="4" w:space="0" w:color="auto"/>
              <w:right w:val="single" w:sz="4" w:space="0" w:color="auto"/>
            </w:tcBorders>
            <w:hideMark/>
          </w:tcPr>
          <w:p w14:paraId="49AD9612"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14:paraId="2362FE77"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16</w:t>
            </w:r>
          </w:p>
        </w:tc>
        <w:tc>
          <w:tcPr>
            <w:tcW w:w="0" w:type="auto"/>
            <w:tcBorders>
              <w:top w:val="single" w:sz="4" w:space="0" w:color="auto"/>
              <w:left w:val="single" w:sz="4" w:space="0" w:color="auto"/>
              <w:bottom w:val="single" w:sz="4" w:space="0" w:color="auto"/>
              <w:right w:val="single" w:sz="4" w:space="0" w:color="auto"/>
            </w:tcBorders>
            <w:hideMark/>
          </w:tcPr>
          <w:p w14:paraId="27C8F17A"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14:paraId="62E48B6B"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14:paraId="74C56740"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28</w:t>
            </w:r>
          </w:p>
        </w:tc>
      </w:tr>
      <w:tr w:rsidR="0089726B" w:rsidRPr="005970E9" w14:paraId="59D753B6" w14:textId="77777777" w:rsidTr="00385435">
        <w:trPr>
          <w:trHeight w:val="265"/>
        </w:trPr>
        <w:tc>
          <w:tcPr>
            <w:tcW w:w="1696" w:type="dxa"/>
            <w:tcBorders>
              <w:top w:val="single" w:sz="4" w:space="0" w:color="auto"/>
              <w:left w:val="single" w:sz="4" w:space="0" w:color="auto"/>
              <w:bottom w:val="single" w:sz="4" w:space="0" w:color="auto"/>
              <w:right w:val="single" w:sz="4" w:space="0" w:color="auto"/>
            </w:tcBorders>
            <w:hideMark/>
          </w:tcPr>
          <w:p w14:paraId="13163EAF" w14:textId="77777777" w:rsidR="0089726B" w:rsidRPr="005970E9" w:rsidRDefault="0089726B">
            <w:pPr>
              <w:autoSpaceDE w:val="0"/>
              <w:autoSpaceDN w:val="0"/>
              <w:adjustRightInd w:val="0"/>
              <w:rPr>
                <w:rFonts w:cs="IQZGNC+Balloon"/>
                <w:color w:val="000000"/>
                <w:sz w:val="20"/>
                <w:szCs w:val="20"/>
                <w:lang w:val="es-US"/>
              </w:rPr>
            </w:pPr>
            <w:r w:rsidRPr="005970E9">
              <w:rPr>
                <w:sz w:val="20"/>
                <w:szCs w:val="20"/>
              </w:rPr>
              <w:t>Popular</w:t>
            </w:r>
          </w:p>
        </w:tc>
        <w:tc>
          <w:tcPr>
            <w:tcW w:w="709" w:type="dxa"/>
            <w:tcBorders>
              <w:top w:val="single" w:sz="4" w:space="0" w:color="auto"/>
              <w:left w:val="single" w:sz="4" w:space="0" w:color="auto"/>
              <w:bottom w:val="single" w:sz="4" w:space="0" w:color="auto"/>
              <w:right w:val="single" w:sz="4" w:space="0" w:color="auto"/>
            </w:tcBorders>
            <w:hideMark/>
          </w:tcPr>
          <w:p w14:paraId="576F8329"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250*</w:t>
            </w:r>
          </w:p>
        </w:tc>
        <w:tc>
          <w:tcPr>
            <w:tcW w:w="681" w:type="dxa"/>
            <w:tcBorders>
              <w:top w:val="single" w:sz="4" w:space="0" w:color="auto"/>
              <w:left w:val="single" w:sz="4" w:space="0" w:color="auto"/>
              <w:bottom w:val="single" w:sz="4" w:space="0" w:color="auto"/>
              <w:right w:val="single" w:sz="4" w:space="0" w:color="auto"/>
            </w:tcBorders>
            <w:hideMark/>
          </w:tcPr>
          <w:p w14:paraId="6C078F96"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71</w:t>
            </w:r>
          </w:p>
        </w:tc>
        <w:tc>
          <w:tcPr>
            <w:tcW w:w="0" w:type="auto"/>
            <w:tcBorders>
              <w:top w:val="single" w:sz="4" w:space="0" w:color="auto"/>
              <w:left w:val="single" w:sz="4" w:space="0" w:color="auto"/>
              <w:bottom w:val="single" w:sz="4" w:space="0" w:color="auto"/>
              <w:right w:val="single" w:sz="4" w:space="0" w:color="auto"/>
            </w:tcBorders>
            <w:hideMark/>
          </w:tcPr>
          <w:p w14:paraId="791C6992"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28.4</w:t>
            </w:r>
          </w:p>
        </w:tc>
        <w:tc>
          <w:tcPr>
            <w:tcW w:w="0" w:type="auto"/>
            <w:tcBorders>
              <w:top w:val="single" w:sz="4" w:space="0" w:color="auto"/>
              <w:left w:val="single" w:sz="4" w:space="0" w:color="auto"/>
              <w:bottom w:val="single" w:sz="4" w:space="0" w:color="auto"/>
              <w:right w:val="single" w:sz="4" w:space="0" w:color="auto"/>
            </w:tcBorders>
            <w:hideMark/>
          </w:tcPr>
          <w:p w14:paraId="520AFE73"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250</w:t>
            </w:r>
          </w:p>
        </w:tc>
        <w:tc>
          <w:tcPr>
            <w:tcW w:w="0" w:type="auto"/>
            <w:tcBorders>
              <w:top w:val="single" w:sz="4" w:space="0" w:color="auto"/>
              <w:left w:val="single" w:sz="4" w:space="0" w:color="auto"/>
              <w:bottom w:val="single" w:sz="4" w:space="0" w:color="auto"/>
              <w:right w:val="single" w:sz="4" w:space="0" w:color="auto"/>
            </w:tcBorders>
            <w:hideMark/>
          </w:tcPr>
          <w:p w14:paraId="0AD057B9"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71</w:t>
            </w:r>
          </w:p>
        </w:tc>
        <w:tc>
          <w:tcPr>
            <w:tcW w:w="0" w:type="auto"/>
            <w:tcBorders>
              <w:top w:val="single" w:sz="4" w:space="0" w:color="auto"/>
              <w:left w:val="single" w:sz="4" w:space="0" w:color="auto"/>
              <w:bottom w:val="single" w:sz="4" w:space="0" w:color="auto"/>
              <w:right w:val="single" w:sz="4" w:space="0" w:color="auto"/>
            </w:tcBorders>
            <w:hideMark/>
          </w:tcPr>
          <w:p w14:paraId="75C214CB"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28.4</w:t>
            </w:r>
          </w:p>
        </w:tc>
        <w:tc>
          <w:tcPr>
            <w:tcW w:w="0" w:type="auto"/>
            <w:tcBorders>
              <w:top w:val="single" w:sz="4" w:space="0" w:color="auto"/>
              <w:left w:val="single" w:sz="4" w:space="0" w:color="auto"/>
              <w:bottom w:val="single" w:sz="4" w:space="0" w:color="auto"/>
              <w:right w:val="single" w:sz="4" w:space="0" w:color="auto"/>
            </w:tcBorders>
            <w:hideMark/>
          </w:tcPr>
          <w:p w14:paraId="31A49F9E"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15</w:t>
            </w:r>
          </w:p>
        </w:tc>
        <w:tc>
          <w:tcPr>
            <w:tcW w:w="0" w:type="auto"/>
            <w:tcBorders>
              <w:top w:val="single" w:sz="4" w:space="0" w:color="auto"/>
              <w:left w:val="single" w:sz="4" w:space="0" w:color="auto"/>
              <w:bottom w:val="single" w:sz="4" w:space="0" w:color="auto"/>
              <w:right w:val="single" w:sz="4" w:space="0" w:color="auto"/>
            </w:tcBorders>
            <w:hideMark/>
          </w:tcPr>
          <w:p w14:paraId="138C2B38"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0362CD60"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27</w:t>
            </w:r>
          </w:p>
        </w:tc>
        <w:tc>
          <w:tcPr>
            <w:tcW w:w="0" w:type="auto"/>
            <w:tcBorders>
              <w:top w:val="single" w:sz="4" w:space="0" w:color="auto"/>
              <w:left w:val="single" w:sz="4" w:space="0" w:color="auto"/>
              <w:bottom w:val="single" w:sz="4" w:space="0" w:color="auto"/>
              <w:right w:val="single" w:sz="4" w:space="0" w:color="auto"/>
            </w:tcBorders>
            <w:hideMark/>
          </w:tcPr>
          <w:p w14:paraId="006DA10A"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14:paraId="08C7A2DA"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14:paraId="6DBF2ABC"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rFonts w:cs="IQZGNC+Balloon"/>
                <w:color w:val="000000"/>
                <w:sz w:val="20"/>
                <w:szCs w:val="20"/>
                <w:lang w:val="es-US"/>
              </w:rPr>
              <w:t>42</w:t>
            </w:r>
          </w:p>
        </w:tc>
      </w:tr>
      <w:tr w:rsidR="0089726B" w:rsidRPr="005970E9" w14:paraId="35962937" w14:textId="77777777" w:rsidTr="00777873">
        <w:trPr>
          <w:trHeight w:val="277"/>
        </w:trPr>
        <w:tc>
          <w:tcPr>
            <w:tcW w:w="169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4B35472" w14:textId="77777777" w:rsidR="0089726B" w:rsidRPr="005970E9" w:rsidRDefault="0089726B">
            <w:pPr>
              <w:autoSpaceDE w:val="0"/>
              <w:autoSpaceDN w:val="0"/>
              <w:adjustRightInd w:val="0"/>
              <w:rPr>
                <w:rFonts w:cs="IQZGNC+Balloon"/>
                <w:color w:val="000000"/>
                <w:sz w:val="20"/>
                <w:szCs w:val="20"/>
                <w:lang w:val="es-US"/>
              </w:rPr>
            </w:pPr>
            <w:r w:rsidRPr="005970E9">
              <w:rPr>
                <w:sz w:val="20"/>
                <w:szCs w:val="20"/>
              </w:rPr>
              <w:t xml:space="preserve">Total </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EBB5F65"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909</w:t>
            </w:r>
          </w:p>
        </w:tc>
        <w:tc>
          <w:tcPr>
            <w:tcW w:w="68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547988E"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219</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6B46AE2"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24.1</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2753E23"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966</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6DD9CFB"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247</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EDC21FA"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25.6</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E1030A9"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104</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E27B01D"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39C37F4"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15.4</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B1B694C"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50</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5A38AC2"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E0F21F2" w14:textId="77777777" w:rsidR="0089726B" w:rsidRPr="005970E9" w:rsidRDefault="0089726B" w:rsidP="0076412B">
            <w:pPr>
              <w:autoSpaceDE w:val="0"/>
              <w:autoSpaceDN w:val="0"/>
              <w:adjustRightInd w:val="0"/>
              <w:jc w:val="right"/>
              <w:rPr>
                <w:rFonts w:cs="IQZGNC+Balloon"/>
                <w:color w:val="000000"/>
                <w:sz w:val="20"/>
                <w:szCs w:val="20"/>
                <w:lang w:val="es-US"/>
              </w:rPr>
            </w:pPr>
            <w:r w:rsidRPr="005970E9">
              <w:rPr>
                <w:sz w:val="20"/>
                <w:szCs w:val="20"/>
              </w:rPr>
              <w:t>26</w:t>
            </w:r>
          </w:p>
        </w:tc>
      </w:tr>
    </w:tbl>
    <w:p w14:paraId="5CB7F6D3" w14:textId="77777777" w:rsidR="0089726B" w:rsidRPr="005970E9" w:rsidRDefault="0089726B" w:rsidP="0089726B">
      <w:pPr>
        <w:rPr>
          <w:rFonts w:cs="Times-Italic"/>
          <w:sz w:val="20"/>
          <w:szCs w:val="20"/>
        </w:rPr>
      </w:pPr>
      <w:r w:rsidRPr="005970E9">
        <w:rPr>
          <w:rFonts w:cs="Times-Italic"/>
          <w:sz w:val="20"/>
          <w:szCs w:val="20"/>
        </w:rPr>
        <w:t>Fuente: MIDES: Informe Clara González. 2015 y Tribunal Electoral. Febrero de 2020</w:t>
      </w:r>
    </w:p>
    <w:p w14:paraId="726539CC" w14:textId="02BA9C10" w:rsidR="00D975CD" w:rsidRPr="005970E9" w:rsidRDefault="00E81FBC" w:rsidP="0089726B">
      <w:pPr>
        <w:rPr>
          <w:rFonts w:cs="Times-Italic"/>
          <w:sz w:val="20"/>
          <w:szCs w:val="20"/>
        </w:rPr>
      </w:pPr>
      <w:r w:rsidRPr="005970E9">
        <w:t>1/</w:t>
      </w:r>
      <w:r w:rsidR="00D975CD" w:rsidRPr="005970E9">
        <w:t>La información se obtuvo de varias fuentes porque no se encontró en el Tribunal Electoral todos los datos, ni desagregados por sexo.</w:t>
      </w:r>
    </w:p>
    <w:p w14:paraId="3C9E0081" w14:textId="2B4685A1" w:rsidR="0089726B" w:rsidRPr="005970E9" w:rsidRDefault="0089726B" w:rsidP="0089726B">
      <w:pPr>
        <w:rPr>
          <w:rFonts w:cs="Times New Roman"/>
          <w:sz w:val="20"/>
          <w:szCs w:val="20"/>
        </w:rPr>
      </w:pPr>
      <w:r w:rsidRPr="005970E9">
        <w:rPr>
          <w:rFonts w:cs="IQZGNC+Balloon"/>
          <w:color w:val="000000"/>
          <w:sz w:val="20"/>
          <w:szCs w:val="20"/>
          <w:lang w:val="es-US" w:eastAsia="en-US"/>
        </w:rPr>
        <w:t>*</w:t>
      </w:r>
      <w:r w:rsidRPr="005970E9">
        <w:rPr>
          <w:rFonts w:cs="Times-Italic"/>
          <w:sz w:val="20"/>
          <w:szCs w:val="20"/>
          <w:lang w:val="es-US"/>
        </w:rPr>
        <w:t xml:space="preserve"> </w:t>
      </w:r>
      <w:r w:rsidRPr="005970E9">
        <w:rPr>
          <w:rFonts w:cs="Times-Italic"/>
          <w:sz w:val="20"/>
          <w:szCs w:val="20"/>
        </w:rPr>
        <w:t>Son principales solamente</w:t>
      </w:r>
      <w:r w:rsidR="00E93FCD" w:rsidRPr="005970E9">
        <w:rPr>
          <w:rFonts w:cs="Times-Italic"/>
          <w:sz w:val="20"/>
          <w:szCs w:val="20"/>
        </w:rPr>
        <w:t xml:space="preserve">. </w:t>
      </w:r>
      <w:r w:rsidRPr="005970E9">
        <w:rPr>
          <w:sz w:val="20"/>
          <w:szCs w:val="20"/>
        </w:rPr>
        <w:t>Total: Se refiere al total de cargos dentro del partido</w:t>
      </w:r>
    </w:p>
    <w:p w14:paraId="71D34C8B" w14:textId="46987AD7" w:rsidR="0089726B" w:rsidRPr="005970E9" w:rsidRDefault="0089726B" w:rsidP="00E93FCD">
      <w:pPr>
        <w:rPr>
          <w:rFonts w:cs="EFBIJK+BalloonBold"/>
          <w:b/>
          <w:bCs/>
          <w:color w:val="000000"/>
          <w:lang w:val="es-US" w:eastAsia="en-US"/>
        </w:rPr>
      </w:pPr>
      <w:r w:rsidRPr="005970E9">
        <w:rPr>
          <w:sz w:val="20"/>
          <w:szCs w:val="20"/>
        </w:rPr>
        <w:t>M: Mujeres en cargos</w:t>
      </w:r>
      <w:r w:rsidR="00E93FCD" w:rsidRPr="005970E9">
        <w:rPr>
          <w:sz w:val="20"/>
          <w:szCs w:val="20"/>
        </w:rPr>
        <w:t xml:space="preserve">. </w:t>
      </w:r>
      <w:r w:rsidRPr="005970E9">
        <w:rPr>
          <w:sz w:val="20"/>
          <w:szCs w:val="20"/>
        </w:rPr>
        <w:t>PRD: Partido Revolucionario Democrático</w:t>
      </w:r>
      <w:r w:rsidR="00E93FCD" w:rsidRPr="005970E9">
        <w:rPr>
          <w:sz w:val="20"/>
          <w:szCs w:val="20"/>
        </w:rPr>
        <w:t xml:space="preserve">. </w:t>
      </w:r>
      <w:r w:rsidRPr="005970E9">
        <w:rPr>
          <w:sz w:val="20"/>
          <w:szCs w:val="20"/>
        </w:rPr>
        <w:t>MOLIRENA: Movimiento de Liberación Nacional</w:t>
      </w:r>
      <w:r w:rsidR="00E93FCD" w:rsidRPr="005970E9">
        <w:rPr>
          <w:sz w:val="20"/>
          <w:szCs w:val="20"/>
        </w:rPr>
        <w:t>.</w:t>
      </w:r>
    </w:p>
    <w:p w14:paraId="522C6E86" w14:textId="77777777" w:rsidR="0089726B" w:rsidRPr="005970E9" w:rsidRDefault="0089726B" w:rsidP="00551F88">
      <w:pPr>
        <w:pStyle w:val="Heading3"/>
        <w:numPr>
          <w:ilvl w:val="2"/>
          <w:numId w:val="8"/>
        </w:numPr>
        <w:rPr>
          <w:rFonts w:cs="Times New Roman"/>
        </w:rPr>
      </w:pPr>
      <w:bookmarkStart w:id="88" w:name="_Toc42159197"/>
      <w:bookmarkStart w:id="89" w:name="_Toc42549433"/>
      <w:r w:rsidRPr="005970E9">
        <w:t>Participación de las mujeres panameñas en el poder judicial</w:t>
      </w:r>
      <w:bookmarkEnd w:id="88"/>
      <w:bookmarkEnd w:id="89"/>
      <w:r w:rsidRPr="005970E9">
        <w:t xml:space="preserve"> </w:t>
      </w:r>
    </w:p>
    <w:p w14:paraId="0D98F89A" w14:textId="1B132420" w:rsidR="0089726B" w:rsidRPr="005970E9" w:rsidRDefault="0089726B" w:rsidP="00E93FCD">
      <w:pPr>
        <w:pStyle w:val="Default"/>
        <w:spacing w:before="120" w:after="120" w:line="276" w:lineRule="auto"/>
        <w:jc w:val="both"/>
        <w:rPr>
          <w:rFonts w:ascii="Century Schoolbook" w:hAnsi="Century Schoolbook"/>
          <w:color w:val="auto"/>
          <w:sz w:val="22"/>
          <w:szCs w:val="22"/>
          <w:lang w:val="es-US"/>
        </w:rPr>
      </w:pPr>
      <w:r w:rsidRPr="005970E9">
        <w:rPr>
          <w:rFonts w:ascii="Century Schoolbook" w:hAnsi="Century Schoolbook" w:cs="IQZGNC+Balloon"/>
          <w:color w:val="auto"/>
          <w:sz w:val="22"/>
          <w:szCs w:val="22"/>
        </w:rPr>
        <w:t xml:space="preserve">El más alto peldaño del poder judicial del país lo asume la Corte Suprema de Justicia que tiene jurisdicción en todo el territorio y se compone de cuatro salas: Primera de lo Civil, Segunda de lo Penal, Tercera de lo Contencioso Administrativo y la de Negocios Generales. Se compone de nueve (9) personas que ocupan el cargo de Magistrados/as de la República por un periodo de 10 años y son designados por el ejecutivo y </w:t>
      </w:r>
      <w:r w:rsidRPr="005970E9">
        <w:rPr>
          <w:rFonts w:ascii="Century Schoolbook" w:hAnsi="Century Schoolbook"/>
          <w:color w:val="auto"/>
          <w:sz w:val="22"/>
          <w:szCs w:val="22"/>
        </w:rPr>
        <w:t>ratificados por la Asamblea Nacional de Diputados, donde las mujeres por muchos años no estuvieron representadas y más recientemente están subrepresentadas. En toda la historia panameña (desde 1901 al 2020) de 51 presidentes de la Corte Suprema de Justicia sólo tres (3) magistradas han sido presidentas (5.88%): la primera mujer fue nombrada en 1985 – 1986 (</w:t>
      </w:r>
      <w:r w:rsidRPr="005970E9">
        <w:rPr>
          <w:rFonts w:ascii="Century Schoolbook" w:eastAsia="Times New Roman" w:hAnsi="Century Schoolbook" w:cs="Arial"/>
          <w:sz w:val="22"/>
          <w:szCs w:val="22"/>
        </w:rPr>
        <w:t xml:space="preserve">Marisol Reyes de Vásquez, de la Sala Penal y Contencioso Administrativo, también fue </w:t>
      </w:r>
      <w:r w:rsidRPr="005970E9">
        <w:rPr>
          <w:rFonts w:ascii="Century Schoolbook" w:hAnsi="Century Schoolbook"/>
          <w:color w:val="auto"/>
          <w:sz w:val="22"/>
          <w:szCs w:val="22"/>
          <w:lang w:val="es-US"/>
        </w:rPr>
        <w:t xml:space="preserve">Juez de Tránsito de la ciudad de Panamá de 1969-1971), </w:t>
      </w:r>
      <w:r w:rsidRPr="005970E9">
        <w:rPr>
          <w:rFonts w:ascii="Century Schoolbook" w:hAnsi="Century Schoolbook"/>
          <w:color w:val="auto"/>
          <w:sz w:val="22"/>
          <w:szCs w:val="22"/>
          <w:lang w:val="es-US"/>
        </w:rPr>
        <w:lastRenderedPageBreak/>
        <w:t xml:space="preserve">la segunda del </w:t>
      </w:r>
      <w:r w:rsidRPr="005970E9">
        <w:rPr>
          <w:rFonts w:ascii="Century Schoolbook" w:hAnsi="Century Schoolbook" w:cs="Arial"/>
          <w:sz w:val="22"/>
          <w:szCs w:val="22"/>
          <w:lang w:val="es-US"/>
        </w:rPr>
        <w:t>2000 al 2001 (</w:t>
      </w:r>
      <w:r w:rsidRPr="005970E9">
        <w:rPr>
          <w:rFonts w:ascii="Century Schoolbook" w:hAnsi="Century Schoolbook" w:cs="Arial"/>
          <w:sz w:val="22"/>
          <w:szCs w:val="22"/>
        </w:rPr>
        <w:t>Mirtza Franceschi de Aguilera</w:t>
      </w:r>
      <w:r w:rsidRPr="005970E9">
        <w:rPr>
          <w:rFonts w:ascii="Century Schoolbook" w:hAnsi="Century Schoolbook" w:cs="Arial"/>
          <w:sz w:val="22"/>
          <w:szCs w:val="22"/>
          <w:lang w:val="es-US"/>
        </w:rPr>
        <w:t>) y la tercera y primera afrodescendiente del 2006 al 2007</w:t>
      </w:r>
      <w:r w:rsidR="00A2707C" w:rsidRPr="005970E9">
        <w:rPr>
          <w:rFonts w:ascii="Century Schoolbook" w:hAnsi="Century Schoolbook" w:cs="Arial"/>
          <w:sz w:val="22"/>
          <w:szCs w:val="22"/>
          <w:lang w:val="es-US"/>
        </w:rPr>
        <w:t xml:space="preserve"> </w:t>
      </w:r>
      <w:r w:rsidRPr="005970E9">
        <w:rPr>
          <w:rFonts w:ascii="Century Schoolbook" w:hAnsi="Century Schoolbook" w:cs="Arial"/>
          <w:sz w:val="22"/>
          <w:szCs w:val="22"/>
          <w:lang w:val="es-US"/>
        </w:rPr>
        <w:t xml:space="preserve"> (</w:t>
      </w:r>
      <w:r w:rsidRPr="005970E9">
        <w:rPr>
          <w:rFonts w:ascii="Century Schoolbook" w:hAnsi="Century Schoolbook" w:cs="Arial"/>
          <w:sz w:val="22"/>
          <w:szCs w:val="22"/>
        </w:rPr>
        <w:t>Graciela Josefina Dixon Carton</w:t>
      </w:r>
      <w:r w:rsidRPr="005970E9">
        <w:rPr>
          <w:rFonts w:ascii="Century Schoolbook" w:hAnsi="Century Schoolbook" w:cs="Arial"/>
          <w:sz w:val="22"/>
          <w:szCs w:val="22"/>
          <w:lang w:val="es-US"/>
        </w:rPr>
        <w:t>) (</w:t>
      </w:r>
      <w:r w:rsidR="008967B0" w:rsidRPr="005970E9">
        <w:rPr>
          <w:rFonts w:ascii="Century Schoolbook" w:hAnsi="Century Schoolbook" w:cs="Arial"/>
          <w:sz w:val="22"/>
          <w:szCs w:val="22"/>
          <w:lang w:val="es-US"/>
        </w:rPr>
        <w:t>Órgano Judicial</w:t>
      </w:r>
      <w:r w:rsidR="00E573DA" w:rsidRPr="005970E9">
        <w:rPr>
          <w:rFonts w:ascii="Century Schoolbook" w:hAnsi="Century Schoolbook" w:cs="Arial"/>
          <w:sz w:val="22"/>
          <w:szCs w:val="22"/>
          <w:lang w:val="es-US"/>
        </w:rPr>
        <w:t>)</w:t>
      </w:r>
      <w:r w:rsidR="008967B0" w:rsidRPr="005970E9">
        <w:rPr>
          <w:rFonts w:ascii="Century Schoolbook" w:hAnsi="Century Schoolbook" w:cs="Arial"/>
          <w:sz w:val="22"/>
          <w:szCs w:val="22"/>
          <w:lang w:val="es-US"/>
        </w:rPr>
        <w:t>.</w:t>
      </w:r>
    </w:p>
    <w:p w14:paraId="7C606AF0" w14:textId="7DD0277B" w:rsidR="002E0705" w:rsidRPr="005970E9" w:rsidRDefault="002E0705" w:rsidP="00E93FCD">
      <w:pPr>
        <w:spacing w:before="120" w:line="276" w:lineRule="auto"/>
        <w:jc w:val="both"/>
      </w:pPr>
      <w:r w:rsidRPr="005970E9">
        <w:rPr>
          <w:noProof/>
        </w:rPr>
        <mc:AlternateContent>
          <mc:Choice Requires="wps">
            <w:drawing>
              <wp:anchor distT="0" distB="0" distL="114300" distR="114300" simplePos="0" relativeHeight="251729961" behindDoc="1" locked="0" layoutInCell="1" allowOverlap="1" wp14:anchorId="73D5306D" wp14:editId="6B6A444E">
                <wp:simplePos x="0" y="0"/>
                <wp:positionH relativeFrom="column">
                  <wp:posOffset>1034415</wp:posOffset>
                </wp:positionH>
                <wp:positionV relativeFrom="paragraph">
                  <wp:posOffset>1905</wp:posOffset>
                </wp:positionV>
                <wp:extent cx="3816350" cy="299720"/>
                <wp:effectExtent l="0" t="0" r="0" b="5080"/>
                <wp:wrapTight wrapText="bothSides">
                  <wp:wrapPolygon edited="0">
                    <wp:start x="0" y="0"/>
                    <wp:lineTo x="0" y="20593"/>
                    <wp:lineTo x="21456" y="20593"/>
                    <wp:lineTo x="21456" y="0"/>
                    <wp:lineTo x="0" y="0"/>
                  </wp:wrapPolygon>
                </wp:wrapTight>
                <wp:docPr id="224" name="Cuadro de texto 46"/>
                <wp:cNvGraphicFramePr/>
                <a:graphic xmlns:a="http://schemas.openxmlformats.org/drawingml/2006/main">
                  <a:graphicData uri="http://schemas.microsoft.com/office/word/2010/wordprocessingShape">
                    <wps:wsp>
                      <wps:cNvSpPr txBox="1"/>
                      <wps:spPr>
                        <a:xfrm>
                          <a:off x="0" y="0"/>
                          <a:ext cx="3816350" cy="299720"/>
                        </a:xfrm>
                        <a:prstGeom prst="rect">
                          <a:avLst/>
                        </a:prstGeom>
                        <a:solidFill>
                          <a:prstClr val="white"/>
                        </a:solidFill>
                        <a:ln>
                          <a:noFill/>
                        </a:ln>
                      </wps:spPr>
                      <wps:txbx>
                        <w:txbxContent>
                          <w:p w14:paraId="7817282E" w14:textId="0DA884D5" w:rsidR="00DC0EAB" w:rsidRPr="00CE54F3" w:rsidRDefault="00DC0EAB" w:rsidP="00E93FCD">
                            <w:pPr>
                              <w:pStyle w:val="Caption"/>
                              <w:rPr>
                                <w:rFonts w:ascii="Century Schoolbook" w:eastAsia="Calibri" w:hAnsi="Century Schoolbook" w:cs="Calibri"/>
                                <w:noProof/>
                              </w:rPr>
                            </w:pPr>
                            <w:bookmarkStart w:id="90" w:name="_Toc42549235"/>
                            <w:r>
                              <w:t xml:space="preserve">Gráfica </w:t>
                            </w:r>
                            <w:r w:rsidR="00062ABE">
                              <w:fldChar w:fldCharType="begin"/>
                            </w:r>
                            <w:r w:rsidR="00062ABE">
                              <w:instrText xml:space="preserve"> SEQ Gráfica \* ARABIC </w:instrText>
                            </w:r>
                            <w:r w:rsidR="00062ABE">
                              <w:fldChar w:fldCharType="separate"/>
                            </w:r>
                            <w:r>
                              <w:rPr>
                                <w:noProof/>
                              </w:rPr>
                              <w:t>3</w:t>
                            </w:r>
                            <w:r w:rsidR="00062ABE">
                              <w:rPr>
                                <w:noProof/>
                              </w:rPr>
                              <w:fldChar w:fldCharType="end"/>
                            </w:r>
                            <w:r>
                              <w:rPr>
                                <w:noProof/>
                              </w:rPr>
                              <w:t>. Hombres y mujeres en la CSJ</w:t>
                            </w:r>
                            <w:bookmarkEnd w:id="90"/>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5306D" id="Cuadro de texto 46" o:spid="_x0000_s1028" type="#_x0000_t202" style="position:absolute;left:0;text-align:left;margin-left:81.45pt;margin-top:.15pt;width:300.5pt;height:23.6pt;z-index:-251586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" stroked="f">
                <v:textbox inset="0,0,0,0">
                  <w:txbxContent>
                    <w:p w14:paraId="7817282E" w14:textId="0DA884D5" w:rsidR="00DC0EAB" w:rsidRPr="00CE54F3" w:rsidRDefault="00DC0EAB" w:rsidP="00E93FCD">
                      <w:pPr>
                        <w:pStyle w:val="Caption"/>
                        <w:rPr>
                          <w:rFonts w:ascii="Century Schoolbook" w:eastAsia="Calibri" w:hAnsi="Century Schoolbook" w:cs="Calibri"/>
                          <w:noProof/>
                        </w:rPr>
                      </w:pPr>
                      <w:bookmarkStart w:id="91" w:name="_Toc42549235"/>
                      <w:r>
                        <w:t xml:space="preserve">Gráfica </w:t>
                      </w:r>
                      <w:r w:rsidR="00062ABE">
                        <w:fldChar w:fldCharType="begin"/>
                      </w:r>
                      <w:r w:rsidR="00062ABE">
                        <w:instrText xml:space="preserve"> SEQ Gráfica \* ARABIC </w:instrText>
                      </w:r>
                      <w:r w:rsidR="00062ABE">
                        <w:fldChar w:fldCharType="separate"/>
                      </w:r>
                      <w:r>
                        <w:rPr>
                          <w:noProof/>
                        </w:rPr>
                        <w:t>3</w:t>
                      </w:r>
                      <w:r w:rsidR="00062ABE">
                        <w:rPr>
                          <w:noProof/>
                        </w:rPr>
                        <w:fldChar w:fldCharType="end"/>
                      </w:r>
                      <w:r>
                        <w:rPr>
                          <w:noProof/>
                        </w:rPr>
                        <w:t>. Hombres y mujeres en la CSJ</w:t>
                      </w:r>
                      <w:bookmarkEnd w:id="91"/>
                      <w:r>
                        <w:rPr>
                          <w:noProof/>
                        </w:rPr>
                        <w:t xml:space="preserve"> </w:t>
                      </w:r>
                    </w:p>
                  </w:txbxContent>
                </v:textbox>
                <w10:wrap type="tight"/>
              </v:shape>
            </w:pict>
          </mc:Fallback>
        </mc:AlternateContent>
      </w:r>
    </w:p>
    <w:p w14:paraId="0983B28F" w14:textId="55620635" w:rsidR="002E0705" w:rsidRPr="005970E9" w:rsidRDefault="002E0705" w:rsidP="00E93FCD">
      <w:pPr>
        <w:spacing w:before="120" w:line="276" w:lineRule="auto"/>
        <w:jc w:val="both"/>
      </w:pPr>
      <w:r w:rsidRPr="005970E9">
        <w:rPr>
          <w:noProof/>
        </w:rPr>
        <w:drawing>
          <wp:anchor distT="0" distB="0" distL="114300" distR="114300" simplePos="0" relativeHeight="251728937" behindDoc="1" locked="0" layoutInCell="1" allowOverlap="1" wp14:anchorId="6F29338A" wp14:editId="6685DAB6">
            <wp:simplePos x="0" y="0"/>
            <wp:positionH relativeFrom="margin">
              <wp:posOffset>1041400</wp:posOffset>
            </wp:positionH>
            <wp:positionV relativeFrom="paragraph">
              <wp:posOffset>80010</wp:posOffset>
            </wp:positionV>
            <wp:extent cx="3108960" cy="2254250"/>
            <wp:effectExtent l="0" t="0" r="15240" b="12700"/>
            <wp:wrapTight wrapText="bothSides">
              <wp:wrapPolygon edited="0">
                <wp:start x="0" y="0"/>
                <wp:lineTo x="0" y="21539"/>
                <wp:lineTo x="21574" y="21539"/>
                <wp:lineTo x="21574" y="0"/>
                <wp:lineTo x="0" y="0"/>
              </wp:wrapPolygon>
            </wp:wrapTight>
            <wp:docPr id="225" name="Gráfico 23">
              <a:extLst xmlns:a="http://schemas.openxmlformats.org/drawingml/2006/main">
                <a:ext uri="{FF2B5EF4-FFF2-40B4-BE49-F238E27FC236}">
                  <a16:creationId xmlns:a16="http://schemas.microsoft.com/office/drawing/2014/main" id="{43505F59-781E-4B4E-9354-22725D0C0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08D53649" w14:textId="0CD2ED84" w:rsidR="002E0705" w:rsidRPr="005970E9" w:rsidRDefault="002E0705" w:rsidP="00E93FCD">
      <w:pPr>
        <w:spacing w:before="120" w:line="276" w:lineRule="auto"/>
        <w:jc w:val="both"/>
      </w:pPr>
    </w:p>
    <w:p w14:paraId="14AFD2DD" w14:textId="623F6F43" w:rsidR="002E0705" w:rsidRPr="005970E9" w:rsidRDefault="002E0705" w:rsidP="00E93FCD">
      <w:pPr>
        <w:spacing w:before="120" w:line="276" w:lineRule="auto"/>
        <w:jc w:val="both"/>
      </w:pPr>
    </w:p>
    <w:p w14:paraId="021E9730" w14:textId="54F1BBF6" w:rsidR="002E0705" w:rsidRPr="005970E9" w:rsidRDefault="002E0705" w:rsidP="00E93FCD">
      <w:pPr>
        <w:spacing w:before="120" w:line="276" w:lineRule="auto"/>
        <w:jc w:val="both"/>
      </w:pPr>
    </w:p>
    <w:p w14:paraId="4E11C20F" w14:textId="39AB5FC8" w:rsidR="002E0705" w:rsidRPr="005970E9" w:rsidRDefault="002E0705" w:rsidP="00E93FCD">
      <w:pPr>
        <w:spacing w:before="120" w:line="276" w:lineRule="auto"/>
        <w:jc w:val="both"/>
      </w:pPr>
    </w:p>
    <w:p w14:paraId="56CB0925" w14:textId="4C97A884" w:rsidR="002E0705" w:rsidRPr="005970E9" w:rsidRDefault="002E0705" w:rsidP="00E93FCD">
      <w:pPr>
        <w:spacing w:before="120" w:line="276" w:lineRule="auto"/>
        <w:jc w:val="both"/>
      </w:pPr>
    </w:p>
    <w:p w14:paraId="6E4EF844" w14:textId="1B3EA754" w:rsidR="002E0705" w:rsidRPr="005970E9" w:rsidRDefault="002E0705" w:rsidP="00E93FCD">
      <w:pPr>
        <w:spacing w:before="120" w:line="276" w:lineRule="auto"/>
        <w:jc w:val="both"/>
      </w:pPr>
    </w:p>
    <w:p w14:paraId="513447BA" w14:textId="4CE581C6" w:rsidR="002E0705" w:rsidRPr="005970E9" w:rsidRDefault="002E0705" w:rsidP="00E93FCD">
      <w:pPr>
        <w:spacing w:before="120" w:line="276" w:lineRule="auto"/>
        <w:jc w:val="both"/>
      </w:pPr>
    </w:p>
    <w:p w14:paraId="52CF8613" w14:textId="050CE447" w:rsidR="002E0705" w:rsidRPr="005970E9" w:rsidRDefault="002E0705" w:rsidP="00E93FCD">
      <w:pPr>
        <w:spacing w:before="120" w:line="276" w:lineRule="auto"/>
        <w:jc w:val="both"/>
      </w:pPr>
    </w:p>
    <w:p w14:paraId="5A9E31F0" w14:textId="2022EC13" w:rsidR="0044134F" w:rsidRPr="005970E9" w:rsidRDefault="0044134F" w:rsidP="0044134F">
      <w:pPr>
        <w:spacing w:line="276" w:lineRule="auto"/>
        <w:jc w:val="both"/>
      </w:pPr>
      <w:r w:rsidRPr="005970E9">
        <w:rPr>
          <w:sz w:val="20"/>
          <w:szCs w:val="20"/>
        </w:rPr>
        <w:t xml:space="preserve">Fuente: Elaboración propia con datos de la Dirección de estadísticas Judiciales. </w:t>
      </w:r>
      <w:r w:rsidRPr="005970E9">
        <w:t>Marzo de 2020</w:t>
      </w:r>
    </w:p>
    <w:p w14:paraId="19BFC040" w14:textId="700B68A6" w:rsidR="00727292" w:rsidRPr="005970E9" w:rsidRDefault="00727292" w:rsidP="00727292">
      <w:pPr>
        <w:pStyle w:val="Default"/>
        <w:spacing w:line="276" w:lineRule="auto"/>
        <w:rPr>
          <w:rFonts w:ascii="Century Schoolbook" w:hAnsi="Century Schoolbook"/>
        </w:rPr>
      </w:pPr>
    </w:p>
    <w:p w14:paraId="6D8804FF" w14:textId="6C3F063A" w:rsidR="0089726B" w:rsidRPr="00FF3DAE" w:rsidRDefault="0089726B" w:rsidP="00727292">
      <w:pPr>
        <w:pStyle w:val="Default"/>
        <w:spacing w:line="276" w:lineRule="auto"/>
        <w:rPr>
          <w:rFonts w:ascii="Century Schoolbook" w:hAnsi="Century Schoolbook"/>
          <w:sz w:val="22"/>
          <w:szCs w:val="22"/>
        </w:rPr>
      </w:pPr>
      <w:r w:rsidRPr="00FF3DAE">
        <w:rPr>
          <w:rFonts w:ascii="Century Schoolbook" w:hAnsi="Century Schoolbook"/>
          <w:sz w:val="22"/>
          <w:szCs w:val="22"/>
        </w:rPr>
        <w:t xml:space="preserve">En los primeros cuatro años del decenio 2010 - 2020 los nombramientos de mujeres al más alto nivel de la judicatura panameña fueron nulos (del 2010 – 2014) del 2015 al 2019 de las 9 magistraturas sólo una (1 – 11.1%) fue ocupada por mujer y </w:t>
      </w:r>
      <w:r w:rsidR="7AE31CD5" w:rsidRPr="00FF3DAE">
        <w:rPr>
          <w:rFonts w:ascii="Century Schoolbook" w:hAnsi="Century Schoolbook"/>
          <w:sz w:val="22"/>
          <w:szCs w:val="22"/>
        </w:rPr>
        <w:t xml:space="preserve">desde enero </w:t>
      </w:r>
      <w:r w:rsidR="0044134F" w:rsidRPr="00FF3DAE">
        <w:rPr>
          <w:rFonts w:ascii="Century Schoolbook" w:hAnsi="Century Schoolbook"/>
          <w:sz w:val="22"/>
          <w:szCs w:val="22"/>
        </w:rPr>
        <w:t>de 2020</w:t>
      </w:r>
      <w:r w:rsidRPr="00FF3DAE">
        <w:rPr>
          <w:rFonts w:ascii="Century Schoolbook" w:hAnsi="Century Schoolbook"/>
          <w:sz w:val="22"/>
          <w:szCs w:val="22"/>
        </w:rPr>
        <w:t xml:space="preserve"> hay tres (3</w:t>
      </w:r>
      <w:r w:rsidR="353F0261" w:rsidRPr="00FF3DAE">
        <w:rPr>
          <w:rFonts w:ascii="Century Schoolbook" w:hAnsi="Century Schoolbook"/>
          <w:sz w:val="22"/>
          <w:szCs w:val="22"/>
        </w:rPr>
        <w:t xml:space="preserve"> mujeres de 9 magistraturas representando el</w:t>
      </w:r>
      <w:r w:rsidRPr="00FF3DAE">
        <w:rPr>
          <w:rFonts w:ascii="Century Schoolbook" w:hAnsi="Century Schoolbook"/>
          <w:sz w:val="22"/>
          <w:szCs w:val="22"/>
        </w:rPr>
        <w:t>33.3</w:t>
      </w:r>
      <w:r w:rsidR="0044134F" w:rsidRPr="00FF3DAE">
        <w:rPr>
          <w:rFonts w:ascii="Century Schoolbook" w:hAnsi="Century Schoolbook"/>
          <w:sz w:val="22"/>
          <w:szCs w:val="22"/>
        </w:rPr>
        <w:t>%) siendo</w:t>
      </w:r>
      <w:r w:rsidRPr="00FF3DAE">
        <w:rPr>
          <w:rFonts w:ascii="Century Schoolbook" w:hAnsi="Century Schoolbook"/>
          <w:sz w:val="22"/>
          <w:szCs w:val="22"/>
        </w:rPr>
        <w:t xml:space="preserve"> el mayor número de mujeres simultáneamente que se ha </w:t>
      </w:r>
      <w:r w:rsidR="009D61B9" w:rsidRPr="00FF3DAE">
        <w:rPr>
          <w:rFonts w:ascii="Century Schoolbook" w:hAnsi="Century Schoolbook"/>
          <w:sz w:val="22"/>
          <w:szCs w:val="22"/>
        </w:rPr>
        <w:t>registrado en la Corte Suprema como magistradas</w:t>
      </w:r>
      <w:r w:rsidR="008D4AE3" w:rsidRPr="00FF3DAE">
        <w:rPr>
          <w:rFonts w:ascii="Century Schoolbook" w:hAnsi="Century Schoolbook"/>
          <w:sz w:val="22"/>
          <w:szCs w:val="22"/>
        </w:rPr>
        <w:t xml:space="preserve"> (gráfica 3)</w:t>
      </w:r>
      <w:r w:rsidR="009D61B9" w:rsidRPr="00FF3DAE">
        <w:rPr>
          <w:rFonts w:ascii="Century Schoolbook" w:hAnsi="Century Schoolbook"/>
          <w:sz w:val="22"/>
          <w:szCs w:val="22"/>
        </w:rPr>
        <w:t>.</w:t>
      </w:r>
    </w:p>
    <w:p w14:paraId="49EEBE73" w14:textId="4B94BD43" w:rsidR="0089726B" w:rsidRPr="00FF3DAE" w:rsidRDefault="0089726B" w:rsidP="00485A11">
      <w:pPr>
        <w:pStyle w:val="Default"/>
        <w:spacing w:before="120" w:after="120" w:line="276" w:lineRule="auto"/>
        <w:jc w:val="both"/>
        <w:rPr>
          <w:rFonts w:ascii="Century Schoolbook" w:hAnsi="Century Schoolbook"/>
          <w:sz w:val="22"/>
          <w:szCs w:val="22"/>
        </w:rPr>
      </w:pPr>
      <w:r w:rsidRPr="00FF3DAE">
        <w:rPr>
          <w:rFonts w:ascii="Century Schoolbook" w:hAnsi="Century Schoolbook"/>
          <w:sz w:val="22"/>
          <w:szCs w:val="22"/>
        </w:rPr>
        <w:t xml:space="preserve">Los nombres de mujeres han figurado más como suplentes, pero igualmente han estado mínimamente representadas, por ejemplo, en el 2013 hubo 2 y actualmente hay 3. </w:t>
      </w:r>
    </w:p>
    <w:tbl>
      <w:tblPr>
        <w:tblpPr w:leftFromText="141" w:rightFromText="141" w:vertAnchor="text" w:tblpY="1"/>
        <w:tblOverlap w:val="never"/>
        <w:tblW w:w="0" w:type="auto"/>
        <w:tblLook w:val="04A0" w:firstRow="1" w:lastRow="0" w:firstColumn="1" w:lastColumn="0" w:noHBand="0" w:noVBand="1"/>
      </w:tblPr>
      <w:tblGrid>
        <w:gridCol w:w="3681"/>
      </w:tblGrid>
      <w:tr w:rsidR="00E93FCD" w:rsidRPr="005970E9" w14:paraId="1F7D6FFF" w14:textId="77777777" w:rsidTr="00195C8F">
        <w:tc>
          <w:tcPr>
            <w:tcW w:w="3681" w:type="dxa"/>
          </w:tcPr>
          <w:p w14:paraId="2BEF8992" w14:textId="44B54071" w:rsidR="00E93FCD" w:rsidRPr="005970E9" w:rsidRDefault="004C1B95" w:rsidP="00485A11">
            <w:pPr>
              <w:pStyle w:val="Caption"/>
              <w:spacing w:after="0"/>
              <w:rPr>
                <w:rFonts w:ascii="Century Schoolbook" w:hAnsi="Century Schoolbook" w:cs="IQZGNC+Balloon"/>
                <w:sz w:val="22"/>
                <w:szCs w:val="22"/>
              </w:rPr>
            </w:pPr>
            <w:bookmarkStart w:id="92" w:name="_Toc42549236"/>
            <w:r w:rsidRPr="005970E9">
              <w:rPr>
                <w:rFonts w:ascii="Century Schoolbook" w:hAnsi="Century Schoolbook"/>
              </w:rPr>
              <w:t>Gráfica</w:t>
            </w:r>
            <w:r w:rsidR="00E93FCD" w:rsidRPr="005970E9">
              <w:rPr>
                <w:rFonts w:ascii="Century Schoolbook" w:hAnsi="Century Schoolbook"/>
              </w:rPr>
              <w:t xml:space="preserve"> </w:t>
            </w:r>
            <w:r w:rsidR="00F202BE" w:rsidRPr="005970E9">
              <w:rPr>
                <w:rFonts w:ascii="Century Schoolbook" w:hAnsi="Century Schoolbook"/>
              </w:rPr>
              <w:fldChar w:fldCharType="begin"/>
            </w:r>
            <w:r w:rsidR="00F202BE" w:rsidRPr="005970E9">
              <w:rPr>
                <w:rFonts w:ascii="Century Schoolbook" w:hAnsi="Century Schoolbook"/>
              </w:rPr>
              <w:instrText xml:space="preserve"> SEQ Gráfica \* ARABIC </w:instrText>
            </w:r>
            <w:r w:rsidR="00F202BE" w:rsidRPr="005970E9">
              <w:rPr>
                <w:rFonts w:ascii="Century Schoolbook" w:hAnsi="Century Schoolbook"/>
              </w:rPr>
              <w:fldChar w:fldCharType="separate"/>
            </w:r>
            <w:r w:rsidR="00C5041B" w:rsidRPr="005970E9">
              <w:rPr>
                <w:rFonts w:ascii="Century Schoolbook" w:hAnsi="Century Schoolbook"/>
                <w:noProof/>
              </w:rPr>
              <w:t>4</w:t>
            </w:r>
            <w:r w:rsidR="00F202BE" w:rsidRPr="005970E9">
              <w:rPr>
                <w:rFonts w:ascii="Century Schoolbook" w:hAnsi="Century Schoolbook"/>
              </w:rPr>
              <w:fldChar w:fldCharType="end"/>
            </w:r>
            <w:r w:rsidR="00E93FCD" w:rsidRPr="005970E9">
              <w:rPr>
                <w:rFonts w:ascii="Century Schoolbook" w:hAnsi="Century Schoolbook"/>
              </w:rPr>
              <w:t xml:space="preserve">. </w:t>
            </w:r>
            <w:r w:rsidR="00E93FCD" w:rsidRPr="005970E9">
              <w:rPr>
                <w:rFonts w:ascii="Century Schoolbook" w:hAnsi="Century Schoolbook" w:cs="IQZGNC+Balloon"/>
                <w:sz w:val="22"/>
                <w:szCs w:val="22"/>
              </w:rPr>
              <w:t>Jueces y juezas del Órgano Judicial. 2010, 2015, 2020</w:t>
            </w:r>
            <w:bookmarkEnd w:id="92"/>
            <w:r w:rsidR="00E93FCD" w:rsidRPr="005970E9">
              <w:rPr>
                <w:rFonts w:ascii="Century Schoolbook" w:hAnsi="Century Schoolbook" w:cs="IQZGNC+Balloon"/>
                <w:sz w:val="22"/>
                <w:szCs w:val="22"/>
              </w:rPr>
              <w:t xml:space="preserve"> </w:t>
            </w:r>
          </w:p>
        </w:tc>
      </w:tr>
      <w:tr w:rsidR="00E93FCD" w:rsidRPr="005970E9" w14:paraId="325660B7" w14:textId="77777777" w:rsidTr="00195C8F">
        <w:tc>
          <w:tcPr>
            <w:tcW w:w="3681" w:type="dxa"/>
          </w:tcPr>
          <w:p w14:paraId="2A3E47D4" w14:textId="72DA923D" w:rsidR="00E93FCD" w:rsidRPr="005970E9" w:rsidRDefault="00E93FCD" w:rsidP="00485A11">
            <w:pPr>
              <w:pStyle w:val="Default"/>
              <w:rPr>
                <w:rFonts w:ascii="Century Schoolbook" w:hAnsi="Century Schoolbook"/>
                <w:sz w:val="22"/>
                <w:szCs w:val="22"/>
              </w:rPr>
            </w:pPr>
            <w:r w:rsidRPr="005970E9">
              <w:rPr>
                <w:rFonts w:ascii="Century Schoolbook" w:hAnsi="Century Schoolbook" w:cstheme="minorBidi"/>
                <w:noProof/>
              </w:rPr>
              <w:drawing>
                <wp:anchor distT="0" distB="0" distL="114300" distR="114300" simplePos="0" relativeHeight="251732009" behindDoc="0" locked="0" layoutInCell="1" allowOverlap="1" wp14:anchorId="7AAB9457" wp14:editId="69D10BF3">
                  <wp:simplePos x="0" y="0"/>
                  <wp:positionH relativeFrom="column">
                    <wp:posOffset>111760</wp:posOffset>
                  </wp:positionH>
                  <wp:positionV relativeFrom="paragraph">
                    <wp:posOffset>147320</wp:posOffset>
                  </wp:positionV>
                  <wp:extent cx="2004060" cy="1630680"/>
                  <wp:effectExtent l="0" t="0" r="0" b="7620"/>
                  <wp:wrapTight wrapText="bothSides">
                    <wp:wrapPolygon edited="0">
                      <wp:start x="0" y="0"/>
                      <wp:lineTo x="0" y="21449"/>
                      <wp:lineTo x="21354" y="21449"/>
                      <wp:lineTo x="21354" y="0"/>
                      <wp:lineTo x="0" y="0"/>
                    </wp:wrapPolygon>
                  </wp:wrapTight>
                  <wp:docPr id="22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ueva-pp.png"/>
                          <pic:cNvPicPr/>
                        </pic:nvPicPr>
                        <pic:blipFill>
                          <a:blip r:embed="rId31">
                            <a:extLst>
                              <a:ext uri="{28A0092B-C50C-407E-A947-70E740481C1C}">
                                <a14:useLocalDpi xmlns:a14="http://schemas.microsoft.com/office/drawing/2010/main" val="0"/>
                              </a:ext>
                            </a:extLst>
                          </a:blip>
                          <a:stretch>
                            <a:fillRect/>
                          </a:stretch>
                        </pic:blipFill>
                        <pic:spPr>
                          <a:xfrm>
                            <a:off x="0" y="0"/>
                            <a:ext cx="2004060" cy="1630680"/>
                          </a:xfrm>
                          <a:prstGeom prst="rect">
                            <a:avLst/>
                          </a:prstGeom>
                        </pic:spPr>
                      </pic:pic>
                    </a:graphicData>
                  </a:graphic>
                </wp:anchor>
              </w:drawing>
            </w:r>
            <w:r w:rsidRPr="005970E9">
              <w:rPr>
                <w:rFonts w:ascii="Century Schoolbook" w:hAnsi="Century Schoolbook" w:cstheme="minorBidi"/>
                <w:noProof/>
              </w:rPr>
              <w:drawing>
                <wp:anchor distT="0" distB="0" distL="114300" distR="114300" simplePos="0" relativeHeight="251658262" behindDoc="0" locked="0" layoutInCell="1" allowOverlap="1" wp14:anchorId="7AAB9457" wp14:editId="69D10BF3">
                  <wp:simplePos x="0" y="0"/>
                  <wp:positionH relativeFrom="column">
                    <wp:posOffset>111760</wp:posOffset>
                  </wp:positionH>
                  <wp:positionV relativeFrom="paragraph">
                    <wp:posOffset>147320</wp:posOffset>
                  </wp:positionV>
                  <wp:extent cx="2004060" cy="1630680"/>
                  <wp:effectExtent l="0" t="0" r="0" b="7620"/>
                  <wp:wrapTight wrapText="bothSides">
                    <wp:wrapPolygon edited="0">
                      <wp:start x="0" y="0"/>
                      <wp:lineTo x="0" y="21449"/>
                      <wp:lineTo x="21354" y="21449"/>
                      <wp:lineTo x="21354"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ueva-pp.png"/>
                          <pic:cNvPicPr/>
                        </pic:nvPicPr>
                        <pic:blipFill>
                          <a:blip r:embed="rId31">
                            <a:extLst>
                              <a:ext uri="{28A0092B-C50C-407E-A947-70E740481C1C}">
                                <a14:useLocalDpi xmlns:a14="http://schemas.microsoft.com/office/drawing/2010/main" val="0"/>
                              </a:ext>
                            </a:extLst>
                          </a:blip>
                          <a:stretch>
                            <a:fillRect/>
                          </a:stretch>
                        </pic:blipFill>
                        <pic:spPr>
                          <a:xfrm>
                            <a:off x="0" y="0"/>
                            <a:ext cx="2004060" cy="1630680"/>
                          </a:xfrm>
                          <a:prstGeom prst="rect">
                            <a:avLst/>
                          </a:prstGeom>
                        </pic:spPr>
                      </pic:pic>
                    </a:graphicData>
                  </a:graphic>
                </wp:anchor>
              </w:drawing>
            </w:r>
            <w:r w:rsidR="0013D84B" w:rsidRPr="005970E9">
              <w:rPr>
                <w:rFonts w:ascii="Century Schoolbook" w:hAnsi="Century Schoolbook"/>
                <w:sz w:val="22"/>
                <w:szCs w:val="22"/>
              </w:rPr>
              <w:t>Fuentes: Estadísticas judiciales. Marzo 2020. Órgano Judicial.</w:t>
            </w:r>
          </w:p>
        </w:tc>
      </w:tr>
    </w:tbl>
    <w:p w14:paraId="6C7C107D" w14:textId="177184FA" w:rsidR="0089726B" w:rsidRPr="005970E9" w:rsidRDefault="0089726B" w:rsidP="205B704D">
      <w:pPr>
        <w:spacing w:before="120" w:after="120"/>
        <w:jc w:val="both"/>
        <w:rPr>
          <w:rFonts w:cstheme="minorBidi"/>
        </w:rPr>
      </w:pPr>
      <w:r w:rsidRPr="005970E9">
        <w:rPr>
          <w:rFonts w:cstheme="minorBidi"/>
        </w:rPr>
        <w:t>Como se observa en la gráfica</w:t>
      </w:r>
      <w:r w:rsidR="00235EEB" w:rsidRPr="005970E9">
        <w:rPr>
          <w:rFonts w:cstheme="minorBidi"/>
        </w:rPr>
        <w:t xml:space="preserve"> 4</w:t>
      </w:r>
      <w:r w:rsidRPr="005970E9">
        <w:rPr>
          <w:rFonts w:cstheme="minorBidi"/>
        </w:rPr>
        <w:t>, para todos los años registrados,  hay más juezas que jueces,  y podríamos decir que hay paridad, sin embargo</w:t>
      </w:r>
      <w:r w:rsidR="00E93FCD" w:rsidRPr="005970E9">
        <w:rPr>
          <w:rFonts w:cstheme="minorBidi"/>
        </w:rPr>
        <w:t>,</w:t>
      </w:r>
      <w:r w:rsidRPr="005970E9">
        <w:rPr>
          <w:rFonts w:cstheme="minorBidi"/>
        </w:rPr>
        <w:t xml:space="preserve"> en un análisis más detallado, las mujeres siguen ocupando las áreas de tradición femenina como los tribunales superiores de Familia y Niñez y Adolescencia donde hay más mujeres que hombres, mientras que en aquellas tradicional</w:t>
      </w:r>
      <w:r w:rsidR="00485A11" w:rsidRPr="005970E9">
        <w:rPr>
          <w:rFonts w:cstheme="minorBidi"/>
        </w:rPr>
        <w:softHyphen/>
      </w:r>
      <w:r w:rsidRPr="005970E9">
        <w:rPr>
          <w:rFonts w:cstheme="minorBidi"/>
        </w:rPr>
        <w:t xml:space="preserve">mente masculinas como en la Sala Civil y en la Sala de lo Penal, los hombres casi todos los años duplican a las mujeres, por ejemplo: en el 2010 y 2011 de 5 jueces de la Sala Civil, 4 eran hombres y 1 era mujer, en lo penal en el 2010  de un total de </w:t>
      </w:r>
      <w:r w:rsidR="008967B0" w:rsidRPr="005970E9">
        <w:rPr>
          <w:rFonts w:cstheme="minorBidi"/>
        </w:rPr>
        <w:t xml:space="preserve">12, </w:t>
      </w:r>
      <w:r w:rsidRPr="005970E9">
        <w:rPr>
          <w:rFonts w:cstheme="minorBidi"/>
        </w:rPr>
        <w:t xml:space="preserve"> eran </w:t>
      </w:r>
      <w:r w:rsidR="008967B0" w:rsidRPr="005970E9">
        <w:rPr>
          <w:rFonts w:cstheme="minorBidi"/>
        </w:rPr>
        <w:t xml:space="preserve">8 </w:t>
      </w:r>
      <w:r w:rsidRPr="005970E9">
        <w:rPr>
          <w:rFonts w:cstheme="minorBidi"/>
        </w:rPr>
        <w:t xml:space="preserve">hombres y 4 mujeres. Actualmente hay 19 hombres en lo Penal y 15 mujeres, y en lo Civil hay 3 hombres y 2 mujeres. </w:t>
      </w:r>
    </w:p>
    <w:p w14:paraId="6E916CF7" w14:textId="48DEDB00" w:rsidR="0089726B" w:rsidRPr="005970E9" w:rsidRDefault="0089726B" w:rsidP="00485A11">
      <w:pPr>
        <w:spacing w:before="120" w:after="120"/>
        <w:jc w:val="both"/>
        <w:rPr>
          <w:rFonts w:cstheme="minorBidi"/>
        </w:rPr>
      </w:pPr>
      <w:r w:rsidRPr="005970E9">
        <w:rPr>
          <w:rFonts w:cstheme="minorBidi"/>
        </w:rPr>
        <w:lastRenderedPageBreak/>
        <w:t xml:space="preserve">Desde el 2007 a la fecha, tanto en el área de Trabajo como en los asuntos marítimos hay paridad (en el primer caso hay 4 jueces y 4 juezas y en el segundo un juez y una jueza). </w:t>
      </w:r>
      <w:r w:rsidRPr="005970E9">
        <w:rPr>
          <w:rFonts w:cs="Arial"/>
          <w:lang w:val="es-US"/>
        </w:rPr>
        <w:t>(</w:t>
      </w:r>
      <w:hyperlink r:id="rId32" w:history="1">
        <w:r w:rsidRPr="005970E9">
          <w:rPr>
            <w:rStyle w:val="Hyperlink"/>
            <w:rFonts w:cs="Arial"/>
            <w:lang w:val="es-US"/>
          </w:rPr>
          <w:t>www.organojudicial.gob.pa</w:t>
        </w:r>
      </w:hyperlink>
      <w:r w:rsidRPr="005970E9">
        <w:rPr>
          <w:rFonts w:cs="Arial"/>
          <w:lang w:val="es-US"/>
        </w:rPr>
        <w:t>. Estadísticas judiciales. Marzo 2020)</w:t>
      </w:r>
      <w:r w:rsidR="00727292" w:rsidRPr="005970E9">
        <w:rPr>
          <w:rFonts w:cs="Arial"/>
          <w:lang w:val="es-US"/>
        </w:rPr>
        <w:t>.</w:t>
      </w:r>
      <w:r w:rsidRPr="005970E9">
        <w:rPr>
          <w:rFonts w:cs="Arial"/>
          <w:lang w:val="es-US"/>
        </w:rPr>
        <w:t xml:space="preserve">  </w:t>
      </w:r>
    </w:p>
    <w:p w14:paraId="5C0E2CC0" w14:textId="77777777" w:rsidR="0089726B" w:rsidRPr="005970E9" w:rsidRDefault="0089726B" w:rsidP="0089726B">
      <w:pPr>
        <w:rPr>
          <w:rFonts w:cstheme="minorBidi"/>
        </w:rPr>
      </w:pPr>
    </w:p>
    <w:p w14:paraId="43595EF1" w14:textId="291B36DE" w:rsidR="00485A11" w:rsidRPr="005970E9" w:rsidRDefault="008A61AF" w:rsidP="008A61AF">
      <w:pPr>
        <w:pStyle w:val="Caption"/>
        <w:keepNext/>
        <w:rPr>
          <w:rFonts w:ascii="Century Schoolbook" w:hAnsi="Century Schoolbook"/>
          <w:i w:val="0"/>
          <w:iCs w:val="0"/>
        </w:rPr>
      </w:pPr>
      <w:bookmarkStart w:id="93" w:name="_Toc42549167"/>
      <w:r w:rsidRPr="005970E9">
        <w:rPr>
          <w:rFonts w:ascii="Century Schoolbook" w:hAnsi="Century Schoolbook"/>
          <w:i w:val="0"/>
          <w:iCs w:val="0"/>
        </w:rPr>
        <w:t xml:space="preserve">Cuadro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Cuadro \* ARABIC </w:instrText>
      </w:r>
      <w:r w:rsidRPr="005970E9">
        <w:rPr>
          <w:rFonts w:ascii="Century Schoolbook" w:hAnsi="Century Schoolbook"/>
          <w:i w:val="0"/>
          <w:iCs w:val="0"/>
        </w:rPr>
        <w:fldChar w:fldCharType="separate"/>
      </w:r>
      <w:r w:rsidR="00C5422E" w:rsidRPr="005970E9">
        <w:rPr>
          <w:rFonts w:ascii="Century Schoolbook" w:hAnsi="Century Schoolbook"/>
          <w:i w:val="0"/>
          <w:iCs w:val="0"/>
          <w:noProof/>
        </w:rPr>
        <w:t>1</w:t>
      </w:r>
      <w:r w:rsidRPr="005970E9">
        <w:rPr>
          <w:rFonts w:ascii="Century Schoolbook" w:hAnsi="Century Schoolbook"/>
          <w:i w:val="0"/>
          <w:iCs w:val="0"/>
        </w:rPr>
        <w:fldChar w:fldCharType="end"/>
      </w:r>
      <w:r w:rsidRPr="005970E9">
        <w:rPr>
          <w:rFonts w:ascii="Century Schoolbook" w:hAnsi="Century Schoolbook"/>
          <w:i w:val="0"/>
          <w:iCs w:val="0"/>
        </w:rPr>
        <w:t xml:space="preserve">. </w:t>
      </w:r>
      <w:r w:rsidR="00142C30" w:rsidRPr="005970E9">
        <w:rPr>
          <w:rFonts w:ascii="Century Schoolbook" w:hAnsi="Century Schoolbook"/>
          <w:i w:val="0"/>
          <w:iCs w:val="0"/>
          <w:sz w:val="20"/>
          <w:szCs w:val="20"/>
        </w:rPr>
        <w:t>INDICADORES DE PARTICIPACIÓN FEMENINA EN EL ÓRGANO JUDICIAL EN FUNCIONES JURISDICCIONALES: AÑOS 2007 - 2020</w:t>
      </w:r>
      <w:bookmarkEnd w:id="93"/>
    </w:p>
    <w:p w14:paraId="4C5A6940" w14:textId="26F97B6F" w:rsidR="0089726B" w:rsidRPr="005970E9" w:rsidRDefault="0089726B" w:rsidP="0089726B">
      <w:pPr>
        <w:spacing w:line="276" w:lineRule="auto"/>
        <w:jc w:val="both"/>
        <w:rPr>
          <w:rFonts w:cs="Times New Roman"/>
        </w:rPr>
      </w:pPr>
      <w:r w:rsidRPr="005970E9">
        <w:rPr>
          <w:noProof/>
        </w:rPr>
        <w:drawing>
          <wp:anchor distT="0" distB="0" distL="114300" distR="114300" simplePos="0" relativeHeight="251734057" behindDoc="1" locked="0" layoutInCell="1" allowOverlap="1" wp14:anchorId="5F443E1B" wp14:editId="5EF72636">
            <wp:simplePos x="0" y="0"/>
            <wp:positionH relativeFrom="margin">
              <wp:posOffset>55245</wp:posOffset>
            </wp:positionH>
            <wp:positionV relativeFrom="paragraph">
              <wp:posOffset>84455</wp:posOffset>
            </wp:positionV>
            <wp:extent cx="2881630" cy="3017520"/>
            <wp:effectExtent l="0" t="0" r="0" b="0"/>
            <wp:wrapTight wrapText="bothSides">
              <wp:wrapPolygon edited="0">
                <wp:start x="0" y="0"/>
                <wp:lineTo x="0" y="21409"/>
                <wp:lineTo x="21419" y="21409"/>
                <wp:lineTo x="21419" y="0"/>
                <wp:lineTo x="0" y="0"/>
              </wp:wrapPolygon>
            </wp:wrapTight>
            <wp:docPr id="2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a:extLst>
                        <a:ext uri="{28A0092B-C50C-407E-A947-70E740481C1C}">
                          <a14:useLocalDpi xmlns:a14="http://schemas.microsoft.com/office/drawing/2010/main" val="0"/>
                        </a:ext>
                      </a:extLst>
                    </a:blip>
                    <a:srcRect l="31691" t="36955" r="50043" b="19016"/>
                    <a:stretch>
                      <a:fillRect/>
                    </a:stretch>
                  </pic:blipFill>
                  <pic:spPr bwMode="auto">
                    <a:xfrm>
                      <a:off x="0" y="0"/>
                      <a:ext cx="2881630" cy="3017520"/>
                    </a:xfrm>
                    <a:prstGeom prst="rect">
                      <a:avLst/>
                    </a:prstGeom>
                    <a:noFill/>
                  </pic:spPr>
                </pic:pic>
              </a:graphicData>
            </a:graphic>
            <wp14:sizeRelH relativeFrom="page">
              <wp14:pctWidth>0</wp14:pctWidth>
            </wp14:sizeRelH>
            <wp14:sizeRelV relativeFrom="page">
              <wp14:pctHeight>0</wp14:pctHeight>
            </wp14:sizeRelV>
          </wp:anchor>
        </w:drawing>
      </w:r>
      <w:r w:rsidRPr="005970E9">
        <w:rPr>
          <w:noProof/>
        </w:rPr>
        <w:drawing>
          <wp:anchor distT="0" distB="0" distL="114300" distR="114300" simplePos="0" relativeHeight="251658251" behindDoc="1" locked="0" layoutInCell="1" allowOverlap="1" wp14:anchorId="5F443E1B" wp14:editId="5EF72636">
            <wp:simplePos x="0" y="0"/>
            <wp:positionH relativeFrom="margin">
              <wp:posOffset>55245</wp:posOffset>
            </wp:positionH>
            <wp:positionV relativeFrom="paragraph">
              <wp:posOffset>84455</wp:posOffset>
            </wp:positionV>
            <wp:extent cx="2881630" cy="3017520"/>
            <wp:effectExtent l="0" t="0" r="0" b="0"/>
            <wp:wrapTight wrapText="bothSides">
              <wp:wrapPolygon edited="0">
                <wp:start x="0" y="0"/>
                <wp:lineTo x="0" y="21409"/>
                <wp:lineTo x="21419" y="21409"/>
                <wp:lineTo x="21419"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a:extLst>
                        <a:ext uri="{28A0092B-C50C-407E-A947-70E740481C1C}">
                          <a14:useLocalDpi xmlns:a14="http://schemas.microsoft.com/office/drawing/2010/main" val="0"/>
                        </a:ext>
                      </a:extLst>
                    </a:blip>
                    <a:srcRect l="31691" t="36955" r="50043" b="19016"/>
                    <a:stretch>
                      <a:fillRect/>
                    </a:stretch>
                  </pic:blipFill>
                  <pic:spPr bwMode="auto">
                    <a:xfrm>
                      <a:off x="0" y="0"/>
                      <a:ext cx="2881630" cy="3017520"/>
                    </a:xfrm>
                    <a:prstGeom prst="rect">
                      <a:avLst/>
                    </a:prstGeom>
                    <a:noFill/>
                  </pic:spPr>
                </pic:pic>
              </a:graphicData>
            </a:graphic>
            <wp14:sizeRelH relativeFrom="page">
              <wp14:pctWidth>0</wp14:pctWidth>
            </wp14:sizeRelH>
            <wp14:sizeRelV relativeFrom="page">
              <wp14:pctHeight>0</wp14:pctHeight>
            </wp14:sizeRelV>
          </wp:anchor>
        </w:drawing>
      </w:r>
      <w:r w:rsidRPr="005970E9">
        <w:t xml:space="preserve"> En cuanto a la participación femenina en el Órgano Judicial en funciones jurisdiccionales o sea </w:t>
      </w:r>
      <w:r w:rsidRPr="005970E9">
        <w:rPr>
          <w:rFonts w:eastAsia="Times New Roman"/>
        </w:rPr>
        <w:t xml:space="preserve">Magistradas de la Corte y Tribunales Superiores, Juezas de circuito, seccionales y municipales que administran justicia, </w:t>
      </w:r>
      <w:r w:rsidRPr="005970E9">
        <w:t xml:space="preserve">la situación es </w:t>
      </w:r>
      <w:r w:rsidR="00727292" w:rsidRPr="005970E9">
        <w:t>distinta</w:t>
      </w:r>
      <w:r w:rsidRPr="005970E9">
        <w:t>, contando desde el 2007 hasta la fecha con un porcentaje de mujeres desde 48.5% hasta 59.2%, y un índice de feminidad de 94.1% en el 2011 al índice más alto de 145.4% en el 2017, como se observa en el cuadro</w:t>
      </w:r>
      <w:r w:rsidR="00727292" w:rsidRPr="005970E9">
        <w:t xml:space="preserve"> 1</w:t>
      </w:r>
      <w:r w:rsidRPr="005970E9">
        <w:t>. Actualmente el porcentaje es de 58.7% con un índice de feminidad de 142.1%</w:t>
      </w:r>
      <w:r w:rsidR="00FF3DAE">
        <w:t xml:space="preserve"> (ver cuadro 1)</w:t>
      </w:r>
      <w:r w:rsidRPr="005970E9">
        <w:t>.</w:t>
      </w:r>
    </w:p>
    <w:p w14:paraId="1DE9F741" w14:textId="5311C455" w:rsidR="008967B0" w:rsidRPr="005970E9" w:rsidRDefault="008967B0" w:rsidP="00FA4F6C">
      <w:bookmarkStart w:id="94" w:name="_Hlk35519722"/>
    </w:p>
    <w:p w14:paraId="6BA5D3EF" w14:textId="77777777" w:rsidR="00FA4F6C" w:rsidRPr="005970E9" w:rsidRDefault="00FA4F6C" w:rsidP="00FA4F6C"/>
    <w:p w14:paraId="601D463F" w14:textId="77777777" w:rsidR="00727292" w:rsidRPr="005970E9" w:rsidRDefault="00727292" w:rsidP="00FA4F6C">
      <w:bookmarkStart w:id="95" w:name="_Toc42159058"/>
      <w:bookmarkStart w:id="96" w:name="_Toc42159198"/>
      <w:bookmarkStart w:id="97" w:name="_Toc42159853"/>
      <w:bookmarkStart w:id="98" w:name="_Toc42159199"/>
      <w:bookmarkEnd w:id="95"/>
      <w:bookmarkEnd w:id="96"/>
      <w:bookmarkEnd w:id="97"/>
    </w:p>
    <w:p w14:paraId="51509896" w14:textId="5E1CCB75" w:rsidR="0089726B" w:rsidRPr="005970E9" w:rsidRDefault="0089726B" w:rsidP="00CD7636">
      <w:pPr>
        <w:pStyle w:val="Heading3"/>
        <w:numPr>
          <w:ilvl w:val="2"/>
          <w:numId w:val="8"/>
        </w:numPr>
      </w:pPr>
      <w:bookmarkStart w:id="99" w:name="_Toc42549434"/>
      <w:r w:rsidRPr="005970E9">
        <w:t>Dificultades que enfrentan las mujeres para participar políticamente</w:t>
      </w:r>
      <w:bookmarkEnd w:id="98"/>
      <w:bookmarkEnd w:id="99"/>
    </w:p>
    <w:p w14:paraId="7F5F6767" w14:textId="207FB1DB" w:rsidR="00CD7636" w:rsidRPr="005970E9" w:rsidRDefault="00CD7636" w:rsidP="009A5114">
      <w:pPr>
        <w:spacing w:line="276" w:lineRule="auto"/>
        <w:rPr>
          <w:rFonts w:cs="Arial"/>
        </w:rPr>
      </w:pPr>
      <w:r w:rsidRPr="005970E9">
        <w:t xml:space="preserve">Como se planteó anteriormente y de acuerdo a diversos estudios </w:t>
      </w:r>
      <w:r w:rsidR="00727292" w:rsidRPr="005970E9">
        <w:t xml:space="preserve">las </w:t>
      </w:r>
      <w:r w:rsidR="006B3BCC" w:rsidRPr="005970E9">
        <w:t>mujeres</w:t>
      </w:r>
      <w:r w:rsidRPr="005970E9">
        <w:t xml:space="preserve"> </w:t>
      </w:r>
      <w:r w:rsidR="00727292" w:rsidRPr="005970E9">
        <w:t xml:space="preserve">para </w:t>
      </w:r>
      <w:r w:rsidRPr="005970E9">
        <w:t>participa</w:t>
      </w:r>
      <w:r w:rsidR="00727292" w:rsidRPr="005970E9">
        <w:t>r</w:t>
      </w:r>
      <w:r w:rsidRPr="005970E9">
        <w:t xml:space="preserve"> política</w:t>
      </w:r>
      <w:r w:rsidR="00727292" w:rsidRPr="005970E9">
        <w:t xml:space="preserve">mente </w:t>
      </w:r>
      <w:r w:rsidR="009A5114" w:rsidRPr="005970E9">
        <w:t>encuentran fuertes obstáculos con los que deben lidiar como los que se señalan a continuación</w:t>
      </w:r>
      <w:r w:rsidRPr="005970E9">
        <w:t>:</w:t>
      </w:r>
    </w:p>
    <w:p w14:paraId="1BFA91F4" w14:textId="77777777" w:rsidR="0089726B" w:rsidRPr="005970E9" w:rsidRDefault="0089726B" w:rsidP="009A5114">
      <w:pPr>
        <w:numPr>
          <w:ilvl w:val="0"/>
          <w:numId w:val="24"/>
        </w:numPr>
        <w:spacing w:before="120" w:after="120" w:line="276" w:lineRule="auto"/>
        <w:jc w:val="both"/>
        <w:rPr>
          <w:rFonts w:cs="Arial"/>
        </w:rPr>
      </w:pPr>
      <w:r w:rsidRPr="005970E9">
        <w:rPr>
          <w:rFonts w:cs="Arial"/>
        </w:rPr>
        <w:t>Compromisos reproductivos y del trabajo del cuidado (trabajo doméstico, trabajo del cuidado, actividad comunitaria) lo que la limita de tiempo para la participación política más activa.</w:t>
      </w:r>
    </w:p>
    <w:p w14:paraId="76BE00D9" w14:textId="77777777" w:rsidR="0089726B" w:rsidRPr="005970E9" w:rsidRDefault="0089726B" w:rsidP="009A5114">
      <w:pPr>
        <w:numPr>
          <w:ilvl w:val="0"/>
          <w:numId w:val="24"/>
        </w:numPr>
        <w:spacing w:before="120" w:after="120" w:line="276" w:lineRule="auto"/>
        <w:jc w:val="both"/>
        <w:rPr>
          <w:rFonts w:cs="Arial"/>
        </w:rPr>
      </w:pPr>
      <w:r w:rsidRPr="005970E9">
        <w:rPr>
          <w:rFonts w:cs="Arial"/>
        </w:rPr>
        <w:t>Dependencia de proveedores masculinos.</w:t>
      </w:r>
    </w:p>
    <w:p w14:paraId="72338269" w14:textId="77777777" w:rsidR="0089726B" w:rsidRPr="005970E9" w:rsidRDefault="0089726B" w:rsidP="009A5114">
      <w:pPr>
        <w:numPr>
          <w:ilvl w:val="0"/>
          <w:numId w:val="24"/>
        </w:numPr>
        <w:spacing w:before="120" w:after="120" w:line="276" w:lineRule="auto"/>
        <w:jc w:val="both"/>
        <w:rPr>
          <w:rFonts w:cs="Arial"/>
        </w:rPr>
      </w:pPr>
      <w:r w:rsidRPr="005970E9">
        <w:rPr>
          <w:rFonts w:cs="Arial"/>
        </w:rPr>
        <w:t>Cultura patriarcal: socialización recibida por las mujeres que les somete al control de sus cónyuges e hijos; logrando la subordinación y discriminación al interior del hogar.</w:t>
      </w:r>
    </w:p>
    <w:p w14:paraId="3D1EE078" w14:textId="77777777" w:rsidR="0089726B" w:rsidRPr="005970E9" w:rsidRDefault="0089726B" w:rsidP="009A5114">
      <w:pPr>
        <w:numPr>
          <w:ilvl w:val="0"/>
          <w:numId w:val="24"/>
        </w:numPr>
        <w:spacing w:before="120" w:after="120" w:line="276" w:lineRule="auto"/>
        <w:jc w:val="both"/>
        <w:rPr>
          <w:rFonts w:cs="Arial"/>
        </w:rPr>
      </w:pPr>
      <w:r w:rsidRPr="005970E9">
        <w:rPr>
          <w:rFonts w:cs="Arial"/>
        </w:rPr>
        <w:t>Falta de recursos económicos propios para la manutención de la familia y para sufragar los gastos para la participación en torneos electorales.</w:t>
      </w:r>
    </w:p>
    <w:p w14:paraId="64962BD7" w14:textId="77777777" w:rsidR="0089726B" w:rsidRPr="005970E9" w:rsidRDefault="0089726B" w:rsidP="009A5114">
      <w:pPr>
        <w:numPr>
          <w:ilvl w:val="0"/>
          <w:numId w:val="24"/>
        </w:numPr>
        <w:spacing w:before="120" w:after="120" w:line="276" w:lineRule="auto"/>
        <w:jc w:val="both"/>
        <w:rPr>
          <w:rFonts w:cs="Arial"/>
        </w:rPr>
      </w:pPr>
      <w:r w:rsidRPr="005970E9">
        <w:rPr>
          <w:rFonts w:cs="Arial"/>
        </w:rPr>
        <w:t>Limitación en las capacidades políticas.</w:t>
      </w:r>
    </w:p>
    <w:p w14:paraId="701CC58C" w14:textId="77777777" w:rsidR="0089726B" w:rsidRPr="005970E9" w:rsidRDefault="0089726B" w:rsidP="009A5114">
      <w:pPr>
        <w:numPr>
          <w:ilvl w:val="0"/>
          <w:numId w:val="24"/>
        </w:numPr>
        <w:spacing w:before="120" w:after="120" w:line="276" w:lineRule="auto"/>
        <w:jc w:val="both"/>
        <w:rPr>
          <w:rFonts w:cs="Arial"/>
        </w:rPr>
      </w:pPr>
      <w:r w:rsidRPr="005970E9">
        <w:rPr>
          <w:rFonts w:cs="Arial"/>
        </w:rPr>
        <w:t>Falta de oportunidades para acceder a participar y capacitarse políticamente.</w:t>
      </w:r>
    </w:p>
    <w:p w14:paraId="1AD38206" w14:textId="77777777" w:rsidR="0089726B" w:rsidRPr="005970E9" w:rsidRDefault="0089726B" w:rsidP="009A5114">
      <w:pPr>
        <w:numPr>
          <w:ilvl w:val="0"/>
          <w:numId w:val="24"/>
        </w:numPr>
        <w:spacing w:before="120" w:after="120" w:line="276" w:lineRule="auto"/>
        <w:jc w:val="both"/>
        <w:rPr>
          <w:rFonts w:cs="Arial"/>
        </w:rPr>
      </w:pPr>
      <w:r w:rsidRPr="005970E9">
        <w:rPr>
          <w:rFonts w:cs="Arial"/>
        </w:rPr>
        <w:lastRenderedPageBreak/>
        <w:t>Utilización de las mujeres como activistas en las campañas políticas utilizando sus capacidades como mujer (características de género), pero no le ofrecen oportunidades reales para que sea actora política (acceso a cargos de autoridad y poder).</w:t>
      </w:r>
    </w:p>
    <w:p w14:paraId="3F2FE4E4" w14:textId="5DD6F2C7" w:rsidR="0089726B" w:rsidRPr="005970E9" w:rsidRDefault="0089726B" w:rsidP="009A5114">
      <w:pPr>
        <w:numPr>
          <w:ilvl w:val="0"/>
          <w:numId w:val="24"/>
        </w:numPr>
        <w:spacing w:before="120" w:after="120" w:line="276" w:lineRule="auto"/>
        <w:jc w:val="both"/>
        <w:rPr>
          <w:rFonts w:cs="Arial"/>
        </w:rPr>
      </w:pPr>
      <w:r w:rsidRPr="005970E9">
        <w:rPr>
          <w:rFonts w:cs="Arial"/>
        </w:rPr>
        <w:t>Educación sexista.</w:t>
      </w:r>
    </w:p>
    <w:p w14:paraId="1A2C9C6E" w14:textId="73EE5A1C" w:rsidR="009A5114" w:rsidRPr="005970E9" w:rsidRDefault="009A5114" w:rsidP="009A5114">
      <w:pPr>
        <w:numPr>
          <w:ilvl w:val="0"/>
          <w:numId w:val="24"/>
        </w:numPr>
        <w:spacing w:before="120" w:after="120" w:line="276" w:lineRule="auto"/>
        <w:jc w:val="both"/>
        <w:rPr>
          <w:rFonts w:cs="Arial"/>
        </w:rPr>
      </w:pPr>
      <w:r w:rsidRPr="005970E9">
        <w:rPr>
          <w:rFonts w:cs="Arial"/>
        </w:rPr>
        <w:t xml:space="preserve">Temores asociados al descrédito por campañas contra su personalidad. a violencia política. </w:t>
      </w:r>
    </w:p>
    <w:p w14:paraId="2B6CC7F6" w14:textId="77777777" w:rsidR="0089726B" w:rsidRPr="005970E9" w:rsidRDefault="0089726B" w:rsidP="009A5114">
      <w:pPr>
        <w:numPr>
          <w:ilvl w:val="0"/>
          <w:numId w:val="24"/>
        </w:numPr>
        <w:spacing w:before="120" w:after="120" w:line="276" w:lineRule="auto"/>
        <w:jc w:val="both"/>
        <w:rPr>
          <w:rFonts w:cs="Arial"/>
        </w:rPr>
      </w:pPr>
      <w:r w:rsidRPr="005970E9">
        <w:rPr>
          <w:rFonts w:cs="Arial"/>
        </w:rPr>
        <w:t>Debilidad en su autoestima y confianza en sí misma lo que genera timidez y sentimientos exacerbados hacia la familia.</w:t>
      </w:r>
    </w:p>
    <w:p w14:paraId="397FAC85" w14:textId="059FB062" w:rsidR="0089726B" w:rsidRPr="005970E9" w:rsidRDefault="0089726B" w:rsidP="009A5114">
      <w:pPr>
        <w:numPr>
          <w:ilvl w:val="0"/>
          <w:numId w:val="24"/>
        </w:numPr>
        <w:spacing w:before="120" w:after="120" w:line="276" w:lineRule="auto"/>
        <w:jc w:val="both"/>
        <w:rPr>
          <w:rFonts w:cs="Arial"/>
        </w:rPr>
      </w:pPr>
      <w:r w:rsidRPr="005970E9">
        <w:rPr>
          <w:rFonts w:cs="Arial"/>
        </w:rPr>
        <w:t>Sentimientos de culpa por no brindar atención total a los hijos/as y al cónyuge, así como a otros miembros/as de la familia.</w:t>
      </w:r>
    </w:p>
    <w:p w14:paraId="640AAB72" w14:textId="437912D7" w:rsidR="008967B0" w:rsidRPr="005970E9" w:rsidRDefault="008967B0" w:rsidP="006B3BCC">
      <w:pPr>
        <w:spacing w:before="240" w:after="120" w:line="276" w:lineRule="auto"/>
        <w:ind w:left="360"/>
        <w:rPr>
          <w:rFonts w:cs="Arial"/>
          <w:b/>
          <w:bCs/>
        </w:rPr>
      </w:pPr>
      <w:r w:rsidRPr="005970E9">
        <w:rPr>
          <w:rFonts w:cs="Arial"/>
          <w:b/>
          <w:bCs/>
        </w:rPr>
        <w:t xml:space="preserve">Las mujeres también enfrentan </w:t>
      </w:r>
      <w:r w:rsidR="00CD7636" w:rsidRPr="005970E9">
        <w:rPr>
          <w:rFonts w:cs="Arial"/>
          <w:b/>
          <w:bCs/>
        </w:rPr>
        <w:t xml:space="preserve">algunas dificultades para acceder a cargos de elección popular como: </w:t>
      </w:r>
      <w:r w:rsidRPr="005970E9">
        <w:rPr>
          <w:rFonts w:cs="Arial"/>
          <w:b/>
          <w:bCs/>
        </w:rPr>
        <w:t xml:space="preserve"> </w:t>
      </w:r>
    </w:p>
    <w:p w14:paraId="0C226405" w14:textId="1E34A0D4" w:rsidR="0089726B" w:rsidRPr="005970E9" w:rsidRDefault="0089726B" w:rsidP="009A5114">
      <w:pPr>
        <w:numPr>
          <w:ilvl w:val="0"/>
          <w:numId w:val="25"/>
        </w:numPr>
        <w:spacing w:before="120" w:after="120" w:line="276" w:lineRule="auto"/>
        <w:rPr>
          <w:rFonts w:cs="Arial"/>
        </w:rPr>
      </w:pPr>
      <w:r w:rsidRPr="005970E9">
        <w:rPr>
          <w:rFonts w:cs="Arial"/>
        </w:rPr>
        <w:t>Ausencia de programas de capacitación política especializada para las mujeres en los partidos políticos.</w:t>
      </w:r>
    </w:p>
    <w:p w14:paraId="1E63D72E" w14:textId="29EF65EC" w:rsidR="0089726B" w:rsidRPr="005970E9" w:rsidRDefault="0089726B" w:rsidP="009A5114">
      <w:pPr>
        <w:numPr>
          <w:ilvl w:val="0"/>
          <w:numId w:val="25"/>
        </w:numPr>
        <w:spacing w:before="120" w:after="120" w:line="276" w:lineRule="auto"/>
        <w:rPr>
          <w:rFonts w:cs="Arial"/>
        </w:rPr>
      </w:pPr>
      <w:r w:rsidRPr="005970E9">
        <w:rPr>
          <w:rFonts w:cs="Arial"/>
        </w:rPr>
        <w:t xml:space="preserve">Incumplimiento de la Ley de 30% de participación </w:t>
      </w:r>
      <w:r w:rsidR="0090349C" w:rsidRPr="005970E9">
        <w:rPr>
          <w:rFonts w:cs="Arial"/>
        </w:rPr>
        <w:t>y las demandas de las organizaciones de sociedad civil por la paridad.</w:t>
      </w:r>
    </w:p>
    <w:p w14:paraId="7742BE7F" w14:textId="77777777" w:rsidR="0089726B" w:rsidRPr="005970E9" w:rsidRDefault="0089726B" w:rsidP="009A5114">
      <w:pPr>
        <w:numPr>
          <w:ilvl w:val="0"/>
          <w:numId w:val="25"/>
        </w:numPr>
        <w:spacing w:before="120" w:after="120" w:line="276" w:lineRule="auto"/>
        <w:rPr>
          <w:rFonts w:cs="Arial"/>
        </w:rPr>
      </w:pPr>
      <w:r w:rsidRPr="005970E9">
        <w:rPr>
          <w:rFonts w:cs="Arial"/>
        </w:rPr>
        <w:t>Ausencia de políticas de género en los partidos políticos.</w:t>
      </w:r>
    </w:p>
    <w:p w14:paraId="56931695" w14:textId="77777777" w:rsidR="0089726B" w:rsidRPr="005970E9" w:rsidRDefault="0089726B" w:rsidP="009A5114">
      <w:pPr>
        <w:numPr>
          <w:ilvl w:val="0"/>
          <w:numId w:val="25"/>
        </w:numPr>
        <w:spacing w:before="120" w:after="120" w:line="276" w:lineRule="auto"/>
        <w:rPr>
          <w:rFonts w:cs="Arial"/>
        </w:rPr>
      </w:pPr>
      <w:r w:rsidRPr="005970E9">
        <w:rPr>
          <w:rFonts w:cs="Arial"/>
        </w:rPr>
        <w:t>Desconocimiento de roles propios de la administración y gestión pública, nacional y local.</w:t>
      </w:r>
    </w:p>
    <w:p w14:paraId="63D62320" w14:textId="77777777" w:rsidR="0089726B" w:rsidRPr="005970E9" w:rsidRDefault="0089726B" w:rsidP="009A5114">
      <w:pPr>
        <w:numPr>
          <w:ilvl w:val="0"/>
          <w:numId w:val="25"/>
        </w:numPr>
        <w:spacing w:before="120" w:after="120" w:line="276" w:lineRule="auto"/>
        <w:rPr>
          <w:rFonts w:cs="Arial"/>
        </w:rPr>
      </w:pPr>
      <w:r w:rsidRPr="005970E9">
        <w:rPr>
          <w:rFonts w:cs="Arial"/>
        </w:rPr>
        <w:t>Falta de destreza y habilidades para el desempeño de cargos de elección.</w:t>
      </w:r>
    </w:p>
    <w:p w14:paraId="290E6A07" w14:textId="77777777" w:rsidR="0089726B" w:rsidRPr="005970E9" w:rsidRDefault="0089726B" w:rsidP="009A5114">
      <w:pPr>
        <w:numPr>
          <w:ilvl w:val="0"/>
          <w:numId w:val="25"/>
        </w:numPr>
        <w:spacing w:before="120" w:after="120" w:line="276" w:lineRule="auto"/>
        <w:rPr>
          <w:rFonts w:cs="Arial"/>
        </w:rPr>
      </w:pPr>
      <w:r w:rsidRPr="005970E9">
        <w:rPr>
          <w:rFonts w:cs="Arial"/>
        </w:rPr>
        <w:t>Obstáculos para ascender en el liderazgo al interior de los partidos políticos.</w:t>
      </w:r>
    </w:p>
    <w:p w14:paraId="29065B7F" w14:textId="77777777" w:rsidR="0089726B" w:rsidRPr="005970E9" w:rsidRDefault="0089726B" w:rsidP="009A5114">
      <w:pPr>
        <w:numPr>
          <w:ilvl w:val="0"/>
          <w:numId w:val="25"/>
        </w:numPr>
        <w:spacing w:before="120" w:after="120" w:line="276" w:lineRule="auto"/>
        <w:rPr>
          <w:rFonts w:cs="Arial"/>
        </w:rPr>
      </w:pPr>
      <w:r w:rsidRPr="005970E9">
        <w:rPr>
          <w:rFonts w:cs="Arial"/>
        </w:rPr>
        <w:t>Blanco de manipulación e intrigas políticas.</w:t>
      </w:r>
    </w:p>
    <w:p w14:paraId="22C763C4" w14:textId="77777777" w:rsidR="009A5114" w:rsidRPr="005970E9" w:rsidRDefault="00CD7636" w:rsidP="009A5114">
      <w:pPr>
        <w:numPr>
          <w:ilvl w:val="0"/>
          <w:numId w:val="25"/>
        </w:numPr>
        <w:spacing w:before="120" w:after="120" w:line="276" w:lineRule="auto"/>
        <w:rPr>
          <w:rFonts w:cs="Arial"/>
        </w:rPr>
      </w:pPr>
      <w:r w:rsidRPr="005970E9">
        <w:rPr>
          <w:rFonts w:cs="Arial"/>
        </w:rPr>
        <w:t>La violencia política que se traduce en m</w:t>
      </w:r>
      <w:r w:rsidR="0089726B" w:rsidRPr="005970E9">
        <w:rPr>
          <w:rFonts w:cs="Arial"/>
        </w:rPr>
        <w:t>ayores susceptibilidades a las críticas, rencillas políticas, a las ofensas contra el honor y a faltas a la moral predominante.</w:t>
      </w:r>
    </w:p>
    <w:p w14:paraId="73F0DF84" w14:textId="1FBF4510" w:rsidR="0089726B" w:rsidRPr="005970E9" w:rsidRDefault="009A5114" w:rsidP="009A5114">
      <w:pPr>
        <w:numPr>
          <w:ilvl w:val="0"/>
          <w:numId w:val="25"/>
        </w:numPr>
        <w:spacing w:before="120" w:after="120" w:line="276" w:lineRule="auto"/>
        <w:rPr>
          <w:rFonts w:cs="Arial"/>
        </w:rPr>
      </w:pPr>
      <w:r w:rsidRPr="005970E9">
        <w:rPr>
          <w:rFonts w:cs="Arial"/>
        </w:rPr>
        <w:t>Campañas sucias sobre la personalidad de candidatas o lideresas, por personas de su propio partido.</w:t>
      </w:r>
    </w:p>
    <w:p w14:paraId="46F21B70" w14:textId="5AD18941" w:rsidR="00CD7636" w:rsidRPr="005970E9" w:rsidRDefault="0089726B" w:rsidP="00CD7636">
      <w:pPr>
        <w:pStyle w:val="Heading3"/>
        <w:numPr>
          <w:ilvl w:val="2"/>
          <w:numId w:val="8"/>
        </w:numPr>
      </w:pPr>
      <w:bookmarkStart w:id="100" w:name="_Toc42159201"/>
      <w:bookmarkStart w:id="101" w:name="_Toc42549435"/>
      <w:r w:rsidRPr="005970E9">
        <w:t>Acciones para promover la participación de las mujeres</w:t>
      </w:r>
      <w:bookmarkEnd w:id="100"/>
      <w:bookmarkEnd w:id="101"/>
    </w:p>
    <w:p w14:paraId="4E64A6EE" w14:textId="0E99A49C" w:rsidR="00CD7636" w:rsidRPr="005970E9" w:rsidRDefault="00756FB7" w:rsidP="009A5114">
      <w:pPr>
        <w:spacing w:before="120" w:after="120" w:line="276" w:lineRule="auto"/>
        <w:rPr>
          <w:rFonts w:cs="Arial"/>
        </w:rPr>
      </w:pPr>
      <w:r w:rsidRPr="005970E9">
        <w:rPr>
          <w:rFonts w:cs="Arial"/>
        </w:rPr>
        <w:t xml:space="preserve">Para impulsar mayor participación de las mujeres y llegar a la paridad se pueden tomar las siguientes acciones: </w:t>
      </w:r>
    </w:p>
    <w:p w14:paraId="0E59F2B7" w14:textId="0664DC6B" w:rsidR="0089726B" w:rsidRPr="005970E9" w:rsidRDefault="0089726B" w:rsidP="009A5114">
      <w:pPr>
        <w:numPr>
          <w:ilvl w:val="0"/>
          <w:numId w:val="25"/>
        </w:numPr>
        <w:spacing w:before="120" w:after="120" w:line="276" w:lineRule="auto"/>
        <w:rPr>
          <w:rFonts w:cs="Arial"/>
        </w:rPr>
      </w:pPr>
      <w:r w:rsidRPr="005970E9">
        <w:rPr>
          <w:rFonts w:cs="Arial"/>
        </w:rPr>
        <w:t xml:space="preserve">Procesos sistemáticos y continuos de formación política con enfoque de género al interior de los partidos políticos. En temas fundamentales para las mujeres: desarrollo personal y político; autoestima y liderazgo (formas de expresión oral, </w:t>
      </w:r>
      <w:r w:rsidRPr="005970E9">
        <w:rPr>
          <w:rFonts w:cs="Arial"/>
        </w:rPr>
        <w:lastRenderedPageBreak/>
        <w:t>escrita, corporal, dicción y uso correcto del lenguaje, entre otros de acuerdo a las necesidades de cada área).</w:t>
      </w:r>
    </w:p>
    <w:p w14:paraId="2BC1212F" w14:textId="77777777" w:rsidR="0089726B" w:rsidRPr="005970E9" w:rsidRDefault="0089726B" w:rsidP="009A5114">
      <w:pPr>
        <w:numPr>
          <w:ilvl w:val="0"/>
          <w:numId w:val="25"/>
        </w:numPr>
        <w:spacing w:before="120" w:after="120" w:line="276" w:lineRule="auto"/>
        <w:rPr>
          <w:rFonts w:cs="Arial"/>
        </w:rPr>
      </w:pPr>
      <w:r w:rsidRPr="005970E9">
        <w:rPr>
          <w:rFonts w:cs="Arial"/>
        </w:rPr>
        <w:t>Capacitación en políticas y gestión públicas, administración de gobiernos locales y transversalización de género en el ámbito municipal, independientemente del nivel educativo formal.</w:t>
      </w:r>
    </w:p>
    <w:p w14:paraId="2B22E596" w14:textId="2CC75690" w:rsidR="0089726B" w:rsidRPr="005970E9" w:rsidRDefault="0089726B" w:rsidP="009A5114">
      <w:pPr>
        <w:numPr>
          <w:ilvl w:val="0"/>
          <w:numId w:val="25"/>
        </w:numPr>
        <w:spacing w:before="120" w:after="120" w:line="276" w:lineRule="auto"/>
        <w:jc w:val="both"/>
        <w:rPr>
          <w:rFonts w:cs="Arial"/>
        </w:rPr>
      </w:pPr>
      <w:r w:rsidRPr="005970E9">
        <w:rPr>
          <w:rFonts w:cs="Arial"/>
        </w:rPr>
        <w:t>Organización de mujeres a nivel local</w:t>
      </w:r>
      <w:r w:rsidR="00756FB7" w:rsidRPr="005970E9">
        <w:rPr>
          <w:rFonts w:cs="Arial"/>
        </w:rPr>
        <w:t xml:space="preserve">, como </w:t>
      </w:r>
      <w:r w:rsidR="00756FB7" w:rsidRPr="005970E9">
        <w:t xml:space="preserve">plataforma de formación y experiencia para la participación </w:t>
      </w:r>
      <w:r w:rsidR="00B8559D" w:rsidRPr="005970E9">
        <w:t>política</w:t>
      </w:r>
      <w:r w:rsidR="00B8559D" w:rsidRPr="005970E9">
        <w:rPr>
          <w:rFonts w:cs="Arial"/>
        </w:rPr>
        <w:t>.</w:t>
      </w:r>
    </w:p>
    <w:p w14:paraId="74CE7957" w14:textId="77777777" w:rsidR="0089726B" w:rsidRPr="005970E9" w:rsidRDefault="0089726B" w:rsidP="009A5114">
      <w:pPr>
        <w:numPr>
          <w:ilvl w:val="0"/>
          <w:numId w:val="25"/>
        </w:numPr>
        <w:spacing w:before="120" w:after="120" w:line="276" w:lineRule="auto"/>
        <w:rPr>
          <w:rFonts w:cs="Arial"/>
        </w:rPr>
      </w:pPr>
      <w:r w:rsidRPr="005970E9">
        <w:rPr>
          <w:rFonts w:cs="Arial"/>
        </w:rPr>
        <w:t>Intercambio de ideas y experiencia entre grupos de mujeres municipalistas de diferentes distritos.</w:t>
      </w:r>
    </w:p>
    <w:p w14:paraId="3BD3CF42" w14:textId="4C30DE0B" w:rsidR="0089726B" w:rsidRPr="005970E9" w:rsidRDefault="0089726B" w:rsidP="009A5114">
      <w:pPr>
        <w:numPr>
          <w:ilvl w:val="0"/>
          <w:numId w:val="25"/>
        </w:numPr>
        <w:spacing w:before="120" w:after="120" w:line="276" w:lineRule="auto"/>
        <w:rPr>
          <w:rFonts w:cs="Times New Roman"/>
        </w:rPr>
      </w:pPr>
      <w:r w:rsidRPr="005970E9">
        <w:rPr>
          <w:rFonts w:cs="Arial"/>
        </w:rPr>
        <w:t>Promover y divulgar los intereses de las mujeres y concientizarlas para que participen más en la gestión de los problemas de la comunidad.</w:t>
      </w:r>
      <w:bookmarkEnd w:id="94"/>
    </w:p>
    <w:p w14:paraId="09C31F8B" w14:textId="2F650CBC" w:rsidR="00756FB7" w:rsidRPr="005970E9" w:rsidRDefault="00756FB7" w:rsidP="009A5114">
      <w:pPr>
        <w:numPr>
          <w:ilvl w:val="0"/>
          <w:numId w:val="25"/>
        </w:numPr>
        <w:spacing w:before="120" w:after="120" w:line="276" w:lineRule="auto"/>
        <w:rPr>
          <w:rFonts w:cs="Times New Roman"/>
        </w:rPr>
      </w:pPr>
      <w:r w:rsidRPr="005970E9">
        <w:t>Impulsar acciones de prevención y atención a la violencia contra las mujeres en política, aplicando la ley modelo regional con la CIM/OEA.</w:t>
      </w:r>
    </w:p>
    <w:p w14:paraId="6B919467" w14:textId="4AF71A38" w:rsidR="00CE523F" w:rsidRPr="005970E9" w:rsidRDefault="00CE523F" w:rsidP="00CE523F">
      <w:pPr>
        <w:spacing w:line="276" w:lineRule="auto"/>
        <w:rPr>
          <w:rFonts w:cs="Arial"/>
        </w:rPr>
      </w:pPr>
    </w:p>
    <w:p w14:paraId="47C2DD8F" w14:textId="77777777" w:rsidR="00B76B0C" w:rsidRPr="005970E9" w:rsidRDefault="003B5C05" w:rsidP="002338C0">
      <w:pPr>
        <w:pStyle w:val="Heading2"/>
        <w:numPr>
          <w:ilvl w:val="1"/>
          <w:numId w:val="8"/>
        </w:numPr>
      </w:pPr>
      <w:bookmarkStart w:id="102" w:name="_Toc42159202"/>
      <w:bookmarkStart w:id="103" w:name="_Toc42549436"/>
      <w:r w:rsidRPr="005970E9">
        <w:t>Género y situación de defensores de derechos humanos</w:t>
      </w:r>
      <w:bookmarkEnd w:id="102"/>
      <w:bookmarkEnd w:id="103"/>
    </w:p>
    <w:p w14:paraId="19BA94D6" w14:textId="77777777" w:rsidR="00B76B0C" w:rsidRPr="005970E9" w:rsidRDefault="003B5C05">
      <w:pPr>
        <w:pBdr>
          <w:top w:val="nil"/>
          <w:left w:val="nil"/>
          <w:bottom w:val="nil"/>
          <w:right w:val="nil"/>
          <w:between w:val="nil"/>
        </w:pBdr>
        <w:spacing w:before="120" w:after="120"/>
        <w:ind w:left="1134"/>
        <w:jc w:val="both"/>
        <w:rPr>
          <w:rFonts w:eastAsia="Century Schoolbook" w:cs="Century Schoolbook"/>
          <w:color w:val="E36C0A" w:themeColor="accent6" w:themeShade="BF"/>
          <w:sz w:val="20"/>
          <w:szCs w:val="20"/>
        </w:rPr>
      </w:pPr>
      <w:r w:rsidRPr="005970E9">
        <w:rPr>
          <w:rFonts w:eastAsia="Century Schoolbook" w:cs="Century Schoolbook"/>
          <w:color w:val="E36C0A" w:themeColor="accent6" w:themeShade="BF"/>
          <w:sz w:val="20"/>
          <w:szCs w:val="20"/>
        </w:rPr>
        <w:t xml:space="preserve">La Declaración sobre los Defensores de los Derechos Humanos define como defensor o defensora de derechos humanos a </w:t>
      </w:r>
      <w:r w:rsidRPr="005970E9">
        <w:rPr>
          <w:rFonts w:eastAsia="Century Schoolbook" w:cs="Century Schoolbook"/>
          <w:i/>
          <w:color w:val="E36C0A" w:themeColor="accent6" w:themeShade="BF"/>
          <w:sz w:val="20"/>
          <w:szCs w:val="20"/>
        </w:rPr>
        <w:t xml:space="preserve">toda persona que individualmente o asociado con otras, ejerce su derecho a promover y procurar la protección y realización de los derechos humanos y libertades fundamentales, ya sea a nivel nacional o internacional. </w:t>
      </w:r>
      <w:r w:rsidRPr="005970E9">
        <w:rPr>
          <w:rFonts w:eastAsia="Century Schoolbook" w:cs="Century Schoolbook"/>
          <w:color w:val="E36C0A" w:themeColor="accent6" w:themeShade="BF"/>
          <w:sz w:val="20"/>
          <w:szCs w:val="20"/>
        </w:rPr>
        <w:t>Resolución 53/144 de la Asamblea General de la ONU, del 9 de dic. 1998. Alianza Ciudadana Pro Justicia (2012). Panamá.</w:t>
      </w:r>
    </w:p>
    <w:p w14:paraId="25ECA013" w14:textId="77777777" w:rsidR="00B76B0C" w:rsidRPr="005970E9" w:rsidRDefault="003B5C05">
      <w:pPr>
        <w:pBdr>
          <w:top w:val="nil"/>
          <w:left w:val="nil"/>
          <w:bottom w:val="nil"/>
          <w:right w:val="nil"/>
          <w:between w:val="nil"/>
        </w:pBdr>
        <w:spacing w:before="120" w:after="120" w:line="276" w:lineRule="auto"/>
        <w:jc w:val="both"/>
        <w:rPr>
          <w:rFonts w:eastAsia="Century Schoolbook" w:cs="Century Schoolbook"/>
          <w:color w:val="000000"/>
        </w:rPr>
      </w:pPr>
      <w:r w:rsidRPr="005970E9">
        <w:rPr>
          <w:rFonts w:eastAsia="Century Schoolbook" w:cs="Century Schoolbook"/>
          <w:color w:val="000000"/>
        </w:rPr>
        <w:t xml:space="preserve">La función que realizan las personas defensoras de derechos humanos es fundamental para procurar la sostenibilidad de la vida, fortalecer la democracia, la justicia, la equidad y contribuir a hacer realidad el ejercicio de los derechos de la ciudadanía en particular, los compromisos de igualdad de género contenidos en la Agenda 2030 para el beneficio equitativo de hombres y mujeres, aprovechando la capacidad de alianzas para el desarrollo que las organizaciones defensoras de derechos humanos han logrado. </w:t>
      </w:r>
    </w:p>
    <w:p w14:paraId="01C5B393" w14:textId="7C180DCF" w:rsidR="00B76B0C" w:rsidRPr="005970E9" w:rsidRDefault="003B5C05">
      <w:pPr>
        <w:pBdr>
          <w:top w:val="nil"/>
          <w:left w:val="nil"/>
          <w:bottom w:val="nil"/>
          <w:right w:val="nil"/>
          <w:between w:val="nil"/>
        </w:pBdr>
        <w:spacing w:before="120" w:after="120" w:line="276" w:lineRule="auto"/>
        <w:jc w:val="both"/>
        <w:rPr>
          <w:rFonts w:eastAsia="Century Schoolbook" w:cs="Century Schoolbook"/>
          <w:color w:val="000000"/>
        </w:rPr>
      </w:pPr>
      <w:r w:rsidRPr="005970E9">
        <w:rPr>
          <w:color w:val="000000" w:themeColor="text1"/>
        </w:rPr>
        <w:t xml:space="preserve">Las desigualdades económicas, políticas, sociales y la discriminación por sexo, raza y clase entre otras, durante las últimas décadas, han generado conflictos y vulnerado derechos que, según el estudio de </w:t>
      </w:r>
      <w:r w:rsidR="0084581F" w:rsidRPr="005970E9">
        <w:rPr>
          <w:color w:val="000000" w:themeColor="text1"/>
        </w:rPr>
        <w:t xml:space="preserve">la </w:t>
      </w:r>
      <w:r w:rsidRPr="005970E9">
        <w:rPr>
          <w:color w:val="000000" w:themeColor="text1"/>
        </w:rPr>
        <w:t>Alianza Ciudadana Pro Justicia (2012) y las denuncias de la Red de Derechos Humanos de Panamá (RDH), incluye acciones en defensa del ambiente natural y la vida comunitaria frente a proyectos hidroeléctricos, mineros, turísticos y el acceso a</w:t>
      </w:r>
      <w:r w:rsidR="0084581F" w:rsidRPr="005970E9">
        <w:rPr>
          <w:color w:val="000000" w:themeColor="text1"/>
        </w:rPr>
        <w:t>l</w:t>
      </w:r>
      <w:r w:rsidRPr="005970E9">
        <w:rPr>
          <w:color w:val="000000" w:themeColor="text1"/>
        </w:rPr>
        <w:t xml:space="preserve"> agua para consumo humano</w:t>
      </w:r>
      <w:r w:rsidR="0084581F" w:rsidRPr="005970E9">
        <w:rPr>
          <w:color w:val="000000" w:themeColor="text1"/>
        </w:rPr>
        <w:t>,</w:t>
      </w:r>
      <w:r w:rsidRPr="005970E9">
        <w:rPr>
          <w:color w:val="000000" w:themeColor="text1"/>
        </w:rPr>
        <w:t xml:space="preserve"> estos son los conflictos más frecuentes en el país. Otros hechos que han requerido acciones de defensa de los derechos humanos son las organizaciones sindicales por sus derechos laborales</w:t>
      </w:r>
      <w:r w:rsidR="0084581F" w:rsidRPr="005970E9">
        <w:rPr>
          <w:color w:val="000000" w:themeColor="text1"/>
        </w:rPr>
        <w:t>;</w:t>
      </w:r>
      <w:r w:rsidRPr="005970E9">
        <w:rPr>
          <w:color w:val="000000" w:themeColor="text1"/>
        </w:rPr>
        <w:t xml:space="preserve"> las organizaciones estudiantiles y juveniles</w:t>
      </w:r>
      <w:r w:rsidR="0084581F" w:rsidRPr="005970E9">
        <w:rPr>
          <w:color w:val="000000" w:themeColor="text1"/>
        </w:rPr>
        <w:t>;</w:t>
      </w:r>
      <w:r w:rsidRPr="005970E9">
        <w:rPr>
          <w:color w:val="000000" w:themeColor="text1"/>
        </w:rPr>
        <w:t xml:space="preserve"> la población </w:t>
      </w:r>
      <w:r w:rsidRPr="005970E9">
        <w:rPr>
          <w:rFonts w:eastAsia="Century Schoolbook" w:cs="Century Schoolbook"/>
          <w:color w:val="000000" w:themeColor="text1"/>
        </w:rPr>
        <w:t>LGBTI</w:t>
      </w:r>
      <w:r w:rsidR="58942231" w:rsidRPr="005970E9">
        <w:rPr>
          <w:rFonts w:eastAsia="Century Schoolbook" w:cs="Century Schoolbook"/>
          <w:color w:val="000000" w:themeColor="text1"/>
        </w:rPr>
        <w:t>Q</w:t>
      </w:r>
      <w:r w:rsidRPr="005970E9">
        <w:rPr>
          <w:color w:val="000000" w:themeColor="text1"/>
        </w:rPr>
        <w:t>+ que confronta por sus derechos individuales y civiles</w:t>
      </w:r>
      <w:r w:rsidR="0084581F" w:rsidRPr="005970E9">
        <w:rPr>
          <w:color w:val="000000" w:themeColor="text1"/>
        </w:rPr>
        <w:t>;</w:t>
      </w:r>
      <w:r w:rsidRPr="005970E9">
        <w:rPr>
          <w:color w:val="000000" w:themeColor="text1"/>
        </w:rPr>
        <w:t xml:space="preserve"> las organizaciones de mujeres y feministas en defensa de sus derechos a la integridad y autonomía personal, la salud sexual reproductiva, por su derechos políticos y autonomía económica. </w:t>
      </w:r>
    </w:p>
    <w:p w14:paraId="1886CA7F" w14:textId="21983885" w:rsidR="00B76B0C" w:rsidRPr="005970E9" w:rsidRDefault="003B5C05">
      <w:pPr>
        <w:pBdr>
          <w:top w:val="nil"/>
          <w:left w:val="nil"/>
          <w:bottom w:val="nil"/>
          <w:right w:val="nil"/>
          <w:between w:val="nil"/>
        </w:pBdr>
        <w:spacing w:before="120" w:after="120" w:line="276" w:lineRule="auto"/>
        <w:jc w:val="both"/>
        <w:rPr>
          <w:rFonts w:eastAsia="Century Schoolbook" w:cs="Century Schoolbook"/>
          <w:color w:val="000000"/>
        </w:rPr>
      </w:pPr>
      <w:r w:rsidRPr="005970E9">
        <w:rPr>
          <w:color w:val="000000" w:themeColor="text1"/>
        </w:rPr>
        <w:lastRenderedPageBreak/>
        <w:t>La protección de las mujeres y población migrante y refugiad</w:t>
      </w:r>
      <w:r w:rsidR="0084581F" w:rsidRPr="005970E9">
        <w:rPr>
          <w:color w:val="000000" w:themeColor="text1"/>
        </w:rPr>
        <w:t>a</w:t>
      </w:r>
      <w:r w:rsidRPr="005970E9">
        <w:rPr>
          <w:color w:val="000000" w:themeColor="text1"/>
        </w:rPr>
        <w:t xml:space="preserve">; como los derechos comunitarios a la vivienda; el respeto y protección </w:t>
      </w:r>
      <w:r w:rsidR="0084581F" w:rsidRPr="005970E9">
        <w:rPr>
          <w:color w:val="000000" w:themeColor="text1"/>
        </w:rPr>
        <w:t xml:space="preserve">de </w:t>
      </w:r>
      <w:r w:rsidRPr="005970E9">
        <w:rPr>
          <w:color w:val="000000" w:themeColor="text1"/>
        </w:rPr>
        <w:t xml:space="preserve">la población privada de libertad; y en el centro de la acción por los derechos humanos </w:t>
      </w:r>
      <w:r w:rsidR="00C31384" w:rsidRPr="005970E9">
        <w:rPr>
          <w:rFonts w:eastAsia="Century Schoolbook" w:cs="Century Schoolbook"/>
          <w:color w:val="000000"/>
        </w:rPr>
        <w:t>(DDHH)</w:t>
      </w:r>
      <w:r w:rsidRPr="005970E9">
        <w:rPr>
          <w:rFonts w:eastAsia="Century Schoolbook" w:cs="Century Schoolbook"/>
          <w:color w:val="000000"/>
        </w:rPr>
        <w:t xml:space="preserve"> </w:t>
      </w:r>
      <w:r w:rsidRPr="005970E9">
        <w:rPr>
          <w:color w:val="000000" w:themeColor="text1"/>
        </w:rPr>
        <w:t>está el deterioro e impunidad en el sistema de justicia. El conjunto de defensoras/es de DDHH enfrentan el autoritarismo, las acciones abusivas y represivas de la</w:t>
      </w:r>
      <w:r w:rsidR="002C6734" w:rsidRPr="005970E9">
        <w:rPr>
          <w:color w:val="000000" w:themeColor="text1"/>
        </w:rPr>
        <w:t>s autoridades</w:t>
      </w:r>
      <w:r w:rsidR="009071A9" w:rsidRPr="005970E9">
        <w:rPr>
          <w:color w:val="000000" w:themeColor="text1"/>
        </w:rPr>
        <w:t xml:space="preserve"> y de la</w:t>
      </w:r>
      <w:r w:rsidRPr="005970E9">
        <w:rPr>
          <w:color w:val="000000" w:themeColor="text1"/>
        </w:rPr>
        <w:t xml:space="preserve"> </w:t>
      </w:r>
      <w:r w:rsidR="00EF3DDE" w:rsidRPr="005970E9">
        <w:rPr>
          <w:color w:val="000000" w:themeColor="text1"/>
        </w:rPr>
        <w:t>Fuerza Pública</w:t>
      </w:r>
      <w:r w:rsidRPr="005970E9">
        <w:rPr>
          <w:color w:val="000000" w:themeColor="text1"/>
        </w:rPr>
        <w:t xml:space="preserve">. Se activan para hacer efectiva la participación ciudadana en las decisiones que adoptan las autoridades y afectan la vida de la ciudadanía. </w:t>
      </w:r>
    </w:p>
    <w:p w14:paraId="0613378B" w14:textId="77777777" w:rsidR="00B76B0C" w:rsidRPr="005970E9" w:rsidRDefault="003B5C05">
      <w:pPr>
        <w:pBdr>
          <w:top w:val="nil"/>
          <w:left w:val="nil"/>
          <w:bottom w:val="nil"/>
          <w:right w:val="nil"/>
          <w:between w:val="nil"/>
        </w:pBdr>
        <w:spacing w:before="120" w:after="120" w:line="276" w:lineRule="auto"/>
        <w:jc w:val="both"/>
        <w:rPr>
          <w:rFonts w:eastAsia="Century Schoolbook" w:cs="Century Schoolbook"/>
          <w:color w:val="000000"/>
        </w:rPr>
      </w:pPr>
      <w:r w:rsidRPr="005970E9">
        <w:rPr>
          <w:rFonts w:eastAsia="Century Schoolbook" w:cs="Century Schoolbook"/>
          <w:color w:val="000000"/>
        </w:rPr>
        <w:t xml:space="preserve">Las mujeres defensoras de DDHH viven riesgos vinculados a su condición de género, deben enfrentar situaciones que amenazan su integridad física, reputación e intentan deslegitimar su representatividad y participación pública. </w:t>
      </w:r>
    </w:p>
    <w:p w14:paraId="2A468BF7" w14:textId="77777777" w:rsidR="00B76B0C" w:rsidRPr="005970E9" w:rsidRDefault="003B5C05">
      <w:pPr>
        <w:pBdr>
          <w:top w:val="nil"/>
          <w:left w:val="nil"/>
          <w:bottom w:val="nil"/>
          <w:right w:val="nil"/>
          <w:between w:val="nil"/>
        </w:pBdr>
        <w:spacing w:before="120" w:after="120" w:line="276" w:lineRule="auto"/>
        <w:jc w:val="both"/>
        <w:rPr>
          <w:rFonts w:eastAsia="Century Schoolbook" w:cs="Century Schoolbook"/>
          <w:color w:val="000000"/>
        </w:rPr>
      </w:pPr>
      <w:r w:rsidRPr="005970E9">
        <w:rPr>
          <w:rFonts w:eastAsia="Century Schoolbook" w:cs="Century Schoolbook"/>
          <w:color w:val="000000"/>
        </w:rPr>
        <w:t>Entre los años 2016-2019 hubo varios casos de derechos vulnerados a mujeres defensoras de DDHH:</w:t>
      </w:r>
    </w:p>
    <w:p w14:paraId="6F744C9B" w14:textId="77777777" w:rsidR="00B76B0C" w:rsidRPr="005970E9" w:rsidRDefault="003B5C05" w:rsidP="002338C0">
      <w:pPr>
        <w:numPr>
          <w:ilvl w:val="0"/>
          <w:numId w:val="10"/>
        </w:numPr>
        <w:pBdr>
          <w:top w:val="nil"/>
          <w:left w:val="nil"/>
          <w:bottom w:val="nil"/>
          <w:right w:val="nil"/>
          <w:between w:val="nil"/>
        </w:pBdr>
        <w:spacing w:before="120" w:after="120" w:line="276" w:lineRule="auto"/>
        <w:ind w:left="426" w:hanging="426"/>
        <w:jc w:val="both"/>
        <w:rPr>
          <w:color w:val="000000"/>
        </w:rPr>
      </w:pPr>
      <w:r w:rsidRPr="005970E9">
        <w:rPr>
          <w:rFonts w:eastAsia="Century Schoolbook" w:cs="Century Schoolbook"/>
          <w:b/>
          <w:color w:val="000000"/>
        </w:rPr>
        <w:t>Larissa Duarte</w:t>
      </w:r>
      <w:r w:rsidRPr="005970E9">
        <w:rPr>
          <w:rFonts w:eastAsia="Century Schoolbook" w:cs="Century Schoolbook"/>
          <w:color w:val="000000"/>
        </w:rPr>
        <w:t>, activista social y ambiental, dirigente del Movimiento Campesino de Defensa del Río Cobre, fue demandada por una empresa beneficiada con la concesión de uso de agua para la producción de energía en la provincia de Veraguas, por diez millones de dólares por el supuesto de afectación del proyecto. La seguridad y la vida de su padre, una persona adulta mayor también fue puesta en riesgo.</w:t>
      </w:r>
    </w:p>
    <w:p w14:paraId="5BABDA42" w14:textId="77777777" w:rsidR="00B76B0C" w:rsidRPr="005970E9" w:rsidRDefault="003B5C05" w:rsidP="002338C0">
      <w:pPr>
        <w:numPr>
          <w:ilvl w:val="0"/>
          <w:numId w:val="10"/>
        </w:numPr>
        <w:pBdr>
          <w:top w:val="nil"/>
          <w:left w:val="nil"/>
          <w:bottom w:val="nil"/>
          <w:right w:val="nil"/>
          <w:between w:val="nil"/>
        </w:pBdr>
        <w:spacing w:before="120" w:after="120" w:line="276" w:lineRule="auto"/>
        <w:ind w:left="426" w:hanging="426"/>
        <w:jc w:val="both"/>
        <w:rPr>
          <w:color w:val="000000"/>
        </w:rPr>
      </w:pPr>
      <w:r w:rsidRPr="005970E9">
        <w:rPr>
          <w:rFonts w:eastAsia="Century Schoolbook" w:cs="Century Schoolbook"/>
          <w:b/>
          <w:color w:val="000000"/>
        </w:rPr>
        <w:t>Ligia Arreaga</w:t>
      </w:r>
      <w:r w:rsidRPr="005970E9">
        <w:rPr>
          <w:rFonts w:eastAsia="Century Schoolbook" w:cs="Century Schoolbook"/>
          <w:color w:val="000000"/>
        </w:rPr>
        <w:t xml:space="preserve"> de la Alianza para un mejor Darién (AMEDAR) ambientalista, recibió amenazas de muerte por su trabajo en defensa de la Laguna de Matusagaratí en la provincia de Darién, tuvo que protegerse fuera del país. </w:t>
      </w:r>
    </w:p>
    <w:p w14:paraId="6AE0EADE" w14:textId="77777777" w:rsidR="00B76B0C" w:rsidRPr="005970E9" w:rsidRDefault="003B5C05" w:rsidP="002338C0">
      <w:pPr>
        <w:numPr>
          <w:ilvl w:val="0"/>
          <w:numId w:val="10"/>
        </w:numPr>
        <w:pBdr>
          <w:top w:val="nil"/>
          <w:left w:val="nil"/>
          <w:bottom w:val="nil"/>
          <w:right w:val="nil"/>
          <w:between w:val="nil"/>
        </w:pBdr>
        <w:spacing w:before="120" w:after="120" w:line="276" w:lineRule="auto"/>
        <w:ind w:left="426" w:hanging="426"/>
        <w:jc w:val="both"/>
        <w:rPr>
          <w:color w:val="000000"/>
        </w:rPr>
      </w:pPr>
      <w:r w:rsidRPr="005970E9">
        <w:rPr>
          <w:rFonts w:eastAsia="Century Schoolbook" w:cs="Century Schoolbook"/>
          <w:b/>
          <w:color w:val="000000"/>
        </w:rPr>
        <w:t xml:space="preserve">Comunidades Ngäbe Buglé y Movimiento 22 septiembre </w:t>
      </w:r>
      <w:r w:rsidRPr="005970E9">
        <w:rPr>
          <w:rFonts w:eastAsia="Century Schoolbook" w:cs="Century Schoolbook"/>
          <w:color w:val="000000"/>
        </w:rPr>
        <w:t xml:space="preserve">afectadas por la represa del </w:t>
      </w:r>
      <w:r w:rsidRPr="005970E9">
        <w:rPr>
          <w:rFonts w:eastAsia="Century Schoolbook" w:cs="Century Schoolbook"/>
          <w:color w:val="000000"/>
          <w:sz w:val="23"/>
          <w:szCs w:val="23"/>
        </w:rPr>
        <w:t xml:space="preserve">Proyecto Hidroeléctrico </w:t>
      </w:r>
      <w:r w:rsidRPr="005970E9">
        <w:rPr>
          <w:rFonts w:eastAsia="Century Schoolbook" w:cs="Century Schoolbook"/>
          <w:color w:val="000000"/>
        </w:rPr>
        <w:t>Barro Blanco, desarrollado por la empresa Generadora del Istmo S. A. (GENISA) este proyecto ha afectado su sistema de vida comunitario, territorio, biodiversidad, cultura, afectado viviendas, sitios religiosos, históricos, arqueológicos y culturales del pueblo Ngäbe Buglé.</w:t>
      </w:r>
    </w:p>
    <w:p w14:paraId="519F3F22" w14:textId="77777777" w:rsidR="00B76B0C" w:rsidRPr="005970E9" w:rsidRDefault="003B5C05" w:rsidP="002338C0">
      <w:pPr>
        <w:numPr>
          <w:ilvl w:val="0"/>
          <w:numId w:val="10"/>
        </w:numPr>
        <w:pBdr>
          <w:top w:val="nil"/>
          <w:left w:val="nil"/>
          <w:bottom w:val="nil"/>
          <w:right w:val="nil"/>
          <w:between w:val="nil"/>
        </w:pBdr>
        <w:spacing w:before="120" w:after="120" w:line="276" w:lineRule="auto"/>
        <w:ind w:left="426" w:hanging="426"/>
        <w:jc w:val="both"/>
        <w:rPr>
          <w:color w:val="000000"/>
        </w:rPr>
      </w:pPr>
      <w:r w:rsidRPr="005970E9">
        <w:rPr>
          <w:rFonts w:eastAsia="Century Schoolbook" w:cs="Century Schoolbook"/>
          <w:b/>
          <w:color w:val="000000"/>
        </w:rPr>
        <w:t>Las/os vecinos de Coco del Mar</w:t>
      </w:r>
      <w:r w:rsidRPr="005970E9">
        <w:rPr>
          <w:rFonts w:eastAsia="Century Schoolbook" w:cs="Century Schoolbook"/>
          <w:color w:val="000000"/>
        </w:rPr>
        <w:t xml:space="preserve"> también fueron denunciados penalmente y demandados civilmente por su reclamo en contra de un proyecto que afecta el ambiente y su calidad de vida. </w:t>
      </w:r>
    </w:p>
    <w:p w14:paraId="6545D830" w14:textId="3F5DB1AD" w:rsidR="00B76B0C" w:rsidRPr="005970E9" w:rsidRDefault="003B5C05" w:rsidP="002338C0">
      <w:pPr>
        <w:numPr>
          <w:ilvl w:val="0"/>
          <w:numId w:val="10"/>
        </w:numPr>
        <w:pBdr>
          <w:top w:val="nil"/>
          <w:left w:val="nil"/>
          <w:bottom w:val="nil"/>
          <w:right w:val="nil"/>
          <w:between w:val="nil"/>
        </w:pBdr>
        <w:spacing w:before="120" w:after="120" w:line="276" w:lineRule="auto"/>
        <w:ind w:left="426" w:hanging="426"/>
        <w:jc w:val="both"/>
        <w:rPr>
          <w:color w:val="000000"/>
        </w:rPr>
      </w:pPr>
      <w:r w:rsidRPr="005970E9">
        <w:rPr>
          <w:rFonts w:eastAsia="Century Schoolbook" w:cs="Century Schoolbook"/>
          <w:b/>
          <w:color w:val="000000"/>
        </w:rPr>
        <w:t>Las/os moradores de la Isla Pedro González</w:t>
      </w:r>
      <w:r w:rsidRPr="005970E9">
        <w:rPr>
          <w:rFonts w:eastAsia="Century Schoolbook" w:cs="Century Schoolbook"/>
          <w:color w:val="000000"/>
        </w:rPr>
        <w:t xml:space="preserve"> viven en conflicto con la empresa que realiza un proyecto de desarrollo turístico en la isla, hubo detención de 37 personas acusadas de delitos graves como son el daño a la propiedad, asociación ilícita para delinquir, peligro común, entre otros y todos por los señalamientos de dos testigos protegidos</w:t>
      </w:r>
      <w:r w:rsidR="006C455A" w:rsidRPr="005970E9">
        <w:rPr>
          <w:rFonts w:eastAsia="Century Schoolbook" w:cs="Century Schoolbook"/>
          <w:color w:val="000000"/>
        </w:rPr>
        <w:t>. En ese grupo hubo 12 mujeres</w:t>
      </w:r>
      <w:r w:rsidRPr="005970E9">
        <w:rPr>
          <w:rFonts w:eastAsia="Century Schoolbook" w:cs="Century Schoolbook"/>
          <w:color w:val="000000"/>
        </w:rPr>
        <w:t xml:space="preserve">. Esta isla es su hábitat natural por cientos de años. </w:t>
      </w:r>
    </w:p>
    <w:p w14:paraId="4383854D" w14:textId="77777777" w:rsidR="00B76B0C" w:rsidRPr="005970E9" w:rsidRDefault="003B5C05" w:rsidP="002338C0">
      <w:pPr>
        <w:numPr>
          <w:ilvl w:val="0"/>
          <w:numId w:val="10"/>
        </w:numPr>
        <w:pBdr>
          <w:top w:val="nil"/>
          <w:left w:val="nil"/>
          <w:bottom w:val="nil"/>
          <w:right w:val="nil"/>
          <w:between w:val="nil"/>
        </w:pBdr>
        <w:spacing w:before="120" w:after="120" w:line="276" w:lineRule="auto"/>
        <w:ind w:left="426" w:hanging="426"/>
        <w:jc w:val="both"/>
        <w:rPr>
          <w:color w:val="000000"/>
        </w:rPr>
      </w:pPr>
      <w:r w:rsidRPr="005970E9">
        <w:rPr>
          <w:rFonts w:eastAsia="Century Schoolbook" w:cs="Century Schoolbook"/>
          <w:color w:val="000000"/>
        </w:rPr>
        <w:t>Judicialización de defensoras de derechos humanos por expresar su opinión en casos de corrupción (La Prensa, 23/10/2017 y 17/2/20)</w:t>
      </w:r>
    </w:p>
    <w:p w14:paraId="279DA8FA" w14:textId="3E940B69" w:rsidR="00B76B0C" w:rsidRPr="005970E9" w:rsidRDefault="003B5C05" w:rsidP="002338C0">
      <w:pPr>
        <w:numPr>
          <w:ilvl w:val="0"/>
          <w:numId w:val="10"/>
        </w:numPr>
        <w:pBdr>
          <w:top w:val="nil"/>
          <w:left w:val="nil"/>
          <w:bottom w:val="nil"/>
          <w:right w:val="nil"/>
          <w:between w:val="nil"/>
        </w:pBdr>
        <w:spacing w:before="120" w:after="120" w:line="276" w:lineRule="auto"/>
        <w:ind w:left="426" w:hanging="426"/>
        <w:jc w:val="both"/>
        <w:rPr>
          <w:color w:val="000000"/>
        </w:rPr>
      </w:pPr>
      <w:r w:rsidRPr="005970E9">
        <w:rPr>
          <w:rFonts w:eastAsia="Century Schoolbook" w:cs="Century Schoolbook"/>
          <w:color w:val="000000"/>
        </w:rPr>
        <w:t>Ataques directos a defensores/as de la Red de Derechos Humanos</w:t>
      </w:r>
      <w:r w:rsidR="006C455A" w:rsidRPr="005970E9">
        <w:rPr>
          <w:rFonts w:eastAsia="Century Schoolbook" w:cs="Century Schoolbook"/>
          <w:color w:val="000000"/>
        </w:rPr>
        <w:t xml:space="preserve"> (RDH)</w:t>
      </w:r>
      <w:r w:rsidRPr="005970E9">
        <w:rPr>
          <w:rFonts w:eastAsia="Century Schoolbook" w:cs="Century Schoolbook"/>
          <w:color w:val="000000"/>
        </w:rPr>
        <w:t xml:space="preserve"> y organizaciones como Alianza Pro Justicia en la Asamblea de Nacional, </w:t>
      </w:r>
      <w:r w:rsidR="006C455A" w:rsidRPr="005970E9">
        <w:rPr>
          <w:rFonts w:eastAsia="Century Schoolbook" w:cs="Century Schoolbook"/>
          <w:color w:val="000000"/>
        </w:rPr>
        <w:t xml:space="preserve">realizados </w:t>
      </w:r>
      <w:r w:rsidRPr="005970E9">
        <w:rPr>
          <w:rFonts w:eastAsia="Century Schoolbook" w:cs="Century Schoolbook"/>
          <w:color w:val="000000"/>
        </w:rPr>
        <w:lastRenderedPageBreak/>
        <w:t>e</w:t>
      </w:r>
      <w:r w:rsidR="006C455A" w:rsidRPr="005970E9">
        <w:rPr>
          <w:rFonts w:eastAsia="Century Schoolbook" w:cs="Century Schoolbook"/>
          <w:color w:val="000000"/>
        </w:rPr>
        <w:t>n</w:t>
      </w:r>
      <w:r w:rsidRPr="005970E9">
        <w:rPr>
          <w:rFonts w:eastAsia="Century Schoolbook" w:cs="Century Schoolbook"/>
          <w:color w:val="000000"/>
        </w:rPr>
        <w:t xml:space="preserve"> debates </w:t>
      </w:r>
      <w:r w:rsidR="006C455A" w:rsidRPr="005970E9">
        <w:rPr>
          <w:rFonts w:eastAsia="Century Schoolbook" w:cs="Century Schoolbook"/>
          <w:color w:val="000000"/>
        </w:rPr>
        <w:t xml:space="preserve">o en </w:t>
      </w:r>
      <w:r w:rsidRPr="005970E9">
        <w:rPr>
          <w:rFonts w:eastAsia="Century Schoolbook" w:cs="Century Schoolbook"/>
          <w:color w:val="000000"/>
        </w:rPr>
        <w:t>espacios donde se expresa opinión sobre proyectos de ley (La Prensa, 20/2/2020).</w:t>
      </w:r>
    </w:p>
    <w:p w14:paraId="666835AA" w14:textId="77777777" w:rsidR="00B76B0C" w:rsidRPr="005970E9" w:rsidRDefault="003B5C05">
      <w:pPr>
        <w:spacing w:before="120" w:after="120" w:line="276" w:lineRule="auto"/>
        <w:jc w:val="both"/>
        <w:rPr>
          <w:rFonts w:eastAsia="Century Schoolbook" w:cs="Century Schoolbook"/>
          <w:color w:val="000000"/>
          <w:highlight w:val="white"/>
        </w:rPr>
      </w:pPr>
      <w:r w:rsidRPr="005970E9">
        <w:rPr>
          <w:rFonts w:eastAsia="Century Schoolbook" w:cs="Century Schoolbook"/>
        </w:rPr>
        <w:t xml:space="preserve">Estas violencias fueron presentadas por la RDH ante el 159° Periodo de Sesiones de la Comisión Interamericana de Derechos Humanos el 1 de diciembre de 2016, y el 23 de octubre de 2017 en la </w:t>
      </w:r>
      <w:r w:rsidRPr="005970E9">
        <w:rPr>
          <w:rFonts w:eastAsia="Century Schoolbook" w:cs="Century Schoolbook"/>
          <w:color w:val="000000"/>
        </w:rPr>
        <w:t>165 período de sesiones convocado por la Comisión Interamericana de Derechos Humanos (CIDH) en Montevideo, Uruguay.</w:t>
      </w:r>
    </w:p>
    <w:p w14:paraId="0FDAC3A1" w14:textId="7597CEF1"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 xml:space="preserve">Las defensoras/es de derechos humanos en el país luego de que la Asamblea Nacional removiera del cargo al Defensor del Pueblo, Dr. Alfredo Castillero Hoyos, el 9 de octubre 2019, </w:t>
      </w:r>
      <w:r w:rsidR="0090349C" w:rsidRPr="005970E9">
        <w:rPr>
          <w:rFonts w:eastAsia="Century Schoolbook" w:cs="Century Schoolbook"/>
        </w:rPr>
        <w:t xml:space="preserve">están a la espera que se fortalezca la </w:t>
      </w:r>
      <w:r w:rsidRPr="005970E9">
        <w:rPr>
          <w:rFonts w:eastAsia="Century Schoolbook" w:cs="Century Schoolbook"/>
        </w:rPr>
        <w:t xml:space="preserve">institución </w:t>
      </w:r>
      <w:r w:rsidR="0090349C" w:rsidRPr="005970E9">
        <w:rPr>
          <w:rFonts w:eastAsia="Century Schoolbook" w:cs="Century Schoolbook"/>
        </w:rPr>
        <w:t>y pueda brindar la protección que se requiere en el ejercicio de su acción en defensa de los derechos humanos.</w:t>
      </w:r>
      <w:r w:rsidRPr="005970E9">
        <w:rPr>
          <w:rFonts w:eastAsia="Century Schoolbook" w:cs="Century Schoolbook"/>
        </w:rPr>
        <w:t xml:space="preserve"> </w:t>
      </w:r>
    </w:p>
    <w:p w14:paraId="60B70FBA" w14:textId="2F36525D" w:rsidR="00C024E3" w:rsidRPr="005970E9" w:rsidRDefault="00C024E3">
      <w:pPr>
        <w:spacing w:before="120" w:after="120" w:line="276" w:lineRule="auto"/>
        <w:jc w:val="both"/>
        <w:rPr>
          <w:rFonts w:eastAsia="Century Schoolbook" w:cs="Century Schoolbook"/>
        </w:rPr>
      </w:pPr>
    </w:p>
    <w:p w14:paraId="5202945F" w14:textId="77777777" w:rsidR="00215100" w:rsidRPr="005970E9" w:rsidRDefault="00215100">
      <w:pPr>
        <w:spacing w:before="120" w:after="120" w:line="276" w:lineRule="auto"/>
        <w:jc w:val="both"/>
        <w:rPr>
          <w:rFonts w:eastAsia="Century Schoolbook" w:cs="Century Schoolbook"/>
        </w:rPr>
      </w:pPr>
    </w:p>
    <w:p w14:paraId="568FB035" w14:textId="77777777" w:rsidR="00B76B0C" w:rsidRPr="005970E9" w:rsidRDefault="003B5C05" w:rsidP="00D478B6">
      <w:pPr>
        <w:pStyle w:val="Heading1"/>
        <w:numPr>
          <w:ilvl w:val="0"/>
          <w:numId w:val="56"/>
        </w:numPr>
        <w:spacing w:after="120"/>
      </w:pPr>
      <w:bookmarkStart w:id="104" w:name="_Toc42159203"/>
      <w:bookmarkStart w:id="105" w:name="_Toc42549437"/>
      <w:r w:rsidRPr="005970E9">
        <w:t>DIMENSIÓN ECONÓMICA</w:t>
      </w:r>
      <w:bookmarkEnd w:id="104"/>
      <w:bookmarkEnd w:id="105"/>
      <w:r w:rsidRPr="005970E9">
        <w:t xml:space="preserve"> </w:t>
      </w:r>
    </w:p>
    <w:p w14:paraId="6167CE59" w14:textId="77777777" w:rsidR="00B76B0C" w:rsidRPr="005970E9" w:rsidRDefault="003B5C05">
      <w:pPr>
        <w:pStyle w:val="Heading2"/>
        <w:rPr>
          <w:color w:val="2E75B5"/>
        </w:rPr>
      </w:pPr>
      <w:bookmarkStart w:id="106" w:name="_Toc42159204"/>
      <w:bookmarkStart w:id="107" w:name="_Toc42549438"/>
      <w:r w:rsidRPr="005970E9">
        <w:t>3.1. Género y pobreza</w:t>
      </w:r>
      <w:bookmarkEnd w:id="106"/>
      <w:bookmarkEnd w:id="107"/>
    </w:p>
    <w:p w14:paraId="66641827" w14:textId="77777777" w:rsidR="00B76B0C" w:rsidRPr="005970E9" w:rsidRDefault="003B5C05">
      <w:pPr>
        <w:spacing w:before="240" w:after="120"/>
        <w:ind w:left="1701" w:hanging="423"/>
        <w:jc w:val="right"/>
        <w:rPr>
          <w:rFonts w:eastAsia="Century Schoolbook" w:cs="Century Schoolbook"/>
          <w:b/>
          <w:i/>
          <w:color w:val="C55911"/>
          <w:sz w:val="20"/>
          <w:szCs w:val="20"/>
        </w:rPr>
      </w:pPr>
      <w:r w:rsidRPr="005970E9">
        <w:rPr>
          <w:rFonts w:eastAsia="Century Schoolbook" w:cs="Century Schoolbook"/>
          <w:b/>
          <w:i/>
          <w:color w:val="C55911"/>
          <w:sz w:val="20"/>
          <w:szCs w:val="20"/>
        </w:rPr>
        <w:t>“Panamá es el tercer país más desigual de América Latina, solo superado por Brasil y Honduras (Astudillo y otros, 2019, p4).”</w:t>
      </w:r>
    </w:p>
    <w:p w14:paraId="28FF789F" w14:textId="77777777" w:rsidR="00B76B0C" w:rsidRPr="005970E9" w:rsidRDefault="003B5C05">
      <w:pPr>
        <w:spacing w:before="120" w:after="120"/>
        <w:ind w:left="1134" w:hanging="850"/>
        <w:jc w:val="right"/>
        <w:rPr>
          <w:rFonts w:eastAsia="Century Schoolbook" w:cs="Century Schoolbook"/>
          <w:b/>
          <w:i/>
          <w:color w:val="C55911"/>
          <w:sz w:val="20"/>
          <w:szCs w:val="20"/>
        </w:rPr>
      </w:pPr>
      <w:r w:rsidRPr="005970E9">
        <w:rPr>
          <w:rFonts w:eastAsia="Century Schoolbook" w:cs="Century Schoolbook"/>
          <w:b/>
          <w:i/>
          <w:color w:val="C55911"/>
          <w:sz w:val="20"/>
          <w:szCs w:val="20"/>
        </w:rPr>
        <w:t>“Panamá es el sexto país más desigual a nivel mundial, Índice Gini 0,51 2016. (BBC- B. Mundial 2018)</w:t>
      </w:r>
    </w:p>
    <w:p w14:paraId="6BC3272D" w14:textId="3503354E" w:rsidR="00B76B0C" w:rsidRPr="005970E9" w:rsidRDefault="003B5C05" w:rsidP="0090349C">
      <w:pPr>
        <w:pBdr>
          <w:top w:val="nil"/>
          <w:left w:val="nil"/>
          <w:bottom w:val="nil"/>
          <w:right w:val="nil"/>
          <w:between w:val="nil"/>
        </w:pBdr>
        <w:spacing w:before="120" w:after="120" w:line="276" w:lineRule="auto"/>
        <w:jc w:val="both"/>
        <w:rPr>
          <w:rFonts w:eastAsia="Century Schoolbook" w:cs="Century Schoolbook"/>
          <w:color w:val="000000"/>
        </w:rPr>
      </w:pPr>
      <w:r w:rsidRPr="005970E9">
        <w:rPr>
          <w:rFonts w:eastAsia="Century Schoolbook" w:cs="Century Schoolbook"/>
          <w:color w:val="000000"/>
        </w:rPr>
        <w:t>Panamá según el Índice de Desarrollo Humano (IDH) del PNUD está inserta en el conjunto de países con desarrollo humano alto.</w:t>
      </w:r>
      <w:r w:rsidR="0023790C" w:rsidRPr="005970E9">
        <w:rPr>
          <w:rStyle w:val="FootnoteReference"/>
          <w:rFonts w:eastAsia="Century Schoolbook" w:cs="Century Schoolbook"/>
          <w:color w:val="000000"/>
        </w:rPr>
        <w:footnoteReference w:id="29"/>
      </w:r>
      <w:r w:rsidRPr="005970E9">
        <w:rPr>
          <w:rFonts w:eastAsia="Century Schoolbook" w:cs="Century Schoolbook"/>
          <w:color w:val="000000"/>
        </w:rPr>
        <w:t xml:space="preserve"> En 2018 ocupó el lugar 67 de 189 países, con un valor de 0.795. La desigualdad es un elemento básico en la caracterización de la sociedad panameña, lo que </w:t>
      </w:r>
      <w:r w:rsidR="00F05765" w:rsidRPr="005970E9">
        <w:rPr>
          <w:rFonts w:eastAsia="Century Schoolbook" w:cs="Century Schoolbook"/>
          <w:color w:val="000000"/>
        </w:rPr>
        <w:t xml:space="preserve">se ve reflejado en una reducción del </w:t>
      </w:r>
      <w:r w:rsidRPr="005970E9">
        <w:rPr>
          <w:rFonts w:eastAsia="Century Schoolbook" w:cs="Century Schoolbook"/>
          <w:color w:val="000000"/>
        </w:rPr>
        <w:t xml:space="preserve">21.2% el IDH, </w:t>
      </w:r>
      <w:r w:rsidR="00051826" w:rsidRPr="005970E9">
        <w:rPr>
          <w:rFonts w:eastAsia="Century Schoolbook" w:cs="Century Schoolbook"/>
          <w:color w:val="000000"/>
        </w:rPr>
        <w:t xml:space="preserve">y </w:t>
      </w:r>
      <w:r w:rsidR="00F05765" w:rsidRPr="005970E9">
        <w:rPr>
          <w:rFonts w:eastAsia="Century Schoolbook" w:cs="Century Schoolbook"/>
          <w:color w:val="000000"/>
        </w:rPr>
        <w:t xml:space="preserve">considerando </w:t>
      </w:r>
      <w:r w:rsidRPr="005970E9">
        <w:rPr>
          <w:rFonts w:eastAsia="Century Schoolbook" w:cs="Century Schoolbook"/>
          <w:color w:val="000000"/>
        </w:rPr>
        <w:t>el índice ajustado por la desigualdad resulta en 0.626.</w:t>
      </w:r>
    </w:p>
    <w:p w14:paraId="38C2EB20" w14:textId="77BCA4FC" w:rsidR="00B76B0C" w:rsidRPr="005970E9" w:rsidRDefault="008A61AF" w:rsidP="00F05050">
      <w:pPr>
        <w:pStyle w:val="Caption"/>
        <w:rPr>
          <w:rFonts w:ascii="Century Schoolbook" w:eastAsia="Century Schoolbook" w:hAnsi="Century Schoolbook" w:cs="Century Schoolbook"/>
          <w:b/>
          <w:color w:val="0A0A0A"/>
        </w:rPr>
      </w:pPr>
      <w:bookmarkStart w:id="108" w:name="_Toc42549200"/>
      <w:r w:rsidRPr="005970E9">
        <w:rPr>
          <w:rFonts w:ascii="Century Schoolbook" w:hAnsi="Century Schoolbook"/>
        </w:rPr>
        <w:t>Tabla</w:t>
      </w:r>
      <w:r w:rsidR="00F05050" w:rsidRPr="005970E9">
        <w:rPr>
          <w:rFonts w:ascii="Century Schoolbook" w:hAnsi="Century Schoolbook"/>
        </w:rPr>
        <w:t xml:space="preserve"> </w:t>
      </w:r>
      <w:r w:rsidRPr="005970E9">
        <w:rPr>
          <w:rFonts w:ascii="Century Schoolbook" w:hAnsi="Century Schoolbook"/>
        </w:rPr>
        <w:fldChar w:fldCharType="begin"/>
      </w:r>
      <w:r w:rsidRPr="005970E9">
        <w:rPr>
          <w:rFonts w:ascii="Century Schoolbook" w:hAnsi="Century Schoolbook"/>
        </w:rPr>
        <w:instrText>SEQ Tabla \* ARABIC</w:instrText>
      </w:r>
      <w:r w:rsidRPr="005970E9">
        <w:rPr>
          <w:rFonts w:ascii="Century Schoolbook" w:hAnsi="Century Schoolbook"/>
        </w:rPr>
        <w:fldChar w:fldCharType="separate"/>
      </w:r>
      <w:r w:rsidR="009D1829" w:rsidRPr="005970E9">
        <w:rPr>
          <w:rFonts w:ascii="Century Schoolbook" w:hAnsi="Century Schoolbook"/>
          <w:noProof/>
        </w:rPr>
        <w:t>6</w:t>
      </w:r>
      <w:r w:rsidRPr="005970E9">
        <w:rPr>
          <w:rFonts w:ascii="Century Schoolbook" w:hAnsi="Century Schoolbook"/>
        </w:rPr>
        <w:fldChar w:fldCharType="end"/>
      </w:r>
      <w:r w:rsidR="00F05050" w:rsidRPr="005970E9">
        <w:rPr>
          <w:rFonts w:ascii="Century Schoolbook" w:hAnsi="Century Schoolbook"/>
        </w:rPr>
        <w:t xml:space="preserve">. </w:t>
      </w:r>
      <w:r w:rsidR="00F05050" w:rsidRPr="005970E9">
        <w:rPr>
          <w:rFonts w:ascii="Century Schoolbook" w:eastAsia="Century Schoolbook" w:hAnsi="Century Schoolbook" w:cs="Century Schoolbook"/>
          <w:bCs/>
          <w:color w:val="0A0A0A"/>
        </w:rPr>
        <w:t>Índice de desarrollo humano, de género y sus componentes</w:t>
      </w:r>
      <w:r w:rsidR="00355CAA" w:rsidRPr="005970E9">
        <w:rPr>
          <w:rFonts w:ascii="Century Schoolbook" w:eastAsia="Century Schoolbook" w:hAnsi="Century Schoolbook" w:cs="Century Schoolbook"/>
          <w:bCs/>
          <w:color w:val="0A0A0A"/>
        </w:rPr>
        <w:t>.</w:t>
      </w:r>
      <w:r w:rsidR="00BE725B" w:rsidRPr="005970E9">
        <w:rPr>
          <w:rFonts w:ascii="Century Schoolbook" w:eastAsia="Century Schoolbook" w:hAnsi="Century Schoolbook" w:cs="Century Schoolbook"/>
          <w:bCs/>
          <w:color w:val="0A0A0A"/>
        </w:rPr>
        <w:t xml:space="preserve"> </w:t>
      </w:r>
      <w:r w:rsidR="00355CAA" w:rsidRPr="005970E9">
        <w:rPr>
          <w:rFonts w:ascii="Century Schoolbook" w:eastAsia="Century Schoolbook" w:hAnsi="Century Schoolbook" w:cs="Century Schoolbook"/>
          <w:bCs/>
          <w:color w:val="0A0A0A"/>
        </w:rPr>
        <w:t>2018</w:t>
      </w:r>
      <w:bookmarkEnd w:id="108"/>
    </w:p>
    <w:tbl>
      <w:tblPr>
        <w:tblW w:w="8818" w:type="dxa"/>
        <w:tblLayout w:type="fixed"/>
        <w:tblCellMar>
          <w:left w:w="70" w:type="dxa"/>
          <w:right w:w="70" w:type="dxa"/>
        </w:tblCellMar>
        <w:tblLook w:val="0400" w:firstRow="0" w:lastRow="0" w:firstColumn="0" w:lastColumn="0" w:noHBand="0" w:noVBand="1"/>
      </w:tblPr>
      <w:tblGrid>
        <w:gridCol w:w="4526"/>
        <w:gridCol w:w="2127"/>
        <w:gridCol w:w="2165"/>
      </w:tblGrid>
      <w:tr w:rsidR="0096154A" w:rsidRPr="005970E9" w14:paraId="1EBE6090" w14:textId="77777777" w:rsidTr="009B564B">
        <w:trPr>
          <w:trHeight w:val="324"/>
        </w:trPr>
        <w:tc>
          <w:tcPr>
            <w:tcW w:w="45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C2F52E" w14:textId="5720C375" w:rsidR="0096154A" w:rsidRPr="005970E9" w:rsidRDefault="0096154A">
            <w:pPr>
              <w:rPr>
                <w:rFonts w:eastAsia="Century Schoolbook" w:cs="Century Schoolbook"/>
                <w:sz w:val="20"/>
                <w:szCs w:val="20"/>
              </w:rPr>
            </w:pPr>
            <w:r w:rsidRPr="005970E9">
              <w:rPr>
                <w:rFonts w:eastAsia="Century Schoolbook" w:cs="Century Schoolbook"/>
                <w:b/>
                <w:sz w:val="20"/>
                <w:szCs w:val="20"/>
              </w:rPr>
              <w:t>Índice de Desarrollo Humano</w:t>
            </w:r>
            <w:r w:rsidRPr="005970E9">
              <w:rPr>
                <w:rFonts w:eastAsia="Century Schoolbook" w:cs="Century Schoolbook"/>
                <w:sz w:val="20"/>
                <w:szCs w:val="20"/>
              </w:rPr>
              <w:t xml:space="preserve"> </w:t>
            </w:r>
          </w:p>
        </w:tc>
        <w:tc>
          <w:tcPr>
            <w:tcW w:w="4292" w:type="dxa"/>
            <w:gridSpan w:val="2"/>
            <w:tcBorders>
              <w:top w:val="single" w:sz="8" w:space="0" w:color="000000"/>
              <w:left w:val="nil"/>
              <w:bottom w:val="single" w:sz="8" w:space="0" w:color="000000"/>
              <w:right w:val="single" w:sz="8" w:space="0" w:color="000000"/>
            </w:tcBorders>
            <w:shd w:val="clear" w:color="auto" w:fill="auto"/>
            <w:vAlign w:val="center"/>
          </w:tcPr>
          <w:p w14:paraId="18EB879D" w14:textId="01143207" w:rsidR="0096154A" w:rsidRPr="005970E9" w:rsidRDefault="0096154A" w:rsidP="00C505AA">
            <w:pPr>
              <w:jc w:val="center"/>
              <w:rPr>
                <w:rFonts w:eastAsia="Century Schoolbook" w:cs="Century Schoolbook"/>
                <w:sz w:val="20"/>
                <w:szCs w:val="20"/>
              </w:rPr>
            </w:pPr>
            <w:r w:rsidRPr="005970E9">
              <w:rPr>
                <w:rFonts w:eastAsia="Century Schoolbook" w:cs="Century Schoolbook"/>
                <w:sz w:val="20"/>
                <w:szCs w:val="20"/>
              </w:rPr>
              <w:t>0,795</w:t>
            </w:r>
          </w:p>
        </w:tc>
      </w:tr>
      <w:tr w:rsidR="00E87B38" w:rsidRPr="005970E9" w14:paraId="2BC9085C" w14:textId="77777777" w:rsidTr="00C36538">
        <w:trPr>
          <w:trHeight w:val="276"/>
        </w:trPr>
        <w:tc>
          <w:tcPr>
            <w:tcW w:w="4526" w:type="dxa"/>
            <w:tcBorders>
              <w:top w:val="single" w:sz="8" w:space="0" w:color="000000"/>
              <w:left w:val="single" w:sz="8" w:space="0" w:color="000000"/>
              <w:bottom w:val="single" w:sz="8" w:space="0" w:color="000000"/>
              <w:right w:val="single" w:sz="8" w:space="0" w:color="000000"/>
            </w:tcBorders>
            <w:shd w:val="clear" w:color="auto" w:fill="DEC8EE"/>
            <w:vAlign w:val="center"/>
          </w:tcPr>
          <w:p w14:paraId="088B3594" w14:textId="77777777" w:rsidR="00B76B0C" w:rsidRPr="005970E9" w:rsidRDefault="003B5C05">
            <w:pPr>
              <w:spacing w:before="120"/>
              <w:jc w:val="center"/>
              <w:rPr>
                <w:rFonts w:eastAsia="Century Schoolbook" w:cs="Century Schoolbook"/>
                <w:b/>
                <w:sz w:val="20"/>
                <w:szCs w:val="20"/>
              </w:rPr>
            </w:pPr>
            <w:r w:rsidRPr="005970E9">
              <w:rPr>
                <w:rFonts w:eastAsia="Century Schoolbook" w:cs="Century Schoolbook"/>
                <w:b/>
                <w:sz w:val="20"/>
                <w:szCs w:val="20"/>
              </w:rPr>
              <w:t xml:space="preserve">Índice de Desarrollo de Género (IDG) 2018 </w:t>
            </w:r>
          </w:p>
        </w:tc>
        <w:tc>
          <w:tcPr>
            <w:tcW w:w="4292" w:type="dxa"/>
            <w:gridSpan w:val="2"/>
            <w:tcBorders>
              <w:top w:val="single" w:sz="8" w:space="0" w:color="000000"/>
              <w:left w:val="single" w:sz="8" w:space="0" w:color="000000"/>
              <w:bottom w:val="single" w:sz="8" w:space="0" w:color="000000"/>
              <w:right w:val="single" w:sz="8" w:space="0" w:color="000000"/>
            </w:tcBorders>
            <w:shd w:val="clear" w:color="auto" w:fill="DEC8EE"/>
            <w:vAlign w:val="center"/>
          </w:tcPr>
          <w:p w14:paraId="5F932A42" w14:textId="77777777" w:rsidR="00B76B0C" w:rsidRPr="005970E9" w:rsidRDefault="003B5C05">
            <w:pPr>
              <w:spacing w:before="120"/>
              <w:jc w:val="center"/>
              <w:rPr>
                <w:rFonts w:eastAsia="Century Schoolbook" w:cs="Century Schoolbook"/>
                <w:b/>
                <w:sz w:val="20"/>
                <w:szCs w:val="20"/>
              </w:rPr>
            </w:pPr>
            <w:r w:rsidRPr="005970E9">
              <w:rPr>
                <w:rFonts w:eastAsia="Century Schoolbook" w:cs="Century Schoolbook"/>
                <w:b/>
                <w:sz w:val="20"/>
                <w:szCs w:val="20"/>
              </w:rPr>
              <w:t>1.005</w:t>
            </w:r>
          </w:p>
        </w:tc>
      </w:tr>
      <w:tr w:rsidR="00E87B38" w:rsidRPr="005970E9" w14:paraId="2C9A2765" w14:textId="77777777" w:rsidTr="00C36538">
        <w:trPr>
          <w:trHeight w:val="276"/>
        </w:trPr>
        <w:tc>
          <w:tcPr>
            <w:tcW w:w="4526" w:type="dxa"/>
            <w:tcBorders>
              <w:top w:val="nil"/>
              <w:left w:val="single" w:sz="8" w:space="0" w:color="000000"/>
              <w:bottom w:val="single" w:sz="8" w:space="0" w:color="000000"/>
              <w:right w:val="single" w:sz="8" w:space="0" w:color="000000"/>
            </w:tcBorders>
            <w:shd w:val="clear" w:color="auto" w:fill="auto"/>
            <w:vAlign w:val="center"/>
          </w:tcPr>
          <w:p w14:paraId="5A5277DA"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Componentes del IDG</w:t>
            </w:r>
          </w:p>
        </w:tc>
        <w:tc>
          <w:tcPr>
            <w:tcW w:w="2127" w:type="dxa"/>
            <w:tcBorders>
              <w:top w:val="nil"/>
              <w:left w:val="nil"/>
              <w:bottom w:val="single" w:sz="8" w:space="0" w:color="000000"/>
              <w:right w:val="single" w:sz="8" w:space="0" w:color="000000"/>
            </w:tcBorders>
            <w:shd w:val="clear" w:color="auto" w:fill="auto"/>
            <w:vAlign w:val="center"/>
          </w:tcPr>
          <w:p w14:paraId="28CCDC82" w14:textId="77777777" w:rsidR="00B76B0C" w:rsidRPr="005970E9" w:rsidRDefault="003B5C05">
            <w:pPr>
              <w:jc w:val="center"/>
              <w:rPr>
                <w:rFonts w:eastAsia="Century Schoolbook" w:cs="Century Schoolbook"/>
                <w:b/>
                <w:sz w:val="20"/>
                <w:szCs w:val="20"/>
              </w:rPr>
            </w:pPr>
            <w:r w:rsidRPr="005970E9">
              <w:rPr>
                <w:rFonts w:eastAsia="Century Schoolbook" w:cs="Century Schoolbook"/>
                <w:b/>
                <w:sz w:val="20"/>
                <w:szCs w:val="20"/>
              </w:rPr>
              <w:t>Mujeres</w:t>
            </w:r>
          </w:p>
        </w:tc>
        <w:tc>
          <w:tcPr>
            <w:tcW w:w="2165" w:type="dxa"/>
            <w:tcBorders>
              <w:top w:val="nil"/>
              <w:left w:val="nil"/>
              <w:bottom w:val="single" w:sz="8" w:space="0" w:color="000000"/>
              <w:right w:val="single" w:sz="8" w:space="0" w:color="000000"/>
            </w:tcBorders>
            <w:shd w:val="clear" w:color="auto" w:fill="auto"/>
            <w:vAlign w:val="center"/>
          </w:tcPr>
          <w:p w14:paraId="563439CC" w14:textId="77777777" w:rsidR="00B76B0C" w:rsidRPr="005970E9" w:rsidRDefault="003B5C05">
            <w:pPr>
              <w:jc w:val="center"/>
              <w:rPr>
                <w:rFonts w:eastAsia="Century Schoolbook" w:cs="Century Schoolbook"/>
                <w:b/>
                <w:sz w:val="20"/>
                <w:szCs w:val="20"/>
              </w:rPr>
            </w:pPr>
            <w:r w:rsidRPr="005970E9">
              <w:rPr>
                <w:rFonts w:eastAsia="Century Schoolbook" w:cs="Century Schoolbook"/>
                <w:b/>
                <w:sz w:val="20"/>
                <w:szCs w:val="20"/>
              </w:rPr>
              <w:t>Hombres</w:t>
            </w:r>
          </w:p>
        </w:tc>
      </w:tr>
    </w:tbl>
    <w:tbl>
      <w:tblPr>
        <w:tblStyle w:val="11"/>
        <w:tblW w:w="8818" w:type="dxa"/>
        <w:tblInd w:w="0" w:type="dxa"/>
        <w:tblLayout w:type="fixed"/>
        <w:tblLook w:val="0400" w:firstRow="0" w:lastRow="0" w:firstColumn="0" w:lastColumn="0" w:noHBand="0" w:noVBand="1"/>
      </w:tblPr>
      <w:tblGrid>
        <w:gridCol w:w="4526"/>
        <w:gridCol w:w="2127"/>
        <w:gridCol w:w="2165"/>
      </w:tblGrid>
      <w:tr w:rsidR="00355CAA" w:rsidRPr="005970E9" w14:paraId="6F3DD267" w14:textId="77777777" w:rsidTr="00C36538">
        <w:trPr>
          <w:trHeight w:val="276"/>
        </w:trPr>
        <w:tc>
          <w:tcPr>
            <w:tcW w:w="4526" w:type="dxa"/>
            <w:tcBorders>
              <w:top w:val="nil"/>
              <w:left w:val="single" w:sz="8" w:space="0" w:color="000000"/>
              <w:bottom w:val="single" w:sz="8" w:space="0" w:color="000000"/>
              <w:right w:val="single" w:sz="8" w:space="0" w:color="000000"/>
            </w:tcBorders>
            <w:shd w:val="clear" w:color="auto" w:fill="auto"/>
            <w:vAlign w:val="center"/>
          </w:tcPr>
          <w:p w14:paraId="109F03B0" w14:textId="552D137E" w:rsidR="00355CAA" w:rsidRPr="005970E9" w:rsidRDefault="00355CAA" w:rsidP="00355CAA">
            <w:pPr>
              <w:rPr>
                <w:rFonts w:eastAsia="Century Schoolbook" w:cs="Century Schoolbook"/>
                <w:sz w:val="20"/>
                <w:szCs w:val="20"/>
              </w:rPr>
            </w:pPr>
            <w:r w:rsidRPr="005970E9">
              <w:rPr>
                <w:rFonts w:eastAsia="Century Schoolbook" w:cs="Century Schoolbook"/>
                <w:b/>
                <w:sz w:val="20"/>
                <w:szCs w:val="20"/>
              </w:rPr>
              <w:t>Índice de Desarrollo Humano</w:t>
            </w:r>
          </w:p>
        </w:tc>
        <w:tc>
          <w:tcPr>
            <w:tcW w:w="2127" w:type="dxa"/>
            <w:tcBorders>
              <w:top w:val="nil"/>
              <w:left w:val="nil"/>
              <w:bottom w:val="single" w:sz="8" w:space="0" w:color="000000"/>
              <w:right w:val="single" w:sz="8" w:space="0" w:color="000000"/>
            </w:tcBorders>
            <w:shd w:val="clear" w:color="auto" w:fill="auto"/>
            <w:vAlign w:val="center"/>
          </w:tcPr>
          <w:p w14:paraId="3F5D3D86" w14:textId="3E62E773" w:rsidR="00355CAA" w:rsidRPr="005970E9" w:rsidRDefault="00355CAA" w:rsidP="00196C19">
            <w:pPr>
              <w:jc w:val="right"/>
              <w:rPr>
                <w:rFonts w:eastAsia="Century Schoolbook" w:cs="Century Schoolbook"/>
                <w:b/>
                <w:sz w:val="20"/>
                <w:szCs w:val="20"/>
              </w:rPr>
            </w:pPr>
            <w:r w:rsidRPr="005970E9">
              <w:rPr>
                <w:rFonts w:eastAsia="Century Schoolbook" w:cs="Century Schoolbook"/>
                <w:sz w:val="20"/>
                <w:szCs w:val="20"/>
              </w:rPr>
              <w:t>0.794</w:t>
            </w:r>
          </w:p>
        </w:tc>
        <w:tc>
          <w:tcPr>
            <w:tcW w:w="2165" w:type="dxa"/>
            <w:tcBorders>
              <w:top w:val="nil"/>
              <w:left w:val="nil"/>
              <w:bottom w:val="single" w:sz="8" w:space="0" w:color="000000"/>
              <w:right w:val="single" w:sz="8" w:space="0" w:color="000000"/>
            </w:tcBorders>
            <w:shd w:val="clear" w:color="auto" w:fill="auto"/>
            <w:vAlign w:val="center"/>
          </w:tcPr>
          <w:p w14:paraId="770E00B3" w14:textId="43EFAFC1" w:rsidR="00355CAA" w:rsidRPr="005970E9" w:rsidRDefault="00355CAA" w:rsidP="00196C19">
            <w:pPr>
              <w:jc w:val="right"/>
              <w:rPr>
                <w:rFonts w:eastAsia="Century Schoolbook" w:cs="Century Schoolbook"/>
                <w:b/>
                <w:sz w:val="20"/>
                <w:szCs w:val="20"/>
              </w:rPr>
            </w:pPr>
            <w:r w:rsidRPr="005970E9">
              <w:rPr>
                <w:rFonts w:eastAsia="Century Schoolbook" w:cs="Century Schoolbook"/>
                <w:sz w:val="20"/>
                <w:szCs w:val="20"/>
              </w:rPr>
              <w:t>0.790</w:t>
            </w:r>
          </w:p>
        </w:tc>
      </w:tr>
    </w:tbl>
    <w:tbl>
      <w:tblPr>
        <w:tblW w:w="8818" w:type="dxa"/>
        <w:tblLayout w:type="fixed"/>
        <w:tblCellMar>
          <w:left w:w="70" w:type="dxa"/>
          <w:right w:w="70" w:type="dxa"/>
        </w:tblCellMar>
        <w:tblLook w:val="0400" w:firstRow="0" w:lastRow="0" w:firstColumn="0" w:lastColumn="0" w:noHBand="0" w:noVBand="1"/>
      </w:tblPr>
      <w:tblGrid>
        <w:gridCol w:w="4526"/>
        <w:gridCol w:w="2127"/>
        <w:gridCol w:w="2165"/>
      </w:tblGrid>
      <w:tr w:rsidR="00E87B38" w:rsidRPr="005970E9" w14:paraId="275353D2" w14:textId="77777777" w:rsidTr="00C36538">
        <w:trPr>
          <w:trHeight w:val="276"/>
        </w:trPr>
        <w:tc>
          <w:tcPr>
            <w:tcW w:w="4526" w:type="dxa"/>
            <w:tcBorders>
              <w:top w:val="nil"/>
              <w:left w:val="single" w:sz="8" w:space="0" w:color="000000"/>
              <w:bottom w:val="single" w:sz="8" w:space="0" w:color="000000"/>
              <w:right w:val="single" w:sz="8" w:space="0" w:color="000000"/>
            </w:tcBorders>
            <w:shd w:val="clear" w:color="auto" w:fill="auto"/>
            <w:vAlign w:val="center"/>
          </w:tcPr>
          <w:p w14:paraId="30E610D4"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La esperanza de vida al nacer</w:t>
            </w:r>
          </w:p>
        </w:tc>
        <w:tc>
          <w:tcPr>
            <w:tcW w:w="2127" w:type="dxa"/>
            <w:tcBorders>
              <w:top w:val="nil"/>
              <w:left w:val="nil"/>
              <w:bottom w:val="single" w:sz="8" w:space="0" w:color="000000"/>
              <w:right w:val="single" w:sz="8" w:space="0" w:color="000000"/>
            </w:tcBorders>
            <w:shd w:val="clear" w:color="auto" w:fill="auto"/>
            <w:vAlign w:val="center"/>
          </w:tcPr>
          <w:p w14:paraId="05206545"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81.6</w:t>
            </w:r>
          </w:p>
        </w:tc>
        <w:tc>
          <w:tcPr>
            <w:tcW w:w="2165" w:type="dxa"/>
            <w:tcBorders>
              <w:top w:val="nil"/>
              <w:left w:val="nil"/>
              <w:bottom w:val="single" w:sz="8" w:space="0" w:color="000000"/>
              <w:right w:val="single" w:sz="8" w:space="0" w:color="000000"/>
            </w:tcBorders>
            <w:shd w:val="clear" w:color="auto" w:fill="auto"/>
            <w:vAlign w:val="center"/>
          </w:tcPr>
          <w:p w14:paraId="46D9A9C9"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75.2</w:t>
            </w:r>
          </w:p>
        </w:tc>
      </w:tr>
      <w:tr w:rsidR="00E87B38" w:rsidRPr="005970E9" w14:paraId="1776B7DD" w14:textId="77777777" w:rsidTr="00C36538">
        <w:trPr>
          <w:trHeight w:val="276"/>
        </w:trPr>
        <w:tc>
          <w:tcPr>
            <w:tcW w:w="4526" w:type="dxa"/>
            <w:tcBorders>
              <w:top w:val="nil"/>
              <w:left w:val="single" w:sz="8" w:space="0" w:color="000000"/>
              <w:bottom w:val="single" w:sz="8" w:space="0" w:color="000000"/>
              <w:right w:val="single" w:sz="8" w:space="0" w:color="000000"/>
            </w:tcBorders>
            <w:shd w:val="clear" w:color="auto" w:fill="auto"/>
            <w:vAlign w:val="center"/>
          </w:tcPr>
          <w:p w14:paraId="42C363EC"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Años de escolaridad esperados</w:t>
            </w:r>
          </w:p>
        </w:tc>
        <w:tc>
          <w:tcPr>
            <w:tcW w:w="2127" w:type="dxa"/>
            <w:tcBorders>
              <w:top w:val="nil"/>
              <w:left w:val="nil"/>
              <w:bottom w:val="single" w:sz="8" w:space="0" w:color="000000"/>
              <w:right w:val="single" w:sz="8" w:space="0" w:color="000000"/>
            </w:tcBorders>
            <w:shd w:val="clear" w:color="auto" w:fill="auto"/>
            <w:vAlign w:val="center"/>
          </w:tcPr>
          <w:p w14:paraId="5CDD3D42"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13.3</w:t>
            </w:r>
          </w:p>
        </w:tc>
        <w:tc>
          <w:tcPr>
            <w:tcW w:w="2165" w:type="dxa"/>
            <w:tcBorders>
              <w:top w:val="nil"/>
              <w:left w:val="nil"/>
              <w:bottom w:val="single" w:sz="8" w:space="0" w:color="000000"/>
              <w:right w:val="single" w:sz="8" w:space="0" w:color="000000"/>
            </w:tcBorders>
            <w:shd w:val="clear" w:color="auto" w:fill="auto"/>
            <w:vAlign w:val="center"/>
          </w:tcPr>
          <w:p w14:paraId="2E83F5BA"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12.1</w:t>
            </w:r>
          </w:p>
        </w:tc>
      </w:tr>
      <w:tr w:rsidR="00E87B38" w:rsidRPr="005970E9" w14:paraId="058622E1" w14:textId="77777777" w:rsidTr="00C36538">
        <w:trPr>
          <w:trHeight w:val="276"/>
        </w:trPr>
        <w:tc>
          <w:tcPr>
            <w:tcW w:w="4526" w:type="dxa"/>
            <w:tcBorders>
              <w:top w:val="nil"/>
              <w:left w:val="single" w:sz="8" w:space="0" w:color="000000"/>
              <w:bottom w:val="single" w:sz="8" w:space="0" w:color="000000"/>
              <w:right w:val="single" w:sz="8" w:space="0" w:color="000000"/>
            </w:tcBorders>
            <w:shd w:val="clear" w:color="auto" w:fill="auto"/>
            <w:vAlign w:val="center"/>
          </w:tcPr>
          <w:p w14:paraId="40786437"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Promedio de años de escolaridad</w:t>
            </w:r>
          </w:p>
        </w:tc>
        <w:tc>
          <w:tcPr>
            <w:tcW w:w="2127" w:type="dxa"/>
            <w:tcBorders>
              <w:top w:val="nil"/>
              <w:left w:val="nil"/>
              <w:bottom w:val="single" w:sz="8" w:space="0" w:color="000000"/>
              <w:right w:val="single" w:sz="8" w:space="0" w:color="000000"/>
            </w:tcBorders>
            <w:shd w:val="clear" w:color="auto" w:fill="auto"/>
            <w:vAlign w:val="center"/>
          </w:tcPr>
          <w:p w14:paraId="65A95E08"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10.4</w:t>
            </w:r>
          </w:p>
        </w:tc>
        <w:tc>
          <w:tcPr>
            <w:tcW w:w="2165" w:type="dxa"/>
            <w:tcBorders>
              <w:top w:val="nil"/>
              <w:left w:val="nil"/>
              <w:bottom w:val="single" w:sz="8" w:space="0" w:color="000000"/>
              <w:right w:val="single" w:sz="8" w:space="0" w:color="000000"/>
            </w:tcBorders>
            <w:shd w:val="clear" w:color="auto" w:fill="auto"/>
            <w:vAlign w:val="center"/>
          </w:tcPr>
          <w:p w14:paraId="2D8940C2"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9.9</w:t>
            </w:r>
          </w:p>
        </w:tc>
      </w:tr>
      <w:tr w:rsidR="00E87B38" w:rsidRPr="005970E9" w14:paraId="26291356" w14:textId="77777777" w:rsidTr="00C36538">
        <w:trPr>
          <w:trHeight w:val="276"/>
        </w:trPr>
        <w:tc>
          <w:tcPr>
            <w:tcW w:w="4526" w:type="dxa"/>
            <w:tcBorders>
              <w:top w:val="nil"/>
              <w:left w:val="single" w:sz="8" w:space="0" w:color="000000"/>
              <w:bottom w:val="single" w:sz="4" w:space="0" w:color="000000"/>
              <w:right w:val="single" w:sz="8" w:space="0" w:color="000000"/>
            </w:tcBorders>
            <w:shd w:val="clear" w:color="auto" w:fill="auto"/>
            <w:vAlign w:val="center"/>
          </w:tcPr>
          <w:p w14:paraId="05F4C166"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lastRenderedPageBreak/>
              <w:t>Ingreso nacional bruto estimado per cápita (2011)</w:t>
            </w:r>
          </w:p>
        </w:tc>
        <w:tc>
          <w:tcPr>
            <w:tcW w:w="2127" w:type="dxa"/>
            <w:tcBorders>
              <w:top w:val="nil"/>
              <w:left w:val="nil"/>
              <w:bottom w:val="single" w:sz="4" w:space="0" w:color="000000"/>
              <w:right w:val="single" w:sz="8" w:space="0" w:color="000000"/>
            </w:tcBorders>
            <w:shd w:val="clear" w:color="auto" w:fill="auto"/>
            <w:vAlign w:val="center"/>
          </w:tcPr>
          <w:p w14:paraId="19AC0740"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16,106</w:t>
            </w:r>
          </w:p>
        </w:tc>
        <w:tc>
          <w:tcPr>
            <w:tcW w:w="2165" w:type="dxa"/>
            <w:tcBorders>
              <w:top w:val="nil"/>
              <w:left w:val="nil"/>
              <w:bottom w:val="single" w:sz="4" w:space="0" w:color="000000"/>
              <w:right w:val="single" w:sz="8" w:space="0" w:color="000000"/>
            </w:tcBorders>
            <w:shd w:val="clear" w:color="auto" w:fill="auto"/>
            <w:vAlign w:val="center"/>
          </w:tcPr>
          <w:p w14:paraId="779EE7A1"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24,788</w:t>
            </w:r>
          </w:p>
        </w:tc>
      </w:tr>
      <w:tr w:rsidR="00B76B0C" w:rsidRPr="005970E9" w14:paraId="53AE1CA1" w14:textId="77777777" w:rsidTr="00C36538">
        <w:trPr>
          <w:trHeight w:val="264"/>
        </w:trPr>
        <w:tc>
          <w:tcPr>
            <w:tcW w:w="4526" w:type="dxa"/>
            <w:tcBorders>
              <w:top w:val="single" w:sz="4" w:space="0" w:color="000000"/>
              <w:left w:val="single" w:sz="4" w:space="0" w:color="000000"/>
              <w:bottom w:val="single" w:sz="4" w:space="0" w:color="000000"/>
              <w:right w:val="single" w:sz="4" w:space="0" w:color="000000"/>
            </w:tcBorders>
            <w:shd w:val="clear" w:color="auto" w:fill="DEC8EE"/>
            <w:vAlign w:val="bottom"/>
          </w:tcPr>
          <w:p w14:paraId="10D789DC" w14:textId="1B0E5BF9" w:rsidR="00B76B0C" w:rsidRPr="005970E9" w:rsidRDefault="003B5C05">
            <w:pPr>
              <w:spacing w:before="120"/>
              <w:jc w:val="center"/>
              <w:rPr>
                <w:rFonts w:eastAsia="Century Schoolbook" w:cs="Century Schoolbook"/>
                <w:b/>
                <w:sz w:val="20"/>
                <w:szCs w:val="20"/>
              </w:rPr>
            </w:pPr>
            <w:r w:rsidRPr="005970E9">
              <w:rPr>
                <w:rFonts w:eastAsia="Century Schoolbook" w:cs="Century Schoolbook"/>
                <w:b/>
                <w:sz w:val="20"/>
                <w:szCs w:val="20"/>
              </w:rPr>
              <w:t xml:space="preserve">Índice de </w:t>
            </w:r>
            <w:r w:rsidR="00EF3DDE" w:rsidRPr="005970E9">
              <w:rPr>
                <w:rFonts w:eastAsia="Century Schoolbook" w:cs="Century Schoolbook"/>
                <w:b/>
                <w:sz w:val="20"/>
                <w:szCs w:val="20"/>
              </w:rPr>
              <w:t>Desigualdad</w:t>
            </w:r>
            <w:r w:rsidRPr="005970E9">
              <w:rPr>
                <w:rFonts w:eastAsia="Century Schoolbook" w:cs="Century Schoolbook"/>
                <w:b/>
                <w:sz w:val="20"/>
                <w:szCs w:val="20"/>
              </w:rPr>
              <w:t xml:space="preserve"> de género (</w:t>
            </w:r>
            <w:r w:rsidR="007C5022" w:rsidRPr="005970E9">
              <w:rPr>
                <w:rFonts w:eastAsia="Century Schoolbook" w:cs="Century Schoolbook"/>
                <w:b/>
                <w:sz w:val="20"/>
                <w:szCs w:val="20"/>
              </w:rPr>
              <w:t>IIG</w:t>
            </w:r>
            <w:r w:rsidRPr="005970E9">
              <w:rPr>
                <w:rFonts w:eastAsia="Century Schoolbook" w:cs="Century Schoolbook"/>
                <w:b/>
                <w:sz w:val="20"/>
                <w:szCs w:val="20"/>
              </w:rPr>
              <w:t>) 2018</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DEC8EE"/>
            <w:vAlign w:val="bottom"/>
          </w:tcPr>
          <w:p w14:paraId="37D07891" w14:textId="77777777" w:rsidR="00B76B0C" w:rsidRPr="005970E9" w:rsidRDefault="003B5C05">
            <w:pPr>
              <w:spacing w:before="120"/>
              <w:jc w:val="center"/>
              <w:rPr>
                <w:rFonts w:eastAsia="Century Schoolbook" w:cs="Century Schoolbook"/>
                <w:sz w:val="20"/>
                <w:szCs w:val="20"/>
              </w:rPr>
            </w:pPr>
            <w:r w:rsidRPr="005970E9">
              <w:rPr>
                <w:rFonts w:eastAsia="Century Schoolbook" w:cs="Century Schoolbook"/>
                <w:sz w:val="20"/>
                <w:szCs w:val="20"/>
              </w:rPr>
              <w:t>0.460</w:t>
            </w:r>
          </w:p>
        </w:tc>
      </w:tr>
      <w:tr w:rsidR="00B76B0C" w:rsidRPr="005970E9" w14:paraId="30F4CF31" w14:textId="77777777" w:rsidTr="00C36538">
        <w:trPr>
          <w:trHeight w:val="276"/>
        </w:trPr>
        <w:tc>
          <w:tcPr>
            <w:tcW w:w="45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8D310A"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Posición (de 162 países)</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89F43B2" w14:textId="77777777" w:rsidR="00B76B0C" w:rsidRPr="005970E9" w:rsidRDefault="003B5C05">
            <w:pPr>
              <w:jc w:val="center"/>
              <w:rPr>
                <w:rFonts w:eastAsia="Century Schoolbook" w:cs="Century Schoolbook"/>
                <w:sz w:val="20"/>
                <w:szCs w:val="20"/>
              </w:rPr>
            </w:pPr>
            <w:r w:rsidRPr="005970E9">
              <w:rPr>
                <w:rFonts w:eastAsia="Century Schoolbook" w:cs="Century Schoolbook"/>
                <w:sz w:val="20"/>
                <w:szCs w:val="20"/>
              </w:rPr>
              <w:t>108</w:t>
            </w:r>
          </w:p>
        </w:tc>
      </w:tr>
      <w:tr w:rsidR="00B76B0C" w:rsidRPr="005970E9" w14:paraId="3F658064" w14:textId="77777777" w:rsidTr="00C36538">
        <w:trPr>
          <w:trHeight w:val="264"/>
        </w:trPr>
        <w:tc>
          <w:tcPr>
            <w:tcW w:w="45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BD683D"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Tasa de mortalidad materna (muertes por 100,000 nacimientos vivos)</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F54B30C" w14:textId="77777777" w:rsidR="00B76B0C" w:rsidRPr="005970E9" w:rsidRDefault="003B5C05">
            <w:pPr>
              <w:jc w:val="center"/>
              <w:rPr>
                <w:rFonts w:eastAsia="Century Schoolbook" w:cs="Century Schoolbook"/>
                <w:sz w:val="20"/>
                <w:szCs w:val="20"/>
              </w:rPr>
            </w:pPr>
            <w:r w:rsidRPr="005970E9">
              <w:rPr>
                <w:rFonts w:eastAsia="Century Schoolbook" w:cs="Century Schoolbook"/>
                <w:sz w:val="20"/>
                <w:szCs w:val="20"/>
              </w:rPr>
              <w:t>94</w:t>
            </w:r>
          </w:p>
        </w:tc>
      </w:tr>
      <w:tr w:rsidR="00B76B0C" w:rsidRPr="005970E9" w14:paraId="733F1C57" w14:textId="77777777" w:rsidTr="00C36538">
        <w:trPr>
          <w:trHeight w:val="264"/>
        </w:trPr>
        <w:tc>
          <w:tcPr>
            <w:tcW w:w="45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FB5C8A"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Tasa de natalidad adolescente (nacimientos por cada 1.000 mujeres de 15 a 19 años)</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19D64D" w14:textId="77777777" w:rsidR="00B76B0C" w:rsidRPr="005970E9" w:rsidRDefault="003B5C05">
            <w:pPr>
              <w:jc w:val="center"/>
              <w:rPr>
                <w:rFonts w:eastAsia="Century Schoolbook" w:cs="Century Schoolbook"/>
                <w:sz w:val="20"/>
                <w:szCs w:val="20"/>
              </w:rPr>
            </w:pPr>
            <w:r w:rsidRPr="005970E9">
              <w:rPr>
                <w:rFonts w:eastAsia="Century Schoolbook" w:cs="Century Schoolbook"/>
                <w:sz w:val="20"/>
                <w:szCs w:val="20"/>
              </w:rPr>
              <w:t>81.8</w:t>
            </w:r>
          </w:p>
        </w:tc>
      </w:tr>
      <w:tr w:rsidR="00B76B0C" w:rsidRPr="005970E9" w14:paraId="168365BC" w14:textId="77777777" w:rsidTr="00C36538">
        <w:trPr>
          <w:trHeight w:val="264"/>
        </w:trPr>
        <w:tc>
          <w:tcPr>
            <w:tcW w:w="45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2F23AD" w14:textId="44E621AD" w:rsidR="00B76B0C" w:rsidRPr="005970E9" w:rsidRDefault="003B5C05">
            <w:pPr>
              <w:rPr>
                <w:rFonts w:eastAsia="Century Schoolbook" w:cs="Century Schoolbook"/>
                <w:sz w:val="20"/>
                <w:szCs w:val="20"/>
              </w:rPr>
            </w:pPr>
            <w:r w:rsidRPr="005970E9">
              <w:rPr>
                <w:rFonts w:eastAsia="Century Schoolbook" w:cs="Century Schoolbook"/>
                <w:sz w:val="20"/>
                <w:szCs w:val="20"/>
              </w:rPr>
              <w:t>Porcentaje de escaños en el parlamento</w:t>
            </w:r>
            <w:r w:rsidR="002B3D9A" w:rsidRPr="005970E9">
              <w:rPr>
                <w:rFonts w:eastAsia="Century Schoolbook" w:cs="Century Schoolbook"/>
                <w:sz w:val="20"/>
                <w:szCs w:val="20"/>
              </w:rPr>
              <w:t xml:space="preserve"> ocupados por mujeres</w:t>
            </w:r>
            <w:r w:rsidR="007C5022" w:rsidRPr="005970E9">
              <w:rPr>
                <w:rFonts w:eastAsia="Century Schoolbook" w:cs="Century Schoolbook"/>
                <w:sz w:val="20"/>
                <w:szCs w:val="20"/>
              </w:rPr>
              <w:t xml:space="preserve"> (Año 2018)</w:t>
            </w:r>
          </w:p>
        </w:tc>
        <w:tc>
          <w:tcPr>
            <w:tcW w:w="429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678773E" w14:textId="1324B920" w:rsidR="00B76B0C" w:rsidRPr="005970E9" w:rsidRDefault="003B5C05">
            <w:pPr>
              <w:jc w:val="center"/>
              <w:rPr>
                <w:rFonts w:eastAsia="Century Schoolbook" w:cs="Century Schoolbook"/>
                <w:sz w:val="20"/>
                <w:szCs w:val="20"/>
              </w:rPr>
            </w:pPr>
            <w:r w:rsidRPr="005970E9">
              <w:rPr>
                <w:rFonts w:eastAsia="Century Schoolbook" w:cs="Century Schoolbook"/>
                <w:sz w:val="20"/>
                <w:szCs w:val="20"/>
              </w:rPr>
              <w:t>18.3</w:t>
            </w:r>
            <w:r w:rsidR="007C5022" w:rsidRPr="005970E9">
              <w:rPr>
                <w:rFonts w:eastAsia="Century Schoolbook" w:cs="Century Schoolbook"/>
                <w:sz w:val="20"/>
                <w:szCs w:val="20"/>
                <w:vertAlign w:val="superscript"/>
              </w:rPr>
              <w:t>(*)</w:t>
            </w:r>
          </w:p>
        </w:tc>
      </w:tr>
      <w:tr w:rsidR="00B76B0C" w:rsidRPr="005970E9" w14:paraId="627B16FD" w14:textId="77777777" w:rsidTr="00C36538">
        <w:trPr>
          <w:trHeight w:val="264"/>
        </w:trPr>
        <w:tc>
          <w:tcPr>
            <w:tcW w:w="45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29977"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Población con al menos algo de educación secundaria</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263E9A" w14:textId="77777777" w:rsidR="00B76B0C" w:rsidRPr="005970E9" w:rsidRDefault="003B5C05">
            <w:pPr>
              <w:jc w:val="center"/>
              <w:rPr>
                <w:rFonts w:eastAsia="Century Schoolbook" w:cs="Century Schoolbook"/>
                <w:sz w:val="20"/>
                <w:szCs w:val="20"/>
              </w:rPr>
            </w:pPr>
            <w:r w:rsidRPr="005970E9">
              <w:rPr>
                <w:rFonts w:eastAsia="Century Schoolbook" w:cs="Century Schoolbook"/>
                <w:sz w:val="20"/>
                <w:szCs w:val="20"/>
              </w:rPr>
              <w:t>74.8</w:t>
            </w:r>
          </w:p>
        </w:tc>
        <w:tc>
          <w:tcPr>
            <w:tcW w:w="21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3C61A6" w14:textId="77777777" w:rsidR="00B76B0C" w:rsidRPr="005970E9" w:rsidRDefault="003B5C05">
            <w:pPr>
              <w:jc w:val="center"/>
              <w:rPr>
                <w:rFonts w:eastAsia="Century Schoolbook" w:cs="Century Schoolbook"/>
                <w:sz w:val="20"/>
                <w:szCs w:val="20"/>
              </w:rPr>
            </w:pPr>
            <w:r w:rsidRPr="005970E9">
              <w:rPr>
                <w:rFonts w:eastAsia="Century Schoolbook" w:cs="Century Schoolbook"/>
                <w:sz w:val="20"/>
                <w:szCs w:val="20"/>
              </w:rPr>
              <w:t>68.4</w:t>
            </w:r>
          </w:p>
        </w:tc>
      </w:tr>
      <w:tr w:rsidR="00B76B0C" w:rsidRPr="005970E9" w14:paraId="704D82BA" w14:textId="77777777" w:rsidTr="00C36538">
        <w:trPr>
          <w:trHeight w:val="264"/>
        </w:trPr>
        <w:tc>
          <w:tcPr>
            <w:tcW w:w="45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2DC127"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Tasa de participación en la fuerza laboral</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57B575" w14:textId="77777777" w:rsidR="00B76B0C" w:rsidRPr="005970E9" w:rsidRDefault="003B5C05">
            <w:pPr>
              <w:jc w:val="center"/>
              <w:rPr>
                <w:rFonts w:eastAsia="Century Schoolbook" w:cs="Century Schoolbook"/>
                <w:sz w:val="20"/>
                <w:szCs w:val="20"/>
              </w:rPr>
            </w:pPr>
            <w:r w:rsidRPr="005970E9">
              <w:rPr>
                <w:rFonts w:eastAsia="Century Schoolbook" w:cs="Century Schoolbook"/>
                <w:sz w:val="20"/>
                <w:szCs w:val="20"/>
              </w:rPr>
              <w:t>52.5</w:t>
            </w:r>
          </w:p>
        </w:tc>
        <w:tc>
          <w:tcPr>
            <w:tcW w:w="21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91D80" w14:textId="77777777" w:rsidR="00B76B0C" w:rsidRPr="005970E9" w:rsidRDefault="003B5C05">
            <w:pPr>
              <w:jc w:val="center"/>
              <w:rPr>
                <w:rFonts w:eastAsia="Century Schoolbook" w:cs="Century Schoolbook"/>
                <w:sz w:val="20"/>
                <w:szCs w:val="20"/>
              </w:rPr>
            </w:pPr>
            <w:r w:rsidRPr="005970E9">
              <w:rPr>
                <w:rFonts w:eastAsia="Century Schoolbook" w:cs="Century Schoolbook"/>
                <w:sz w:val="20"/>
                <w:szCs w:val="20"/>
              </w:rPr>
              <w:t>80.5</w:t>
            </w:r>
          </w:p>
        </w:tc>
      </w:tr>
      <w:tr w:rsidR="00E80AD9" w:rsidRPr="005970E9" w14:paraId="12DEA210" w14:textId="77777777" w:rsidTr="009B564B">
        <w:trPr>
          <w:trHeight w:val="264"/>
        </w:trPr>
        <w:tc>
          <w:tcPr>
            <w:tcW w:w="881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A8CDC8D" w14:textId="33DE987F" w:rsidR="007C5022" w:rsidRPr="005970E9" w:rsidRDefault="00E80AD9" w:rsidP="00E80AD9">
            <w:pPr>
              <w:rPr>
                <w:rFonts w:eastAsia="Century Schoolbook" w:cs="Century Schoolbook"/>
                <w:sz w:val="20"/>
                <w:szCs w:val="20"/>
              </w:rPr>
            </w:pPr>
            <w:r w:rsidRPr="005970E9">
              <w:rPr>
                <w:rFonts w:eastAsia="Century Schoolbook" w:cs="Century Schoolbook"/>
                <w:sz w:val="20"/>
                <w:szCs w:val="20"/>
              </w:rPr>
              <w:t xml:space="preserve">Fuente: Informe de Desarrollo Humano, PNUD </w:t>
            </w:r>
            <w:r w:rsidR="00355CAA" w:rsidRPr="005970E9">
              <w:rPr>
                <w:rFonts w:eastAsia="Century Schoolbook" w:cs="Century Schoolbook"/>
                <w:sz w:val="20"/>
                <w:szCs w:val="20"/>
              </w:rPr>
              <w:t>201</w:t>
            </w:r>
            <w:r w:rsidR="00370288" w:rsidRPr="005970E9">
              <w:rPr>
                <w:rFonts w:eastAsia="Century Schoolbook" w:cs="Century Schoolbook"/>
                <w:sz w:val="20"/>
                <w:szCs w:val="20"/>
              </w:rPr>
              <w:t>9</w:t>
            </w:r>
            <w:r w:rsidR="00355CAA" w:rsidRPr="005970E9">
              <w:rPr>
                <w:rFonts w:eastAsia="Century Schoolbook" w:cs="Century Schoolbook"/>
                <w:sz w:val="20"/>
                <w:szCs w:val="20"/>
              </w:rPr>
              <w:t>.</w:t>
            </w:r>
            <w:r w:rsidR="007C5022" w:rsidRPr="005970E9">
              <w:rPr>
                <w:rFonts w:eastAsia="Century Schoolbook" w:cs="Century Schoolbook"/>
                <w:sz w:val="20"/>
                <w:szCs w:val="20"/>
              </w:rPr>
              <w:t xml:space="preserve"> </w:t>
            </w:r>
          </w:p>
          <w:p w14:paraId="23085CD8" w14:textId="28DFB8F2" w:rsidR="00E80AD9" w:rsidRPr="005970E9" w:rsidRDefault="007C5022" w:rsidP="00E80AD9">
            <w:pPr>
              <w:rPr>
                <w:rFonts w:eastAsia="Century Schoolbook" w:cs="Century Schoolbook"/>
                <w:sz w:val="20"/>
                <w:szCs w:val="20"/>
              </w:rPr>
            </w:pPr>
            <w:r w:rsidRPr="005970E9">
              <w:rPr>
                <w:rFonts w:eastAsia="Century Schoolbook" w:cs="Century Schoolbook"/>
                <w:sz w:val="20"/>
                <w:szCs w:val="20"/>
                <w:vertAlign w:val="superscript"/>
              </w:rPr>
              <w:t xml:space="preserve">(*) </w:t>
            </w:r>
            <w:r w:rsidRPr="005970E9">
              <w:rPr>
                <w:rFonts w:eastAsia="Century Schoolbook" w:cs="Century Schoolbook"/>
                <w:sz w:val="20"/>
                <w:szCs w:val="20"/>
              </w:rPr>
              <w:t xml:space="preserve">Nota: El IDG está construido con los datos de 2018. En </w:t>
            </w:r>
            <w:r w:rsidR="00EF3DDE" w:rsidRPr="005970E9">
              <w:rPr>
                <w:rFonts w:eastAsia="Century Schoolbook" w:cs="Century Schoolbook"/>
                <w:sz w:val="20"/>
                <w:szCs w:val="20"/>
              </w:rPr>
              <w:t xml:space="preserve">2019 </w:t>
            </w:r>
            <w:r w:rsidRPr="005970E9">
              <w:rPr>
                <w:rFonts w:eastAsia="Century Schoolbook" w:cs="Century Schoolbook"/>
                <w:sz w:val="20"/>
                <w:szCs w:val="20"/>
              </w:rPr>
              <w:t xml:space="preserve">el número de escaños aumentó a 22.53% </w:t>
            </w:r>
          </w:p>
        </w:tc>
      </w:tr>
    </w:tbl>
    <w:p w14:paraId="28ECC80C" w14:textId="6BC04764" w:rsidR="0074022C" w:rsidRPr="005970E9" w:rsidRDefault="003B5C05" w:rsidP="0074022C">
      <w:pPr>
        <w:spacing w:before="120" w:after="120" w:line="276" w:lineRule="auto"/>
        <w:jc w:val="both"/>
        <w:rPr>
          <w:rFonts w:eastAsia="Century Schoolbook" w:cs="Century Schoolbook"/>
        </w:rPr>
      </w:pPr>
      <w:r w:rsidRPr="005970E9">
        <w:rPr>
          <w:rFonts w:eastAsia="Century Schoolbook" w:cs="Century Schoolbook"/>
        </w:rPr>
        <w:t>El</w:t>
      </w:r>
      <w:r w:rsidR="00D86CE0" w:rsidRPr="005970E9">
        <w:rPr>
          <w:rFonts w:eastAsia="Century Schoolbook" w:cs="Century Schoolbook"/>
        </w:rPr>
        <w:t xml:space="preserve"> </w:t>
      </w:r>
      <w:r w:rsidR="00D86CE0" w:rsidRPr="005970E9">
        <w:rPr>
          <w:rFonts w:eastAsia="Century Schoolbook" w:cs="Century Schoolbook"/>
          <w:b/>
          <w:sz w:val="20"/>
          <w:szCs w:val="20"/>
        </w:rPr>
        <w:t>Índice de Desarrollo de Género</w:t>
      </w:r>
      <w:r w:rsidRPr="005970E9">
        <w:rPr>
          <w:rFonts w:eastAsia="Century Schoolbook" w:cs="Century Schoolbook"/>
        </w:rPr>
        <w:t xml:space="preserve"> </w:t>
      </w:r>
      <w:r w:rsidR="004A1C6F" w:rsidRPr="005970E9">
        <w:rPr>
          <w:rFonts w:eastAsia="Century Schoolbook" w:cs="Century Schoolbook"/>
        </w:rPr>
        <w:t>(</w:t>
      </w:r>
      <w:r w:rsidR="0074022C" w:rsidRPr="005970E9">
        <w:rPr>
          <w:rFonts w:eastAsia="Century Schoolbook" w:cs="Century Schoolbook"/>
        </w:rPr>
        <w:t>IDG</w:t>
      </w:r>
      <w:r w:rsidR="004A1C6F" w:rsidRPr="005970E9">
        <w:rPr>
          <w:rFonts w:eastAsia="Century Schoolbook" w:cs="Century Schoolbook"/>
        </w:rPr>
        <w:t>)</w:t>
      </w:r>
      <w:r w:rsidR="0074022C" w:rsidRPr="005970E9">
        <w:rPr>
          <w:rFonts w:eastAsia="Century Schoolbook" w:cs="Century Schoolbook"/>
        </w:rPr>
        <w:t xml:space="preserve"> es 1.005 y se construye a partir de varios indicadores que muestran las características de hombres y mujeres en materia de esperanza de vida (81.6 años para las mujeres y 75.2 años para los hombres); los años de escolaridad esperados que identifica 13.3 para las mujeres y 12.1 los hombres; </w:t>
      </w:r>
      <w:r w:rsidR="004A1C6F" w:rsidRPr="005970E9">
        <w:rPr>
          <w:rFonts w:eastAsia="Century Schoolbook" w:cs="Century Schoolbook"/>
        </w:rPr>
        <w:t xml:space="preserve">e </w:t>
      </w:r>
      <w:r w:rsidR="0074022C" w:rsidRPr="005970E9">
        <w:rPr>
          <w:rFonts w:eastAsia="Century Schoolbook" w:cs="Century Schoolbook"/>
        </w:rPr>
        <w:t xml:space="preserve"> incluye el Ingreso nacional bruto per cápita</w:t>
      </w:r>
      <w:r w:rsidR="004A1C6F" w:rsidRPr="005970E9">
        <w:rPr>
          <w:rFonts w:eastAsia="Century Schoolbook" w:cs="Century Schoolbook"/>
        </w:rPr>
        <w:t>,</w:t>
      </w:r>
      <w:r w:rsidR="0074022C" w:rsidRPr="005970E9">
        <w:rPr>
          <w:rFonts w:eastAsia="Century Schoolbook" w:cs="Century Schoolbook"/>
        </w:rPr>
        <w:t xml:space="preserve"> en el año 2011 este fue de B/.16,106 para las mujeres y B/.24,788 para los hombres</w:t>
      </w:r>
      <w:r w:rsidR="00FF3DAE">
        <w:rPr>
          <w:rFonts w:eastAsia="Century Schoolbook" w:cs="Century Schoolbook"/>
        </w:rPr>
        <w:t xml:space="preserve"> (ver tabla 6)</w:t>
      </w:r>
      <w:r w:rsidR="0074022C" w:rsidRPr="005970E9">
        <w:rPr>
          <w:rFonts w:eastAsia="Century Schoolbook" w:cs="Century Schoolbook"/>
        </w:rPr>
        <w:t xml:space="preserve">. Estos indicadores muestran un desarrollo humano mayor para las mujeres, salvo en lo relacionado con los flujos de ingresos. </w:t>
      </w:r>
      <w:r w:rsidR="004A1C6F" w:rsidRPr="005970E9">
        <w:rPr>
          <w:rFonts w:eastAsia="Century Schoolbook" w:cs="Century Schoolbook"/>
        </w:rPr>
        <w:t>E</w:t>
      </w:r>
      <w:r w:rsidR="0074022C" w:rsidRPr="005970E9">
        <w:rPr>
          <w:rFonts w:eastAsia="Century Schoolbook" w:cs="Century Schoolbook"/>
        </w:rPr>
        <w:t>viden</w:t>
      </w:r>
      <w:r w:rsidR="004A1C6F" w:rsidRPr="005970E9">
        <w:rPr>
          <w:rFonts w:eastAsia="Century Schoolbook" w:cs="Century Schoolbook"/>
        </w:rPr>
        <w:t xml:space="preserve">cian </w:t>
      </w:r>
      <w:r w:rsidR="0074022C" w:rsidRPr="005970E9">
        <w:rPr>
          <w:rFonts w:eastAsia="Century Schoolbook" w:cs="Century Schoolbook"/>
        </w:rPr>
        <w:t>el nivel de superación de las mujeres en el ámbito escolar, lo cual es un resultado del desafío a la desigualdad</w:t>
      </w:r>
      <w:r w:rsidR="004A1C6F" w:rsidRPr="005970E9">
        <w:rPr>
          <w:rFonts w:eastAsia="Century Schoolbook" w:cs="Century Schoolbook"/>
        </w:rPr>
        <w:t xml:space="preserve">, ya que </w:t>
      </w:r>
      <w:r w:rsidR="0074022C" w:rsidRPr="005970E9">
        <w:rPr>
          <w:rFonts w:eastAsia="Century Schoolbook" w:cs="Century Schoolbook"/>
        </w:rPr>
        <w:t>las mujeres al empeñarse en desarrollar competencias que le</w:t>
      </w:r>
      <w:r w:rsidR="004A1C6F" w:rsidRPr="005970E9">
        <w:rPr>
          <w:rFonts w:eastAsia="Century Schoolbook" w:cs="Century Schoolbook"/>
        </w:rPr>
        <w:t>s</w:t>
      </w:r>
      <w:r w:rsidR="0074022C" w:rsidRPr="005970E9">
        <w:rPr>
          <w:rFonts w:eastAsia="Century Schoolbook" w:cs="Century Schoolbook"/>
        </w:rPr>
        <w:t xml:space="preserve"> permitan el ingreso al trabajo remunerado en mejor condición</w:t>
      </w:r>
      <w:r w:rsidR="004A1C6F" w:rsidRPr="005970E9">
        <w:rPr>
          <w:rFonts w:eastAsia="Century Schoolbook" w:cs="Century Schoolbook"/>
        </w:rPr>
        <w:t>, se mantienen en el ámbito escolar por más tiempo que los varones</w:t>
      </w:r>
      <w:r w:rsidR="0074022C" w:rsidRPr="005970E9">
        <w:rPr>
          <w:rFonts w:eastAsia="Century Schoolbook" w:cs="Century Schoolbook"/>
        </w:rPr>
        <w:t>. El autocuidado es un elemento que explica</w:t>
      </w:r>
      <w:r w:rsidR="00EF3DDE" w:rsidRPr="005970E9">
        <w:rPr>
          <w:rFonts w:eastAsia="Century Schoolbook" w:cs="Century Schoolbook"/>
        </w:rPr>
        <w:t>,</w:t>
      </w:r>
      <w:r w:rsidR="0074022C" w:rsidRPr="005970E9">
        <w:rPr>
          <w:rFonts w:eastAsia="Century Schoolbook" w:cs="Century Schoolbook"/>
        </w:rPr>
        <w:t xml:space="preserve"> en parte</w:t>
      </w:r>
      <w:r w:rsidR="00EF3DDE" w:rsidRPr="005970E9">
        <w:rPr>
          <w:rFonts w:eastAsia="Century Schoolbook" w:cs="Century Schoolbook"/>
        </w:rPr>
        <w:t>,</w:t>
      </w:r>
      <w:r w:rsidR="0074022C" w:rsidRPr="005970E9">
        <w:rPr>
          <w:rFonts w:eastAsia="Century Schoolbook" w:cs="Century Schoolbook"/>
        </w:rPr>
        <w:t xml:space="preserve"> </w:t>
      </w:r>
      <w:r w:rsidR="004A1C6F" w:rsidRPr="005970E9">
        <w:rPr>
          <w:rFonts w:eastAsia="Century Schoolbook" w:cs="Century Schoolbook"/>
        </w:rPr>
        <w:t xml:space="preserve">la </w:t>
      </w:r>
      <w:r w:rsidR="0074022C" w:rsidRPr="005970E9">
        <w:rPr>
          <w:rFonts w:eastAsia="Century Schoolbook" w:cs="Century Schoolbook"/>
        </w:rPr>
        <w:t>mayor esperanza de vida, a pesar del menor acceso a ingresos, problemas de acceso a servicios públicos y poco acceso en la toma de decisiones.</w:t>
      </w:r>
    </w:p>
    <w:p w14:paraId="6A4F3C93" w14:textId="50240BAD" w:rsidR="00B76B0C" w:rsidRPr="005970E9" w:rsidRDefault="003B5C05" w:rsidP="00096203">
      <w:pPr>
        <w:spacing w:before="120" w:after="120" w:line="276" w:lineRule="auto"/>
        <w:jc w:val="both"/>
        <w:rPr>
          <w:rFonts w:eastAsia="Century Schoolbook" w:cs="Century Schoolbook"/>
        </w:rPr>
      </w:pPr>
      <w:r w:rsidRPr="005970E9">
        <w:rPr>
          <w:rFonts w:eastAsia="Century Schoolbook" w:cs="Century Schoolbook"/>
        </w:rPr>
        <w:t xml:space="preserve">Contradictoriamente como se muestra con los componentes del </w:t>
      </w:r>
      <w:r w:rsidR="00EF3DDE" w:rsidRPr="005970E9">
        <w:rPr>
          <w:rFonts w:eastAsia="Century Schoolbook" w:cs="Century Schoolbook"/>
        </w:rPr>
        <w:t>índice de desigualdad de género</w:t>
      </w:r>
      <w:r w:rsidRPr="005970E9">
        <w:rPr>
          <w:rFonts w:eastAsia="Century Schoolbook" w:cs="Century Schoolbook"/>
          <w:vertAlign w:val="superscript"/>
        </w:rPr>
        <w:footnoteReference w:id="30"/>
      </w:r>
      <w:r w:rsidRPr="005970E9">
        <w:rPr>
          <w:rFonts w:eastAsia="Century Schoolbook" w:cs="Century Schoolbook"/>
        </w:rPr>
        <w:t xml:space="preserve">, a pesar de los esfuerzos de las mujeres por el acceso, mantenimiento y titulación en el sistema educativo una parte sustancial de ellas en condición de trabajar no logra su inserción. La igualdad de género se erosiona por la mortalidad materna, esta afectó a 94 mujeres por cada cien mil nacimientos vivos; otro grave problema es el embarazo a temprana edad, 81.8 nacimientos por cada 1000 mujeres entre 15 y 19 años, </w:t>
      </w:r>
      <w:r w:rsidRPr="005970E9">
        <w:rPr>
          <w:rFonts w:eastAsia="Century Schoolbook" w:cs="Century Schoolbook"/>
        </w:rPr>
        <w:lastRenderedPageBreak/>
        <w:t>hecho que afecta a las niñas y adolescentes en su proceso de desarrollo alterando su vida futura. La desigualdad de género reduce la posición del país en el rango del desarrollo de 0.795 (posición 67 de 189 países) se reduce a 0.460 (posición 108 de 162 países), y contrae las potencialidades de avance de las mujeres (PNUD, 2019).</w:t>
      </w:r>
    </w:p>
    <w:p w14:paraId="7CD3D2A1" w14:textId="77777777" w:rsidR="00B76B0C" w:rsidRPr="005970E9" w:rsidRDefault="003B5C05" w:rsidP="002338C0">
      <w:pPr>
        <w:pStyle w:val="Heading3"/>
        <w:numPr>
          <w:ilvl w:val="2"/>
          <w:numId w:val="16"/>
        </w:numPr>
      </w:pPr>
      <w:bookmarkStart w:id="109" w:name="_Toc42159205"/>
      <w:bookmarkStart w:id="110" w:name="_Toc42549439"/>
      <w:r w:rsidRPr="005970E9">
        <w:t>Pobreza multidimensional</w:t>
      </w:r>
      <w:bookmarkEnd w:id="109"/>
      <w:bookmarkEnd w:id="110"/>
    </w:p>
    <w:p w14:paraId="654454A9" w14:textId="3F4E5408" w:rsidR="00B76B0C" w:rsidRPr="005970E9" w:rsidRDefault="003B5C05" w:rsidP="00C24FBE">
      <w:pPr>
        <w:spacing w:before="120" w:after="120" w:line="276" w:lineRule="auto"/>
        <w:jc w:val="both"/>
        <w:rPr>
          <w:rFonts w:eastAsia="Century Schoolbook" w:cs="Century Schoolbook"/>
        </w:rPr>
      </w:pPr>
      <w:r w:rsidRPr="005970E9">
        <w:rPr>
          <w:rFonts w:eastAsia="Century Schoolbook" w:cs="Century Schoolbook"/>
        </w:rPr>
        <w:t>El índice de pobreza multidimensional en</w:t>
      </w:r>
      <w:r w:rsidR="00EF3DDE" w:rsidRPr="005970E9">
        <w:rPr>
          <w:rFonts w:eastAsia="Century Schoolbook" w:cs="Century Schoolbook"/>
        </w:rPr>
        <w:t>tre</w:t>
      </w:r>
      <w:r w:rsidRPr="005970E9">
        <w:rPr>
          <w:rFonts w:eastAsia="Century Schoolbook" w:cs="Century Schoolbook"/>
        </w:rPr>
        <w:t xml:space="preserve"> 2017 </w:t>
      </w:r>
      <w:r w:rsidR="00EF3DDE" w:rsidRPr="005970E9">
        <w:rPr>
          <w:rFonts w:eastAsia="Century Schoolbook" w:cs="Century Schoolbook"/>
        </w:rPr>
        <w:t xml:space="preserve">y </w:t>
      </w:r>
      <w:r w:rsidRPr="005970E9">
        <w:rPr>
          <w:rFonts w:eastAsia="Century Schoolbook" w:cs="Century Schoolbook"/>
        </w:rPr>
        <w:t xml:space="preserve">2018 </w:t>
      </w:r>
      <w:r w:rsidR="00EF3DDE" w:rsidRPr="005970E9">
        <w:rPr>
          <w:rFonts w:eastAsia="Century Schoolbook" w:cs="Century Schoolbook"/>
        </w:rPr>
        <w:t>no mostró cambios sustanciales</w:t>
      </w:r>
      <w:r w:rsidRPr="005970E9">
        <w:rPr>
          <w:rFonts w:eastAsia="Century Schoolbook" w:cs="Century Schoolbook"/>
        </w:rPr>
        <w:t xml:space="preserve"> (MEF, 2018).</w:t>
      </w:r>
      <w:r w:rsidR="006C17BD" w:rsidRPr="005970E9">
        <w:rPr>
          <w:rFonts w:eastAsia="Century Schoolbook" w:cs="Century Schoolbook"/>
        </w:rPr>
        <w:t xml:space="preserve"> </w:t>
      </w:r>
      <w:r w:rsidR="00F67053" w:rsidRPr="005970E9">
        <w:rPr>
          <w:rFonts w:eastAsia="Century Schoolbook" w:cs="Century Schoolbook"/>
        </w:rPr>
        <w:t xml:space="preserve"> Para</w:t>
      </w:r>
      <w:r w:rsidR="006C17BD" w:rsidRPr="005970E9">
        <w:rPr>
          <w:rFonts w:eastAsia="Century Schoolbook" w:cs="Century Schoolbook"/>
        </w:rPr>
        <w:t xml:space="preserve"> las mujeres en 2017 y 2018 fue de 18.5% y 18.6% respectivamente. Para los hombres se redujo en dos décimos porcentuales, de 19.7 en 2017 a 19.5 en 2018. Para ambos sexos los cambios son irrisorios.</w:t>
      </w:r>
    </w:p>
    <w:p w14:paraId="23FBFA4A" w14:textId="77777777" w:rsidR="004A1C6F" w:rsidRPr="005970E9" w:rsidRDefault="004A1C6F">
      <w:pPr>
        <w:spacing w:before="120" w:after="120"/>
        <w:jc w:val="both"/>
        <w:rPr>
          <w:rFonts w:eastAsia="Century Schoolbook" w:cs="Century Schoolbook"/>
        </w:rPr>
      </w:pPr>
    </w:p>
    <w:tbl>
      <w:tblPr>
        <w:tblW w:w="7811" w:type="dxa"/>
        <w:jc w:val="center"/>
        <w:tblLayout w:type="fixed"/>
        <w:tblCellMar>
          <w:left w:w="103" w:type="dxa"/>
        </w:tblCellMar>
        <w:tblLook w:val="0400" w:firstRow="0" w:lastRow="0" w:firstColumn="0" w:lastColumn="0" w:noHBand="0" w:noVBand="1"/>
      </w:tblPr>
      <w:tblGrid>
        <w:gridCol w:w="2127"/>
        <w:gridCol w:w="1420"/>
        <w:gridCol w:w="1424"/>
        <w:gridCol w:w="1420"/>
        <w:gridCol w:w="1420"/>
      </w:tblGrid>
      <w:tr w:rsidR="00B76B0C" w:rsidRPr="005970E9" w14:paraId="458542DD" w14:textId="77777777" w:rsidTr="00C5422E">
        <w:trPr>
          <w:trHeight w:val="288"/>
          <w:jc w:val="center"/>
        </w:trPr>
        <w:tc>
          <w:tcPr>
            <w:tcW w:w="7811" w:type="dxa"/>
            <w:gridSpan w:val="5"/>
            <w:tcBorders>
              <w:top w:val="nil"/>
              <w:left w:val="nil"/>
              <w:bottom w:val="nil"/>
              <w:right w:val="nil"/>
            </w:tcBorders>
            <w:shd w:val="clear" w:color="auto" w:fill="auto"/>
            <w:vAlign w:val="bottom"/>
          </w:tcPr>
          <w:p w14:paraId="0970C013" w14:textId="627B2899" w:rsidR="00B76B0C" w:rsidRPr="005970E9" w:rsidRDefault="008A61AF" w:rsidP="00C24FBE">
            <w:pPr>
              <w:spacing w:after="120"/>
              <w:jc w:val="center"/>
              <w:rPr>
                <w:rFonts w:eastAsia="Century Schoolbook" w:cs="Century Schoolbook"/>
                <w:color w:val="000000"/>
                <w:sz w:val="20"/>
                <w:szCs w:val="20"/>
              </w:rPr>
            </w:pPr>
            <w:bookmarkStart w:id="111" w:name="_Toc42549201"/>
            <w:r w:rsidRPr="005970E9">
              <w:t>Tabla</w:t>
            </w:r>
            <w:r w:rsidR="0042081E" w:rsidRPr="005970E9">
              <w:t xml:space="preserve"> </w:t>
            </w:r>
            <w:r w:rsidR="00062ABE">
              <w:fldChar w:fldCharType="begin"/>
            </w:r>
            <w:r w:rsidR="00062ABE">
              <w:instrText xml:space="preserve"> SEQ Tabla \* ARABIC </w:instrText>
            </w:r>
            <w:r w:rsidR="00062ABE">
              <w:fldChar w:fldCharType="separate"/>
            </w:r>
            <w:r w:rsidR="009D1829" w:rsidRPr="005970E9">
              <w:rPr>
                <w:noProof/>
              </w:rPr>
              <w:t>7</w:t>
            </w:r>
            <w:r w:rsidR="00062ABE">
              <w:rPr>
                <w:noProof/>
              </w:rPr>
              <w:fldChar w:fldCharType="end"/>
            </w:r>
            <w:r w:rsidR="0042081E" w:rsidRPr="005970E9">
              <w:t xml:space="preserve">. </w:t>
            </w:r>
            <w:r w:rsidR="003B5C05" w:rsidRPr="005970E9">
              <w:rPr>
                <w:rFonts w:eastAsia="Century Schoolbook" w:cs="Century Schoolbook"/>
                <w:color w:val="000000"/>
                <w:sz w:val="20"/>
                <w:szCs w:val="20"/>
              </w:rPr>
              <w:t>Incidencia de Pobreza Multidimensional (IPM), por provincia, según sexo. Años 2017 y 2018</w:t>
            </w:r>
            <w:bookmarkEnd w:id="111"/>
          </w:p>
        </w:tc>
      </w:tr>
      <w:tr w:rsidR="00E87B38" w:rsidRPr="005970E9" w14:paraId="0EB7D908" w14:textId="77777777">
        <w:trPr>
          <w:trHeight w:val="351"/>
          <w:jc w:val="center"/>
        </w:trPr>
        <w:tc>
          <w:tcPr>
            <w:tcW w:w="2127" w:type="dxa"/>
            <w:vMerge w:val="restart"/>
            <w:tcBorders>
              <w:top w:val="single" w:sz="4" w:space="0" w:color="8EA9DB"/>
              <w:left w:val="single" w:sz="4" w:space="0" w:color="8EA9DB"/>
              <w:right w:val="nil"/>
            </w:tcBorders>
            <w:shd w:val="clear" w:color="auto" w:fill="4472C4"/>
            <w:vAlign w:val="center"/>
          </w:tcPr>
          <w:p w14:paraId="2462E756" w14:textId="77777777" w:rsidR="00B76B0C" w:rsidRPr="005970E9" w:rsidRDefault="003B5C05">
            <w:pPr>
              <w:jc w:val="center"/>
              <w:rPr>
                <w:rFonts w:eastAsia="Century Schoolbook" w:cs="Century Schoolbook"/>
                <w:b/>
                <w:color w:val="FFFFFF"/>
                <w:sz w:val="20"/>
                <w:szCs w:val="20"/>
              </w:rPr>
            </w:pPr>
            <w:r w:rsidRPr="005970E9">
              <w:rPr>
                <w:rFonts w:eastAsia="Century Schoolbook" w:cs="Century Schoolbook"/>
                <w:b/>
                <w:color w:val="FFFFFF"/>
                <w:sz w:val="20"/>
                <w:szCs w:val="20"/>
              </w:rPr>
              <w:t>Provincias y comarcas indígenas</w:t>
            </w:r>
          </w:p>
        </w:tc>
        <w:tc>
          <w:tcPr>
            <w:tcW w:w="2844" w:type="dxa"/>
            <w:gridSpan w:val="2"/>
            <w:tcBorders>
              <w:top w:val="single" w:sz="4" w:space="0" w:color="8EA9DB"/>
              <w:left w:val="nil"/>
              <w:bottom w:val="single" w:sz="4" w:space="0" w:color="8EA9DB"/>
              <w:right w:val="nil"/>
            </w:tcBorders>
            <w:shd w:val="clear" w:color="auto" w:fill="4472C4"/>
            <w:vAlign w:val="center"/>
          </w:tcPr>
          <w:p w14:paraId="015199ED" w14:textId="77777777" w:rsidR="00B76B0C" w:rsidRPr="005970E9" w:rsidRDefault="003B5C05">
            <w:pPr>
              <w:jc w:val="center"/>
              <w:rPr>
                <w:rFonts w:eastAsia="Century Schoolbook" w:cs="Century Schoolbook"/>
                <w:b/>
                <w:color w:val="FFFFFF"/>
                <w:sz w:val="20"/>
                <w:szCs w:val="20"/>
              </w:rPr>
            </w:pPr>
            <w:r w:rsidRPr="005970E9">
              <w:rPr>
                <w:rFonts w:eastAsia="Century Schoolbook" w:cs="Century Schoolbook"/>
                <w:b/>
                <w:color w:val="FFFFFF"/>
                <w:sz w:val="20"/>
                <w:szCs w:val="20"/>
              </w:rPr>
              <w:t>IPM 2017</w:t>
            </w:r>
          </w:p>
        </w:tc>
        <w:tc>
          <w:tcPr>
            <w:tcW w:w="2840" w:type="dxa"/>
            <w:gridSpan w:val="2"/>
            <w:tcBorders>
              <w:top w:val="single" w:sz="4" w:space="0" w:color="8EA9DB"/>
              <w:left w:val="nil"/>
              <w:bottom w:val="single" w:sz="4" w:space="0" w:color="8EA9DB"/>
              <w:right w:val="single" w:sz="4" w:space="0" w:color="8EA9DB"/>
            </w:tcBorders>
            <w:shd w:val="clear" w:color="auto" w:fill="4472C4"/>
            <w:vAlign w:val="center"/>
          </w:tcPr>
          <w:p w14:paraId="328AB7BF" w14:textId="77777777" w:rsidR="00B76B0C" w:rsidRPr="005970E9" w:rsidRDefault="003B5C05">
            <w:pPr>
              <w:jc w:val="center"/>
              <w:rPr>
                <w:rFonts w:eastAsia="Century Schoolbook" w:cs="Century Schoolbook"/>
                <w:b/>
                <w:color w:val="FFFFFF"/>
                <w:sz w:val="20"/>
                <w:szCs w:val="20"/>
              </w:rPr>
            </w:pPr>
            <w:r w:rsidRPr="005970E9">
              <w:rPr>
                <w:rFonts w:eastAsia="Century Schoolbook" w:cs="Century Schoolbook"/>
                <w:b/>
                <w:color w:val="FFFFFF"/>
                <w:sz w:val="20"/>
                <w:szCs w:val="20"/>
              </w:rPr>
              <w:t>IPM 2018</w:t>
            </w:r>
          </w:p>
        </w:tc>
      </w:tr>
      <w:tr w:rsidR="00E87B38" w:rsidRPr="005970E9" w14:paraId="4D997FE1" w14:textId="77777777">
        <w:trPr>
          <w:trHeight w:val="132"/>
          <w:jc w:val="center"/>
        </w:trPr>
        <w:tc>
          <w:tcPr>
            <w:tcW w:w="2127" w:type="dxa"/>
            <w:vMerge/>
            <w:tcBorders>
              <w:top w:val="single" w:sz="4" w:space="0" w:color="8EA9DB"/>
              <w:left w:val="single" w:sz="4" w:space="0" w:color="8EA9DB"/>
              <w:right w:val="nil"/>
            </w:tcBorders>
            <w:shd w:val="clear" w:color="auto" w:fill="4472C4"/>
            <w:vAlign w:val="center"/>
          </w:tcPr>
          <w:p w14:paraId="3E0DC130" w14:textId="77777777" w:rsidR="00B76B0C" w:rsidRPr="005970E9" w:rsidRDefault="00B76B0C">
            <w:pPr>
              <w:widowControl w:val="0"/>
              <w:pBdr>
                <w:top w:val="nil"/>
                <w:left w:val="nil"/>
                <w:bottom w:val="nil"/>
                <w:right w:val="nil"/>
                <w:between w:val="nil"/>
              </w:pBdr>
              <w:spacing w:line="276" w:lineRule="auto"/>
              <w:rPr>
                <w:rFonts w:eastAsia="Century Schoolbook" w:cs="Century Schoolbook"/>
                <w:b/>
                <w:color w:val="FFFFFF"/>
                <w:sz w:val="20"/>
                <w:szCs w:val="20"/>
              </w:rPr>
            </w:pPr>
          </w:p>
        </w:tc>
        <w:tc>
          <w:tcPr>
            <w:tcW w:w="1420" w:type="dxa"/>
            <w:tcBorders>
              <w:top w:val="single" w:sz="4" w:space="0" w:color="8EA9DB"/>
              <w:left w:val="nil"/>
              <w:bottom w:val="single" w:sz="4" w:space="0" w:color="8EA9DB"/>
              <w:right w:val="nil"/>
            </w:tcBorders>
            <w:shd w:val="clear" w:color="auto" w:fill="4472C4"/>
            <w:vAlign w:val="bottom"/>
          </w:tcPr>
          <w:p w14:paraId="30B93640" w14:textId="77777777" w:rsidR="00B76B0C" w:rsidRPr="005970E9" w:rsidRDefault="003B5C05">
            <w:pPr>
              <w:jc w:val="right"/>
              <w:rPr>
                <w:rFonts w:eastAsia="Century Schoolbook" w:cs="Century Schoolbook"/>
                <w:b/>
                <w:color w:val="FFFFFF"/>
                <w:sz w:val="20"/>
                <w:szCs w:val="20"/>
              </w:rPr>
            </w:pPr>
            <w:r w:rsidRPr="005970E9">
              <w:rPr>
                <w:rFonts w:eastAsia="Century Schoolbook" w:cs="Century Schoolbook"/>
                <w:b/>
                <w:color w:val="FFFFFF"/>
                <w:sz w:val="20"/>
                <w:szCs w:val="20"/>
              </w:rPr>
              <w:t>Hombre</w:t>
            </w:r>
          </w:p>
        </w:tc>
        <w:tc>
          <w:tcPr>
            <w:tcW w:w="1424" w:type="dxa"/>
            <w:tcBorders>
              <w:top w:val="single" w:sz="4" w:space="0" w:color="8EA9DB"/>
              <w:left w:val="nil"/>
              <w:bottom w:val="single" w:sz="4" w:space="0" w:color="8EA9DB"/>
              <w:right w:val="nil"/>
            </w:tcBorders>
            <w:shd w:val="clear" w:color="auto" w:fill="4472C4"/>
            <w:vAlign w:val="bottom"/>
          </w:tcPr>
          <w:p w14:paraId="4C63154F" w14:textId="77777777" w:rsidR="00B76B0C" w:rsidRPr="005970E9" w:rsidRDefault="003B5C05">
            <w:pPr>
              <w:jc w:val="right"/>
              <w:rPr>
                <w:rFonts w:eastAsia="Century Schoolbook" w:cs="Century Schoolbook"/>
                <w:b/>
                <w:color w:val="FFFFFF"/>
                <w:sz w:val="20"/>
                <w:szCs w:val="20"/>
              </w:rPr>
            </w:pPr>
            <w:r w:rsidRPr="005970E9">
              <w:rPr>
                <w:rFonts w:eastAsia="Century Schoolbook" w:cs="Century Schoolbook"/>
                <w:b/>
                <w:color w:val="FFFFFF"/>
                <w:sz w:val="20"/>
                <w:szCs w:val="20"/>
              </w:rPr>
              <w:t>Mujer</w:t>
            </w:r>
          </w:p>
        </w:tc>
        <w:tc>
          <w:tcPr>
            <w:tcW w:w="1420" w:type="dxa"/>
            <w:tcBorders>
              <w:top w:val="single" w:sz="4" w:space="0" w:color="8EA9DB"/>
              <w:left w:val="nil"/>
              <w:bottom w:val="single" w:sz="4" w:space="0" w:color="8EA9DB"/>
              <w:right w:val="nil"/>
            </w:tcBorders>
            <w:shd w:val="clear" w:color="auto" w:fill="4472C4"/>
            <w:vAlign w:val="bottom"/>
          </w:tcPr>
          <w:p w14:paraId="10354C4C" w14:textId="77777777" w:rsidR="00B76B0C" w:rsidRPr="005970E9" w:rsidRDefault="003B5C05">
            <w:pPr>
              <w:jc w:val="right"/>
              <w:rPr>
                <w:rFonts w:eastAsia="Century Schoolbook" w:cs="Century Schoolbook"/>
                <w:b/>
                <w:color w:val="FFFFFF"/>
                <w:sz w:val="20"/>
                <w:szCs w:val="20"/>
              </w:rPr>
            </w:pPr>
            <w:r w:rsidRPr="005970E9">
              <w:rPr>
                <w:rFonts w:eastAsia="Century Schoolbook" w:cs="Century Schoolbook"/>
                <w:b/>
                <w:color w:val="FFFFFF"/>
                <w:sz w:val="20"/>
                <w:szCs w:val="20"/>
              </w:rPr>
              <w:t>Hombre</w:t>
            </w:r>
          </w:p>
        </w:tc>
        <w:tc>
          <w:tcPr>
            <w:tcW w:w="1420" w:type="dxa"/>
            <w:tcBorders>
              <w:top w:val="single" w:sz="4" w:space="0" w:color="8EA9DB"/>
              <w:left w:val="nil"/>
              <w:bottom w:val="single" w:sz="4" w:space="0" w:color="8EA9DB"/>
              <w:right w:val="single" w:sz="4" w:space="0" w:color="8EA9DB"/>
            </w:tcBorders>
            <w:shd w:val="clear" w:color="auto" w:fill="4472C4"/>
            <w:vAlign w:val="bottom"/>
          </w:tcPr>
          <w:p w14:paraId="67BCB5DB" w14:textId="77777777" w:rsidR="00B76B0C" w:rsidRPr="005970E9" w:rsidRDefault="003B5C05">
            <w:pPr>
              <w:jc w:val="right"/>
              <w:rPr>
                <w:rFonts w:eastAsia="Century Schoolbook" w:cs="Century Schoolbook"/>
                <w:b/>
                <w:color w:val="FFFFFF"/>
                <w:sz w:val="20"/>
                <w:szCs w:val="20"/>
              </w:rPr>
            </w:pPr>
            <w:r w:rsidRPr="005970E9">
              <w:rPr>
                <w:rFonts w:eastAsia="Century Schoolbook" w:cs="Century Schoolbook"/>
                <w:b/>
                <w:color w:val="FFFFFF"/>
                <w:sz w:val="20"/>
                <w:szCs w:val="20"/>
              </w:rPr>
              <w:t>Mujer</w:t>
            </w:r>
          </w:p>
        </w:tc>
      </w:tr>
      <w:tr w:rsidR="00E87B38" w:rsidRPr="005970E9" w14:paraId="01F2A65F"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D9E1F2"/>
            <w:vAlign w:val="bottom"/>
          </w:tcPr>
          <w:p w14:paraId="14CBB51B"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Bocas del Toro</w:t>
            </w:r>
          </w:p>
        </w:tc>
        <w:tc>
          <w:tcPr>
            <w:tcW w:w="1420" w:type="dxa"/>
            <w:tcBorders>
              <w:top w:val="single" w:sz="4" w:space="0" w:color="8EA9DB"/>
              <w:left w:val="nil"/>
              <w:bottom w:val="single" w:sz="4" w:space="0" w:color="8EA9DB"/>
              <w:right w:val="nil"/>
            </w:tcBorders>
            <w:shd w:val="clear" w:color="auto" w:fill="D9E1F2"/>
            <w:vAlign w:val="bottom"/>
          </w:tcPr>
          <w:p w14:paraId="65EF8288"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44.8</w:t>
            </w:r>
          </w:p>
        </w:tc>
        <w:tc>
          <w:tcPr>
            <w:tcW w:w="1424" w:type="dxa"/>
            <w:tcBorders>
              <w:top w:val="single" w:sz="4" w:space="0" w:color="8EA9DB"/>
              <w:left w:val="nil"/>
              <w:bottom w:val="single" w:sz="4" w:space="0" w:color="8EA9DB"/>
              <w:right w:val="nil"/>
            </w:tcBorders>
            <w:shd w:val="clear" w:color="auto" w:fill="D9E1F2"/>
            <w:vAlign w:val="bottom"/>
          </w:tcPr>
          <w:p w14:paraId="306F7E50"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44.4</w:t>
            </w:r>
          </w:p>
        </w:tc>
        <w:tc>
          <w:tcPr>
            <w:tcW w:w="1420" w:type="dxa"/>
            <w:tcBorders>
              <w:top w:val="single" w:sz="4" w:space="0" w:color="8EA9DB"/>
              <w:left w:val="nil"/>
              <w:bottom w:val="single" w:sz="4" w:space="0" w:color="8EA9DB"/>
              <w:right w:val="nil"/>
            </w:tcBorders>
            <w:shd w:val="clear" w:color="auto" w:fill="D9E1F2"/>
            <w:vAlign w:val="bottom"/>
          </w:tcPr>
          <w:p w14:paraId="404D93E9"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40.3</w:t>
            </w:r>
          </w:p>
        </w:tc>
        <w:tc>
          <w:tcPr>
            <w:tcW w:w="1420" w:type="dxa"/>
            <w:tcBorders>
              <w:top w:val="single" w:sz="4" w:space="0" w:color="8EA9DB"/>
              <w:left w:val="nil"/>
              <w:bottom w:val="single" w:sz="4" w:space="0" w:color="8EA9DB"/>
              <w:right w:val="single" w:sz="4" w:space="0" w:color="8EA9DB"/>
            </w:tcBorders>
            <w:shd w:val="clear" w:color="auto" w:fill="D9E1F2"/>
            <w:vAlign w:val="bottom"/>
          </w:tcPr>
          <w:p w14:paraId="7B302B1B"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41.9</w:t>
            </w:r>
          </w:p>
        </w:tc>
      </w:tr>
      <w:tr w:rsidR="00E87B38" w:rsidRPr="005970E9" w14:paraId="0E77E70D"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auto"/>
            <w:vAlign w:val="bottom"/>
          </w:tcPr>
          <w:p w14:paraId="54E52BDB"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Coclé</w:t>
            </w:r>
          </w:p>
        </w:tc>
        <w:tc>
          <w:tcPr>
            <w:tcW w:w="1420" w:type="dxa"/>
            <w:tcBorders>
              <w:top w:val="single" w:sz="4" w:space="0" w:color="8EA9DB"/>
              <w:left w:val="nil"/>
              <w:bottom w:val="single" w:sz="4" w:space="0" w:color="8EA9DB"/>
              <w:right w:val="nil"/>
            </w:tcBorders>
            <w:shd w:val="clear" w:color="auto" w:fill="auto"/>
            <w:vAlign w:val="bottom"/>
          </w:tcPr>
          <w:p w14:paraId="76D043E1"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25.5</w:t>
            </w:r>
          </w:p>
        </w:tc>
        <w:tc>
          <w:tcPr>
            <w:tcW w:w="1424" w:type="dxa"/>
            <w:tcBorders>
              <w:top w:val="single" w:sz="4" w:space="0" w:color="8EA9DB"/>
              <w:left w:val="nil"/>
              <w:bottom w:val="single" w:sz="4" w:space="0" w:color="8EA9DB"/>
              <w:right w:val="nil"/>
            </w:tcBorders>
            <w:shd w:val="clear" w:color="auto" w:fill="auto"/>
            <w:vAlign w:val="bottom"/>
          </w:tcPr>
          <w:p w14:paraId="2EC8FEFB"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19.6</w:t>
            </w:r>
          </w:p>
        </w:tc>
        <w:tc>
          <w:tcPr>
            <w:tcW w:w="1420" w:type="dxa"/>
            <w:tcBorders>
              <w:top w:val="single" w:sz="4" w:space="0" w:color="8EA9DB"/>
              <w:left w:val="nil"/>
              <w:bottom w:val="single" w:sz="4" w:space="0" w:color="8EA9DB"/>
              <w:right w:val="nil"/>
            </w:tcBorders>
            <w:shd w:val="clear" w:color="auto" w:fill="auto"/>
            <w:vAlign w:val="bottom"/>
          </w:tcPr>
          <w:p w14:paraId="6FEAC0EB"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21.4</w:t>
            </w:r>
          </w:p>
        </w:tc>
        <w:tc>
          <w:tcPr>
            <w:tcW w:w="1420" w:type="dxa"/>
            <w:tcBorders>
              <w:top w:val="single" w:sz="4" w:space="0" w:color="8EA9DB"/>
              <w:left w:val="nil"/>
              <w:bottom w:val="single" w:sz="4" w:space="0" w:color="8EA9DB"/>
              <w:right w:val="single" w:sz="4" w:space="0" w:color="8EA9DB"/>
            </w:tcBorders>
            <w:shd w:val="clear" w:color="auto" w:fill="auto"/>
            <w:vAlign w:val="bottom"/>
          </w:tcPr>
          <w:p w14:paraId="1BF7DA21"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17.2</w:t>
            </w:r>
          </w:p>
        </w:tc>
      </w:tr>
      <w:tr w:rsidR="00E87B38" w:rsidRPr="005970E9" w14:paraId="3A46E2FF"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D9E1F2"/>
            <w:vAlign w:val="bottom"/>
          </w:tcPr>
          <w:p w14:paraId="28E7A701"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Colón</w:t>
            </w:r>
          </w:p>
        </w:tc>
        <w:tc>
          <w:tcPr>
            <w:tcW w:w="1420" w:type="dxa"/>
            <w:tcBorders>
              <w:top w:val="single" w:sz="4" w:space="0" w:color="8EA9DB"/>
              <w:left w:val="nil"/>
              <w:bottom w:val="single" w:sz="4" w:space="0" w:color="8EA9DB"/>
              <w:right w:val="nil"/>
            </w:tcBorders>
            <w:shd w:val="clear" w:color="auto" w:fill="D9E1F2"/>
            <w:vAlign w:val="bottom"/>
          </w:tcPr>
          <w:p w14:paraId="59FE9D90"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17.6</w:t>
            </w:r>
          </w:p>
        </w:tc>
        <w:tc>
          <w:tcPr>
            <w:tcW w:w="1424" w:type="dxa"/>
            <w:tcBorders>
              <w:top w:val="single" w:sz="4" w:space="0" w:color="8EA9DB"/>
              <w:left w:val="nil"/>
              <w:bottom w:val="single" w:sz="4" w:space="0" w:color="8EA9DB"/>
              <w:right w:val="nil"/>
            </w:tcBorders>
            <w:shd w:val="clear" w:color="auto" w:fill="D9E1F2"/>
            <w:vAlign w:val="bottom"/>
          </w:tcPr>
          <w:p w14:paraId="17EF931A"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15.4</w:t>
            </w:r>
          </w:p>
        </w:tc>
        <w:tc>
          <w:tcPr>
            <w:tcW w:w="1420" w:type="dxa"/>
            <w:tcBorders>
              <w:top w:val="single" w:sz="4" w:space="0" w:color="8EA9DB"/>
              <w:left w:val="nil"/>
              <w:bottom w:val="single" w:sz="4" w:space="0" w:color="8EA9DB"/>
              <w:right w:val="nil"/>
            </w:tcBorders>
            <w:shd w:val="clear" w:color="auto" w:fill="D9E1F2"/>
            <w:vAlign w:val="bottom"/>
          </w:tcPr>
          <w:p w14:paraId="5CEB149A"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17.2</w:t>
            </w:r>
          </w:p>
        </w:tc>
        <w:tc>
          <w:tcPr>
            <w:tcW w:w="1420" w:type="dxa"/>
            <w:tcBorders>
              <w:top w:val="single" w:sz="4" w:space="0" w:color="8EA9DB"/>
              <w:left w:val="nil"/>
              <w:bottom w:val="single" w:sz="4" w:space="0" w:color="8EA9DB"/>
              <w:right w:val="single" w:sz="4" w:space="0" w:color="8EA9DB"/>
            </w:tcBorders>
            <w:shd w:val="clear" w:color="auto" w:fill="D9E1F2"/>
            <w:vAlign w:val="bottom"/>
          </w:tcPr>
          <w:p w14:paraId="41822EB6"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15.5</w:t>
            </w:r>
          </w:p>
        </w:tc>
      </w:tr>
      <w:tr w:rsidR="00E87B38" w:rsidRPr="005970E9" w14:paraId="76F8980B"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auto"/>
            <w:vAlign w:val="bottom"/>
          </w:tcPr>
          <w:p w14:paraId="4C7F132C"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Chiriquí</w:t>
            </w:r>
          </w:p>
        </w:tc>
        <w:tc>
          <w:tcPr>
            <w:tcW w:w="1420" w:type="dxa"/>
            <w:tcBorders>
              <w:top w:val="single" w:sz="4" w:space="0" w:color="8EA9DB"/>
              <w:left w:val="nil"/>
              <w:bottom w:val="single" w:sz="4" w:space="0" w:color="8EA9DB"/>
              <w:right w:val="nil"/>
            </w:tcBorders>
            <w:shd w:val="clear" w:color="auto" w:fill="auto"/>
            <w:vAlign w:val="bottom"/>
          </w:tcPr>
          <w:p w14:paraId="420F6436"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13.4</w:t>
            </w:r>
          </w:p>
        </w:tc>
        <w:tc>
          <w:tcPr>
            <w:tcW w:w="1424" w:type="dxa"/>
            <w:tcBorders>
              <w:top w:val="single" w:sz="4" w:space="0" w:color="8EA9DB"/>
              <w:left w:val="nil"/>
              <w:bottom w:val="single" w:sz="4" w:space="0" w:color="8EA9DB"/>
              <w:right w:val="nil"/>
            </w:tcBorders>
            <w:shd w:val="clear" w:color="auto" w:fill="auto"/>
            <w:vAlign w:val="bottom"/>
          </w:tcPr>
          <w:p w14:paraId="638454AA"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11.5</w:t>
            </w:r>
          </w:p>
        </w:tc>
        <w:tc>
          <w:tcPr>
            <w:tcW w:w="1420" w:type="dxa"/>
            <w:tcBorders>
              <w:top w:val="single" w:sz="4" w:space="0" w:color="8EA9DB"/>
              <w:left w:val="nil"/>
              <w:bottom w:val="single" w:sz="4" w:space="0" w:color="8EA9DB"/>
              <w:right w:val="nil"/>
            </w:tcBorders>
            <w:shd w:val="clear" w:color="auto" w:fill="auto"/>
            <w:vAlign w:val="bottom"/>
          </w:tcPr>
          <w:p w14:paraId="66B0F0EC"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12.7</w:t>
            </w:r>
          </w:p>
        </w:tc>
        <w:tc>
          <w:tcPr>
            <w:tcW w:w="1420" w:type="dxa"/>
            <w:tcBorders>
              <w:top w:val="single" w:sz="4" w:space="0" w:color="8EA9DB"/>
              <w:left w:val="nil"/>
              <w:bottom w:val="single" w:sz="4" w:space="0" w:color="8EA9DB"/>
              <w:right w:val="single" w:sz="4" w:space="0" w:color="8EA9DB"/>
            </w:tcBorders>
            <w:shd w:val="clear" w:color="auto" w:fill="auto"/>
            <w:vAlign w:val="bottom"/>
          </w:tcPr>
          <w:p w14:paraId="2D176E8B"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11.1</w:t>
            </w:r>
          </w:p>
        </w:tc>
      </w:tr>
      <w:tr w:rsidR="00E87B38" w:rsidRPr="005970E9" w14:paraId="48D25DD5"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D9E1F2"/>
            <w:vAlign w:val="bottom"/>
          </w:tcPr>
          <w:p w14:paraId="39EDDE20"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Darién</w:t>
            </w:r>
          </w:p>
        </w:tc>
        <w:tc>
          <w:tcPr>
            <w:tcW w:w="1420" w:type="dxa"/>
            <w:tcBorders>
              <w:top w:val="single" w:sz="4" w:space="0" w:color="8EA9DB"/>
              <w:left w:val="nil"/>
              <w:bottom w:val="single" w:sz="4" w:space="0" w:color="8EA9DB"/>
              <w:right w:val="nil"/>
            </w:tcBorders>
            <w:shd w:val="clear" w:color="auto" w:fill="D9E1F2"/>
            <w:vAlign w:val="bottom"/>
          </w:tcPr>
          <w:p w14:paraId="756F3C7A"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42.0</w:t>
            </w:r>
          </w:p>
        </w:tc>
        <w:tc>
          <w:tcPr>
            <w:tcW w:w="1424" w:type="dxa"/>
            <w:tcBorders>
              <w:top w:val="single" w:sz="4" w:space="0" w:color="8EA9DB"/>
              <w:left w:val="nil"/>
              <w:bottom w:val="single" w:sz="4" w:space="0" w:color="8EA9DB"/>
              <w:right w:val="nil"/>
            </w:tcBorders>
            <w:shd w:val="clear" w:color="auto" w:fill="D9E1F2"/>
            <w:vAlign w:val="bottom"/>
          </w:tcPr>
          <w:p w14:paraId="476FFFC4"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37.9</w:t>
            </w:r>
          </w:p>
        </w:tc>
        <w:tc>
          <w:tcPr>
            <w:tcW w:w="1420" w:type="dxa"/>
            <w:tcBorders>
              <w:top w:val="single" w:sz="4" w:space="0" w:color="8EA9DB"/>
              <w:left w:val="nil"/>
              <w:bottom w:val="single" w:sz="4" w:space="0" w:color="8EA9DB"/>
              <w:right w:val="nil"/>
            </w:tcBorders>
            <w:shd w:val="clear" w:color="auto" w:fill="D9E1F2"/>
            <w:vAlign w:val="bottom"/>
          </w:tcPr>
          <w:p w14:paraId="2EB3EE53"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35.8</w:t>
            </w:r>
          </w:p>
        </w:tc>
        <w:tc>
          <w:tcPr>
            <w:tcW w:w="1420" w:type="dxa"/>
            <w:tcBorders>
              <w:top w:val="single" w:sz="4" w:space="0" w:color="8EA9DB"/>
              <w:left w:val="nil"/>
              <w:bottom w:val="single" w:sz="4" w:space="0" w:color="8EA9DB"/>
              <w:right w:val="single" w:sz="4" w:space="0" w:color="8EA9DB"/>
            </w:tcBorders>
            <w:shd w:val="clear" w:color="auto" w:fill="D9E1F2"/>
            <w:vAlign w:val="bottom"/>
          </w:tcPr>
          <w:p w14:paraId="47CAC41D"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36.1</w:t>
            </w:r>
          </w:p>
        </w:tc>
      </w:tr>
      <w:tr w:rsidR="00E87B38" w:rsidRPr="005970E9" w14:paraId="78BC49CA"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auto"/>
            <w:vAlign w:val="bottom"/>
          </w:tcPr>
          <w:p w14:paraId="4966914A"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Herrera</w:t>
            </w:r>
          </w:p>
        </w:tc>
        <w:tc>
          <w:tcPr>
            <w:tcW w:w="1420" w:type="dxa"/>
            <w:tcBorders>
              <w:top w:val="single" w:sz="4" w:space="0" w:color="8EA9DB"/>
              <w:left w:val="nil"/>
              <w:bottom w:val="single" w:sz="4" w:space="0" w:color="8EA9DB"/>
              <w:right w:val="nil"/>
            </w:tcBorders>
            <w:shd w:val="clear" w:color="auto" w:fill="auto"/>
            <w:vAlign w:val="bottom"/>
          </w:tcPr>
          <w:p w14:paraId="7EE0A6B6"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7.5</w:t>
            </w:r>
          </w:p>
        </w:tc>
        <w:tc>
          <w:tcPr>
            <w:tcW w:w="1424" w:type="dxa"/>
            <w:tcBorders>
              <w:top w:val="single" w:sz="4" w:space="0" w:color="8EA9DB"/>
              <w:left w:val="nil"/>
              <w:bottom w:val="single" w:sz="4" w:space="0" w:color="8EA9DB"/>
              <w:right w:val="nil"/>
            </w:tcBorders>
            <w:shd w:val="clear" w:color="auto" w:fill="auto"/>
            <w:vAlign w:val="bottom"/>
          </w:tcPr>
          <w:p w14:paraId="0B68845D"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6.9</w:t>
            </w:r>
          </w:p>
        </w:tc>
        <w:tc>
          <w:tcPr>
            <w:tcW w:w="1420" w:type="dxa"/>
            <w:tcBorders>
              <w:top w:val="single" w:sz="4" w:space="0" w:color="8EA9DB"/>
              <w:left w:val="nil"/>
              <w:bottom w:val="single" w:sz="4" w:space="0" w:color="8EA9DB"/>
              <w:right w:val="nil"/>
            </w:tcBorders>
            <w:shd w:val="clear" w:color="auto" w:fill="auto"/>
            <w:vAlign w:val="bottom"/>
          </w:tcPr>
          <w:p w14:paraId="43AA9B28"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5.2</w:t>
            </w:r>
          </w:p>
        </w:tc>
        <w:tc>
          <w:tcPr>
            <w:tcW w:w="1420" w:type="dxa"/>
            <w:tcBorders>
              <w:top w:val="single" w:sz="4" w:space="0" w:color="8EA9DB"/>
              <w:left w:val="nil"/>
              <w:bottom w:val="single" w:sz="4" w:space="0" w:color="8EA9DB"/>
              <w:right w:val="single" w:sz="4" w:space="0" w:color="8EA9DB"/>
            </w:tcBorders>
            <w:shd w:val="clear" w:color="auto" w:fill="auto"/>
            <w:vAlign w:val="bottom"/>
          </w:tcPr>
          <w:p w14:paraId="030F304A"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5.0</w:t>
            </w:r>
          </w:p>
        </w:tc>
      </w:tr>
      <w:tr w:rsidR="00E87B38" w:rsidRPr="005970E9" w14:paraId="0BA138B4"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D9E1F2"/>
            <w:vAlign w:val="bottom"/>
          </w:tcPr>
          <w:p w14:paraId="6A67D274"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Los Santos</w:t>
            </w:r>
          </w:p>
        </w:tc>
        <w:tc>
          <w:tcPr>
            <w:tcW w:w="1420" w:type="dxa"/>
            <w:tcBorders>
              <w:top w:val="single" w:sz="4" w:space="0" w:color="8EA9DB"/>
              <w:left w:val="nil"/>
              <w:bottom w:val="single" w:sz="4" w:space="0" w:color="8EA9DB"/>
              <w:right w:val="nil"/>
            </w:tcBorders>
            <w:shd w:val="clear" w:color="auto" w:fill="D9E1F2"/>
            <w:vAlign w:val="bottom"/>
          </w:tcPr>
          <w:p w14:paraId="2C0197AA"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5.1</w:t>
            </w:r>
          </w:p>
        </w:tc>
        <w:tc>
          <w:tcPr>
            <w:tcW w:w="1424" w:type="dxa"/>
            <w:tcBorders>
              <w:top w:val="single" w:sz="4" w:space="0" w:color="8EA9DB"/>
              <w:left w:val="nil"/>
              <w:bottom w:val="single" w:sz="4" w:space="0" w:color="8EA9DB"/>
              <w:right w:val="nil"/>
            </w:tcBorders>
            <w:shd w:val="clear" w:color="auto" w:fill="D9E1F2"/>
            <w:vAlign w:val="bottom"/>
          </w:tcPr>
          <w:p w14:paraId="54242155"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3.3</w:t>
            </w:r>
          </w:p>
        </w:tc>
        <w:tc>
          <w:tcPr>
            <w:tcW w:w="1420" w:type="dxa"/>
            <w:tcBorders>
              <w:top w:val="single" w:sz="4" w:space="0" w:color="8EA9DB"/>
              <w:left w:val="nil"/>
              <w:bottom w:val="single" w:sz="4" w:space="0" w:color="8EA9DB"/>
              <w:right w:val="nil"/>
            </w:tcBorders>
            <w:shd w:val="clear" w:color="auto" w:fill="D9E1F2"/>
            <w:vAlign w:val="bottom"/>
          </w:tcPr>
          <w:p w14:paraId="091FAC26"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4.6</w:t>
            </w:r>
          </w:p>
        </w:tc>
        <w:tc>
          <w:tcPr>
            <w:tcW w:w="1420" w:type="dxa"/>
            <w:tcBorders>
              <w:top w:val="single" w:sz="4" w:space="0" w:color="8EA9DB"/>
              <w:left w:val="nil"/>
              <w:bottom w:val="single" w:sz="4" w:space="0" w:color="8EA9DB"/>
              <w:right w:val="single" w:sz="4" w:space="0" w:color="8EA9DB"/>
            </w:tcBorders>
            <w:shd w:val="clear" w:color="auto" w:fill="D9E1F2"/>
            <w:vAlign w:val="bottom"/>
          </w:tcPr>
          <w:p w14:paraId="1F1BE15C"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3.3</w:t>
            </w:r>
          </w:p>
        </w:tc>
      </w:tr>
      <w:tr w:rsidR="00E87B38" w:rsidRPr="005970E9" w14:paraId="78CE8D3B"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auto"/>
            <w:vAlign w:val="bottom"/>
          </w:tcPr>
          <w:p w14:paraId="4309004C"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Panamá</w:t>
            </w:r>
          </w:p>
        </w:tc>
        <w:tc>
          <w:tcPr>
            <w:tcW w:w="1420" w:type="dxa"/>
            <w:tcBorders>
              <w:top w:val="single" w:sz="4" w:space="0" w:color="8EA9DB"/>
              <w:left w:val="nil"/>
              <w:bottom w:val="single" w:sz="4" w:space="0" w:color="8EA9DB"/>
              <w:right w:val="nil"/>
            </w:tcBorders>
            <w:shd w:val="clear" w:color="auto" w:fill="auto"/>
            <w:vAlign w:val="bottom"/>
          </w:tcPr>
          <w:p w14:paraId="4B5D3235"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8.9</w:t>
            </w:r>
          </w:p>
        </w:tc>
        <w:tc>
          <w:tcPr>
            <w:tcW w:w="1424" w:type="dxa"/>
            <w:tcBorders>
              <w:top w:val="single" w:sz="4" w:space="0" w:color="8EA9DB"/>
              <w:left w:val="nil"/>
              <w:bottom w:val="single" w:sz="4" w:space="0" w:color="8EA9DB"/>
              <w:right w:val="nil"/>
            </w:tcBorders>
            <w:shd w:val="clear" w:color="auto" w:fill="auto"/>
            <w:vAlign w:val="bottom"/>
          </w:tcPr>
          <w:p w14:paraId="515C09D9"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8.2</w:t>
            </w:r>
          </w:p>
        </w:tc>
        <w:tc>
          <w:tcPr>
            <w:tcW w:w="1420" w:type="dxa"/>
            <w:tcBorders>
              <w:top w:val="single" w:sz="4" w:space="0" w:color="8EA9DB"/>
              <w:left w:val="nil"/>
              <w:bottom w:val="single" w:sz="4" w:space="0" w:color="8EA9DB"/>
              <w:right w:val="nil"/>
            </w:tcBorders>
            <w:shd w:val="clear" w:color="auto" w:fill="auto"/>
            <w:vAlign w:val="bottom"/>
          </w:tcPr>
          <w:p w14:paraId="52F2A791"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10.6</w:t>
            </w:r>
          </w:p>
        </w:tc>
        <w:tc>
          <w:tcPr>
            <w:tcW w:w="1420" w:type="dxa"/>
            <w:tcBorders>
              <w:top w:val="single" w:sz="4" w:space="0" w:color="8EA9DB"/>
              <w:left w:val="nil"/>
              <w:bottom w:val="single" w:sz="4" w:space="0" w:color="8EA9DB"/>
              <w:right w:val="single" w:sz="4" w:space="0" w:color="8EA9DB"/>
            </w:tcBorders>
            <w:shd w:val="clear" w:color="auto" w:fill="auto"/>
            <w:vAlign w:val="bottom"/>
          </w:tcPr>
          <w:p w14:paraId="4213486E"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9.9</w:t>
            </w:r>
          </w:p>
        </w:tc>
      </w:tr>
      <w:tr w:rsidR="00E87B38" w:rsidRPr="005970E9" w14:paraId="006A60F6"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D9E1F2"/>
            <w:vAlign w:val="bottom"/>
          </w:tcPr>
          <w:p w14:paraId="270D1881"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Veraguas</w:t>
            </w:r>
          </w:p>
        </w:tc>
        <w:tc>
          <w:tcPr>
            <w:tcW w:w="1420" w:type="dxa"/>
            <w:tcBorders>
              <w:top w:val="single" w:sz="4" w:space="0" w:color="8EA9DB"/>
              <w:left w:val="nil"/>
              <w:bottom w:val="single" w:sz="4" w:space="0" w:color="8EA9DB"/>
              <w:right w:val="nil"/>
            </w:tcBorders>
            <w:shd w:val="clear" w:color="auto" w:fill="D9E1F2"/>
            <w:vAlign w:val="bottom"/>
          </w:tcPr>
          <w:p w14:paraId="3C71E14F"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20.1</w:t>
            </w:r>
          </w:p>
        </w:tc>
        <w:tc>
          <w:tcPr>
            <w:tcW w:w="1424" w:type="dxa"/>
            <w:tcBorders>
              <w:top w:val="single" w:sz="4" w:space="0" w:color="8EA9DB"/>
              <w:left w:val="nil"/>
              <w:bottom w:val="single" w:sz="4" w:space="0" w:color="8EA9DB"/>
              <w:right w:val="nil"/>
            </w:tcBorders>
            <w:shd w:val="clear" w:color="auto" w:fill="D9E1F2"/>
            <w:vAlign w:val="bottom"/>
          </w:tcPr>
          <w:p w14:paraId="77DD625F"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18.2</w:t>
            </w:r>
          </w:p>
        </w:tc>
        <w:tc>
          <w:tcPr>
            <w:tcW w:w="1420" w:type="dxa"/>
            <w:tcBorders>
              <w:top w:val="single" w:sz="4" w:space="0" w:color="8EA9DB"/>
              <w:left w:val="nil"/>
              <w:bottom w:val="single" w:sz="4" w:space="0" w:color="8EA9DB"/>
              <w:right w:val="nil"/>
            </w:tcBorders>
            <w:shd w:val="clear" w:color="auto" w:fill="D9E1F2"/>
            <w:vAlign w:val="bottom"/>
          </w:tcPr>
          <w:p w14:paraId="0313CC14"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18.2</w:t>
            </w:r>
          </w:p>
        </w:tc>
        <w:tc>
          <w:tcPr>
            <w:tcW w:w="1420" w:type="dxa"/>
            <w:tcBorders>
              <w:top w:val="single" w:sz="4" w:space="0" w:color="8EA9DB"/>
              <w:left w:val="nil"/>
              <w:bottom w:val="single" w:sz="4" w:space="0" w:color="8EA9DB"/>
              <w:right w:val="single" w:sz="4" w:space="0" w:color="8EA9DB"/>
            </w:tcBorders>
            <w:shd w:val="clear" w:color="auto" w:fill="D9E1F2"/>
            <w:vAlign w:val="bottom"/>
          </w:tcPr>
          <w:p w14:paraId="2988CE98"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16.1</w:t>
            </w:r>
          </w:p>
        </w:tc>
      </w:tr>
      <w:tr w:rsidR="00E87B38" w:rsidRPr="005970E9" w14:paraId="069789AE"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auto"/>
            <w:vAlign w:val="bottom"/>
          </w:tcPr>
          <w:p w14:paraId="0C166947"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Kuna Yala</w:t>
            </w:r>
          </w:p>
        </w:tc>
        <w:tc>
          <w:tcPr>
            <w:tcW w:w="1420" w:type="dxa"/>
            <w:tcBorders>
              <w:top w:val="single" w:sz="4" w:space="0" w:color="8EA9DB"/>
              <w:left w:val="nil"/>
              <w:bottom w:val="single" w:sz="4" w:space="0" w:color="8EA9DB"/>
              <w:right w:val="nil"/>
            </w:tcBorders>
            <w:shd w:val="clear" w:color="auto" w:fill="auto"/>
            <w:vAlign w:val="bottom"/>
          </w:tcPr>
          <w:p w14:paraId="52D18D34"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91.0</w:t>
            </w:r>
          </w:p>
        </w:tc>
        <w:tc>
          <w:tcPr>
            <w:tcW w:w="1424" w:type="dxa"/>
            <w:tcBorders>
              <w:top w:val="single" w:sz="4" w:space="0" w:color="8EA9DB"/>
              <w:left w:val="nil"/>
              <w:bottom w:val="single" w:sz="4" w:space="0" w:color="8EA9DB"/>
              <w:right w:val="nil"/>
            </w:tcBorders>
            <w:shd w:val="clear" w:color="auto" w:fill="auto"/>
            <w:vAlign w:val="bottom"/>
          </w:tcPr>
          <w:p w14:paraId="4C22E303"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91.7</w:t>
            </w:r>
          </w:p>
        </w:tc>
        <w:tc>
          <w:tcPr>
            <w:tcW w:w="1420" w:type="dxa"/>
            <w:tcBorders>
              <w:top w:val="single" w:sz="4" w:space="0" w:color="8EA9DB"/>
              <w:left w:val="nil"/>
              <w:bottom w:val="single" w:sz="4" w:space="0" w:color="8EA9DB"/>
              <w:right w:val="nil"/>
            </w:tcBorders>
            <w:shd w:val="clear" w:color="auto" w:fill="auto"/>
            <w:vAlign w:val="bottom"/>
          </w:tcPr>
          <w:p w14:paraId="716BC773"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93.9</w:t>
            </w:r>
          </w:p>
        </w:tc>
        <w:tc>
          <w:tcPr>
            <w:tcW w:w="1420" w:type="dxa"/>
            <w:tcBorders>
              <w:top w:val="single" w:sz="4" w:space="0" w:color="8EA9DB"/>
              <w:left w:val="nil"/>
              <w:bottom w:val="single" w:sz="4" w:space="0" w:color="8EA9DB"/>
              <w:right w:val="single" w:sz="4" w:space="0" w:color="8EA9DB"/>
            </w:tcBorders>
            <w:shd w:val="clear" w:color="auto" w:fill="auto"/>
            <w:vAlign w:val="bottom"/>
          </w:tcPr>
          <w:p w14:paraId="4ECF6D0E"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93.7</w:t>
            </w:r>
          </w:p>
        </w:tc>
      </w:tr>
      <w:tr w:rsidR="00E87B38" w:rsidRPr="005970E9" w14:paraId="059577DB"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D9E1F2"/>
            <w:vAlign w:val="bottom"/>
          </w:tcPr>
          <w:p w14:paraId="7E8998A5"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Emberá</w:t>
            </w:r>
          </w:p>
        </w:tc>
        <w:tc>
          <w:tcPr>
            <w:tcW w:w="1420" w:type="dxa"/>
            <w:tcBorders>
              <w:top w:val="single" w:sz="4" w:space="0" w:color="8EA9DB"/>
              <w:left w:val="nil"/>
              <w:bottom w:val="single" w:sz="4" w:space="0" w:color="8EA9DB"/>
              <w:right w:val="nil"/>
            </w:tcBorders>
            <w:shd w:val="clear" w:color="auto" w:fill="D9E1F2"/>
            <w:vAlign w:val="bottom"/>
          </w:tcPr>
          <w:p w14:paraId="7FB1FA3B"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70.3</w:t>
            </w:r>
          </w:p>
        </w:tc>
        <w:tc>
          <w:tcPr>
            <w:tcW w:w="1424" w:type="dxa"/>
            <w:tcBorders>
              <w:top w:val="single" w:sz="4" w:space="0" w:color="8EA9DB"/>
              <w:left w:val="nil"/>
              <w:bottom w:val="single" w:sz="4" w:space="0" w:color="8EA9DB"/>
              <w:right w:val="nil"/>
            </w:tcBorders>
            <w:shd w:val="clear" w:color="auto" w:fill="D9E1F2"/>
            <w:vAlign w:val="bottom"/>
          </w:tcPr>
          <w:p w14:paraId="69D9B938"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71.5</w:t>
            </w:r>
          </w:p>
        </w:tc>
        <w:tc>
          <w:tcPr>
            <w:tcW w:w="1420" w:type="dxa"/>
            <w:tcBorders>
              <w:top w:val="single" w:sz="4" w:space="0" w:color="8EA9DB"/>
              <w:left w:val="nil"/>
              <w:bottom w:val="single" w:sz="4" w:space="0" w:color="8EA9DB"/>
              <w:right w:val="nil"/>
            </w:tcBorders>
            <w:shd w:val="clear" w:color="auto" w:fill="D9E1F2"/>
            <w:vAlign w:val="bottom"/>
          </w:tcPr>
          <w:p w14:paraId="60A3890F"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70.7</w:t>
            </w:r>
          </w:p>
        </w:tc>
        <w:tc>
          <w:tcPr>
            <w:tcW w:w="1420" w:type="dxa"/>
            <w:tcBorders>
              <w:top w:val="single" w:sz="4" w:space="0" w:color="8EA9DB"/>
              <w:left w:val="nil"/>
              <w:bottom w:val="single" w:sz="4" w:space="0" w:color="8EA9DB"/>
              <w:right w:val="single" w:sz="4" w:space="0" w:color="8EA9DB"/>
            </w:tcBorders>
            <w:shd w:val="clear" w:color="auto" w:fill="D9E1F2"/>
            <w:vAlign w:val="bottom"/>
          </w:tcPr>
          <w:p w14:paraId="7CCDFDFB"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70.9</w:t>
            </w:r>
          </w:p>
        </w:tc>
      </w:tr>
      <w:tr w:rsidR="00E87B38" w:rsidRPr="005970E9" w14:paraId="6CB93CDA"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auto"/>
            <w:vAlign w:val="bottom"/>
          </w:tcPr>
          <w:p w14:paraId="5223AECD"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Ngäbe Buglé</w:t>
            </w:r>
          </w:p>
        </w:tc>
        <w:tc>
          <w:tcPr>
            <w:tcW w:w="1420" w:type="dxa"/>
            <w:tcBorders>
              <w:top w:val="single" w:sz="4" w:space="0" w:color="8EA9DB"/>
              <w:left w:val="nil"/>
              <w:bottom w:val="single" w:sz="4" w:space="0" w:color="8EA9DB"/>
              <w:right w:val="nil"/>
            </w:tcBorders>
            <w:shd w:val="clear" w:color="auto" w:fill="auto"/>
            <w:vAlign w:val="bottom"/>
          </w:tcPr>
          <w:p w14:paraId="3DF5C8B0"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93.7</w:t>
            </w:r>
          </w:p>
        </w:tc>
        <w:tc>
          <w:tcPr>
            <w:tcW w:w="1424" w:type="dxa"/>
            <w:tcBorders>
              <w:top w:val="single" w:sz="4" w:space="0" w:color="8EA9DB"/>
              <w:left w:val="nil"/>
              <w:bottom w:val="single" w:sz="4" w:space="0" w:color="8EA9DB"/>
              <w:right w:val="nil"/>
            </w:tcBorders>
            <w:shd w:val="clear" w:color="auto" w:fill="auto"/>
            <w:vAlign w:val="bottom"/>
          </w:tcPr>
          <w:p w14:paraId="1920D617"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93.0</w:t>
            </w:r>
          </w:p>
        </w:tc>
        <w:tc>
          <w:tcPr>
            <w:tcW w:w="1420" w:type="dxa"/>
            <w:tcBorders>
              <w:top w:val="single" w:sz="4" w:space="0" w:color="8EA9DB"/>
              <w:left w:val="nil"/>
              <w:bottom w:val="single" w:sz="4" w:space="0" w:color="8EA9DB"/>
              <w:right w:val="nil"/>
            </w:tcBorders>
            <w:shd w:val="clear" w:color="auto" w:fill="auto"/>
            <w:vAlign w:val="bottom"/>
          </w:tcPr>
          <w:p w14:paraId="1BC1F524"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92.4</w:t>
            </w:r>
          </w:p>
        </w:tc>
        <w:tc>
          <w:tcPr>
            <w:tcW w:w="1420" w:type="dxa"/>
            <w:tcBorders>
              <w:top w:val="single" w:sz="4" w:space="0" w:color="8EA9DB"/>
              <w:left w:val="nil"/>
              <w:bottom w:val="single" w:sz="4" w:space="0" w:color="8EA9DB"/>
              <w:right w:val="single" w:sz="4" w:space="0" w:color="8EA9DB"/>
            </w:tcBorders>
            <w:shd w:val="clear" w:color="auto" w:fill="auto"/>
            <w:vAlign w:val="bottom"/>
          </w:tcPr>
          <w:p w14:paraId="7AE6362C"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89.8</w:t>
            </w:r>
          </w:p>
        </w:tc>
      </w:tr>
      <w:tr w:rsidR="00E87B38" w:rsidRPr="005970E9" w14:paraId="7DB7F80C"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D9E1F2"/>
            <w:vAlign w:val="bottom"/>
          </w:tcPr>
          <w:p w14:paraId="1960759A"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Panamá Oeste</w:t>
            </w:r>
          </w:p>
        </w:tc>
        <w:tc>
          <w:tcPr>
            <w:tcW w:w="1420" w:type="dxa"/>
            <w:tcBorders>
              <w:top w:val="single" w:sz="4" w:space="0" w:color="8EA9DB"/>
              <w:left w:val="nil"/>
              <w:bottom w:val="single" w:sz="4" w:space="0" w:color="8EA9DB"/>
              <w:right w:val="nil"/>
            </w:tcBorders>
            <w:shd w:val="clear" w:color="auto" w:fill="D9E1F2"/>
            <w:vAlign w:val="bottom"/>
          </w:tcPr>
          <w:p w14:paraId="248C58E8"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15.8</w:t>
            </w:r>
          </w:p>
        </w:tc>
        <w:tc>
          <w:tcPr>
            <w:tcW w:w="1424" w:type="dxa"/>
            <w:tcBorders>
              <w:top w:val="single" w:sz="4" w:space="0" w:color="8EA9DB"/>
              <w:left w:val="nil"/>
              <w:bottom w:val="single" w:sz="4" w:space="0" w:color="8EA9DB"/>
              <w:right w:val="nil"/>
            </w:tcBorders>
            <w:shd w:val="clear" w:color="auto" w:fill="D9E1F2"/>
            <w:vAlign w:val="bottom"/>
          </w:tcPr>
          <w:p w14:paraId="373B8C75"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15.5</w:t>
            </w:r>
          </w:p>
        </w:tc>
        <w:tc>
          <w:tcPr>
            <w:tcW w:w="1420" w:type="dxa"/>
            <w:tcBorders>
              <w:top w:val="single" w:sz="4" w:space="0" w:color="8EA9DB"/>
              <w:left w:val="nil"/>
              <w:bottom w:val="single" w:sz="4" w:space="0" w:color="8EA9DB"/>
              <w:right w:val="nil"/>
            </w:tcBorders>
            <w:shd w:val="clear" w:color="auto" w:fill="D9E1F2"/>
            <w:vAlign w:val="bottom"/>
          </w:tcPr>
          <w:p w14:paraId="0288259F"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16.0</w:t>
            </w:r>
          </w:p>
        </w:tc>
        <w:tc>
          <w:tcPr>
            <w:tcW w:w="1420" w:type="dxa"/>
            <w:tcBorders>
              <w:top w:val="single" w:sz="4" w:space="0" w:color="8EA9DB"/>
              <w:left w:val="nil"/>
              <w:bottom w:val="single" w:sz="4" w:space="0" w:color="8EA9DB"/>
              <w:right w:val="single" w:sz="4" w:space="0" w:color="8EA9DB"/>
            </w:tcBorders>
            <w:shd w:val="clear" w:color="auto" w:fill="D9E1F2"/>
            <w:vAlign w:val="bottom"/>
          </w:tcPr>
          <w:p w14:paraId="3C17F252"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15.0</w:t>
            </w:r>
          </w:p>
        </w:tc>
      </w:tr>
      <w:tr w:rsidR="00E87B38" w:rsidRPr="005970E9" w14:paraId="406F1422" w14:textId="77777777">
        <w:trPr>
          <w:trHeight w:val="288"/>
          <w:jc w:val="center"/>
        </w:trPr>
        <w:tc>
          <w:tcPr>
            <w:tcW w:w="2127" w:type="dxa"/>
            <w:tcBorders>
              <w:top w:val="single" w:sz="4" w:space="0" w:color="8EA9DB"/>
              <w:left w:val="single" w:sz="4" w:space="0" w:color="8EA9DB"/>
              <w:bottom w:val="single" w:sz="4" w:space="0" w:color="8EA9DB"/>
              <w:right w:val="nil"/>
            </w:tcBorders>
            <w:shd w:val="clear" w:color="auto" w:fill="auto"/>
            <w:vAlign w:val="bottom"/>
          </w:tcPr>
          <w:p w14:paraId="15B3E769"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Total</w:t>
            </w:r>
          </w:p>
        </w:tc>
        <w:tc>
          <w:tcPr>
            <w:tcW w:w="1420" w:type="dxa"/>
            <w:tcBorders>
              <w:top w:val="single" w:sz="4" w:space="0" w:color="8EA9DB"/>
              <w:left w:val="nil"/>
              <w:bottom w:val="single" w:sz="4" w:space="0" w:color="8EA9DB"/>
              <w:right w:val="nil"/>
            </w:tcBorders>
            <w:shd w:val="clear" w:color="auto" w:fill="auto"/>
            <w:vAlign w:val="bottom"/>
          </w:tcPr>
          <w:p w14:paraId="31C17525"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19.7</w:t>
            </w:r>
          </w:p>
        </w:tc>
        <w:tc>
          <w:tcPr>
            <w:tcW w:w="1424" w:type="dxa"/>
            <w:tcBorders>
              <w:top w:val="single" w:sz="4" w:space="0" w:color="8EA9DB"/>
              <w:left w:val="nil"/>
              <w:bottom w:val="single" w:sz="4" w:space="0" w:color="8EA9DB"/>
              <w:right w:val="nil"/>
            </w:tcBorders>
            <w:shd w:val="clear" w:color="auto" w:fill="auto"/>
            <w:vAlign w:val="bottom"/>
          </w:tcPr>
          <w:p w14:paraId="65B7E9A6"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18.5</w:t>
            </w:r>
          </w:p>
        </w:tc>
        <w:tc>
          <w:tcPr>
            <w:tcW w:w="1420" w:type="dxa"/>
            <w:tcBorders>
              <w:top w:val="single" w:sz="4" w:space="0" w:color="8EA9DB"/>
              <w:left w:val="nil"/>
              <w:bottom w:val="single" w:sz="4" w:space="0" w:color="8EA9DB"/>
              <w:right w:val="nil"/>
            </w:tcBorders>
            <w:shd w:val="clear" w:color="auto" w:fill="auto"/>
            <w:vAlign w:val="bottom"/>
          </w:tcPr>
          <w:p w14:paraId="5B8B8402"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19.5</w:t>
            </w:r>
          </w:p>
        </w:tc>
        <w:tc>
          <w:tcPr>
            <w:tcW w:w="1420" w:type="dxa"/>
            <w:tcBorders>
              <w:top w:val="single" w:sz="4" w:space="0" w:color="8EA9DB"/>
              <w:left w:val="nil"/>
              <w:bottom w:val="single" w:sz="4" w:space="0" w:color="8EA9DB"/>
              <w:right w:val="single" w:sz="4" w:space="0" w:color="8EA9DB"/>
            </w:tcBorders>
            <w:shd w:val="clear" w:color="auto" w:fill="auto"/>
            <w:vAlign w:val="bottom"/>
          </w:tcPr>
          <w:p w14:paraId="1254207D" w14:textId="77777777" w:rsidR="00B76B0C" w:rsidRPr="005970E9" w:rsidRDefault="003B5C05">
            <w:pPr>
              <w:jc w:val="right"/>
              <w:rPr>
                <w:rFonts w:eastAsia="Century Schoolbook" w:cs="Century Schoolbook"/>
                <w:color w:val="000000"/>
                <w:sz w:val="20"/>
                <w:szCs w:val="20"/>
              </w:rPr>
            </w:pPr>
            <w:r w:rsidRPr="005970E9">
              <w:rPr>
                <w:rFonts w:eastAsia="Century Schoolbook" w:cs="Century Schoolbook"/>
                <w:color w:val="000000"/>
                <w:sz w:val="20"/>
                <w:szCs w:val="20"/>
              </w:rPr>
              <w:t>18.6</w:t>
            </w:r>
          </w:p>
        </w:tc>
      </w:tr>
      <w:tr w:rsidR="00E87B38" w:rsidRPr="005970E9" w14:paraId="4FD7BD3D" w14:textId="77777777">
        <w:trPr>
          <w:trHeight w:val="288"/>
          <w:jc w:val="center"/>
        </w:trPr>
        <w:tc>
          <w:tcPr>
            <w:tcW w:w="4971" w:type="dxa"/>
            <w:gridSpan w:val="3"/>
            <w:tcBorders>
              <w:top w:val="single" w:sz="4" w:space="0" w:color="8EA9DB"/>
              <w:left w:val="single" w:sz="4" w:space="0" w:color="8EA9DB"/>
              <w:bottom w:val="single" w:sz="4" w:space="0" w:color="8EA9DB"/>
              <w:right w:val="nil"/>
            </w:tcBorders>
            <w:shd w:val="clear" w:color="auto" w:fill="D9E1F2"/>
            <w:vAlign w:val="bottom"/>
          </w:tcPr>
          <w:p w14:paraId="00642317"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Fuente: Encuesta de hogares INEC.</w:t>
            </w:r>
          </w:p>
        </w:tc>
        <w:tc>
          <w:tcPr>
            <w:tcW w:w="1420" w:type="dxa"/>
            <w:tcBorders>
              <w:top w:val="single" w:sz="4" w:space="0" w:color="8EA9DB"/>
              <w:left w:val="nil"/>
              <w:bottom w:val="single" w:sz="4" w:space="0" w:color="8EA9DB"/>
              <w:right w:val="nil"/>
            </w:tcBorders>
            <w:shd w:val="clear" w:color="auto" w:fill="D9E1F2"/>
            <w:vAlign w:val="bottom"/>
          </w:tcPr>
          <w:p w14:paraId="1CA2C874" w14:textId="77777777" w:rsidR="00B76B0C" w:rsidRPr="005970E9" w:rsidRDefault="00B76B0C">
            <w:pPr>
              <w:rPr>
                <w:rFonts w:eastAsia="Century Schoolbook" w:cs="Century Schoolbook"/>
                <w:color w:val="000000"/>
                <w:sz w:val="20"/>
                <w:szCs w:val="20"/>
              </w:rPr>
            </w:pPr>
          </w:p>
        </w:tc>
        <w:tc>
          <w:tcPr>
            <w:tcW w:w="1420" w:type="dxa"/>
            <w:tcBorders>
              <w:top w:val="single" w:sz="4" w:space="0" w:color="8EA9DB"/>
              <w:left w:val="nil"/>
              <w:bottom w:val="single" w:sz="4" w:space="0" w:color="8EA9DB"/>
              <w:right w:val="single" w:sz="4" w:space="0" w:color="8EA9DB"/>
            </w:tcBorders>
            <w:shd w:val="clear" w:color="auto" w:fill="D9E1F2"/>
            <w:vAlign w:val="bottom"/>
          </w:tcPr>
          <w:p w14:paraId="2BF0CC3B" w14:textId="77777777" w:rsidR="00B76B0C" w:rsidRPr="005970E9" w:rsidRDefault="00B76B0C">
            <w:pPr>
              <w:rPr>
                <w:rFonts w:eastAsia="Century Schoolbook" w:cs="Century Schoolbook"/>
                <w:sz w:val="20"/>
                <w:szCs w:val="20"/>
              </w:rPr>
            </w:pPr>
          </w:p>
        </w:tc>
      </w:tr>
    </w:tbl>
    <w:p w14:paraId="2283A3C8" w14:textId="36E84A57" w:rsidR="00B76B0C" w:rsidRPr="005970E9" w:rsidRDefault="003B5C05" w:rsidP="00701A49">
      <w:pPr>
        <w:spacing w:before="240" w:after="120" w:line="276" w:lineRule="auto"/>
        <w:jc w:val="both"/>
        <w:rPr>
          <w:rFonts w:eastAsia="Century Schoolbook" w:cs="Century Schoolbook"/>
        </w:rPr>
      </w:pPr>
      <w:r w:rsidRPr="005970E9">
        <w:rPr>
          <w:rFonts w:eastAsia="Century Schoolbook" w:cs="Century Schoolbook"/>
        </w:rPr>
        <w:t>Los índices de pobreza producidos en el pasado por el acceso a ingresos han identificado a las Comarcas Indígenas y a las provincias de Bocas del Toro y Darién cómo los territorios donde mayor impacto tienen las condiciones de pobreza. En 2018 la pobreza multidimensional es mayor en Kuna Yala para ambos sexos</w:t>
      </w:r>
      <w:r w:rsidR="001F4949" w:rsidRPr="005970E9">
        <w:rPr>
          <w:rFonts w:eastAsia="Century Schoolbook" w:cs="Century Schoolbook"/>
        </w:rPr>
        <w:t>. En l</w:t>
      </w:r>
      <w:r w:rsidRPr="005970E9">
        <w:rPr>
          <w:rFonts w:eastAsia="Century Schoolbook" w:cs="Century Schoolbook"/>
        </w:rPr>
        <w:t>a</w:t>
      </w:r>
      <w:r w:rsidR="001F4949" w:rsidRPr="005970E9">
        <w:rPr>
          <w:rFonts w:eastAsia="Century Schoolbook" w:cs="Century Schoolbook"/>
        </w:rPr>
        <w:t>s</w:t>
      </w:r>
      <w:r w:rsidRPr="005970E9">
        <w:rPr>
          <w:rFonts w:eastAsia="Century Schoolbook" w:cs="Century Schoolbook"/>
        </w:rPr>
        <w:t xml:space="preserve"> provincia</w:t>
      </w:r>
      <w:r w:rsidR="001F4949" w:rsidRPr="005970E9">
        <w:rPr>
          <w:rFonts w:eastAsia="Century Schoolbook" w:cs="Century Schoolbook"/>
        </w:rPr>
        <w:t>s</w:t>
      </w:r>
      <w:r w:rsidRPr="005970E9">
        <w:rPr>
          <w:rFonts w:eastAsia="Century Schoolbook" w:cs="Century Schoolbook"/>
        </w:rPr>
        <w:t xml:space="preserve"> de Panamá, Los Santos y Herrera las mujeres muestran el menor empobrecimiento</w:t>
      </w:r>
      <w:r w:rsidR="00FF3DAE">
        <w:rPr>
          <w:rFonts w:eastAsia="Century Schoolbook" w:cs="Century Schoolbook"/>
        </w:rPr>
        <w:t xml:space="preserve"> (ver tabla 7)</w:t>
      </w:r>
      <w:r w:rsidRPr="005970E9">
        <w:rPr>
          <w:rFonts w:eastAsia="Century Schoolbook" w:cs="Century Schoolbook"/>
        </w:rPr>
        <w:t>.</w:t>
      </w:r>
    </w:p>
    <w:p w14:paraId="2F2EE23C" w14:textId="5EE7C53F" w:rsidR="00B76B0C" w:rsidRPr="005970E9" w:rsidRDefault="003B5C05" w:rsidP="00701A49">
      <w:pPr>
        <w:spacing w:before="120" w:after="120" w:line="276" w:lineRule="auto"/>
        <w:jc w:val="both"/>
        <w:rPr>
          <w:rFonts w:eastAsia="Century Schoolbook" w:cs="Century Schoolbook"/>
        </w:rPr>
      </w:pPr>
      <w:r w:rsidRPr="005970E9">
        <w:rPr>
          <w:rFonts w:eastAsia="Century Schoolbook" w:cs="Century Schoolbook"/>
        </w:rPr>
        <w:t xml:space="preserve">La posición en materia de desigualdad que tiene el país, en el conjunto de los países, muestra que a pesar de los niveles de crecimiento que hemos experimentado, lejos de reducirse </w:t>
      </w:r>
      <w:r w:rsidR="001F4949" w:rsidRPr="005970E9">
        <w:rPr>
          <w:rFonts w:eastAsia="Century Schoolbook" w:cs="Century Schoolbook"/>
        </w:rPr>
        <w:t xml:space="preserve">los ingresos </w:t>
      </w:r>
      <w:r w:rsidRPr="005970E9">
        <w:rPr>
          <w:rFonts w:eastAsia="Century Schoolbook" w:cs="Century Schoolbook"/>
        </w:rPr>
        <w:t>se mantiene</w:t>
      </w:r>
      <w:r w:rsidR="001F4949" w:rsidRPr="005970E9">
        <w:rPr>
          <w:rFonts w:eastAsia="Century Schoolbook" w:cs="Century Schoolbook"/>
        </w:rPr>
        <w:t>n</w:t>
      </w:r>
      <w:r w:rsidRPr="005970E9">
        <w:rPr>
          <w:rFonts w:eastAsia="Century Schoolbook" w:cs="Century Schoolbook"/>
        </w:rPr>
        <w:t xml:space="preserve"> concentrad</w:t>
      </w:r>
      <w:r w:rsidR="001F4949" w:rsidRPr="005970E9">
        <w:rPr>
          <w:rFonts w:eastAsia="Century Schoolbook" w:cs="Century Schoolbook"/>
        </w:rPr>
        <w:t>os.</w:t>
      </w:r>
    </w:p>
    <w:p w14:paraId="34A9E294" w14:textId="77777777" w:rsidR="00B76B0C" w:rsidRPr="005970E9" w:rsidRDefault="003B5C05" w:rsidP="00701A49">
      <w:pPr>
        <w:spacing w:before="120" w:after="120" w:line="276" w:lineRule="auto"/>
        <w:jc w:val="both"/>
        <w:rPr>
          <w:rFonts w:eastAsia="Century Schoolbook" w:cs="Century Schoolbook"/>
        </w:rPr>
      </w:pPr>
      <w:r w:rsidRPr="005970E9">
        <w:rPr>
          <w:rFonts w:eastAsia="Century Schoolbook" w:cs="Century Schoolbook"/>
        </w:rPr>
        <w:lastRenderedPageBreak/>
        <w:t xml:space="preserve">La pobreza multidimensional de NNA en Panamá alcanza al 48% (MIDES, 2018) esta población entre 0 y 17 años representa la mitad de los panameños/as en tal condición.  Las carencias provocadas por el empobrecimiento estructural que existe tienen más impacto en la vida de las NNA. Esta población en la Comarca Ngäbe-Buglé representa a uno de cada cuatro y en la provincia de Panamá los NNA son uno de cada cinco. </w:t>
      </w:r>
    </w:p>
    <w:p w14:paraId="746605E1" w14:textId="77777777" w:rsidR="00B76B0C" w:rsidRPr="005970E9" w:rsidRDefault="003B5C05" w:rsidP="006C17BD">
      <w:pPr>
        <w:spacing w:before="120" w:after="120" w:line="276" w:lineRule="auto"/>
        <w:jc w:val="both"/>
        <w:rPr>
          <w:rFonts w:eastAsia="Century Schoolbook" w:cs="Century Schoolbook"/>
        </w:rPr>
      </w:pPr>
      <w:r w:rsidRPr="005970E9">
        <w:rPr>
          <w:rFonts w:eastAsia="Century Schoolbook" w:cs="Century Schoolbook"/>
        </w:rPr>
        <w:t>“La pobreza multidimensional afecta a 235,849 (33.6%) de los niños y adolescentes, porcentaje mayor en 1.7 puntos porcentuales que el de las niñas y adolescentes menores de 18 años de edad, situado en el 31.9%, es decir 217,988 son multidimensionalmente pobres.” (MIDES, 2018, p. 77).</w:t>
      </w:r>
    </w:p>
    <w:p w14:paraId="33A3D4B7" w14:textId="6E5D2A7A" w:rsidR="00572732" w:rsidRPr="005970E9" w:rsidRDefault="006B3993" w:rsidP="001F4949">
      <w:pPr>
        <w:pStyle w:val="Default"/>
        <w:spacing w:before="120" w:after="120" w:line="276" w:lineRule="auto"/>
        <w:jc w:val="both"/>
        <w:rPr>
          <w:rFonts w:ascii="Century Schoolbook" w:hAnsi="Century Schoolbook"/>
        </w:rPr>
      </w:pPr>
      <w:r w:rsidRPr="005970E9">
        <w:rPr>
          <w:rFonts w:ascii="Century Schoolbook" w:hAnsi="Century Schoolbook"/>
        </w:rPr>
        <w:t>El Estudio mundial sobre el papel de la mujer en el desarrollo</w:t>
      </w:r>
      <w:r w:rsidR="00174535" w:rsidRPr="005970E9">
        <w:rPr>
          <w:rFonts w:ascii="Century Schoolbook" w:hAnsi="Century Schoolbook"/>
        </w:rPr>
        <w:t xml:space="preserve"> </w:t>
      </w:r>
      <w:r w:rsidR="002061A9" w:rsidRPr="005970E9">
        <w:rPr>
          <w:rFonts w:ascii="Century Schoolbook" w:hAnsi="Century Schoolbook"/>
        </w:rPr>
        <w:t>de Naciones Unidas</w:t>
      </w:r>
      <w:r w:rsidR="001F4949" w:rsidRPr="005970E9">
        <w:rPr>
          <w:rFonts w:ascii="Century Schoolbook" w:hAnsi="Century Schoolbook"/>
        </w:rPr>
        <w:t>,</w:t>
      </w:r>
      <w:r w:rsidR="002061A9" w:rsidRPr="005970E9">
        <w:rPr>
          <w:rFonts w:ascii="Century Schoolbook" w:hAnsi="Century Schoolbook"/>
        </w:rPr>
        <w:t xml:space="preserve"> </w:t>
      </w:r>
      <w:r w:rsidR="00174535" w:rsidRPr="005970E9">
        <w:rPr>
          <w:rFonts w:ascii="Century Schoolbook" w:hAnsi="Century Schoolbook"/>
        </w:rPr>
        <w:t xml:space="preserve">sostiene que </w:t>
      </w:r>
      <w:r w:rsidR="002061A9" w:rsidRPr="005970E9">
        <w:rPr>
          <w:rFonts w:ascii="Century Schoolbook" w:hAnsi="Century Schoolbook"/>
        </w:rPr>
        <w:t xml:space="preserve">la pobreza económica y </w:t>
      </w:r>
      <w:r w:rsidR="001436FB" w:rsidRPr="005970E9">
        <w:rPr>
          <w:rFonts w:ascii="Century Schoolbook" w:hAnsi="Century Schoolbook"/>
        </w:rPr>
        <w:t xml:space="preserve">la pobreza </w:t>
      </w:r>
      <w:r w:rsidR="00F67053" w:rsidRPr="005970E9">
        <w:rPr>
          <w:rFonts w:ascii="Century Schoolbook" w:hAnsi="Century Schoolbook"/>
        </w:rPr>
        <w:t>en cuanto al</w:t>
      </w:r>
      <w:r w:rsidR="002061A9" w:rsidRPr="005970E9">
        <w:rPr>
          <w:rFonts w:ascii="Century Schoolbook" w:hAnsi="Century Schoolbook"/>
        </w:rPr>
        <w:t xml:space="preserve"> tiempo s</w:t>
      </w:r>
      <w:r w:rsidR="001F4949" w:rsidRPr="005970E9">
        <w:rPr>
          <w:rFonts w:ascii="Century Schoolbook" w:hAnsi="Century Schoolbook"/>
        </w:rPr>
        <w:t>on</w:t>
      </w:r>
      <w:r w:rsidR="002061A9" w:rsidRPr="005970E9">
        <w:rPr>
          <w:rFonts w:ascii="Century Schoolbook" w:hAnsi="Century Schoolbook"/>
        </w:rPr>
        <w:t xml:space="preserve"> más visible</w:t>
      </w:r>
      <w:r w:rsidR="001F4949" w:rsidRPr="005970E9">
        <w:rPr>
          <w:rFonts w:ascii="Century Schoolbook" w:hAnsi="Century Schoolbook"/>
        </w:rPr>
        <w:t>s</w:t>
      </w:r>
      <w:r w:rsidR="002061A9" w:rsidRPr="005970E9">
        <w:rPr>
          <w:rFonts w:ascii="Century Schoolbook" w:hAnsi="Century Schoolbook"/>
        </w:rPr>
        <w:t xml:space="preserve"> cuando las mujeres están en edad de procrear</w:t>
      </w:r>
      <w:r w:rsidR="001F4949" w:rsidRPr="005970E9">
        <w:rPr>
          <w:rFonts w:ascii="Century Schoolbook" w:hAnsi="Century Schoolbook"/>
        </w:rPr>
        <w:t xml:space="preserve"> y</w:t>
      </w:r>
      <w:r w:rsidR="002061A9" w:rsidRPr="005970E9">
        <w:rPr>
          <w:rFonts w:ascii="Century Schoolbook" w:hAnsi="Century Schoolbook"/>
        </w:rPr>
        <w:t xml:space="preserve"> cuando deben cuidar niños/as pequeñas. “Esto puede dar lugar a la transmisión intergeneracional de la pobreza</w:t>
      </w:r>
      <w:r w:rsidR="00AD54FB" w:rsidRPr="005970E9">
        <w:rPr>
          <w:rFonts w:ascii="Century Schoolbook" w:hAnsi="Century Schoolbook"/>
        </w:rPr>
        <w:t>…</w:t>
      </w:r>
      <w:r w:rsidR="002061A9" w:rsidRPr="005970E9">
        <w:rPr>
          <w:rFonts w:ascii="Century Schoolbook" w:hAnsi="Century Schoolbook"/>
        </w:rPr>
        <w:t xml:space="preserve"> (dado el trabajo de cuidado infantil y las privaciones que sufren las niñas y adolescentes, quienes) “…asumen un número excesivo de horas de trabajo doméstico y de cuidados no remunerados”</w:t>
      </w:r>
      <w:r w:rsidR="00F15F29" w:rsidRPr="005970E9">
        <w:rPr>
          <w:rFonts w:ascii="Century Schoolbook" w:hAnsi="Century Schoolbook"/>
        </w:rPr>
        <w:t xml:space="preserve"> (ONU, 2019). </w:t>
      </w:r>
      <w:r w:rsidR="002061A9" w:rsidRPr="005970E9">
        <w:rPr>
          <w:rFonts w:ascii="Century Schoolbook" w:hAnsi="Century Schoolbook"/>
        </w:rPr>
        <w:t>Objetivamente les aleja de asistir y mantenerse en la escuela, enfrentar la realización de tareas para las que no están en condiciones, afectando su desarrollo integral con agencia para aprovechar oportunidades, desempeñar liderazgo, gestionar el control de sus vidas, en fin</w:t>
      </w:r>
      <w:r w:rsidR="00F15F29" w:rsidRPr="005970E9">
        <w:rPr>
          <w:rFonts w:ascii="Century Schoolbook" w:hAnsi="Century Schoolbook"/>
        </w:rPr>
        <w:t>,</w:t>
      </w:r>
      <w:r w:rsidR="002061A9" w:rsidRPr="005970E9">
        <w:rPr>
          <w:rFonts w:ascii="Century Schoolbook" w:hAnsi="Century Schoolbook"/>
        </w:rPr>
        <w:t xml:space="preserve"> disfrutar de un espacio vital digno de ser vivido.</w:t>
      </w:r>
      <w:bookmarkStart w:id="112" w:name="_Hlk38909630"/>
      <w:r w:rsidR="006B2414" w:rsidRPr="005970E9">
        <w:rPr>
          <w:rFonts w:ascii="Century Schoolbook" w:hAnsi="Century Schoolbook"/>
        </w:rPr>
        <w:t xml:space="preserve"> </w:t>
      </w:r>
    </w:p>
    <w:bookmarkEnd w:id="112"/>
    <w:p w14:paraId="0E87D693" w14:textId="77777777" w:rsidR="00572732" w:rsidRPr="005970E9" w:rsidRDefault="00572732">
      <w:pPr>
        <w:spacing w:before="120" w:after="120"/>
        <w:jc w:val="both"/>
        <w:rPr>
          <w:rFonts w:eastAsia="Century Schoolbook" w:cs="Century Schoolbook"/>
        </w:rPr>
      </w:pPr>
    </w:p>
    <w:p w14:paraId="0C3F8DB6" w14:textId="77777777" w:rsidR="00B76B0C" w:rsidRPr="005970E9" w:rsidRDefault="003B5C05" w:rsidP="002338C0">
      <w:pPr>
        <w:pStyle w:val="Heading3"/>
        <w:numPr>
          <w:ilvl w:val="2"/>
          <w:numId w:val="16"/>
        </w:numPr>
      </w:pPr>
      <w:bookmarkStart w:id="113" w:name="_Toc42159206"/>
      <w:bookmarkStart w:id="114" w:name="_Toc42549440"/>
      <w:r w:rsidRPr="005970E9">
        <w:t>Población sin ingresos propios, desagregada por edad y sexo</w:t>
      </w:r>
      <w:bookmarkEnd w:id="113"/>
      <w:bookmarkEnd w:id="114"/>
    </w:p>
    <w:p w14:paraId="7D2C3D74" w14:textId="6E275DEF" w:rsidR="00B76B0C" w:rsidRPr="005970E9" w:rsidRDefault="003B5C05" w:rsidP="00701A49">
      <w:pPr>
        <w:spacing w:before="120" w:after="120" w:line="276" w:lineRule="auto"/>
        <w:jc w:val="both"/>
        <w:rPr>
          <w:rFonts w:eastAsia="Century Schoolbook" w:cs="Century Schoolbook"/>
        </w:rPr>
      </w:pPr>
      <w:r w:rsidRPr="005970E9">
        <w:rPr>
          <w:rFonts w:eastAsia="Century Schoolbook" w:cs="Century Schoolbook"/>
        </w:rPr>
        <w:t xml:space="preserve">En América Latina la población de mujeres sin ingresos propios (PSIP) en 2018 fue 29.0% y </w:t>
      </w:r>
      <w:r w:rsidR="003F0358" w:rsidRPr="005970E9">
        <w:rPr>
          <w:rFonts w:eastAsia="Century Schoolbook" w:cs="Century Schoolbook"/>
        </w:rPr>
        <w:t xml:space="preserve">para </w:t>
      </w:r>
      <w:r w:rsidR="00986C6E" w:rsidRPr="005970E9">
        <w:rPr>
          <w:rFonts w:eastAsia="Century Schoolbook" w:cs="Century Schoolbook"/>
        </w:rPr>
        <w:t xml:space="preserve">los </w:t>
      </w:r>
      <w:r w:rsidRPr="005970E9">
        <w:rPr>
          <w:rFonts w:eastAsia="Century Schoolbook" w:cs="Century Schoolbook"/>
        </w:rPr>
        <w:t xml:space="preserve">hombres </w:t>
      </w:r>
      <w:r w:rsidR="00986C6E" w:rsidRPr="005970E9">
        <w:rPr>
          <w:rFonts w:eastAsia="Century Schoolbook" w:cs="Century Schoolbook"/>
        </w:rPr>
        <w:t>d</w:t>
      </w:r>
      <w:r w:rsidRPr="005970E9">
        <w:rPr>
          <w:rFonts w:eastAsia="Century Schoolbook" w:cs="Century Schoolbook"/>
        </w:rPr>
        <w:t xml:space="preserve">el 10.5%.  </w:t>
      </w:r>
      <w:r w:rsidR="00AD54FB" w:rsidRPr="005970E9">
        <w:rPr>
          <w:rFonts w:eastAsia="Century Schoolbook" w:cs="Century Schoolbook"/>
        </w:rPr>
        <w:t>Las mujeres en Panamá, a</w:t>
      </w:r>
      <w:r w:rsidRPr="005970E9">
        <w:rPr>
          <w:rFonts w:eastAsia="Century Schoolbook" w:cs="Century Schoolbook"/>
        </w:rPr>
        <w:t xml:space="preserve"> nivel nacional está</w:t>
      </w:r>
      <w:r w:rsidR="00AD54FB" w:rsidRPr="005970E9">
        <w:rPr>
          <w:rFonts w:eastAsia="Century Schoolbook" w:cs="Century Schoolbook"/>
        </w:rPr>
        <w:t>n</w:t>
      </w:r>
      <w:r w:rsidRPr="005970E9">
        <w:rPr>
          <w:rFonts w:eastAsia="Century Schoolbook" w:cs="Century Schoolbook"/>
        </w:rPr>
        <w:t xml:space="preserve"> </w:t>
      </w:r>
      <w:r w:rsidR="00F15F29" w:rsidRPr="005970E9">
        <w:rPr>
          <w:rFonts w:eastAsia="Century Schoolbook" w:cs="Century Schoolbook"/>
        </w:rPr>
        <w:t xml:space="preserve">a cuatro puntos porcentuales </w:t>
      </w:r>
      <w:r w:rsidRPr="005970E9">
        <w:rPr>
          <w:rFonts w:eastAsia="Century Schoolbook" w:cs="Century Schoolbook"/>
        </w:rPr>
        <w:t>de ese promedio con 25.1%. Los hombres se alejan en 3.7% del promedio con un 6.8%</w:t>
      </w:r>
      <w:r w:rsidR="0032675F" w:rsidRPr="005970E9">
        <w:rPr>
          <w:rFonts w:eastAsia="Century Schoolbook" w:cs="Century Schoolbook"/>
        </w:rPr>
        <w:t xml:space="preserve"> (tabla 8)</w:t>
      </w:r>
      <w:r w:rsidRPr="005970E9">
        <w:rPr>
          <w:rFonts w:eastAsia="Century Schoolbook" w:cs="Century Schoolbook"/>
        </w:rPr>
        <w:t>.</w:t>
      </w:r>
    </w:p>
    <w:p w14:paraId="637ED7C4" w14:textId="3EC76584" w:rsidR="00F15F29" w:rsidRPr="005970E9" w:rsidRDefault="00F15F29" w:rsidP="00AD54FB">
      <w:pPr>
        <w:pStyle w:val="Caption"/>
        <w:keepNext/>
        <w:rPr>
          <w:rFonts w:ascii="Century Schoolbook" w:hAnsi="Century Schoolbook"/>
        </w:rPr>
      </w:pPr>
    </w:p>
    <w:tbl>
      <w:tblPr>
        <w:tblW w:w="83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114"/>
        <w:gridCol w:w="1332"/>
        <w:gridCol w:w="1212"/>
        <w:gridCol w:w="1332"/>
        <w:gridCol w:w="1217"/>
      </w:tblGrid>
      <w:tr w:rsidR="00B76B0C" w:rsidRPr="005970E9" w14:paraId="6C2C7870" w14:textId="77777777" w:rsidTr="00B220CE">
        <w:trPr>
          <w:trHeight w:val="291"/>
          <w:jc w:val="center"/>
        </w:trPr>
        <w:tc>
          <w:tcPr>
            <w:tcW w:w="8329" w:type="dxa"/>
            <w:gridSpan w:val="6"/>
            <w:shd w:val="clear" w:color="auto" w:fill="B2A1C7" w:themeFill="accent4" w:themeFillTint="99"/>
            <w:vAlign w:val="bottom"/>
          </w:tcPr>
          <w:p w14:paraId="253E9024" w14:textId="1EBED6ED" w:rsidR="00B76B0C" w:rsidRPr="005970E9" w:rsidRDefault="008A61AF" w:rsidP="00621C0D">
            <w:pPr>
              <w:rPr>
                <w:rFonts w:eastAsia="Century Schoolbook" w:cs="Century Schoolbook"/>
                <w:color w:val="000000"/>
                <w:sz w:val="20"/>
                <w:szCs w:val="20"/>
              </w:rPr>
            </w:pPr>
            <w:bookmarkStart w:id="115" w:name="_Toc42549202"/>
            <w:r w:rsidRPr="005970E9">
              <w:rPr>
                <w:sz w:val="20"/>
                <w:szCs w:val="20"/>
              </w:rPr>
              <w:t>Tabla</w:t>
            </w:r>
            <w:r w:rsidR="00F15F29" w:rsidRPr="005970E9">
              <w:rPr>
                <w:sz w:val="20"/>
                <w:szCs w:val="20"/>
              </w:rPr>
              <w:t xml:space="preserve"> </w:t>
            </w:r>
            <w:r w:rsidRPr="005970E9">
              <w:rPr>
                <w:sz w:val="20"/>
                <w:szCs w:val="20"/>
              </w:rPr>
              <w:fldChar w:fldCharType="begin"/>
            </w:r>
            <w:r w:rsidRPr="005970E9">
              <w:rPr>
                <w:sz w:val="20"/>
                <w:szCs w:val="20"/>
              </w:rPr>
              <w:instrText xml:space="preserve"> SEQ Tabla \* ARABIC </w:instrText>
            </w:r>
            <w:r w:rsidRPr="005970E9">
              <w:rPr>
                <w:sz w:val="20"/>
                <w:szCs w:val="20"/>
              </w:rPr>
              <w:fldChar w:fldCharType="separate"/>
            </w:r>
            <w:r w:rsidR="009D1829" w:rsidRPr="005970E9">
              <w:rPr>
                <w:noProof/>
                <w:sz w:val="20"/>
                <w:szCs w:val="20"/>
              </w:rPr>
              <w:t>8</w:t>
            </w:r>
            <w:r w:rsidRPr="005970E9">
              <w:rPr>
                <w:sz w:val="20"/>
                <w:szCs w:val="20"/>
              </w:rPr>
              <w:fldChar w:fldCharType="end"/>
            </w:r>
            <w:r w:rsidR="00F15F29" w:rsidRPr="005970E9">
              <w:rPr>
                <w:sz w:val="20"/>
                <w:szCs w:val="20"/>
              </w:rPr>
              <w:t xml:space="preserve">. </w:t>
            </w:r>
            <w:r w:rsidR="0032675F" w:rsidRPr="005970E9">
              <w:rPr>
                <w:sz w:val="20"/>
                <w:szCs w:val="20"/>
              </w:rPr>
              <w:t>Panamá.</w:t>
            </w:r>
            <w:r w:rsidR="00506E5D" w:rsidRPr="005970E9">
              <w:rPr>
                <w:sz w:val="20"/>
                <w:szCs w:val="20"/>
              </w:rPr>
              <w:t xml:space="preserve"> </w:t>
            </w:r>
            <w:r w:rsidR="003B5C05" w:rsidRPr="005970E9">
              <w:rPr>
                <w:rFonts w:eastAsia="Century Schoolbook" w:cs="Century Schoolbook"/>
                <w:color w:val="000000"/>
                <w:sz w:val="20"/>
                <w:szCs w:val="20"/>
              </w:rPr>
              <w:t>Población sin ingresos propios por sexo, grupos de edad y área geográfica: Años 2013 y 2018</w:t>
            </w:r>
            <w:bookmarkEnd w:id="115"/>
          </w:p>
        </w:tc>
      </w:tr>
      <w:tr w:rsidR="00B76B0C" w:rsidRPr="005970E9" w14:paraId="3AC64D30" w14:textId="77777777" w:rsidTr="00B220CE">
        <w:trPr>
          <w:trHeight w:val="291"/>
          <w:jc w:val="center"/>
        </w:trPr>
        <w:tc>
          <w:tcPr>
            <w:tcW w:w="2122" w:type="dxa"/>
            <w:vMerge w:val="restart"/>
            <w:shd w:val="clear" w:color="auto" w:fill="B2A1C7" w:themeFill="accent4" w:themeFillTint="99"/>
            <w:vAlign w:val="center"/>
          </w:tcPr>
          <w:p w14:paraId="011545D8" w14:textId="77777777" w:rsidR="00B76B0C" w:rsidRPr="005970E9" w:rsidRDefault="003B5C05" w:rsidP="00621C0D">
            <w:pPr>
              <w:jc w:val="center"/>
              <w:rPr>
                <w:rFonts w:eastAsia="Century Schoolbook" w:cs="Century Schoolbook"/>
                <w:b/>
                <w:color w:val="000000"/>
                <w:sz w:val="18"/>
                <w:szCs w:val="18"/>
              </w:rPr>
            </w:pPr>
            <w:r w:rsidRPr="005970E9">
              <w:rPr>
                <w:rFonts w:eastAsia="Century Schoolbook" w:cs="Century Schoolbook"/>
                <w:b/>
                <w:color w:val="000000"/>
                <w:sz w:val="18"/>
                <w:szCs w:val="18"/>
              </w:rPr>
              <w:t>Grupos de edad</w:t>
            </w:r>
          </w:p>
        </w:tc>
        <w:tc>
          <w:tcPr>
            <w:tcW w:w="1114" w:type="dxa"/>
            <w:vMerge w:val="restart"/>
            <w:shd w:val="clear" w:color="auto" w:fill="B2A1C7" w:themeFill="accent4" w:themeFillTint="99"/>
            <w:vAlign w:val="center"/>
          </w:tcPr>
          <w:p w14:paraId="28252B57" w14:textId="77777777" w:rsidR="00B76B0C" w:rsidRPr="005970E9" w:rsidRDefault="003B5C05" w:rsidP="00621C0D">
            <w:pPr>
              <w:jc w:val="center"/>
              <w:rPr>
                <w:rFonts w:eastAsia="Century Schoolbook" w:cs="Century Schoolbook"/>
                <w:b/>
                <w:color w:val="000000"/>
                <w:sz w:val="18"/>
                <w:szCs w:val="18"/>
              </w:rPr>
            </w:pPr>
            <w:r w:rsidRPr="005970E9">
              <w:rPr>
                <w:rFonts w:eastAsia="Century Schoolbook" w:cs="Century Schoolbook"/>
                <w:b/>
                <w:color w:val="000000"/>
                <w:sz w:val="18"/>
                <w:szCs w:val="18"/>
              </w:rPr>
              <w:t>Área</w:t>
            </w:r>
          </w:p>
        </w:tc>
        <w:tc>
          <w:tcPr>
            <w:tcW w:w="2544" w:type="dxa"/>
            <w:gridSpan w:val="2"/>
            <w:shd w:val="clear" w:color="auto" w:fill="B2A1C7" w:themeFill="accent4" w:themeFillTint="99"/>
            <w:vAlign w:val="bottom"/>
          </w:tcPr>
          <w:p w14:paraId="34FC611B" w14:textId="77777777" w:rsidR="00B76B0C" w:rsidRPr="005970E9" w:rsidRDefault="003B5C05" w:rsidP="00621C0D">
            <w:pPr>
              <w:jc w:val="center"/>
              <w:rPr>
                <w:rFonts w:eastAsia="Century Schoolbook" w:cs="Century Schoolbook"/>
                <w:b/>
                <w:color w:val="000000"/>
                <w:sz w:val="18"/>
                <w:szCs w:val="18"/>
              </w:rPr>
            </w:pPr>
            <w:r w:rsidRPr="005970E9">
              <w:rPr>
                <w:rFonts w:eastAsia="Century Schoolbook" w:cs="Century Schoolbook"/>
                <w:b/>
                <w:color w:val="000000"/>
                <w:sz w:val="18"/>
                <w:szCs w:val="18"/>
              </w:rPr>
              <w:t>2013</w:t>
            </w:r>
          </w:p>
        </w:tc>
        <w:tc>
          <w:tcPr>
            <w:tcW w:w="2549" w:type="dxa"/>
            <w:gridSpan w:val="2"/>
            <w:shd w:val="clear" w:color="auto" w:fill="B2A1C7" w:themeFill="accent4" w:themeFillTint="99"/>
            <w:vAlign w:val="bottom"/>
          </w:tcPr>
          <w:p w14:paraId="51260623" w14:textId="77777777" w:rsidR="00B76B0C" w:rsidRPr="005970E9" w:rsidRDefault="003B5C05" w:rsidP="00621C0D">
            <w:pPr>
              <w:jc w:val="center"/>
              <w:rPr>
                <w:rFonts w:eastAsia="Century Schoolbook" w:cs="Century Schoolbook"/>
                <w:b/>
                <w:color w:val="000000"/>
                <w:sz w:val="18"/>
                <w:szCs w:val="18"/>
              </w:rPr>
            </w:pPr>
            <w:r w:rsidRPr="005970E9">
              <w:rPr>
                <w:rFonts w:eastAsia="Century Schoolbook" w:cs="Century Schoolbook"/>
                <w:b/>
                <w:color w:val="000000"/>
                <w:sz w:val="18"/>
                <w:szCs w:val="18"/>
              </w:rPr>
              <w:t>2018</w:t>
            </w:r>
          </w:p>
        </w:tc>
      </w:tr>
      <w:tr w:rsidR="00B76B0C" w:rsidRPr="005970E9" w14:paraId="565AB0AC" w14:textId="77777777" w:rsidTr="00B220CE">
        <w:trPr>
          <w:trHeight w:val="291"/>
          <w:jc w:val="center"/>
        </w:trPr>
        <w:tc>
          <w:tcPr>
            <w:tcW w:w="2122" w:type="dxa"/>
            <w:vMerge/>
            <w:shd w:val="clear" w:color="auto" w:fill="B2A1C7" w:themeFill="accent4" w:themeFillTint="99"/>
            <w:vAlign w:val="center"/>
          </w:tcPr>
          <w:p w14:paraId="648BEBC6" w14:textId="77777777" w:rsidR="00B76B0C" w:rsidRPr="005970E9" w:rsidRDefault="00B76B0C" w:rsidP="00621C0D">
            <w:pPr>
              <w:widowControl w:val="0"/>
              <w:pBdr>
                <w:top w:val="nil"/>
                <w:left w:val="nil"/>
                <w:bottom w:val="nil"/>
                <w:right w:val="nil"/>
                <w:between w:val="nil"/>
              </w:pBdr>
              <w:rPr>
                <w:rFonts w:eastAsia="Century Schoolbook" w:cs="Century Schoolbook"/>
                <w:b/>
                <w:color w:val="000000"/>
                <w:sz w:val="18"/>
                <w:szCs w:val="18"/>
              </w:rPr>
            </w:pPr>
          </w:p>
        </w:tc>
        <w:tc>
          <w:tcPr>
            <w:tcW w:w="1114" w:type="dxa"/>
            <w:vMerge/>
            <w:shd w:val="clear" w:color="auto" w:fill="B2A1C7" w:themeFill="accent4" w:themeFillTint="99"/>
            <w:vAlign w:val="center"/>
          </w:tcPr>
          <w:p w14:paraId="66E0F3C1" w14:textId="77777777" w:rsidR="00B76B0C" w:rsidRPr="005970E9" w:rsidRDefault="00B76B0C" w:rsidP="00621C0D">
            <w:pPr>
              <w:widowControl w:val="0"/>
              <w:pBdr>
                <w:top w:val="nil"/>
                <w:left w:val="nil"/>
                <w:bottom w:val="nil"/>
                <w:right w:val="nil"/>
                <w:between w:val="nil"/>
              </w:pBdr>
              <w:rPr>
                <w:rFonts w:eastAsia="Century Schoolbook" w:cs="Century Schoolbook"/>
                <w:b/>
                <w:color w:val="000000"/>
                <w:sz w:val="18"/>
                <w:szCs w:val="18"/>
              </w:rPr>
            </w:pPr>
          </w:p>
        </w:tc>
        <w:tc>
          <w:tcPr>
            <w:tcW w:w="1332" w:type="dxa"/>
            <w:shd w:val="clear" w:color="auto" w:fill="B2A1C7" w:themeFill="accent4" w:themeFillTint="99"/>
            <w:vAlign w:val="bottom"/>
          </w:tcPr>
          <w:p w14:paraId="5EF4115F" w14:textId="77777777" w:rsidR="00B76B0C" w:rsidRPr="005970E9" w:rsidRDefault="003B5C05" w:rsidP="00621C0D">
            <w:pPr>
              <w:jc w:val="center"/>
              <w:rPr>
                <w:rFonts w:eastAsia="Century Schoolbook" w:cs="Century Schoolbook"/>
                <w:b/>
                <w:color w:val="000000"/>
                <w:sz w:val="18"/>
                <w:szCs w:val="18"/>
              </w:rPr>
            </w:pPr>
            <w:r w:rsidRPr="005970E9">
              <w:rPr>
                <w:rFonts w:eastAsia="Century Schoolbook" w:cs="Century Schoolbook"/>
                <w:b/>
                <w:color w:val="000000"/>
                <w:sz w:val="18"/>
                <w:szCs w:val="18"/>
              </w:rPr>
              <w:t>Hombres</w:t>
            </w:r>
          </w:p>
        </w:tc>
        <w:tc>
          <w:tcPr>
            <w:tcW w:w="1212" w:type="dxa"/>
            <w:shd w:val="clear" w:color="auto" w:fill="B2A1C7" w:themeFill="accent4" w:themeFillTint="99"/>
            <w:vAlign w:val="bottom"/>
          </w:tcPr>
          <w:p w14:paraId="544B56AE" w14:textId="77777777" w:rsidR="00B76B0C" w:rsidRPr="005970E9" w:rsidRDefault="003B5C05" w:rsidP="00621C0D">
            <w:pPr>
              <w:jc w:val="center"/>
              <w:rPr>
                <w:rFonts w:eastAsia="Century Schoolbook" w:cs="Century Schoolbook"/>
                <w:b/>
                <w:color w:val="000000"/>
                <w:sz w:val="18"/>
                <w:szCs w:val="18"/>
              </w:rPr>
            </w:pPr>
            <w:r w:rsidRPr="005970E9">
              <w:rPr>
                <w:rFonts w:eastAsia="Century Schoolbook" w:cs="Century Schoolbook"/>
                <w:b/>
                <w:color w:val="000000"/>
                <w:sz w:val="18"/>
                <w:szCs w:val="18"/>
              </w:rPr>
              <w:t>Mujeres</w:t>
            </w:r>
          </w:p>
        </w:tc>
        <w:tc>
          <w:tcPr>
            <w:tcW w:w="1332" w:type="dxa"/>
            <w:shd w:val="clear" w:color="auto" w:fill="B2A1C7" w:themeFill="accent4" w:themeFillTint="99"/>
            <w:vAlign w:val="bottom"/>
          </w:tcPr>
          <w:p w14:paraId="69494400" w14:textId="77777777" w:rsidR="00B76B0C" w:rsidRPr="005970E9" w:rsidRDefault="003B5C05" w:rsidP="00621C0D">
            <w:pPr>
              <w:jc w:val="center"/>
              <w:rPr>
                <w:rFonts w:eastAsia="Century Schoolbook" w:cs="Century Schoolbook"/>
                <w:b/>
                <w:color w:val="000000"/>
                <w:sz w:val="18"/>
                <w:szCs w:val="18"/>
              </w:rPr>
            </w:pPr>
            <w:r w:rsidRPr="005970E9">
              <w:rPr>
                <w:rFonts w:eastAsia="Century Schoolbook" w:cs="Century Schoolbook"/>
                <w:b/>
                <w:color w:val="000000"/>
                <w:sz w:val="18"/>
                <w:szCs w:val="18"/>
              </w:rPr>
              <w:t>Hombres</w:t>
            </w:r>
          </w:p>
        </w:tc>
        <w:tc>
          <w:tcPr>
            <w:tcW w:w="1217" w:type="dxa"/>
            <w:shd w:val="clear" w:color="auto" w:fill="B2A1C7" w:themeFill="accent4" w:themeFillTint="99"/>
            <w:vAlign w:val="bottom"/>
          </w:tcPr>
          <w:p w14:paraId="3AC29854" w14:textId="77777777" w:rsidR="00B76B0C" w:rsidRPr="005970E9" w:rsidRDefault="003B5C05" w:rsidP="00621C0D">
            <w:pPr>
              <w:jc w:val="center"/>
              <w:rPr>
                <w:rFonts w:eastAsia="Century Schoolbook" w:cs="Century Schoolbook"/>
                <w:b/>
                <w:color w:val="000000"/>
                <w:sz w:val="18"/>
                <w:szCs w:val="18"/>
              </w:rPr>
            </w:pPr>
            <w:r w:rsidRPr="005970E9">
              <w:rPr>
                <w:rFonts w:eastAsia="Century Schoolbook" w:cs="Century Schoolbook"/>
                <w:b/>
                <w:color w:val="000000"/>
                <w:sz w:val="18"/>
                <w:szCs w:val="18"/>
              </w:rPr>
              <w:t>Mujeres</w:t>
            </w:r>
          </w:p>
        </w:tc>
      </w:tr>
      <w:tr w:rsidR="00B76B0C" w:rsidRPr="005970E9" w14:paraId="35A00C56" w14:textId="77777777" w:rsidTr="006F7EAD">
        <w:trPr>
          <w:trHeight w:val="291"/>
          <w:jc w:val="center"/>
        </w:trPr>
        <w:tc>
          <w:tcPr>
            <w:tcW w:w="2122" w:type="dxa"/>
            <w:shd w:val="clear" w:color="auto" w:fill="auto"/>
            <w:vAlign w:val="bottom"/>
          </w:tcPr>
          <w:p w14:paraId="70388E5F"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Total (15 años y más)</w:t>
            </w:r>
          </w:p>
        </w:tc>
        <w:tc>
          <w:tcPr>
            <w:tcW w:w="1114" w:type="dxa"/>
            <w:shd w:val="clear" w:color="auto" w:fill="auto"/>
            <w:vAlign w:val="bottom"/>
          </w:tcPr>
          <w:p w14:paraId="44BAD530"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Nacional</w:t>
            </w:r>
          </w:p>
        </w:tc>
        <w:tc>
          <w:tcPr>
            <w:tcW w:w="1332" w:type="dxa"/>
            <w:shd w:val="clear" w:color="auto" w:fill="auto"/>
            <w:vAlign w:val="bottom"/>
          </w:tcPr>
          <w:p w14:paraId="4E9163E2"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7.3</w:t>
            </w:r>
          </w:p>
        </w:tc>
        <w:tc>
          <w:tcPr>
            <w:tcW w:w="1212" w:type="dxa"/>
            <w:shd w:val="clear" w:color="auto" w:fill="auto"/>
            <w:vAlign w:val="bottom"/>
          </w:tcPr>
          <w:p w14:paraId="3AB1BFF3"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27.5</w:t>
            </w:r>
          </w:p>
        </w:tc>
        <w:tc>
          <w:tcPr>
            <w:tcW w:w="1332" w:type="dxa"/>
            <w:shd w:val="clear" w:color="auto" w:fill="auto"/>
            <w:vAlign w:val="bottom"/>
          </w:tcPr>
          <w:p w14:paraId="501DA7DD"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6.8</w:t>
            </w:r>
          </w:p>
        </w:tc>
        <w:tc>
          <w:tcPr>
            <w:tcW w:w="1217" w:type="dxa"/>
            <w:shd w:val="clear" w:color="auto" w:fill="auto"/>
            <w:vAlign w:val="bottom"/>
          </w:tcPr>
          <w:p w14:paraId="1CBDBA48"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25.1</w:t>
            </w:r>
          </w:p>
        </w:tc>
      </w:tr>
      <w:tr w:rsidR="00B76B0C" w:rsidRPr="005970E9" w14:paraId="0132BB15" w14:textId="77777777" w:rsidTr="006F7EAD">
        <w:trPr>
          <w:trHeight w:val="291"/>
          <w:jc w:val="center"/>
        </w:trPr>
        <w:tc>
          <w:tcPr>
            <w:tcW w:w="2122" w:type="dxa"/>
            <w:shd w:val="clear" w:color="auto" w:fill="auto"/>
            <w:vAlign w:val="bottom"/>
          </w:tcPr>
          <w:p w14:paraId="58061136" w14:textId="77777777" w:rsidR="00B76B0C" w:rsidRPr="005970E9" w:rsidRDefault="00B76B0C" w:rsidP="00621C0D">
            <w:pPr>
              <w:jc w:val="right"/>
              <w:rPr>
                <w:rFonts w:eastAsia="Century Schoolbook" w:cs="Century Schoolbook"/>
                <w:color w:val="000000"/>
                <w:sz w:val="18"/>
                <w:szCs w:val="18"/>
              </w:rPr>
            </w:pPr>
          </w:p>
        </w:tc>
        <w:tc>
          <w:tcPr>
            <w:tcW w:w="1114" w:type="dxa"/>
            <w:shd w:val="clear" w:color="auto" w:fill="auto"/>
            <w:vAlign w:val="bottom"/>
          </w:tcPr>
          <w:p w14:paraId="7BCF39E0"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Urbana</w:t>
            </w:r>
          </w:p>
        </w:tc>
        <w:tc>
          <w:tcPr>
            <w:tcW w:w="1332" w:type="dxa"/>
            <w:shd w:val="clear" w:color="auto" w:fill="auto"/>
            <w:vAlign w:val="bottom"/>
          </w:tcPr>
          <w:p w14:paraId="57EC50D7"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5</w:t>
            </w:r>
          </w:p>
        </w:tc>
        <w:tc>
          <w:tcPr>
            <w:tcW w:w="1212" w:type="dxa"/>
            <w:shd w:val="clear" w:color="auto" w:fill="auto"/>
            <w:vAlign w:val="bottom"/>
          </w:tcPr>
          <w:p w14:paraId="1FE63BB9"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24.6</w:t>
            </w:r>
          </w:p>
        </w:tc>
        <w:tc>
          <w:tcPr>
            <w:tcW w:w="1332" w:type="dxa"/>
            <w:shd w:val="clear" w:color="auto" w:fill="auto"/>
            <w:vAlign w:val="bottom"/>
          </w:tcPr>
          <w:p w14:paraId="5E8DE619"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6.3</w:t>
            </w:r>
          </w:p>
        </w:tc>
        <w:tc>
          <w:tcPr>
            <w:tcW w:w="1217" w:type="dxa"/>
            <w:shd w:val="clear" w:color="auto" w:fill="auto"/>
            <w:vAlign w:val="bottom"/>
          </w:tcPr>
          <w:p w14:paraId="04C12846"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22.5</w:t>
            </w:r>
          </w:p>
        </w:tc>
      </w:tr>
      <w:tr w:rsidR="00B76B0C" w:rsidRPr="005970E9" w14:paraId="3060AA59" w14:textId="77777777" w:rsidTr="006F7EAD">
        <w:trPr>
          <w:trHeight w:val="291"/>
          <w:jc w:val="center"/>
        </w:trPr>
        <w:tc>
          <w:tcPr>
            <w:tcW w:w="2122" w:type="dxa"/>
            <w:shd w:val="clear" w:color="auto" w:fill="auto"/>
            <w:vAlign w:val="bottom"/>
          </w:tcPr>
          <w:p w14:paraId="123FCA35" w14:textId="77777777" w:rsidR="00B76B0C" w:rsidRPr="005970E9" w:rsidRDefault="00B76B0C" w:rsidP="00621C0D">
            <w:pPr>
              <w:jc w:val="right"/>
              <w:rPr>
                <w:rFonts w:eastAsia="Century Schoolbook" w:cs="Century Schoolbook"/>
                <w:color w:val="000000"/>
                <w:sz w:val="18"/>
                <w:szCs w:val="18"/>
              </w:rPr>
            </w:pPr>
          </w:p>
        </w:tc>
        <w:tc>
          <w:tcPr>
            <w:tcW w:w="1114" w:type="dxa"/>
            <w:shd w:val="clear" w:color="auto" w:fill="auto"/>
            <w:vAlign w:val="bottom"/>
          </w:tcPr>
          <w:p w14:paraId="343D01DD"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Rural</w:t>
            </w:r>
          </w:p>
        </w:tc>
        <w:tc>
          <w:tcPr>
            <w:tcW w:w="1332" w:type="dxa"/>
            <w:shd w:val="clear" w:color="auto" w:fill="auto"/>
            <w:vAlign w:val="bottom"/>
          </w:tcPr>
          <w:p w14:paraId="237D3984"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12.1</w:t>
            </w:r>
          </w:p>
        </w:tc>
        <w:tc>
          <w:tcPr>
            <w:tcW w:w="1212" w:type="dxa"/>
            <w:shd w:val="clear" w:color="auto" w:fill="auto"/>
            <w:vAlign w:val="bottom"/>
          </w:tcPr>
          <w:p w14:paraId="16143DF5"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34.7</w:t>
            </w:r>
          </w:p>
        </w:tc>
        <w:tc>
          <w:tcPr>
            <w:tcW w:w="1332" w:type="dxa"/>
            <w:shd w:val="clear" w:color="auto" w:fill="auto"/>
            <w:vAlign w:val="bottom"/>
          </w:tcPr>
          <w:p w14:paraId="2199964B"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7.9</w:t>
            </w:r>
          </w:p>
        </w:tc>
        <w:tc>
          <w:tcPr>
            <w:tcW w:w="1217" w:type="dxa"/>
            <w:shd w:val="clear" w:color="auto" w:fill="auto"/>
            <w:vAlign w:val="bottom"/>
          </w:tcPr>
          <w:p w14:paraId="1C277282"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31.9</w:t>
            </w:r>
          </w:p>
        </w:tc>
      </w:tr>
      <w:tr w:rsidR="00B76B0C" w:rsidRPr="005970E9" w14:paraId="530B0882" w14:textId="77777777" w:rsidTr="006F7EAD">
        <w:trPr>
          <w:trHeight w:val="291"/>
          <w:jc w:val="center"/>
        </w:trPr>
        <w:tc>
          <w:tcPr>
            <w:tcW w:w="2122" w:type="dxa"/>
            <w:shd w:val="clear" w:color="auto" w:fill="auto"/>
            <w:vAlign w:val="bottom"/>
          </w:tcPr>
          <w:p w14:paraId="0773F49C"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15 a 24 años</w:t>
            </w:r>
          </w:p>
        </w:tc>
        <w:tc>
          <w:tcPr>
            <w:tcW w:w="1114" w:type="dxa"/>
            <w:shd w:val="clear" w:color="auto" w:fill="auto"/>
            <w:vAlign w:val="bottom"/>
          </w:tcPr>
          <w:p w14:paraId="067BBF75"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Nacional</w:t>
            </w:r>
          </w:p>
        </w:tc>
        <w:tc>
          <w:tcPr>
            <w:tcW w:w="1332" w:type="dxa"/>
            <w:shd w:val="clear" w:color="auto" w:fill="auto"/>
            <w:vAlign w:val="bottom"/>
          </w:tcPr>
          <w:p w14:paraId="546C9EDE"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17.1</w:t>
            </w:r>
          </w:p>
        </w:tc>
        <w:tc>
          <w:tcPr>
            <w:tcW w:w="1212" w:type="dxa"/>
            <w:shd w:val="clear" w:color="auto" w:fill="auto"/>
            <w:vAlign w:val="bottom"/>
          </w:tcPr>
          <w:p w14:paraId="6617850C"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43.9</w:t>
            </w:r>
          </w:p>
        </w:tc>
        <w:tc>
          <w:tcPr>
            <w:tcW w:w="1332" w:type="dxa"/>
            <w:shd w:val="clear" w:color="auto" w:fill="auto"/>
            <w:vAlign w:val="bottom"/>
          </w:tcPr>
          <w:p w14:paraId="2F581027"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19.7</w:t>
            </w:r>
          </w:p>
        </w:tc>
        <w:tc>
          <w:tcPr>
            <w:tcW w:w="1217" w:type="dxa"/>
            <w:shd w:val="clear" w:color="auto" w:fill="auto"/>
            <w:vAlign w:val="bottom"/>
          </w:tcPr>
          <w:p w14:paraId="60706622"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44.4</w:t>
            </w:r>
          </w:p>
        </w:tc>
      </w:tr>
      <w:tr w:rsidR="00B76B0C" w:rsidRPr="005970E9" w14:paraId="68C1FE8A" w14:textId="77777777" w:rsidTr="006F7EAD">
        <w:trPr>
          <w:trHeight w:val="291"/>
          <w:jc w:val="center"/>
        </w:trPr>
        <w:tc>
          <w:tcPr>
            <w:tcW w:w="2122" w:type="dxa"/>
            <w:shd w:val="clear" w:color="auto" w:fill="auto"/>
            <w:vAlign w:val="bottom"/>
          </w:tcPr>
          <w:p w14:paraId="69523B1E" w14:textId="77777777" w:rsidR="00B76B0C" w:rsidRPr="005970E9" w:rsidRDefault="00B76B0C" w:rsidP="00621C0D">
            <w:pPr>
              <w:jc w:val="right"/>
              <w:rPr>
                <w:rFonts w:eastAsia="Century Schoolbook" w:cs="Century Schoolbook"/>
                <w:color w:val="000000"/>
                <w:sz w:val="18"/>
                <w:szCs w:val="18"/>
              </w:rPr>
            </w:pPr>
          </w:p>
        </w:tc>
        <w:tc>
          <w:tcPr>
            <w:tcW w:w="1114" w:type="dxa"/>
            <w:shd w:val="clear" w:color="auto" w:fill="auto"/>
            <w:vAlign w:val="bottom"/>
          </w:tcPr>
          <w:p w14:paraId="12B2CA37"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Urbana</w:t>
            </w:r>
          </w:p>
        </w:tc>
        <w:tc>
          <w:tcPr>
            <w:tcW w:w="1332" w:type="dxa"/>
            <w:shd w:val="clear" w:color="auto" w:fill="auto"/>
            <w:vAlign w:val="bottom"/>
          </w:tcPr>
          <w:p w14:paraId="70044B10"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13.4</w:t>
            </w:r>
          </w:p>
        </w:tc>
        <w:tc>
          <w:tcPr>
            <w:tcW w:w="1212" w:type="dxa"/>
            <w:shd w:val="clear" w:color="auto" w:fill="auto"/>
            <w:vAlign w:val="bottom"/>
          </w:tcPr>
          <w:p w14:paraId="6FC08FA8"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35</w:t>
            </w:r>
          </w:p>
        </w:tc>
        <w:tc>
          <w:tcPr>
            <w:tcW w:w="1332" w:type="dxa"/>
            <w:shd w:val="clear" w:color="auto" w:fill="auto"/>
            <w:vAlign w:val="bottom"/>
          </w:tcPr>
          <w:p w14:paraId="49542122"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17.2</w:t>
            </w:r>
          </w:p>
        </w:tc>
        <w:tc>
          <w:tcPr>
            <w:tcW w:w="1217" w:type="dxa"/>
            <w:shd w:val="clear" w:color="auto" w:fill="auto"/>
            <w:vAlign w:val="bottom"/>
          </w:tcPr>
          <w:p w14:paraId="3B87EDFE"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39.3</w:t>
            </w:r>
          </w:p>
        </w:tc>
      </w:tr>
      <w:tr w:rsidR="00B76B0C" w:rsidRPr="005970E9" w14:paraId="24E07DAE" w14:textId="77777777" w:rsidTr="006F7EAD">
        <w:trPr>
          <w:trHeight w:val="291"/>
          <w:jc w:val="center"/>
        </w:trPr>
        <w:tc>
          <w:tcPr>
            <w:tcW w:w="2122" w:type="dxa"/>
            <w:shd w:val="clear" w:color="auto" w:fill="auto"/>
            <w:vAlign w:val="bottom"/>
          </w:tcPr>
          <w:p w14:paraId="754EE918" w14:textId="77777777" w:rsidR="00B76B0C" w:rsidRPr="005970E9" w:rsidRDefault="00B76B0C" w:rsidP="00621C0D">
            <w:pPr>
              <w:jc w:val="right"/>
              <w:rPr>
                <w:rFonts w:eastAsia="Century Schoolbook" w:cs="Century Schoolbook"/>
                <w:color w:val="000000"/>
                <w:sz w:val="18"/>
                <w:szCs w:val="18"/>
              </w:rPr>
            </w:pPr>
          </w:p>
        </w:tc>
        <w:tc>
          <w:tcPr>
            <w:tcW w:w="1114" w:type="dxa"/>
            <w:shd w:val="clear" w:color="auto" w:fill="auto"/>
            <w:vAlign w:val="bottom"/>
          </w:tcPr>
          <w:p w14:paraId="6F512C4F"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Rural</w:t>
            </w:r>
          </w:p>
        </w:tc>
        <w:tc>
          <w:tcPr>
            <w:tcW w:w="1332" w:type="dxa"/>
            <w:shd w:val="clear" w:color="auto" w:fill="auto"/>
            <w:vAlign w:val="bottom"/>
          </w:tcPr>
          <w:p w14:paraId="181DD6CD"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23.3</w:t>
            </w:r>
          </w:p>
        </w:tc>
        <w:tc>
          <w:tcPr>
            <w:tcW w:w="1212" w:type="dxa"/>
            <w:shd w:val="clear" w:color="auto" w:fill="auto"/>
            <w:vAlign w:val="bottom"/>
          </w:tcPr>
          <w:p w14:paraId="4BC632F0"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59.5</w:t>
            </w:r>
          </w:p>
        </w:tc>
        <w:tc>
          <w:tcPr>
            <w:tcW w:w="1332" w:type="dxa"/>
            <w:shd w:val="clear" w:color="auto" w:fill="auto"/>
            <w:vAlign w:val="bottom"/>
          </w:tcPr>
          <w:p w14:paraId="0D9D116F"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24.1</w:t>
            </w:r>
          </w:p>
        </w:tc>
        <w:tc>
          <w:tcPr>
            <w:tcW w:w="1217" w:type="dxa"/>
            <w:shd w:val="clear" w:color="auto" w:fill="auto"/>
            <w:vAlign w:val="bottom"/>
          </w:tcPr>
          <w:p w14:paraId="5DB2868B"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53.8</w:t>
            </w:r>
          </w:p>
        </w:tc>
      </w:tr>
      <w:tr w:rsidR="00B76B0C" w:rsidRPr="005970E9" w14:paraId="0815E13F" w14:textId="77777777" w:rsidTr="006F7EAD">
        <w:trPr>
          <w:trHeight w:val="291"/>
          <w:jc w:val="center"/>
        </w:trPr>
        <w:tc>
          <w:tcPr>
            <w:tcW w:w="2122" w:type="dxa"/>
            <w:shd w:val="clear" w:color="auto" w:fill="auto"/>
            <w:vAlign w:val="bottom"/>
          </w:tcPr>
          <w:p w14:paraId="5342475D"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25 a 34 años</w:t>
            </w:r>
          </w:p>
        </w:tc>
        <w:tc>
          <w:tcPr>
            <w:tcW w:w="1114" w:type="dxa"/>
            <w:shd w:val="clear" w:color="auto" w:fill="auto"/>
            <w:vAlign w:val="bottom"/>
          </w:tcPr>
          <w:p w14:paraId="30B89BBE"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Nacional</w:t>
            </w:r>
          </w:p>
        </w:tc>
        <w:tc>
          <w:tcPr>
            <w:tcW w:w="1332" w:type="dxa"/>
            <w:shd w:val="clear" w:color="auto" w:fill="auto"/>
            <w:vAlign w:val="bottom"/>
          </w:tcPr>
          <w:p w14:paraId="353BA383"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6.9</w:t>
            </w:r>
          </w:p>
        </w:tc>
        <w:tc>
          <w:tcPr>
            <w:tcW w:w="1212" w:type="dxa"/>
            <w:shd w:val="clear" w:color="auto" w:fill="auto"/>
            <w:vAlign w:val="bottom"/>
          </w:tcPr>
          <w:p w14:paraId="4BFCAA1D"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30.8</w:t>
            </w:r>
          </w:p>
        </w:tc>
        <w:tc>
          <w:tcPr>
            <w:tcW w:w="1332" w:type="dxa"/>
            <w:shd w:val="clear" w:color="auto" w:fill="auto"/>
            <w:vAlign w:val="bottom"/>
          </w:tcPr>
          <w:p w14:paraId="3716E5FD"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7.2</w:t>
            </w:r>
          </w:p>
        </w:tc>
        <w:tc>
          <w:tcPr>
            <w:tcW w:w="1217" w:type="dxa"/>
            <w:shd w:val="clear" w:color="auto" w:fill="auto"/>
            <w:vAlign w:val="bottom"/>
          </w:tcPr>
          <w:p w14:paraId="0481F162"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30.8</w:t>
            </w:r>
          </w:p>
        </w:tc>
      </w:tr>
      <w:tr w:rsidR="00B76B0C" w:rsidRPr="005970E9" w14:paraId="78B34C45" w14:textId="77777777" w:rsidTr="006F7EAD">
        <w:trPr>
          <w:trHeight w:val="291"/>
          <w:jc w:val="center"/>
        </w:trPr>
        <w:tc>
          <w:tcPr>
            <w:tcW w:w="2122" w:type="dxa"/>
            <w:shd w:val="clear" w:color="auto" w:fill="auto"/>
            <w:vAlign w:val="bottom"/>
          </w:tcPr>
          <w:p w14:paraId="4A6EDA8B" w14:textId="77777777" w:rsidR="00B76B0C" w:rsidRPr="005970E9" w:rsidRDefault="00B76B0C" w:rsidP="00621C0D">
            <w:pPr>
              <w:jc w:val="right"/>
              <w:rPr>
                <w:rFonts w:eastAsia="Century Schoolbook" w:cs="Century Schoolbook"/>
                <w:color w:val="000000"/>
                <w:sz w:val="18"/>
                <w:szCs w:val="18"/>
              </w:rPr>
            </w:pPr>
          </w:p>
        </w:tc>
        <w:tc>
          <w:tcPr>
            <w:tcW w:w="1114" w:type="dxa"/>
            <w:shd w:val="clear" w:color="auto" w:fill="auto"/>
            <w:vAlign w:val="bottom"/>
          </w:tcPr>
          <w:p w14:paraId="19C2EA3A"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Urbana</w:t>
            </w:r>
          </w:p>
        </w:tc>
        <w:tc>
          <w:tcPr>
            <w:tcW w:w="1332" w:type="dxa"/>
            <w:shd w:val="clear" w:color="auto" w:fill="auto"/>
            <w:vAlign w:val="bottom"/>
          </w:tcPr>
          <w:p w14:paraId="65A083D7"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4.3</w:t>
            </w:r>
          </w:p>
        </w:tc>
        <w:tc>
          <w:tcPr>
            <w:tcW w:w="1212" w:type="dxa"/>
            <w:shd w:val="clear" w:color="auto" w:fill="auto"/>
            <w:vAlign w:val="bottom"/>
          </w:tcPr>
          <w:p w14:paraId="59EEC7F7"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27</w:t>
            </w:r>
          </w:p>
        </w:tc>
        <w:tc>
          <w:tcPr>
            <w:tcW w:w="1332" w:type="dxa"/>
            <w:shd w:val="clear" w:color="auto" w:fill="auto"/>
            <w:vAlign w:val="bottom"/>
          </w:tcPr>
          <w:p w14:paraId="387A280C"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7.0</w:t>
            </w:r>
          </w:p>
        </w:tc>
        <w:tc>
          <w:tcPr>
            <w:tcW w:w="1217" w:type="dxa"/>
            <w:shd w:val="clear" w:color="auto" w:fill="auto"/>
            <w:vAlign w:val="bottom"/>
          </w:tcPr>
          <w:p w14:paraId="415F1B9E"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26.9</w:t>
            </w:r>
          </w:p>
        </w:tc>
      </w:tr>
      <w:tr w:rsidR="00B76B0C" w:rsidRPr="005970E9" w14:paraId="450A3F49" w14:textId="77777777" w:rsidTr="006F7EAD">
        <w:trPr>
          <w:trHeight w:val="291"/>
          <w:jc w:val="center"/>
        </w:trPr>
        <w:tc>
          <w:tcPr>
            <w:tcW w:w="2122" w:type="dxa"/>
            <w:shd w:val="clear" w:color="auto" w:fill="auto"/>
            <w:vAlign w:val="bottom"/>
          </w:tcPr>
          <w:p w14:paraId="1181E509" w14:textId="77777777" w:rsidR="00B76B0C" w:rsidRPr="005970E9" w:rsidRDefault="00B76B0C" w:rsidP="00621C0D">
            <w:pPr>
              <w:jc w:val="right"/>
              <w:rPr>
                <w:rFonts w:eastAsia="Century Schoolbook" w:cs="Century Schoolbook"/>
                <w:color w:val="000000"/>
                <w:sz w:val="18"/>
                <w:szCs w:val="18"/>
              </w:rPr>
            </w:pPr>
          </w:p>
        </w:tc>
        <w:tc>
          <w:tcPr>
            <w:tcW w:w="1114" w:type="dxa"/>
            <w:shd w:val="clear" w:color="auto" w:fill="auto"/>
            <w:vAlign w:val="bottom"/>
          </w:tcPr>
          <w:p w14:paraId="3F3C4863"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Rural</w:t>
            </w:r>
          </w:p>
        </w:tc>
        <w:tc>
          <w:tcPr>
            <w:tcW w:w="1332" w:type="dxa"/>
            <w:shd w:val="clear" w:color="auto" w:fill="auto"/>
            <w:vAlign w:val="bottom"/>
          </w:tcPr>
          <w:p w14:paraId="06B1C7B3"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13.2</w:t>
            </w:r>
          </w:p>
        </w:tc>
        <w:tc>
          <w:tcPr>
            <w:tcW w:w="1212" w:type="dxa"/>
            <w:shd w:val="clear" w:color="auto" w:fill="auto"/>
            <w:vAlign w:val="bottom"/>
          </w:tcPr>
          <w:p w14:paraId="6D46C74F"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40.1</w:t>
            </w:r>
          </w:p>
        </w:tc>
        <w:tc>
          <w:tcPr>
            <w:tcW w:w="1332" w:type="dxa"/>
            <w:shd w:val="clear" w:color="auto" w:fill="auto"/>
            <w:vAlign w:val="bottom"/>
          </w:tcPr>
          <w:p w14:paraId="4F59251F"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7.9</w:t>
            </w:r>
          </w:p>
        </w:tc>
        <w:tc>
          <w:tcPr>
            <w:tcW w:w="1217" w:type="dxa"/>
            <w:shd w:val="clear" w:color="auto" w:fill="auto"/>
            <w:vAlign w:val="bottom"/>
          </w:tcPr>
          <w:p w14:paraId="29F2072E"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41.4</w:t>
            </w:r>
          </w:p>
        </w:tc>
      </w:tr>
      <w:tr w:rsidR="00B76B0C" w:rsidRPr="005970E9" w14:paraId="60972E81" w14:textId="77777777" w:rsidTr="006F7EAD">
        <w:trPr>
          <w:trHeight w:val="291"/>
          <w:jc w:val="center"/>
        </w:trPr>
        <w:tc>
          <w:tcPr>
            <w:tcW w:w="2122" w:type="dxa"/>
            <w:shd w:val="clear" w:color="auto" w:fill="auto"/>
            <w:vAlign w:val="bottom"/>
          </w:tcPr>
          <w:p w14:paraId="352AA99D"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35 a 44 años</w:t>
            </w:r>
          </w:p>
        </w:tc>
        <w:tc>
          <w:tcPr>
            <w:tcW w:w="1114" w:type="dxa"/>
            <w:shd w:val="clear" w:color="auto" w:fill="auto"/>
            <w:vAlign w:val="bottom"/>
          </w:tcPr>
          <w:p w14:paraId="40B9BA8F"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Nacional</w:t>
            </w:r>
          </w:p>
        </w:tc>
        <w:tc>
          <w:tcPr>
            <w:tcW w:w="1332" w:type="dxa"/>
            <w:shd w:val="clear" w:color="auto" w:fill="auto"/>
            <w:vAlign w:val="bottom"/>
          </w:tcPr>
          <w:p w14:paraId="3036E794"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4.4</w:t>
            </w:r>
          </w:p>
        </w:tc>
        <w:tc>
          <w:tcPr>
            <w:tcW w:w="1212" w:type="dxa"/>
            <w:shd w:val="clear" w:color="auto" w:fill="auto"/>
            <w:vAlign w:val="bottom"/>
          </w:tcPr>
          <w:p w14:paraId="455ED442"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25.2</w:t>
            </w:r>
          </w:p>
        </w:tc>
        <w:tc>
          <w:tcPr>
            <w:tcW w:w="1332" w:type="dxa"/>
            <w:shd w:val="clear" w:color="auto" w:fill="auto"/>
            <w:vAlign w:val="bottom"/>
          </w:tcPr>
          <w:p w14:paraId="6201CA5B"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3.8</w:t>
            </w:r>
          </w:p>
        </w:tc>
        <w:tc>
          <w:tcPr>
            <w:tcW w:w="1217" w:type="dxa"/>
            <w:shd w:val="clear" w:color="auto" w:fill="auto"/>
            <w:vAlign w:val="bottom"/>
          </w:tcPr>
          <w:p w14:paraId="79BCF1DA"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24.3</w:t>
            </w:r>
          </w:p>
        </w:tc>
      </w:tr>
      <w:tr w:rsidR="00B76B0C" w:rsidRPr="005970E9" w14:paraId="40BEDE14" w14:textId="77777777" w:rsidTr="006F7EAD">
        <w:trPr>
          <w:trHeight w:val="291"/>
          <w:jc w:val="center"/>
        </w:trPr>
        <w:tc>
          <w:tcPr>
            <w:tcW w:w="2122" w:type="dxa"/>
            <w:shd w:val="clear" w:color="auto" w:fill="auto"/>
            <w:vAlign w:val="bottom"/>
          </w:tcPr>
          <w:p w14:paraId="22E003E0" w14:textId="77777777" w:rsidR="00B76B0C" w:rsidRPr="005970E9" w:rsidRDefault="00B76B0C" w:rsidP="00621C0D">
            <w:pPr>
              <w:jc w:val="right"/>
              <w:rPr>
                <w:rFonts w:eastAsia="Century Schoolbook" w:cs="Century Schoolbook"/>
                <w:color w:val="000000"/>
                <w:sz w:val="18"/>
                <w:szCs w:val="18"/>
              </w:rPr>
            </w:pPr>
          </w:p>
        </w:tc>
        <w:tc>
          <w:tcPr>
            <w:tcW w:w="1114" w:type="dxa"/>
            <w:shd w:val="clear" w:color="auto" w:fill="auto"/>
            <w:vAlign w:val="bottom"/>
          </w:tcPr>
          <w:p w14:paraId="07016944"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Urbana</w:t>
            </w:r>
          </w:p>
        </w:tc>
        <w:tc>
          <w:tcPr>
            <w:tcW w:w="1332" w:type="dxa"/>
            <w:shd w:val="clear" w:color="auto" w:fill="auto"/>
            <w:vAlign w:val="bottom"/>
          </w:tcPr>
          <w:p w14:paraId="5C3014B7"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2.8</w:t>
            </w:r>
          </w:p>
        </w:tc>
        <w:tc>
          <w:tcPr>
            <w:tcW w:w="1212" w:type="dxa"/>
            <w:shd w:val="clear" w:color="auto" w:fill="auto"/>
            <w:vAlign w:val="bottom"/>
          </w:tcPr>
          <w:p w14:paraId="3B97A778"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23.4</w:t>
            </w:r>
          </w:p>
        </w:tc>
        <w:tc>
          <w:tcPr>
            <w:tcW w:w="1332" w:type="dxa"/>
            <w:shd w:val="clear" w:color="auto" w:fill="auto"/>
            <w:vAlign w:val="bottom"/>
          </w:tcPr>
          <w:p w14:paraId="44006B27"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3.9</w:t>
            </w:r>
          </w:p>
        </w:tc>
        <w:tc>
          <w:tcPr>
            <w:tcW w:w="1217" w:type="dxa"/>
            <w:shd w:val="clear" w:color="auto" w:fill="auto"/>
            <w:vAlign w:val="bottom"/>
          </w:tcPr>
          <w:p w14:paraId="5F1B98B9"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22.7</w:t>
            </w:r>
          </w:p>
        </w:tc>
      </w:tr>
      <w:tr w:rsidR="00B76B0C" w:rsidRPr="005970E9" w14:paraId="7C6DF339" w14:textId="77777777" w:rsidTr="006F7EAD">
        <w:trPr>
          <w:trHeight w:val="291"/>
          <w:jc w:val="center"/>
        </w:trPr>
        <w:tc>
          <w:tcPr>
            <w:tcW w:w="2122" w:type="dxa"/>
            <w:shd w:val="clear" w:color="auto" w:fill="auto"/>
            <w:vAlign w:val="bottom"/>
          </w:tcPr>
          <w:p w14:paraId="755A7C2E" w14:textId="77777777" w:rsidR="00B76B0C" w:rsidRPr="005970E9" w:rsidRDefault="00B76B0C" w:rsidP="00621C0D">
            <w:pPr>
              <w:jc w:val="right"/>
              <w:rPr>
                <w:rFonts w:eastAsia="Century Schoolbook" w:cs="Century Schoolbook"/>
                <w:color w:val="000000"/>
                <w:sz w:val="18"/>
                <w:szCs w:val="18"/>
              </w:rPr>
            </w:pPr>
          </w:p>
        </w:tc>
        <w:tc>
          <w:tcPr>
            <w:tcW w:w="1114" w:type="dxa"/>
            <w:shd w:val="clear" w:color="auto" w:fill="auto"/>
            <w:vAlign w:val="bottom"/>
          </w:tcPr>
          <w:p w14:paraId="2B5AE587"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Rural</w:t>
            </w:r>
          </w:p>
        </w:tc>
        <w:tc>
          <w:tcPr>
            <w:tcW w:w="1332" w:type="dxa"/>
            <w:shd w:val="clear" w:color="auto" w:fill="auto"/>
            <w:vAlign w:val="bottom"/>
          </w:tcPr>
          <w:p w14:paraId="59242669"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8</w:t>
            </w:r>
          </w:p>
        </w:tc>
        <w:tc>
          <w:tcPr>
            <w:tcW w:w="1212" w:type="dxa"/>
            <w:shd w:val="clear" w:color="auto" w:fill="auto"/>
            <w:vAlign w:val="bottom"/>
          </w:tcPr>
          <w:p w14:paraId="5AE27717"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29.8</w:t>
            </w:r>
          </w:p>
        </w:tc>
        <w:tc>
          <w:tcPr>
            <w:tcW w:w="1332" w:type="dxa"/>
            <w:shd w:val="clear" w:color="auto" w:fill="auto"/>
            <w:vAlign w:val="bottom"/>
          </w:tcPr>
          <w:p w14:paraId="3CFF8B3E"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3.6</w:t>
            </w:r>
          </w:p>
        </w:tc>
        <w:tc>
          <w:tcPr>
            <w:tcW w:w="1217" w:type="dxa"/>
            <w:shd w:val="clear" w:color="auto" w:fill="auto"/>
            <w:vAlign w:val="bottom"/>
          </w:tcPr>
          <w:p w14:paraId="328D93DA"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28.7</w:t>
            </w:r>
          </w:p>
        </w:tc>
      </w:tr>
      <w:tr w:rsidR="00B76B0C" w:rsidRPr="005970E9" w14:paraId="26F8AF94" w14:textId="77777777" w:rsidTr="006F7EAD">
        <w:trPr>
          <w:trHeight w:val="291"/>
          <w:jc w:val="center"/>
        </w:trPr>
        <w:tc>
          <w:tcPr>
            <w:tcW w:w="2122" w:type="dxa"/>
            <w:shd w:val="clear" w:color="auto" w:fill="auto"/>
            <w:vAlign w:val="bottom"/>
          </w:tcPr>
          <w:p w14:paraId="2118DA87"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45 a 59 años</w:t>
            </w:r>
          </w:p>
        </w:tc>
        <w:tc>
          <w:tcPr>
            <w:tcW w:w="1114" w:type="dxa"/>
            <w:shd w:val="clear" w:color="auto" w:fill="auto"/>
            <w:vAlign w:val="bottom"/>
          </w:tcPr>
          <w:p w14:paraId="51843A98"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Nacional</w:t>
            </w:r>
          </w:p>
        </w:tc>
        <w:tc>
          <w:tcPr>
            <w:tcW w:w="1332" w:type="dxa"/>
            <w:shd w:val="clear" w:color="auto" w:fill="auto"/>
            <w:vAlign w:val="bottom"/>
          </w:tcPr>
          <w:p w14:paraId="58C8B2FB"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5.1</w:t>
            </w:r>
          </w:p>
        </w:tc>
        <w:tc>
          <w:tcPr>
            <w:tcW w:w="1212" w:type="dxa"/>
            <w:shd w:val="clear" w:color="auto" w:fill="auto"/>
            <w:vAlign w:val="bottom"/>
          </w:tcPr>
          <w:p w14:paraId="26873841"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25.8</w:t>
            </w:r>
          </w:p>
        </w:tc>
        <w:tc>
          <w:tcPr>
            <w:tcW w:w="1332" w:type="dxa"/>
            <w:shd w:val="clear" w:color="auto" w:fill="auto"/>
            <w:vAlign w:val="bottom"/>
          </w:tcPr>
          <w:p w14:paraId="2C85CCC3"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3.8</w:t>
            </w:r>
          </w:p>
        </w:tc>
        <w:tc>
          <w:tcPr>
            <w:tcW w:w="1217" w:type="dxa"/>
            <w:shd w:val="clear" w:color="auto" w:fill="auto"/>
            <w:vAlign w:val="bottom"/>
          </w:tcPr>
          <w:p w14:paraId="240D22B1"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23.1</w:t>
            </w:r>
          </w:p>
        </w:tc>
      </w:tr>
      <w:tr w:rsidR="00B76B0C" w:rsidRPr="005970E9" w14:paraId="4C265033" w14:textId="77777777" w:rsidTr="006F7EAD">
        <w:trPr>
          <w:trHeight w:val="291"/>
          <w:jc w:val="center"/>
        </w:trPr>
        <w:tc>
          <w:tcPr>
            <w:tcW w:w="2122" w:type="dxa"/>
            <w:shd w:val="clear" w:color="auto" w:fill="auto"/>
            <w:vAlign w:val="bottom"/>
          </w:tcPr>
          <w:p w14:paraId="2D747AFD" w14:textId="77777777" w:rsidR="00B76B0C" w:rsidRPr="005970E9" w:rsidRDefault="00B76B0C" w:rsidP="00621C0D">
            <w:pPr>
              <w:jc w:val="right"/>
              <w:rPr>
                <w:rFonts w:eastAsia="Century Schoolbook" w:cs="Century Schoolbook"/>
                <w:color w:val="000000"/>
                <w:sz w:val="18"/>
                <w:szCs w:val="18"/>
              </w:rPr>
            </w:pPr>
          </w:p>
        </w:tc>
        <w:tc>
          <w:tcPr>
            <w:tcW w:w="1114" w:type="dxa"/>
            <w:shd w:val="clear" w:color="auto" w:fill="auto"/>
            <w:vAlign w:val="bottom"/>
          </w:tcPr>
          <w:p w14:paraId="689EF48E"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Urbana</w:t>
            </w:r>
          </w:p>
        </w:tc>
        <w:tc>
          <w:tcPr>
            <w:tcW w:w="1332" w:type="dxa"/>
            <w:shd w:val="clear" w:color="auto" w:fill="auto"/>
            <w:vAlign w:val="bottom"/>
          </w:tcPr>
          <w:p w14:paraId="3518D1B7"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w:t>
            </w:r>
          </w:p>
        </w:tc>
        <w:tc>
          <w:tcPr>
            <w:tcW w:w="1212" w:type="dxa"/>
            <w:shd w:val="clear" w:color="auto" w:fill="auto"/>
            <w:vAlign w:val="bottom"/>
          </w:tcPr>
          <w:p w14:paraId="14322310"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24.6</w:t>
            </w:r>
          </w:p>
        </w:tc>
        <w:tc>
          <w:tcPr>
            <w:tcW w:w="1332" w:type="dxa"/>
            <w:shd w:val="clear" w:color="auto" w:fill="auto"/>
            <w:vAlign w:val="bottom"/>
          </w:tcPr>
          <w:p w14:paraId="6277DE86"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4</w:t>
            </w:r>
          </w:p>
        </w:tc>
        <w:tc>
          <w:tcPr>
            <w:tcW w:w="1217" w:type="dxa"/>
            <w:shd w:val="clear" w:color="auto" w:fill="auto"/>
            <w:vAlign w:val="bottom"/>
          </w:tcPr>
          <w:p w14:paraId="2BA09FFC"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20.3</w:t>
            </w:r>
          </w:p>
        </w:tc>
      </w:tr>
      <w:tr w:rsidR="00B76B0C" w:rsidRPr="005970E9" w14:paraId="2EBB9282" w14:textId="77777777" w:rsidTr="006F7EAD">
        <w:trPr>
          <w:trHeight w:val="291"/>
          <w:jc w:val="center"/>
        </w:trPr>
        <w:tc>
          <w:tcPr>
            <w:tcW w:w="2122" w:type="dxa"/>
            <w:shd w:val="clear" w:color="auto" w:fill="auto"/>
            <w:vAlign w:val="bottom"/>
          </w:tcPr>
          <w:p w14:paraId="74DFA391" w14:textId="77777777" w:rsidR="00B76B0C" w:rsidRPr="005970E9" w:rsidRDefault="00B76B0C" w:rsidP="00621C0D">
            <w:pPr>
              <w:jc w:val="right"/>
              <w:rPr>
                <w:rFonts w:eastAsia="Century Schoolbook" w:cs="Century Schoolbook"/>
                <w:color w:val="000000"/>
                <w:sz w:val="18"/>
                <w:szCs w:val="18"/>
              </w:rPr>
            </w:pPr>
          </w:p>
        </w:tc>
        <w:tc>
          <w:tcPr>
            <w:tcW w:w="1114" w:type="dxa"/>
            <w:shd w:val="clear" w:color="auto" w:fill="auto"/>
            <w:vAlign w:val="bottom"/>
          </w:tcPr>
          <w:p w14:paraId="4292F939"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Rural</w:t>
            </w:r>
          </w:p>
        </w:tc>
        <w:tc>
          <w:tcPr>
            <w:tcW w:w="1332" w:type="dxa"/>
            <w:shd w:val="clear" w:color="auto" w:fill="auto"/>
            <w:vAlign w:val="bottom"/>
          </w:tcPr>
          <w:p w14:paraId="1B6FC9D0"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9.4</w:t>
            </w:r>
          </w:p>
        </w:tc>
        <w:tc>
          <w:tcPr>
            <w:tcW w:w="1212" w:type="dxa"/>
            <w:shd w:val="clear" w:color="auto" w:fill="auto"/>
            <w:vAlign w:val="bottom"/>
          </w:tcPr>
          <w:p w14:paraId="2A9DFCB1"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29</w:t>
            </w:r>
          </w:p>
        </w:tc>
        <w:tc>
          <w:tcPr>
            <w:tcW w:w="1332" w:type="dxa"/>
            <w:shd w:val="clear" w:color="auto" w:fill="auto"/>
            <w:vAlign w:val="bottom"/>
          </w:tcPr>
          <w:p w14:paraId="09F3DAC3"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3.2</w:t>
            </w:r>
          </w:p>
        </w:tc>
        <w:tc>
          <w:tcPr>
            <w:tcW w:w="1217" w:type="dxa"/>
            <w:shd w:val="clear" w:color="auto" w:fill="auto"/>
            <w:vAlign w:val="bottom"/>
          </w:tcPr>
          <w:p w14:paraId="6B1C10C0"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31.8</w:t>
            </w:r>
          </w:p>
        </w:tc>
      </w:tr>
      <w:tr w:rsidR="00B76B0C" w:rsidRPr="005970E9" w14:paraId="1EDD741E" w14:textId="77777777" w:rsidTr="006F7EAD">
        <w:trPr>
          <w:trHeight w:val="291"/>
          <w:jc w:val="center"/>
        </w:trPr>
        <w:tc>
          <w:tcPr>
            <w:tcW w:w="2122" w:type="dxa"/>
            <w:shd w:val="clear" w:color="auto" w:fill="auto"/>
            <w:vAlign w:val="bottom"/>
          </w:tcPr>
          <w:p w14:paraId="6CF04955"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60 años y más</w:t>
            </w:r>
          </w:p>
        </w:tc>
        <w:tc>
          <w:tcPr>
            <w:tcW w:w="1114" w:type="dxa"/>
            <w:shd w:val="clear" w:color="auto" w:fill="auto"/>
            <w:vAlign w:val="bottom"/>
          </w:tcPr>
          <w:p w14:paraId="593A465A"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Nacional</w:t>
            </w:r>
          </w:p>
        </w:tc>
        <w:tc>
          <w:tcPr>
            <w:tcW w:w="1332" w:type="dxa"/>
            <w:shd w:val="clear" w:color="auto" w:fill="auto"/>
            <w:vAlign w:val="bottom"/>
          </w:tcPr>
          <w:p w14:paraId="2BA9C9EE"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4.7</w:t>
            </w:r>
          </w:p>
        </w:tc>
        <w:tc>
          <w:tcPr>
            <w:tcW w:w="1212" w:type="dxa"/>
            <w:shd w:val="clear" w:color="auto" w:fill="auto"/>
            <w:vAlign w:val="bottom"/>
          </w:tcPr>
          <w:p w14:paraId="2BB48422"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16.4</w:t>
            </w:r>
          </w:p>
        </w:tc>
        <w:tc>
          <w:tcPr>
            <w:tcW w:w="1332" w:type="dxa"/>
            <w:shd w:val="clear" w:color="auto" w:fill="auto"/>
            <w:vAlign w:val="bottom"/>
          </w:tcPr>
          <w:p w14:paraId="473DC991"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2.1</w:t>
            </w:r>
          </w:p>
        </w:tc>
        <w:tc>
          <w:tcPr>
            <w:tcW w:w="1217" w:type="dxa"/>
            <w:shd w:val="clear" w:color="auto" w:fill="auto"/>
            <w:vAlign w:val="bottom"/>
          </w:tcPr>
          <w:p w14:paraId="286AA8E0"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12.7</w:t>
            </w:r>
          </w:p>
        </w:tc>
      </w:tr>
      <w:tr w:rsidR="00B76B0C" w:rsidRPr="005970E9" w14:paraId="27E4B4FF" w14:textId="77777777" w:rsidTr="006F7EAD">
        <w:trPr>
          <w:trHeight w:val="291"/>
          <w:jc w:val="center"/>
        </w:trPr>
        <w:tc>
          <w:tcPr>
            <w:tcW w:w="2122" w:type="dxa"/>
            <w:shd w:val="clear" w:color="auto" w:fill="auto"/>
            <w:vAlign w:val="bottom"/>
          </w:tcPr>
          <w:p w14:paraId="30BC551A" w14:textId="77777777" w:rsidR="00B76B0C" w:rsidRPr="005970E9" w:rsidRDefault="00B76B0C" w:rsidP="00621C0D">
            <w:pPr>
              <w:jc w:val="right"/>
              <w:rPr>
                <w:rFonts w:eastAsia="Century Schoolbook" w:cs="Century Schoolbook"/>
                <w:color w:val="000000"/>
                <w:sz w:val="18"/>
                <w:szCs w:val="18"/>
              </w:rPr>
            </w:pPr>
          </w:p>
        </w:tc>
        <w:tc>
          <w:tcPr>
            <w:tcW w:w="1114" w:type="dxa"/>
            <w:shd w:val="clear" w:color="auto" w:fill="auto"/>
            <w:vAlign w:val="bottom"/>
          </w:tcPr>
          <w:p w14:paraId="441994BF"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Urbana</w:t>
            </w:r>
          </w:p>
        </w:tc>
        <w:tc>
          <w:tcPr>
            <w:tcW w:w="1332" w:type="dxa"/>
            <w:shd w:val="clear" w:color="auto" w:fill="auto"/>
            <w:vAlign w:val="bottom"/>
          </w:tcPr>
          <w:p w14:paraId="246C361C"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3.1</w:t>
            </w:r>
          </w:p>
        </w:tc>
        <w:tc>
          <w:tcPr>
            <w:tcW w:w="1212" w:type="dxa"/>
            <w:shd w:val="clear" w:color="auto" w:fill="auto"/>
            <w:vAlign w:val="bottom"/>
          </w:tcPr>
          <w:p w14:paraId="66649807"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15.7</w:t>
            </w:r>
          </w:p>
        </w:tc>
        <w:tc>
          <w:tcPr>
            <w:tcW w:w="1332" w:type="dxa"/>
            <w:shd w:val="clear" w:color="auto" w:fill="auto"/>
            <w:vAlign w:val="bottom"/>
          </w:tcPr>
          <w:p w14:paraId="3C2925CD"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2.3</w:t>
            </w:r>
          </w:p>
        </w:tc>
        <w:tc>
          <w:tcPr>
            <w:tcW w:w="1217" w:type="dxa"/>
            <w:shd w:val="clear" w:color="auto" w:fill="auto"/>
            <w:vAlign w:val="bottom"/>
          </w:tcPr>
          <w:p w14:paraId="119BFA79"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13.1</w:t>
            </w:r>
          </w:p>
        </w:tc>
      </w:tr>
      <w:tr w:rsidR="00B76B0C" w:rsidRPr="005970E9" w14:paraId="3FF54D77" w14:textId="77777777" w:rsidTr="006F7EAD">
        <w:trPr>
          <w:trHeight w:val="291"/>
          <w:jc w:val="center"/>
        </w:trPr>
        <w:tc>
          <w:tcPr>
            <w:tcW w:w="2122" w:type="dxa"/>
            <w:shd w:val="clear" w:color="auto" w:fill="auto"/>
            <w:vAlign w:val="bottom"/>
          </w:tcPr>
          <w:p w14:paraId="0C006797" w14:textId="77777777" w:rsidR="00B76B0C" w:rsidRPr="005970E9" w:rsidRDefault="00B76B0C" w:rsidP="00621C0D">
            <w:pPr>
              <w:jc w:val="right"/>
              <w:rPr>
                <w:rFonts w:eastAsia="Century Schoolbook" w:cs="Century Schoolbook"/>
                <w:color w:val="000000"/>
                <w:sz w:val="18"/>
                <w:szCs w:val="18"/>
              </w:rPr>
            </w:pPr>
          </w:p>
        </w:tc>
        <w:tc>
          <w:tcPr>
            <w:tcW w:w="1114" w:type="dxa"/>
            <w:shd w:val="clear" w:color="auto" w:fill="auto"/>
            <w:vAlign w:val="bottom"/>
          </w:tcPr>
          <w:p w14:paraId="0692D43D" w14:textId="77777777" w:rsidR="00B76B0C" w:rsidRPr="005970E9" w:rsidRDefault="003B5C05" w:rsidP="00621C0D">
            <w:pPr>
              <w:rPr>
                <w:rFonts w:eastAsia="Century Schoolbook" w:cs="Century Schoolbook"/>
                <w:color w:val="000000"/>
                <w:sz w:val="18"/>
                <w:szCs w:val="18"/>
              </w:rPr>
            </w:pPr>
            <w:r w:rsidRPr="005970E9">
              <w:rPr>
                <w:rFonts w:eastAsia="Century Schoolbook" w:cs="Century Schoolbook"/>
                <w:color w:val="000000"/>
                <w:sz w:val="18"/>
                <w:szCs w:val="18"/>
              </w:rPr>
              <w:t>Rural</w:t>
            </w:r>
          </w:p>
        </w:tc>
        <w:tc>
          <w:tcPr>
            <w:tcW w:w="1332" w:type="dxa"/>
            <w:shd w:val="clear" w:color="auto" w:fill="auto"/>
            <w:vAlign w:val="bottom"/>
          </w:tcPr>
          <w:p w14:paraId="49E4ED78"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7.4</w:t>
            </w:r>
          </w:p>
        </w:tc>
        <w:tc>
          <w:tcPr>
            <w:tcW w:w="1212" w:type="dxa"/>
            <w:shd w:val="clear" w:color="auto" w:fill="auto"/>
            <w:vAlign w:val="bottom"/>
          </w:tcPr>
          <w:p w14:paraId="6E76EF1B"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17.8</w:t>
            </w:r>
          </w:p>
        </w:tc>
        <w:tc>
          <w:tcPr>
            <w:tcW w:w="1332" w:type="dxa"/>
            <w:shd w:val="clear" w:color="auto" w:fill="auto"/>
            <w:vAlign w:val="bottom"/>
          </w:tcPr>
          <w:p w14:paraId="63BFC8D5"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1.7</w:t>
            </w:r>
          </w:p>
        </w:tc>
        <w:tc>
          <w:tcPr>
            <w:tcW w:w="1217" w:type="dxa"/>
            <w:shd w:val="clear" w:color="auto" w:fill="auto"/>
            <w:vAlign w:val="bottom"/>
          </w:tcPr>
          <w:p w14:paraId="4F886E1E" w14:textId="77777777" w:rsidR="00B76B0C" w:rsidRPr="005970E9" w:rsidRDefault="003B5C05" w:rsidP="00621C0D">
            <w:pPr>
              <w:jc w:val="right"/>
              <w:rPr>
                <w:rFonts w:eastAsia="Century Schoolbook" w:cs="Century Schoolbook"/>
                <w:color w:val="000000"/>
                <w:sz w:val="18"/>
                <w:szCs w:val="18"/>
              </w:rPr>
            </w:pPr>
            <w:r w:rsidRPr="005970E9">
              <w:rPr>
                <w:rFonts w:eastAsia="Century Schoolbook" w:cs="Century Schoolbook"/>
                <w:color w:val="000000"/>
                <w:sz w:val="18"/>
                <w:szCs w:val="18"/>
              </w:rPr>
              <w:t>11.9</w:t>
            </w:r>
          </w:p>
        </w:tc>
      </w:tr>
      <w:tr w:rsidR="00B76B0C" w:rsidRPr="005970E9" w14:paraId="45E6E021" w14:textId="77777777" w:rsidTr="00B220CE">
        <w:trPr>
          <w:trHeight w:val="291"/>
          <w:jc w:val="center"/>
        </w:trPr>
        <w:tc>
          <w:tcPr>
            <w:tcW w:w="8329" w:type="dxa"/>
            <w:gridSpan w:val="6"/>
            <w:shd w:val="clear" w:color="auto" w:fill="E5DFEC" w:themeFill="accent4" w:themeFillTint="33"/>
            <w:vAlign w:val="bottom"/>
          </w:tcPr>
          <w:p w14:paraId="40A99C88" w14:textId="77777777" w:rsidR="00B76B0C" w:rsidRPr="005970E9" w:rsidRDefault="003B5C05" w:rsidP="00621C0D">
            <w:pPr>
              <w:rPr>
                <w:rFonts w:eastAsia="Century Schoolbook" w:cs="Century Schoolbook"/>
                <w:b/>
                <w:color w:val="000000"/>
                <w:sz w:val="18"/>
                <w:szCs w:val="18"/>
              </w:rPr>
            </w:pPr>
            <w:r w:rsidRPr="005970E9">
              <w:rPr>
                <w:rFonts w:eastAsia="Century Schoolbook" w:cs="Century Schoolbook"/>
                <w:b/>
                <w:color w:val="000000"/>
                <w:sz w:val="18"/>
                <w:szCs w:val="18"/>
              </w:rPr>
              <w:t xml:space="preserve">Fuente: </w:t>
            </w:r>
            <w:r w:rsidRPr="005970E9">
              <w:rPr>
                <w:rFonts w:eastAsia="Century Schoolbook" w:cs="Century Schoolbook"/>
                <w:color w:val="000000"/>
                <w:sz w:val="18"/>
                <w:szCs w:val="18"/>
              </w:rPr>
              <w:t>Comisión Económica para América Latina y el Caribe - Sobre la base de encuestas de hogares de los países. Banco de Datos de Encuestas de Hogares (BADEHOG).</w:t>
            </w:r>
          </w:p>
        </w:tc>
      </w:tr>
    </w:tbl>
    <w:p w14:paraId="453119D8" w14:textId="77777777" w:rsidR="00B76B0C" w:rsidRPr="005970E9" w:rsidRDefault="003B5C05" w:rsidP="006F7EAD">
      <w:pPr>
        <w:spacing w:before="240" w:after="120" w:line="276" w:lineRule="auto"/>
        <w:jc w:val="both"/>
        <w:rPr>
          <w:rFonts w:eastAsia="Century Schoolbook" w:cs="Century Schoolbook"/>
        </w:rPr>
      </w:pPr>
      <w:r w:rsidRPr="005970E9">
        <w:rPr>
          <w:rFonts w:eastAsia="Century Schoolbook" w:cs="Century Schoolbook"/>
        </w:rPr>
        <w:t xml:space="preserve">Las personas jóvenes, en especial, en el mundo rural son quienes menos ingresos propios tienen. Entre 15 y 24 años la proporción para las mujeres es de 44.4% y 19.7% los hombres. En el área rural, más de la mitad de las mujeres en ese grupo de edad (53.8%) no cuenta con recursos propios para hacer sostenible su vida. En el área urbana alcanza a cuatro de cada diez (39.3%). Los hombres en el área urbana como rural en ese grupo de edad son 17.2% y 24.1% respectivamente. </w:t>
      </w:r>
    </w:p>
    <w:p w14:paraId="07B954BB" w14:textId="1CB168AD"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Las mujeres en edad reproductiva son las más afectadas</w:t>
      </w:r>
      <w:r w:rsidR="006F7EAD" w:rsidRPr="005970E9">
        <w:rPr>
          <w:rFonts w:eastAsia="Century Schoolbook" w:cs="Century Schoolbook"/>
        </w:rPr>
        <w:t xml:space="preserve">. </w:t>
      </w:r>
      <w:r w:rsidRPr="005970E9">
        <w:rPr>
          <w:rFonts w:eastAsia="Century Schoolbook" w:cs="Century Schoolbook"/>
        </w:rPr>
        <w:t xml:space="preserve">Una de cada cuatro mujeres entre 35 a 44 años no cuenta con ingresos propios, en tal condición un 26.9% depende de otra persona para subsistir, por consiguiente, es una situación de riesgo en el conjunto del desarrollo de la personalidad y de </w:t>
      </w:r>
      <w:r w:rsidR="00F15F29" w:rsidRPr="005970E9">
        <w:rPr>
          <w:rFonts w:eastAsia="Century Schoolbook" w:cs="Century Schoolbook"/>
        </w:rPr>
        <w:t>su</w:t>
      </w:r>
      <w:r w:rsidRPr="005970E9">
        <w:rPr>
          <w:rFonts w:eastAsia="Century Schoolbook" w:cs="Century Schoolbook"/>
        </w:rPr>
        <w:t xml:space="preserve"> vida</w:t>
      </w:r>
      <w:r w:rsidR="00F15F29" w:rsidRPr="005970E9">
        <w:rPr>
          <w:rFonts w:eastAsia="Century Schoolbook" w:cs="Century Schoolbook"/>
        </w:rPr>
        <w:t>;</w:t>
      </w:r>
      <w:r w:rsidRPr="005970E9">
        <w:rPr>
          <w:rFonts w:eastAsia="Century Schoolbook" w:cs="Century Schoolbook"/>
        </w:rPr>
        <w:t xml:space="preserve"> sus estudios, sus gastos personales, sus relaciones con familiares se realizan de forma dependiente. </w:t>
      </w:r>
      <w:r w:rsidR="006F7EAD" w:rsidRPr="005970E9">
        <w:rPr>
          <w:rFonts w:eastAsia="Century Schoolbook" w:cs="Century Schoolbook"/>
        </w:rPr>
        <w:t xml:space="preserve">Asimismo, la situación de dependencia condiciona su </w:t>
      </w:r>
      <w:r w:rsidRPr="005970E9">
        <w:rPr>
          <w:rFonts w:eastAsia="Century Schoolbook" w:cs="Century Schoolbook"/>
        </w:rPr>
        <w:t>relaci</w:t>
      </w:r>
      <w:r w:rsidR="006F7EAD" w:rsidRPr="005970E9">
        <w:rPr>
          <w:rFonts w:eastAsia="Century Schoolbook" w:cs="Century Schoolbook"/>
        </w:rPr>
        <w:t xml:space="preserve">ón </w:t>
      </w:r>
      <w:r w:rsidRPr="005970E9">
        <w:rPr>
          <w:rFonts w:eastAsia="Century Schoolbook" w:cs="Century Schoolbook"/>
        </w:rPr>
        <w:t xml:space="preserve">con la violencia de distinto tipo que </w:t>
      </w:r>
      <w:r w:rsidR="00F15F29" w:rsidRPr="005970E9">
        <w:rPr>
          <w:rFonts w:eastAsia="Century Schoolbook" w:cs="Century Schoolbook"/>
        </w:rPr>
        <w:t xml:space="preserve">le </w:t>
      </w:r>
      <w:r w:rsidRPr="005970E9">
        <w:rPr>
          <w:rFonts w:eastAsia="Century Schoolbook" w:cs="Century Schoolbook"/>
        </w:rPr>
        <w:t>rodea.</w:t>
      </w:r>
    </w:p>
    <w:p w14:paraId="6BF43491" w14:textId="56C9E554" w:rsidR="00B76B0C" w:rsidRPr="005970E9" w:rsidRDefault="003B5C05">
      <w:pPr>
        <w:spacing w:before="120" w:after="120"/>
        <w:jc w:val="both"/>
        <w:rPr>
          <w:rFonts w:eastAsia="Century Schoolbook" w:cs="Century Schoolbook"/>
        </w:rPr>
      </w:pPr>
      <w:r w:rsidRPr="005970E9">
        <w:rPr>
          <w:rFonts w:eastAsia="Century Schoolbook" w:cs="Century Schoolbook"/>
        </w:rPr>
        <w:t xml:space="preserve">Si se comparan los datos de </w:t>
      </w:r>
      <w:r w:rsidR="00F15F29" w:rsidRPr="005970E9">
        <w:rPr>
          <w:rFonts w:eastAsia="Century Schoolbook" w:cs="Century Schoolbook"/>
        </w:rPr>
        <w:t xml:space="preserve">PSIP entre </w:t>
      </w:r>
      <w:r w:rsidRPr="005970E9">
        <w:rPr>
          <w:rFonts w:eastAsia="Century Schoolbook" w:cs="Century Schoolbook"/>
        </w:rPr>
        <w:t>2018 con 2013</w:t>
      </w:r>
      <w:r w:rsidRPr="005970E9">
        <w:rPr>
          <w:rFonts w:eastAsia="Century Schoolbook" w:cs="Century Schoolbook"/>
          <w:vertAlign w:val="superscript"/>
        </w:rPr>
        <w:footnoteReference w:id="31"/>
      </w:r>
      <w:r w:rsidRPr="005970E9">
        <w:rPr>
          <w:rFonts w:eastAsia="Century Schoolbook" w:cs="Century Schoolbook"/>
        </w:rPr>
        <w:t>, se observa</w:t>
      </w:r>
      <w:r w:rsidR="00F15F29" w:rsidRPr="005970E9">
        <w:rPr>
          <w:rFonts w:eastAsia="Century Schoolbook" w:cs="Century Schoolbook"/>
        </w:rPr>
        <w:t xml:space="preserve"> que</w:t>
      </w:r>
      <w:r w:rsidRPr="005970E9">
        <w:rPr>
          <w:rFonts w:eastAsia="Century Schoolbook" w:cs="Century Schoolbook"/>
        </w:rPr>
        <w:t>:</w:t>
      </w:r>
    </w:p>
    <w:p w14:paraId="12918614" w14:textId="1F2818E3" w:rsidR="00B76B0C" w:rsidRPr="005970E9" w:rsidRDefault="00FB3E3E">
      <w:pPr>
        <w:numPr>
          <w:ilvl w:val="0"/>
          <w:numId w:val="4"/>
        </w:numPr>
        <w:pBdr>
          <w:top w:val="nil"/>
          <w:left w:val="nil"/>
          <w:bottom w:val="nil"/>
          <w:right w:val="nil"/>
          <w:between w:val="nil"/>
        </w:pBdr>
        <w:spacing w:line="254" w:lineRule="auto"/>
        <w:jc w:val="both"/>
        <w:rPr>
          <w:rFonts w:eastAsia="Century Schoolbook" w:cs="Century Schoolbook"/>
          <w:color w:val="000000"/>
        </w:rPr>
      </w:pPr>
      <w:r w:rsidRPr="005970E9">
        <w:rPr>
          <w:rFonts w:eastAsia="Century Schoolbook" w:cs="Century Schoolbook"/>
          <w:color w:val="000000"/>
        </w:rPr>
        <w:t>E</w:t>
      </w:r>
      <w:r w:rsidR="003B5C05" w:rsidRPr="005970E9">
        <w:rPr>
          <w:rFonts w:eastAsia="Century Schoolbook" w:cs="Century Schoolbook"/>
          <w:color w:val="000000"/>
        </w:rPr>
        <w:t xml:space="preserve">n el nivel nacional </w:t>
      </w:r>
      <w:r w:rsidR="00F15F29" w:rsidRPr="005970E9">
        <w:rPr>
          <w:rFonts w:eastAsia="Century Schoolbook" w:cs="Century Schoolbook"/>
          <w:color w:val="000000"/>
        </w:rPr>
        <w:t xml:space="preserve">para 2018 </w:t>
      </w:r>
      <w:r w:rsidR="003B5C05" w:rsidRPr="005970E9">
        <w:rPr>
          <w:rFonts w:eastAsia="Century Schoolbook" w:cs="Century Schoolbook"/>
          <w:color w:val="000000"/>
        </w:rPr>
        <w:t xml:space="preserve">hubo una reducción de 0.5% </w:t>
      </w:r>
      <w:r w:rsidR="00AD5147" w:rsidRPr="005970E9">
        <w:rPr>
          <w:rFonts w:eastAsia="Century Schoolbook" w:cs="Century Schoolbook"/>
          <w:color w:val="000000"/>
        </w:rPr>
        <w:t xml:space="preserve">en los </w:t>
      </w:r>
      <w:r w:rsidR="003B5C05" w:rsidRPr="005970E9">
        <w:rPr>
          <w:rFonts w:eastAsia="Century Schoolbook" w:cs="Century Schoolbook"/>
          <w:color w:val="000000"/>
        </w:rPr>
        <w:t xml:space="preserve">hombres y 2.4% </w:t>
      </w:r>
      <w:r w:rsidR="0054444A" w:rsidRPr="005970E9">
        <w:rPr>
          <w:rFonts w:eastAsia="Century Schoolbook" w:cs="Century Schoolbook"/>
          <w:color w:val="000000"/>
        </w:rPr>
        <w:t xml:space="preserve">en </w:t>
      </w:r>
      <w:r w:rsidR="003B5C05" w:rsidRPr="005970E9">
        <w:rPr>
          <w:rFonts w:eastAsia="Century Schoolbook" w:cs="Century Schoolbook"/>
          <w:color w:val="000000"/>
        </w:rPr>
        <w:t xml:space="preserve">las mujeres. </w:t>
      </w:r>
    </w:p>
    <w:p w14:paraId="73D17A37" w14:textId="49B5343D" w:rsidR="00B76B0C" w:rsidRPr="005970E9" w:rsidRDefault="00FB3E3E">
      <w:pPr>
        <w:numPr>
          <w:ilvl w:val="0"/>
          <w:numId w:val="4"/>
        </w:numPr>
        <w:pBdr>
          <w:top w:val="nil"/>
          <w:left w:val="nil"/>
          <w:bottom w:val="nil"/>
          <w:right w:val="nil"/>
          <w:between w:val="nil"/>
        </w:pBdr>
        <w:spacing w:line="254" w:lineRule="auto"/>
        <w:jc w:val="both"/>
        <w:rPr>
          <w:rFonts w:eastAsia="Century Schoolbook" w:cs="Century Schoolbook"/>
          <w:color w:val="000000"/>
        </w:rPr>
      </w:pPr>
      <w:r w:rsidRPr="005970E9">
        <w:rPr>
          <w:rFonts w:eastAsia="Century Schoolbook" w:cs="Century Schoolbook"/>
          <w:color w:val="000000"/>
        </w:rPr>
        <w:t>E</w:t>
      </w:r>
      <w:r w:rsidR="003B5C05" w:rsidRPr="005970E9">
        <w:rPr>
          <w:rFonts w:eastAsia="Century Schoolbook" w:cs="Century Schoolbook"/>
          <w:color w:val="000000"/>
        </w:rPr>
        <w:t>n</w:t>
      </w:r>
      <w:r w:rsidRPr="005970E9">
        <w:rPr>
          <w:rFonts w:eastAsia="Century Schoolbook" w:cs="Century Schoolbook"/>
          <w:color w:val="000000"/>
        </w:rPr>
        <w:t xml:space="preserve"> </w:t>
      </w:r>
      <w:r w:rsidR="00F15F29" w:rsidRPr="005970E9">
        <w:rPr>
          <w:rFonts w:eastAsia="Century Schoolbook" w:cs="Century Schoolbook"/>
          <w:color w:val="000000"/>
        </w:rPr>
        <w:t xml:space="preserve">2018, en </w:t>
      </w:r>
      <w:r w:rsidR="003B5C05" w:rsidRPr="005970E9">
        <w:rPr>
          <w:rFonts w:eastAsia="Century Schoolbook" w:cs="Century Schoolbook"/>
          <w:color w:val="000000"/>
        </w:rPr>
        <w:t xml:space="preserve">el área urbana aumentó para los hombres en 1.3%, pero se redujo para las mujeres de 24.6% a 22.5%. </w:t>
      </w:r>
    </w:p>
    <w:p w14:paraId="464A7EB9" w14:textId="1DEDA804" w:rsidR="00B76B0C" w:rsidRPr="005970E9" w:rsidRDefault="00FB3E3E">
      <w:pPr>
        <w:numPr>
          <w:ilvl w:val="0"/>
          <w:numId w:val="4"/>
        </w:numPr>
        <w:pBdr>
          <w:top w:val="nil"/>
          <w:left w:val="nil"/>
          <w:bottom w:val="nil"/>
          <w:right w:val="nil"/>
          <w:between w:val="nil"/>
        </w:pBdr>
        <w:spacing w:line="254" w:lineRule="auto"/>
        <w:jc w:val="both"/>
        <w:rPr>
          <w:rFonts w:eastAsia="Century Schoolbook" w:cs="Century Schoolbook"/>
          <w:color w:val="000000"/>
        </w:rPr>
      </w:pPr>
      <w:r w:rsidRPr="005970E9">
        <w:rPr>
          <w:rFonts w:eastAsia="Century Schoolbook" w:cs="Century Schoolbook"/>
          <w:color w:val="000000"/>
        </w:rPr>
        <w:t>E</w:t>
      </w:r>
      <w:r w:rsidR="003B5C05" w:rsidRPr="005970E9">
        <w:rPr>
          <w:rFonts w:eastAsia="Century Schoolbook" w:cs="Century Schoolbook"/>
          <w:color w:val="000000"/>
        </w:rPr>
        <w:t>n</w:t>
      </w:r>
      <w:r w:rsidRPr="005970E9">
        <w:rPr>
          <w:rFonts w:eastAsia="Century Schoolbook" w:cs="Century Schoolbook"/>
          <w:color w:val="000000"/>
        </w:rPr>
        <w:t xml:space="preserve"> </w:t>
      </w:r>
      <w:r w:rsidR="003B5C05" w:rsidRPr="005970E9">
        <w:rPr>
          <w:rFonts w:eastAsia="Century Schoolbook" w:cs="Century Schoolbook"/>
          <w:color w:val="000000"/>
        </w:rPr>
        <w:t xml:space="preserve">el área rural se redujo mucho más para los hombres que para las mujeres, pasando de 12.1% a 7.9% y 34.7% a 31.9% respectivamente. </w:t>
      </w:r>
    </w:p>
    <w:p w14:paraId="32EC6B08" w14:textId="18426755" w:rsidR="00B76B0C" w:rsidRPr="005970E9" w:rsidRDefault="00FB3E3E" w:rsidP="00752C00">
      <w:pPr>
        <w:numPr>
          <w:ilvl w:val="0"/>
          <w:numId w:val="4"/>
        </w:numPr>
        <w:pBdr>
          <w:top w:val="nil"/>
          <w:left w:val="nil"/>
          <w:bottom w:val="nil"/>
          <w:right w:val="nil"/>
          <w:between w:val="nil"/>
        </w:pBdr>
        <w:spacing w:after="160" w:line="254" w:lineRule="auto"/>
        <w:jc w:val="both"/>
        <w:rPr>
          <w:rFonts w:eastAsia="Century Schoolbook" w:cs="Century Schoolbook"/>
          <w:color w:val="000000"/>
        </w:rPr>
      </w:pPr>
      <w:r w:rsidRPr="005970E9">
        <w:rPr>
          <w:rFonts w:eastAsia="Century Schoolbook" w:cs="Century Schoolbook"/>
          <w:color w:val="000000"/>
        </w:rPr>
        <w:t>S</w:t>
      </w:r>
      <w:r w:rsidR="003B5C05" w:rsidRPr="005970E9">
        <w:rPr>
          <w:rFonts w:eastAsia="Century Schoolbook" w:cs="Century Schoolbook"/>
          <w:color w:val="000000"/>
        </w:rPr>
        <w:t>e</w:t>
      </w:r>
      <w:r w:rsidRPr="005970E9">
        <w:rPr>
          <w:rFonts w:eastAsia="Century Schoolbook" w:cs="Century Schoolbook"/>
          <w:color w:val="000000"/>
        </w:rPr>
        <w:t xml:space="preserve"> </w:t>
      </w:r>
      <w:r w:rsidR="003B5C05" w:rsidRPr="005970E9">
        <w:rPr>
          <w:rFonts w:eastAsia="Century Schoolbook" w:cs="Century Schoolbook"/>
          <w:color w:val="000000"/>
        </w:rPr>
        <w:t xml:space="preserve">incrementó PSIP entre las edades de 15-24 años en </w:t>
      </w:r>
      <w:r w:rsidRPr="005970E9">
        <w:rPr>
          <w:rFonts w:eastAsia="Century Schoolbook" w:cs="Century Schoolbook"/>
          <w:color w:val="000000"/>
        </w:rPr>
        <w:t>2.6</w:t>
      </w:r>
      <w:r w:rsidR="003B5C05" w:rsidRPr="005970E9">
        <w:rPr>
          <w:rFonts w:eastAsia="Century Schoolbook" w:cs="Century Schoolbook"/>
          <w:color w:val="000000"/>
        </w:rPr>
        <w:t xml:space="preserve">% los hombres y </w:t>
      </w:r>
      <w:r w:rsidRPr="005970E9">
        <w:rPr>
          <w:rFonts w:eastAsia="Century Schoolbook" w:cs="Century Schoolbook"/>
          <w:color w:val="000000"/>
        </w:rPr>
        <w:t>0.5</w:t>
      </w:r>
      <w:r w:rsidR="003B5C05" w:rsidRPr="005970E9">
        <w:rPr>
          <w:rFonts w:eastAsia="Century Schoolbook" w:cs="Century Schoolbook"/>
          <w:color w:val="000000"/>
        </w:rPr>
        <w:t>% las mujeres</w:t>
      </w:r>
      <w:r w:rsidR="00F15F29" w:rsidRPr="005970E9">
        <w:rPr>
          <w:rFonts w:eastAsia="Century Schoolbook" w:cs="Century Schoolbook"/>
          <w:color w:val="000000"/>
        </w:rPr>
        <w:t>.</w:t>
      </w:r>
      <w:r w:rsidR="003B5C05" w:rsidRPr="005970E9">
        <w:rPr>
          <w:rFonts w:eastAsia="Century Schoolbook" w:cs="Century Schoolbook"/>
          <w:color w:val="000000"/>
        </w:rPr>
        <w:t xml:space="preserve"> </w:t>
      </w:r>
      <w:r w:rsidRPr="005970E9">
        <w:rPr>
          <w:rFonts w:eastAsia="Century Schoolbook" w:cs="Century Schoolbook"/>
          <w:color w:val="000000"/>
        </w:rPr>
        <w:t xml:space="preserve">En ese grupo de edad </w:t>
      </w:r>
      <w:r w:rsidR="003B5C05" w:rsidRPr="005970E9">
        <w:rPr>
          <w:rFonts w:eastAsia="Century Schoolbook" w:cs="Century Schoolbook"/>
          <w:color w:val="000000"/>
        </w:rPr>
        <w:t xml:space="preserve">en el ámbito urbano </w:t>
      </w:r>
      <w:r w:rsidR="00F40F01" w:rsidRPr="005970E9">
        <w:rPr>
          <w:rFonts w:eastAsia="Century Schoolbook" w:cs="Century Schoolbook"/>
          <w:color w:val="000000"/>
        </w:rPr>
        <w:t>para los hombres aumentó en 3.8% y 4.3% para las mujeres. E</w:t>
      </w:r>
      <w:r w:rsidR="003B5C05" w:rsidRPr="005970E9">
        <w:rPr>
          <w:rFonts w:eastAsia="Century Schoolbook" w:cs="Century Schoolbook"/>
          <w:color w:val="000000"/>
        </w:rPr>
        <w:t xml:space="preserve">n el ámbito rural se redujo </w:t>
      </w:r>
      <w:r w:rsidR="00F40F01" w:rsidRPr="005970E9">
        <w:rPr>
          <w:rFonts w:eastAsia="Century Schoolbook" w:cs="Century Schoolbook"/>
          <w:color w:val="000000"/>
        </w:rPr>
        <w:t xml:space="preserve">para ambos sexos, </w:t>
      </w:r>
      <w:r w:rsidR="003B5C05" w:rsidRPr="005970E9">
        <w:rPr>
          <w:rFonts w:eastAsia="Century Schoolbook" w:cs="Century Schoolbook"/>
          <w:color w:val="000000"/>
        </w:rPr>
        <w:t xml:space="preserve">en </w:t>
      </w:r>
      <w:r w:rsidR="00F40F01" w:rsidRPr="005970E9">
        <w:rPr>
          <w:rFonts w:eastAsia="Century Schoolbook" w:cs="Century Schoolbook"/>
          <w:color w:val="000000"/>
        </w:rPr>
        <w:t xml:space="preserve">0.8 los hombres y en </w:t>
      </w:r>
      <w:r w:rsidR="003B5C05" w:rsidRPr="005970E9">
        <w:rPr>
          <w:rFonts w:eastAsia="Century Schoolbook" w:cs="Century Schoolbook"/>
          <w:color w:val="000000"/>
        </w:rPr>
        <w:t>5.7</w:t>
      </w:r>
      <w:r w:rsidR="00F40F01" w:rsidRPr="005970E9">
        <w:rPr>
          <w:rFonts w:eastAsia="Century Schoolbook" w:cs="Century Schoolbook"/>
          <w:color w:val="000000"/>
        </w:rPr>
        <w:t>%</w:t>
      </w:r>
      <w:r w:rsidR="003B5C05" w:rsidRPr="005970E9">
        <w:rPr>
          <w:rFonts w:eastAsia="Century Schoolbook" w:cs="Century Schoolbook"/>
          <w:color w:val="000000"/>
        </w:rPr>
        <w:t xml:space="preserve"> las mujeres.  </w:t>
      </w:r>
    </w:p>
    <w:p w14:paraId="4682ED30" w14:textId="4FBC1D17" w:rsidR="00F40F01" w:rsidRPr="005970E9" w:rsidRDefault="00F40F01" w:rsidP="00F40F01">
      <w:pPr>
        <w:pBdr>
          <w:top w:val="nil"/>
          <w:left w:val="nil"/>
          <w:bottom w:val="nil"/>
          <w:right w:val="nil"/>
          <w:between w:val="nil"/>
        </w:pBdr>
        <w:spacing w:after="160" w:line="254" w:lineRule="auto"/>
        <w:jc w:val="both"/>
        <w:rPr>
          <w:rFonts w:eastAsia="Century Schoolbook" w:cs="Century Schoolbook"/>
          <w:color w:val="000000"/>
        </w:rPr>
      </w:pPr>
      <w:r w:rsidRPr="005970E9">
        <w:rPr>
          <w:rFonts w:eastAsia="Century Schoolbook" w:cs="Century Schoolbook"/>
          <w:color w:val="000000"/>
        </w:rPr>
        <w:t xml:space="preserve">Las mujeres rurales resultan las más afectadas por la ausencia de trabajo remunerado, el nivel de dependencia resulta mayor, más si se considera que viven en condiciones de mayor pobreza multidimensional, especialmente afectadas están las mujeres indígenas, </w:t>
      </w:r>
      <w:r w:rsidRPr="005970E9">
        <w:rPr>
          <w:rFonts w:eastAsia="Century Schoolbook" w:cs="Century Schoolbook"/>
          <w:color w:val="000000"/>
        </w:rPr>
        <w:lastRenderedPageBreak/>
        <w:t>para quienes se agravan los indicadores de acceso a salud, educación y participación socio política.</w:t>
      </w:r>
    </w:p>
    <w:p w14:paraId="32D2D3FE" w14:textId="77777777" w:rsidR="00B76B0C" w:rsidRPr="005970E9" w:rsidRDefault="003B5C05" w:rsidP="006F7EAD">
      <w:pPr>
        <w:pStyle w:val="Heading3"/>
        <w:numPr>
          <w:ilvl w:val="2"/>
          <w:numId w:val="16"/>
        </w:numPr>
        <w:spacing w:after="240"/>
      </w:pPr>
      <w:bookmarkStart w:id="116" w:name="_Toc42159207"/>
      <w:bookmarkStart w:id="117" w:name="_Toc42549441"/>
      <w:r w:rsidRPr="005970E9">
        <w:t>Las condiciones de pobreza en las mujeres</w:t>
      </w:r>
      <w:bookmarkEnd w:id="116"/>
      <w:bookmarkEnd w:id="117"/>
      <w:r w:rsidRPr="005970E9">
        <w:t xml:space="preserve">  </w:t>
      </w:r>
    </w:p>
    <w:tbl>
      <w:tblPr>
        <w:tblW w:w="86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0" w:type="dxa"/>
          <w:right w:w="70" w:type="dxa"/>
        </w:tblCellMar>
        <w:tblLook w:val="0400" w:firstRow="0" w:lastRow="0" w:firstColumn="0" w:lastColumn="0" w:noHBand="0" w:noVBand="1"/>
      </w:tblPr>
      <w:tblGrid>
        <w:gridCol w:w="1311"/>
        <w:gridCol w:w="1149"/>
        <w:gridCol w:w="1405"/>
        <w:gridCol w:w="1131"/>
        <w:gridCol w:w="1149"/>
        <w:gridCol w:w="1404"/>
        <w:gridCol w:w="1131"/>
      </w:tblGrid>
      <w:tr w:rsidR="00B76B0C" w:rsidRPr="005970E9" w14:paraId="06CB8981" w14:textId="77777777" w:rsidTr="00B220CE">
        <w:trPr>
          <w:trHeight w:val="170"/>
        </w:trPr>
        <w:tc>
          <w:tcPr>
            <w:tcW w:w="8680" w:type="dxa"/>
            <w:gridSpan w:val="7"/>
            <w:tcBorders>
              <w:top w:val="single" w:sz="4" w:space="0" w:color="00000A"/>
              <w:left w:val="single" w:sz="4" w:space="0" w:color="00000A"/>
              <w:bottom w:val="single" w:sz="4" w:space="0" w:color="00000A"/>
              <w:right w:val="single" w:sz="4" w:space="0" w:color="00000A"/>
            </w:tcBorders>
            <w:shd w:val="clear" w:color="auto" w:fill="B2A1C7" w:themeFill="accent4" w:themeFillTint="99"/>
            <w:tcMar>
              <w:left w:w="70" w:type="dxa"/>
            </w:tcMar>
            <w:vAlign w:val="bottom"/>
          </w:tcPr>
          <w:p w14:paraId="5D1B990E" w14:textId="11BDAAD0" w:rsidR="00B76B0C" w:rsidRPr="005970E9" w:rsidRDefault="008A61AF">
            <w:pPr>
              <w:jc w:val="center"/>
              <w:rPr>
                <w:rFonts w:eastAsia="Century Schoolbook" w:cs="Century Schoolbook"/>
                <w:color w:val="000000"/>
                <w:sz w:val="18"/>
                <w:szCs w:val="18"/>
              </w:rPr>
            </w:pPr>
            <w:bookmarkStart w:id="118" w:name="_Toc42549203"/>
            <w:r w:rsidRPr="005970E9">
              <w:t>Tabla</w:t>
            </w:r>
            <w:r w:rsidR="00F40F01" w:rsidRPr="005970E9">
              <w:t xml:space="preserve"> </w:t>
            </w:r>
            <w:r w:rsidR="00062ABE">
              <w:fldChar w:fldCharType="begin"/>
            </w:r>
            <w:r w:rsidR="00062ABE">
              <w:instrText xml:space="preserve"> SEQ Tabla \* ARABIC </w:instrText>
            </w:r>
            <w:r w:rsidR="00062ABE">
              <w:fldChar w:fldCharType="separate"/>
            </w:r>
            <w:r w:rsidR="009D1829" w:rsidRPr="005970E9">
              <w:rPr>
                <w:noProof/>
              </w:rPr>
              <w:t>9</w:t>
            </w:r>
            <w:r w:rsidR="00062ABE">
              <w:rPr>
                <w:noProof/>
              </w:rPr>
              <w:fldChar w:fldCharType="end"/>
            </w:r>
            <w:r w:rsidR="00F40F01" w:rsidRPr="005970E9">
              <w:t xml:space="preserve">. </w:t>
            </w:r>
            <w:r w:rsidR="003B5C05" w:rsidRPr="005970E9">
              <w:rPr>
                <w:rFonts w:eastAsia="Century Schoolbook" w:cs="Century Schoolbook"/>
                <w:color w:val="000000"/>
                <w:sz w:val="18"/>
                <w:szCs w:val="18"/>
              </w:rPr>
              <w:t>Índice de feminidad de la pobreza extrema y de la pobreza en la República de Panamá, según área geográfica</w:t>
            </w:r>
            <w:bookmarkEnd w:id="118"/>
          </w:p>
        </w:tc>
      </w:tr>
      <w:tr w:rsidR="00B76B0C" w:rsidRPr="005970E9" w14:paraId="47804CEF" w14:textId="77777777" w:rsidTr="006F7EAD">
        <w:trPr>
          <w:trHeight w:val="170"/>
        </w:trPr>
        <w:tc>
          <w:tcPr>
            <w:tcW w:w="1311"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4966BE0E" w14:textId="77777777" w:rsidR="00B76B0C" w:rsidRPr="005970E9" w:rsidRDefault="003B5C05">
            <w:pPr>
              <w:jc w:val="center"/>
              <w:rPr>
                <w:rFonts w:eastAsia="Century Schoolbook" w:cs="Century Schoolbook"/>
                <w:b/>
                <w:color w:val="000000"/>
                <w:sz w:val="18"/>
                <w:szCs w:val="18"/>
              </w:rPr>
            </w:pPr>
            <w:r w:rsidRPr="005970E9">
              <w:rPr>
                <w:rFonts w:eastAsia="Century Schoolbook" w:cs="Century Schoolbook"/>
                <w:b/>
                <w:color w:val="000000"/>
                <w:sz w:val="18"/>
                <w:szCs w:val="18"/>
              </w:rPr>
              <w:t>Años</w:t>
            </w:r>
          </w:p>
        </w:tc>
        <w:tc>
          <w:tcPr>
            <w:tcW w:w="3685"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0595EEAA" w14:textId="77777777" w:rsidR="00B76B0C" w:rsidRPr="005970E9" w:rsidRDefault="003B5C05">
            <w:pPr>
              <w:jc w:val="center"/>
              <w:rPr>
                <w:rFonts w:eastAsia="Century Schoolbook" w:cs="Century Schoolbook"/>
                <w:b/>
                <w:color w:val="000000"/>
                <w:sz w:val="18"/>
                <w:szCs w:val="18"/>
              </w:rPr>
            </w:pPr>
            <w:r w:rsidRPr="005970E9">
              <w:rPr>
                <w:rFonts w:eastAsia="Century Schoolbook" w:cs="Century Schoolbook"/>
                <w:b/>
                <w:color w:val="000000"/>
                <w:sz w:val="18"/>
                <w:szCs w:val="18"/>
              </w:rPr>
              <w:t>Pobreza extrema</w:t>
            </w:r>
          </w:p>
        </w:tc>
        <w:tc>
          <w:tcPr>
            <w:tcW w:w="368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63F19F7C" w14:textId="77777777" w:rsidR="00B76B0C" w:rsidRPr="005970E9" w:rsidRDefault="003B5C05">
            <w:pPr>
              <w:jc w:val="center"/>
              <w:rPr>
                <w:rFonts w:eastAsia="Century Schoolbook" w:cs="Century Schoolbook"/>
                <w:b/>
                <w:color w:val="000000"/>
                <w:sz w:val="18"/>
                <w:szCs w:val="18"/>
              </w:rPr>
            </w:pPr>
            <w:r w:rsidRPr="005970E9">
              <w:rPr>
                <w:rFonts w:eastAsia="Century Schoolbook" w:cs="Century Schoolbook"/>
                <w:b/>
                <w:color w:val="000000"/>
                <w:sz w:val="18"/>
                <w:szCs w:val="18"/>
              </w:rPr>
              <w:t>Pobreza</w:t>
            </w:r>
          </w:p>
        </w:tc>
      </w:tr>
      <w:tr w:rsidR="001C716D" w:rsidRPr="005970E9" w14:paraId="3FACB934" w14:textId="77777777">
        <w:trPr>
          <w:trHeight w:val="170"/>
        </w:trPr>
        <w:tc>
          <w:tcPr>
            <w:tcW w:w="1311" w:type="dxa"/>
            <w:vMerge/>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20145474" w14:textId="77777777" w:rsidR="00B76B0C" w:rsidRPr="005970E9" w:rsidRDefault="00B76B0C">
            <w:pPr>
              <w:widowControl w:val="0"/>
              <w:pBdr>
                <w:top w:val="nil"/>
                <w:left w:val="nil"/>
                <w:bottom w:val="nil"/>
                <w:right w:val="nil"/>
                <w:between w:val="nil"/>
              </w:pBdr>
              <w:spacing w:line="276" w:lineRule="auto"/>
              <w:rPr>
                <w:rFonts w:eastAsia="Century Schoolbook" w:cs="Century Schoolbook"/>
                <w:b/>
                <w:color w:val="000000"/>
                <w:sz w:val="18"/>
                <w:szCs w:val="18"/>
              </w:rPr>
            </w:pPr>
          </w:p>
        </w:tc>
        <w:tc>
          <w:tcPr>
            <w:tcW w:w="114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46F8A1A2" w14:textId="77777777" w:rsidR="00B76B0C" w:rsidRPr="005970E9" w:rsidRDefault="003B5C05" w:rsidP="007E47F2">
            <w:pPr>
              <w:jc w:val="center"/>
              <w:rPr>
                <w:rFonts w:eastAsia="Century Schoolbook" w:cs="Century Schoolbook"/>
                <w:color w:val="000000"/>
                <w:sz w:val="18"/>
                <w:szCs w:val="18"/>
              </w:rPr>
            </w:pPr>
            <w:r w:rsidRPr="005970E9">
              <w:rPr>
                <w:rFonts w:eastAsia="Century Schoolbook" w:cs="Century Schoolbook"/>
                <w:color w:val="000000"/>
                <w:sz w:val="18"/>
                <w:szCs w:val="18"/>
              </w:rPr>
              <w:t>Nacional</w:t>
            </w:r>
          </w:p>
        </w:tc>
        <w:tc>
          <w:tcPr>
            <w:tcW w:w="140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4B5DA63B" w14:textId="0481B825" w:rsidR="00B76B0C" w:rsidRPr="005970E9" w:rsidRDefault="003B5C05" w:rsidP="007E47F2">
            <w:pPr>
              <w:jc w:val="center"/>
              <w:rPr>
                <w:rFonts w:eastAsia="Century Schoolbook" w:cs="Century Schoolbook"/>
                <w:color w:val="000000"/>
                <w:sz w:val="18"/>
                <w:szCs w:val="18"/>
              </w:rPr>
            </w:pPr>
            <w:r w:rsidRPr="005970E9">
              <w:rPr>
                <w:rFonts w:eastAsia="Century Schoolbook" w:cs="Century Schoolbook"/>
                <w:color w:val="000000"/>
                <w:sz w:val="18"/>
                <w:szCs w:val="18"/>
              </w:rPr>
              <w:t>Urbana</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62BF123A" w14:textId="7F82284C" w:rsidR="00B76B0C" w:rsidRPr="005970E9" w:rsidRDefault="003B5C05" w:rsidP="007E47F2">
            <w:pPr>
              <w:jc w:val="center"/>
              <w:rPr>
                <w:rFonts w:eastAsia="Century Schoolbook" w:cs="Century Schoolbook"/>
                <w:color w:val="000000"/>
                <w:sz w:val="18"/>
                <w:szCs w:val="18"/>
              </w:rPr>
            </w:pPr>
            <w:r w:rsidRPr="005970E9">
              <w:rPr>
                <w:rFonts w:eastAsia="Century Schoolbook" w:cs="Century Schoolbook"/>
                <w:color w:val="000000"/>
                <w:sz w:val="18"/>
                <w:szCs w:val="18"/>
              </w:rPr>
              <w:t>Rural</w:t>
            </w:r>
          </w:p>
        </w:tc>
        <w:tc>
          <w:tcPr>
            <w:tcW w:w="114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572B3162" w14:textId="77777777" w:rsidR="00B76B0C" w:rsidRPr="005970E9" w:rsidRDefault="003B5C05" w:rsidP="007E47F2">
            <w:pPr>
              <w:jc w:val="center"/>
              <w:rPr>
                <w:rFonts w:eastAsia="Century Schoolbook" w:cs="Century Schoolbook"/>
                <w:color w:val="000000"/>
                <w:sz w:val="18"/>
                <w:szCs w:val="18"/>
              </w:rPr>
            </w:pPr>
            <w:r w:rsidRPr="005970E9">
              <w:rPr>
                <w:rFonts w:eastAsia="Century Schoolbook" w:cs="Century Schoolbook"/>
                <w:color w:val="000000"/>
                <w:sz w:val="18"/>
                <w:szCs w:val="18"/>
              </w:rPr>
              <w:t>Nacional</w:t>
            </w:r>
          </w:p>
        </w:tc>
        <w:tc>
          <w:tcPr>
            <w:tcW w:w="140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2F124F2D" w14:textId="3F50F769" w:rsidR="00B76B0C" w:rsidRPr="005970E9" w:rsidRDefault="003B5C05" w:rsidP="007E47F2">
            <w:pPr>
              <w:jc w:val="center"/>
              <w:rPr>
                <w:rFonts w:eastAsia="Century Schoolbook" w:cs="Century Schoolbook"/>
                <w:color w:val="000000"/>
                <w:sz w:val="18"/>
                <w:szCs w:val="18"/>
              </w:rPr>
            </w:pPr>
            <w:r w:rsidRPr="005970E9">
              <w:rPr>
                <w:rFonts w:eastAsia="Century Schoolbook" w:cs="Century Schoolbook"/>
                <w:color w:val="000000"/>
                <w:sz w:val="18"/>
                <w:szCs w:val="18"/>
              </w:rPr>
              <w:t>Urbana</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6C742B44" w14:textId="20305E53" w:rsidR="00B76B0C" w:rsidRPr="005970E9" w:rsidRDefault="003B5C05" w:rsidP="007E47F2">
            <w:pPr>
              <w:jc w:val="center"/>
              <w:rPr>
                <w:rFonts w:eastAsia="Century Schoolbook" w:cs="Century Schoolbook"/>
                <w:color w:val="000000"/>
                <w:sz w:val="18"/>
                <w:szCs w:val="18"/>
              </w:rPr>
            </w:pPr>
            <w:r w:rsidRPr="005970E9">
              <w:rPr>
                <w:rFonts w:eastAsia="Century Schoolbook" w:cs="Century Schoolbook"/>
                <w:color w:val="000000"/>
                <w:sz w:val="18"/>
                <w:szCs w:val="18"/>
              </w:rPr>
              <w:t>Rural</w:t>
            </w:r>
          </w:p>
        </w:tc>
      </w:tr>
      <w:tr w:rsidR="001C716D" w:rsidRPr="005970E9" w14:paraId="411FB27B" w14:textId="77777777">
        <w:trPr>
          <w:trHeight w:val="170"/>
        </w:trPr>
        <w:tc>
          <w:tcPr>
            <w:tcW w:w="13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6049D023" w14:textId="5322FCE1" w:rsidR="00B76B0C" w:rsidRPr="005970E9" w:rsidRDefault="003B5C05" w:rsidP="007E47F2">
            <w:pPr>
              <w:jc w:val="center"/>
              <w:rPr>
                <w:rFonts w:eastAsia="Century Schoolbook" w:cs="Century Schoolbook"/>
                <w:color w:val="000000"/>
                <w:sz w:val="18"/>
                <w:szCs w:val="18"/>
              </w:rPr>
            </w:pPr>
            <w:r w:rsidRPr="005970E9">
              <w:rPr>
                <w:rFonts w:eastAsia="Century Schoolbook" w:cs="Century Schoolbook"/>
                <w:color w:val="000000"/>
                <w:sz w:val="18"/>
                <w:szCs w:val="18"/>
              </w:rPr>
              <w:t>2000</w:t>
            </w:r>
          </w:p>
        </w:tc>
        <w:tc>
          <w:tcPr>
            <w:tcW w:w="114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0AC2BD2A" w14:textId="77777777" w:rsidR="00B76B0C" w:rsidRPr="005970E9" w:rsidRDefault="003B5C05">
            <w:pPr>
              <w:jc w:val="right"/>
              <w:rPr>
                <w:rFonts w:eastAsia="Century Schoolbook" w:cs="Century Schoolbook"/>
                <w:color w:val="000000"/>
                <w:sz w:val="18"/>
                <w:szCs w:val="18"/>
              </w:rPr>
            </w:pPr>
            <w:r w:rsidRPr="005970E9">
              <w:rPr>
                <w:rFonts w:eastAsia="Century Schoolbook" w:cs="Century Schoolbook"/>
                <w:color w:val="000000"/>
                <w:sz w:val="18"/>
                <w:szCs w:val="18"/>
              </w:rPr>
              <w:t>107.6</w:t>
            </w:r>
          </w:p>
        </w:tc>
        <w:tc>
          <w:tcPr>
            <w:tcW w:w="140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6BDF9DB1" w14:textId="77777777" w:rsidR="00B76B0C" w:rsidRPr="005970E9" w:rsidRDefault="003B5C05">
            <w:pPr>
              <w:jc w:val="right"/>
              <w:rPr>
                <w:rFonts w:eastAsia="Century Schoolbook" w:cs="Century Schoolbook"/>
                <w:color w:val="000000"/>
                <w:sz w:val="18"/>
                <w:szCs w:val="18"/>
              </w:rPr>
            </w:pPr>
            <w:r w:rsidRPr="005970E9">
              <w:rPr>
                <w:rFonts w:eastAsia="Century Schoolbook" w:cs="Century Schoolbook"/>
                <w:color w:val="000000"/>
                <w:sz w:val="18"/>
                <w:szCs w:val="18"/>
              </w:rPr>
              <w:t>125.7</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7CB17A4C" w14:textId="77777777" w:rsidR="00B76B0C" w:rsidRPr="005970E9" w:rsidRDefault="003B5C05">
            <w:pPr>
              <w:jc w:val="right"/>
              <w:rPr>
                <w:rFonts w:eastAsia="Century Schoolbook" w:cs="Century Schoolbook"/>
                <w:color w:val="000000"/>
                <w:sz w:val="18"/>
                <w:szCs w:val="18"/>
              </w:rPr>
            </w:pPr>
            <w:r w:rsidRPr="005970E9">
              <w:rPr>
                <w:rFonts w:eastAsia="Century Schoolbook" w:cs="Century Schoolbook"/>
                <w:color w:val="000000"/>
                <w:sz w:val="18"/>
                <w:szCs w:val="18"/>
              </w:rPr>
              <w:t>111.5</w:t>
            </w:r>
          </w:p>
        </w:tc>
        <w:tc>
          <w:tcPr>
            <w:tcW w:w="114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3FAD9E22" w14:textId="77777777" w:rsidR="00B76B0C" w:rsidRPr="005970E9" w:rsidRDefault="003B5C05">
            <w:pPr>
              <w:jc w:val="right"/>
              <w:rPr>
                <w:rFonts w:eastAsia="Century Schoolbook" w:cs="Century Schoolbook"/>
                <w:color w:val="000000"/>
                <w:sz w:val="18"/>
                <w:szCs w:val="18"/>
              </w:rPr>
            </w:pPr>
            <w:r w:rsidRPr="005970E9">
              <w:rPr>
                <w:rFonts w:eastAsia="Century Schoolbook" w:cs="Century Schoolbook"/>
                <w:color w:val="000000"/>
                <w:sz w:val="18"/>
                <w:szCs w:val="18"/>
              </w:rPr>
              <w:t>105.7</w:t>
            </w:r>
          </w:p>
        </w:tc>
        <w:tc>
          <w:tcPr>
            <w:tcW w:w="140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0298672E" w14:textId="77777777" w:rsidR="00B76B0C" w:rsidRPr="005970E9" w:rsidRDefault="003B5C05">
            <w:pPr>
              <w:jc w:val="right"/>
              <w:rPr>
                <w:rFonts w:eastAsia="Century Schoolbook" w:cs="Century Schoolbook"/>
                <w:color w:val="000000"/>
                <w:sz w:val="18"/>
                <w:szCs w:val="18"/>
              </w:rPr>
            </w:pPr>
            <w:r w:rsidRPr="005970E9">
              <w:rPr>
                <w:rFonts w:eastAsia="Century Schoolbook" w:cs="Century Schoolbook"/>
                <w:color w:val="000000"/>
                <w:sz w:val="18"/>
                <w:szCs w:val="18"/>
              </w:rPr>
              <w:t>112.6</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2BBB079C" w14:textId="77777777" w:rsidR="00B76B0C" w:rsidRPr="005970E9" w:rsidRDefault="003B5C05">
            <w:pPr>
              <w:jc w:val="right"/>
              <w:rPr>
                <w:rFonts w:eastAsia="Century Schoolbook" w:cs="Century Schoolbook"/>
                <w:color w:val="000000"/>
                <w:sz w:val="18"/>
                <w:szCs w:val="18"/>
              </w:rPr>
            </w:pPr>
            <w:r w:rsidRPr="005970E9">
              <w:rPr>
                <w:rFonts w:eastAsia="Century Schoolbook" w:cs="Century Schoolbook"/>
                <w:color w:val="000000"/>
                <w:sz w:val="18"/>
                <w:szCs w:val="18"/>
              </w:rPr>
              <w:t>108.8</w:t>
            </w:r>
          </w:p>
        </w:tc>
      </w:tr>
      <w:tr w:rsidR="001C716D" w:rsidRPr="005970E9" w14:paraId="28481F9D" w14:textId="77777777">
        <w:trPr>
          <w:trHeight w:val="170"/>
        </w:trPr>
        <w:tc>
          <w:tcPr>
            <w:tcW w:w="131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780EFC1C" w14:textId="004C2706" w:rsidR="00B76B0C" w:rsidRPr="005970E9" w:rsidRDefault="003B5C05" w:rsidP="007E47F2">
            <w:pPr>
              <w:jc w:val="center"/>
              <w:rPr>
                <w:rFonts w:eastAsia="Century Schoolbook" w:cs="Century Schoolbook"/>
                <w:color w:val="000000"/>
                <w:sz w:val="18"/>
                <w:szCs w:val="18"/>
              </w:rPr>
            </w:pPr>
            <w:r w:rsidRPr="005970E9">
              <w:rPr>
                <w:rFonts w:eastAsia="Century Schoolbook" w:cs="Century Schoolbook"/>
                <w:color w:val="000000"/>
                <w:sz w:val="18"/>
                <w:szCs w:val="18"/>
              </w:rPr>
              <w:t>2018</w:t>
            </w:r>
          </w:p>
        </w:tc>
        <w:tc>
          <w:tcPr>
            <w:tcW w:w="114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71EABFCC" w14:textId="77777777" w:rsidR="00B76B0C" w:rsidRPr="005970E9" w:rsidRDefault="003B5C05">
            <w:pPr>
              <w:jc w:val="right"/>
              <w:rPr>
                <w:rFonts w:eastAsia="Century Schoolbook" w:cs="Century Schoolbook"/>
                <w:color w:val="000000"/>
                <w:sz w:val="18"/>
                <w:szCs w:val="18"/>
              </w:rPr>
            </w:pPr>
            <w:r w:rsidRPr="005970E9">
              <w:rPr>
                <w:rFonts w:eastAsia="Century Schoolbook" w:cs="Century Schoolbook"/>
                <w:color w:val="000000"/>
                <w:sz w:val="18"/>
                <w:szCs w:val="18"/>
              </w:rPr>
              <w:t>128.2</w:t>
            </w:r>
          </w:p>
        </w:tc>
        <w:tc>
          <w:tcPr>
            <w:tcW w:w="140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55CCD83D" w14:textId="77777777" w:rsidR="00B76B0C" w:rsidRPr="005970E9" w:rsidRDefault="003B5C05">
            <w:pPr>
              <w:jc w:val="right"/>
              <w:rPr>
                <w:rFonts w:eastAsia="Century Schoolbook" w:cs="Century Schoolbook"/>
                <w:color w:val="000000"/>
                <w:sz w:val="18"/>
                <w:szCs w:val="18"/>
              </w:rPr>
            </w:pPr>
            <w:r w:rsidRPr="005970E9">
              <w:rPr>
                <w:rFonts w:eastAsia="Century Schoolbook" w:cs="Century Schoolbook"/>
                <w:color w:val="000000"/>
                <w:sz w:val="18"/>
                <w:szCs w:val="18"/>
              </w:rPr>
              <w:t>162.5</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2E9081FD" w14:textId="77777777" w:rsidR="00B76B0C" w:rsidRPr="005970E9" w:rsidRDefault="003B5C05">
            <w:pPr>
              <w:jc w:val="right"/>
              <w:rPr>
                <w:rFonts w:eastAsia="Century Schoolbook" w:cs="Century Schoolbook"/>
                <w:color w:val="000000"/>
                <w:sz w:val="18"/>
                <w:szCs w:val="18"/>
              </w:rPr>
            </w:pPr>
            <w:r w:rsidRPr="005970E9">
              <w:rPr>
                <w:rFonts w:eastAsia="Century Schoolbook" w:cs="Century Schoolbook"/>
                <w:color w:val="000000"/>
                <w:sz w:val="18"/>
                <w:szCs w:val="18"/>
              </w:rPr>
              <w:t>128.1</w:t>
            </w:r>
          </w:p>
        </w:tc>
        <w:tc>
          <w:tcPr>
            <w:tcW w:w="114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78D79AFA" w14:textId="77777777" w:rsidR="00B76B0C" w:rsidRPr="005970E9" w:rsidRDefault="003B5C05">
            <w:pPr>
              <w:jc w:val="right"/>
              <w:rPr>
                <w:rFonts w:eastAsia="Century Schoolbook" w:cs="Century Schoolbook"/>
                <w:color w:val="000000"/>
                <w:sz w:val="18"/>
                <w:szCs w:val="18"/>
              </w:rPr>
            </w:pPr>
            <w:r w:rsidRPr="005970E9">
              <w:rPr>
                <w:rFonts w:eastAsia="Century Schoolbook" w:cs="Century Schoolbook"/>
                <w:color w:val="000000"/>
                <w:sz w:val="18"/>
                <w:szCs w:val="18"/>
              </w:rPr>
              <w:t>123.2</w:t>
            </w:r>
          </w:p>
        </w:tc>
        <w:tc>
          <w:tcPr>
            <w:tcW w:w="140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02616162" w14:textId="77777777" w:rsidR="00B76B0C" w:rsidRPr="005970E9" w:rsidRDefault="003B5C05">
            <w:pPr>
              <w:jc w:val="right"/>
              <w:rPr>
                <w:rFonts w:eastAsia="Century Schoolbook" w:cs="Century Schoolbook"/>
                <w:color w:val="000000"/>
                <w:sz w:val="18"/>
                <w:szCs w:val="18"/>
              </w:rPr>
            </w:pPr>
            <w:r w:rsidRPr="005970E9">
              <w:rPr>
                <w:rFonts w:eastAsia="Century Schoolbook" w:cs="Century Schoolbook"/>
                <w:color w:val="000000"/>
                <w:sz w:val="18"/>
                <w:szCs w:val="18"/>
              </w:rPr>
              <w:t>133.3</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6CE1AA1E" w14:textId="77777777" w:rsidR="00B76B0C" w:rsidRPr="005970E9" w:rsidRDefault="003B5C05">
            <w:pPr>
              <w:jc w:val="right"/>
              <w:rPr>
                <w:rFonts w:eastAsia="Century Schoolbook" w:cs="Century Schoolbook"/>
                <w:color w:val="000000"/>
                <w:sz w:val="18"/>
                <w:szCs w:val="18"/>
              </w:rPr>
            </w:pPr>
            <w:r w:rsidRPr="005970E9">
              <w:rPr>
                <w:rFonts w:eastAsia="Century Schoolbook" w:cs="Century Schoolbook"/>
                <w:color w:val="000000"/>
                <w:sz w:val="18"/>
                <w:szCs w:val="18"/>
              </w:rPr>
              <w:t>122.5</w:t>
            </w:r>
          </w:p>
        </w:tc>
      </w:tr>
      <w:tr w:rsidR="006F7EAD" w:rsidRPr="005970E9" w14:paraId="59884F54" w14:textId="77777777" w:rsidTr="00B220CE">
        <w:trPr>
          <w:trHeight w:val="170"/>
        </w:trPr>
        <w:tc>
          <w:tcPr>
            <w:tcW w:w="8680" w:type="dxa"/>
            <w:gridSpan w:val="7"/>
            <w:tcBorders>
              <w:top w:val="single" w:sz="4" w:space="0" w:color="00000A"/>
              <w:left w:val="single" w:sz="4" w:space="0" w:color="00000A"/>
              <w:bottom w:val="single" w:sz="4" w:space="0" w:color="00000A"/>
              <w:right w:val="single" w:sz="4" w:space="0" w:color="00000A"/>
            </w:tcBorders>
            <w:shd w:val="clear" w:color="auto" w:fill="E5DFEC" w:themeFill="accent4" w:themeFillTint="33"/>
            <w:tcMar>
              <w:left w:w="70" w:type="dxa"/>
            </w:tcMar>
            <w:vAlign w:val="bottom"/>
          </w:tcPr>
          <w:p w14:paraId="71F18500" w14:textId="65EA13E1" w:rsidR="006F7EAD" w:rsidRPr="005970E9" w:rsidRDefault="006F7EAD" w:rsidP="006F7EAD">
            <w:pPr>
              <w:jc w:val="both"/>
              <w:rPr>
                <w:color w:val="000000"/>
                <w:sz w:val="16"/>
                <w:lang w:val="fr-FR"/>
              </w:rPr>
            </w:pPr>
            <w:r w:rsidRPr="005970E9">
              <w:rPr>
                <w:rFonts w:eastAsia="Century Schoolbook" w:cs="Century Schoolbook"/>
                <w:sz w:val="16"/>
                <w:szCs w:val="16"/>
              </w:rPr>
              <w:t xml:space="preserve">Cepal: </w:t>
            </w:r>
            <w:hyperlink r:id="rId34">
              <w:r w:rsidRPr="005970E9">
                <w:rPr>
                  <w:rFonts w:eastAsia="Century Schoolbook" w:cs="Century Schoolbook"/>
                  <w:color w:val="0000FF"/>
                  <w:sz w:val="16"/>
                  <w:szCs w:val="16"/>
                  <w:u w:val="single"/>
                </w:rPr>
                <w:t>https://estadisticas.cepal.org/cepalstat/WEB_CEPALSTAT/estadisticasIndicadores.asp?idioma=e</w:t>
              </w:r>
            </w:hyperlink>
          </w:p>
        </w:tc>
      </w:tr>
    </w:tbl>
    <w:p w14:paraId="5D582CF2" w14:textId="2D249EB7" w:rsidR="00B76B0C" w:rsidRPr="005970E9" w:rsidRDefault="003B5C05" w:rsidP="00701A49">
      <w:pPr>
        <w:spacing w:before="120" w:after="120" w:line="276" w:lineRule="auto"/>
        <w:jc w:val="both"/>
        <w:rPr>
          <w:rFonts w:eastAsia="Century Schoolbook" w:cs="Century Schoolbook"/>
        </w:rPr>
      </w:pPr>
      <w:r w:rsidRPr="005970E9">
        <w:rPr>
          <w:rFonts w:eastAsia="Century Schoolbook" w:cs="Century Schoolbook"/>
        </w:rPr>
        <w:t>El índice de feminidad de la pobreza extrema y pobreza, muestra la proporción de hombres y mujeres en los hogares en esas condiciones. En los primeros dieciocho años de este siglo se observa que hay más mujeres que hombres, en hogares en pobreza extrema como en pobreza</w:t>
      </w:r>
      <w:r w:rsidR="00B43882">
        <w:rPr>
          <w:rFonts w:eastAsia="Century Schoolbook" w:cs="Century Schoolbook"/>
        </w:rPr>
        <w:t xml:space="preserve"> (ver tabla 9)</w:t>
      </w:r>
      <w:r w:rsidRPr="005970E9">
        <w:rPr>
          <w:rFonts w:eastAsia="Century Schoolbook" w:cs="Century Schoolbook"/>
        </w:rPr>
        <w:t>. Por otra parte, el cálculo que hace CEPAL para este indicador muestra que las mujeres en los hogares urbanos de pobreza extrema son las más afectadas</w:t>
      </w:r>
      <w:r w:rsidR="00621C0D" w:rsidRPr="005970E9">
        <w:rPr>
          <w:rFonts w:eastAsia="Century Schoolbook" w:cs="Century Schoolbook"/>
        </w:rPr>
        <w:t xml:space="preserve"> en dieciocho años la feminización de la pobreza es un hecho inalterado</w:t>
      </w:r>
      <w:r w:rsidRPr="005970E9">
        <w:rPr>
          <w:rFonts w:eastAsia="Century Schoolbook" w:cs="Century Schoolbook"/>
        </w:rPr>
        <w:t>.</w:t>
      </w:r>
      <w:r w:rsidRPr="005970E9">
        <w:rPr>
          <w:rFonts w:eastAsia="Century Schoolbook" w:cs="Century Schoolbook"/>
          <w:vertAlign w:val="superscript"/>
        </w:rPr>
        <w:footnoteReference w:id="32"/>
      </w:r>
    </w:p>
    <w:p w14:paraId="1AC11B2E" w14:textId="57BCE259"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 xml:space="preserve">La política gubernamental de transferencia monetaria condicionada (TMC) </w:t>
      </w:r>
      <w:r w:rsidR="002C118D" w:rsidRPr="005970E9">
        <w:rPr>
          <w:rFonts w:eastAsia="Century Schoolbook" w:cs="Century Schoolbook"/>
        </w:rPr>
        <w:t xml:space="preserve">inició </w:t>
      </w:r>
      <w:r w:rsidRPr="005970E9">
        <w:rPr>
          <w:rFonts w:eastAsia="Century Schoolbook" w:cs="Century Schoolbook"/>
        </w:rPr>
        <w:t xml:space="preserve">en </w:t>
      </w:r>
      <w:r w:rsidR="00621C0D" w:rsidRPr="005970E9">
        <w:rPr>
          <w:rFonts w:eastAsia="Century Schoolbook" w:cs="Century Schoolbook"/>
        </w:rPr>
        <w:t xml:space="preserve">el año </w:t>
      </w:r>
      <w:r w:rsidRPr="005970E9">
        <w:rPr>
          <w:rFonts w:eastAsia="Century Schoolbook" w:cs="Century Schoolbook"/>
        </w:rPr>
        <w:t xml:space="preserve">2006 y </w:t>
      </w:r>
      <w:r w:rsidR="002C118D" w:rsidRPr="005970E9">
        <w:rPr>
          <w:rFonts w:eastAsia="Century Schoolbook" w:cs="Century Schoolbook"/>
        </w:rPr>
        <w:t xml:space="preserve">continúan hasta el momento, </w:t>
      </w:r>
      <w:r w:rsidRPr="005970E9">
        <w:rPr>
          <w:rFonts w:eastAsia="Century Schoolbook" w:cs="Century Schoolbook"/>
        </w:rPr>
        <w:t>fue focalizada en las mujeres, paradójicamente, esos esfuerzos no solo no redujeron la brecha de pobreza entre hombres y mujeres, sino que ésta aumentó en la última década. Esas políticas fueron muy cuestionadas en especial por las organizaciones de mujeres, por el efecto que sobre las asignaciones de género en materia de cuidado tienen para las mujeres, además de reforzar concepciones culturales de sujeción de las mujeres al mandato de la maternidad, responsables de garantizar la  salud y educación de sus hijos, el acceso a ingresos de estas mujeres también detonaría situaciones de violencia, no obstante, no es su resultado, sino la manifestación del comportamiento machista prevaleciente en la cultura.</w:t>
      </w:r>
    </w:p>
    <w:p w14:paraId="7D3C7053" w14:textId="50010AC6" w:rsidR="00B76B0C" w:rsidRPr="005970E9" w:rsidRDefault="003B5C05" w:rsidP="002338C0">
      <w:pPr>
        <w:pStyle w:val="Heading2"/>
        <w:numPr>
          <w:ilvl w:val="1"/>
          <w:numId w:val="16"/>
        </w:numPr>
      </w:pPr>
      <w:bookmarkStart w:id="119" w:name="_Toc42159208"/>
      <w:bookmarkStart w:id="120" w:name="_Toc42549442"/>
      <w:r w:rsidRPr="005970E9">
        <w:t>Género y trabajo</w:t>
      </w:r>
      <w:bookmarkEnd w:id="119"/>
      <w:bookmarkEnd w:id="120"/>
    </w:p>
    <w:p w14:paraId="12AE1E56" w14:textId="497E009A"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 xml:space="preserve">Las mujeres en Panamá tienen la mayor carga de trabajo total (remunerado y no remunerado) por semana, 68.2 horas y los hombres 59.4 horas (Orozco Corona, 2011, p12). El trabajo de cuidado les ocupa más tiempo que a los hombres, este se realiza en los hogares, es la mayor inversión de recurso humano en la esfera económica, entre otras condiciones este trabajo: 1) no hace parte de la contabilidad nacional, en el caso de Panamá no existe una cuenta satélite de trabajo no remunerado que muestre la contribución de las mujeres en el PIB; 2) el trabajo de cuidado implica la transferencia de un flujo constante de recursos hacia el mercado de trabajo (tanto </w:t>
      </w:r>
      <w:r w:rsidR="00621C0D" w:rsidRPr="005970E9">
        <w:rPr>
          <w:rFonts w:eastAsia="Century Schoolbook" w:cs="Century Schoolbook"/>
        </w:rPr>
        <w:t>a</w:t>
      </w:r>
      <w:r w:rsidRPr="005970E9">
        <w:rPr>
          <w:rFonts w:eastAsia="Century Schoolbook" w:cs="Century Schoolbook"/>
        </w:rPr>
        <w:t>l sector público</w:t>
      </w:r>
      <w:r w:rsidR="00621C0D" w:rsidRPr="005970E9">
        <w:rPr>
          <w:rFonts w:eastAsia="Century Schoolbook" w:cs="Century Schoolbook"/>
        </w:rPr>
        <w:t>,</w:t>
      </w:r>
      <w:r w:rsidRPr="005970E9">
        <w:rPr>
          <w:rFonts w:eastAsia="Century Schoolbook" w:cs="Century Schoolbook"/>
        </w:rPr>
        <w:t xml:space="preserve">  como </w:t>
      </w:r>
      <w:r w:rsidR="00621C0D" w:rsidRPr="005970E9">
        <w:rPr>
          <w:rFonts w:eastAsia="Century Schoolbook" w:cs="Century Schoolbook"/>
        </w:rPr>
        <w:t>a</w:t>
      </w:r>
      <w:r w:rsidRPr="005970E9">
        <w:rPr>
          <w:rFonts w:eastAsia="Century Schoolbook" w:cs="Century Schoolbook"/>
        </w:rPr>
        <w:t xml:space="preserve">l sector privado) que va directo a la riqueza del país, por lo que para feministas como Silvia Federici sería legitima la demanda por un salario para la mujer trabajadora </w:t>
      </w:r>
      <w:r w:rsidRPr="005970E9">
        <w:rPr>
          <w:rFonts w:eastAsia="Century Schoolbook" w:cs="Century Schoolbook"/>
        </w:rPr>
        <w:lastRenderedPageBreak/>
        <w:t xml:space="preserve">no remunerada en el hogar; 3) Este trabajo es completamente gratuito y en el caso panameño, </w:t>
      </w:r>
      <w:r w:rsidRPr="005970E9">
        <w:rPr>
          <w:rFonts w:eastAsia="Century Schoolbook" w:cs="Century Schoolbook"/>
          <w:b/>
          <w:bCs/>
        </w:rPr>
        <w:t>el tiempo promedio destinado al trabajo no remunerado de las mujeres</w:t>
      </w:r>
      <w:r w:rsidRPr="005970E9">
        <w:rPr>
          <w:rFonts w:eastAsia="Century Schoolbook" w:cs="Century Schoolbook"/>
        </w:rPr>
        <w:t xml:space="preserve"> de las zonas urbanas de 15 años de edad, según la última medición de la Encuesta de uso del tiempo en 2011, es 29.9 horas, mientras que los hombres dedican 14.2 horas. El tiempo de trabajo de las </w:t>
      </w:r>
      <w:r w:rsidRPr="005970E9">
        <w:rPr>
          <w:rFonts w:eastAsia="Century Schoolbook" w:cs="Century Schoolbook"/>
          <w:b/>
          <w:bCs/>
        </w:rPr>
        <w:t>mujeres dedicado al trabajo remunerado</w:t>
      </w:r>
      <w:r w:rsidRPr="005970E9">
        <w:rPr>
          <w:rFonts w:eastAsia="Century Schoolbook" w:cs="Century Schoolbook"/>
        </w:rPr>
        <w:t xml:space="preserve"> es 38.5 horas y los hombres 45.2.</w:t>
      </w:r>
      <w:r w:rsidRPr="005970E9">
        <w:rPr>
          <w:rFonts w:eastAsia="Century Schoolbook" w:cs="Century Schoolbook"/>
          <w:vertAlign w:val="superscript"/>
        </w:rPr>
        <w:footnoteReference w:id="33"/>
      </w:r>
    </w:p>
    <w:p w14:paraId="387931F3" w14:textId="4C010C4B" w:rsidR="00343495" w:rsidRPr="005970E9" w:rsidRDefault="009C63B2">
      <w:pPr>
        <w:spacing w:before="120" w:after="120" w:line="276" w:lineRule="auto"/>
        <w:jc w:val="both"/>
        <w:rPr>
          <w:rFonts w:eastAsia="Century Schoolbook" w:cs="Century Schoolbook"/>
          <w:b/>
          <w:color w:val="7030A0"/>
        </w:rPr>
      </w:pPr>
      <w:r w:rsidRPr="005970E9">
        <w:rPr>
          <w:noProof/>
        </w:rPr>
        <mc:AlternateContent>
          <mc:Choice Requires="wps">
            <w:drawing>
              <wp:anchor distT="45720" distB="45720" distL="114300" distR="114300" simplePos="0" relativeHeight="251736105" behindDoc="0" locked="0" layoutInCell="1" hidden="0" allowOverlap="1" wp14:anchorId="63006CB5" wp14:editId="33EEBCCA">
                <wp:simplePos x="0" y="0"/>
                <wp:positionH relativeFrom="column">
                  <wp:posOffset>3810</wp:posOffset>
                </wp:positionH>
                <wp:positionV relativeFrom="page">
                  <wp:posOffset>1764030</wp:posOffset>
                </wp:positionV>
                <wp:extent cx="5469255" cy="3369945"/>
                <wp:effectExtent l="0" t="0" r="17145" b="20955"/>
                <wp:wrapSquare wrapText="bothSides" distT="45720" distB="45720" distL="114300" distR="114300"/>
                <wp:docPr id="228" name="Rectángulo 4"/>
                <wp:cNvGraphicFramePr/>
                <a:graphic xmlns:a="http://schemas.openxmlformats.org/drawingml/2006/main">
                  <a:graphicData uri="http://schemas.microsoft.com/office/word/2010/wordprocessingShape">
                    <wps:wsp>
                      <wps:cNvSpPr/>
                      <wps:spPr>
                        <a:xfrm>
                          <a:off x="0" y="0"/>
                          <a:ext cx="5469255" cy="3369945"/>
                        </a:xfrm>
                        <a:prstGeom prst="rect">
                          <a:avLst/>
                        </a:prstGeom>
                        <a:solidFill>
                          <a:srgbClr val="E8D9F3"/>
                        </a:solidFill>
                        <a:ln w="9525" cap="flat" cmpd="sng">
                          <a:solidFill>
                            <a:srgbClr val="000000"/>
                          </a:solidFill>
                          <a:prstDash val="solid"/>
                          <a:miter lim="8000"/>
                          <a:headEnd type="none" w="sm" len="sm"/>
                          <a:tailEnd type="none" w="sm" len="sm"/>
                        </a:ln>
                      </wps:spPr>
                      <wps:txbx>
                        <w:txbxContent>
                          <w:p w14:paraId="2181ECF7" w14:textId="328B3520" w:rsidR="00DC0EAB" w:rsidRPr="009C63B2" w:rsidRDefault="00DC0EAB" w:rsidP="00461ED4">
                            <w:pPr>
                              <w:spacing w:before="120" w:after="120"/>
                              <w:jc w:val="center"/>
                              <w:textDirection w:val="btLr"/>
                              <w:rPr>
                                <w:sz w:val="20"/>
                                <w:szCs w:val="20"/>
                              </w:rPr>
                            </w:pPr>
                            <w:r w:rsidRPr="009C63B2">
                              <w:rPr>
                                <w:rFonts w:eastAsia="Century Schoolbook" w:cs="Century Schoolbook"/>
                                <w:b/>
                                <w:color w:val="000000"/>
                                <w:sz w:val="20"/>
                                <w:szCs w:val="20"/>
                              </w:rPr>
                              <w:t>Situación del empleo en América Latina y el Caribe y el mundo.</w:t>
                            </w:r>
                          </w:p>
                          <w:p w14:paraId="1486907C" w14:textId="16717E32" w:rsidR="00DC0EAB" w:rsidRPr="009C63B2" w:rsidRDefault="00DC0EAB" w:rsidP="009C63B2">
                            <w:pPr>
                              <w:spacing w:before="120" w:after="120"/>
                              <w:jc w:val="both"/>
                              <w:textDirection w:val="btLr"/>
                              <w:rPr>
                                <w:rFonts w:eastAsia="Century Schoolbook" w:cs="Century Schoolbook"/>
                                <w:color w:val="000000"/>
                                <w:sz w:val="20"/>
                                <w:szCs w:val="20"/>
                              </w:rPr>
                            </w:pPr>
                            <w:r w:rsidRPr="009C63B2">
                              <w:rPr>
                                <w:rFonts w:eastAsia="Century Schoolbook" w:cs="Century Schoolbook"/>
                                <w:color w:val="000000"/>
                                <w:sz w:val="20"/>
                                <w:szCs w:val="20"/>
                              </w:rPr>
                              <w:t xml:space="preserve">Como efecto de la pandemia América Latina y el Caribe perderá 31 millones de empleos (OIT, 2020). </w:t>
                            </w:r>
                            <w:r w:rsidRPr="009C63B2">
                              <w:rPr>
                                <w:rFonts w:cs="UniversLTStd-Bold"/>
                                <w:b/>
                                <w:bCs/>
                                <w:sz w:val="20"/>
                                <w:szCs w:val="20"/>
                              </w:rPr>
                              <w:t xml:space="preserve">La CEPAL estima que en la región ALC “la tasa de desempleo se ubicaría en torno al 11,5%, </w:t>
                            </w:r>
                            <w:r w:rsidRPr="009C63B2">
                              <w:rPr>
                                <w:rFonts w:cs="UniversLTStd-Light"/>
                                <w:sz w:val="20"/>
                                <w:szCs w:val="20"/>
                              </w:rPr>
                              <w:t xml:space="preserve">un aumento de 3,4 puntos porcentuales respecto al nivel de 2019 (8,1%). Así, </w:t>
                            </w:r>
                            <w:r w:rsidRPr="009C63B2">
                              <w:rPr>
                                <w:rFonts w:cs="UniversLTStd-Bold"/>
                                <w:b/>
                                <w:bCs/>
                                <w:sz w:val="20"/>
                                <w:szCs w:val="20"/>
                              </w:rPr>
                              <w:t>el número de desempleados de la región llegaría a 37,7 millones</w:t>
                            </w:r>
                            <w:r w:rsidRPr="009C63B2">
                              <w:rPr>
                                <w:rFonts w:cs="UniversLTStd-Light"/>
                                <w:sz w:val="20"/>
                                <w:szCs w:val="20"/>
                              </w:rPr>
                              <w:t>, lo que implicaría un aumento cercano a 11,6 millones con respecto al nivel de 2019 (26,1 millones de desempleados)</w:t>
                            </w:r>
                            <w:r>
                              <w:rPr>
                                <w:rFonts w:cs="UniversLTStd-Light"/>
                                <w:sz w:val="20"/>
                                <w:szCs w:val="20"/>
                              </w:rPr>
                              <w:t xml:space="preserve">. </w:t>
                            </w:r>
                            <w:hyperlink r:id="rId35" w:history="1">
                              <w:r w:rsidRPr="00B021A7">
                                <w:rPr>
                                  <w:rStyle w:val="Hyperlink"/>
                                  <w:sz w:val="18"/>
                                  <w:szCs w:val="18"/>
                                </w:rPr>
                                <w:t>https://www.cepal.org/es/comunicados/pandemia-covid-19-llevara-la-mayor-contraccion-la-actividad-economica-la-historia-la</w:t>
                              </w:r>
                            </w:hyperlink>
                            <w:r>
                              <w:rPr>
                                <w:rFonts w:cs="UniversLTStd-Light"/>
                                <w:sz w:val="20"/>
                                <w:szCs w:val="20"/>
                              </w:rPr>
                              <w:t xml:space="preserve"> </w:t>
                            </w:r>
                          </w:p>
                          <w:p w14:paraId="106C7DA0" w14:textId="05E8A8D8" w:rsidR="00DC0EAB" w:rsidRPr="009C63B2" w:rsidRDefault="00DC0EAB" w:rsidP="00461ED4">
                            <w:pPr>
                              <w:jc w:val="both"/>
                              <w:textDirection w:val="btLr"/>
                              <w:rPr>
                                <w:sz w:val="20"/>
                                <w:szCs w:val="20"/>
                              </w:rPr>
                            </w:pPr>
                            <w:r w:rsidRPr="009C63B2">
                              <w:rPr>
                                <w:rFonts w:eastAsia="Century Schoolbook" w:cs="Century Schoolbook"/>
                                <w:color w:val="000000"/>
                                <w:sz w:val="20"/>
                                <w:szCs w:val="20"/>
                              </w:rPr>
                              <w:t xml:space="preserve">La </w:t>
                            </w:r>
                            <w:r>
                              <w:rPr>
                                <w:rFonts w:eastAsia="Century Schoolbook" w:cs="Century Schoolbook"/>
                                <w:color w:val="000000"/>
                                <w:sz w:val="20"/>
                                <w:szCs w:val="20"/>
                              </w:rPr>
                              <w:t xml:space="preserve">pandemia incrementa la vulnerabilidad laboral en ALC, que para 2018 ya mostraba condiciones de riesgos, la </w:t>
                            </w:r>
                            <w:r w:rsidRPr="009C63B2">
                              <w:rPr>
                                <w:rFonts w:eastAsia="Century Schoolbook" w:cs="Century Schoolbook"/>
                                <w:color w:val="000000"/>
                                <w:sz w:val="20"/>
                                <w:szCs w:val="20"/>
                              </w:rPr>
                              <w:t xml:space="preserve">participación laboral de las mujeres en el mundo representó el 48%, mientras </w:t>
                            </w:r>
                            <w:r>
                              <w:rPr>
                                <w:rFonts w:eastAsia="Century Schoolbook" w:cs="Century Schoolbook"/>
                                <w:color w:val="000000"/>
                                <w:sz w:val="20"/>
                                <w:szCs w:val="20"/>
                              </w:rPr>
                              <w:t xml:space="preserve">para </w:t>
                            </w:r>
                            <w:r w:rsidRPr="009C63B2">
                              <w:rPr>
                                <w:rFonts w:eastAsia="Century Schoolbook" w:cs="Century Schoolbook"/>
                                <w:color w:val="000000"/>
                                <w:sz w:val="20"/>
                                <w:szCs w:val="20"/>
                              </w:rPr>
                              <w:t>los hombres fue el 75%. Para ese año aumentó la tasa de dependencia para la fuerza de trabajo</w:t>
                            </w:r>
                            <w:r>
                              <w:rPr>
                                <w:rFonts w:eastAsia="Century Schoolbook" w:cs="Century Schoolbook"/>
                                <w:color w:val="000000"/>
                                <w:sz w:val="20"/>
                                <w:szCs w:val="20"/>
                              </w:rPr>
                              <w:t xml:space="preserve">, </w:t>
                            </w:r>
                            <w:r w:rsidRPr="009C63B2">
                              <w:rPr>
                                <w:rFonts w:eastAsia="Century Schoolbook" w:cs="Century Schoolbook"/>
                                <w:color w:val="000000"/>
                                <w:sz w:val="20"/>
                                <w:szCs w:val="20"/>
                              </w:rPr>
                              <w:t>los déficits en las condiciones de vida y su sostenibilidad se h</w:t>
                            </w:r>
                            <w:r>
                              <w:rPr>
                                <w:rFonts w:eastAsia="Century Schoolbook" w:cs="Century Schoolbook"/>
                                <w:color w:val="000000"/>
                                <w:sz w:val="20"/>
                                <w:szCs w:val="20"/>
                              </w:rPr>
                              <w:t xml:space="preserve">icieron </w:t>
                            </w:r>
                            <w:r w:rsidRPr="009C63B2">
                              <w:rPr>
                                <w:rFonts w:eastAsia="Century Schoolbook" w:cs="Century Schoolbook"/>
                                <w:color w:val="000000"/>
                                <w:sz w:val="20"/>
                                <w:szCs w:val="20"/>
                              </w:rPr>
                              <w:t>más precarias</w:t>
                            </w:r>
                            <w:r>
                              <w:rPr>
                                <w:rFonts w:eastAsia="Century Schoolbook" w:cs="Century Schoolbook"/>
                                <w:color w:val="000000"/>
                                <w:sz w:val="20"/>
                                <w:szCs w:val="20"/>
                              </w:rPr>
                              <w:t xml:space="preserve"> y</w:t>
                            </w:r>
                            <w:r w:rsidRPr="009C63B2">
                              <w:rPr>
                                <w:rFonts w:eastAsia="Century Schoolbook" w:cs="Century Schoolbook"/>
                                <w:color w:val="000000"/>
                                <w:sz w:val="20"/>
                                <w:szCs w:val="20"/>
                              </w:rPr>
                              <w:t xml:space="preserve"> un</w:t>
                            </w:r>
                            <w:r>
                              <w:rPr>
                                <w:rFonts w:eastAsia="Century Schoolbook" w:cs="Century Schoolbook"/>
                                <w:color w:val="000000"/>
                                <w:sz w:val="20"/>
                                <w:szCs w:val="20"/>
                              </w:rPr>
                              <w:t>o de cada</w:t>
                            </w:r>
                            <w:r w:rsidRPr="009C63B2">
                              <w:rPr>
                                <w:rFonts w:eastAsia="Century Schoolbook" w:cs="Century Schoolbook"/>
                                <w:color w:val="000000"/>
                                <w:sz w:val="20"/>
                                <w:szCs w:val="20"/>
                              </w:rPr>
                              <w:t xml:space="preserve"> cuat</w:t>
                            </w:r>
                            <w:r>
                              <w:rPr>
                                <w:rFonts w:eastAsia="Century Schoolbook" w:cs="Century Schoolbook"/>
                                <w:color w:val="000000"/>
                                <w:sz w:val="20"/>
                                <w:szCs w:val="20"/>
                              </w:rPr>
                              <w:t>r</w:t>
                            </w:r>
                            <w:r w:rsidRPr="009C63B2">
                              <w:rPr>
                                <w:rFonts w:eastAsia="Century Schoolbook" w:cs="Century Schoolbook"/>
                                <w:color w:val="000000"/>
                                <w:sz w:val="20"/>
                                <w:szCs w:val="20"/>
                              </w:rPr>
                              <w:t xml:space="preserve">o vive en pobreza extrema y moderada. “Un total de 2000 millones de trabajadores estaban en el empleo informal en 2016, el 61 por ciento de la población activa mundial” (OIT). </w:t>
                            </w:r>
                          </w:p>
                          <w:p w14:paraId="29CFA14A" w14:textId="016D4E65" w:rsidR="00DC0EAB" w:rsidRPr="009C63B2" w:rsidRDefault="00DC0EAB" w:rsidP="005E722A">
                            <w:pPr>
                              <w:spacing w:before="120"/>
                              <w:jc w:val="both"/>
                              <w:textDirection w:val="btLr"/>
                              <w:rPr>
                                <w:rFonts w:eastAsia="Century Schoolbook" w:cs="Century Schoolbook"/>
                                <w:color w:val="000000"/>
                                <w:sz w:val="20"/>
                                <w:szCs w:val="20"/>
                              </w:rPr>
                            </w:pPr>
                            <w:r w:rsidRPr="009C63B2">
                              <w:rPr>
                                <w:rFonts w:eastAsia="Century Schoolbook" w:cs="Century Schoolbook"/>
                                <w:color w:val="000000"/>
                                <w:sz w:val="20"/>
                                <w:szCs w:val="20"/>
                              </w:rPr>
                              <w:t xml:space="preserve">En 2020, </w:t>
                            </w:r>
                            <w:r>
                              <w:rPr>
                                <w:rFonts w:eastAsia="Century Schoolbook" w:cs="Century Schoolbook"/>
                                <w:color w:val="000000"/>
                                <w:sz w:val="20"/>
                                <w:szCs w:val="20"/>
                              </w:rPr>
                              <w:t>n</w:t>
                            </w:r>
                            <w:r w:rsidRPr="009C63B2">
                              <w:rPr>
                                <w:rFonts w:eastAsia="Century Schoolbook" w:cs="Century Schoolbook"/>
                                <w:color w:val="000000"/>
                                <w:sz w:val="20"/>
                                <w:szCs w:val="20"/>
                              </w:rPr>
                              <w:t>o se logra</w:t>
                            </w:r>
                            <w:r>
                              <w:rPr>
                                <w:rFonts w:eastAsia="Century Schoolbook" w:cs="Century Schoolbook"/>
                                <w:color w:val="000000"/>
                                <w:sz w:val="20"/>
                                <w:szCs w:val="20"/>
                              </w:rPr>
                              <w:t>rá</w:t>
                            </w:r>
                            <w:r w:rsidRPr="009C63B2">
                              <w:rPr>
                                <w:rFonts w:eastAsia="Century Schoolbook" w:cs="Century Schoolbook"/>
                                <w:color w:val="000000"/>
                                <w:sz w:val="20"/>
                                <w:szCs w:val="20"/>
                              </w:rPr>
                              <w:t xml:space="preserve"> el acceso al empleo para la juventud de 15 y 24 años igual pasa a personas con discapacidad.</w:t>
                            </w:r>
                            <w:r>
                              <w:rPr>
                                <w:rFonts w:eastAsia="Century Schoolbook" w:cs="Century Schoolbook"/>
                                <w:color w:val="000000"/>
                                <w:sz w:val="20"/>
                                <w:szCs w:val="20"/>
                              </w:rPr>
                              <w:t xml:space="preserve"> </w:t>
                            </w:r>
                            <w:r w:rsidRPr="009C63B2">
                              <w:rPr>
                                <w:rFonts w:eastAsia="Century Schoolbook" w:cs="Century Schoolbook"/>
                                <w:color w:val="000000"/>
                                <w:sz w:val="20"/>
                                <w:szCs w:val="20"/>
                              </w:rPr>
                              <w:t>Las brechas salariales de género «ponderadas por factores», oscilan entre el 10 y el 25 por ciento, en los hechos, no hay igual salario a trabajo de igual valor.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006CB5" id="Rectángulo 4" o:spid="_x0000_s1029" style="position:absolute;left:0;text-align:left;margin-left:.3pt;margin-top:138.9pt;width:430.65pt;height:265.35pt;z-index:25173610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" fillcolor="#e8d9f3">
                <v:stroke startarrowwidth="narrow" startarrowlength="short" endarrowwidth="narrow" endarrowlength="short" miterlimit="5243f"/>
                <v:textbox inset="2.53958mm,1.2694mm,2.53958mm,1.2694mm">
                  <w:txbxContent>
                    <w:p w14:paraId="2181ECF7" w14:textId="328B3520" w:rsidR="00DC0EAB" w:rsidRPr="009C63B2" w:rsidRDefault="00DC0EAB" w:rsidP="00461ED4">
                      <w:pPr>
                        <w:spacing w:before="120" w:after="120"/>
                        <w:jc w:val="center"/>
                        <w:textDirection w:val="btLr"/>
                        <w:rPr>
                          <w:sz w:val="20"/>
                          <w:szCs w:val="20"/>
                        </w:rPr>
                      </w:pPr>
                      <w:r w:rsidRPr="009C63B2">
                        <w:rPr>
                          <w:rFonts w:eastAsia="Century Schoolbook" w:cs="Century Schoolbook"/>
                          <w:b/>
                          <w:color w:val="000000"/>
                          <w:sz w:val="20"/>
                          <w:szCs w:val="20"/>
                        </w:rPr>
                        <w:t>Situación del empleo en América Latina y el Caribe y el mundo.</w:t>
                      </w:r>
                    </w:p>
                    <w:p w14:paraId="1486907C" w14:textId="16717E32" w:rsidR="00DC0EAB" w:rsidRPr="009C63B2" w:rsidRDefault="00DC0EAB" w:rsidP="009C63B2">
                      <w:pPr>
                        <w:spacing w:before="120" w:after="120"/>
                        <w:jc w:val="both"/>
                        <w:textDirection w:val="btLr"/>
                        <w:rPr>
                          <w:rFonts w:eastAsia="Century Schoolbook" w:cs="Century Schoolbook"/>
                          <w:color w:val="000000"/>
                          <w:sz w:val="20"/>
                          <w:szCs w:val="20"/>
                        </w:rPr>
                      </w:pPr>
                      <w:r w:rsidRPr="009C63B2">
                        <w:rPr>
                          <w:rFonts w:eastAsia="Century Schoolbook" w:cs="Century Schoolbook"/>
                          <w:color w:val="000000"/>
                          <w:sz w:val="20"/>
                          <w:szCs w:val="20"/>
                        </w:rPr>
                        <w:t xml:space="preserve">Como efecto de la pandemia América Latina y el Caribe perderá 31 millones de empleos (OIT, 2020). </w:t>
                      </w:r>
                      <w:r w:rsidRPr="009C63B2">
                        <w:rPr>
                          <w:rFonts w:cs="UniversLTStd-Bold"/>
                          <w:b/>
                          <w:bCs/>
                          <w:sz w:val="20"/>
                          <w:szCs w:val="20"/>
                        </w:rPr>
                        <w:t xml:space="preserve">La CEPAL estima que en la región ALC “la tasa de desempleo se ubicaría en torno al 11,5%, </w:t>
                      </w:r>
                      <w:r w:rsidRPr="009C63B2">
                        <w:rPr>
                          <w:rFonts w:cs="UniversLTStd-Light"/>
                          <w:sz w:val="20"/>
                          <w:szCs w:val="20"/>
                        </w:rPr>
                        <w:t xml:space="preserve">un aumento de 3,4 puntos porcentuales respecto al nivel de 2019 (8,1%). Así, </w:t>
                      </w:r>
                      <w:r w:rsidRPr="009C63B2">
                        <w:rPr>
                          <w:rFonts w:cs="UniversLTStd-Bold"/>
                          <w:b/>
                          <w:bCs/>
                          <w:sz w:val="20"/>
                          <w:szCs w:val="20"/>
                        </w:rPr>
                        <w:t>el número de desempleados de la región llegaría a 37,7 millones</w:t>
                      </w:r>
                      <w:r w:rsidRPr="009C63B2">
                        <w:rPr>
                          <w:rFonts w:cs="UniversLTStd-Light"/>
                          <w:sz w:val="20"/>
                          <w:szCs w:val="20"/>
                        </w:rPr>
                        <w:t>, lo que implicaría un aumento cercano a 11,6 millones con respecto al nivel de 2019 (26,1 millones de desempleados)</w:t>
                      </w:r>
                      <w:r>
                        <w:rPr>
                          <w:rFonts w:cs="UniversLTStd-Light"/>
                          <w:sz w:val="20"/>
                          <w:szCs w:val="20"/>
                        </w:rPr>
                        <w:t xml:space="preserve">. </w:t>
                      </w:r>
                      <w:hyperlink r:id="rId36" w:history="1">
                        <w:r w:rsidRPr="00B021A7">
                          <w:rPr>
                            <w:rStyle w:val="Hyperlink"/>
                            <w:sz w:val="18"/>
                            <w:szCs w:val="18"/>
                          </w:rPr>
                          <w:t>https://www.cepal.org/es/comunicados/pandemia-covid-19-llevara-la-mayor-contraccion-la-actividad-economica-la-historia-la</w:t>
                        </w:r>
                      </w:hyperlink>
                      <w:r>
                        <w:rPr>
                          <w:rFonts w:cs="UniversLTStd-Light"/>
                          <w:sz w:val="20"/>
                          <w:szCs w:val="20"/>
                        </w:rPr>
                        <w:t xml:space="preserve"> </w:t>
                      </w:r>
                    </w:p>
                    <w:p w14:paraId="106C7DA0" w14:textId="05E8A8D8" w:rsidR="00DC0EAB" w:rsidRPr="009C63B2" w:rsidRDefault="00DC0EAB" w:rsidP="00461ED4">
                      <w:pPr>
                        <w:jc w:val="both"/>
                        <w:textDirection w:val="btLr"/>
                        <w:rPr>
                          <w:sz w:val="20"/>
                          <w:szCs w:val="20"/>
                        </w:rPr>
                      </w:pPr>
                      <w:r w:rsidRPr="009C63B2">
                        <w:rPr>
                          <w:rFonts w:eastAsia="Century Schoolbook" w:cs="Century Schoolbook"/>
                          <w:color w:val="000000"/>
                          <w:sz w:val="20"/>
                          <w:szCs w:val="20"/>
                        </w:rPr>
                        <w:t xml:space="preserve">La </w:t>
                      </w:r>
                      <w:r>
                        <w:rPr>
                          <w:rFonts w:eastAsia="Century Schoolbook" w:cs="Century Schoolbook"/>
                          <w:color w:val="000000"/>
                          <w:sz w:val="20"/>
                          <w:szCs w:val="20"/>
                        </w:rPr>
                        <w:t xml:space="preserve">pandemia incrementa la vulnerabilidad laboral en ALC, que para 2018 ya mostraba condiciones de riesgos, la </w:t>
                      </w:r>
                      <w:r w:rsidRPr="009C63B2">
                        <w:rPr>
                          <w:rFonts w:eastAsia="Century Schoolbook" w:cs="Century Schoolbook"/>
                          <w:color w:val="000000"/>
                          <w:sz w:val="20"/>
                          <w:szCs w:val="20"/>
                        </w:rPr>
                        <w:t xml:space="preserve">participación laboral de las mujeres en el mundo representó el 48%, mientras </w:t>
                      </w:r>
                      <w:r>
                        <w:rPr>
                          <w:rFonts w:eastAsia="Century Schoolbook" w:cs="Century Schoolbook"/>
                          <w:color w:val="000000"/>
                          <w:sz w:val="20"/>
                          <w:szCs w:val="20"/>
                        </w:rPr>
                        <w:t xml:space="preserve">para </w:t>
                      </w:r>
                      <w:r w:rsidRPr="009C63B2">
                        <w:rPr>
                          <w:rFonts w:eastAsia="Century Schoolbook" w:cs="Century Schoolbook"/>
                          <w:color w:val="000000"/>
                          <w:sz w:val="20"/>
                          <w:szCs w:val="20"/>
                        </w:rPr>
                        <w:t>los hombres fue el 75%. Para ese año aumentó la tasa de dependencia para la fuerza de trabajo</w:t>
                      </w:r>
                      <w:r>
                        <w:rPr>
                          <w:rFonts w:eastAsia="Century Schoolbook" w:cs="Century Schoolbook"/>
                          <w:color w:val="000000"/>
                          <w:sz w:val="20"/>
                          <w:szCs w:val="20"/>
                        </w:rPr>
                        <w:t xml:space="preserve">, </w:t>
                      </w:r>
                      <w:r w:rsidRPr="009C63B2">
                        <w:rPr>
                          <w:rFonts w:eastAsia="Century Schoolbook" w:cs="Century Schoolbook"/>
                          <w:color w:val="000000"/>
                          <w:sz w:val="20"/>
                          <w:szCs w:val="20"/>
                        </w:rPr>
                        <w:t>los déficits en las condiciones de vida y su sostenibilidad se h</w:t>
                      </w:r>
                      <w:r>
                        <w:rPr>
                          <w:rFonts w:eastAsia="Century Schoolbook" w:cs="Century Schoolbook"/>
                          <w:color w:val="000000"/>
                          <w:sz w:val="20"/>
                          <w:szCs w:val="20"/>
                        </w:rPr>
                        <w:t xml:space="preserve">icieron </w:t>
                      </w:r>
                      <w:r w:rsidRPr="009C63B2">
                        <w:rPr>
                          <w:rFonts w:eastAsia="Century Schoolbook" w:cs="Century Schoolbook"/>
                          <w:color w:val="000000"/>
                          <w:sz w:val="20"/>
                          <w:szCs w:val="20"/>
                        </w:rPr>
                        <w:t>más precarias</w:t>
                      </w:r>
                      <w:r>
                        <w:rPr>
                          <w:rFonts w:eastAsia="Century Schoolbook" w:cs="Century Schoolbook"/>
                          <w:color w:val="000000"/>
                          <w:sz w:val="20"/>
                          <w:szCs w:val="20"/>
                        </w:rPr>
                        <w:t xml:space="preserve"> y</w:t>
                      </w:r>
                      <w:r w:rsidRPr="009C63B2">
                        <w:rPr>
                          <w:rFonts w:eastAsia="Century Schoolbook" w:cs="Century Schoolbook"/>
                          <w:color w:val="000000"/>
                          <w:sz w:val="20"/>
                          <w:szCs w:val="20"/>
                        </w:rPr>
                        <w:t xml:space="preserve"> un</w:t>
                      </w:r>
                      <w:r>
                        <w:rPr>
                          <w:rFonts w:eastAsia="Century Schoolbook" w:cs="Century Schoolbook"/>
                          <w:color w:val="000000"/>
                          <w:sz w:val="20"/>
                          <w:szCs w:val="20"/>
                        </w:rPr>
                        <w:t>o de cada</w:t>
                      </w:r>
                      <w:r w:rsidRPr="009C63B2">
                        <w:rPr>
                          <w:rFonts w:eastAsia="Century Schoolbook" w:cs="Century Schoolbook"/>
                          <w:color w:val="000000"/>
                          <w:sz w:val="20"/>
                          <w:szCs w:val="20"/>
                        </w:rPr>
                        <w:t xml:space="preserve"> cuat</w:t>
                      </w:r>
                      <w:r>
                        <w:rPr>
                          <w:rFonts w:eastAsia="Century Schoolbook" w:cs="Century Schoolbook"/>
                          <w:color w:val="000000"/>
                          <w:sz w:val="20"/>
                          <w:szCs w:val="20"/>
                        </w:rPr>
                        <w:t>r</w:t>
                      </w:r>
                      <w:r w:rsidRPr="009C63B2">
                        <w:rPr>
                          <w:rFonts w:eastAsia="Century Schoolbook" w:cs="Century Schoolbook"/>
                          <w:color w:val="000000"/>
                          <w:sz w:val="20"/>
                          <w:szCs w:val="20"/>
                        </w:rPr>
                        <w:t xml:space="preserve">o vive en pobreza extrema y moderada. “Un total de 2000 millones de trabajadores estaban en el empleo informal en 2016, el 61 por ciento de la población activa mundial” (OIT). </w:t>
                      </w:r>
                    </w:p>
                    <w:p w14:paraId="29CFA14A" w14:textId="016D4E65" w:rsidR="00DC0EAB" w:rsidRPr="009C63B2" w:rsidRDefault="00DC0EAB" w:rsidP="005E722A">
                      <w:pPr>
                        <w:spacing w:before="120"/>
                        <w:jc w:val="both"/>
                        <w:textDirection w:val="btLr"/>
                        <w:rPr>
                          <w:rFonts w:eastAsia="Century Schoolbook" w:cs="Century Schoolbook"/>
                          <w:color w:val="000000"/>
                          <w:sz w:val="20"/>
                          <w:szCs w:val="20"/>
                        </w:rPr>
                      </w:pPr>
                      <w:r w:rsidRPr="009C63B2">
                        <w:rPr>
                          <w:rFonts w:eastAsia="Century Schoolbook" w:cs="Century Schoolbook"/>
                          <w:color w:val="000000"/>
                          <w:sz w:val="20"/>
                          <w:szCs w:val="20"/>
                        </w:rPr>
                        <w:t xml:space="preserve">En 2020, </w:t>
                      </w:r>
                      <w:r>
                        <w:rPr>
                          <w:rFonts w:eastAsia="Century Schoolbook" w:cs="Century Schoolbook"/>
                          <w:color w:val="000000"/>
                          <w:sz w:val="20"/>
                          <w:szCs w:val="20"/>
                        </w:rPr>
                        <w:t>n</w:t>
                      </w:r>
                      <w:r w:rsidRPr="009C63B2">
                        <w:rPr>
                          <w:rFonts w:eastAsia="Century Schoolbook" w:cs="Century Schoolbook"/>
                          <w:color w:val="000000"/>
                          <w:sz w:val="20"/>
                          <w:szCs w:val="20"/>
                        </w:rPr>
                        <w:t>o se logra</w:t>
                      </w:r>
                      <w:r>
                        <w:rPr>
                          <w:rFonts w:eastAsia="Century Schoolbook" w:cs="Century Schoolbook"/>
                          <w:color w:val="000000"/>
                          <w:sz w:val="20"/>
                          <w:szCs w:val="20"/>
                        </w:rPr>
                        <w:t>rá</w:t>
                      </w:r>
                      <w:r w:rsidRPr="009C63B2">
                        <w:rPr>
                          <w:rFonts w:eastAsia="Century Schoolbook" w:cs="Century Schoolbook"/>
                          <w:color w:val="000000"/>
                          <w:sz w:val="20"/>
                          <w:szCs w:val="20"/>
                        </w:rPr>
                        <w:t xml:space="preserve"> el acceso al empleo para la juventud de 15 y 24 años igual pasa a personas con discapacidad.</w:t>
                      </w:r>
                      <w:r>
                        <w:rPr>
                          <w:rFonts w:eastAsia="Century Schoolbook" w:cs="Century Schoolbook"/>
                          <w:color w:val="000000"/>
                          <w:sz w:val="20"/>
                          <w:szCs w:val="20"/>
                        </w:rPr>
                        <w:t xml:space="preserve"> </w:t>
                      </w:r>
                      <w:r w:rsidRPr="009C63B2">
                        <w:rPr>
                          <w:rFonts w:eastAsia="Century Schoolbook" w:cs="Century Schoolbook"/>
                          <w:color w:val="000000"/>
                          <w:sz w:val="20"/>
                          <w:szCs w:val="20"/>
                        </w:rPr>
                        <w:t>Las brechas salariales de género «ponderadas por factores», oscilan entre el 10 y el 25 por ciento, en los hechos, no hay igual salario a trabajo de igual valor.</w:t>
                      </w:r>
                    </w:p>
                  </w:txbxContent>
                </v:textbox>
                <w10:wrap type="square" anchory="page"/>
              </v:rect>
            </w:pict>
          </mc:Fallback>
        </mc:AlternateContent>
      </w:r>
      <w:r w:rsidR="003B5C05" w:rsidRPr="005970E9">
        <w:rPr>
          <w:rFonts w:eastAsia="Century Schoolbook" w:cs="Century Schoolbook"/>
          <w:b/>
          <w:color w:val="7030A0"/>
        </w:rPr>
        <w:t>Población en edad de trabajar</w:t>
      </w:r>
    </w:p>
    <w:p w14:paraId="13B6B960" w14:textId="658321ED" w:rsidR="004137D0" w:rsidRPr="005970E9" w:rsidRDefault="004137D0">
      <w:pPr>
        <w:spacing w:before="120" w:after="120" w:line="276" w:lineRule="auto"/>
        <w:jc w:val="both"/>
        <w:rPr>
          <w:rFonts w:cstheme="minorHAnsi"/>
          <w:b/>
          <w:bCs/>
        </w:rPr>
      </w:pPr>
      <w:r w:rsidRPr="005970E9">
        <w:rPr>
          <w:rFonts w:cstheme="minorHAnsi"/>
          <w:b/>
          <w:bCs/>
        </w:rPr>
        <w:t>Algunos datos iniciales de los efectos por el COVID-19</w:t>
      </w:r>
    </w:p>
    <w:p w14:paraId="73C88B00" w14:textId="73C62642" w:rsidR="002C118D" w:rsidRPr="005970E9" w:rsidRDefault="007E2881">
      <w:pPr>
        <w:spacing w:before="120" w:after="120" w:line="276" w:lineRule="auto"/>
        <w:jc w:val="both"/>
        <w:rPr>
          <w:rFonts w:cstheme="minorHAnsi"/>
          <w:b/>
          <w:bCs/>
        </w:rPr>
      </w:pPr>
      <w:r w:rsidRPr="005970E9">
        <w:rPr>
          <w:rFonts w:cstheme="minorHAnsi"/>
        </w:rPr>
        <w:t xml:space="preserve">El impacto del COVID-19 entre los/as trabajadoras </w:t>
      </w:r>
      <w:r w:rsidR="00C505AA" w:rsidRPr="005970E9">
        <w:rPr>
          <w:rFonts w:cstheme="minorHAnsi"/>
        </w:rPr>
        <w:t xml:space="preserve">puede observarse claramente con la suspensión de los contratos de trabajo, el </w:t>
      </w:r>
      <w:r w:rsidRPr="005970E9">
        <w:rPr>
          <w:rFonts w:cstheme="minorHAnsi"/>
        </w:rPr>
        <w:t xml:space="preserve">Ministerio de Trabajo con base en el Decreto Ejecutivo N°. 81, Gaceta Oficial de 20 de marzo de 2020, </w:t>
      </w:r>
      <w:r w:rsidR="00C505AA" w:rsidRPr="005970E9">
        <w:rPr>
          <w:rFonts w:cstheme="minorHAnsi"/>
        </w:rPr>
        <w:t xml:space="preserve">procedió a la suspensión </w:t>
      </w:r>
      <w:r w:rsidRPr="005970E9">
        <w:rPr>
          <w:rFonts w:cstheme="minorHAnsi"/>
        </w:rPr>
        <w:t>temporal</w:t>
      </w:r>
      <w:r w:rsidR="00C505AA" w:rsidRPr="005970E9">
        <w:rPr>
          <w:rFonts w:cstheme="minorHAnsi"/>
        </w:rPr>
        <w:t xml:space="preserve"> de </w:t>
      </w:r>
      <w:r w:rsidRPr="005970E9">
        <w:rPr>
          <w:rFonts w:cstheme="minorHAnsi"/>
        </w:rPr>
        <w:t xml:space="preserve">los contratos de trabajo, con lo cual “los trabajadores no están obligados a laborar y los empleadores tampoco a pagar el salario hasta que se levante el estado de emergencia. Tal medida ha implicado hasta el 11 de mayo de 2020 la </w:t>
      </w:r>
      <w:r w:rsidRPr="005970E9">
        <w:rPr>
          <w:rFonts w:cstheme="minorHAnsi"/>
          <w:b/>
          <w:bCs/>
        </w:rPr>
        <w:t>suspensión de 170,562 contratos laborales</w:t>
      </w:r>
      <w:r w:rsidRPr="005970E9">
        <w:rPr>
          <w:rFonts w:cstheme="minorHAnsi"/>
        </w:rPr>
        <w:t xml:space="preserve"> a 94,105 trabajadores (55%) y </w:t>
      </w:r>
      <w:r w:rsidRPr="005970E9">
        <w:rPr>
          <w:rFonts w:cstheme="minorHAnsi"/>
          <w:b/>
          <w:bCs/>
        </w:rPr>
        <w:t>76,457 trabajadoras 45%</w:t>
      </w:r>
      <w:r w:rsidR="006C17BD" w:rsidRPr="005970E9">
        <w:rPr>
          <w:rFonts w:cstheme="minorHAnsi"/>
        </w:rPr>
        <w:t xml:space="preserve"> (ONU Mujeres, 2020).</w:t>
      </w:r>
    </w:p>
    <w:p w14:paraId="160D7A11" w14:textId="21238EA8" w:rsidR="00C505AA" w:rsidRPr="005970E9" w:rsidRDefault="00C505AA" w:rsidP="006C17BD">
      <w:pPr>
        <w:pStyle w:val="ListParagraph"/>
        <w:numPr>
          <w:ilvl w:val="0"/>
          <w:numId w:val="52"/>
        </w:numPr>
        <w:spacing w:before="120" w:after="120" w:line="276" w:lineRule="auto"/>
        <w:ind w:left="714" w:hanging="357"/>
        <w:jc w:val="both"/>
        <w:textAlignment w:val="baseline"/>
        <w:rPr>
          <w:rFonts w:ascii="Century Schoolbook" w:eastAsia="Times New Roman" w:hAnsi="Century Schoolbook" w:cstheme="minorHAnsi"/>
          <w:bdr w:val="none" w:sz="0" w:space="0" w:color="auto" w:frame="1"/>
        </w:rPr>
      </w:pPr>
      <w:r w:rsidRPr="005970E9">
        <w:rPr>
          <w:rFonts w:ascii="Century Schoolbook" w:eastAsia="Times New Roman" w:hAnsi="Century Schoolbook" w:cstheme="minorHAnsi"/>
          <w:bdr w:val="none" w:sz="0" w:space="0" w:color="auto" w:frame="1"/>
        </w:rPr>
        <w:t xml:space="preserve">La crisis de la pandemia también ha mostrado la vulnerabilidad de las </w:t>
      </w:r>
      <w:r w:rsidRPr="005970E9">
        <w:rPr>
          <w:rFonts w:ascii="Century Schoolbook" w:eastAsia="Times New Roman" w:hAnsi="Century Schoolbook" w:cstheme="minorHAnsi"/>
          <w:b/>
          <w:bCs/>
          <w:bdr w:val="none" w:sz="0" w:space="0" w:color="auto" w:frame="1"/>
        </w:rPr>
        <w:t>trabajadoras domésticas</w:t>
      </w:r>
      <w:r w:rsidRPr="005970E9">
        <w:rPr>
          <w:rFonts w:ascii="Century Schoolbook" w:eastAsia="Times New Roman" w:hAnsi="Century Schoolbook" w:cstheme="minorHAnsi"/>
          <w:bdr w:val="none" w:sz="0" w:space="0" w:color="auto" w:frame="1"/>
        </w:rPr>
        <w:t xml:space="preserve"> remuneradas, quienes reciben un salario mínimo legal por debajo de la mitad del salario mínimo de las demás ocupaciones B/. 275.00 -300.00. En el país hay muchas mujeres migrantes quienes se han quedado desempleadas y según plantean sus organizaciones pierden el empleo y </w:t>
      </w:r>
      <w:r w:rsidRPr="005970E9">
        <w:rPr>
          <w:rFonts w:ascii="Century Schoolbook" w:eastAsia="Times New Roman" w:hAnsi="Century Schoolbook" w:cstheme="minorHAnsi"/>
          <w:bdr w:val="none" w:sz="0" w:space="0" w:color="auto" w:frame="1"/>
        </w:rPr>
        <w:lastRenderedPageBreak/>
        <w:t xml:space="preserve">quedan sin tejido social de apoyo y sin el pago de sus derechos laborales. En 2019 había </w:t>
      </w:r>
      <w:bookmarkStart w:id="121" w:name="_Hlk40299312"/>
      <w:r w:rsidRPr="005970E9">
        <w:rPr>
          <w:rFonts w:ascii="Century Schoolbook" w:eastAsia="Times New Roman" w:hAnsi="Century Schoolbook" w:cstheme="minorHAnsi"/>
          <w:bdr w:val="none" w:sz="0" w:space="0" w:color="auto" w:frame="1"/>
        </w:rPr>
        <w:t xml:space="preserve">94,283 </w:t>
      </w:r>
      <w:bookmarkEnd w:id="121"/>
      <w:r w:rsidRPr="005970E9">
        <w:rPr>
          <w:rFonts w:ascii="Century Schoolbook" w:eastAsia="Times New Roman" w:hAnsi="Century Schoolbook" w:cstheme="minorHAnsi"/>
          <w:bdr w:val="none" w:sz="0" w:space="0" w:color="auto" w:frame="1"/>
        </w:rPr>
        <w:t xml:space="preserve">trabajadoras/es, 84,374 mujeres y 9,909 hombres (INEC, Encuesta de Hogares 2019) el 82% del trabajo doméstico remunerado no cuenta con protección de seguro social. </w:t>
      </w:r>
    </w:p>
    <w:p w14:paraId="1E10A955" w14:textId="325511DD" w:rsidR="00C505AA" w:rsidRPr="005970E9" w:rsidRDefault="00C505AA" w:rsidP="006C17BD">
      <w:pPr>
        <w:pStyle w:val="ListParagraph"/>
        <w:numPr>
          <w:ilvl w:val="0"/>
          <w:numId w:val="52"/>
        </w:numPr>
        <w:spacing w:before="120" w:after="120" w:line="276" w:lineRule="auto"/>
        <w:jc w:val="both"/>
        <w:rPr>
          <w:rStyle w:val="Emphasis"/>
          <w:rFonts w:ascii="Century Schoolbook" w:hAnsi="Century Schoolbook"/>
          <w:i w:val="0"/>
          <w:iCs w:val="0"/>
          <w:lang w:eastAsia="en-US"/>
        </w:rPr>
      </w:pPr>
      <w:r w:rsidRPr="005970E9">
        <w:rPr>
          <w:rStyle w:val="Emphasis"/>
          <w:rFonts w:ascii="Century Schoolbook" w:hAnsi="Century Schoolbook" w:cstheme="minorHAnsi"/>
          <w:i w:val="0"/>
          <w:iCs w:val="0"/>
        </w:rPr>
        <w:t>El salari</w:t>
      </w:r>
      <w:r w:rsidR="005E722A" w:rsidRPr="005970E9">
        <w:rPr>
          <w:rStyle w:val="Emphasis"/>
          <w:rFonts w:ascii="Century Schoolbook" w:hAnsi="Century Schoolbook" w:cstheme="minorHAnsi"/>
          <w:i w:val="0"/>
          <w:iCs w:val="0"/>
        </w:rPr>
        <w:t>o que perciben estas trabajadoras</w:t>
      </w:r>
      <w:r w:rsidRPr="005970E9">
        <w:rPr>
          <w:rStyle w:val="Emphasis"/>
          <w:rFonts w:ascii="Century Schoolbook" w:hAnsi="Century Schoolbook" w:cstheme="minorHAnsi"/>
          <w:i w:val="0"/>
          <w:iCs w:val="0"/>
        </w:rPr>
        <w:t xml:space="preserve"> denota la subvaloración del trabajo de cuidados. Es quizás el más flexible del mercado laboral, pues no se sujeta a horarios, es intenso e intensivo ya que realiza varias tareas al mismo tiempo. Es especializado y personalizado pues muchas veces una misma trabajadora doméstica debe atender de manera diferenciada a los distintos miembros de la familia. </w:t>
      </w:r>
    </w:p>
    <w:p w14:paraId="55CAAACD" w14:textId="0E71FD91" w:rsidR="007E2881" w:rsidRPr="005970E9" w:rsidRDefault="004137D0">
      <w:pPr>
        <w:spacing w:before="120" w:after="120" w:line="276" w:lineRule="auto"/>
        <w:jc w:val="both"/>
        <w:rPr>
          <w:rFonts w:eastAsia="Century Schoolbook" w:cs="Century Schoolbook"/>
          <w:b/>
          <w:bCs/>
        </w:rPr>
      </w:pPr>
      <w:r w:rsidRPr="005970E9">
        <w:rPr>
          <w:rFonts w:eastAsia="Century Schoolbook" w:cs="Century Schoolbook"/>
          <w:b/>
          <w:bCs/>
        </w:rPr>
        <w:t>Población económicamente activa 2009-2019</w:t>
      </w:r>
    </w:p>
    <w:p w14:paraId="57E6F846" w14:textId="43B1B2FF"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 xml:space="preserve">La proporción de mujeres en la población económicamente activa (PEA) en agosto de 2019 fue 55.0%. </w:t>
      </w:r>
      <w:r w:rsidR="004137D0" w:rsidRPr="005970E9">
        <w:rPr>
          <w:rFonts w:eastAsia="Century Schoolbook" w:cs="Century Schoolbook"/>
        </w:rPr>
        <w:t>E</w:t>
      </w:r>
      <w:r w:rsidRPr="005970E9">
        <w:rPr>
          <w:rFonts w:eastAsia="Century Schoolbook" w:cs="Century Schoolbook"/>
        </w:rPr>
        <w:t xml:space="preserve">ntre agosto 2009 y 2019 </w:t>
      </w:r>
      <w:r w:rsidR="004137D0" w:rsidRPr="005970E9">
        <w:rPr>
          <w:rFonts w:eastAsia="Century Schoolbook" w:cs="Century Schoolbook"/>
        </w:rPr>
        <w:t xml:space="preserve">la PEA, </w:t>
      </w:r>
      <w:r w:rsidRPr="005970E9">
        <w:rPr>
          <w:rFonts w:eastAsia="Century Schoolbook" w:cs="Century Schoolbook"/>
        </w:rPr>
        <w:t>respecto a la población en edad de trabajar</w:t>
      </w:r>
      <w:r w:rsidR="00231B4E" w:rsidRPr="005970E9">
        <w:rPr>
          <w:rFonts w:eastAsia="Century Schoolbook" w:cs="Century Schoolbook"/>
        </w:rPr>
        <w:t xml:space="preserve"> (PET)</w:t>
      </w:r>
      <w:r w:rsidRPr="005970E9">
        <w:rPr>
          <w:rFonts w:eastAsia="Century Schoolbook" w:cs="Century Schoolbook"/>
        </w:rPr>
        <w:t xml:space="preserve"> aumentó en 2.4%</w:t>
      </w:r>
      <w:r w:rsidR="00231B4E" w:rsidRPr="005970E9">
        <w:rPr>
          <w:rFonts w:eastAsia="Century Schoolbook" w:cs="Century Schoolbook"/>
        </w:rPr>
        <w:t xml:space="preserve"> </w:t>
      </w:r>
      <w:r w:rsidR="005E722A" w:rsidRPr="005970E9">
        <w:rPr>
          <w:rFonts w:eastAsia="Century Schoolbook" w:cs="Century Schoolbook"/>
        </w:rPr>
        <w:t xml:space="preserve">(en </w:t>
      </w:r>
      <w:r w:rsidRPr="005970E9">
        <w:rPr>
          <w:rFonts w:eastAsia="Century Schoolbook" w:cs="Century Schoolbook"/>
        </w:rPr>
        <w:t>2009 fue 64.1% y en 2019 fue 66.5%.</w:t>
      </w:r>
      <w:r w:rsidR="005E722A" w:rsidRPr="005970E9">
        <w:rPr>
          <w:rFonts w:eastAsia="Century Schoolbook" w:cs="Century Schoolbook"/>
        </w:rPr>
        <w:t>)</w:t>
      </w:r>
    </w:p>
    <w:tbl>
      <w:tblPr>
        <w:tblpPr w:leftFromText="141" w:rightFromText="141" w:vertAnchor="text" w:horzAnchor="margin" w:tblpXSpec="right" w:tblpY="75"/>
        <w:tblW w:w="7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3402"/>
        <w:gridCol w:w="1157"/>
        <w:gridCol w:w="1157"/>
        <w:gridCol w:w="1509"/>
      </w:tblGrid>
      <w:tr w:rsidR="00EA71B1" w:rsidRPr="005970E9" w14:paraId="2BED5E9D" w14:textId="77777777" w:rsidTr="00EA71B1">
        <w:trPr>
          <w:trHeight w:val="852"/>
        </w:trPr>
        <w:tc>
          <w:tcPr>
            <w:tcW w:w="7225" w:type="dxa"/>
            <w:gridSpan w:val="4"/>
            <w:shd w:val="clear" w:color="auto" w:fill="CCC0D9" w:themeFill="accent4" w:themeFillTint="66"/>
            <w:vAlign w:val="bottom"/>
          </w:tcPr>
          <w:p w14:paraId="3A42B382" w14:textId="4CB7263C" w:rsidR="00EA71B1" w:rsidRPr="005970E9" w:rsidRDefault="00EA71B1" w:rsidP="00EA71B1">
            <w:pPr>
              <w:pStyle w:val="Caption"/>
              <w:keepNext/>
              <w:jc w:val="center"/>
              <w:rPr>
                <w:rFonts w:ascii="Century Schoolbook" w:eastAsia="Century Schoolbook" w:hAnsi="Century Schoolbook" w:cs="Century Schoolbook"/>
                <w:i w:val="0"/>
                <w:iCs w:val="0"/>
                <w:color w:val="000000"/>
                <w:sz w:val="20"/>
                <w:szCs w:val="20"/>
              </w:rPr>
            </w:pPr>
            <w:bookmarkStart w:id="122" w:name="_Toc42549204"/>
            <w:r w:rsidRPr="005970E9">
              <w:rPr>
                <w:rFonts w:ascii="Century Schoolbook" w:hAnsi="Century Schoolbook"/>
                <w:i w:val="0"/>
                <w:iCs w:val="0"/>
                <w:sz w:val="20"/>
                <w:szCs w:val="20"/>
              </w:rPr>
              <w:t xml:space="preserve">Tabla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9D1829" w:rsidRPr="005970E9">
              <w:rPr>
                <w:rFonts w:ascii="Century Schoolbook" w:hAnsi="Century Schoolbook"/>
                <w:i w:val="0"/>
                <w:iCs w:val="0"/>
                <w:noProof/>
                <w:sz w:val="20"/>
                <w:szCs w:val="20"/>
              </w:rPr>
              <w:t>10</w:t>
            </w:r>
            <w:r w:rsidRPr="005970E9">
              <w:rPr>
                <w:rFonts w:ascii="Century Schoolbook" w:hAnsi="Century Schoolbook"/>
                <w:i w:val="0"/>
                <w:iCs w:val="0"/>
                <w:sz w:val="20"/>
                <w:szCs w:val="20"/>
              </w:rPr>
              <w:fldChar w:fldCharType="end"/>
            </w:r>
            <w:r w:rsidRPr="005970E9">
              <w:rPr>
                <w:rFonts w:ascii="Century Schoolbook" w:hAnsi="Century Schoolbook"/>
                <w:i w:val="0"/>
                <w:iCs w:val="0"/>
                <w:sz w:val="20"/>
                <w:szCs w:val="20"/>
              </w:rPr>
              <w:t>. Panamá. P</w:t>
            </w:r>
            <w:r w:rsidRPr="005970E9">
              <w:rPr>
                <w:rFonts w:ascii="Century Schoolbook" w:eastAsia="Century Schoolbook" w:hAnsi="Century Schoolbook" w:cs="Century Schoolbook"/>
                <w:i w:val="0"/>
                <w:iCs w:val="0"/>
                <w:color w:val="000000"/>
                <w:sz w:val="20"/>
                <w:szCs w:val="20"/>
              </w:rPr>
              <w:t>oblación de 15 y más años de edad, por sexo, según condición en la actividad económica agosto de 2009 - 2019</w:t>
            </w:r>
            <w:bookmarkEnd w:id="122"/>
          </w:p>
        </w:tc>
      </w:tr>
      <w:tr w:rsidR="00EA71B1" w:rsidRPr="005970E9" w14:paraId="3FE2F6D4" w14:textId="77777777" w:rsidTr="00EA71B1">
        <w:trPr>
          <w:trHeight w:val="300"/>
        </w:trPr>
        <w:tc>
          <w:tcPr>
            <w:tcW w:w="3402" w:type="dxa"/>
            <w:vMerge w:val="restart"/>
            <w:shd w:val="clear" w:color="auto" w:fill="auto"/>
            <w:vAlign w:val="bottom"/>
          </w:tcPr>
          <w:p w14:paraId="4C538573" w14:textId="77777777" w:rsidR="00EA71B1" w:rsidRPr="005970E9" w:rsidRDefault="00EA71B1" w:rsidP="00EA71B1">
            <w:pPr>
              <w:jc w:val="center"/>
              <w:rPr>
                <w:rFonts w:eastAsia="Century Schoolbook" w:cs="Century Schoolbook"/>
                <w:b/>
                <w:color w:val="000000"/>
                <w:sz w:val="20"/>
                <w:szCs w:val="20"/>
              </w:rPr>
            </w:pPr>
            <w:r w:rsidRPr="005970E9">
              <w:rPr>
                <w:rFonts w:eastAsia="Century Schoolbook" w:cs="Century Schoolbook"/>
                <w:b/>
                <w:color w:val="000000"/>
                <w:sz w:val="20"/>
                <w:szCs w:val="20"/>
              </w:rPr>
              <w:t xml:space="preserve">Condición en la actividad económica </w:t>
            </w:r>
          </w:p>
        </w:tc>
        <w:tc>
          <w:tcPr>
            <w:tcW w:w="3823" w:type="dxa"/>
            <w:gridSpan w:val="3"/>
            <w:shd w:val="clear" w:color="auto" w:fill="auto"/>
            <w:vAlign w:val="center"/>
          </w:tcPr>
          <w:p w14:paraId="3B337381" w14:textId="77777777" w:rsidR="00EA71B1" w:rsidRPr="005970E9" w:rsidRDefault="00EA71B1" w:rsidP="00EA71B1">
            <w:pPr>
              <w:jc w:val="center"/>
              <w:rPr>
                <w:rFonts w:eastAsia="Century Schoolbook" w:cs="Century Schoolbook"/>
                <w:b/>
                <w:color w:val="000000"/>
                <w:sz w:val="20"/>
                <w:szCs w:val="20"/>
              </w:rPr>
            </w:pPr>
            <w:r w:rsidRPr="005970E9">
              <w:rPr>
                <w:rFonts w:eastAsia="Century Schoolbook" w:cs="Century Schoolbook"/>
                <w:b/>
                <w:color w:val="000000"/>
                <w:sz w:val="20"/>
                <w:szCs w:val="20"/>
              </w:rPr>
              <w:t>Población de 15 y más años de edad (1)</w:t>
            </w:r>
          </w:p>
        </w:tc>
      </w:tr>
      <w:tr w:rsidR="00EA71B1" w:rsidRPr="005970E9" w14:paraId="22F75475" w14:textId="77777777" w:rsidTr="00EA71B1">
        <w:trPr>
          <w:trHeight w:val="288"/>
        </w:trPr>
        <w:tc>
          <w:tcPr>
            <w:tcW w:w="3402" w:type="dxa"/>
            <w:vMerge/>
            <w:shd w:val="clear" w:color="auto" w:fill="auto"/>
            <w:vAlign w:val="bottom"/>
          </w:tcPr>
          <w:p w14:paraId="0123EA20" w14:textId="77777777" w:rsidR="00EA71B1" w:rsidRPr="005970E9" w:rsidRDefault="00EA71B1" w:rsidP="00EA71B1">
            <w:pPr>
              <w:widowControl w:val="0"/>
              <w:pBdr>
                <w:top w:val="nil"/>
                <w:left w:val="nil"/>
                <w:bottom w:val="nil"/>
                <w:right w:val="nil"/>
                <w:between w:val="nil"/>
              </w:pBdr>
              <w:spacing w:line="276" w:lineRule="auto"/>
              <w:rPr>
                <w:rFonts w:eastAsia="Century Schoolbook" w:cs="Century Schoolbook"/>
                <w:b/>
                <w:color w:val="000000"/>
                <w:sz w:val="20"/>
                <w:szCs w:val="20"/>
              </w:rPr>
            </w:pPr>
          </w:p>
        </w:tc>
        <w:tc>
          <w:tcPr>
            <w:tcW w:w="1157" w:type="dxa"/>
            <w:shd w:val="clear" w:color="auto" w:fill="auto"/>
            <w:vAlign w:val="bottom"/>
          </w:tcPr>
          <w:p w14:paraId="59D98F90" w14:textId="77777777" w:rsidR="00EA71B1" w:rsidRPr="005970E9" w:rsidRDefault="00EA71B1" w:rsidP="00EA71B1">
            <w:pPr>
              <w:jc w:val="center"/>
              <w:rPr>
                <w:rFonts w:eastAsia="Century Schoolbook" w:cs="Century Schoolbook"/>
                <w:b/>
                <w:color w:val="000000"/>
                <w:sz w:val="20"/>
                <w:szCs w:val="20"/>
              </w:rPr>
            </w:pPr>
            <w:r w:rsidRPr="005970E9">
              <w:rPr>
                <w:rFonts w:eastAsia="Century Schoolbook" w:cs="Century Schoolbook"/>
                <w:b/>
                <w:color w:val="000000"/>
                <w:sz w:val="20"/>
                <w:szCs w:val="20"/>
              </w:rPr>
              <w:t>Total</w:t>
            </w:r>
          </w:p>
        </w:tc>
        <w:tc>
          <w:tcPr>
            <w:tcW w:w="1157" w:type="dxa"/>
            <w:shd w:val="clear" w:color="auto" w:fill="auto"/>
            <w:vAlign w:val="bottom"/>
          </w:tcPr>
          <w:p w14:paraId="0A655B29" w14:textId="77777777" w:rsidR="00EA71B1" w:rsidRPr="005970E9" w:rsidRDefault="00EA71B1" w:rsidP="00EA71B1">
            <w:pPr>
              <w:jc w:val="center"/>
              <w:rPr>
                <w:rFonts w:eastAsia="Century Schoolbook" w:cs="Century Schoolbook"/>
                <w:b/>
                <w:color w:val="000000"/>
                <w:sz w:val="20"/>
                <w:szCs w:val="20"/>
              </w:rPr>
            </w:pPr>
            <w:r w:rsidRPr="005970E9">
              <w:rPr>
                <w:rFonts w:eastAsia="Century Schoolbook" w:cs="Century Schoolbook"/>
                <w:b/>
                <w:color w:val="000000"/>
                <w:sz w:val="20"/>
                <w:szCs w:val="20"/>
              </w:rPr>
              <w:t xml:space="preserve">Mujeres </w:t>
            </w:r>
          </w:p>
        </w:tc>
        <w:tc>
          <w:tcPr>
            <w:tcW w:w="1509" w:type="dxa"/>
            <w:shd w:val="clear" w:color="auto" w:fill="auto"/>
            <w:vAlign w:val="bottom"/>
          </w:tcPr>
          <w:p w14:paraId="6D66FCA6" w14:textId="77777777" w:rsidR="00EA71B1" w:rsidRPr="005970E9" w:rsidRDefault="00EA71B1" w:rsidP="00EA71B1">
            <w:pPr>
              <w:jc w:val="center"/>
              <w:rPr>
                <w:rFonts w:eastAsia="Century Schoolbook" w:cs="Century Schoolbook"/>
                <w:b/>
                <w:color w:val="000000"/>
                <w:sz w:val="20"/>
                <w:szCs w:val="20"/>
              </w:rPr>
            </w:pPr>
            <w:r w:rsidRPr="005970E9">
              <w:rPr>
                <w:rFonts w:eastAsia="Century Schoolbook" w:cs="Century Schoolbook"/>
                <w:b/>
                <w:color w:val="000000"/>
                <w:sz w:val="20"/>
                <w:szCs w:val="20"/>
              </w:rPr>
              <w:t>Hombres</w:t>
            </w:r>
          </w:p>
        </w:tc>
      </w:tr>
      <w:tr w:rsidR="00EA71B1" w:rsidRPr="005970E9" w14:paraId="2DEDB1C9" w14:textId="77777777" w:rsidTr="00EA71B1">
        <w:trPr>
          <w:trHeight w:val="288"/>
        </w:trPr>
        <w:tc>
          <w:tcPr>
            <w:tcW w:w="7225" w:type="dxa"/>
            <w:gridSpan w:val="4"/>
            <w:shd w:val="clear" w:color="auto" w:fill="CCC0D9" w:themeFill="accent4" w:themeFillTint="66"/>
            <w:vAlign w:val="bottom"/>
          </w:tcPr>
          <w:p w14:paraId="056FD291" w14:textId="77777777" w:rsidR="00EA71B1" w:rsidRPr="005970E9" w:rsidRDefault="00EA71B1" w:rsidP="00EA71B1">
            <w:pPr>
              <w:jc w:val="center"/>
              <w:rPr>
                <w:rFonts w:eastAsia="Century Schoolbook" w:cs="Century Schoolbook"/>
                <w:b/>
                <w:color w:val="000000"/>
                <w:sz w:val="20"/>
                <w:szCs w:val="20"/>
              </w:rPr>
            </w:pPr>
            <w:r w:rsidRPr="005970E9">
              <w:rPr>
                <w:rFonts w:eastAsia="Century Schoolbook" w:cs="Century Schoolbook"/>
                <w:b/>
                <w:color w:val="000000"/>
                <w:sz w:val="20"/>
                <w:szCs w:val="20"/>
              </w:rPr>
              <w:t>2009</w:t>
            </w:r>
          </w:p>
        </w:tc>
      </w:tr>
      <w:tr w:rsidR="00EA71B1" w:rsidRPr="005970E9" w14:paraId="7D3CBE01" w14:textId="77777777" w:rsidTr="00EA71B1">
        <w:trPr>
          <w:trHeight w:val="288"/>
        </w:trPr>
        <w:tc>
          <w:tcPr>
            <w:tcW w:w="3402" w:type="dxa"/>
            <w:shd w:val="clear" w:color="auto" w:fill="auto"/>
            <w:vAlign w:val="bottom"/>
          </w:tcPr>
          <w:p w14:paraId="12CA2CD6" w14:textId="77777777" w:rsidR="00EA71B1" w:rsidRPr="005970E9" w:rsidRDefault="00EA71B1" w:rsidP="00EA71B1">
            <w:pPr>
              <w:jc w:val="center"/>
              <w:rPr>
                <w:rFonts w:eastAsia="Century Schoolbook" w:cs="Century Schoolbook"/>
                <w:color w:val="000000"/>
                <w:sz w:val="20"/>
                <w:szCs w:val="20"/>
              </w:rPr>
            </w:pPr>
            <w:r w:rsidRPr="005970E9">
              <w:rPr>
                <w:rFonts w:eastAsia="Century Schoolbook" w:cs="Century Schoolbook"/>
                <w:color w:val="000000"/>
                <w:sz w:val="20"/>
                <w:szCs w:val="20"/>
              </w:rPr>
              <w:t>Total</w:t>
            </w:r>
          </w:p>
        </w:tc>
        <w:tc>
          <w:tcPr>
            <w:tcW w:w="1157" w:type="dxa"/>
            <w:shd w:val="clear" w:color="auto" w:fill="auto"/>
            <w:vAlign w:val="bottom"/>
          </w:tcPr>
          <w:p w14:paraId="7126C5C9"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2,403,651</w:t>
            </w:r>
          </w:p>
        </w:tc>
        <w:tc>
          <w:tcPr>
            <w:tcW w:w="1157" w:type="dxa"/>
            <w:shd w:val="clear" w:color="auto" w:fill="auto"/>
            <w:vAlign w:val="bottom"/>
          </w:tcPr>
          <w:p w14:paraId="777EAB20"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1,234,193</w:t>
            </w:r>
          </w:p>
        </w:tc>
        <w:tc>
          <w:tcPr>
            <w:tcW w:w="1509" w:type="dxa"/>
            <w:shd w:val="clear" w:color="auto" w:fill="auto"/>
            <w:vAlign w:val="bottom"/>
          </w:tcPr>
          <w:p w14:paraId="5177D53F"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1,169,458</w:t>
            </w:r>
          </w:p>
        </w:tc>
      </w:tr>
      <w:tr w:rsidR="00EA71B1" w:rsidRPr="005970E9" w14:paraId="571FEDC7" w14:textId="77777777" w:rsidTr="00EA71B1">
        <w:trPr>
          <w:trHeight w:val="288"/>
        </w:trPr>
        <w:tc>
          <w:tcPr>
            <w:tcW w:w="3402" w:type="dxa"/>
            <w:shd w:val="clear" w:color="auto" w:fill="auto"/>
            <w:vAlign w:val="bottom"/>
          </w:tcPr>
          <w:p w14:paraId="1E5230B0" w14:textId="77777777" w:rsidR="00EA71B1" w:rsidRPr="005970E9" w:rsidRDefault="00EA71B1" w:rsidP="00EA71B1">
            <w:pPr>
              <w:rPr>
                <w:rFonts w:eastAsia="Century Schoolbook" w:cs="Century Schoolbook"/>
                <w:color w:val="000000"/>
                <w:sz w:val="20"/>
                <w:szCs w:val="20"/>
              </w:rPr>
            </w:pPr>
            <w:r w:rsidRPr="005970E9">
              <w:rPr>
                <w:rFonts w:eastAsia="Century Schoolbook" w:cs="Century Schoolbook"/>
                <w:color w:val="000000"/>
                <w:sz w:val="20"/>
                <w:szCs w:val="20"/>
              </w:rPr>
              <w:t>Económicamente activa</w:t>
            </w:r>
          </w:p>
        </w:tc>
        <w:tc>
          <w:tcPr>
            <w:tcW w:w="1157" w:type="dxa"/>
            <w:shd w:val="clear" w:color="auto" w:fill="auto"/>
            <w:vAlign w:val="bottom"/>
          </w:tcPr>
          <w:p w14:paraId="5222A162"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1,541,904</w:t>
            </w:r>
          </w:p>
        </w:tc>
        <w:tc>
          <w:tcPr>
            <w:tcW w:w="1157" w:type="dxa"/>
            <w:shd w:val="clear" w:color="auto" w:fill="auto"/>
            <w:vAlign w:val="bottom"/>
          </w:tcPr>
          <w:p w14:paraId="15961774"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595,698</w:t>
            </w:r>
          </w:p>
        </w:tc>
        <w:tc>
          <w:tcPr>
            <w:tcW w:w="1509" w:type="dxa"/>
            <w:shd w:val="clear" w:color="auto" w:fill="auto"/>
            <w:vAlign w:val="bottom"/>
          </w:tcPr>
          <w:p w14:paraId="3A0E715E"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946,206</w:t>
            </w:r>
          </w:p>
        </w:tc>
      </w:tr>
      <w:tr w:rsidR="00EA71B1" w:rsidRPr="005970E9" w14:paraId="282EBD01" w14:textId="77777777" w:rsidTr="00EA71B1">
        <w:trPr>
          <w:trHeight w:val="288"/>
        </w:trPr>
        <w:tc>
          <w:tcPr>
            <w:tcW w:w="3402" w:type="dxa"/>
            <w:shd w:val="clear" w:color="auto" w:fill="auto"/>
            <w:vAlign w:val="bottom"/>
          </w:tcPr>
          <w:p w14:paraId="7EF1C1D5" w14:textId="77777777" w:rsidR="00EA71B1" w:rsidRPr="005970E9" w:rsidRDefault="00EA71B1" w:rsidP="00EA71B1">
            <w:pPr>
              <w:rPr>
                <w:rFonts w:eastAsia="Century Schoolbook" w:cs="Century Schoolbook"/>
                <w:color w:val="000000"/>
                <w:sz w:val="20"/>
                <w:szCs w:val="20"/>
              </w:rPr>
            </w:pPr>
            <w:r w:rsidRPr="005970E9">
              <w:rPr>
                <w:rFonts w:eastAsia="Century Schoolbook" w:cs="Century Schoolbook"/>
                <w:color w:val="000000"/>
                <w:sz w:val="20"/>
                <w:szCs w:val="20"/>
              </w:rPr>
              <w:t>Porcentaje (respecto a la población de 15 y más años de edad)</w:t>
            </w:r>
          </w:p>
        </w:tc>
        <w:tc>
          <w:tcPr>
            <w:tcW w:w="1157" w:type="dxa"/>
            <w:shd w:val="clear" w:color="auto" w:fill="auto"/>
            <w:vAlign w:val="bottom"/>
          </w:tcPr>
          <w:p w14:paraId="1BA600B7"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64.1</w:t>
            </w:r>
          </w:p>
        </w:tc>
        <w:tc>
          <w:tcPr>
            <w:tcW w:w="1157" w:type="dxa"/>
            <w:shd w:val="clear" w:color="auto" w:fill="auto"/>
            <w:vAlign w:val="bottom"/>
          </w:tcPr>
          <w:p w14:paraId="4A763B88"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48.3</w:t>
            </w:r>
          </w:p>
        </w:tc>
        <w:tc>
          <w:tcPr>
            <w:tcW w:w="1509" w:type="dxa"/>
            <w:shd w:val="clear" w:color="auto" w:fill="auto"/>
            <w:vAlign w:val="bottom"/>
          </w:tcPr>
          <w:p w14:paraId="34D69C16"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80.9</w:t>
            </w:r>
          </w:p>
        </w:tc>
      </w:tr>
      <w:tr w:rsidR="00EA71B1" w:rsidRPr="005970E9" w14:paraId="0785FB36" w14:textId="77777777" w:rsidTr="00EA71B1">
        <w:trPr>
          <w:trHeight w:val="288"/>
        </w:trPr>
        <w:tc>
          <w:tcPr>
            <w:tcW w:w="3402" w:type="dxa"/>
            <w:shd w:val="clear" w:color="auto" w:fill="auto"/>
            <w:vAlign w:val="bottom"/>
          </w:tcPr>
          <w:p w14:paraId="24158E01" w14:textId="77777777" w:rsidR="00EA71B1" w:rsidRPr="005970E9" w:rsidRDefault="00EA71B1" w:rsidP="00EA71B1">
            <w:pPr>
              <w:rPr>
                <w:rFonts w:eastAsia="Century Schoolbook" w:cs="Century Schoolbook"/>
                <w:color w:val="000000"/>
                <w:sz w:val="20"/>
                <w:szCs w:val="20"/>
              </w:rPr>
            </w:pPr>
            <w:r w:rsidRPr="005970E9">
              <w:rPr>
                <w:rFonts w:eastAsia="Century Schoolbook" w:cs="Century Schoolbook"/>
                <w:color w:val="000000"/>
                <w:sz w:val="20"/>
                <w:szCs w:val="20"/>
              </w:rPr>
              <w:t xml:space="preserve"> Ocupada</w:t>
            </w:r>
          </w:p>
        </w:tc>
        <w:tc>
          <w:tcPr>
            <w:tcW w:w="1157" w:type="dxa"/>
            <w:shd w:val="clear" w:color="auto" w:fill="auto"/>
            <w:vAlign w:val="bottom"/>
          </w:tcPr>
          <w:p w14:paraId="69F59081"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1,440,801</w:t>
            </w:r>
          </w:p>
        </w:tc>
        <w:tc>
          <w:tcPr>
            <w:tcW w:w="1157" w:type="dxa"/>
            <w:shd w:val="clear" w:color="auto" w:fill="auto"/>
            <w:vAlign w:val="bottom"/>
          </w:tcPr>
          <w:p w14:paraId="0CB5A465"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542,971</w:t>
            </w:r>
          </w:p>
        </w:tc>
        <w:tc>
          <w:tcPr>
            <w:tcW w:w="1509" w:type="dxa"/>
            <w:shd w:val="clear" w:color="auto" w:fill="auto"/>
            <w:vAlign w:val="bottom"/>
          </w:tcPr>
          <w:p w14:paraId="2F707003"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897,830</w:t>
            </w:r>
          </w:p>
        </w:tc>
      </w:tr>
      <w:tr w:rsidR="00EA71B1" w:rsidRPr="005970E9" w14:paraId="10B9E27F" w14:textId="77777777" w:rsidTr="00EA71B1">
        <w:trPr>
          <w:trHeight w:val="288"/>
        </w:trPr>
        <w:tc>
          <w:tcPr>
            <w:tcW w:w="3402" w:type="dxa"/>
            <w:shd w:val="clear" w:color="auto" w:fill="auto"/>
            <w:vAlign w:val="bottom"/>
          </w:tcPr>
          <w:p w14:paraId="3A02EB1C" w14:textId="77777777" w:rsidR="00EA71B1" w:rsidRPr="005970E9" w:rsidRDefault="00EA71B1" w:rsidP="00EA71B1">
            <w:pPr>
              <w:rPr>
                <w:rFonts w:eastAsia="Century Schoolbook" w:cs="Century Schoolbook"/>
                <w:color w:val="000000"/>
                <w:sz w:val="20"/>
                <w:szCs w:val="20"/>
              </w:rPr>
            </w:pPr>
            <w:r w:rsidRPr="005970E9">
              <w:rPr>
                <w:rFonts w:eastAsia="Century Schoolbook" w:cs="Century Schoolbook"/>
                <w:color w:val="000000"/>
                <w:sz w:val="20"/>
                <w:szCs w:val="20"/>
              </w:rPr>
              <w:t xml:space="preserve"> Desocupada</w:t>
            </w:r>
          </w:p>
        </w:tc>
        <w:tc>
          <w:tcPr>
            <w:tcW w:w="1157" w:type="dxa"/>
            <w:shd w:val="clear" w:color="auto" w:fill="auto"/>
            <w:vAlign w:val="bottom"/>
          </w:tcPr>
          <w:p w14:paraId="1D025642"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101,103</w:t>
            </w:r>
          </w:p>
        </w:tc>
        <w:tc>
          <w:tcPr>
            <w:tcW w:w="1157" w:type="dxa"/>
            <w:shd w:val="clear" w:color="auto" w:fill="auto"/>
            <w:vAlign w:val="bottom"/>
          </w:tcPr>
          <w:p w14:paraId="7DB3E795"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52,727</w:t>
            </w:r>
          </w:p>
        </w:tc>
        <w:tc>
          <w:tcPr>
            <w:tcW w:w="1509" w:type="dxa"/>
            <w:shd w:val="clear" w:color="auto" w:fill="auto"/>
            <w:vAlign w:val="bottom"/>
          </w:tcPr>
          <w:p w14:paraId="79C83583"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48,376</w:t>
            </w:r>
          </w:p>
        </w:tc>
      </w:tr>
      <w:tr w:rsidR="00EA71B1" w:rsidRPr="005970E9" w14:paraId="7201CAAE" w14:textId="77777777" w:rsidTr="00EA71B1">
        <w:trPr>
          <w:trHeight w:val="288"/>
        </w:trPr>
        <w:tc>
          <w:tcPr>
            <w:tcW w:w="3402" w:type="dxa"/>
            <w:shd w:val="clear" w:color="auto" w:fill="auto"/>
            <w:vAlign w:val="bottom"/>
          </w:tcPr>
          <w:p w14:paraId="4632D803" w14:textId="77777777" w:rsidR="00EA71B1" w:rsidRPr="005970E9" w:rsidRDefault="00EA71B1" w:rsidP="00EA71B1">
            <w:pPr>
              <w:rPr>
                <w:rFonts w:eastAsia="Century Schoolbook" w:cs="Century Schoolbook"/>
                <w:color w:val="000000"/>
                <w:sz w:val="20"/>
                <w:szCs w:val="20"/>
              </w:rPr>
            </w:pPr>
            <w:r w:rsidRPr="005970E9">
              <w:rPr>
                <w:rFonts w:eastAsia="Century Schoolbook" w:cs="Century Schoolbook"/>
                <w:color w:val="000000"/>
                <w:sz w:val="20"/>
                <w:szCs w:val="20"/>
              </w:rPr>
              <w:t>Porcentaje (respecto a la población de 15 y más años de edad)</w:t>
            </w:r>
          </w:p>
        </w:tc>
        <w:tc>
          <w:tcPr>
            <w:tcW w:w="1157" w:type="dxa"/>
            <w:shd w:val="clear" w:color="auto" w:fill="auto"/>
            <w:vAlign w:val="bottom"/>
          </w:tcPr>
          <w:p w14:paraId="2795B592"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6.6</w:t>
            </w:r>
          </w:p>
        </w:tc>
        <w:tc>
          <w:tcPr>
            <w:tcW w:w="1157" w:type="dxa"/>
            <w:shd w:val="clear" w:color="auto" w:fill="auto"/>
            <w:vAlign w:val="bottom"/>
          </w:tcPr>
          <w:p w14:paraId="35636AA5"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8.9</w:t>
            </w:r>
          </w:p>
        </w:tc>
        <w:tc>
          <w:tcPr>
            <w:tcW w:w="1509" w:type="dxa"/>
            <w:shd w:val="clear" w:color="auto" w:fill="auto"/>
            <w:vAlign w:val="bottom"/>
          </w:tcPr>
          <w:p w14:paraId="41FF1628"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5.1</w:t>
            </w:r>
          </w:p>
        </w:tc>
      </w:tr>
      <w:tr w:rsidR="00EA71B1" w:rsidRPr="005970E9" w14:paraId="4D8279AB" w14:textId="77777777" w:rsidTr="00EA71B1">
        <w:trPr>
          <w:trHeight w:val="288"/>
        </w:trPr>
        <w:tc>
          <w:tcPr>
            <w:tcW w:w="7225" w:type="dxa"/>
            <w:gridSpan w:val="4"/>
            <w:shd w:val="clear" w:color="auto" w:fill="CCC0D9" w:themeFill="accent4" w:themeFillTint="66"/>
            <w:vAlign w:val="bottom"/>
          </w:tcPr>
          <w:p w14:paraId="49C9605C" w14:textId="77777777" w:rsidR="00EA71B1" w:rsidRPr="005970E9" w:rsidRDefault="00EA71B1" w:rsidP="00EA71B1">
            <w:pPr>
              <w:jc w:val="center"/>
              <w:rPr>
                <w:rFonts w:eastAsia="Century Schoolbook" w:cs="Century Schoolbook"/>
                <w:b/>
                <w:color w:val="000000"/>
                <w:sz w:val="20"/>
                <w:szCs w:val="20"/>
              </w:rPr>
            </w:pPr>
            <w:r w:rsidRPr="005970E9">
              <w:rPr>
                <w:rFonts w:eastAsia="Century Schoolbook" w:cs="Century Schoolbook"/>
                <w:b/>
                <w:color w:val="000000"/>
                <w:sz w:val="20"/>
                <w:szCs w:val="20"/>
              </w:rPr>
              <w:t>2019</w:t>
            </w:r>
          </w:p>
        </w:tc>
      </w:tr>
      <w:tr w:rsidR="00EA71B1" w:rsidRPr="005970E9" w14:paraId="7EFD3A14" w14:textId="77777777" w:rsidTr="00EA71B1">
        <w:trPr>
          <w:trHeight w:val="288"/>
        </w:trPr>
        <w:tc>
          <w:tcPr>
            <w:tcW w:w="3402" w:type="dxa"/>
            <w:shd w:val="clear" w:color="auto" w:fill="auto"/>
            <w:vAlign w:val="bottom"/>
          </w:tcPr>
          <w:p w14:paraId="21828391" w14:textId="77777777" w:rsidR="00EA71B1" w:rsidRPr="005970E9" w:rsidRDefault="00EA71B1" w:rsidP="00EA71B1">
            <w:pPr>
              <w:jc w:val="center"/>
              <w:rPr>
                <w:rFonts w:eastAsia="Century Schoolbook" w:cs="Century Schoolbook"/>
                <w:b/>
                <w:color w:val="000000"/>
                <w:sz w:val="20"/>
                <w:szCs w:val="20"/>
              </w:rPr>
            </w:pPr>
            <w:r w:rsidRPr="005970E9">
              <w:rPr>
                <w:rFonts w:eastAsia="Century Schoolbook" w:cs="Century Schoolbook"/>
                <w:color w:val="000000"/>
                <w:sz w:val="20"/>
                <w:szCs w:val="20"/>
              </w:rPr>
              <w:t>Total</w:t>
            </w:r>
          </w:p>
        </w:tc>
        <w:tc>
          <w:tcPr>
            <w:tcW w:w="1157" w:type="dxa"/>
            <w:shd w:val="clear" w:color="auto" w:fill="auto"/>
            <w:vAlign w:val="bottom"/>
          </w:tcPr>
          <w:p w14:paraId="26FE217A"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3,105,765</w:t>
            </w:r>
          </w:p>
        </w:tc>
        <w:tc>
          <w:tcPr>
            <w:tcW w:w="1157" w:type="dxa"/>
            <w:shd w:val="clear" w:color="auto" w:fill="auto"/>
            <w:vAlign w:val="bottom"/>
          </w:tcPr>
          <w:p w14:paraId="7E5709F3"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1,597,226</w:t>
            </w:r>
          </w:p>
        </w:tc>
        <w:tc>
          <w:tcPr>
            <w:tcW w:w="1509" w:type="dxa"/>
            <w:shd w:val="clear" w:color="auto" w:fill="auto"/>
            <w:vAlign w:val="bottom"/>
          </w:tcPr>
          <w:p w14:paraId="6C25BE2A"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1,508,539</w:t>
            </w:r>
          </w:p>
        </w:tc>
      </w:tr>
      <w:tr w:rsidR="00EA71B1" w:rsidRPr="005970E9" w14:paraId="1732A403" w14:textId="77777777" w:rsidTr="00EA71B1">
        <w:trPr>
          <w:trHeight w:val="288"/>
        </w:trPr>
        <w:tc>
          <w:tcPr>
            <w:tcW w:w="3402" w:type="dxa"/>
            <w:shd w:val="clear" w:color="auto" w:fill="auto"/>
            <w:vAlign w:val="bottom"/>
          </w:tcPr>
          <w:p w14:paraId="53AA15F6" w14:textId="77777777" w:rsidR="00EA71B1" w:rsidRPr="005970E9" w:rsidRDefault="00EA71B1" w:rsidP="00EA71B1">
            <w:pPr>
              <w:rPr>
                <w:rFonts w:eastAsia="Century Schoolbook" w:cs="Century Schoolbook"/>
                <w:color w:val="000000"/>
                <w:sz w:val="20"/>
                <w:szCs w:val="20"/>
              </w:rPr>
            </w:pPr>
            <w:r w:rsidRPr="005970E9">
              <w:rPr>
                <w:rFonts w:eastAsia="Century Schoolbook" w:cs="Century Schoolbook"/>
                <w:color w:val="000000"/>
                <w:sz w:val="20"/>
                <w:szCs w:val="20"/>
              </w:rPr>
              <w:t>Económicamente activa</w:t>
            </w:r>
          </w:p>
        </w:tc>
        <w:tc>
          <w:tcPr>
            <w:tcW w:w="1157" w:type="dxa"/>
            <w:shd w:val="clear" w:color="auto" w:fill="auto"/>
            <w:vAlign w:val="bottom"/>
          </w:tcPr>
          <w:p w14:paraId="3F197295"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2,066,753</w:t>
            </w:r>
          </w:p>
        </w:tc>
        <w:tc>
          <w:tcPr>
            <w:tcW w:w="1157" w:type="dxa"/>
            <w:shd w:val="clear" w:color="auto" w:fill="auto"/>
            <w:vAlign w:val="bottom"/>
          </w:tcPr>
          <w:p w14:paraId="4E4D8D67"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878,626</w:t>
            </w:r>
          </w:p>
        </w:tc>
        <w:tc>
          <w:tcPr>
            <w:tcW w:w="1509" w:type="dxa"/>
            <w:shd w:val="clear" w:color="auto" w:fill="auto"/>
            <w:vAlign w:val="bottom"/>
          </w:tcPr>
          <w:p w14:paraId="10368901"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1,188,127</w:t>
            </w:r>
          </w:p>
        </w:tc>
      </w:tr>
      <w:tr w:rsidR="00EA71B1" w:rsidRPr="005970E9" w14:paraId="1490EE98" w14:textId="77777777" w:rsidTr="00EA71B1">
        <w:trPr>
          <w:trHeight w:val="288"/>
        </w:trPr>
        <w:tc>
          <w:tcPr>
            <w:tcW w:w="3402" w:type="dxa"/>
            <w:shd w:val="clear" w:color="auto" w:fill="auto"/>
            <w:vAlign w:val="bottom"/>
          </w:tcPr>
          <w:p w14:paraId="0CCAC6DB" w14:textId="77777777" w:rsidR="00EA71B1" w:rsidRPr="005970E9" w:rsidRDefault="00EA71B1" w:rsidP="00EA71B1">
            <w:pPr>
              <w:rPr>
                <w:rFonts w:eastAsia="Century Schoolbook" w:cs="Century Schoolbook"/>
                <w:color w:val="000000"/>
                <w:sz w:val="20"/>
                <w:szCs w:val="20"/>
              </w:rPr>
            </w:pPr>
            <w:r w:rsidRPr="005970E9">
              <w:rPr>
                <w:rFonts w:eastAsia="Century Schoolbook" w:cs="Century Schoolbook"/>
                <w:color w:val="000000"/>
                <w:sz w:val="20"/>
                <w:szCs w:val="20"/>
              </w:rPr>
              <w:t>Porcentaje (respecto a la población de 15 y más años de edad)</w:t>
            </w:r>
          </w:p>
        </w:tc>
        <w:tc>
          <w:tcPr>
            <w:tcW w:w="1157" w:type="dxa"/>
            <w:shd w:val="clear" w:color="auto" w:fill="auto"/>
            <w:vAlign w:val="bottom"/>
          </w:tcPr>
          <w:p w14:paraId="5A3B8923"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66.5</w:t>
            </w:r>
          </w:p>
        </w:tc>
        <w:tc>
          <w:tcPr>
            <w:tcW w:w="1157" w:type="dxa"/>
            <w:shd w:val="clear" w:color="auto" w:fill="auto"/>
            <w:vAlign w:val="bottom"/>
          </w:tcPr>
          <w:p w14:paraId="3908EBCA"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55</w:t>
            </w:r>
          </w:p>
        </w:tc>
        <w:tc>
          <w:tcPr>
            <w:tcW w:w="1509" w:type="dxa"/>
            <w:shd w:val="clear" w:color="auto" w:fill="auto"/>
            <w:vAlign w:val="bottom"/>
          </w:tcPr>
          <w:p w14:paraId="264A89B0"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78.8</w:t>
            </w:r>
          </w:p>
        </w:tc>
      </w:tr>
      <w:tr w:rsidR="00EA71B1" w:rsidRPr="005970E9" w14:paraId="7EAB8371" w14:textId="77777777" w:rsidTr="00EA71B1">
        <w:trPr>
          <w:trHeight w:val="288"/>
        </w:trPr>
        <w:tc>
          <w:tcPr>
            <w:tcW w:w="3402" w:type="dxa"/>
            <w:shd w:val="clear" w:color="auto" w:fill="auto"/>
            <w:vAlign w:val="bottom"/>
          </w:tcPr>
          <w:p w14:paraId="171E05E7" w14:textId="77777777" w:rsidR="00EA71B1" w:rsidRPr="005970E9" w:rsidRDefault="00EA71B1" w:rsidP="00EA71B1">
            <w:pPr>
              <w:rPr>
                <w:rFonts w:eastAsia="Century Schoolbook" w:cs="Century Schoolbook"/>
                <w:color w:val="000000"/>
                <w:sz w:val="20"/>
                <w:szCs w:val="20"/>
              </w:rPr>
            </w:pPr>
            <w:r w:rsidRPr="005970E9">
              <w:rPr>
                <w:rFonts w:eastAsia="Century Schoolbook" w:cs="Century Schoolbook"/>
                <w:color w:val="000000"/>
                <w:sz w:val="20"/>
                <w:szCs w:val="20"/>
              </w:rPr>
              <w:t xml:space="preserve"> Ocupada</w:t>
            </w:r>
          </w:p>
        </w:tc>
        <w:tc>
          <w:tcPr>
            <w:tcW w:w="1157" w:type="dxa"/>
            <w:shd w:val="clear" w:color="auto" w:fill="auto"/>
            <w:vAlign w:val="bottom"/>
          </w:tcPr>
          <w:p w14:paraId="75D529BC"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1,920,642</w:t>
            </w:r>
          </w:p>
        </w:tc>
        <w:tc>
          <w:tcPr>
            <w:tcW w:w="1157" w:type="dxa"/>
            <w:shd w:val="clear" w:color="auto" w:fill="auto"/>
            <w:vAlign w:val="bottom"/>
          </w:tcPr>
          <w:p w14:paraId="0DAF01B1"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801,681</w:t>
            </w:r>
          </w:p>
        </w:tc>
        <w:tc>
          <w:tcPr>
            <w:tcW w:w="1509" w:type="dxa"/>
            <w:shd w:val="clear" w:color="auto" w:fill="auto"/>
            <w:vAlign w:val="bottom"/>
          </w:tcPr>
          <w:p w14:paraId="0DE0A877"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1,118,961</w:t>
            </w:r>
          </w:p>
        </w:tc>
      </w:tr>
      <w:tr w:rsidR="00EA71B1" w:rsidRPr="005970E9" w14:paraId="6513E655" w14:textId="77777777" w:rsidTr="00EA71B1">
        <w:trPr>
          <w:trHeight w:val="288"/>
        </w:trPr>
        <w:tc>
          <w:tcPr>
            <w:tcW w:w="3402" w:type="dxa"/>
            <w:shd w:val="clear" w:color="auto" w:fill="auto"/>
            <w:vAlign w:val="bottom"/>
          </w:tcPr>
          <w:p w14:paraId="14DE7852" w14:textId="77777777" w:rsidR="00EA71B1" w:rsidRPr="005970E9" w:rsidRDefault="00EA71B1" w:rsidP="00EA71B1">
            <w:pPr>
              <w:rPr>
                <w:rFonts w:eastAsia="Century Schoolbook" w:cs="Century Schoolbook"/>
                <w:color w:val="000000"/>
                <w:sz w:val="20"/>
                <w:szCs w:val="20"/>
              </w:rPr>
            </w:pPr>
            <w:r w:rsidRPr="005970E9">
              <w:rPr>
                <w:rFonts w:eastAsia="Century Schoolbook" w:cs="Century Schoolbook"/>
                <w:color w:val="000000"/>
                <w:sz w:val="20"/>
                <w:szCs w:val="20"/>
              </w:rPr>
              <w:t xml:space="preserve"> Desocupada</w:t>
            </w:r>
          </w:p>
        </w:tc>
        <w:tc>
          <w:tcPr>
            <w:tcW w:w="1157" w:type="dxa"/>
            <w:shd w:val="clear" w:color="auto" w:fill="auto"/>
            <w:vAlign w:val="bottom"/>
          </w:tcPr>
          <w:p w14:paraId="35BA956A"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146,111</w:t>
            </w:r>
          </w:p>
        </w:tc>
        <w:tc>
          <w:tcPr>
            <w:tcW w:w="1157" w:type="dxa"/>
            <w:shd w:val="clear" w:color="auto" w:fill="auto"/>
            <w:vAlign w:val="bottom"/>
          </w:tcPr>
          <w:p w14:paraId="5202E31E"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76,945</w:t>
            </w:r>
          </w:p>
        </w:tc>
        <w:tc>
          <w:tcPr>
            <w:tcW w:w="1509" w:type="dxa"/>
            <w:shd w:val="clear" w:color="auto" w:fill="auto"/>
            <w:vAlign w:val="bottom"/>
          </w:tcPr>
          <w:p w14:paraId="53CFC70B"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69,166</w:t>
            </w:r>
          </w:p>
        </w:tc>
      </w:tr>
      <w:tr w:rsidR="00EA71B1" w:rsidRPr="005970E9" w14:paraId="77B1CFC8" w14:textId="77777777" w:rsidTr="00EA71B1">
        <w:trPr>
          <w:trHeight w:val="288"/>
        </w:trPr>
        <w:tc>
          <w:tcPr>
            <w:tcW w:w="3402" w:type="dxa"/>
            <w:shd w:val="clear" w:color="auto" w:fill="auto"/>
            <w:vAlign w:val="bottom"/>
          </w:tcPr>
          <w:p w14:paraId="477835F4" w14:textId="77777777" w:rsidR="00EA71B1" w:rsidRPr="005970E9" w:rsidRDefault="00EA71B1" w:rsidP="00EA71B1">
            <w:pPr>
              <w:rPr>
                <w:rFonts w:eastAsia="Century Schoolbook" w:cs="Century Schoolbook"/>
                <w:color w:val="000000"/>
                <w:sz w:val="20"/>
                <w:szCs w:val="20"/>
              </w:rPr>
            </w:pPr>
            <w:r w:rsidRPr="005970E9">
              <w:rPr>
                <w:rFonts w:eastAsia="Century Schoolbook" w:cs="Century Schoolbook"/>
                <w:color w:val="000000"/>
                <w:sz w:val="20"/>
                <w:szCs w:val="20"/>
              </w:rPr>
              <w:t>Porcentaje (respecto a la población de 15 y más años de edad)</w:t>
            </w:r>
          </w:p>
        </w:tc>
        <w:tc>
          <w:tcPr>
            <w:tcW w:w="1157" w:type="dxa"/>
            <w:shd w:val="clear" w:color="auto" w:fill="auto"/>
            <w:vAlign w:val="bottom"/>
          </w:tcPr>
          <w:p w14:paraId="69BA9AC5"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7.1</w:t>
            </w:r>
          </w:p>
        </w:tc>
        <w:tc>
          <w:tcPr>
            <w:tcW w:w="1157" w:type="dxa"/>
            <w:shd w:val="clear" w:color="auto" w:fill="auto"/>
            <w:vAlign w:val="bottom"/>
          </w:tcPr>
          <w:p w14:paraId="36D05C32"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8.8</w:t>
            </w:r>
          </w:p>
        </w:tc>
        <w:tc>
          <w:tcPr>
            <w:tcW w:w="1509" w:type="dxa"/>
            <w:shd w:val="clear" w:color="auto" w:fill="auto"/>
            <w:vAlign w:val="bottom"/>
          </w:tcPr>
          <w:p w14:paraId="726DC1D4" w14:textId="77777777" w:rsidR="00EA71B1" w:rsidRPr="005970E9" w:rsidRDefault="00EA71B1" w:rsidP="00EA71B1">
            <w:pPr>
              <w:jc w:val="right"/>
              <w:rPr>
                <w:rFonts w:eastAsia="Century Schoolbook" w:cs="Century Schoolbook"/>
                <w:color w:val="000000"/>
                <w:sz w:val="20"/>
                <w:szCs w:val="20"/>
              </w:rPr>
            </w:pPr>
            <w:r w:rsidRPr="005970E9">
              <w:rPr>
                <w:rFonts w:eastAsia="Century Schoolbook" w:cs="Century Schoolbook"/>
                <w:color w:val="000000"/>
                <w:sz w:val="20"/>
                <w:szCs w:val="20"/>
              </w:rPr>
              <w:t>5.8</w:t>
            </w:r>
          </w:p>
        </w:tc>
      </w:tr>
      <w:tr w:rsidR="00EA71B1" w:rsidRPr="005970E9" w14:paraId="7C7E9EA5" w14:textId="77777777" w:rsidTr="00EA71B1">
        <w:trPr>
          <w:trHeight w:val="288"/>
        </w:trPr>
        <w:tc>
          <w:tcPr>
            <w:tcW w:w="7225" w:type="dxa"/>
            <w:gridSpan w:val="4"/>
            <w:shd w:val="clear" w:color="auto" w:fill="auto"/>
            <w:vAlign w:val="center"/>
          </w:tcPr>
          <w:p w14:paraId="7B7D2FE7" w14:textId="77777777" w:rsidR="00EA71B1" w:rsidRPr="005970E9" w:rsidRDefault="00EA71B1" w:rsidP="00EA71B1">
            <w:pPr>
              <w:rPr>
                <w:rFonts w:eastAsia="Century Schoolbook" w:cs="Century Schoolbook"/>
                <w:color w:val="000000"/>
                <w:sz w:val="20"/>
                <w:szCs w:val="20"/>
              </w:rPr>
            </w:pPr>
            <w:r w:rsidRPr="005970E9">
              <w:rPr>
                <w:rFonts w:eastAsia="Century Schoolbook" w:cs="Century Schoolbook"/>
                <w:color w:val="000000"/>
                <w:sz w:val="20"/>
                <w:szCs w:val="20"/>
              </w:rPr>
              <w:t>Fuente: INEC, Encuesta de Hogares agosto 2009 y 2019.</w:t>
            </w:r>
          </w:p>
          <w:p w14:paraId="0CA3A1B0" w14:textId="77777777" w:rsidR="00EA71B1" w:rsidRPr="005970E9" w:rsidRDefault="00EA71B1" w:rsidP="00EA71B1">
            <w:pPr>
              <w:rPr>
                <w:rFonts w:cs="Arial"/>
                <w:sz w:val="20"/>
                <w:szCs w:val="20"/>
              </w:rPr>
            </w:pPr>
            <w:r w:rsidRPr="005970E9">
              <w:rPr>
                <w:rFonts w:cs="Arial"/>
                <w:sz w:val="20"/>
                <w:szCs w:val="20"/>
              </w:rPr>
              <w:t>(1) Las cifras se refieren a un promedio semanal del mes. Excluye a los residentes en viviendas colectivas.</w:t>
            </w:r>
          </w:p>
        </w:tc>
      </w:tr>
    </w:tbl>
    <w:p w14:paraId="339AF06C" w14:textId="5D69AE05" w:rsidR="006514D6" w:rsidRPr="005970E9" w:rsidRDefault="003B5C05">
      <w:pPr>
        <w:spacing w:before="120" w:after="120" w:line="276" w:lineRule="auto"/>
        <w:jc w:val="both"/>
        <w:rPr>
          <w:rFonts w:eastAsia="Century Schoolbook" w:cs="Century Schoolbook"/>
        </w:rPr>
      </w:pPr>
      <w:r w:rsidRPr="005970E9">
        <w:rPr>
          <w:rFonts w:eastAsia="Century Schoolbook" w:cs="Century Schoolbook"/>
        </w:rPr>
        <w:t xml:space="preserve">Las mujeres respecto a la población en edad de trabajar, en ese periodo elevaron su participación económica en 6.7% y los hombres la redujeron en 2.1%. Como puede observarse en la tabla </w:t>
      </w:r>
      <w:r w:rsidR="00621C0D" w:rsidRPr="005970E9">
        <w:rPr>
          <w:rFonts w:eastAsia="Century Schoolbook" w:cs="Century Schoolbook"/>
        </w:rPr>
        <w:t xml:space="preserve">10, </w:t>
      </w:r>
      <w:r w:rsidRPr="005970E9">
        <w:rPr>
          <w:rFonts w:eastAsia="Century Schoolbook" w:cs="Century Schoolbook"/>
        </w:rPr>
        <w:t>las mujeres en edad de trabajar son más que los hombres en es</w:t>
      </w:r>
      <w:r w:rsidR="00231B4E" w:rsidRPr="005970E9">
        <w:rPr>
          <w:rFonts w:eastAsia="Century Schoolbook" w:cs="Century Schoolbook"/>
        </w:rPr>
        <w:t>e</w:t>
      </w:r>
      <w:r w:rsidRPr="005970E9">
        <w:rPr>
          <w:rFonts w:eastAsia="Century Schoolbook" w:cs="Century Schoolbook"/>
        </w:rPr>
        <w:t xml:space="preserve"> </w:t>
      </w:r>
      <w:r w:rsidR="00231B4E" w:rsidRPr="005970E9">
        <w:rPr>
          <w:rFonts w:eastAsia="Century Schoolbook" w:cs="Century Schoolbook"/>
        </w:rPr>
        <w:t xml:space="preserve">periodo (2009: 51.34% y 2019: 51.42) no obstante, </w:t>
      </w:r>
      <w:r w:rsidRPr="005970E9">
        <w:rPr>
          <w:rFonts w:eastAsia="Century Schoolbook" w:cs="Century Schoolbook"/>
        </w:rPr>
        <w:t>cerca de la mitad de las mujeres de 15 años y más de edad no aparece en la fuerza de trabajo activa</w:t>
      </w:r>
      <w:r w:rsidR="00231B4E" w:rsidRPr="005970E9">
        <w:rPr>
          <w:rFonts w:eastAsia="Century Schoolbook" w:cs="Century Schoolbook"/>
        </w:rPr>
        <w:t>, engrosan el rubro de amas de casa, jubiladas y estudiantes</w:t>
      </w:r>
      <w:r w:rsidRPr="005970E9">
        <w:rPr>
          <w:rFonts w:eastAsia="Century Schoolbook" w:cs="Century Schoolbook"/>
        </w:rPr>
        <w:t>.</w:t>
      </w:r>
      <w:r w:rsidR="00B90C1D" w:rsidRPr="005970E9">
        <w:rPr>
          <w:rFonts w:eastAsia="Century Schoolbook" w:cs="Century Schoolbook"/>
        </w:rPr>
        <w:t xml:space="preserve"> Es importante recordar que las mujeres consideradas no activas realizan</w:t>
      </w:r>
      <w:r w:rsidR="005B6E7E" w:rsidRPr="005970E9">
        <w:rPr>
          <w:rFonts w:eastAsia="Century Schoolbook" w:cs="Century Schoolbook"/>
        </w:rPr>
        <w:t xml:space="preserve"> trabajo de </w:t>
      </w:r>
      <w:r w:rsidR="005B6E7E" w:rsidRPr="005970E9">
        <w:rPr>
          <w:rFonts w:eastAsia="Century Schoolbook" w:cs="Century Schoolbook"/>
        </w:rPr>
        <w:lastRenderedPageBreak/>
        <w:t>cuidado</w:t>
      </w:r>
      <w:r w:rsidR="00B90C1D" w:rsidRPr="005970E9">
        <w:rPr>
          <w:rFonts w:eastAsia="Century Schoolbook" w:cs="Century Schoolbook"/>
        </w:rPr>
        <w:t>, en jornada de muchas horas semanales, para el cual</w:t>
      </w:r>
      <w:r w:rsidR="005B6E7E" w:rsidRPr="005970E9">
        <w:rPr>
          <w:rFonts w:eastAsia="Century Schoolbook" w:cs="Century Schoolbook"/>
        </w:rPr>
        <w:t>,</w:t>
      </w:r>
      <w:r w:rsidR="00B90C1D" w:rsidRPr="005970E9">
        <w:rPr>
          <w:rFonts w:eastAsia="Century Schoolbook" w:cs="Century Schoolbook"/>
        </w:rPr>
        <w:t xml:space="preserve"> actualmente no existe remuneración.</w:t>
      </w:r>
    </w:p>
    <w:p w14:paraId="2C9F42E6" w14:textId="10D410C3" w:rsidR="00B76B0C" w:rsidRPr="005970E9" w:rsidRDefault="003B5C05" w:rsidP="00700AB2">
      <w:pPr>
        <w:spacing w:before="240" w:after="120" w:line="276" w:lineRule="auto"/>
        <w:jc w:val="both"/>
        <w:rPr>
          <w:rFonts w:eastAsia="Century Schoolbook" w:cs="Century Schoolbook"/>
        </w:rPr>
      </w:pPr>
      <w:r w:rsidRPr="005970E9">
        <w:rPr>
          <w:rFonts w:eastAsia="Century Schoolbook" w:cs="Century Schoolbook"/>
        </w:rPr>
        <w:t xml:space="preserve">En esos 10 diez años la población </w:t>
      </w:r>
      <w:r w:rsidR="00B90C1D" w:rsidRPr="005970E9">
        <w:rPr>
          <w:rFonts w:eastAsia="Century Schoolbook" w:cs="Century Schoolbook"/>
        </w:rPr>
        <w:t xml:space="preserve">la proporción de </w:t>
      </w:r>
      <w:r w:rsidRPr="005970E9">
        <w:rPr>
          <w:rFonts w:eastAsia="Century Schoolbook" w:cs="Century Schoolbook"/>
        </w:rPr>
        <w:t xml:space="preserve">mujeres ocupadas respecto a la PEA prácticamente se mantuvo </w:t>
      </w:r>
      <w:r w:rsidR="005B6E7E" w:rsidRPr="005970E9">
        <w:rPr>
          <w:rFonts w:eastAsia="Century Schoolbook" w:cs="Century Schoolbook"/>
        </w:rPr>
        <w:t xml:space="preserve">igual </w:t>
      </w:r>
      <w:r w:rsidRPr="005970E9">
        <w:rPr>
          <w:rFonts w:eastAsia="Century Schoolbook" w:cs="Century Schoolbook"/>
        </w:rPr>
        <w:t>(91.1</w:t>
      </w:r>
      <w:r w:rsidR="005B6E7E" w:rsidRPr="005970E9">
        <w:rPr>
          <w:rFonts w:eastAsia="Century Schoolbook" w:cs="Century Schoolbook"/>
        </w:rPr>
        <w:t>%</w:t>
      </w:r>
      <w:r w:rsidRPr="005970E9">
        <w:rPr>
          <w:rFonts w:eastAsia="Century Schoolbook" w:cs="Century Schoolbook"/>
        </w:rPr>
        <w:t xml:space="preserve"> en 2009 y 91.2</w:t>
      </w:r>
      <w:r w:rsidR="005B6E7E" w:rsidRPr="005970E9">
        <w:rPr>
          <w:rFonts w:eastAsia="Century Schoolbook" w:cs="Century Schoolbook"/>
        </w:rPr>
        <w:t>%</w:t>
      </w:r>
      <w:r w:rsidRPr="005970E9">
        <w:rPr>
          <w:rFonts w:eastAsia="Century Schoolbook" w:cs="Century Schoolbook"/>
        </w:rPr>
        <w:t xml:space="preserve"> en 2019</w:t>
      </w:r>
      <w:r w:rsidR="005B6E7E" w:rsidRPr="005970E9">
        <w:rPr>
          <w:rFonts w:eastAsia="Century Schoolbook" w:cs="Century Schoolbook"/>
        </w:rPr>
        <w:t>, y la desocupación en 8.9 y 8.8% respectivamente</w:t>
      </w:r>
      <w:r w:rsidRPr="005970E9">
        <w:rPr>
          <w:rFonts w:eastAsia="Century Schoolbook" w:cs="Century Schoolbook"/>
        </w:rPr>
        <w:t>)</w:t>
      </w:r>
      <w:r w:rsidR="005B6E7E" w:rsidRPr="005970E9">
        <w:rPr>
          <w:rFonts w:eastAsia="Century Schoolbook" w:cs="Century Schoolbook"/>
        </w:rPr>
        <w:t xml:space="preserve"> y</w:t>
      </w:r>
      <w:r w:rsidRPr="005970E9">
        <w:rPr>
          <w:rFonts w:eastAsia="Century Schoolbook" w:cs="Century Schoolbook"/>
        </w:rPr>
        <w:t xml:space="preserve"> </w:t>
      </w:r>
      <w:r w:rsidR="005B6E7E" w:rsidRPr="005970E9">
        <w:rPr>
          <w:rFonts w:eastAsia="Century Schoolbook" w:cs="Century Schoolbook"/>
        </w:rPr>
        <w:t>e</w:t>
      </w:r>
      <w:r w:rsidRPr="005970E9">
        <w:rPr>
          <w:rFonts w:eastAsia="Century Schoolbook" w:cs="Century Schoolbook"/>
        </w:rPr>
        <w:t xml:space="preserve">n los hombres </w:t>
      </w:r>
      <w:r w:rsidR="00A51547" w:rsidRPr="005970E9">
        <w:rPr>
          <w:rFonts w:eastAsia="Century Schoolbook" w:cs="Century Schoolbook"/>
        </w:rPr>
        <w:t>b</w:t>
      </w:r>
      <w:r w:rsidRPr="005970E9">
        <w:rPr>
          <w:rFonts w:eastAsia="Century Schoolbook" w:cs="Century Schoolbook"/>
        </w:rPr>
        <w:t>a</w:t>
      </w:r>
      <w:r w:rsidR="00A51547" w:rsidRPr="005970E9">
        <w:rPr>
          <w:rFonts w:eastAsia="Century Schoolbook" w:cs="Century Schoolbook"/>
        </w:rPr>
        <w:t>j</w:t>
      </w:r>
      <w:r w:rsidRPr="005970E9">
        <w:rPr>
          <w:rFonts w:eastAsia="Century Schoolbook" w:cs="Century Schoolbook"/>
        </w:rPr>
        <w:t>ó en 0.7% (94.9 y 94.2% respectivamente</w:t>
      </w:r>
      <w:r w:rsidR="005B6E7E" w:rsidRPr="005970E9">
        <w:rPr>
          <w:rFonts w:eastAsia="Century Schoolbook" w:cs="Century Schoolbook"/>
        </w:rPr>
        <w:t xml:space="preserve"> y la desocupación para esos años fue de 5.1% y 5.8</w:t>
      </w:r>
      <w:r w:rsidRPr="005970E9">
        <w:rPr>
          <w:rFonts w:eastAsia="Century Schoolbook" w:cs="Century Schoolbook"/>
        </w:rPr>
        <w:t>) como puede observarse este proceso de incorporación a la fuerza de trabajo ha sido muy lento y las mujeres incluidas en un empleo enfrentan vulnerabilidad</w:t>
      </w:r>
      <w:r w:rsidR="005B6E7E" w:rsidRPr="005970E9">
        <w:rPr>
          <w:rFonts w:eastAsia="Century Schoolbook" w:cs="Century Schoolbook"/>
        </w:rPr>
        <w:t>es</w:t>
      </w:r>
      <w:r w:rsidRPr="005970E9">
        <w:rPr>
          <w:rFonts w:eastAsia="Century Schoolbook" w:cs="Century Schoolbook"/>
        </w:rPr>
        <w:t xml:space="preserve"> dada</w:t>
      </w:r>
      <w:r w:rsidR="005B6E7E" w:rsidRPr="005970E9">
        <w:rPr>
          <w:rFonts w:eastAsia="Century Schoolbook" w:cs="Century Schoolbook"/>
        </w:rPr>
        <w:t>s</w:t>
      </w:r>
      <w:r w:rsidRPr="005970E9">
        <w:rPr>
          <w:rFonts w:eastAsia="Century Schoolbook" w:cs="Century Schoolbook"/>
        </w:rPr>
        <w:t xml:space="preserve"> por las brechas salariales, la informalidad, el acoso laboral, sexual y la precariedad en las condiciones de vida; por otra parte, las cargas de </w:t>
      </w:r>
      <w:r w:rsidR="00B021A7" w:rsidRPr="005970E9">
        <w:rPr>
          <w:rFonts w:eastAsia="Century Schoolbook" w:cs="Century Schoolbook"/>
        </w:rPr>
        <w:t xml:space="preserve">trabajo de </w:t>
      </w:r>
      <w:r w:rsidRPr="005970E9">
        <w:rPr>
          <w:rFonts w:eastAsia="Century Schoolbook" w:cs="Century Schoolbook"/>
        </w:rPr>
        <w:t xml:space="preserve">cuidado no dejan de estar asignadas bajo su responsabilidad. </w:t>
      </w:r>
    </w:p>
    <w:p w14:paraId="74D63B95" w14:textId="77777777" w:rsidR="00B76B0C" w:rsidRPr="005970E9" w:rsidRDefault="003B5C05" w:rsidP="00700AB2">
      <w:pPr>
        <w:spacing w:before="120" w:after="120" w:line="276" w:lineRule="auto"/>
        <w:jc w:val="both"/>
        <w:rPr>
          <w:rFonts w:eastAsia="Century Schoolbook" w:cs="Century Schoolbook"/>
        </w:rPr>
      </w:pPr>
      <w:r w:rsidRPr="005970E9">
        <w:rPr>
          <w:rFonts w:eastAsia="Century Schoolbook" w:cs="Century Schoolbook"/>
        </w:rPr>
        <w:t>La encuesta de hogares de 2019 en materia de composición de la ocupación muestra que un 54.6% de mujeres tiene ocupación plena, los hombres el 60%. En la ocupación a tiempo parcial las mujeres ocupan el 32.8%, son 6.4% más que los hombres (26.4%). En el subempleo visible (por insuficiencia de horas) o invisible (insuficiencia de ingresos) la relación por sexo es ligeramente mayor para las mujeres, 4.2% el subempleo visible y 8.4% el invisible. La población de mujeres desocupada como proporción de la PEA en agosto de 2019 es 8.8% y en 2009 fue 8.9%, en condiciones que cada vez hay más mujeres buscando empleo.</w:t>
      </w:r>
    </w:p>
    <w:p w14:paraId="2814EDA6" w14:textId="619D8313" w:rsidR="00985296" w:rsidRPr="005970E9" w:rsidRDefault="003B5C05">
      <w:pPr>
        <w:spacing w:before="120" w:line="276" w:lineRule="auto"/>
        <w:jc w:val="both"/>
        <w:rPr>
          <w:rFonts w:eastAsia="Century Schoolbook" w:cs="Century Schoolbook"/>
        </w:rPr>
      </w:pPr>
      <w:r w:rsidRPr="005970E9">
        <w:rPr>
          <w:rFonts w:eastAsia="Century Schoolbook" w:cs="Century Schoolbook"/>
        </w:rPr>
        <w:t xml:space="preserve">La información por área muestra que las mujeres activas en el mercado laboral ocupan una mayor proporción en el </w:t>
      </w:r>
      <w:r w:rsidRPr="005970E9">
        <w:rPr>
          <w:rFonts w:eastAsia="Century Schoolbook" w:cs="Century Schoolbook"/>
          <w:b/>
        </w:rPr>
        <w:t>área urbana</w:t>
      </w:r>
      <w:r w:rsidRPr="005970E9">
        <w:rPr>
          <w:rFonts w:eastAsia="Century Schoolbook" w:cs="Century Schoolbook"/>
        </w:rPr>
        <w:t xml:space="preserve"> 56.2% que en el área rural con 51.7%. No obstante, la mayor proporción de trabajadores en el campo son hombres, alcanzan al 84% de la fuerza de trabajo activa. </w:t>
      </w:r>
    </w:p>
    <w:p w14:paraId="51668791" w14:textId="4D35B6FC" w:rsidR="00985296" w:rsidRPr="005970E9" w:rsidRDefault="00EA71B1" w:rsidP="00985296">
      <w:pPr>
        <w:pStyle w:val="Caption"/>
        <w:keepNext/>
        <w:jc w:val="both"/>
        <w:rPr>
          <w:rFonts w:ascii="Century Schoolbook" w:hAnsi="Century Schoolbook"/>
        </w:rPr>
      </w:pPr>
      <w:bookmarkStart w:id="123" w:name="_Toc42549237"/>
      <w:r w:rsidRPr="005970E9">
        <w:rPr>
          <w:rFonts w:ascii="Century Schoolbook" w:hAnsi="Century Schoolbook"/>
          <w:noProof/>
        </w:rPr>
        <w:lastRenderedPageBreak/>
        <w:drawing>
          <wp:anchor distT="0" distB="0" distL="114300" distR="114300" simplePos="0" relativeHeight="251658263" behindDoc="0" locked="0" layoutInCell="1" allowOverlap="1" wp14:anchorId="7ABB080A" wp14:editId="4C2672F6">
            <wp:simplePos x="0" y="0"/>
            <wp:positionH relativeFrom="column">
              <wp:posOffset>9525</wp:posOffset>
            </wp:positionH>
            <wp:positionV relativeFrom="paragraph">
              <wp:posOffset>583565</wp:posOffset>
            </wp:positionV>
            <wp:extent cx="5539105" cy="3078480"/>
            <wp:effectExtent l="0" t="0" r="4445" b="7620"/>
            <wp:wrapTight wrapText="bothSides">
              <wp:wrapPolygon edited="0">
                <wp:start x="0" y="0"/>
                <wp:lineTo x="0" y="21520"/>
                <wp:lineTo x="21543" y="21520"/>
                <wp:lineTo x="21543" y="0"/>
                <wp:lineTo x="0" y="0"/>
              </wp:wrapPolygon>
            </wp:wrapTight>
            <wp:docPr id="48" name="Gráfico 48">
              <a:extLst xmlns:a="http://schemas.openxmlformats.org/drawingml/2006/main">
                <a:ext uri="{FF2B5EF4-FFF2-40B4-BE49-F238E27FC236}">
                  <a16:creationId xmlns:a16="http://schemas.microsoft.com/office/drawing/2014/main" id="{07F87300-D3D9-4509-B53E-DFABA35B3B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985296" w:rsidRPr="005970E9">
        <w:rPr>
          <w:rFonts w:ascii="Century Schoolbook" w:hAnsi="Century Schoolbook"/>
        </w:rPr>
        <w:t xml:space="preserve">Gráfica </w:t>
      </w:r>
      <w:r w:rsidR="00F202BE" w:rsidRPr="005970E9">
        <w:rPr>
          <w:rFonts w:ascii="Century Schoolbook" w:hAnsi="Century Schoolbook"/>
        </w:rPr>
        <w:fldChar w:fldCharType="begin"/>
      </w:r>
      <w:r w:rsidR="00F202BE" w:rsidRPr="005970E9">
        <w:rPr>
          <w:rFonts w:ascii="Century Schoolbook" w:hAnsi="Century Schoolbook"/>
        </w:rPr>
        <w:instrText xml:space="preserve"> SEQ Gráfica \* ARABIC </w:instrText>
      </w:r>
      <w:r w:rsidR="00F202BE" w:rsidRPr="005970E9">
        <w:rPr>
          <w:rFonts w:ascii="Century Schoolbook" w:hAnsi="Century Schoolbook"/>
        </w:rPr>
        <w:fldChar w:fldCharType="separate"/>
      </w:r>
      <w:r w:rsidR="00C5041B" w:rsidRPr="005970E9">
        <w:rPr>
          <w:rFonts w:ascii="Century Schoolbook" w:hAnsi="Century Schoolbook"/>
          <w:noProof/>
        </w:rPr>
        <w:t>5</w:t>
      </w:r>
      <w:r w:rsidR="00F202BE" w:rsidRPr="005970E9">
        <w:rPr>
          <w:rFonts w:ascii="Century Schoolbook" w:hAnsi="Century Schoolbook"/>
        </w:rPr>
        <w:fldChar w:fldCharType="end"/>
      </w:r>
      <w:r w:rsidR="004C51B4" w:rsidRPr="005970E9">
        <w:rPr>
          <w:rFonts w:ascii="Century Schoolbook" w:hAnsi="Century Schoolbook"/>
          <w:noProof/>
        </w:rPr>
        <w:t>.</w:t>
      </w:r>
      <w:r w:rsidR="00985296" w:rsidRPr="005970E9">
        <w:rPr>
          <w:rFonts w:ascii="Century Schoolbook" w:hAnsi="Century Schoolbook"/>
        </w:rPr>
        <w:t xml:space="preserve"> </w:t>
      </w:r>
      <w:r w:rsidR="00985296" w:rsidRPr="005970E9">
        <w:rPr>
          <w:rFonts w:ascii="Century Schoolbook" w:eastAsia="Century Schoolbook" w:hAnsi="Century Schoolbook" w:cs="Century Schoolbook"/>
        </w:rPr>
        <w:t>Condición de las mujeres en la PEA ocupada, por área y comarca. Agosto 2019.</w:t>
      </w:r>
      <w:bookmarkEnd w:id="123"/>
    </w:p>
    <w:p w14:paraId="4F9C062F" w14:textId="16D9058D" w:rsidR="00985296" w:rsidRPr="005970E9" w:rsidRDefault="00EA71B1">
      <w:pPr>
        <w:spacing w:before="120" w:line="276" w:lineRule="auto"/>
        <w:jc w:val="both"/>
        <w:rPr>
          <w:rFonts w:eastAsia="Century Schoolbook" w:cs="Century Schoolbook"/>
          <w:sz w:val="20"/>
          <w:szCs w:val="20"/>
        </w:rPr>
      </w:pPr>
      <w:r w:rsidRPr="005970E9">
        <w:rPr>
          <w:rFonts w:eastAsia="Century Schoolbook" w:cs="Century Schoolbook"/>
          <w:sz w:val="20"/>
          <w:szCs w:val="20"/>
        </w:rPr>
        <w:t xml:space="preserve">Fuente: </w:t>
      </w:r>
      <w:r w:rsidRPr="005970E9">
        <w:rPr>
          <w:rFonts w:eastAsia="Century Schoolbook" w:cs="Century Schoolbook"/>
          <w:color w:val="000000"/>
          <w:sz w:val="20"/>
          <w:szCs w:val="20"/>
        </w:rPr>
        <w:t>INEC, Encuesta de Hogares agosto 2009.</w:t>
      </w:r>
    </w:p>
    <w:p w14:paraId="59B8AEA6" w14:textId="2120BD5F" w:rsidR="00B76B0C" w:rsidRPr="005970E9" w:rsidRDefault="003B5C05">
      <w:pPr>
        <w:spacing w:before="120" w:line="276" w:lineRule="auto"/>
        <w:jc w:val="both"/>
        <w:rPr>
          <w:rFonts w:eastAsia="Century Schoolbook" w:cs="Century Schoolbook"/>
        </w:rPr>
      </w:pPr>
      <w:r w:rsidRPr="005970E9">
        <w:rPr>
          <w:rFonts w:eastAsia="Century Schoolbook" w:cs="Century Schoolbook"/>
        </w:rPr>
        <w:t>La situación de las mujeres</w:t>
      </w:r>
      <w:r w:rsidR="00EA71B1" w:rsidRPr="005970E9">
        <w:rPr>
          <w:rFonts w:eastAsia="Century Schoolbook" w:cs="Century Schoolbook"/>
        </w:rPr>
        <w:t xml:space="preserve"> </w:t>
      </w:r>
      <w:r w:rsidRPr="005970E9">
        <w:rPr>
          <w:rFonts w:eastAsia="Century Schoolbook" w:cs="Century Schoolbook"/>
        </w:rPr>
        <w:t xml:space="preserve">en el </w:t>
      </w:r>
      <w:r w:rsidRPr="005970E9">
        <w:rPr>
          <w:rFonts w:eastAsia="Century Schoolbook" w:cs="Century Schoolbook"/>
          <w:b/>
        </w:rPr>
        <w:t>área rural</w:t>
      </w:r>
      <w:r w:rsidRPr="005970E9">
        <w:rPr>
          <w:rFonts w:eastAsia="Century Schoolbook" w:cs="Century Schoolbook"/>
        </w:rPr>
        <w:t xml:space="preserve"> es muy desigual comparada con el área urbana, </w:t>
      </w:r>
      <w:r w:rsidR="00D5734F" w:rsidRPr="005970E9">
        <w:rPr>
          <w:rFonts w:eastAsia="Century Schoolbook" w:cs="Century Schoolbook"/>
        </w:rPr>
        <w:t>una (</w:t>
      </w:r>
      <w:r w:rsidRPr="005970E9">
        <w:rPr>
          <w:rFonts w:eastAsia="Century Schoolbook" w:cs="Century Schoolbook"/>
        </w:rPr>
        <w:t>1</w:t>
      </w:r>
      <w:r w:rsidR="00D5734F" w:rsidRPr="005970E9">
        <w:rPr>
          <w:rFonts w:eastAsia="Century Schoolbook" w:cs="Century Schoolbook"/>
        </w:rPr>
        <w:t>)</w:t>
      </w:r>
      <w:r w:rsidRPr="005970E9">
        <w:rPr>
          <w:rFonts w:eastAsia="Century Schoolbook" w:cs="Century Schoolbook"/>
        </w:rPr>
        <w:t xml:space="preserve"> de cada </w:t>
      </w:r>
      <w:r w:rsidR="00D5734F" w:rsidRPr="005970E9">
        <w:rPr>
          <w:rFonts w:eastAsia="Century Schoolbook" w:cs="Century Schoolbook"/>
        </w:rPr>
        <w:t>cuatro (</w:t>
      </w:r>
      <w:r w:rsidRPr="005970E9">
        <w:rPr>
          <w:rFonts w:eastAsia="Century Schoolbook" w:cs="Century Schoolbook"/>
        </w:rPr>
        <w:t>4</w:t>
      </w:r>
      <w:r w:rsidR="00D5734F" w:rsidRPr="005970E9">
        <w:rPr>
          <w:rFonts w:eastAsia="Century Schoolbook" w:cs="Century Schoolbook"/>
        </w:rPr>
        <w:t>)</w:t>
      </w:r>
      <w:r w:rsidRPr="005970E9">
        <w:rPr>
          <w:rFonts w:eastAsia="Century Schoolbook" w:cs="Century Schoolbook"/>
        </w:rPr>
        <w:t xml:space="preserve"> son ocupadas plenas, predomina la ocupación a tiempo parcial con 61.6% y viven mayor subempleo invisible, lo que implica una mayor explotación y precariedad. Esta condición es el resultado de una cultura patriarcal que crea y reproduce desigualdades de género en las relaciones entre sexos, como de políticas públicas ciegas, pero intencionadas que asignan la totalidad del cuidado a las mujeres y en condición de trabajo no remunerado </w:t>
      </w:r>
      <w:r w:rsidR="00EA71B1" w:rsidRPr="005970E9">
        <w:rPr>
          <w:rFonts w:eastAsia="Century Schoolbook" w:cs="Century Schoolbook"/>
        </w:rPr>
        <w:t>(ver gráfica 5).</w:t>
      </w:r>
    </w:p>
    <w:p w14:paraId="1D110952" w14:textId="39D5CCB7" w:rsidR="00B76B0C" w:rsidRPr="005970E9" w:rsidRDefault="003B5C05">
      <w:pPr>
        <w:spacing w:before="120" w:line="276" w:lineRule="auto"/>
        <w:jc w:val="both"/>
        <w:rPr>
          <w:rFonts w:eastAsia="Century Schoolbook" w:cs="Century Schoolbook"/>
          <w:iCs/>
        </w:rPr>
      </w:pPr>
      <w:r w:rsidRPr="005970E9">
        <w:rPr>
          <w:rFonts w:eastAsia="Century Schoolbook" w:cs="Century Schoolbook"/>
        </w:rPr>
        <w:t xml:space="preserve">En el </w:t>
      </w:r>
      <w:r w:rsidRPr="005970E9">
        <w:rPr>
          <w:rFonts w:eastAsia="Century Schoolbook" w:cs="Century Schoolbook"/>
          <w:b/>
        </w:rPr>
        <w:t>mundo comarcal indígena</w:t>
      </w:r>
      <w:r w:rsidRPr="005970E9">
        <w:rPr>
          <w:rFonts w:eastAsia="Century Schoolbook" w:cs="Century Schoolbook"/>
        </w:rPr>
        <w:t xml:space="preserve"> </w:t>
      </w:r>
      <w:r w:rsidR="00D5734F" w:rsidRPr="005970E9">
        <w:rPr>
          <w:rFonts w:eastAsia="Century Schoolbook" w:cs="Century Schoolbook"/>
        </w:rPr>
        <w:t>siete (</w:t>
      </w:r>
      <w:r w:rsidRPr="005970E9">
        <w:rPr>
          <w:rFonts w:eastAsia="Century Schoolbook" w:cs="Century Schoolbook"/>
        </w:rPr>
        <w:t>7</w:t>
      </w:r>
      <w:r w:rsidR="00D5734F" w:rsidRPr="005970E9">
        <w:rPr>
          <w:rFonts w:eastAsia="Century Schoolbook" w:cs="Century Schoolbook"/>
        </w:rPr>
        <w:t>)</w:t>
      </w:r>
      <w:r w:rsidRPr="005970E9">
        <w:rPr>
          <w:rFonts w:eastAsia="Century Schoolbook" w:cs="Century Schoolbook"/>
        </w:rPr>
        <w:t xml:space="preserve"> de cada </w:t>
      </w:r>
      <w:r w:rsidR="00D5734F" w:rsidRPr="005970E9">
        <w:rPr>
          <w:rFonts w:eastAsia="Century Schoolbook" w:cs="Century Schoolbook"/>
        </w:rPr>
        <w:t>diez (</w:t>
      </w:r>
      <w:r w:rsidRPr="005970E9">
        <w:rPr>
          <w:rFonts w:eastAsia="Century Schoolbook" w:cs="Century Schoolbook"/>
        </w:rPr>
        <w:t>10</w:t>
      </w:r>
      <w:r w:rsidR="00D5734F" w:rsidRPr="005970E9">
        <w:rPr>
          <w:rFonts w:eastAsia="Century Schoolbook" w:cs="Century Schoolbook"/>
        </w:rPr>
        <w:t>)</w:t>
      </w:r>
      <w:r w:rsidRPr="005970E9">
        <w:rPr>
          <w:rFonts w:eastAsia="Century Schoolbook" w:cs="Century Schoolbook"/>
        </w:rPr>
        <w:t xml:space="preserve"> mujeres participan en la población económicamente activa y los hombres rozan los </w:t>
      </w:r>
      <w:r w:rsidR="00D5734F" w:rsidRPr="005970E9">
        <w:rPr>
          <w:rFonts w:eastAsia="Century Schoolbook" w:cs="Century Schoolbook"/>
        </w:rPr>
        <w:t>nueve (</w:t>
      </w:r>
      <w:r w:rsidRPr="005970E9">
        <w:rPr>
          <w:rFonts w:eastAsia="Century Schoolbook" w:cs="Century Schoolbook"/>
        </w:rPr>
        <w:t>9</w:t>
      </w:r>
      <w:r w:rsidR="00D5734F" w:rsidRPr="005970E9">
        <w:rPr>
          <w:rFonts w:eastAsia="Century Schoolbook" w:cs="Century Schoolbook"/>
        </w:rPr>
        <w:t>)</w:t>
      </w:r>
      <w:r w:rsidRPr="005970E9">
        <w:rPr>
          <w:rFonts w:eastAsia="Century Schoolbook" w:cs="Century Schoolbook"/>
        </w:rPr>
        <w:t xml:space="preserve"> de cada </w:t>
      </w:r>
      <w:r w:rsidR="00D5734F" w:rsidRPr="005970E9">
        <w:rPr>
          <w:rFonts w:eastAsia="Century Schoolbook" w:cs="Century Schoolbook"/>
        </w:rPr>
        <w:t>diez (</w:t>
      </w:r>
      <w:r w:rsidRPr="005970E9">
        <w:rPr>
          <w:rFonts w:eastAsia="Century Schoolbook" w:cs="Century Schoolbook"/>
        </w:rPr>
        <w:t>10</w:t>
      </w:r>
      <w:r w:rsidR="00D5734F" w:rsidRPr="005970E9">
        <w:rPr>
          <w:rFonts w:eastAsia="Century Schoolbook" w:cs="Century Schoolbook"/>
        </w:rPr>
        <w:t>)</w:t>
      </w:r>
      <w:r w:rsidRPr="005970E9">
        <w:rPr>
          <w:rFonts w:eastAsia="Century Schoolbook" w:cs="Century Schoolbook"/>
        </w:rPr>
        <w:t xml:space="preserve">. La proporción de mujeres con ocupación plena es extremadamente baja, 4.7%, casi </w:t>
      </w:r>
      <w:r w:rsidR="00D5734F" w:rsidRPr="005970E9">
        <w:rPr>
          <w:rFonts w:eastAsia="Century Schoolbook" w:cs="Century Schoolbook"/>
        </w:rPr>
        <w:t>nueve (</w:t>
      </w:r>
      <w:r w:rsidRPr="005970E9">
        <w:rPr>
          <w:rFonts w:eastAsia="Century Schoolbook" w:cs="Century Schoolbook"/>
        </w:rPr>
        <w:t>9</w:t>
      </w:r>
      <w:r w:rsidR="00D5734F" w:rsidRPr="005970E9">
        <w:rPr>
          <w:rFonts w:eastAsia="Century Schoolbook" w:cs="Century Schoolbook"/>
        </w:rPr>
        <w:t>)</w:t>
      </w:r>
      <w:r w:rsidRPr="005970E9">
        <w:rPr>
          <w:rFonts w:eastAsia="Century Schoolbook" w:cs="Century Schoolbook"/>
        </w:rPr>
        <w:t xml:space="preserve"> de cada </w:t>
      </w:r>
      <w:r w:rsidR="00D5734F" w:rsidRPr="005970E9">
        <w:rPr>
          <w:rFonts w:eastAsia="Century Schoolbook" w:cs="Century Schoolbook"/>
        </w:rPr>
        <w:t>diez (</w:t>
      </w:r>
      <w:r w:rsidRPr="005970E9">
        <w:rPr>
          <w:rFonts w:eastAsia="Century Schoolbook" w:cs="Century Schoolbook"/>
        </w:rPr>
        <w:t>10</w:t>
      </w:r>
      <w:r w:rsidR="00D5734F" w:rsidRPr="005970E9">
        <w:rPr>
          <w:rFonts w:eastAsia="Century Schoolbook" w:cs="Century Schoolbook"/>
        </w:rPr>
        <w:t>)</w:t>
      </w:r>
      <w:r w:rsidRPr="005970E9">
        <w:rPr>
          <w:rFonts w:eastAsia="Century Schoolbook" w:cs="Century Schoolbook"/>
        </w:rPr>
        <w:t xml:space="preserve"> están ocupadas a tiempo parcial. La población en el </w:t>
      </w:r>
      <w:r w:rsidRPr="005970E9">
        <w:rPr>
          <w:rFonts w:eastAsia="Century Schoolbook" w:cs="Century Schoolbook"/>
          <w:i/>
        </w:rPr>
        <w:t>desempleo</w:t>
      </w:r>
      <w:r w:rsidRPr="005970E9">
        <w:rPr>
          <w:rFonts w:eastAsia="Century Schoolbook" w:cs="Century Schoolbook"/>
        </w:rPr>
        <w:t xml:space="preserve"> es baja para ambos sexos, 0.4% mujeres y 1.1 de % hombres. Estas cifras muestran la calidad y el valor monetario del trabajo en esta población, son las que muestran la mayor proporción de pobreza multidimensional y de ingresos, eso no se corresponde con el elevado nivel de ocupación que se muestra, confirmando que, “</w:t>
      </w:r>
      <w:r w:rsidRPr="005970E9">
        <w:rPr>
          <w:rFonts w:eastAsia="Century Schoolbook" w:cs="Century Schoolbook"/>
          <w:i/>
        </w:rPr>
        <w:t>Estar en el empleo no siempre garantiza condiciones de vida decentes</w:t>
      </w:r>
      <w:r w:rsidR="00D5734F" w:rsidRPr="005970E9">
        <w:rPr>
          <w:rFonts w:eastAsia="Century Schoolbook" w:cs="Century Schoolbook"/>
          <w:i/>
        </w:rPr>
        <w:t>”</w:t>
      </w:r>
      <w:r w:rsidRPr="005970E9">
        <w:rPr>
          <w:rFonts w:eastAsia="Century Schoolbook" w:cs="Century Schoolbook"/>
          <w:i/>
        </w:rPr>
        <w:t xml:space="preserve"> (OIT. 2019) </w:t>
      </w:r>
      <w:r w:rsidRPr="005970E9">
        <w:rPr>
          <w:rFonts w:eastAsia="Century Schoolbook" w:cs="Century Schoolbook"/>
          <w:iCs/>
        </w:rPr>
        <w:t>en realidad se trata de subsistencia reproductora de pobreza y desigualdad de género.</w:t>
      </w:r>
    </w:p>
    <w:p w14:paraId="319F61A9" w14:textId="77777777" w:rsidR="00B76B0C" w:rsidRPr="005970E9" w:rsidRDefault="003B5C05" w:rsidP="002338C0">
      <w:pPr>
        <w:pStyle w:val="Heading3"/>
        <w:numPr>
          <w:ilvl w:val="2"/>
          <w:numId w:val="16"/>
        </w:numPr>
      </w:pPr>
      <w:bookmarkStart w:id="124" w:name="_Toc42159209"/>
      <w:bookmarkStart w:id="125" w:name="_Toc42549443"/>
      <w:r w:rsidRPr="005970E9">
        <w:lastRenderedPageBreak/>
        <w:t>Empleo informal</w:t>
      </w:r>
      <w:bookmarkEnd w:id="124"/>
      <w:bookmarkEnd w:id="125"/>
    </w:p>
    <w:p w14:paraId="4A726630" w14:textId="1E893A1B" w:rsidR="00B76B0C" w:rsidRPr="005970E9" w:rsidRDefault="003B5C05">
      <w:pPr>
        <w:spacing w:before="120" w:line="276" w:lineRule="auto"/>
        <w:jc w:val="both"/>
        <w:rPr>
          <w:rFonts w:eastAsia="Century Schoolbook" w:cs="Century Schoolbook"/>
        </w:rPr>
      </w:pPr>
      <w:r w:rsidRPr="005970E9">
        <w:rPr>
          <w:rFonts w:eastAsia="Century Schoolbook" w:cs="Century Schoolbook"/>
        </w:rPr>
        <w:t xml:space="preserve">En 2019 el </w:t>
      </w:r>
      <w:r w:rsidRPr="005970E9">
        <w:rPr>
          <w:rFonts w:eastAsia="Century Schoolbook" w:cs="Century Schoolbook"/>
          <w:b/>
        </w:rPr>
        <w:t>empleo informal</w:t>
      </w:r>
      <w:r w:rsidRPr="005970E9">
        <w:rPr>
          <w:rFonts w:eastAsia="Century Schoolbook" w:cs="Century Schoolbook"/>
        </w:rPr>
        <w:t xml:space="preserve"> no agrícola</w:t>
      </w:r>
      <w:r w:rsidRPr="005970E9">
        <w:rPr>
          <w:rFonts w:eastAsia="Century Schoolbook" w:cs="Century Schoolbook"/>
          <w:vertAlign w:val="superscript"/>
        </w:rPr>
        <w:footnoteReference w:id="34"/>
      </w:r>
      <w:r w:rsidRPr="005970E9">
        <w:rPr>
          <w:rFonts w:eastAsia="Century Schoolbook" w:cs="Century Schoolbook"/>
        </w:rPr>
        <w:t xml:space="preserve">, para las mujeres a nivel nacional aumentó </w:t>
      </w:r>
      <w:r w:rsidR="0055714B" w:rsidRPr="005970E9">
        <w:rPr>
          <w:rFonts w:eastAsia="Century Schoolbook" w:cs="Century Schoolbook"/>
        </w:rPr>
        <w:t xml:space="preserve">comparado con el 2018 </w:t>
      </w:r>
      <w:r w:rsidRPr="005970E9">
        <w:rPr>
          <w:rFonts w:eastAsia="Century Schoolbook" w:cs="Century Schoolbook"/>
        </w:rPr>
        <w:t>en 0.9</w:t>
      </w:r>
      <w:r w:rsidR="00EC2A87" w:rsidRPr="005970E9">
        <w:rPr>
          <w:rFonts w:eastAsia="Century Schoolbook" w:cs="Century Schoolbook"/>
        </w:rPr>
        <w:t xml:space="preserve"> décimos porcentuales </w:t>
      </w:r>
      <w:r w:rsidRPr="005970E9">
        <w:rPr>
          <w:rFonts w:eastAsia="Century Schoolbook" w:cs="Century Schoolbook"/>
        </w:rPr>
        <w:t xml:space="preserve">alcanzando un </w:t>
      </w:r>
      <w:r w:rsidRPr="005970E9">
        <w:rPr>
          <w:rFonts w:eastAsia="Century Schoolbook" w:cs="Century Schoolbook"/>
          <w:b/>
          <w:bCs/>
        </w:rPr>
        <w:t>45.4%</w:t>
      </w:r>
      <w:r w:rsidRPr="005970E9">
        <w:rPr>
          <w:rFonts w:eastAsia="Century Schoolbook" w:cs="Century Schoolbook"/>
        </w:rPr>
        <w:t xml:space="preserve"> (en 2018 fue 44.5%). Para los hombres en 2019 fue 44.5% (INEC, 2019).</w:t>
      </w:r>
    </w:p>
    <w:p w14:paraId="21C71874" w14:textId="77777777" w:rsidR="00B76B0C" w:rsidRPr="005970E9" w:rsidRDefault="003B5C05">
      <w:pPr>
        <w:spacing w:before="120" w:line="276" w:lineRule="auto"/>
        <w:jc w:val="both"/>
        <w:rPr>
          <w:rFonts w:eastAsia="Century Schoolbook" w:cs="Century Schoolbook"/>
        </w:rPr>
      </w:pPr>
      <w:r w:rsidRPr="005970E9">
        <w:rPr>
          <w:rFonts w:eastAsia="Century Schoolbook" w:cs="Century Schoolbook"/>
        </w:rPr>
        <w:t xml:space="preserve">En las comarcas indígenas para las mujeres se abulta desmesuradamente el </w:t>
      </w:r>
      <w:r w:rsidRPr="005970E9">
        <w:rPr>
          <w:rFonts w:eastAsia="Century Schoolbook" w:cs="Century Schoolbook"/>
          <w:b/>
        </w:rPr>
        <w:t>trabajo informal</w:t>
      </w:r>
      <w:r w:rsidRPr="005970E9">
        <w:rPr>
          <w:rFonts w:eastAsia="Century Schoolbook" w:cs="Century Schoolbook"/>
        </w:rPr>
        <w:t xml:space="preserve">, en 2019 fue 98.9% entre las Emberá; 96.1% para las Gunas y 87.7% las Ngäbe Buglé. </w:t>
      </w:r>
    </w:p>
    <w:p w14:paraId="4B8897FB" w14:textId="5CEBD7D0" w:rsidR="00F56317" w:rsidRPr="005970E9" w:rsidRDefault="003B5C05" w:rsidP="00F56317">
      <w:pPr>
        <w:spacing w:before="120" w:after="120" w:line="276" w:lineRule="auto"/>
        <w:jc w:val="both"/>
        <w:rPr>
          <w:rFonts w:eastAsia="Century Schoolbook" w:cs="Century Schoolbook"/>
        </w:rPr>
      </w:pPr>
      <w:r w:rsidRPr="005970E9">
        <w:rPr>
          <w:rFonts w:eastAsia="Century Schoolbook" w:cs="Century Schoolbook"/>
          <w:b/>
        </w:rPr>
        <w:t>La informalidad</w:t>
      </w:r>
      <w:r w:rsidRPr="005970E9">
        <w:rPr>
          <w:rFonts w:eastAsia="Century Schoolbook" w:cs="Century Schoolbook"/>
        </w:rPr>
        <w:t xml:space="preserve"> en Bocas del Toro para hombres y mujeres en 2019, está por encima del 50%. En Coclé para las mujeres es 57.5%. En Colón está alrededor del 45% para ambos sexos. En Chiriquí se ha incrementado más para los hombres que para las mujeres. En Darién en los últimos tres años ha aumentado considerablemente para las mujeres </w:t>
      </w:r>
      <w:r w:rsidR="00F56317" w:rsidRPr="005970E9">
        <w:rPr>
          <w:rFonts w:eastAsia="Century Schoolbook" w:cs="Century Schoolbook"/>
        </w:rPr>
        <w:t xml:space="preserve">en 2017 hubo un </w:t>
      </w:r>
      <w:r w:rsidRPr="005970E9">
        <w:rPr>
          <w:rFonts w:eastAsia="Century Schoolbook" w:cs="Century Schoolbook"/>
        </w:rPr>
        <w:t xml:space="preserve">65.9% </w:t>
      </w:r>
      <w:r w:rsidR="00F56317" w:rsidRPr="005970E9">
        <w:rPr>
          <w:rFonts w:eastAsia="Century Schoolbook" w:cs="Century Schoolbook"/>
        </w:rPr>
        <w:t xml:space="preserve">de informalidad y en 2019 fue </w:t>
      </w:r>
      <w:r w:rsidRPr="005970E9">
        <w:rPr>
          <w:rFonts w:eastAsia="Century Schoolbook" w:cs="Century Schoolbook"/>
        </w:rPr>
        <w:t xml:space="preserve">74.7% en 2019, tres de cada cuatro </w:t>
      </w:r>
      <w:r w:rsidR="00F56317" w:rsidRPr="005970E9">
        <w:rPr>
          <w:rFonts w:eastAsia="Century Schoolbook" w:cs="Century Schoolbook"/>
        </w:rPr>
        <w:t xml:space="preserve">mujeres darienitas </w:t>
      </w:r>
      <w:r w:rsidRPr="005970E9">
        <w:rPr>
          <w:rFonts w:eastAsia="Century Schoolbook" w:cs="Century Schoolbook"/>
        </w:rPr>
        <w:t>están en esta condición</w:t>
      </w:r>
      <w:r w:rsidR="00F56317" w:rsidRPr="005970E9">
        <w:rPr>
          <w:rFonts w:eastAsia="Century Schoolbook" w:cs="Century Schoolbook"/>
        </w:rPr>
        <w:t xml:space="preserve"> (Ver tabla 11)</w:t>
      </w:r>
      <w:r w:rsidRPr="005970E9">
        <w:rPr>
          <w:rFonts w:eastAsia="Century Schoolbook" w:cs="Century Schoolbook"/>
        </w:rPr>
        <w:t xml:space="preserve">. </w:t>
      </w:r>
    </w:p>
    <w:p w14:paraId="02788830" w14:textId="6074CFB1" w:rsidR="0019430D" w:rsidRPr="005970E9" w:rsidRDefault="003B5C05" w:rsidP="00F56317">
      <w:pPr>
        <w:spacing w:before="120" w:after="120" w:line="276" w:lineRule="auto"/>
        <w:jc w:val="both"/>
        <w:rPr>
          <w:rFonts w:eastAsia="Century Schoolbook" w:cs="Century Schoolbook"/>
        </w:rPr>
      </w:pPr>
      <w:r w:rsidRPr="005970E9">
        <w:rPr>
          <w:rFonts w:eastAsia="Century Schoolbook" w:cs="Century Schoolbook"/>
        </w:rPr>
        <w:t xml:space="preserve">La provincia de Herrera se mantiene rozando el 50% en 2019. En Los Santos es más de la mitad para ambos sexos, 58.7% las mujeres y 52.5% los hombres. La provincia de Panamá es la que muestra la proporción más baja junto con Panamá Oeste, 39.1% y 43.4% los hombres y 38.9% y 43.1% las mujeres, </w:t>
      </w:r>
      <w:r w:rsidR="00F56317" w:rsidRPr="005970E9">
        <w:rPr>
          <w:rFonts w:eastAsia="Century Schoolbook" w:cs="Century Schoolbook"/>
        </w:rPr>
        <w:t>respectivamente</w:t>
      </w:r>
      <w:r w:rsidRPr="005970E9">
        <w:rPr>
          <w:rFonts w:eastAsia="Century Schoolbook" w:cs="Century Schoolbook"/>
        </w:rPr>
        <w:t>. El empleo informal para las mujeres resulta precario, entra en la esfera del rebusque, con tecnología y formación de capacidades muy elementales y de bajos ingresos.</w:t>
      </w:r>
    </w:p>
    <w:p w14:paraId="7C509E00" w14:textId="12AE6223" w:rsidR="00F56317" w:rsidRPr="005970E9" w:rsidRDefault="00F56317" w:rsidP="00F56317">
      <w:pPr>
        <w:spacing w:before="120" w:after="120" w:line="276" w:lineRule="auto"/>
        <w:jc w:val="both"/>
      </w:pPr>
      <w:r w:rsidRPr="005970E9">
        <w:t xml:space="preserve">La situación del COVID-19 afectará en gran proporción a </w:t>
      </w:r>
      <w:r w:rsidR="00687005" w:rsidRPr="005970E9">
        <w:t>l</w:t>
      </w:r>
      <w:r w:rsidRPr="005970E9">
        <w:t xml:space="preserve">a población </w:t>
      </w:r>
      <w:r w:rsidR="00687005" w:rsidRPr="005970E9">
        <w:t>informal, en sí se trata de trabajadores con elevada vulnerabilidad por lo que es indispensable que puedan ser objeto de políticas de crédito y alivio tributario, además de fortalecer sus capacidades en defensa de los puestos de trabajo (CEPAL, 2020).</w:t>
      </w:r>
    </w:p>
    <w:tbl>
      <w:tblPr>
        <w:tblW w:w="6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134"/>
        <w:gridCol w:w="1275"/>
        <w:gridCol w:w="990"/>
      </w:tblGrid>
      <w:tr w:rsidR="00F37272" w:rsidRPr="005970E9" w14:paraId="368A0022" w14:textId="77777777" w:rsidTr="00691F88">
        <w:trPr>
          <w:trHeight w:val="841"/>
          <w:jc w:val="center"/>
        </w:trPr>
        <w:tc>
          <w:tcPr>
            <w:tcW w:w="6088" w:type="dxa"/>
            <w:gridSpan w:val="4"/>
          </w:tcPr>
          <w:p w14:paraId="6B0EEC3E" w14:textId="1E0FFC74" w:rsidR="00F37272" w:rsidRPr="005970E9" w:rsidRDefault="00F37272" w:rsidP="00F37272">
            <w:pPr>
              <w:pStyle w:val="Caption"/>
              <w:keepNext/>
              <w:rPr>
                <w:rFonts w:ascii="Century Schoolbook" w:hAnsi="Century Schoolbook"/>
                <w:i w:val="0"/>
                <w:iCs w:val="0"/>
                <w:sz w:val="20"/>
                <w:szCs w:val="20"/>
              </w:rPr>
            </w:pPr>
            <w:bookmarkStart w:id="126" w:name="_Toc42549205"/>
            <w:r w:rsidRPr="005970E9">
              <w:rPr>
                <w:rFonts w:ascii="Century Schoolbook" w:hAnsi="Century Schoolbook"/>
                <w:i w:val="0"/>
                <w:iCs w:val="0"/>
                <w:sz w:val="20"/>
                <w:szCs w:val="20"/>
              </w:rPr>
              <w:t xml:space="preserve">Tabla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9D1829" w:rsidRPr="005970E9">
              <w:rPr>
                <w:rFonts w:ascii="Century Schoolbook" w:hAnsi="Century Schoolbook"/>
                <w:i w:val="0"/>
                <w:iCs w:val="0"/>
                <w:noProof/>
                <w:sz w:val="20"/>
                <w:szCs w:val="20"/>
              </w:rPr>
              <w:t>11</w:t>
            </w:r>
            <w:r w:rsidRPr="005970E9">
              <w:rPr>
                <w:rFonts w:ascii="Century Schoolbook" w:hAnsi="Century Schoolbook"/>
                <w:i w:val="0"/>
                <w:iCs w:val="0"/>
                <w:sz w:val="20"/>
                <w:szCs w:val="20"/>
              </w:rPr>
              <w:fldChar w:fldCharType="end"/>
            </w:r>
            <w:r w:rsidRPr="005970E9">
              <w:rPr>
                <w:rFonts w:ascii="Century Schoolbook" w:hAnsi="Century Schoolbook"/>
                <w:i w:val="0"/>
                <w:iCs w:val="0"/>
                <w:sz w:val="20"/>
                <w:szCs w:val="20"/>
              </w:rPr>
              <w:t>. Empleo informal en la República de Panamá, en porcentajes, según provincia y comarca indígena. Encuesta de mercado laboral, agosto 2019.</w:t>
            </w:r>
            <w:bookmarkEnd w:id="126"/>
          </w:p>
        </w:tc>
      </w:tr>
      <w:tr w:rsidR="00F37272" w:rsidRPr="005970E9" w14:paraId="0FFAEA49" w14:textId="77777777" w:rsidTr="00691F88">
        <w:trPr>
          <w:trHeight w:val="288"/>
          <w:jc w:val="center"/>
        </w:trPr>
        <w:tc>
          <w:tcPr>
            <w:tcW w:w="2689" w:type="dxa"/>
            <w:vMerge w:val="restart"/>
            <w:shd w:val="clear" w:color="auto" w:fill="CCC0D9" w:themeFill="accent4" w:themeFillTint="66"/>
            <w:vAlign w:val="center"/>
          </w:tcPr>
          <w:p w14:paraId="31522202" w14:textId="4AD2B149" w:rsidR="00F37272" w:rsidRPr="005970E9" w:rsidRDefault="00F37272" w:rsidP="00F37272">
            <w:pPr>
              <w:rPr>
                <w:rFonts w:eastAsia="Times New Roman"/>
                <w:color w:val="000000"/>
                <w:sz w:val="20"/>
                <w:szCs w:val="20"/>
              </w:rPr>
            </w:pPr>
            <w:r w:rsidRPr="005970E9">
              <w:rPr>
                <w:rFonts w:eastAsia="Times New Roman"/>
                <w:color w:val="000000"/>
                <w:sz w:val="20"/>
                <w:szCs w:val="20"/>
              </w:rPr>
              <w:t>Provincias y comarcas</w:t>
            </w:r>
          </w:p>
        </w:tc>
        <w:tc>
          <w:tcPr>
            <w:tcW w:w="1134" w:type="dxa"/>
            <w:shd w:val="clear" w:color="auto" w:fill="CCC0D9" w:themeFill="accent4" w:themeFillTint="66"/>
            <w:noWrap/>
            <w:vAlign w:val="bottom"/>
            <w:hideMark/>
          </w:tcPr>
          <w:p w14:paraId="6733EAB2" w14:textId="28B48B56" w:rsidR="00F37272" w:rsidRPr="005970E9" w:rsidRDefault="00F37272" w:rsidP="0019430D">
            <w:pPr>
              <w:rPr>
                <w:rFonts w:eastAsia="Times New Roman"/>
                <w:color w:val="000000"/>
                <w:sz w:val="20"/>
                <w:szCs w:val="20"/>
              </w:rPr>
            </w:pPr>
            <w:r w:rsidRPr="005970E9">
              <w:rPr>
                <w:rFonts w:eastAsia="Times New Roman"/>
                <w:color w:val="000000"/>
                <w:sz w:val="20"/>
                <w:szCs w:val="20"/>
              </w:rPr>
              <w:t>Total</w:t>
            </w:r>
          </w:p>
        </w:tc>
        <w:tc>
          <w:tcPr>
            <w:tcW w:w="1275" w:type="dxa"/>
            <w:shd w:val="clear" w:color="auto" w:fill="CCC0D9" w:themeFill="accent4" w:themeFillTint="66"/>
            <w:noWrap/>
            <w:vAlign w:val="bottom"/>
            <w:hideMark/>
          </w:tcPr>
          <w:p w14:paraId="4DBFA068" w14:textId="77777777" w:rsidR="00F37272" w:rsidRPr="005970E9" w:rsidRDefault="00F37272" w:rsidP="0019430D">
            <w:pPr>
              <w:rPr>
                <w:rFonts w:eastAsia="Times New Roman"/>
                <w:color w:val="000000"/>
                <w:sz w:val="20"/>
                <w:szCs w:val="20"/>
              </w:rPr>
            </w:pPr>
            <w:r w:rsidRPr="005970E9">
              <w:rPr>
                <w:rFonts w:eastAsia="Times New Roman"/>
                <w:color w:val="000000"/>
                <w:sz w:val="20"/>
                <w:szCs w:val="20"/>
              </w:rPr>
              <w:t xml:space="preserve">Mujeres </w:t>
            </w:r>
          </w:p>
        </w:tc>
        <w:tc>
          <w:tcPr>
            <w:tcW w:w="990" w:type="dxa"/>
            <w:shd w:val="clear" w:color="auto" w:fill="CCC0D9" w:themeFill="accent4" w:themeFillTint="66"/>
            <w:noWrap/>
            <w:vAlign w:val="bottom"/>
            <w:hideMark/>
          </w:tcPr>
          <w:p w14:paraId="4B798548" w14:textId="77777777" w:rsidR="00F37272" w:rsidRPr="005970E9" w:rsidRDefault="00F37272" w:rsidP="0019430D">
            <w:pPr>
              <w:rPr>
                <w:rFonts w:eastAsia="Times New Roman"/>
                <w:color w:val="000000"/>
                <w:sz w:val="20"/>
                <w:szCs w:val="20"/>
              </w:rPr>
            </w:pPr>
            <w:r w:rsidRPr="005970E9">
              <w:rPr>
                <w:rFonts w:eastAsia="Times New Roman"/>
                <w:color w:val="000000"/>
                <w:sz w:val="20"/>
                <w:szCs w:val="20"/>
              </w:rPr>
              <w:t>Hombres</w:t>
            </w:r>
          </w:p>
        </w:tc>
      </w:tr>
      <w:tr w:rsidR="00F37272" w:rsidRPr="005970E9" w14:paraId="78509E1D" w14:textId="77777777" w:rsidTr="00691F88">
        <w:trPr>
          <w:trHeight w:val="288"/>
          <w:jc w:val="center"/>
        </w:trPr>
        <w:tc>
          <w:tcPr>
            <w:tcW w:w="2689" w:type="dxa"/>
            <w:vMerge/>
          </w:tcPr>
          <w:p w14:paraId="1AB4486A" w14:textId="77777777" w:rsidR="00F37272" w:rsidRPr="005970E9" w:rsidRDefault="00F37272" w:rsidP="0019430D">
            <w:pPr>
              <w:jc w:val="right"/>
              <w:rPr>
                <w:rFonts w:eastAsia="Times New Roman" w:cs="Arial"/>
                <w:sz w:val="20"/>
                <w:szCs w:val="20"/>
              </w:rPr>
            </w:pPr>
          </w:p>
        </w:tc>
        <w:tc>
          <w:tcPr>
            <w:tcW w:w="1134" w:type="dxa"/>
            <w:shd w:val="clear" w:color="auto" w:fill="CCC0D9" w:themeFill="accent4" w:themeFillTint="66"/>
            <w:noWrap/>
            <w:vAlign w:val="bottom"/>
            <w:hideMark/>
          </w:tcPr>
          <w:p w14:paraId="27FA9ECE" w14:textId="36EF704F" w:rsidR="00F37272" w:rsidRPr="005970E9" w:rsidRDefault="00F37272" w:rsidP="0019430D">
            <w:pPr>
              <w:jc w:val="right"/>
              <w:rPr>
                <w:rFonts w:eastAsia="Times New Roman" w:cs="Arial"/>
                <w:sz w:val="20"/>
                <w:szCs w:val="20"/>
              </w:rPr>
            </w:pPr>
            <w:r w:rsidRPr="005970E9">
              <w:rPr>
                <w:rFonts w:eastAsia="Times New Roman" w:cs="Arial"/>
                <w:sz w:val="20"/>
                <w:szCs w:val="20"/>
              </w:rPr>
              <w:t>44.9</w:t>
            </w:r>
          </w:p>
        </w:tc>
        <w:tc>
          <w:tcPr>
            <w:tcW w:w="1275" w:type="dxa"/>
            <w:shd w:val="clear" w:color="auto" w:fill="CCC0D9" w:themeFill="accent4" w:themeFillTint="66"/>
            <w:noWrap/>
            <w:vAlign w:val="bottom"/>
            <w:hideMark/>
          </w:tcPr>
          <w:p w14:paraId="54AB05B9" w14:textId="77777777" w:rsidR="00F37272" w:rsidRPr="005970E9" w:rsidRDefault="00F37272" w:rsidP="0019430D">
            <w:pPr>
              <w:jc w:val="right"/>
              <w:rPr>
                <w:rFonts w:eastAsia="Times New Roman" w:cs="Arial"/>
                <w:sz w:val="20"/>
                <w:szCs w:val="20"/>
              </w:rPr>
            </w:pPr>
            <w:r w:rsidRPr="005970E9">
              <w:rPr>
                <w:rFonts w:eastAsia="Times New Roman" w:cs="Arial"/>
                <w:sz w:val="20"/>
                <w:szCs w:val="20"/>
              </w:rPr>
              <w:t>45.4</w:t>
            </w:r>
          </w:p>
        </w:tc>
        <w:tc>
          <w:tcPr>
            <w:tcW w:w="990" w:type="dxa"/>
            <w:shd w:val="clear" w:color="auto" w:fill="CCC0D9" w:themeFill="accent4" w:themeFillTint="66"/>
            <w:noWrap/>
            <w:vAlign w:val="bottom"/>
            <w:hideMark/>
          </w:tcPr>
          <w:p w14:paraId="40076F96" w14:textId="77777777" w:rsidR="00F37272" w:rsidRPr="005970E9" w:rsidRDefault="00F37272" w:rsidP="0019430D">
            <w:pPr>
              <w:jc w:val="right"/>
              <w:rPr>
                <w:rFonts w:eastAsia="Times New Roman" w:cs="Arial"/>
                <w:sz w:val="20"/>
                <w:szCs w:val="20"/>
              </w:rPr>
            </w:pPr>
            <w:r w:rsidRPr="005970E9">
              <w:rPr>
                <w:rFonts w:eastAsia="Times New Roman" w:cs="Arial"/>
                <w:sz w:val="20"/>
                <w:szCs w:val="20"/>
              </w:rPr>
              <w:t>44.5</w:t>
            </w:r>
          </w:p>
        </w:tc>
      </w:tr>
      <w:tr w:rsidR="00F37272" w:rsidRPr="005970E9" w14:paraId="63F30FE7" w14:textId="77777777" w:rsidTr="00691F88">
        <w:trPr>
          <w:trHeight w:val="288"/>
          <w:jc w:val="center"/>
        </w:trPr>
        <w:tc>
          <w:tcPr>
            <w:tcW w:w="2689" w:type="dxa"/>
            <w:vAlign w:val="bottom"/>
          </w:tcPr>
          <w:p w14:paraId="7D1F0A6E" w14:textId="1D4E15EE" w:rsidR="00F37272" w:rsidRPr="005970E9" w:rsidRDefault="00F37272" w:rsidP="00F37272">
            <w:pPr>
              <w:rPr>
                <w:rFonts w:eastAsia="Times New Roman" w:cs="Arial"/>
                <w:sz w:val="20"/>
                <w:szCs w:val="20"/>
              </w:rPr>
            </w:pPr>
            <w:r w:rsidRPr="005970E9">
              <w:rPr>
                <w:rFonts w:cs="Arial"/>
                <w:sz w:val="20"/>
                <w:szCs w:val="20"/>
              </w:rPr>
              <w:t>Bocas del Toro</w:t>
            </w:r>
          </w:p>
        </w:tc>
        <w:tc>
          <w:tcPr>
            <w:tcW w:w="1134" w:type="dxa"/>
            <w:shd w:val="clear" w:color="auto" w:fill="auto"/>
            <w:noWrap/>
            <w:vAlign w:val="bottom"/>
            <w:hideMark/>
          </w:tcPr>
          <w:p w14:paraId="05D97569" w14:textId="114AC973" w:rsidR="00F37272" w:rsidRPr="005970E9" w:rsidRDefault="00F37272" w:rsidP="00F37272">
            <w:pPr>
              <w:jc w:val="right"/>
              <w:rPr>
                <w:rFonts w:eastAsia="Times New Roman" w:cs="Arial"/>
                <w:sz w:val="20"/>
                <w:szCs w:val="20"/>
              </w:rPr>
            </w:pPr>
            <w:r w:rsidRPr="005970E9">
              <w:rPr>
                <w:rFonts w:eastAsia="Times New Roman" w:cs="Arial"/>
                <w:sz w:val="20"/>
                <w:szCs w:val="20"/>
              </w:rPr>
              <w:t>55.2</w:t>
            </w:r>
          </w:p>
        </w:tc>
        <w:tc>
          <w:tcPr>
            <w:tcW w:w="1275" w:type="dxa"/>
            <w:shd w:val="clear" w:color="auto" w:fill="auto"/>
            <w:noWrap/>
            <w:vAlign w:val="bottom"/>
            <w:hideMark/>
          </w:tcPr>
          <w:p w14:paraId="0279F3EC"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55.6</w:t>
            </w:r>
          </w:p>
        </w:tc>
        <w:tc>
          <w:tcPr>
            <w:tcW w:w="990" w:type="dxa"/>
            <w:shd w:val="clear" w:color="auto" w:fill="auto"/>
            <w:noWrap/>
            <w:vAlign w:val="bottom"/>
            <w:hideMark/>
          </w:tcPr>
          <w:p w14:paraId="1B8F4FBF"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54.8</w:t>
            </w:r>
          </w:p>
        </w:tc>
      </w:tr>
      <w:tr w:rsidR="00F37272" w:rsidRPr="005970E9" w14:paraId="4FF2AC8F" w14:textId="77777777" w:rsidTr="00691F88">
        <w:trPr>
          <w:trHeight w:val="288"/>
          <w:jc w:val="center"/>
        </w:trPr>
        <w:tc>
          <w:tcPr>
            <w:tcW w:w="2689" w:type="dxa"/>
            <w:vAlign w:val="bottom"/>
          </w:tcPr>
          <w:p w14:paraId="705FC0B1" w14:textId="57AC0168" w:rsidR="00F37272" w:rsidRPr="005970E9" w:rsidRDefault="00F37272" w:rsidP="00F37272">
            <w:pPr>
              <w:rPr>
                <w:rFonts w:eastAsia="Times New Roman" w:cs="Arial"/>
                <w:sz w:val="20"/>
                <w:szCs w:val="20"/>
              </w:rPr>
            </w:pPr>
            <w:r w:rsidRPr="005970E9">
              <w:rPr>
                <w:rFonts w:cs="Arial"/>
                <w:sz w:val="20"/>
                <w:szCs w:val="20"/>
              </w:rPr>
              <w:t>Coclé</w:t>
            </w:r>
          </w:p>
        </w:tc>
        <w:tc>
          <w:tcPr>
            <w:tcW w:w="1134" w:type="dxa"/>
            <w:shd w:val="clear" w:color="auto" w:fill="auto"/>
            <w:noWrap/>
            <w:vAlign w:val="bottom"/>
            <w:hideMark/>
          </w:tcPr>
          <w:p w14:paraId="7EB606A0" w14:textId="2AE00D02" w:rsidR="00F37272" w:rsidRPr="005970E9" w:rsidRDefault="00F37272" w:rsidP="00F37272">
            <w:pPr>
              <w:jc w:val="right"/>
              <w:rPr>
                <w:rFonts w:eastAsia="Times New Roman" w:cs="Arial"/>
                <w:sz w:val="20"/>
                <w:szCs w:val="20"/>
              </w:rPr>
            </w:pPr>
            <w:r w:rsidRPr="005970E9">
              <w:rPr>
                <w:rFonts w:eastAsia="Times New Roman" w:cs="Arial"/>
                <w:sz w:val="20"/>
                <w:szCs w:val="20"/>
              </w:rPr>
              <w:t>54.5</w:t>
            </w:r>
          </w:p>
        </w:tc>
        <w:tc>
          <w:tcPr>
            <w:tcW w:w="1275" w:type="dxa"/>
            <w:shd w:val="clear" w:color="auto" w:fill="auto"/>
            <w:noWrap/>
            <w:vAlign w:val="bottom"/>
            <w:hideMark/>
          </w:tcPr>
          <w:p w14:paraId="2829360A"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57.5</w:t>
            </w:r>
          </w:p>
        </w:tc>
        <w:tc>
          <w:tcPr>
            <w:tcW w:w="990" w:type="dxa"/>
            <w:shd w:val="clear" w:color="auto" w:fill="auto"/>
            <w:noWrap/>
            <w:vAlign w:val="bottom"/>
            <w:hideMark/>
          </w:tcPr>
          <w:p w14:paraId="500AF8AC"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52.1</w:t>
            </w:r>
          </w:p>
        </w:tc>
      </w:tr>
      <w:tr w:rsidR="00F37272" w:rsidRPr="005970E9" w14:paraId="78E21A86" w14:textId="77777777" w:rsidTr="00691F88">
        <w:trPr>
          <w:trHeight w:val="288"/>
          <w:jc w:val="center"/>
        </w:trPr>
        <w:tc>
          <w:tcPr>
            <w:tcW w:w="2689" w:type="dxa"/>
            <w:vAlign w:val="bottom"/>
          </w:tcPr>
          <w:p w14:paraId="0205B7EC" w14:textId="7CBEEA97" w:rsidR="00F37272" w:rsidRPr="005970E9" w:rsidRDefault="00F37272" w:rsidP="00F37272">
            <w:pPr>
              <w:rPr>
                <w:rFonts w:eastAsia="Times New Roman" w:cs="Arial"/>
                <w:sz w:val="20"/>
                <w:szCs w:val="20"/>
              </w:rPr>
            </w:pPr>
            <w:r w:rsidRPr="005970E9">
              <w:rPr>
                <w:rFonts w:cs="Arial"/>
                <w:sz w:val="20"/>
                <w:szCs w:val="20"/>
              </w:rPr>
              <w:t>Colón</w:t>
            </w:r>
          </w:p>
        </w:tc>
        <w:tc>
          <w:tcPr>
            <w:tcW w:w="1134" w:type="dxa"/>
            <w:shd w:val="clear" w:color="auto" w:fill="auto"/>
            <w:noWrap/>
            <w:vAlign w:val="bottom"/>
            <w:hideMark/>
          </w:tcPr>
          <w:p w14:paraId="2BD2CE21" w14:textId="247044A2" w:rsidR="00F37272" w:rsidRPr="005970E9" w:rsidRDefault="00F37272" w:rsidP="00F37272">
            <w:pPr>
              <w:jc w:val="right"/>
              <w:rPr>
                <w:rFonts w:eastAsia="Times New Roman" w:cs="Arial"/>
                <w:sz w:val="20"/>
                <w:szCs w:val="20"/>
              </w:rPr>
            </w:pPr>
            <w:r w:rsidRPr="005970E9">
              <w:rPr>
                <w:rFonts w:eastAsia="Times New Roman" w:cs="Arial"/>
                <w:sz w:val="20"/>
                <w:szCs w:val="20"/>
              </w:rPr>
              <w:t>45.2</w:t>
            </w:r>
          </w:p>
        </w:tc>
        <w:tc>
          <w:tcPr>
            <w:tcW w:w="1275" w:type="dxa"/>
            <w:shd w:val="clear" w:color="auto" w:fill="auto"/>
            <w:noWrap/>
            <w:vAlign w:val="bottom"/>
            <w:hideMark/>
          </w:tcPr>
          <w:p w14:paraId="513A9C35"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44.8</w:t>
            </w:r>
          </w:p>
        </w:tc>
        <w:tc>
          <w:tcPr>
            <w:tcW w:w="990" w:type="dxa"/>
            <w:shd w:val="clear" w:color="auto" w:fill="auto"/>
            <w:noWrap/>
            <w:vAlign w:val="bottom"/>
            <w:hideMark/>
          </w:tcPr>
          <w:p w14:paraId="50877D63"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45.6</w:t>
            </w:r>
          </w:p>
        </w:tc>
      </w:tr>
      <w:tr w:rsidR="00F37272" w:rsidRPr="005970E9" w14:paraId="205F3442" w14:textId="77777777" w:rsidTr="00691F88">
        <w:trPr>
          <w:trHeight w:val="288"/>
          <w:jc w:val="center"/>
        </w:trPr>
        <w:tc>
          <w:tcPr>
            <w:tcW w:w="2689" w:type="dxa"/>
            <w:vAlign w:val="bottom"/>
          </w:tcPr>
          <w:p w14:paraId="75DF62D5" w14:textId="433A8DB4" w:rsidR="00F37272" w:rsidRPr="005970E9" w:rsidRDefault="00F37272" w:rsidP="00F37272">
            <w:pPr>
              <w:rPr>
                <w:rFonts w:eastAsia="Times New Roman" w:cs="Arial"/>
                <w:sz w:val="20"/>
                <w:szCs w:val="20"/>
              </w:rPr>
            </w:pPr>
            <w:r w:rsidRPr="005970E9">
              <w:rPr>
                <w:rFonts w:cs="Arial"/>
                <w:sz w:val="20"/>
                <w:szCs w:val="20"/>
              </w:rPr>
              <w:t>Chiriquí</w:t>
            </w:r>
          </w:p>
        </w:tc>
        <w:tc>
          <w:tcPr>
            <w:tcW w:w="1134" w:type="dxa"/>
            <w:shd w:val="clear" w:color="auto" w:fill="auto"/>
            <w:noWrap/>
            <w:vAlign w:val="bottom"/>
            <w:hideMark/>
          </w:tcPr>
          <w:p w14:paraId="15208589" w14:textId="306D8DA3" w:rsidR="00F37272" w:rsidRPr="005970E9" w:rsidRDefault="00F37272" w:rsidP="00F37272">
            <w:pPr>
              <w:jc w:val="right"/>
              <w:rPr>
                <w:rFonts w:eastAsia="Times New Roman" w:cs="Arial"/>
                <w:sz w:val="20"/>
                <w:szCs w:val="20"/>
              </w:rPr>
            </w:pPr>
            <w:r w:rsidRPr="005970E9">
              <w:rPr>
                <w:rFonts w:eastAsia="Times New Roman" w:cs="Arial"/>
                <w:sz w:val="20"/>
                <w:szCs w:val="20"/>
              </w:rPr>
              <w:t>51.2</w:t>
            </w:r>
          </w:p>
        </w:tc>
        <w:tc>
          <w:tcPr>
            <w:tcW w:w="1275" w:type="dxa"/>
            <w:shd w:val="clear" w:color="auto" w:fill="auto"/>
            <w:noWrap/>
            <w:vAlign w:val="bottom"/>
            <w:hideMark/>
          </w:tcPr>
          <w:p w14:paraId="1BAFA02E"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46.1</w:t>
            </w:r>
          </w:p>
        </w:tc>
        <w:tc>
          <w:tcPr>
            <w:tcW w:w="990" w:type="dxa"/>
            <w:shd w:val="clear" w:color="auto" w:fill="auto"/>
            <w:noWrap/>
            <w:vAlign w:val="bottom"/>
            <w:hideMark/>
          </w:tcPr>
          <w:p w14:paraId="3BA0BC29"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55.1</w:t>
            </w:r>
          </w:p>
        </w:tc>
      </w:tr>
      <w:tr w:rsidR="00F37272" w:rsidRPr="005970E9" w14:paraId="7638735A" w14:textId="77777777" w:rsidTr="00691F88">
        <w:trPr>
          <w:trHeight w:val="288"/>
          <w:jc w:val="center"/>
        </w:trPr>
        <w:tc>
          <w:tcPr>
            <w:tcW w:w="2689" w:type="dxa"/>
            <w:vAlign w:val="bottom"/>
          </w:tcPr>
          <w:p w14:paraId="387994E1" w14:textId="385B0D21" w:rsidR="00F37272" w:rsidRPr="005970E9" w:rsidRDefault="00F37272" w:rsidP="00F37272">
            <w:pPr>
              <w:rPr>
                <w:rFonts w:eastAsia="Times New Roman" w:cs="Arial"/>
                <w:sz w:val="20"/>
                <w:szCs w:val="20"/>
              </w:rPr>
            </w:pPr>
            <w:r w:rsidRPr="005970E9">
              <w:rPr>
                <w:rFonts w:cs="Arial"/>
                <w:sz w:val="20"/>
                <w:szCs w:val="20"/>
              </w:rPr>
              <w:t>Darién</w:t>
            </w:r>
          </w:p>
        </w:tc>
        <w:tc>
          <w:tcPr>
            <w:tcW w:w="1134" w:type="dxa"/>
            <w:shd w:val="clear" w:color="auto" w:fill="auto"/>
            <w:noWrap/>
            <w:vAlign w:val="bottom"/>
            <w:hideMark/>
          </w:tcPr>
          <w:p w14:paraId="7F6486C3" w14:textId="15DF7433" w:rsidR="00F37272" w:rsidRPr="005970E9" w:rsidRDefault="00F37272" w:rsidP="00F37272">
            <w:pPr>
              <w:jc w:val="right"/>
              <w:rPr>
                <w:rFonts w:eastAsia="Times New Roman" w:cs="Arial"/>
                <w:sz w:val="20"/>
                <w:szCs w:val="20"/>
              </w:rPr>
            </w:pPr>
            <w:r w:rsidRPr="005970E9">
              <w:rPr>
                <w:rFonts w:eastAsia="Times New Roman" w:cs="Arial"/>
                <w:sz w:val="20"/>
                <w:szCs w:val="20"/>
              </w:rPr>
              <w:t>66.1</w:t>
            </w:r>
          </w:p>
        </w:tc>
        <w:tc>
          <w:tcPr>
            <w:tcW w:w="1275" w:type="dxa"/>
            <w:shd w:val="clear" w:color="auto" w:fill="auto"/>
            <w:noWrap/>
            <w:vAlign w:val="bottom"/>
            <w:hideMark/>
          </w:tcPr>
          <w:p w14:paraId="4E92EF49"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74.7</w:t>
            </w:r>
          </w:p>
        </w:tc>
        <w:tc>
          <w:tcPr>
            <w:tcW w:w="990" w:type="dxa"/>
            <w:shd w:val="clear" w:color="auto" w:fill="auto"/>
            <w:noWrap/>
            <w:vAlign w:val="bottom"/>
            <w:hideMark/>
          </w:tcPr>
          <w:p w14:paraId="75F29484"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55.2</w:t>
            </w:r>
          </w:p>
        </w:tc>
      </w:tr>
      <w:tr w:rsidR="00F37272" w:rsidRPr="005970E9" w14:paraId="1A35A5FB" w14:textId="77777777" w:rsidTr="00691F88">
        <w:trPr>
          <w:trHeight w:val="288"/>
          <w:jc w:val="center"/>
        </w:trPr>
        <w:tc>
          <w:tcPr>
            <w:tcW w:w="2689" w:type="dxa"/>
            <w:vAlign w:val="bottom"/>
          </w:tcPr>
          <w:p w14:paraId="6AD3FA5B" w14:textId="1813838E" w:rsidR="00F37272" w:rsidRPr="005970E9" w:rsidRDefault="00F37272" w:rsidP="00F37272">
            <w:pPr>
              <w:rPr>
                <w:rFonts w:eastAsia="Times New Roman" w:cs="Arial"/>
                <w:sz w:val="20"/>
                <w:szCs w:val="20"/>
              </w:rPr>
            </w:pPr>
            <w:r w:rsidRPr="005970E9">
              <w:rPr>
                <w:rFonts w:cs="Arial"/>
                <w:sz w:val="20"/>
                <w:szCs w:val="20"/>
              </w:rPr>
              <w:t>Herrera</w:t>
            </w:r>
          </w:p>
        </w:tc>
        <w:tc>
          <w:tcPr>
            <w:tcW w:w="1134" w:type="dxa"/>
            <w:shd w:val="clear" w:color="auto" w:fill="auto"/>
            <w:noWrap/>
            <w:vAlign w:val="bottom"/>
            <w:hideMark/>
          </w:tcPr>
          <w:p w14:paraId="6EAE3702" w14:textId="2B51591A" w:rsidR="00F37272" w:rsidRPr="005970E9" w:rsidRDefault="00F37272" w:rsidP="00F37272">
            <w:pPr>
              <w:jc w:val="right"/>
              <w:rPr>
                <w:rFonts w:eastAsia="Times New Roman" w:cs="Arial"/>
                <w:sz w:val="20"/>
                <w:szCs w:val="20"/>
              </w:rPr>
            </w:pPr>
            <w:r w:rsidRPr="005970E9">
              <w:rPr>
                <w:rFonts w:eastAsia="Times New Roman" w:cs="Arial"/>
                <w:sz w:val="20"/>
                <w:szCs w:val="20"/>
              </w:rPr>
              <w:t>47.3</w:t>
            </w:r>
          </w:p>
        </w:tc>
        <w:tc>
          <w:tcPr>
            <w:tcW w:w="1275" w:type="dxa"/>
            <w:shd w:val="clear" w:color="auto" w:fill="auto"/>
            <w:noWrap/>
            <w:vAlign w:val="bottom"/>
            <w:hideMark/>
          </w:tcPr>
          <w:p w14:paraId="2C81368C"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49.5</w:t>
            </w:r>
          </w:p>
        </w:tc>
        <w:tc>
          <w:tcPr>
            <w:tcW w:w="990" w:type="dxa"/>
            <w:shd w:val="clear" w:color="auto" w:fill="auto"/>
            <w:noWrap/>
            <w:vAlign w:val="bottom"/>
            <w:hideMark/>
          </w:tcPr>
          <w:p w14:paraId="74166535"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45.5</w:t>
            </w:r>
          </w:p>
        </w:tc>
      </w:tr>
      <w:tr w:rsidR="00F37272" w:rsidRPr="005970E9" w14:paraId="59BB2DF7" w14:textId="77777777" w:rsidTr="00691F88">
        <w:trPr>
          <w:trHeight w:val="288"/>
          <w:jc w:val="center"/>
        </w:trPr>
        <w:tc>
          <w:tcPr>
            <w:tcW w:w="2689" w:type="dxa"/>
            <w:vAlign w:val="bottom"/>
          </w:tcPr>
          <w:p w14:paraId="4D9E4105" w14:textId="3FAAACE3" w:rsidR="00F37272" w:rsidRPr="005970E9" w:rsidRDefault="00F37272" w:rsidP="00F37272">
            <w:pPr>
              <w:rPr>
                <w:rFonts w:eastAsia="Times New Roman" w:cs="Arial"/>
                <w:sz w:val="20"/>
                <w:szCs w:val="20"/>
              </w:rPr>
            </w:pPr>
            <w:r w:rsidRPr="005970E9">
              <w:rPr>
                <w:rFonts w:cs="Arial"/>
                <w:sz w:val="20"/>
                <w:szCs w:val="20"/>
              </w:rPr>
              <w:t>Los Santos</w:t>
            </w:r>
          </w:p>
        </w:tc>
        <w:tc>
          <w:tcPr>
            <w:tcW w:w="1134" w:type="dxa"/>
            <w:shd w:val="clear" w:color="auto" w:fill="auto"/>
            <w:noWrap/>
            <w:vAlign w:val="bottom"/>
            <w:hideMark/>
          </w:tcPr>
          <w:p w14:paraId="172D4E40" w14:textId="613872F0" w:rsidR="00F37272" w:rsidRPr="005970E9" w:rsidRDefault="00F37272" w:rsidP="00F37272">
            <w:pPr>
              <w:jc w:val="right"/>
              <w:rPr>
                <w:rFonts w:eastAsia="Times New Roman" w:cs="Arial"/>
                <w:sz w:val="20"/>
                <w:szCs w:val="20"/>
              </w:rPr>
            </w:pPr>
            <w:r w:rsidRPr="005970E9">
              <w:rPr>
                <w:rFonts w:eastAsia="Times New Roman" w:cs="Arial"/>
                <w:sz w:val="20"/>
                <w:szCs w:val="20"/>
              </w:rPr>
              <w:t>55.7</w:t>
            </w:r>
          </w:p>
        </w:tc>
        <w:tc>
          <w:tcPr>
            <w:tcW w:w="1275" w:type="dxa"/>
            <w:shd w:val="clear" w:color="auto" w:fill="auto"/>
            <w:noWrap/>
            <w:vAlign w:val="bottom"/>
            <w:hideMark/>
          </w:tcPr>
          <w:p w14:paraId="401FAC57"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58.7</w:t>
            </w:r>
          </w:p>
        </w:tc>
        <w:tc>
          <w:tcPr>
            <w:tcW w:w="990" w:type="dxa"/>
            <w:shd w:val="clear" w:color="auto" w:fill="auto"/>
            <w:noWrap/>
            <w:vAlign w:val="bottom"/>
            <w:hideMark/>
          </w:tcPr>
          <w:p w14:paraId="1A235D33"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52.5</w:t>
            </w:r>
          </w:p>
        </w:tc>
      </w:tr>
      <w:tr w:rsidR="00F37272" w:rsidRPr="005970E9" w14:paraId="5FB8F217" w14:textId="77777777" w:rsidTr="00691F88">
        <w:trPr>
          <w:trHeight w:val="288"/>
          <w:jc w:val="center"/>
        </w:trPr>
        <w:tc>
          <w:tcPr>
            <w:tcW w:w="2689" w:type="dxa"/>
            <w:vAlign w:val="bottom"/>
          </w:tcPr>
          <w:p w14:paraId="3BDF27A0" w14:textId="11B75330" w:rsidR="00F37272" w:rsidRPr="005970E9" w:rsidRDefault="00F37272" w:rsidP="00F37272">
            <w:pPr>
              <w:rPr>
                <w:rFonts w:eastAsia="Times New Roman" w:cs="Arial"/>
                <w:sz w:val="20"/>
                <w:szCs w:val="20"/>
              </w:rPr>
            </w:pPr>
            <w:r w:rsidRPr="005970E9">
              <w:rPr>
                <w:rFonts w:cs="Arial"/>
                <w:sz w:val="20"/>
                <w:szCs w:val="20"/>
              </w:rPr>
              <w:t>Panamá</w:t>
            </w:r>
          </w:p>
        </w:tc>
        <w:tc>
          <w:tcPr>
            <w:tcW w:w="1134" w:type="dxa"/>
            <w:shd w:val="clear" w:color="auto" w:fill="auto"/>
            <w:noWrap/>
            <w:vAlign w:val="bottom"/>
            <w:hideMark/>
          </w:tcPr>
          <w:p w14:paraId="7CDF3EA9" w14:textId="4B3142DE" w:rsidR="00F37272" w:rsidRPr="005970E9" w:rsidRDefault="00F37272" w:rsidP="00F37272">
            <w:pPr>
              <w:jc w:val="right"/>
              <w:rPr>
                <w:rFonts w:eastAsia="Times New Roman" w:cs="Arial"/>
                <w:sz w:val="20"/>
                <w:szCs w:val="20"/>
              </w:rPr>
            </w:pPr>
            <w:r w:rsidRPr="005970E9">
              <w:rPr>
                <w:rFonts w:eastAsia="Times New Roman" w:cs="Arial"/>
                <w:sz w:val="20"/>
                <w:szCs w:val="20"/>
              </w:rPr>
              <w:t>39.0</w:t>
            </w:r>
          </w:p>
        </w:tc>
        <w:tc>
          <w:tcPr>
            <w:tcW w:w="1275" w:type="dxa"/>
            <w:shd w:val="clear" w:color="auto" w:fill="auto"/>
            <w:noWrap/>
            <w:vAlign w:val="bottom"/>
            <w:hideMark/>
          </w:tcPr>
          <w:p w14:paraId="1B73C2BF"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38.9</w:t>
            </w:r>
          </w:p>
        </w:tc>
        <w:tc>
          <w:tcPr>
            <w:tcW w:w="990" w:type="dxa"/>
            <w:shd w:val="clear" w:color="auto" w:fill="auto"/>
            <w:noWrap/>
            <w:vAlign w:val="bottom"/>
            <w:hideMark/>
          </w:tcPr>
          <w:p w14:paraId="4302DBD9"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39.1</w:t>
            </w:r>
          </w:p>
        </w:tc>
      </w:tr>
      <w:tr w:rsidR="00F37272" w:rsidRPr="005970E9" w14:paraId="60802EE4" w14:textId="77777777" w:rsidTr="00691F88">
        <w:trPr>
          <w:trHeight w:val="288"/>
          <w:jc w:val="center"/>
        </w:trPr>
        <w:tc>
          <w:tcPr>
            <w:tcW w:w="2689" w:type="dxa"/>
            <w:vAlign w:val="bottom"/>
          </w:tcPr>
          <w:p w14:paraId="46E59DEF" w14:textId="40FF204B" w:rsidR="00F37272" w:rsidRPr="005970E9" w:rsidRDefault="00F37272" w:rsidP="00F37272">
            <w:pPr>
              <w:rPr>
                <w:rFonts w:eastAsia="Times New Roman" w:cs="Arial"/>
                <w:sz w:val="20"/>
                <w:szCs w:val="20"/>
              </w:rPr>
            </w:pPr>
            <w:r w:rsidRPr="005970E9">
              <w:rPr>
                <w:rFonts w:cs="Arial"/>
                <w:sz w:val="20"/>
                <w:szCs w:val="20"/>
              </w:rPr>
              <w:t>Panamá Oeste</w:t>
            </w:r>
          </w:p>
        </w:tc>
        <w:tc>
          <w:tcPr>
            <w:tcW w:w="1134" w:type="dxa"/>
            <w:shd w:val="clear" w:color="auto" w:fill="auto"/>
            <w:noWrap/>
            <w:vAlign w:val="bottom"/>
            <w:hideMark/>
          </w:tcPr>
          <w:p w14:paraId="552C4986" w14:textId="7AFFEAF4" w:rsidR="00F37272" w:rsidRPr="005970E9" w:rsidRDefault="00F37272" w:rsidP="00F37272">
            <w:pPr>
              <w:jc w:val="right"/>
              <w:rPr>
                <w:rFonts w:eastAsia="Times New Roman" w:cs="Arial"/>
                <w:sz w:val="20"/>
                <w:szCs w:val="20"/>
              </w:rPr>
            </w:pPr>
            <w:r w:rsidRPr="005970E9">
              <w:rPr>
                <w:rFonts w:eastAsia="Times New Roman" w:cs="Arial"/>
                <w:sz w:val="20"/>
                <w:szCs w:val="20"/>
              </w:rPr>
              <w:t>43.3</w:t>
            </w:r>
          </w:p>
        </w:tc>
        <w:tc>
          <w:tcPr>
            <w:tcW w:w="1275" w:type="dxa"/>
            <w:shd w:val="clear" w:color="auto" w:fill="auto"/>
            <w:noWrap/>
            <w:vAlign w:val="bottom"/>
            <w:hideMark/>
          </w:tcPr>
          <w:p w14:paraId="1F0D8C79"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43.1</w:t>
            </w:r>
          </w:p>
        </w:tc>
        <w:tc>
          <w:tcPr>
            <w:tcW w:w="990" w:type="dxa"/>
            <w:shd w:val="clear" w:color="auto" w:fill="auto"/>
            <w:noWrap/>
            <w:vAlign w:val="bottom"/>
            <w:hideMark/>
          </w:tcPr>
          <w:p w14:paraId="65D2BBEC"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43.4</w:t>
            </w:r>
          </w:p>
        </w:tc>
      </w:tr>
      <w:tr w:rsidR="00F37272" w:rsidRPr="005970E9" w14:paraId="3C1653AB" w14:textId="77777777" w:rsidTr="00691F88">
        <w:trPr>
          <w:trHeight w:val="288"/>
          <w:jc w:val="center"/>
        </w:trPr>
        <w:tc>
          <w:tcPr>
            <w:tcW w:w="2689" w:type="dxa"/>
            <w:vAlign w:val="bottom"/>
          </w:tcPr>
          <w:p w14:paraId="055E6829" w14:textId="1686BE82" w:rsidR="00F37272" w:rsidRPr="005970E9" w:rsidRDefault="00F37272" w:rsidP="00F37272">
            <w:pPr>
              <w:rPr>
                <w:rFonts w:eastAsia="Times New Roman" w:cs="Arial"/>
                <w:sz w:val="20"/>
                <w:szCs w:val="20"/>
              </w:rPr>
            </w:pPr>
            <w:r w:rsidRPr="005970E9">
              <w:rPr>
                <w:rFonts w:cs="Arial"/>
                <w:sz w:val="20"/>
                <w:szCs w:val="20"/>
              </w:rPr>
              <w:t>Veraguas</w:t>
            </w:r>
          </w:p>
        </w:tc>
        <w:tc>
          <w:tcPr>
            <w:tcW w:w="1134" w:type="dxa"/>
            <w:shd w:val="clear" w:color="auto" w:fill="auto"/>
            <w:noWrap/>
            <w:vAlign w:val="bottom"/>
            <w:hideMark/>
          </w:tcPr>
          <w:p w14:paraId="3093B8B8" w14:textId="71E8A713" w:rsidR="00F37272" w:rsidRPr="005970E9" w:rsidRDefault="00F37272" w:rsidP="00F37272">
            <w:pPr>
              <w:jc w:val="right"/>
              <w:rPr>
                <w:rFonts w:eastAsia="Times New Roman" w:cs="Arial"/>
                <w:sz w:val="20"/>
                <w:szCs w:val="20"/>
              </w:rPr>
            </w:pPr>
            <w:r w:rsidRPr="005970E9">
              <w:rPr>
                <w:rFonts w:eastAsia="Times New Roman" w:cs="Arial"/>
                <w:sz w:val="20"/>
                <w:szCs w:val="20"/>
              </w:rPr>
              <w:t>49.3</w:t>
            </w:r>
          </w:p>
        </w:tc>
        <w:tc>
          <w:tcPr>
            <w:tcW w:w="1275" w:type="dxa"/>
            <w:shd w:val="clear" w:color="auto" w:fill="auto"/>
            <w:noWrap/>
            <w:vAlign w:val="bottom"/>
            <w:hideMark/>
          </w:tcPr>
          <w:p w14:paraId="2E224728"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48.3</w:t>
            </w:r>
          </w:p>
        </w:tc>
        <w:tc>
          <w:tcPr>
            <w:tcW w:w="990" w:type="dxa"/>
            <w:shd w:val="clear" w:color="auto" w:fill="auto"/>
            <w:noWrap/>
            <w:vAlign w:val="bottom"/>
            <w:hideMark/>
          </w:tcPr>
          <w:p w14:paraId="74109AFA"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50.1</w:t>
            </w:r>
          </w:p>
        </w:tc>
      </w:tr>
      <w:tr w:rsidR="00F37272" w:rsidRPr="005970E9" w14:paraId="0C2A52D7" w14:textId="77777777" w:rsidTr="00691F88">
        <w:trPr>
          <w:trHeight w:val="288"/>
          <w:jc w:val="center"/>
        </w:trPr>
        <w:tc>
          <w:tcPr>
            <w:tcW w:w="2689" w:type="dxa"/>
            <w:vAlign w:val="bottom"/>
          </w:tcPr>
          <w:p w14:paraId="3F24AB99" w14:textId="4A472BDC" w:rsidR="00F37272" w:rsidRPr="005970E9" w:rsidRDefault="00F37272" w:rsidP="00F37272">
            <w:pPr>
              <w:rPr>
                <w:rFonts w:eastAsia="Times New Roman" w:cs="Arial"/>
                <w:sz w:val="20"/>
                <w:szCs w:val="20"/>
              </w:rPr>
            </w:pPr>
            <w:r w:rsidRPr="005970E9">
              <w:rPr>
                <w:rFonts w:cs="Arial"/>
                <w:sz w:val="20"/>
                <w:szCs w:val="20"/>
              </w:rPr>
              <w:lastRenderedPageBreak/>
              <w:t>Com. Kuna Yala</w:t>
            </w:r>
          </w:p>
        </w:tc>
        <w:tc>
          <w:tcPr>
            <w:tcW w:w="1134" w:type="dxa"/>
            <w:shd w:val="clear" w:color="auto" w:fill="auto"/>
            <w:noWrap/>
            <w:vAlign w:val="bottom"/>
            <w:hideMark/>
          </w:tcPr>
          <w:p w14:paraId="3F94A1DC" w14:textId="11CEA1DF" w:rsidR="00F37272" w:rsidRPr="005970E9" w:rsidRDefault="00F37272" w:rsidP="00F37272">
            <w:pPr>
              <w:jc w:val="right"/>
              <w:rPr>
                <w:rFonts w:eastAsia="Times New Roman" w:cs="Arial"/>
                <w:sz w:val="20"/>
                <w:szCs w:val="20"/>
              </w:rPr>
            </w:pPr>
            <w:r w:rsidRPr="005970E9">
              <w:rPr>
                <w:rFonts w:eastAsia="Times New Roman" w:cs="Arial"/>
                <w:sz w:val="20"/>
                <w:szCs w:val="20"/>
              </w:rPr>
              <w:t>92.2</w:t>
            </w:r>
          </w:p>
        </w:tc>
        <w:tc>
          <w:tcPr>
            <w:tcW w:w="1275" w:type="dxa"/>
            <w:shd w:val="clear" w:color="auto" w:fill="auto"/>
            <w:noWrap/>
            <w:vAlign w:val="bottom"/>
            <w:hideMark/>
          </w:tcPr>
          <w:p w14:paraId="44124D7D"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96.1</w:t>
            </w:r>
          </w:p>
        </w:tc>
        <w:tc>
          <w:tcPr>
            <w:tcW w:w="990" w:type="dxa"/>
            <w:shd w:val="clear" w:color="auto" w:fill="auto"/>
            <w:noWrap/>
            <w:vAlign w:val="bottom"/>
            <w:hideMark/>
          </w:tcPr>
          <w:p w14:paraId="0D3382B7"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80.4</w:t>
            </w:r>
          </w:p>
        </w:tc>
      </w:tr>
      <w:tr w:rsidR="00F37272" w:rsidRPr="005970E9" w14:paraId="548966A9" w14:textId="77777777" w:rsidTr="00691F88">
        <w:trPr>
          <w:trHeight w:val="288"/>
          <w:jc w:val="center"/>
        </w:trPr>
        <w:tc>
          <w:tcPr>
            <w:tcW w:w="2689" w:type="dxa"/>
            <w:vAlign w:val="bottom"/>
          </w:tcPr>
          <w:p w14:paraId="00C3D984" w14:textId="276A7E53" w:rsidR="00F37272" w:rsidRPr="005970E9" w:rsidRDefault="00F37272" w:rsidP="00F37272">
            <w:pPr>
              <w:rPr>
                <w:rFonts w:eastAsia="Times New Roman" w:cs="Arial"/>
                <w:sz w:val="20"/>
                <w:szCs w:val="20"/>
              </w:rPr>
            </w:pPr>
            <w:r w:rsidRPr="005970E9">
              <w:rPr>
                <w:rFonts w:cs="Arial"/>
                <w:sz w:val="20"/>
                <w:szCs w:val="20"/>
              </w:rPr>
              <w:t>Com. Emberá</w:t>
            </w:r>
          </w:p>
        </w:tc>
        <w:tc>
          <w:tcPr>
            <w:tcW w:w="1134" w:type="dxa"/>
            <w:shd w:val="clear" w:color="auto" w:fill="auto"/>
            <w:noWrap/>
            <w:vAlign w:val="bottom"/>
            <w:hideMark/>
          </w:tcPr>
          <w:p w14:paraId="4EB8C9F6" w14:textId="7CD7E046" w:rsidR="00F37272" w:rsidRPr="005970E9" w:rsidRDefault="00F37272" w:rsidP="00F37272">
            <w:pPr>
              <w:jc w:val="right"/>
              <w:rPr>
                <w:rFonts w:eastAsia="Times New Roman" w:cs="Arial"/>
                <w:sz w:val="20"/>
                <w:szCs w:val="20"/>
              </w:rPr>
            </w:pPr>
            <w:r w:rsidRPr="005970E9">
              <w:rPr>
                <w:rFonts w:eastAsia="Times New Roman" w:cs="Arial"/>
                <w:sz w:val="20"/>
                <w:szCs w:val="20"/>
              </w:rPr>
              <w:t>82.8</w:t>
            </w:r>
          </w:p>
        </w:tc>
        <w:tc>
          <w:tcPr>
            <w:tcW w:w="1275" w:type="dxa"/>
            <w:shd w:val="clear" w:color="auto" w:fill="auto"/>
            <w:noWrap/>
            <w:vAlign w:val="bottom"/>
            <w:hideMark/>
          </w:tcPr>
          <w:p w14:paraId="2228C3A0"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98.9</w:t>
            </w:r>
          </w:p>
        </w:tc>
        <w:tc>
          <w:tcPr>
            <w:tcW w:w="990" w:type="dxa"/>
            <w:shd w:val="clear" w:color="auto" w:fill="auto"/>
            <w:noWrap/>
            <w:vAlign w:val="bottom"/>
            <w:hideMark/>
          </w:tcPr>
          <w:p w14:paraId="10E5A220"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52.6</w:t>
            </w:r>
          </w:p>
        </w:tc>
      </w:tr>
      <w:tr w:rsidR="00F37272" w:rsidRPr="005970E9" w14:paraId="3747C8B7" w14:textId="77777777" w:rsidTr="00691F88">
        <w:trPr>
          <w:trHeight w:val="288"/>
          <w:jc w:val="center"/>
        </w:trPr>
        <w:tc>
          <w:tcPr>
            <w:tcW w:w="2689" w:type="dxa"/>
            <w:vAlign w:val="bottom"/>
          </w:tcPr>
          <w:p w14:paraId="5EFB6B15" w14:textId="3B7D031B" w:rsidR="00F37272" w:rsidRPr="005970E9" w:rsidRDefault="00F37272" w:rsidP="00F37272">
            <w:pPr>
              <w:rPr>
                <w:rFonts w:eastAsia="Times New Roman" w:cs="Arial"/>
                <w:sz w:val="20"/>
                <w:szCs w:val="20"/>
              </w:rPr>
            </w:pPr>
            <w:r w:rsidRPr="005970E9">
              <w:rPr>
                <w:rFonts w:cs="Arial"/>
                <w:sz w:val="20"/>
                <w:szCs w:val="20"/>
              </w:rPr>
              <w:t>Com. Ngäbe Buglé</w:t>
            </w:r>
          </w:p>
        </w:tc>
        <w:tc>
          <w:tcPr>
            <w:tcW w:w="1134" w:type="dxa"/>
            <w:shd w:val="clear" w:color="auto" w:fill="auto"/>
            <w:noWrap/>
            <w:vAlign w:val="bottom"/>
            <w:hideMark/>
          </w:tcPr>
          <w:p w14:paraId="363454B6" w14:textId="747C48A2" w:rsidR="00F37272" w:rsidRPr="005970E9" w:rsidRDefault="00F37272" w:rsidP="00F37272">
            <w:pPr>
              <w:jc w:val="right"/>
              <w:rPr>
                <w:rFonts w:eastAsia="Times New Roman" w:cs="Arial"/>
                <w:sz w:val="20"/>
                <w:szCs w:val="20"/>
              </w:rPr>
            </w:pPr>
            <w:r w:rsidRPr="005970E9">
              <w:rPr>
                <w:rFonts w:eastAsia="Times New Roman" w:cs="Arial"/>
                <w:sz w:val="20"/>
                <w:szCs w:val="20"/>
              </w:rPr>
              <w:t>82.0</w:t>
            </w:r>
          </w:p>
        </w:tc>
        <w:tc>
          <w:tcPr>
            <w:tcW w:w="1275" w:type="dxa"/>
            <w:shd w:val="clear" w:color="auto" w:fill="auto"/>
            <w:noWrap/>
            <w:vAlign w:val="bottom"/>
            <w:hideMark/>
          </w:tcPr>
          <w:p w14:paraId="10A29280"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87.7</w:t>
            </w:r>
          </w:p>
        </w:tc>
        <w:tc>
          <w:tcPr>
            <w:tcW w:w="990" w:type="dxa"/>
            <w:shd w:val="clear" w:color="auto" w:fill="auto"/>
            <w:noWrap/>
            <w:vAlign w:val="bottom"/>
            <w:hideMark/>
          </w:tcPr>
          <w:p w14:paraId="47DAFDCF" w14:textId="77777777" w:rsidR="00F37272" w:rsidRPr="005970E9" w:rsidRDefault="00F37272" w:rsidP="00F37272">
            <w:pPr>
              <w:jc w:val="right"/>
              <w:rPr>
                <w:rFonts w:eastAsia="Times New Roman" w:cs="Arial"/>
                <w:sz w:val="20"/>
                <w:szCs w:val="20"/>
              </w:rPr>
            </w:pPr>
            <w:r w:rsidRPr="005970E9">
              <w:rPr>
                <w:rFonts w:eastAsia="Times New Roman" w:cs="Arial"/>
                <w:sz w:val="20"/>
                <w:szCs w:val="20"/>
              </w:rPr>
              <w:t>74.9</w:t>
            </w:r>
          </w:p>
        </w:tc>
      </w:tr>
      <w:tr w:rsidR="00F37272" w:rsidRPr="005970E9" w14:paraId="0DCFB7BF" w14:textId="77777777" w:rsidTr="00691F88">
        <w:trPr>
          <w:trHeight w:val="288"/>
          <w:jc w:val="center"/>
        </w:trPr>
        <w:tc>
          <w:tcPr>
            <w:tcW w:w="6088" w:type="dxa"/>
            <w:gridSpan w:val="4"/>
          </w:tcPr>
          <w:p w14:paraId="57EBD824" w14:textId="6E47F026" w:rsidR="00F37272" w:rsidRPr="005970E9" w:rsidRDefault="00F37272" w:rsidP="0019430D">
            <w:pPr>
              <w:rPr>
                <w:rFonts w:eastAsia="Times New Roman"/>
                <w:color w:val="000000"/>
                <w:sz w:val="20"/>
                <w:szCs w:val="20"/>
              </w:rPr>
            </w:pPr>
            <w:r w:rsidRPr="005970E9">
              <w:rPr>
                <w:rFonts w:eastAsia="Times New Roman"/>
                <w:color w:val="000000"/>
                <w:sz w:val="20"/>
                <w:szCs w:val="20"/>
              </w:rPr>
              <w:t>Fuente: INEC, Encuesta de hogares, agosto 2019.</w:t>
            </w:r>
          </w:p>
        </w:tc>
      </w:tr>
    </w:tbl>
    <w:p w14:paraId="784ED2F0" w14:textId="46F79375" w:rsidR="0019430D" w:rsidRPr="005970E9" w:rsidRDefault="0019430D">
      <w:pPr>
        <w:spacing w:before="120" w:after="120" w:line="276" w:lineRule="auto"/>
        <w:jc w:val="both"/>
        <w:rPr>
          <w:rFonts w:eastAsia="Century Schoolbook" w:cs="Century Schoolbook"/>
        </w:rPr>
      </w:pPr>
    </w:p>
    <w:p w14:paraId="22E0D8EE" w14:textId="5FBB3F40" w:rsidR="00687005" w:rsidRPr="005970E9" w:rsidRDefault="00687005">
      <w:pPr>
        <w:spacing w:before="120" w:after="120" w:line="276" w:lineRule="auto"/>
        <w:jc w:val="both"/>
        <w:rPr>
          <w:rFonts w:eastAsia="Century Schoolbook" w:cs="Century Schoolbook"/>
        </w:rPr>
      </w:pPr>
      <w:r w:rsidRPr="005970E9">
        <w:rPr>
          <w:rFonts w:eastAsia="Century Schoolbook" w:cs="Century Schoolbook"/>
        </w:rPr>
        <w:t xml:space="preserve">Otra vulnerabilidad que viven las trabajadoras en el mercado de trabajo es la </w:t>
      </w:r>
      <w:r w:rsidR="006F6DCC" w:rsidRPr="005970E9">
        <w:rPr>
          <w:rFonts w:eastAsia="Century Schoolbook" w:cs="Century Schoolbook"/>
        </w:rPr>
        <w:t>jornada laboral</w:t>
      </w:r>
      <w:r w:rsidRPr="005970E9">
        <w:rPr>
          <w:rFonts w:eastAsia="Century Schoolbook" w:cs="Century Schoolbook"/>
        </w:rPr>
        <w:t xml:space="preserve"> plena, pero pagada con salarios inferiores al mínimo.</w:t>
      </w:r>
    </w:p>
    <w:p w14:paraId="5AC343D2" w14:textId="4C4AE696"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 xml:space="preserve">En el año 2019 el porcentaje de la población que trabaja </w:t>
      </w:r>
      <w:r w:rsidRPr="005970E9">
        <w:rPr>
          <w:rFonts w:eastAsia="Century Schoolbook" w:cs="Century Schoolbook"/>
          <w:b/>
        </w:rPr>
        <w:t>40 horas y más</w:t>
      </w:r>
      <w:r w:rsidRPr="005970E9">
        <w:rPr>
          <w:rFonts w:eastAsia="Century Schoolbook" w:cs="Century Schoolbook"/>
        </w:rPr>
        <w:t xml:space="preserve"> con ingreso por debajo del salario mínimo es mayor para las mujeres que para los hombres. Entre 2017 y 2019 este indicador para las mujeres aumentó de 9.9% a 13.3%</w:t>
      </w:r>
      <w:r w:rsidR="00B43882">
        <w:rPr>
          <w:rFonts w:eastAsia="Century Schoolbook" w:cs="Century Schoolbook"/>
        </w:rPr>
        <w:t xml:space="preserve"> (ver tabla 12)</w:t>
      </w:r>
      <w:r w:rsidRPr="005970E9">
        <w:rPr>
          <w:rFonts w:eastAsia="Century Schoolbook" w:cs="Century Schoolbook"/>
        </w:rPr>
        <w:t xml:space="preserve">; para los hombres paso de 13.4% a 12.6%. En el área urbana </w:t>
      </w:r>
      <w:r w:rsidR="00687005" w:rsidRPr="005970E9">
        <w:rPr>
          <w:rFonts w:eastAsia="Century Schoolbook" w:cs="Century Schoolbook"/>
        </w:rPr>
        <w:t xml:space="preserve">es menor </w:t>
      </w:r>
      <w:r w:rsidR="006F6DCC" w:rsidRPr="005970E9">
        <w:rPr>
          <w:rFonts w:eastAsia="Century Schoolbook" w:cs="Century Schoolbook"/>
        </w:rPr>
        <w:t>para ambos sexos</w:t>
      </w:r>
      <w:r w:rsidRPr="005970E9">
        <w:rPr>
          <w:rFonts w:eastAsia="Century Schoolbook" w:cs="Century Schoolbook"/>
        </w:rPr>
        <w:t xml:space="preserve">. </w:t>
      </w:r>
      <w:r w:rsidR="006F6DCC" w:rsidRPr="005970E9">
        <w:rPr>
          <w:rFonts w:eastAsia="Century Schoolbook" w:cs="Century Schoolbook"/>
        </w:rPr>
        <w:t xml:space="preserve">Y para hombres y mujeres rurales </w:t>
      </w:r>
      <w:r w:rsidRPr="005970E9">
        <w:rPr>
          <w:rFonts w:eastAsia="Century Schoolbook" w:cs="Century Schoolbook"/>
        </w:rPr>
        <w:t xml:space="preserve">es similar con 26%.  </w:t>
      </w:r>
      <w:r w:rsidR="006F6DCC" w:rsidRPr="005970E9">
        <w:rPr>
          <w:rFonts w:eastAsia="Century Schoolbook" w:cs="Century Schoolbook"/>
        </w:rPr>
        <w:t xml:space="preserve">Este </w:t>
      </w:r>
      <w:r w:rsidRPr="005970E9">
        <w:rPr>
          <w:rFonts w:eastAsia="Century Schoolbook" w:cs="Century Schoolbook"/>
        </w:rPr>
        <w:t>implica una mayor inversión de horas que no son pagadas como corresponde y crea condiciones propicias para la sobreexplotación de su fuerza de trabajo</w:t>
      </w:r>
      <w:r w:rsidR="00D5734F" w:rsidRPr="005970E9">
        <w:rPr>
          <w:rFonts w:eastAsia="Century Schoolbook" w:cs="Century Schoolbook"/>
        </w:rPr>
        <w:t>, afectando más a las mujeres</w:t>
      </w:r>
      <w:r w:rsidRPr="005970E9">
        <w:rPr>
          <w:rFonts w:eastAsia="Century Schoolbook" w:cs="Century Schoolbook"/>
        </w:rPr>
        <w:t>.</w:t>
      </w:r>
    </w:p>
    <w:p w14:paraId="100DBFE9" w14:textId="778F89F8" w:rsidR="002C77C2" w:rsidRPr="005970E9" w:rsidRDefault="00931472" w:rsidP="00FA6EA2">
      <w:pPr>
        <w:pStyle w:val="Caption"/>
        <w:jc w:val="center"/>
        <w:rPr>
          <w:rFonts w:ascii="Century Schoolbook" w:eastAsia="Century Schoolbook" w:hAnsi="Century Schoolbook" w:cs="Century Schoolbook"/>
          <w:i w:val="0"/>
          <w:iCs w:val="0"/>
          <w:sz w:val="20"/>
          <w:szCs w:val="20"/>
        </w:rPr>
      </w:pPr>
      <w:bookmarkStart w:id="127" w:name="_Toc42549206"/>
      <w:r w:rsidRPr="005970E9">
        <w:rPr>
          <w:rFonts w:ascii="Century Schoolbook" w:hAnsi="Century Schoolbook"/>
          <w:i w:val="0"/>
          <w:iCs w:val="0"/>
          <w:sz w:val="22"/>
          <w:szCs w:val="22"/>
        </w:rPr>
        <w:t xml:space="preserve">Tabla </w:t>
      </w:r>
      <w:r w:rsidRPr="005970E9">
        <w:rPr>
          <w:rFonts w:ascii="Century Schoolbook" w:hAnsi="Century Schoolbook"/>
          <w:i w:val="0"/>
          <w:iCs w:val="0"/>
          <w:sz w:val="22"/>
          <w:szCs w:val="22"/>
        </w:rPr>
        <w:fldChar w:fldCharType="begin"/>
      </w:r>
      <w:r w:rsidRPr="005970E9">
        <w:rPr>
          <w:rFonts w:ascii="Century Schoolbook" w:hAnsi="Century Schoolbook"/>
          <w:i w:val="0"/>
          <w:iCs w:val="0"/>
          <w:sz w:val="22"/>
          <w:szCs w:val="22"/>
        </w:rPr>
        <w:instrText xml:space="preserve"> SEQ Tabla \* ARABIC </w:instrText>
      </w:r>
      <w:r w:rsidRPr="005970E9">
        <w:rPr>
          <w:rFonts w:ascii="Century Schoolbook" w:hAnsi="Century Schoolbook"/>
          <w:i w:val="0"/>
          <w:iCs w:val="0"/>
          <w:sz w:val="22"/>
          <w:szCs w:val="22"/>
        </w:rPr>
        <w:fldChar w:fldCharType="separate"/>
      </w:r>
      <w:r w:rsidR="009D1829" w:rsidRPr="005970E9">
        <w:rPr>
          <w:rFonts w:ascii="Century Schoolbook" w:hAnsi="Century Schoolbook"/>
          <w:i w:val="0"/>
          <w:iCs w:val="0"/>
          <w:noProof/>
          <w:sz w:val="22"/>
          <w:szCs w:val="22"/>
        </w:rPr>
        <w:t>12</w:t>
      </w:r>
      <w:r w:rsidRPr="005970E9">
        <w:rPr>
          <w:rFonts w:ascii="Century Schoolbook" w:hAnsi="Century Schoolbook"/>
          <w:i w:val="0"/>
          <w:iCs w:val="0"/>
          <w:sz w:val="22"/>
          <w:szCs w:val="22"/>
        </w:rPr>
        <w:fldChar w:fldCharType="end"/>
      </w:r>
      <w:r w:rsidR="00D5734F" w:rsidRPr="005970E9">
        <w:rPr>
          <w:rFonts w:ascii="Century Schoolbook" w:hAnsi="Century Schoolbook"/>
          <w:i w:val="0"/>
          <w:iCs w:val="0"/>
          <w:sz w:val="20"/>
          <w:szCs w:val="20"/>
        </w:rPr>
        <w:t xml:space="preserve"> </w:t>
      </w:r>
      <w:r w:rsidR="002C77C2" w:rsidRPr="005970E9">
        <w:rPr>
          <w:rFonts w:ascii="Century Schoolbook" w:eastAsia="Century Schoolbook" w:hAnsi="Century Schoolbook" w:cs="Century Schoolbook"/>
          <w:i w:val="0"/>
          <w:iCs w:val="0"/>
          <w:sz w:val="20"/>
          <w:szCs w:val="20"/>
        </w:rPr>
        <w:t>Población que trabaja más de 40 horas y no percibe salario mínimo</w:t>
      </w:r>
      <w:bookmarkEnd w:id="127"/>
    </w:p>
    <w:tbl>
      <w:tblPr>
        <w:tblW w:w="7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1838"/>
        <w:gridCol w:w="1754"/>
        <w:gridCol w:w="1754"/>
        <w:gridCol w:w="1754"/>
        <w:gridCol w:w="11"/>
      </w:tblGrid>
      <w:tr w:rsidR="00E87B38" w:rsidRPr="005970E9" w14:paraId="2F658EF6" w14:textId="77777777" w:rsidTr="00D5734F">
        <w:trPr>
          <w:gridAfter w:val="1"/>
          <w:wAfter w:w="11" w:type="dxa"/>
          <w:trHeight w:val="276"/>
          <w:jc w:val="center"/>
        </w:trPr>
        <w:tc>
          <w:tcPr>
            <w:tcW w:w="1838" w:type="dxa"/>
            <w:vMerge w:val="restart"/>
            <w:shd w:val="clear" w:color="auto" w:fill="CCC0D9" w:themeFill="accent4" w:themeFillTint="66"/>
            <w:vAlign w:val="center"/>
          </w:tcPr>
          <w:p w14:paraId="7A880158" w14:textId="77777777" w:rsidR="002C77C2" w:rsidRPr="005970E9" w:rsidRDefault="002C77C2" w:rsidP="002C77C2">
            <w:pPr>
              <w:jc w:val="center"/>
              <w:rPr>
                <w:rFonts w:eastAsia="Arial" w:cs="Arial"/>
                <w:b/>
                <w:sz w:val="20"/>
                <w:szCs w:val="20"/>
              </w:rPr>
            </w:pPr>
            <w:r w:rsidRPr="005970E9">
              <w:rPr>
                <w:rFonts w:eastAsia="Arial" w:cs="Arial"/>
                <w:b/>
                <w:sz w:val="20"/>
                <w:szCs w:val="20"/>
              </w:rPr>
              <w:t>Área y sexo</w:t>
            </w:r>
          </w:p>
        </w:tc>
        <w:tc>
          <w:tcPr>
            <w:tcW w:w="5262" w:type="dxa"/>
            <w:gridSpan w:val="3"/>
            <w:shd w:val="clear" w:color="auto" w:fill="CCC0D9" w:themeFill="accent4" w:themeFillTint="66"/>
            <w:vAlign w:val="center"/>
          </w:tcPr>
          <w:p w14:paraId="4EA8738C" w14:textId="77777777" w:rsidR="002C77C2" w:rsidRPr="005970E9" w:rsidRDefault="002C77C2">
            <w:pPr>
              <w:jc w:val="center"/>
              <w:rPr>
                <w:rFonts w:eastAsia="Arial" w:cs="Arial"/>
                <w:b/>
                <w:sz w:val="20"/>
                <w:szCs w:val="20"/>
              </w:rPr>
            </w:pPr>
            <w:r w:rsidRPr="005970E9">
              <w:rPr>
                <w:rFonts w:eastAsia="Arial" w:cs="Arial"/>
                <w:b/>
                <w:sz w:val="20"/>
                <w:szCs w:val="20"/>
              </w:rPr>
              <w:t>Porcentaje de población que trabajan 40 y más horas con ingreso inferior al salario mínimo</w:t>
            </w:r>
          </w:p>
        </w:tc>
      </w:tr>
      <w:tr w:rsidR="00E87B38" w:rsidRPr="005970E9" w14:paraId="0F8BDF5F" w14:textId="77777777" w:rsidTr="00D5734F">
        <w:trPr>
          <w:gridAfter w:val="1"/>
          <w:wAfter w:w="11" w:type="dxa"/>
          <w:trHeight w:val="276"/>
          <w:jc w:val="center"/>
        </w:trPr>
        <w:tc>
          <w:tcPr>
            <w:tcW w:w="1838" w:type="dxa"/>
            <w:vMerge/>
            <w:shd w:val="clear" w:color="auto" w:fill="9BC2E6"/>
            <w:vAlign w:val="bottom"/>
          </w:tcPr>
          <w:p w14:paraId="662A49AF" w14:textId="77777777" w:rsidR="002C77C2" w:rsidRPr="005970E9" w:rsidRDefault="002C77C2">
            <w:pPr>
              <w:rPr>
                <w:rFonts w:eastAsia="Arial" w:cs="Arial"/>
                <w:sz w:val="20"/>
                <w:szCs w:val="20"/>
              </w:rPr>
            </w:pPr>
          </w:p>
        </w:tc>
        <w:tc>
          <w:tcPr>
            <w:tcW w:w="1754" w:type="dxa"/>
            <w:shd w:val="clear" w:color="auto" w:fill="CCC0D9" w:themeFill="accent4" w:themeFillTint="66"/>
            <w:vAlign w:val="bottom"/>
          </w:tcPr>
          <w:p w14:paraId="7F59A200" w14:textId="77777777" w:rsidR="002C77C2" w:rsidRPr="005970E9" w:rsidRDefault="002C77C2">
            <w:pPr>
              <w:jc w:val="center"/>
              <w:rPr>
                <w:rFonts w:eastAsia="Arial" w:cs="Arial"/>
                <w:b/>
                <w:sz w:val="20"/>
                <w:szCs w:val="20"/>
              </w:rPr>
            </w:pPr>
            <w:r w:rsidRPr="005970E9">
              <w:rPr>
                <w:rFonts w:eastAsia="Arial" w:cs="Arial"/>
                <w:b/>
                <w:sz w:val="20"/>
                <w:szCs w:val="20"/>
              </w:rPr>
              <w:t>2017</w:t>
            </w:r>
          </w:p>
        </w:tc>
        <w:tc>
          <w:tcPr>
            <w:tcW w:w="1754" w:type="dxa"/>
            <w:shd w:val="clear" w:color="auto" w:fill="CCC0D9" w:themeFill="accent4" w:themeFillTint="66"/>
            <w:vAlign w:val="bottom"/>
          </w:tcPr>
          <w:p w14:paraId="2CA8DBA1" w14:textId="77777777" w:rsidR="002C77C2" w:rsidRPr="005970E9" w:rsidRDefault="002C77C2">
            <w:pPr>
              <w:jc w:val="center"/>
              <w:rPr>
                <w:rFonts w:eastAsia="Arial" w:cs="Arial"/>
                <w:b/>
                <w:sz w:val="20"/>
                <w:szCs w:val="20"/>
              </w:rPr>
            </w:pPr>
            <w:r w:rsidRPr="005970E9">
              <w:rPr>
                <w:rFonts w:eastAsia="Arial" w:cs="Arial"/>
                <w:b/>
                <w:sz w:val="20"/>
                <w:szCs w:val="20"/>
              </w:rPr>
              <w:t>2018</w:t>
            </w:r>
          </w:p>
        </w:tc>
        <w:tc>
          <w:tcPr>
            <w:tcW w:w="1754" w:type="dxa"/>
            <w:shd w:val="clear" w:color="auto" w:fill="CCC0D9" w:themeFill="accent4" w:themeFillTint="66"/>
            <w:vAlign w:val="bottom"/>
          </w:tcPr>
          <w:p w14:paraId="64FE6C41" w14:textId="77777777" w:rsidR="002C77C2" w:rsidRPr="005970E9" w:rsidRDefault="002C77C2">
            <w:pPr>
              <w:jc w:val="center"/>
              <w:rPr>
                <w:rFonts w:eastAsia="Arial" w:cs="Arial"/>
                <w:b/>
                <w:sz w:val="20"/>
                <w:szCs w:val="20"/>
              </w:rPr>
            </w:pPr>
            <w:r w:rsidRPr="005970E9">
              <w:rPr>
                <w:rFonts w:eastAsia="Arial" w:cs="Arial"/>
                <w:b/>
                <w:sz w:val="20"/>
                <w:szCs w:val="20"/>
              </w:rPr>
              <w:t>2019</w:t>
            </w:r>
          </w:p>
        </w:tc>
      </w:tr>
      <w:tr w:rsidR="00E87B38" w:rsidRPr="005970E9" w14:paraId="15737586" w14:textId="77777777" w:rsidTr="00701A49">
        <w:trPr>
          <w:gridAfter w:val="1"/>
          <w:wAfter w:w="11" w:type="dxa"/>
          <w:trHeight w:val="276"/>
          <w:jc w:val="center"/>
        </w:trPr>
        <w:tc>
          <w:tcPr>
            <w:tcW w:w="1838" w:type="dxa"/>
            <w:shd w:val="clear" w:color="auto" w:fill="auto"/>
            <w:vAlign w:val="bottom"/>
          </w:tcPr>
          <w:p w14:paraId="0404E641" w14:textId="77777777" w:rsidR="00B76B0C" w:rsidRPr="005970E9" w:rsidRDefault="003B5C05">
            <w:pPr>
              <w:ind w:firstLine="402"/>
              <w:rPr>
                <w:rFonts w:eastAsia="Arial" w:cs="Arial"/>
                <w:b/>
                <w:sz w:val="20"/>
                <w:szCs w:val="20"/>
              </w:rPr>
            </w:pPr>
            <w:r w:rsidRPr="005970E9">
              <w:rPr>
                <w:rFonts w:eastAsia="Arial" w:cs="Arial"/>
                <w:b/>
                <w:sz w:val="20"/>
                <w:szCs w:val="20"/>
              </w:rPr>
              <w:t>TOTAL (1)</w:t>
            </w:r>
          </w:p>
        </w:tc>
        <w:tc>
          <w:tcPr>
            <w:tcW w:w="1754" w:type="dxa"/>
            <w:shd w:val="clear" w:color="auto" w:fill="auto"/>
            <w:vAlign w:val="bottom"/>
          </w:tcPr>
          <w:p w14:paraId="4B01FB91" w14:textId="77777777" w:rsidR="00B76B0C" w:rsidRPr="005970E9" w:rsidRDefault="003B5C05">
            <w:pPr>
              <w:jc w:val="right"/>
              <w:rPr>
                <w:rFonts w:eastAsia="Arial" w:cs="Arial"/>
                <w:sz w:val="20"/>
                <w:szCs w:val="20"/>
              </w:rPr>
            </w:pPr>
            <w:r w:rsidRPr="005970E9">
              <w:rPr>
                <w:rFonts w:eastAsia="Arial" w:cs="Arial"/>
                <w:sz w:val="20"/>
                <w:szCs w:val="20"/>
              </w:rPr>
              <w:t>12.0</w:t>
            </w:r>
          </w:p>
        </w:tc>
        <w:tc>
          <w:tcPr>
            <w:tcW w:w="1754" w:type="dxa"/>
            <w:shd w:val="clear" w:color="auto" w:fill="auto"/>
            <w:vAlign w:val="bottom"/>
          </w:tcPr>
          <w:p w14:paraId="261CCD1C" w14:textId="77777777" w:rsidR="00B76B0C" w:rsidRPr="005970E9" w:rsidRDefault="003B5C05">
            <w:pPr>
              <w:jc w:val="right"/>
              <w:rPr>
                <w:rFonts w:eastAsia="Arial" w:cs="Arial"/>
                <w:sz w:val="20"/>
                <w:szCs w:val="20"/>
              </w:rPr>
            </w:pPr>
            <w:r w:rsidRPr="005970E9">
              <w:rPr>
                <w:rFonts w:eastAsia="Arial" w:cs="Arial"/>
                <w:sz w:val="20"/>
                <w:szCs w:val="20"/>
              </w:rPr>
              <w:t>14.3</w:t>
            </w:r>
          </w:p>
        </w:tc>
        <w:tc>
          <w:tcPr>
            <w:tcW w:w="1754" w:type="dxa"/>
            <w:shd w:val="clear" w:color="auto" w:fill="auto"/>
            <w:vAlign w:val="bottom"/>
          </w:tcPr>
          <w:p w14:paraId="39F56012" w14:textId="77777777" w:rsidR="00B76B0C" w:rsidRPr="005970E9" w:rsidRDefault="003B5C05">
            <w:pPr>
              <w:jc w:val="right"/>
              <w:rPr>
                <w:rFonts w:eastAsia="Arial" w:cs="Arial"/>
                <w:sz w:val="20"/>
                <w:szCs w:val="20"/>
              </w:rPr>
            </w:pPr>
            <w:r w:rsidRPr="005970E9">
              <w:rPr>
                <w:rFonts w:eastAsia="Arial" w:cs="Arial"/>
                <w:sz w:val="20"/>
                <w:szCs w:val="20"/>
              </w:rPr>
              <w:t>12.9</w:t>
            </w:r>
          </w:p>
        </w:tc>
      </w:tr>
      <w:tr w:rsidR="00E87B38" w:rsidRPr="005970E9" w14:paraId="48786964" w14:textId="77777777" w:rsidTr="00701A49">
        <w:trPr>
          <w:gridAfter w:val="1"/>
          <w:wAfter w:w="11" w:type="dxa"/>
          <w:trHeight w:val="276"/>
          <w:jc w:val="center"/>
        </w:trPr>
        <w:tc>
          <w:tcPr>
            <w:tcW w:w="1838" w:type="dxa"/>
            <w:shd w:val="clear" w:color="auto" w:fill="auto"/>
            <w:vAlign w:val="bottom"/>
          </w:tcPr>
          <w:p w14:paraId="09704723" w14:textId="77777777" w:rsidR="00B76B0C" w:rsidRPr="005970E9" w:rsidRDefault="003B5C05">
            <w:pPr>
              <w:rPr>
                <w:rFonts w:eastAsia="Arial" w:cs="Arial"/>
                <w:sz w:val="20"/>
                <w:szCs w:val="20"/>
              </w:rPr>
            </w:pPr>
            <w:r w:rsidRPr="005970E9">
              <w:rPr>
                <w:rFonts w:eastAsia="Arial" w:cs="Arial"/>
                <w:sz w:val="20"/>
                <w:szCs w:val="20"/>
              </w:rPr>
              <w:t>Urbana</w:t>
            </w:r>
          </w:p>
        </w:tc>
        <w:tc>
          <w:tcPr>
            <w:tcW w:w="1754" w:type="dxa"/>
            <w:shd w:val="clear" w:color="auto" w:fill="auto"/>
            <w:vAlign w:val="bottom"/>
          </w:tcPr>
          <w:p w14:paraId="3365B8B2" w14:textId="77777777" w:rsidR="00B76B0C" w:rsidRPr="005970E9" w:rsidRDefault="003B5C05">
            <w:pPr>
              <w:jc w:val="right"/>
              <w:rPr>
                <w:rFonts w:eastAsia="Arial" w:cs="Arial"/>
                <w:sz w:val="20"/>
                <w:szCs w:val="20"/>
              </w:rPr>
            </w:pPr>
            <w:r w:rsidRPr="005970E9">
              <w:rPr>
                <w:rFonts w:eastAsia="Arial" w:cs="Arial"/>
                <w:sz w:val="20"/>
                <w:szCs w:val="20"/>
              </w:rPr>
              <w:t>8.6</w:t>
            </w:r>
          </w:p>
        </w:tc>
        <w:tc>
          <w:tcPr>
            <w:tcW w:w="1754" w:type="dxa"/>
            <w:shd w:val="clear" w:color="auto" w:fill="auto"/>
            <w:vAlign w:val="bottom"/>
          </w:tcPr>
          <w:p w14:paraId="606B5A3B" w14:textId="77777777" w:rsidR="00B76B0C" w:rsidRPr="005970E9" w:rsidRDefault="003B5C05">
            <w:pPr>
              <w:jc w:val="right"/>
              <w:rPr>
                <w:rFonts w:eastAsia="Arial" w:cs="Arial"/>
                <w:sz w:val="20"/>
                <w:szCs w:val="20"/>
              </w:rPr>
            </w:pPr>
            <w:r w:rsidRPr="005970E9">
              <w:rPr>
                <w:rFonts w:eastAsia="Arial" w:cs="Arial"/>
                <w:sz w:val="20"/>
                <w:szCs w:val="20"/>
              </w:rPr>
              <w:t>11.1</w:t>
            </w:r>
          </w:p>
        </w:tc>
        <w:tc>
          <w:tcPr>
            <w:tcW w:w="1754" w:type="dxa"/>
            <w:shd w:val="clear" w:color="auto" w:fill="auto"/>
            <w:vAlign w:val="bottom"/>
          </w:tcPr>
          <w:p w14:paraId="117173E9" w14:textId="77777777" w:rsidR="00B76B0C" w:rsidRPr="005970E9" w:rsidRDefault="003B5C05">
            <w:pPr>
              <w:jc w:val="right"/>
              <w:rPr>
                <w:rFonts w:eastAsia="Arial" w:cs="Arial"/>
                <w:sz w:val="20"/>
                <w:szCs w:val="20"/>
              </w:rPr>
            </w:pPr>
            <w:r w:rsidRPr="005970E9">
              <w:rPr>
                <w:rFonts w:eastAsia="Arial" w:cs="Arial"/>
                <w:sz w:val="20"/>
                <w:szCs w:val="20"/>
              </w:rPr>
              <w:t>9.8</w:t>
            </w:r>
          </w:p>
        </w:tc>
      </w:tr>
      <w:tr w:rsidR="00E87B38" w:rsidRPr="005970E9" w14:paraId="17EB3C60" w14:textId="77777777" w:rsidTr="00701A49">
        <w:trPr>
          <w:gridAfter w:val="1"/>
          <w:wAfter w:w="11" w:type="dxa"/>
          <w:trHeight w:val="276"/>
          <w:jc w:val="center"/>
        </w:trPr>
        <w:tc>
          <w:tcPr>
            <w:tcW w:w="1838" w:type="dxa"/>
            <w:shd w:val="clear" w:color="auto" w:fill="auto"/>
            <w:vAlign w:val="bottom"/>
          </w:tcPr>
          <w:p w14:paraId="4E700090" w14:textId="77777777" w:rsidR="00B76B0C" w:rsidRPr="005970E9" w:rsidRDefault="003B5C05">
            <w:pPr>
              <w:rPr>
                <w:rFonts w:eastAsia="Arial" w:cs="Arial"/>
                <w:sz w:val="20"/>
                <w:szCs w:val="20"/>
              </w:rPr>
            </w:pPr>
            <w:r w:rsidRPr="005970E9">
              <w:rPr>
                <w:rFonts w:eastAsia="Arial" w:cs="Arial"/>
                <w:sz w:val="20"/>
                <w:szCs w:val="20"/>
              </w:rPr>
              <w:t>Rural</w:t>
            </w:r>
          </w:p>
        </w:tc>
        <w:tc>
          <w:tcPr>
            <w:tcW w:w="1754" w:type="dxa"/>
            <w:shd w:val="clear" w:color="auto" w:fill="auto"/>
            <w:vAlign w:val="bottom"/>
          </w:tcPr>
          <w:p w14:paraId="39D268FB" w14:textId="77777777" w:rsidR="00B76B0C" w:rsidRPr="005970E9" w:rsidRDefault="003B5C05">
            <w:pPr>
              <w:jc w:val="right"/>
              <w:rPr>
                <w:rFonts w:eastAsia="Arial" w:cs="Arial"/>
                <w:sz w:val="20"/>
                <w:szCs w:val="20"/>
              </w:rPr>
            </w:pPr>
            <w:r w:rsidRPr="005970E9">
              <w:rPr>
                <w:rFonts w:eastAsia="Arial" w:cs="Arial"/>
                <w:sz w:val="20"/>
                <w:szCs w:val="20"/>
              </w:rPr>
              <w:t>26.5</w:t>
            </w:r>
          </w:p>
        </w:tc>
        <w:tc>
          <w:tcPr>
            <w:tcW w:w="1754" w:type="dxa"/>
            <w:shd w:val="clear" w:color="auto" w:fill="auto"/>
            <w:vAlign w:val="bottom"/>
          </w:tcPr>
          <w:p w14:paraId="581248C3" w14:textId="77777777" w:rsidR="00B76B0C" w:rsidRPr="005970E9" w:rsidRDefault="003B5C05">
            <w:pPr>
              <w:jc w:val="right"/>
              <w:rPr>
                <w:rFonts w:eastAsia="Arial" w:cs="Arial"/>
                <w:sz w:val="20"/>
                <w:szCs w:val="20"/>
              </w:rPr>
            </w:pPr>
            <w:r w:rsidRPr="005970E9">
              <w:rPr>
                <w:rFonts w:eastAsia="Arial" w:cs="Arial"/>
                <w:sz w:val="20"/>
                <w:szCs w:val="20"/>
              </w:rPr>
              <w:t>27.8</w:t>
            </w:r>
          </w:p>
        </w:tc>
        <w:tc>
          <w:tcPr>
            <w:tcW w:w="1754" w:type="dxa"/>
            <w:shd w:val="clear" w:color="auto" w:fill="auto"/>
            <w:vAlign w:val="bottom"/>
          </w:tcPr>
          <w:p w14:paraId="507E4A0A" w14:textId="77777777" w:rsidR="00B76B0C" w:rsidRPr="005970E9" w:rsidRDefault="003B5C05">
            <w:pPr>
              <w:jc w:val="right"/>
              <w:rPr>
                <w:rFonts w:eastAsia="Arial" w:cs="Arial"/>
                <w:sz w:val="20"/>
                <w:szCs w:val="20"/>
              </w:rPr>
            </w:pPr>
            <w:r w:rsidRPr="005970E9">
              <w:rPr>
                <w:rFonts w:eastAsia="Arial" w:cs="Arial"/>
                <w:sz w:val="20"/>
                <w:szCs w:val="20"/>
              </w:rPr>
              <w:t>26.4</w:t>
            </w:r>
          </w:p>
        </w:tc>
      </w:tr>
      <w:tr w:rsidR="00E87B38" w:rsidRPr="005970E9" w14:paraId="4BD802FA" w14:textId="77777777" w:rsidTr="00701A49">
        <w:trPr>
          <w:gridAfter w:val="1"/>
          <w:wAfter w:w="11" w:type="dxa"/>
          <w:trHeight w:val="276"/>
          <w:jc w:val="center"/>
        </w:trPr>
        <w:tc>
          <w:tcPr>
            <w:tcW w:w="1838" w:type="dxa"/>
            <w:shd w:val="clear" w:color="auto" w:fill="auto"/>
            <w:vAlign w:val="bottom"/>
          </w:tcPr>
          <w:p w14:paraId="3677E114" w14:textId="77777777" w:rsidR="00B76B0C" w:rsidRPr="005970E9" w:rsidRDefault="003B5C05">
            <w:pPr>
              <w:rPr>
                <w:rFonts w:eastAsia="Arial" w:cs="Arial"/>
                <w:sz w:val="20"/>
                <w:szCs w:val="20"/>
              </w:rPr>
            </w:pPr>
            <w:r w:rsidRPr="005970E9">
              <w:rPr>
                <w:rFonts w:eastAsia="Arial" w:cs="Arial"/>
                <w:sz w:val="20"/>
                <w:szCs w:val="20"/>
              </w:rPr>
              <w:t> </w:t>
            </w:r>
          </w:p>
        </w:tc>
        <w:tc>
          <w:tcPr>
            <w:tcW w:w="1754" w:type="dxa"/>
            <w:shd w:val="clear" w:color="auto" w:fill="auto"/>
            <w:vAlign w:val="bottom"/>
          </w:tcPr>
          <w:p w14:paraId="30028A91" w14:textId="77777777" w:rsidR="00B76B0C" w:rsidRPr="005970E9" w:rsidRDefault="003B5C05">
            <w:pPr>
              <w:rPr>
                <w:rFonts w:eastAsia="Arial" w:cs="Arial"/>
                <w:sz w:val="20"/>
                <w:szCs w:val="20"/>
              </w:rPr>
            </w:pPr>
            <w:r w:rsidRPr="005970E9">
              <w:rPr>
                <w:rFonts w:eastAsia="Arial" w:cs="Arial"/>
                <w:sz w:val="20"/>
                <w:szCs w:val="20"/>
              </w:rPr>
              <w:t> </w:t>
            </w:r>
          </w:p>
        </w:tc>
        <w:tc>
          <w:tcPr>
            <w:tcW w:w="1754" w:type="dxa"/>
            <w:shd w:val="clear" w:color="auto" w:fill="auto"/>
            <w:vAlign w:val="bottom"/>
          </w:tcPr>
          <w:p w14:paraId="6C8AAF65" w14:textId="77777777" w:rsidR="00B76B0C" w:rsidRPr="005970E9" w:rsidRDefault="003B5C05">
            <w:pPr>
              <w:rPr>
                <w:rFonts w:eastAsia="Arial" w:cs="Arial"/>
                <w:sz w:val="20"/>
                <w:szCs w:val="20"/>
              </w:rPr>
            </w:pPr>
            <w:r w:rsidRPr="005970E9">
              <w:rPr>
                <w:rFonts w:eastAsia="Arial" w:cs="Arial"/>
                <w:sz w:val="20"/>
                <w:szCs w:val="20"/>
              </w:rPr>
              <w:t> </w:t>
            </w:r>
          </w:p>
        </w:tc>
        <w:tc>
          <w:tcPr>
            <w:tcW w:w="1754" w:type="dxa"/>
            <w:shd w:val="clear" w:color="auto" w:fill="auto"/>
            <w:vAlign w:val="bottom"/>
          </w:tcPr>
          <w:p w14:paraId="1F77A3EA" w14:textId="77777777" w:rsidR="00B76B0C" w:rsidRPr="005970E9" w:rsidRDefault="003B5C05">
            <w:pPr>
              <w:rPr>
                <w:rFonts w:eastAsia="Arial" w:cs="Arial"/>
                <w:sz w:val="20"/>
                <w:szCs w:val="20"/>
              </w:rPr>
            </w:pPr>
            <w:r w:rsidRPr="005970E9">
              <w:rPr>
                <w:rFonts w:eastAsia="Arial" w:cs="Arial"/>
                <w:sz w:val="20"/>
                <w:szCs w:val="20"/>
              </w:rPr>
              <w:t> </w:t>
            </w:r>
          </w:p>
        </w:tc>
      </w:tr>
      <w:tr w:rsidR="00E87B38" w:rsidRPr="005970E9" w14:paraId="6338F985" w14:textId="77777777" w:rsidTr="00D5734F">
        <w:trPr>
          <w:gridAfter w:val="1"/>
          <w:wAfter w:w="11" w:type="dxa"/>
          <w:trHeight w:val="276"/>
          <w:jc w:val="center"/>
        </w:trPr>
        <w:tc>
          <w:tcPr>
            <w:tcW w:w="1838" w:type="dxa"/>
            <w:shd w:val="clear" w:color="auto" w:fill="CCC0D9" w:themeFill="accent4" w:themeFillTint="66"/>
            <w:vAlign w:val="bottom"/>
          </w:tcPr>
          <w:p w14:paraId="38F708C9" w14:textId="77777777" w:rsidR="00B76B0C" w:rsidRPr="005970E9" w:rsidRDefault="003B5C05">
            <w:pPr>
              <w:ind w:firstLine="402"/>
              <w:rPr>
                <w:rFonts w:eastAsia="Arial" w:cs="Arial"/>
                <w:b/>
                <w:sz w:val="20"/>
                <w:szCs w:val="20"/>
              </w:rPr>
            </w:pPr>
            <w:r w:rsidRPr="005970E9">
              <w:rPr>
                <w:rFonts w:eastAsia="Arial" w:cs="Arial"/>
                <w:b/>
                <w:sz w:val="20"/>
                <w:szCs w:val="20"/>
              </w:rPr>
              <w:t>Hombres</w:t>
            </w:r>
          </w:p>
        </w:tc>
        <w:tc>
          <w:tcPr>
            <w:tcW w:w="1754" w:type="dxa"/>
            <w:shd w:val="clear" w:color="auto" w:fill="CCC0D9" w:themeFill="accent4" w:themeFillTint="66"/>
            <w:vAlign w:val="bottom"/>
          </w:tcPr>
          <w:p w14:paraId="7818EA4C" w14:textId="77777777" w:rsidR="00B76B0C" w:rsidRPr="005970E9" w:rsidRDefault="003B5C05">
            <w:pPr>
              <w:jc w:val="right"/>
              <w:rPr>
                <w:rFonts w:eastAsia="Arial" w:cs="Arial"/>
                <w:sz w:val="20"/>
                <w:szCs w:val="20"/>
              </w:rPr>
            </w:pPr>
            <w:r w:rsidRPr="005970E9">
              <w:rPr>
                <w:rFonts w:eastAsia="Arial" w:cs="Arial"/>
                <w:sz w:val="20"/>
                <w:szCs w:val="20"/>
              </w:rPr>
              <w:t>13.4</w:t>
            </w:r>
          </w:p>
        </w:tc>
        <w:tc>
          <w:tcPr>
            <w:tcW w:w="1754" w:type="dxa"/>
            <w:shd w:val="clear" w:color="auto" w:fill="CCC0D9" w:themeFill="accent4" w:themeFillTint="66"/>
            <w:vAlign w:val="bottom"/>
          </w:tcPr>
          <w:p w14:paraId="6EE1594C" w14:textId="77777777" w:rsidR="00B76B0C" w:rsidRPr="005970E9" w:rsidRDefault="003B5C05">
            <w:pPr>
              <w:jc w:val="right"/>
              <w:rPr>
                <w:rFonts w:eastAsia="Arial" w:cs="Arial"/>
                <w:sz w:val="20"/>
                <w:szCs w:val="20"/>
              </w:rPr>
            </w:pPr>
            <w:r w:rsidRPr="005970E9">
              <w:rPr>
                <w:rFonts w:eastAsia="Arial" w:cs="Arial"/>
                <w:sz w:val="20"/>
                <w:szCs w:val="20"/>
              </w:rPr>
              <w:t>14.5</w:t>
            </w:r>
          </w:p>
        </w:tc>
        <w:tc>
          <w:tcPr>
            <w:tcW w:w="1754" w:type="dxa"/>
            <w:shd w:val="clear" w:color="auto" w:fill="CCC0D9" w:themeFill="accent4" w:themeFillTint="66"/>
            <w:vAlign w:val="bottom"/>
          </w:tcPr>
          <w:p w14:paraId="562BA3D5" w14:textId="77777777" w:rsidR="00B76B0C" w:rsidRPr="005970E9" w:rsidRDefault="003B5C05">
            <w:pPr>
              <w:jc w:val="right"/>
              <w:rPr>
                <w:rFonts w:eastAsia="Arial" w:cs="Arial"/>
                <w:sz w:val="20"/>
                <w:szCs w:val="20"/>
              </w:rPr>
            </w:pPr>
            <w:r w:rsidRPr="005970E9">
              <w:rPr>
                <w:rFonts w:eastAsia="Arial" w:cs="Arial"/>
                <w:sz w:val="20"/>
                <w:szCs w:val="20"/>
              </w:rPr>
              <w:t>12.6</w:t>
            </w:r>
          </w:p>
        </w:tc>
      </w:tr>
      <w:tr w:rsidR="00E87B38" w:rsidRPr="005970E9" w14:paraId="0A052C38" w14:textId="77777777" w:rsidTr="00701A49">
        <w:trPr>
          <w:gridAfter w:val="1"/>
          <w:wAfter w:w="11" w:type="dxa"/>
          <w:trHeight w:val="276"/>
          <w:jc w:val="center"/>
        </w:trPr>
        <w:tc>
          <w:tcPr>
            <w:tcW w:w="1838" w:type="dxa"/>
            <w:shd w:val="clear" w:color="auto" w:fill="auto"/>
            <w:vAlign w:val="bottom"/>
          </w:tcPr>
          <w:p w14:paraId="1BC946AD" w14:textId="77777777" w:rsidR="00B76B0C" w:rsidRPr="005970E9" w:rsidRDefault="003B5C05">
            <w:pPr>
              <w:rPr>
                <w:rFonts w:eastAsia="Arial" w:cs="Arial"/>
                <w:sz w:val="20"/>
                <w:szCs w:val="20"/>
              </w:rPr>
            </w:pPr>
            <w:r w:rsidRPr="005970E9">
              <w:rPr>
                <w:rFonts w:eastAsia="Arial" w:cs="Arial"/>
                <w:sz w:val="20"/>
                <w:szCs w:val="20"/>
              </w:rPr>
              <w:t>Urbana</w:t>
            </w:r>
          </w:p>
        </w:tc>
        <w:tc>
          <w:tcPr>
            <w:tcW w:w="1754" w:type="dxa"/>
            <w:shd w:val="clear" w:color="auto" w:fill="auto"/>
            <w:vAlign w:val="bottom"/>
          </w:tcPr>
          <w:p w14:paraId="13A908C8" w14:textId="77777777" w:rsidR="00B76B0C" w:rsidRPr="005970E9" w:rsidRDefault="003B5C05">
            <w:pPr>
              <w:jc w:val="right"/>
              <w:rPr>
                <w:rFonts w:eastAsia="Arial" w:cs="Arial"/>
                <w:sz w:val="20"/>
                <w:szCs w:val="20"/>
              </w:rPr>
            </w:pPr>
            <w:r w:rsidRPr="005970E9">
              <w:rPr>
                <w:rFonts w:eastAsia="Arial" w:cs="Arial"/>
                <w:sz w:val="20"/>
                <w:szCs w:val="20"/>
              </w:rPr>
              <w:t>8.8</w:t>
            </w:r>
          </w:p>
        </w:tc>
        <w:tc>
          <w:tcPr>
            <w:tcW w:w="1754" w:type="dxa"/>
            <w:shd w:val="clear" w:color="auto" w:fill="auto"/>
            <w:vAlign w:val="bottom"/>
          </w:tcPr>
          <w:p w14:paraId="56C2A165" w14:textId="77777777" w:rsidR="00B76B0C" w:rsidRPr="005970E9" w:rsidRDefault="003B5C05">
            <w:pPr>
              <w:jc w:val="right"/>
              <w:rPr>
                <w:rFonts w:eastAsia="Arial" w:cs="Arial"/>
                <w:sz w:val="20"/>
                <w:szCs w:val="20"/>
              </w:rPr>
            </w:pPr>
            <w:r w:rsidRPr="005970E9">
              <w:rPr>
                <w:rFonts w:eastAsia="Arial" w:cs="Arial"/>
                <w:sz w:val="20"/>
                <w:szCs w:val="20"/>
              </w:rPr>
              <w:t>10.7</w:t>
            </w:r>
          </w:p>
        </w:tc>
        <w:tc>
          <w:tcPr>
            <w:tcW w:w="1754" w:type="dxa"/>
            <w:shd w:val="clear" w:color="auto" w:fill="auto"/>
            <w:vAlign w:val="bottom"/>
          </w:tcPr>
          <w:p w14:paraId="03B67723" w14:textId="77777777" w:rsidR="00B76B0C" w:rsidRPr="005970E9" w:rsidRDefault="003B5C05">
            <w:pPr>
              <w:jc w:val="right"/>
              <w:rPr>
                <w:rFonts w:eastAsia="Arial" w:cs="Arial"/>
                <w:sz w:val="20"/>
                <w:szCs w:val="20"/>
              </w:rPr>
            </w:pPr>
            <w:r w:rsidRPr="005970E9">
              <w:rPr>
                <w:rFonts w:eastAsia="Arial" w:cs="Arial"/>
                <w:sz w:val="20"/>
                <w:szCs w:val="20"/>
              </w:rPr>
              <w:t>8.8</w:t>
            </w:r>
          </w:p>
        </w:tc>
      </w:tr>
      <w:tr w:rsidR="00E87B38" w:rsidRPr="005970E9" w14:paraId="6C7361BB" w14:textId="77777777" w:rsidTr="00701A49">
        <w:trPr>
          <w:gridAfter w:val="1"/>
          <w:wAfter w:w="11" w:type="dxa"/>
          <w:trHeight w:val="276"/>
          <w:jc w:val="center"/>
        </w:trPr>
        <w:tc>
          <w:tcPr>
            <w:tcW w:w="1838" w:type="dxa"/>
            <w:shd w:val="clear" w:color="auto" w:fill="auto"/>
            <w:vAlign w:val="bottom"/>
          </w:tcPr>
          <w:p w14:paraId="037E2428" w14:textId="77777777" w:rsidR="00B76B0C" w:rsidRPr="005970E9" w:rsidRDefault="003B5C05">
            <w:pPr>
              <w:rPr>
                <w:rFonts w:eastAsia="Arial" w:cs="Arial"/>
                <w:sz w:val="20"/>
                <w:szCs w:val="20"/>
              </w:rPr>
            </w:pPr>
            <w:r w:rsidRPr="005970E9">
              <w:rPr>
                <w:rFonts w:eastAsia="Arial" w:cs="Arial"/>
                <w:sz w:val="20"/>
                <w:szCs w:val="20"/>
              </w:rPr>
              <w:t>Rural</w:t>
            </w:r>
          </w:p>
        </w:tc>
        <w:tc>
          <w:tcPr>
            <w:tcW w:w="1754" w:type="dxa"/>
            <w:shd w:val="clear" w:color="auto" w:fill="auto"/>
            <w:vAlign w:val="bottom"/>
          </w:tcPr>
          <w:p w14:paraId="193DD4C5" w14:textId="77777777" w:rsidR="00B76B0C" w:rsidRPr="005970E9" w:rsidRDefault="003B5C05">
            <w:pPr>
              <w:jc w:val="right"/>
              <w:rPr>
                <w:rFonts w:eastAsia="Arial" w:cs="Arial"/>
                <w:sz w:val="20"/>
                <w:szCs w:val="20"/>
              </w:rPr>
            </w:pPr>
            <w:r w:rsidRPr="005970E9">
              <w:rPr>
                <w:rFonts w:eastAsia="Arial" w:cs="Arial"/>
                <w:sz w:val="20"/>
                <w:szCs w:val="20"/>
              </w:rPr>
              <w:t>29.6</w:t>
            </w:r>
          </w:p>
        </w:tc>
        <w:tc>
          <w:tcPr>
            <w:tcW w:w="1754" w:type="dxa"/>
            <w:shd w:val="clear" w:color="auto" w:fill="auto"/>
            <w:vAlign w:val="bottom"/>
          </w:tcPr>
          <w:p w14:paraId="741852EB" w14:textId="77777777" w:rsidR="00B76B0C" w:rsidRPr="005970E9" w:rsidRDefault="003B5C05">
            <w:pPr>
              <w:jc w:val="right"/>
              <w:rPr>
                <w:rFonts w:eastAsia="Arial" w:cs="Arial"/>
                <w:sz w:val="20"/>
                <w:szCs w:val="20"/>
              </w:rPr>
            </w:pPr>
            <w:r w:rsidRPr="005970E9">
              <w:rPr>
                <w:rFonts w:eastAsia="Arial" w:cs="Arial"/>
                <w:sz w:val="20"/>
                <w:szCs w:val="20"/>
              </w:rPr>
              <w:t>27.9</w:t>
            </w:r>
          </w:p>
        </w:tc>
        <w:tc>
          <w:tcPr>
            <w:tcW w:w="1754" w:type="dxa"/>
            <w:shd w:val="clear" w:color="auto" w:fill="auto"/>
            <w:vAlign w:val="bottom"/>
          </w:tcPr>
          <w:p w14:paraId="6431FAE7" w14:textId="77777777" w:rsidR="00B76B0C" w:rsidRPr="005970E9" w:rsidRDefault="003B5C05">
            <w:pPr>
              <w:jc w:val="right"/>
              <w:rPr>
                <w:rFonts w:eastAsia="Arial" w:cs="Arial"/>
                <w:sz w:val="20"/>
                <w:szCs w:val="20"/>
              </w:rPr>
            </w:pPr>
            <w:r w:rsidRPr="005970E9">
              <w:rPr>
                <w:rFonts w:eastAsia="Arial" w:cs="Arial"/>
                <w:sz w:val="20"/>
                <w:szCs w:val="20"/>
              </w:rPr>
              <w:t>26.6</w:t>
            </w:r>
          </w:p>
        </w:tc>
      </w:tr>
      <w:tr w:rsidR="00E87B38" w:rsidRPr="005970E9" w14:paraId="5889F812" w14:textId="77777777" w:rsidTr="00701A49">
        <w:trPr>
          <w:gridAfter w:val="1"/>
          <w:wAfter w:w="11" w:type="dxa"/>
          <w:trHeight w:val="276"/>
          <w:jc w:val="center"/>
        </w:trPr>
        <w:tc>
          <w:tcPr>
            <w:tcW w:w="1838" w:type="dxa"/>
            <w:shd w:val="clear" w:color="auto" w:fill="auto"/>
            <w:vAlign w:val="bottom"/>
          </w:tcPr>
          <w:p w14:paraId="21793FC4" w14:textId="77777777" w:rsidR="00B76B0C" w:rsidRPr="005970E9" w:rsidRDefault="00B76B0C">
            <w:pPr>
              <w:jc w:val="right"/>
              <w:rPr>
                <w:rFonts w:eastAsia="Arial" w:cs="Arial"/>
                <w:sz w:val="20"/>
                <w:szCs w:val="20"/>
              </w:rPr>
            </w:pPr>
          </w:p>
        </w:tc>
        <w:tc>
          <w:tcPr>
            <w:tcW w:w="1754" w:type="dxa"/>
            <w:shd w:val="clear" w:color="auto" w:fill="auto"/>
            <w:vAlign w:val="bottom"/>
          </w:tcPr>
          <w:p w14:paraId="43900D5B" w14:textId="77777777" w:rsidR="00B76B0C" w:rsidRPr="005970E9" w:rsidRDefault="00B76B0C">
            <w:pPr>
              <w:rPr>
                <w:rFonts w:eastAsia="Times New Roman" w:cs="Times New Roman"/>
                <w:sz w:val="20"/>
                <w:szCs w:val="20"/>
              </w:rPr>
            </w:pPr>
          </w:p>
        </w:tc>
        <w:tc>
          <w:tcPr>
            <w:tcW w:w="1754" w:type="dxa"/>
            <w:shd w:val="clear" w:color="auto" w:fill="auto"/>
            <w:vAlign w:val="bottom"/>
          </w:tcPr>
          <w:p w14:paraId="085D3D05" w14:textId="77777777" w:rsidR="00B76B0C" w:rsidRPr="005970E9" w:rsidRDefault="00B76B0C">
            <w:pPr>
              <w:rPr>
                <w:rFonts w:eastAsia="Times New Roman" w:cs="Times New Roman"/>
                <w:sz w:val="20"/>
                <w:szCs w:val="20"/>
              </w:rPr>
            </w:pPr>
          </w:p>
        </w:tc>
        <w:tc>
          <w:tcPr>
            <w:tcW w:w="1754" w:type="dxa"/>
            <w:shd w:val="clear" w:color="auto" w:fill="auto"/>
            <w:vAlign w:val="bottom"/>
          </w:tcPr>
          <w:p w14:paraId="7BFA9DF0" w14:textId="77777777" w:rsidR="00B76B0C" w:rsidRPr="005970E9" w:rsidRDefault="00B76B0C">
            <w:pPr>
              <w:rPr>
                <w:rFonts w:eastAsia="Times New Roman" w:cs="Times New Roman"/>
                <w:sz w:val="20"/>
                <w:szCs w:val="20"/>
              </w:rPr>
            </w:pPr>
          </w:p>
        </w:tc>
      </w:tr>
      <w:tr w:rsidR="00E87B38" w:rsidRPr="005970E9" w14:paraId="7108BEF7" w14:textId="77777777" w:rsidTr="00D5734F">
        <w:trPr>
          <w:gridAfter w:val="1"/>
          <w:wAfter w:w="11" w:type="dxa"/>
          <w:trHeight w:val="276"/>
          <w:jc w:val="center"/>
        </w:trPr>
        <w:tc>
          <w:tcPr>
            <w:tcW w:w="1838" w:type="dxa"/>
            <w:shd w:val="clear" w:color="auto" w:fill="CCC0D9" w:themeFill="accent4" w:themeFillTint="66"/>
            <w:vAlign w:val="bottom"/>
          </w:tcPr>
          <w:p w14:paraId="3FFEBC5B" w14:textId="77777777" w:rsidR="00B76B0C" w:rsidRPr="005970E9" w:rsidRDefault="003B5C05">
            <w:pPr>
              <w:ind w:firstLine="402"/>
              <w:rPr>
                <w:rFonts w:eastAsia="Arial" w:cs="Arial"/>
                <w:b/>
                <w:sz w:val="20"/>
                <w:szCs w:val="20"/>
              </w:rPr>
            </w:pPr>
            <w:r w:rsidRPr="005970E9">
              <w:rPr>
                <w:rFonts w:eastAsia="Arial" w:cs="Arial"/>
                <w:b/>
                <w:sz w:val="20"/>
                <w:szCs w:val="20"/>
              </w:rPr>
              <w:t>Mujeres</w:t>
            </w:r>
          </w:p>
        </w:tc>
        <w:tc>
          <w:tcPr>
            <w:tcW w:w="1754" w:type="dxa"/>
            <w:shd w:val="clear" w:color="auto" w:fill="CCC0D9" w:themeFill="accent4" w:themeFillTint="66"/>
            <w:vAlign w:val="bottom"/>
          </w:tcPr>
          <w:p w14:paraId="2A8CC587" w14:textId="77777777" w:rsidR="00B76B0C" w:rsidRPr="005970E9" w:rsidRDefault="003B5C05">
            <w:pPr>
              <w:jc w:val="right"/>
              <w:rPr>
                <w:rFonts w:eastAsia="Arial" w:cs="Arial"/>
                <w:sz w:val="20"/>
                <w:szCs w:val="20"/>
              </w:rPr>
            </w:pPr>
            <w:r w:rsidRPr="005970E9">
              <w:rPr>
                <w:rFonts w:eastAsia="Arial" w:cs="Arial"/>
                <w:sz w:val="20"/>
                <w:szCs w:val="20"/>
              </w:rPr>
              <w:t>9.9</w:t>
            </w:r>
          </w:p>
        </w:tc>
        <w:tc>
          <w:tcPr>
            <w:tcW w:w="1754" w:type="dxa"/>
            <w:shd w:val="clear" w:color="auto" w:fill="CCC0D9" w:themeFill="accent4" w:themeFillTint="66"/>
            <w:vAlign w:val="bottom"/>
          </w:tcPr>
          <w:p w14:paraId="7582970B" w14:textId="77777777" w:rsidR="00B76B0C" w:rsidRPr="005970E9" w:rsidRDefault="003B5C05">
            <w:pPr>
              <w:jc w:val="right"/>
              <w:rPr>
                <w:rFonts w:eastAsia="Arial" w:cs="Arial"/>
                <w:sz w:val="20"/>
                <w:szCs w:val="20"/>
              </w:rPr>
            </w:pPr>
            <w:r w:rsidRPr="005970E9">
              <w:rPr>
                <w:rFonts w:eastAsia="Arial" w:cs="Arial"/>
                <w:sz w:val="20"/>
                <w:szCs w:val="20"/>
              </w:rPr>
              <w:t>14.0</w:t>
            </w:r>
          </w:p>
        </w:tc>
        <w:tc>
          <w:tcPr>
            <w:tcW w:w="1754" w:type="dxa"/>
            <w:shd w:val="clear" w:color="auto" w:fill="CCC0D9" w:themeFill="accent4" w:themeFillTint="66"/>
            <w:vAlign w:val="bottom"/>
          </w:tcPr>
          <w:p w14:paraId="2DE97A62" w14:textId="77777777" w:rsidR="00B76B0C" w:rsidRPr="005970E9" w:rsidRDefault="003B5C05">
            <w:pPr>
              <w:jc w:val="right"/>
              <w:rPr>
                <w:rFonts w:eastAsia="Arial" w:cs="Arial"/>
                <w:sz w:val="20"/>
                <w:szCs w:val="20"/>
              </w:rPr>
            </w:pPr>
            <w:r w:rsidRPr="005970E9">
              <w:rPr>
                <w:rFonts w:eastAsia="Arial" w:cs="Arial"/>
                <w:sz w:val="20"/>
                <w:szCs w:val="20"/>
              </w:rPr>
              <w:t>13.3</w:t>
            </w:r>
          </w:p>
        </w:tc>
      </w:tr>
      <w:tr w:rsidR="00E87B38" w:rsidRPr="005970E9" w14:paraId="5897D277" w14:textId="77777777" w:rsidTr="00701A49">
        <w:trPr>
          <w:gridAfter w:val="1"/>
          <w:wAfter w:w="11" w:type="dxa"/>
          <w:trHeight w:val="276"/>
          <w:jc w:val="center"/>
        </w:trPr>
        <w:tc>
          <w:tcPr>
            <w:tcW w:w="1838" w:type="dxa"/>
            <w:shd w:val="clear" w:color="auto" w:fill="auto"/>
            <w:vAlign w:val="bottom"/>
          </w:tcPr>
          <w:p w14:paraId="779300DD" w14:textId="77777777" w:rsidR="00B76B0C" w:rsidRPr="005970E9" w:rsidRDefault="003B5C05">
            <w:pPr>
              <w:rPr>
                <w:rFonts w:eastAsia="Arial" w:cs="Arial"/>
                <w:sz w:val="20"/>
                <w:szCs w:val="20"/>
              </w:rPr>
            </w:pPr>
            <w:r w:rsidRPr="005970E9">
              <w:rPr>
                <w:rFonts w:eastAsia="Arial" w:cs="Arial"/>
                <w:sz w:val="20"/>
                <w:szCs w:val="20"/>
              </w:rPr>
              <w:t>Urbana</w:t>
            </w:r>
          </w:p>
        </w:tc>
        <w:tc>
          <w:tcPr>
            <w:tcW w:w="1754" w:type="dxa"/>
            <w:shd w:val="clear" w:color="auto" w:fill="auto"/>
            <w:vAlign w:val="bottom"/>
          </w:tcPr>
          <w:p w14:paraId="5D95174B" w14:textId="77777777" w:rsidR="00B76B0C" w:rsidRPr="005970E9" w:rsidRDefault="003B5C05">
            <w:pPr>
              <w:jc w:val="right"/>
              <w:rPr>
                <w:rFonts w:eastAsia="Arial" w:cs="Arial"/>
                <w:sz w:val="20"/>
                <w:szCs w:val="20"/>
              </w:rPr>
            </w:pPr>
            <w:r w:rsidRPr="005970E9">
              <w:rPr>
                <w:rFonts w:eastAsia="Arial" w:cs="Arial"/>
                <w:sz w:val="20"/>
                <w:szCs w:val="20"/>
              </w:rPr>
              <w:t>8.4</w:t>
            </w:r>
          </w:p>
        </w:tc>
        <w:tc>
          <w:tcPr>
            <w:tcW w:w="1754" w:type="dxa"/>
            <w:shd w:val="clear" w:color="auto" w:fill="auto"/>
            <w:vAlign w:val="bottom"/>
          </w:tcPr>
          <w:p w14:paraId="3BAB7F93" w14:textId="77777777" w:rsidR="00B76B0C" w:rsidRPr="005970E9" w:rsidRDefault="003B5C05">
            <w:pPr>
              <w:jc w:val="right"/>
              <w:rPr>
                <w:rFonts w:eastAsia="Arial" w:cs="Arial"/>
                <w:sz w:val="20"/>
                <w:szCs w:val="20"/>
              </w:rPr>
            </w:pPr>
            <w:r w:rsidRPr="005970E9">
              <w:rPr>
                <w:rFonts w:eastAsia="Arial" w:cs="Arial"/>
                <w:sz w:val="20"/>
                <w:szCs w:val="20"/>
              </w:rPr>
              <w:t>11.7</w:t>
            </w:r>
          </w:p>
        </w:tc>
        <w:tc>
          <w:tcPr>
            <w:tcW w:w="1754" w:type="dxa"/>
            <w:shd w:val="clear" w:color="auto" w:fill="auto"/>
            <w:vAlign w:val="bottom"/>
          </w:tcPr>
          <w:p w14:paraId="3D49F063" w14:textId="77777777" w:rsidR="00B76B0C" w:rsidRPr="005970E9" w:rsidRDefault="003B5C05">
            <w:pPr>
              <w:jc w:val="right"/>
              <w:rPr>
                <w:rFonts w:eastAsia="Arial" w:cs="Arial"/>
                <w:sz w:val="20"/>
                <w:szCs w:val="20"/>
              </w:rPr>
            </w:pPr>
            <w:r w:rsidRPr="005970E9">
              <w:rPr>
                <w:rFonts w:eastAsia="Arial" w:cs="Arial"/>
                <w:sz w:val="20"/>
                <w:szCs w:val="20"/>
              </w:rPr>
              <w:t>11.2</w:t>
            </w:r>
          </w:p>
        </w:tc>
      </w:tr>
      <w:tr w:rsidR="00E87B38" w:rsidRPr="005970E9" w14:paraId="7F3AE95E" w14:textId="77777777" w:rsidTr="00701A49">
        <w:trPr>
          <w:gridAfter w:val="1"/>
          <w:wAfter w:w="11" w:type="dxa"/>
          <w:trHeight w:val="276"/>
          <w:jc w:val="center"/>
        </w:trPr>
        <w:tc>
          <w:tcPr>
            <w:tcW w:w="1838" w:type="dxa"/>
            <w:shd w:val="clear" w:color="auto" w:fill="auto"/>
            <w:vAlign w:val="bottom"/>
          </w:tcPr>
          <w:p w14:paraId="53720A87" w14:textId="77777777" w:rsidR="00B76B0C" w:rsidRPr="005970E9" w:rsidRDefault="003B5C05">
            <w:pPr>
              <w:rPr>
                <w:rFonts w:eastAsia="Arial" w:cs="Arial"/>
                <w:sz w:val="20"/>
                <w:szCs w:val="20"/>
              </w:rPr>
            </w:pPr>
            <w:r w:rsidRPr="005970E9">
              <w:rPr>
                <w:rFonts w:eastAsia="Arial" w:cs="Arial"/>
                <w:sz w:val="20"/>
                <w:szCs w:val="20"/>
              </w:rPr>
              <w:t>Rural</w:t>
            </w:r>
          </w:p>
        </w:tc>
        <w:tc>
          <w:tcPr>
            <w:tcW w:w="1754" w:type="dxa"/>
            <w:shd w:val="clear" w:color="auto" w:fill="auto"/>
            <w:vAlign w:val="bottom"/>
          </w:tcPr>
          <w:p w14:paraId="590ABB14" w14:textId="77777777" w:rsidR="00B76B0C" w:rsidRPr="005970E9" w:rsidRDefault="003B5C05">
            <w:pPr>
              <w:jc w:val="right"/>
              <w:rPr>
                <w:rFonts w:eastAsia="Arial" w:cs="Arial"/>
                <w:sz w:val="20"/>
                <w:szCs w:val="20"/>
              </w:rPr>
            </w:pPr>
            <w:r w:rsidRPr="005970E9">
              <w:rPr>
                <w:rFonts w:eastAsia="Arial" w:cs="Arial"/>
                <w:sz w:val="20"/>
                <w:szCs w:val="20"/>
              </w:rPr>
              <w:t>18.9</w:t>
            </w:r>
          </w:p>
        </w:tc>
        <w:tc>
          <w:tcPr>
            <w:tcW w:w="1754" w:type="dxa"/>
            <w:shd w:val="clear" w:color="auto" w:fill="auto"/>
            <w:vAlign w:val="bottom"/>
          </w:tcPr>
          <w:p w14:paraId="0BB7C689" w14:textId="77777777" w:rsidR="00B76B0C" w:rsidRPr="005970E9" w:rsidRDefault="003B5C05">
            <w:pPr>
              <w:jc w:val="right"/>
              <w:rPr>
                <w:rFonts w:eastAsia="Arial" w:cs="Arial"/>
                <w:sz w:val="20"/>
                <w:szCs w:val="20"/>
              </w:rPr>
            </w:pPr>
            <w:r w:rsidRPr="005970E9">
              <w:rPr>
                <w:rFonts w:eastAsia="Arial" w:cs="Arial"/>
                <w:sz w:val="20"/>
                <w:szCs w:val="20"/>
              </w:rPr>
              <w:t>27.8</w:t>
            </w:r>
          </w:p>
        </w:tc>
        <w:tc>
          <w:tcPr>
            <w:tcW w:w="1754" w:type="dxa"/>
            <w:shd w:val="clear" w:color="auto" w:fill="auto"/>
            <w:vAlign w:val="bottom"/>
          </w:tcPr>
          <w:p w14:paraId="24482833" w14:textId="77777777" w:rsidR="00B76B0C" w:rsidRPr="005970E9" w:rsidRDefault="003B5C05">
            <w:pPr>
              <w:jc w:val="right"/>
              <w:rPr>
                <w:rFonts w:eastAsia="Arial" w:cs="Arial"/>
                <w:sz w:val="20"/>
                <w:szCs w:val="20"/>
              </w:rPr>
            </w:pPr>
            <w:r w:rsidRPr="005970E9">
              <w:rPr>
                <w:rFonts w:eastAsia="Arial" w:cs="Arial"/>
                <w:sz w:val="20"/>
                <w:szCs w:val="20"/>
              </w:rPr>
              <w:t>26.1</w:t>
            </w:r>
          </w:p>
        </w:tc>
      </w:tr>
      <w:tr w:rsidR="00E87B38" w:rsidRPr="005970E9" w14:paraId="1A6D6CD7" w14:textId="77777777" w:rsidTr="00701A49">
        <w:trPr>
          <w:trHeight w:val="276"/>
          <w:jc w:val="center"/>
        </w:trPr>
        <w:tc>
          <w:tcPr>
            <w:tcW w:w="7111" w:type="dxa"/>
            <w:gridSpan w:val="5"/>
            <w:shd w:val="clear" w:color="auto" w:fill="auto"/>
            <w:vAlign w:val="center"/>
          </w:tcPr>
          <w:p w14:paraId="1217A7DF" w14:textId="77777777" w:rsidR="00B76B0C" w:rsidRPr="005970E9" w:rsidRDefault="003B5C05">
            <w:pPr>
              <w:rPr>
                <w:rFonts w:eastAsia="Arial" w:cs="Arial"/>
                <w:sz w:val="20"/>
                <w:szCs w:val="20"/>
              </w:rPr>
            </w:pPr>
            <w:r w:rsidRPr="005970E9">
              <w:rPr>
                <w:rFonts w:eastAsia="Arial" w:cs="Arial"/>
                <w:sz w:val="20"/>
                <w:szCs w:val="20"/>
              </w:rPr>
              <w:t>Las cifras se refieren a un promedio semanal del mes.  Excluye a los residentes en las viviendas colectivas.</w:t>
            </w:r>
          </w:p>
          <w:p w14:paraId="308FDF11" w14:textId="77777777" w:rsidR="00B76B0C" w:rsidRPr="005970E9" w:rsidRDefault="003B5C05">
            <w:pPr>
              <w:rPr>
                <w:rFonts w:eastAsia="Arial" w:cs="Arial"/>
                <w:sz w:val="20"/>
                <w:szCs w:val="20"/>
              </w:rPr>
            </w:pPr>
            <w:r w:rsidRPr="005970E9">
              <w:rPr>
                <w:rFonts w:eastAsia="Arial" w:cs="Arial"/>
                <w:sz w:val="20"/>
                <w:szCs w:val="20"/>
              </w:rPr>
              <w:t xml:space="preserve">Fuente: INEC, Encuesta de Hogares, </w:t>
            </w:r>
            <w:r w:rsidR="00D558CC" w:rsidRPr="005970E9">
              <w:rPr>
                <w:rFonts w:eastAsia="Arial" w:cs="Arial"/>
                <w:sz w:val="20"/>
                <w:szCs w:val="20"/>
              </w:rPr>
              <w:t>agosto</w:t>
            </w:r>
            <w:r w:rsidRPr="005970E9">
              <w:rPr>
                <w:rFonts w:eastAsia="Arial" w:cs="Arial"/>
                <w:sz w:val="20"/>
                <w:szCs w:val="20"/>
              </w:rPr>
              <w:t xml:space="preserve"> 2019.</w:t>
            </w:r>
          </w:p>
        </w:tc>
      </w:tr>
    </w:tbl>
    <w:p w14:paraId="42470D70" w14:textId="77777777" w:rsidR="00B76B0C" w:rsidRPr="005970E9" w:rsidRDefault="003B5C05" w:rsidP="00FA6EA2">
      <w:pPr>
        <w:spacing w:before="240" w:after="120" w:line="276" w:lineRule="auto"/>
        <w:jc w:val="both"/>
        <w:rPr>
          <w:rFonts w:eastAsia="Century Schoolbook" w:cs="Century Schoolbook"/>
        </w:rPr>
      </w:pPr>
      <w:r w:rsidRPr="005970E9">
        <w:rPr>
          <w:rFonts w:eastAsia="Century Schoolbook" w:cs="Century Schoolbook"/>
        </w:rPr>
        <w:t xml:space="preserve">La condición de las trabajadoras ocupadas y desempleadas en el mercado laboral está impactada por brechas salariales de género, con empleos precarios, jornadas laborales de 40 y más horas que no honran ni el salario mínimo, además deben ocuparse de resolver los déficits de cuidado que el Estado, el mercado ni otros miembros adultos de sus familias cubren, e incluyen una jornada adicional de trabajo no remunerado. </w:t>
      </w:r>
    </w:p>
    <w:p w14:paraId="3ADB6305" w14:textId="77777777" w:rsidR="00B76B0C" w:rsidRPr="005970E9" w:rsidRDefault="003B5C05">
      <w:pPr>
        <w:spacing w:before="120" w:after="120"/>
        <w:jc w:val="both"/>
        <w:rPr>
          <w:rFonts w:eastAsia="Century Schoolbook" w:cs="Century Schoolbook"/>
          <w:b/>
        </w:rPr>
      </w:pPr>
      <w:r w:rsidRPr="005970E9">
        <w:rPr>
          <w:rFonts w:eastAsia="Century Schoolbook" w:cs="Century Schoolbook"/>
          <w:b/>
        </w:rPr>
        <w:t xml:space="preserve">Las trabajadoras y las cargas de cuidado </w:t>
      </w:r>
    </w:p>
    <w:p w14:paraId="0D728EC9" w14:textId="1DD0B74B" w:rsidR="00B76B0C" w:rsidRPr="005970E9" w:rsidRDefault="003B5C05" w:rsidP="001F0720">
      <w:pPr>
        <w:spacing w:before="120" w:after="240" w:line="276" w:lineRule="auto"/>
        <w:jc w:val="both"/>
        <w:rPr>
          <w:rFonts w:eastAsia="Century Schoolbook" w:cs="Century Schoolbook"/>
        </w:rPr>
      </w:pPr>
      <w:r w:rsidRPr="005970E9">
        <w:rPr>
          <w:rFonts w:eastAsia="Century Schoolbook" w:cs="Century Schoolbook"/>
        </w:rPr>
        <w:t xml:space="preserve">La deuda social del Estado en materia de cuidado ejerce una presión importante sobre las mujeres que se constituye en una barrera para la inserción laboral, en especial, de las mujeres en el campo. </w:t>
      </w:r>
      <w:r w:rsidR="00535D9D" w:rsidRPr="005970E9">
        <w:rPr>
          <w:rFonts w:eastAsia="Century Schoolbook" w:cs="Century Schoolbook"/>
        </w:rPr>
        <w:t>En el año 2017, l</w:t>
      </w:r>
      <w:r w:rsidRPr="005970E9">
        <w:rPr>
          <w:rFonts w:eastAsia="Century Schoolbook" w:cs="Century Schoolbook"/>
        </w:rPr>
        <w:t xml:space="preserve">as ocupadas sin niños </w:t>
      </w:r>
      <w:r w:rsidR="00D51224" w:rsidRPr="005970E9">
        <w:rPr>
          <w:rFonts w:eastAsia="Century Schoolbook" w:cs="Century Schoolbook"/>
        </w:rPr>
        <w:t xml:space="preserve">menores de 5 años </w:t>
      </w:r>
      <w:r w:rsidRPr="005970E9">
        <w:rPr>
          <w:rFonts w:eastAsia="Century Schoolbook" w:cs="Century Schoolbook"/>
        </w:rPr>
        <w:lastRenderedPageBreak/>
        <w:t xml:space="preserve">tienen jornadas </w:t>
      </w:r>
      <w:r w:rsidR="00B82E97" w:rsidRPr="005970E9">
        <w:rPr>
          <w:rFonts w:eastAsia="Century Schoolbook" w:cs="Century Schoolbook"/>
        </w:rPr>
        <w:t>de</w:t>
      </w:r>
      <w:r w:rsidRPr="005970E9">
        <w:rPr>
          <w:rFonts w:eastAsia="Century Schoolbook" w:cs="Century Schoolbook"/>
        </w:rPr>
        <w:t xml:space="preserve"> 36.7</w:t>
      </w:r>
      <w:r w:rsidR="00D51224" w:rsidRPr="005970E9">
        <w:rPr>
          <w:rFonts w:eastAsia="Century Schoolbook" w:cs="Century Schoolbook"/>
        </w:rPr>
        <w:t xml:space="preserve"> horas</w:t>
      </w:r>
      <w:r w:rsidR="00B82E97" w:rsidRPr="005970E9">
        <w:rPr>
          <w:rFonts w:eastAsia="Century Schoolbook" w:cs="Century Schoolbook"/>
        </w:rPr>
        <w:t xml:space="preserve"> semanales en el ámbito nacional</w:t>
      </w:r>
      <w:r w:rsidRPr="005970E9">
        <w:rPr>
          <w:rFonts w:eastAsia="Century Schoolbook" w:cs="Century Schoolbook"/>
        </w:rPr>
        <w:t xml:space="preserve">. En el </w:t>
      </w:r>
      <w:r w:rsidRPr="005970E9">
        <w:rPr>
          <w:rFonts w:eastAsia="Century Schoolbook" w:cs="Century Schoolbook"/>
          <w:i/>
        </w:rPr>
        <w:t>ámbito urbano</w:t>
      </w:r>
      <w:r w:rsidRPr="005970E9">
        <w:rPr>
          <w:rFonts w:eastAsia="Century Schoolbook" w:cs="Century Schoolbook"/>
        </w:rPr>
        <w:t xml:space="preserve"> la jornada laboral de las mujeres con uno o más niños menores de 5 años alcanza una jornada 38.9 horas semanales y sin hijos menores es 0.03 horas menos. En el mundo rural las </w:t>
      </w:r>
      <w:r w:rsidRPr="005970E9">
        <w:rPr>
          <w:rFonts w:eastAsia="Century Schoolbook" w:cs="Century Schoolbook"/>
          <w:i/>
        </w:rPr>
        <w:t>trabajadoras con niños en edad preescolar</w:t>
      </w:r>
      <w:r w:rsidRPr="005970E9">
        <w:rPr>
          <w:rFonts w:eastAsia="Century Schoolbook" w:cs="Century Schoolbook"/>
        </w:rPr>
        <w:t xml:space="preserve"> tienen menos oportunidad de acceder a jornadas laborales plenas, solo alcanzan jornadas de 24.3 horas. Quienes no tienen cargas de hijos menores de 5 años aumentan a 30 horas la semana</w:t>
      </w:r>
      <w:r w:rsidR="00B43882">
        <w:rPr>
          <w:rFonts w:eastAsia="Century Schoolbook" w:cs="Century Schoolbook"/>
        </w:rPr>
        <w:t xml:space="preserve"> (ver tabla 13)</w:t>
      </w:r>
      <w:r w:rsidRPr="005970E9">
        <w:rPr>
          <w:rFonts w:eastAsia="Century Schoolbook" w:cs="Century Schoolbook"/>
        </w:rPr>
        <w:t>. En efecto, este indicador contribuye a comprender en parte porque la ocupación a tiempo parcial es mucho mayor para ellas y para las indígenas, las cargas del cuidado familiar resultan un obstáculo para el empleo de jornadas con mayor cantidad de horas laboradas remuneradas</w:t>
      </w:r>
      <w:r w:rsidR="00D51224" w:rsidRPr="005970E9">
        <w:rPr>
          <w:rFonts w:eastAsia="Century Schoolbook" w:cs="Century Schoolbook"/>
        </w:rPr>
        <w:t>, esto se combina con la inexistencia de centros o servicios a nivel local para la atención de niños/as, adolescentes y adultos mayores, como vemos estas se constituyen en barreras para el mejoramiento de la vida laboral de las mujeres</w:t>
      </w:r>
      <w:r w:rsidRPr="005970E9">
        <w:rPr>
          <w:rFonts w:eastAsia="Century Schoolbook" w:cs="Century Schoolbook"/>
        </w:rPr>
        <w:t>.</w:t>
      </w:r>
      <w:r w:rsidR="006C455A" w:rsidRPr="005970E9">
        <w:rPr>
          <w:rFonts w:eastAsia="Century Schoolbook" w:cs="Century Schoolbook"/>
        </w:rPr>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6"/>
        <w:gridCol w:w="1473"/>
        <w:gridCol w:w="1784"/>
        <w:gridCol w:w="1445"/>
      </w:tblGrid>
      <w:tr w:rsidR="00535D9D" w:rsidRPr="005970E9" w14:paraId="389F491B" w14:textId="77777777" w:rsidTr="00282FF2">
        <w:trPr>
          <w:trHeight w:val="288"/>
        </w:trPr>
        <w:tc>
          <w:tcPr>
            <w:tcW w:w="8838" w:type="dxa"/>
            <w:gridSpan w:val="4"/>
            <w:shd w:val="clear" w:color="auto" w:fill="B2A1C7" w:themeFill="accent4" w:themeFillTint="99"/>
            <w:noWrap/>
            <w:vAlign w:val="bottom"/>
            <w:hideMark/>
          </w:tcPr>
          <w:p w14:paraId="2FC52167" w14:textId="6D33F5E9" w:rsidR="00535D9D" w:rsidRPr="005970E9" w:rsidRDefault="001F0720" w:rsidP="00535D9D">
            <w:pPr>
              <w:rPr>
                <w:rFonts w:eastAsia="Times New Roman"/>
                <w:b/>
                <w:bCs/>
                <w:color w:val="000000"/>
                <w:sz w:val="20"/>
                <w:szCs w:val="20"/>
              </w:rPr>
            </w:pPr>
            <w:bookmarkStart w:id="128" w:name="_Toc42549207"/>
            <w:r w:rsidRPr="005970E9">
              <w:t xml:space="preserve">Tabla </w:t>
            </w:r>
            <w:r w:rsidR="00062ABE">
              <w:fldChar w:fldCharType="begin"/>
            </w:r>
            <w:r w:rsidR="00062ABE">
              <w:instrText xml:space="preserve"> SEQ Tabla \* ARABIC </w:instrText>
            </w:r>
            <w:r w:rsidR="00062ABE">
              <w:fldChar w:fldCharType="separate"/>
            </w:r>
            <w:r w:rsidR="009D1829" w:rsidRPr="005970E9">
              <w:rPr>
                <w:noProof/>
              </w:rPr>
              <w:t>13</w:t>
            </w:r>
            <w:r w:rsidR="00062ABE">
              <w:rPr>
                <w:noProof/>
              </w:rPr>
              <w:fldChar w:fldCharType="end"/>
            </w:r>
            <w:r w:rsidRPr="005970E9">
              <w:rPr>
                <w:rFonts w:eastAsia="Times New Roman"/>
                <w:b/>
                <w:bCs/>
                <w:color w:val="000000"/>
                <w:sz w:val="20"/>
                <w:szCs w:val="20"/>
              </w:rPr>
              <w:t xml:space="preserve"> </w:t>
            </w:r>
            <w:r w:rsidR="00535D9D" w:rsidRPr="005970E9">
              <w:rPr>
                <w:rFonts w:eastAsia="Times New Roman"/>
                <w:color w:val="000000"/>
                <w:sz w:val="20"/>
                <w:szCs w:val="20"/>
              </w:rPr>
              <w:t>Jornada laboral de las mujeres ocupadas de 15 años y más, según el número de menores de 0 a 5 años presentes en el hogar, áreas urbanas y rurales. Año 2017</w:t>
            </w:r>
            <w:r w:rsidRPr="005970E9">
              <w:rPr>
                <w:rFonts w:eastAsia="Times New Roman"/>
                <w:color w:val="000000"/>
                <w:sz w:val="20"/>
                <w:szCs w:val="20"/>
              </w:rPr>
              <w:t>.</w:t>
            </w:r>
            <w:bookmarkEnd w:id="128"/>
          </w:p>
        </w:tc>
      </w:tr>
      <w:tr w:rsidR="00535D9D" w:rsidRPr="005970E9" w14:paraId="0278264C" w14:textId="77777777" w:rsidTr="00535D9D">
        <w:trPr>
          <w:trHeight w:val="288"/>
        </w:trPr>
        <w:tc>
          <w:tcPr>
            <w:tcW w:w="4136" w:type="dxa"/>
            <w:shd w:val="clear" w:color="auto" w:fill="auto"/>
            <w:noWrap/>
            <w:vAlign w:val="bottom"/>
            <w:hideMark/>
          </w:tcPr>
          <w:p w14:paraId="51C45EBC" w14:textId="40D88548" w:rsidR="00535D9D" w:rsidRPr="005970E9" w:rsidRDefault="00535D9D" w:rsidP="00535D9D">
            <w:pPr>
              <w:rPr>
                <w:rFonts w:eastAsia="Times New Roman"/>
                <w:b/>
                <w:bCs/>
                <w:color w:val="000000"/>
                <w:sz w:val="20"/>
                <w:szCs w:val="20"/>
              </w:rPr>
            </w:pPr>
            <w:r w:rsidRPr="005970E9">
              <w:rPr>
                <w:rFonts w:eastAsia="Times New Roman"/>
                <w:b/>
                <w:bCs/>
                <w:color w:val="000000"/>
                <w:sz w:val="20"/>
                <w:szCs w:val="20"/>
              </w:rPr>
              <w:t>Hijos de trabajadoras</w:t>
            </w:r>
          </w:p>
        </w:tc>
        <w:tc>
          <w:tcPr>
            <w:tcW w:w="1473" w:type="dxa"/>
            <w:shd w:val="clear" w:color="auto" w:fill="auto"/>
            <w:noWrap/>
            <w:vAlign w:val="bottom"/>
            <w:hideMark/>
          </w:tcPr>
          <w:p w14:paraId="75732889" w14:textId="77777777" w:rsidR="00535D9D" w:rsidRPr="005970E9" w:rsidRDefault="00535D9D" w:rsidP="00535D9D">
            <w:pPr>
              <w:jc w:val="right"/>
              <w:rPr>
                <w:rFonts w:eastAsia="Times New Roman"/>
                <w:b/>
                <w:bCs/>
                <w:color w:val="000000"/>
                <w:sz w:val="20"/>
                <w:szCs w:val="20"/>
              </w:rPr>
            </w:pPr>
            <w:r w:rsidRPr="005970E9">
              <w:rPr>
                <w:rFonts w:eastAsia="Times New Roman"/>
                <w:b/>
                <w:bCs/>
                <w:color w:val="000000"/>
                <w:sz w:val="20"/>
                <w:szCs w:val="20"/>
              </w:rPr>
              <w:t>Nacional</w:t>
            </w:r>
          </w:p>
        </w:tc>
        <w:tc>
          <w:tcPr>
            <w:tcW w:w="1784" w:type="dxa"/>
            <w:shd w:val="clear" w:color="auto" w:fill="auto"/>
            <w:noWrap/>
            <w:vAlign w:val="bottom"/>
            <w:hideMark/>
          </w:tcPr>
          <w:p w14:paraId="5DE71298" w14:textId="77777777" w:rsidR="00535D9D" w:rsidRPr="005970E9" w:rsidRDefault="00535D9D" w:rsidP="00535D9D">
            <w:pPr>
              <w:jc w:val="right"/>
              <w:rPr>
                <w:rFonts w:eastAsia="Times New Roman"/>
                <w:b/>
                <w:bCs/>
                <w:color w:val="000000"/>
                <w:sz w:val="20"/>
                <w:szCs w:val="20"/>
              </w:rPr>
            </w:pPr>
            <w:r w:rsidRPr="005970E9">
              <w:rPr>
                <w:rFonts w:eastAsia="Times New Roman"/>
                <w:b/>
                <w:bCs/>
                <w:color w:val="000000"/>
                <w:sz w:val="20"/>
                <w:szCs w:val="20"/>
              </w:rPr>
              <w:t>      Urbana</w:t>
            </w:r>
          </w:p>
        </w:tc>
        <w:tc>
          <w:tcPr>
            <w:tcW w:w="1445" w:type="dxa"/>
            <w:shd w:val="clear" w:color="auto" w:fill="auto"/>
            <w:noWrap/>
            <w:vAlign w:val="bottom"/>
            <w:hideMark/>
          </w:tcPr>
          <w:p w14:paraId="04C130C2" w14:textId="77777777" w:rsidR="00535D9D" w:rsidRPr="005970E9" w:rsidRDefault="00535D9D" w:rsidP="00535D9D">
            <w:pPr>
              <w:jc w:val="right"/>
              <w:rPr>
                <w:rFonts w:eastAsia="Times New Roman"/>
                <w:b/>
                <w:bCs/>
                <w:color w:val="000000"/>
                <w:sz w:val="20"/>
                <w:szCs w:val="20"/>
              </w:rPr>
            </w:pPr>
            <w:r w:rsidRPr="005970E9">
              <w:rPr>
                <w:rFonts w:eastAsia="Times New Roman"/>
                <w:b/>
                <w:bCs/>
                <w:color w:val="000000"/>
                <w:sz w:val="20"/>
                <w:szCs w:val="20"/>
              </w:rPr>
              <w:t>      Rural</w:t>
            </w:r>
          </w:p>
        </w:tc>
      </w:tr>
      <w:tr w:rsidR="00535D9D" w:rsidRPr="005970E9" w14:paraId="311174E2" w14:textId="77777777" w:rsidTr="00535D9D">
        <w:trPr>
          <w:trHeight w:val="288"/>
        </w:trPr>
        <w:tc>
          <w:tcPr>
            <w:tcW w:w="4136" w:type="dxa"/>
            <w:shd w:val="clear" w:color="auto" w:fill="auto"/>
            <w:noWrap/>
            <w:vAlign w:val="bottom"/>
            <w:hideMark/>
          </w:tcPr>
          <w:p w14:paraId="5661DE57" w14:textId="77777777" w:rsidR="00535D9D" w:rsidRPr="005970E9" w:rsidRDefault="00535D9D" w:rsidP="00535D9D">
            <w:pPr>
              <w:rPr>
                <w:rFonts w:eastAsia="Times New Roman"/>
                <w:color w:val="000000"/>
                <w:sz w:val="20"/>
                <w:szCs w:val="20"/>
              </w:rPr>
            </w:pPr>
            <w:r w:rsidRPr="005970E9">
              <w:rPr>
                <w:rFonts w:eastAsia="Times New Roman"/>
                <w:color w:val="000000"/>
                <w:sz w:val="20"/>
                <w:szCs w:val="20"/>
              </w:rPr>
              <w:t>Sin menores</w:t>
            </w:r>
          </w:p>
        </w:tc>
        <w:tc>
          <w:tcPr>
            <w:tcW w:w="1473" w:type="dxa"/>
            <w:shd w:val="clear" w:color="auto" w:fill="auto"/>
            <w:noWrap/>
            <w:hideMark/>
          </w:tcPr>
          <w:p w14:paraId="039B9A4F" w14:textId="77777777" w:rsidR="00535D9D" w:rsidRPr="005970E9" w:rsidRDefault="00535D9D" w:rsidP="00535D9D">
            <w:pPr>
              <w:jc w:val="right"/>
              <w:rPr>
                <w:rFonts w:eastAsia="Times New Roman"/>
                <w:color w:val="333333"/>
                <w:sz w:val="20"/>
                <w:szCs w:val="20"/>
              </w:rPr>
            </w:pPr>
            <w:r w:rsidRPr="005970E9">
              <w:rPr>
                <w:rFonts w:eastAsia="Times New Roman"/>
                <w:color w:val="333333"/>
                <w:sz w:val="20"/>
                <w:szCs w:val="20"/>
              </w:rPr>
              <w:t>36.7</w:t>
            </w:r>
          </w:p>
        </w:tc>
        <w:tc>
          <w:tcPr>
            <w:tcW w:w="1784" w:type="dxa"/>
            <w:shd w:val="clear" w:color="auto" w:fill="auto"/>
            <w:noWrap/>
            <w:hideMark/>
          </w:tcPr>
          <w:p w14:paraId="037B85FF" w14:textId="77777777" w:rsidR="00535D9D" w:rsidRPr="005970E9" w:rsidRDefault="00535D9D" w:rsidP="00535D9D">
            <w:pPr>
              <w:jc w:val="right"/>
              <w:rPr>
                <w:rFonts w:eastAsia="Times New Roman"/>
                <w:color w:val="333333"/>
                <w:sz w:val="20"/>
                <w:szCs w:val="20"/>
              </w:rPr>
            </w:pPr>
            <w:r w:rsidRPr="005970E9">
              <w:rPr>
                <w:rFonts w:eastAsia="Times New Roman"/>
                <w:color w:val="333333"/>
                <w:sz w:val="20"/>
                <w:szCs w:val="20"/>
              </w:rPr>
              <w:t>38.6</w:t>
            </w:r>
          </w:p>
        </w:tc>
        <w:tc>
          <w:tcPr>
            <w:tcW w:w="1445" w:type="dxa"/>
            <w:shd w:val="clear" w:color="auto" w:fill="auto"/>
            <w:noWrap/>
            <w:hideMark/>
          </w:tcPr>
          <w:p w14:paraId="34D02B14" w14:textId="77777777" w:rsidR="00535D9D" w:rsidRPr="005970E9" w:rsidRDefault="00535D9D" w:rsidP="00535D9D">
            <w:pPr>
              <w:jc w:val="right"/>
              <w:rPr>
                <w:rFonts w:eastAsia="Times New Roman"/>
                <w:color w:val="333333"/>
                <w:sz w:val="20"/>
                <w:szCs w:val="20"/>
              </w:rPr>
            </w:pPr>
            <w:r w:rsidRPr="005970E9">
              <w:rPr>
                <w:rFonts w:eastAsia="Times New Roman"/>
                <w:color w:val="333333"/>
                <w:sz w:val="20"/>
                <w:szCs w:val="20"/>
              </w:rPr>
              <w:t>30.0</w:t>
            </w:r>
          </w:p>
        </w:tc>
      </w:tr>
      <w:tr w:rsidR="00535D9D" w:rsidRPr="005970E9" w14:paraId="72E8BD05" w14:textId="77777777" w:rsidTr="00535D9D">
        <w:trPr>
          <w:trHeight w:val="288"/>
        </w:trPr>
        <w:tc>
          <w:tcPr>
            <w:tcW w:w="4136" w:type="dxa"/>
            <w:shd w:val="clear" w:color="auto" w:fill="auto"/>
            <w:noWrap/>
            <w:vAlign w:val="bottom"/>
            <w:hideMark/>
          </w:tcPr>
          <w:p w14:paraId="05BDDB0C" w14:textId="77777777" w:rsidR="00535D9D" w:rsidRPr="005970E9" w:rsidRDefault="00535D9D" w:rsidP="00535D9D">
            <w:pPr>
              <w:rPr>
                <w:rFonts w:eastAsia="Times New Roman"/>
                <w:color w:val="000000"/>
                <w:sz w:val="20"/>
                <w:szCs w:val="20"/>
              </w:rPr>
            </w:pPr>
            <w:r w:rsidRPr="005970E9">
              <w:rPr>
                <w:rFonts w:eastAsia="Times New Roman"/>
                <w:color w:val="000000"/>
                <w:sz w:val="20"/>
                <w:szCs w:val="20"/>
              </w:rPr>
              <w:t>Uno o más menores</w:t>
            </w:r>
          </w:p>
        </w:tc>
        <w:tc>
          <w:tcPr>
            <w:tcW w:w="1473" w:type="dxa"/>
            <w:shd w:val="clear" w:color="auto" w:fill="auto"/>
            <w:noWrap/>
            <w:hideMark/>
          </w:tcPr>
          <w:p w14:paraId="5F88FFC6" w14:textId="77777777" w:rsidR="00535D9D" w:rsidRPr="005970E9" w:rsidRDefault="00535D9D" w:rsidP="00535D9D">
            <w:pPr>
              <w:jc w:val="right"/>
              <w:rPr>
                <w:rFonts w:eastAsia="Times New Roman"/>
                <w:color w:val="333333"/>
                <w:sz w:val="20"/>
                <w:szCs w:val="20"/>
              </w:rPr>
            </w:pPr>
            <w:r w:rsidRPr="005970E9">
              <w:rPr>
                <w:rFonts w:eastAsia="Times New Roman"/>
                <w:color w:val="333333"/>
                <w:sz w:val="20"/>
                <w:szCs w:val="20"/>
              </w:rPr>
              <w:t>34.0</w:t>
            </w:r>
          </w:p>
        </w:tc>
        <w:tc>
          <w:tcPr>
            <w:tcW w:w="1784" w:type="dxa"/>
            <w:shd w:val="clear" w:color="auto" w:fill="auto"/>
            <w:noWrap/>
            <w:hideMark/>
          </w:tcPr>
          <w:p w14:paraId="25C93369" w14:textId="77777777" w:rsidR="00535D9D" w:rsidRPr="005970E9" w:rsidRDefault="00535D9D" w:rsidP="00535D9D">
            <w:pPr>
              <w:jc w:val="right"/>
              <w:rPr>
                <w:rFonts w:eastAsia="Times New Roman"/>
                <w:color w:val="333333"/>
                <w:sz w:val="20"/>
                <w:szCs w:val="20"/>
              </w:rPr>
            </w:pPr>
            <w:r w:rsidRPr="005970E9">
              <w:rPr>
                <w:rFonts w:eastAsia="Times New Roman"/>
                <w:color w:val="333333"/>
                <w:sz w:val="20"/>
                <w:szCs w:val="20"/>
              </w:rPr>
              <w:t>38.9</w:t>
            </w:r>
          </w:p>
        </w:tc>
        <w:tc>
          <w:tcPr>
            <w:tcW w:w="1445" w:type="dxa"/>
            <w:shd w:val="clear" w:color="auto" w:fill="auto"/>
            <w:noWrap/>
            <w:hideMark/>
          </w:tcPr>
          <w:p w14:paraId="32C60CE0" w14:textId="77777777" w:rsidR="00535D9D" w:rsidRPr="005970E9" w:rsidRDefault="00535D9D" w:rsidP="00535D9D">
            <w:pPr>
              <w:jc w:val="right"/>
              <w:rPr>
                <w:rFonts w:eastAsia="Times New Roman"/>
                <w:color w:val="333333"/>
                <w:sz w:val="20"/>
                <w:szCs w:val="20"/>
              </w:rPr>
            </w:pPr>
            <w:r w:rsidRPr="005970E9">
              <w:rPr>
                <w:rFonts w:eastAsia="Times New Roman"/>
                <w:color w:val="333333"/>
                <w:sz w:val="20"/>
                <w:szCs w:val="20"/>
              </w:rPr>
              <w:t>24.3</w:t>
            </w:r>
          </w:p>
        </w:tc>
      </w:tr>
      <w:tr w:rsidR="00535D9D" w:rsidRPr="005970E9" w14:paraId="1FCFDC21" w14:textId="77777777" w:rsidTr="00535D9D">
        <w:trPr>
          <w:trHeight w:val="288"/>
        </w:trPr>
        <w:tc>
          <w:tcPr>
            <w:tcW w:w="4136" w:type="dxa"/>
            <w:shd w:val="clear" w:color="auto" w:fill="auto"/>
            <w:noWrap/>
            <w:vAlign w:val="bottom"/>
            <w:hideMark/>
          </w:tcPr>
          <w:p w14:paraId="65A86C3D" w14:textId="77777777" w:rsidR="00535D9D" w:rsidRPr="005970E9" w:rsidRDefault="00535D9D" w:rsidP="00535D9D">
            <w:pPr>
              <w:rPr>
                <w:rFonts w:eastAsia="Times New Roman"/>
                <w:color w:val="000000"/>
                <w:sz w:val="20"/>
                <w:szCs w:val="20"/>
              </w:rPr>
            </w:pPr>
            <w:r w:rsidRPr="005970E9">
              <w:rPr>
                <w:rFonts w:eastAsia="Times New Roman"/>
                <w:color w:val="000000"/>
                <w:sz w:val="20"/>
                <w:szCs w:val="20"/>
              </w:rPr>
              <w:t>Total (con o sin menores)</w:t>
            </w:r>
          </w:p>
        </w:tc>
        <w:tc>
          <w:tcPr>
            <w:tcW w:w="1473" w:type="dxa"/>
            <w:shd w:val="clear" w:color="auto" w:fill="auto"/>
            <w:noWrap/>
            <w:hideMark/>
          </w:tcPr>
          <w:p w14:paraId="094D5115" w14:textId="77777777" w:rsidR="00535D9D" w:rsidRPr="005970E9" w:rsidRDefault="00535D9D" w:rsidP="00535D9D">
            <w:pPr>
              <w:jc w:val="right"/>
              <w:rPr>
                <w:rFonts w:eastAsia="Times New Roman"/>
                <w:color w:val="333333"/>
                <w:sz w:val="20"/>
                <w:szCs w:val="20"/>
              </w:rPr>
            </w:pPr>
            <w:r w:rsidRPr="005970E9">
              <w:rPr>
                <w:rFonts w:eastAsia="Times New Roman"/>
                <w:color w:val="333333"/>
                <w:sz w:val="20"/>
                <w:szCs w:val="20"/>
              </w:rPr>
              <w:t>35.8</w:t>
            </w:r>
          </w:p>
        </w:tc>
        <w:tc>
          <w:tcPr>
            <w:tcW w:w="1784" w:type="dxa"/>
            <w:shd w:val="clear" w:color="auto" w:fill="auto"/>
            <w:noWrap/>
            <w:hideMark/>
          </w:tcPr>
          <w:p w14:paraId="762C3BD6" w14:textId="77777777" w:rsidR="00535D9D" w:rsidRPr="005970E9" w:rsidRDefault="00535D9D" w:rsidP="00535D9D">
            <w:pPr>
              <w:jc w:val="right"/>
              <w:rPr>
                <w:rFonts w:eastAsia="Times New Roman"/>
                <w:color w:val="333333"/>
                <w:sz w:val="20"/>
                <w:szCs w:val="20"/>
              </w:rPr>
            </w:pPr>
            <w:r w:rsidRPr="005970E9">
              <w:rPr>
                <w:rFonts w:eastAsia="Times New Roman"/>
                <w:color w:val="333333"/>
                <w:sz w:val="20"/>
                <w:szCs w:val="20"/>
              </w:rPr>
              <w:t>38.7</w:t>
            </w:r>
          </w:p>
        </w:tc>
        <w:tc>
          <w:tcPr>
            <w:tcW w:w="1445" w:type="dxa"/>
            <w:shd w:val="clear" w:color="auto" w:fill="auto"/>
            <w:noWrap/>
            <w:hideMark/>
          </w:tcPr>
          <w:p w14:paraId="1A007D33" w14:textId="77777777" w:rsidR="00535D9D" w:rsidRPr="005970E9" w:rsidRDefault="00535D9D" w:rsidP="00535D9D">
            <w:pPr>
              <w:jc w:val="right"/>
              <w:rPr>
                <w:rFonts w:eastAsia="Times New Roman"/>
                <w:color w:val="333333"/>
                <w:sz w:val="20"/>
                <w:szCs w:val="20"/>
              </w:rPr>
            </w:pPr>
            <w:r w:rsidRPr="005970E9">
              <w:rPr>
                <w:rFonts w:eastAsia="Times New Roman"/>
                <w:color w:val="333333"/>
                <w:sz w:val="20"/>
                <w:szCs w:val="20"/>
              </w:rPr>
              <w:t>27.5</w:t>
            </w:r>
          </w:p>
        </w:tc>
      </w:tr>
      <w:tr w:rsidR="00535D9D" w:rsidRPr="005970E9" w14:paraId="25C19015" w14:textId="77777777" w:rsidTr="00282FF2">
        <w:trPr>
          <w:trHeight w:val="288"/>
        </w:trPr>
        <w:tc>
          <w:tcPr>
            <w:tcW w:w="8838" w:type="dxa"/>
            <w:gridSpan w:val="4"/>
            <w:shd w:val="clear" w:color="auto" w:fill="E5DFEC" w:themeFill="accent4" w:themeFillTint="33"/>
            <w:noWrap/>
            <w:vAlign w:val="bottom"/>
            <w:hideMark/>
          </w:tcPr>
          <w:p w14:paraId="043CA639" w14:textId="77777777" w:rsidR="00535D9D" w:rsidRPr="005970E9" w:rsidRDefault="00535D9D" w:rsidP="00535D9D">
            <w:pPr>
              <w:rPr>
                <w:rFonts w:eastAsia="Times New Roman"/>
                <w:color w:val="000000"/>
                <w:sz w:val="20"/>
                <w:szCs w:val="20"/>
              </w:rPr>
            </w:pPr>
            <w:r w:rsidRPr="005970E9">
              <w:rPr>
                <w:rFonts w:eastAsia="Times New Roman"/>
                <w:color w:val="000000"/>
                <w:sz w:val="20"/>
                <w:szCs w:val="20"/>
              </w:rPr>
              <w:t>CEPAL: Comisión Económica para América Latina y el Caribe - Sobre la base de encuestas de hogares de los países. Banco de Datos de Encuestas de Hogares (BADEHOG).</w:t>
            </w:r>
          </w:p>
        </w:tc>
      </w:tr>
    </w:tbl>
    <w:p w14:paraId="38F051EE" w14:textId="77777777" w:rsidR="00535D9D" w:rsidRPr="005970E9" w:rsidRDefault="00535D9D">
      <w:pPr>
        <w:spacing w:before="120" w:after="120" w:line="276" w:lineRule="auto"/>
        <w:jc w:val="both"/>
        <w:rPr>
          <w:rFonts w:eastAsia="Century Schoolbook" w:cs="Century Schoolbook"/>
        </w:rPr>
      </w:pPr>
    </w:p>
    <w:p w14:paraId="7EDC71EF" w14:textId="77777777" w:rsidR="00B76B0C" w:rsidRPr="005970E9" w:rsidRDefault="003B5C05" w:rsidP="002338C0">
      <w:pPr>
        <w:pStyle w:val="Heading3"/>
        <w:numPr>
          <w:ilvl w:val="2"/>
          <w:numId w:val="16"/>
        </w:numPr>
      </w:pPr>
      <w:bookmarkStart w:id="129" w:name="_Toc42159210"/>
      <w:bookmarkStart w:id="130" w:name="_Toc42549444"/>
      <w:r w:rsidRPr="005970E9">
        <w:t>El acceso al empleo y la productividad del trabajo</w:t>
      </w:r>
      <w:bookmarkEnd w:id="129"/>
      <w:bookmarkEnd w:id="130"/>
      <w:r w:rsidRPr="005970E9">
        <w:t xml:space="preserve"> </w:t>
      </w:r>
    </w:p>
    <w:p w14:paraId="6A0BD183" w14:textId="02393767"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En 2017 la actividad económica por sexo, según el cálculo realizado por la CEPAL, respecto a la productividad en el plano nacional define que</w:t>
      </w:r>
      <w:r w:rsidR="00B43882">
        <w:rPr>
          <w:rFonts w:eastAsia="Century Schoolbook" w:cs="Century Schoolbook"/>
        </w:rPr>
        <w:t xml:space="preserve"> (ver tabla 14)</w:t>
      </w:r>
      <w:r w:rsidRPr="005970E9">
        <w:rPr>
          <w:rFonts w:eastAsia="Century Schoolbook" w:cs="Century Schoolbook"/>
        </w:rPr>
        <w:t>:</w:t>
      </w:r>
    </w:p>
    <w:p w14:paraId="627179CF" w14:textId="77777777"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 xml:space="preserve">La </w:t>
      </w:r>
      <w:r w:rsidRPr="005970E9">
        <w:rPr>
          <w:rFonts w:eastAsia="Century Schoolbook" w:cs="Century Schoolbook"/>
          <w:b/>
        </w:rPr>
        <w:t>productividad baja</w:t>
      </w:r>
      <w:r w:rsidRPr="005970E9">
        <w:rPr>
          <w:rFonts w:eastAsia="Century Schoolbook" w:cs="Century Schoolbook"/>
        </w:rPr>
        <w:t xml:space="preserve"> abarca: la A</w:t>
      </w:r>
      <w:r w:rsidRPr="005970E9">
        <w:rPr>
          <w:rFonts w:eastAsia="Century Schoolbook" w:cs="Century Schoolbook"/>
          <w:i/>
        </w:rPr>
        <w:t>gricultura, comercio y servicios,</w:t>
      </w:r>
      <w:r w:rsidRPr="005970E9">
        <w:rPr>
          <w:rFonts w:eastAsia="Century Schoolbook" w:cs="Century Schoolbook"/>
        </w:rPr>
        <w:t xml:space="preserve"> con 62.8%; para las mujeres significa una proporción elevadísima de 76.5% y para los hombres 53.5%.</w:t>
      </w:r>
    </w:p>
    <w:p w14:paraId="365AF7A1" w14:textId="77777777"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 xml:space="preserve">La </w:t>
      </w:r>
      <w:r w:rsidRPr="005970E9">
        <w:rPr>
          <w:rFonts w:eastAsia="Century Schoolbook" w:cs="Century Schoolbook"/>
          <w:b/>
        </w:rPr>
        <w:t>productividad media</w:t>
      </w:r>
      <w:r w:rsidRPr="005970E9">
        <w:rPr>
          <w:rFonts w:eastAsia="Century Schoolbook" w:cs="Century Schoolbook"/>
        </w:rPr>
        <w:t xml:space="preserve"> involucra: la Industria manufacturera, construcción, transporte y comunicaciones, ésta alcanza un 13.1% de mujeres y a 36.1% de hombres.</w:t>
      </w:r>
    </w:p>
    <w:p w14:paraId="5ADAB7E0" w14:textId="77777777"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 xml:space="preserve">El nivel de </w:t>
      </w:r>
      <w:r w:rsidRPr="005970E9">
        <w:rPr>
          <w:rFonts w:eastAsia="Century Schoolbook" w:cs="Century Schoolbook"/>
          <w:b/>
        </w:rPr>
        <w:t>productividad alta</w:t>
      </w:r>
      <w:r w:rsidRPr="005970E9">
        <w:rPr>
          <w:rFonts w:eastAsia="Century Schoolbook" w:cs="Century Schoolbook"/>
        </w:rPr>
        <w:t xml:space="preserve"> en la estructura de la población ocupada incluye: la minería, electricidad, gas, agua y actividades financieras e inmobiliarias e involucra un 10.4% en ambos sexos.</w:t>
      </w:r>
    </w:p>
    <w:p w14:paraId="13CCE4CB" w14:textId="131A99FA" w:rsidR="002C77C2" w:rsidRPr="005970E9" w:rsidRDefault="002C77C2">
      <w:pPr>
        <w:spacing w:before="120" w:after="120" w:line="276" w:lineRule="auto"/>
        <w:jc w:val="both"/>
        <w:rPr>
          <w:rFonts w:eastAsia="Century Schoolbook" w:cs="Century Schoolbook"/>
        </w:rPr>
      </w:pPr>
    </w:p>
    <w:tbl>
      <w:tblPr>
        <w:tblW w:w="9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5949"/>
        <w:gridCol w:w="850"/>
        <w:gridCol w:w="1253"/>
        <w:gridCol w:w="1097"/>
      </w:tblGrid>
      <w:tr w:rsidR="00E87B38" w:rsidRPr="005970E9" w14:paraId="4E7B0D22" w14:textId="77777777" w:rsidTr="00282FF2">
        <w:trPr>
          <w:trHeight w:val="291"/>
        </w:trPr>
        <w:tc>
          <w:tcPr>
            <w:tcW w:w="9149" w:type="dxa"/>
            <w:gridSpan w:val="4"/>
            <w:shd w:val="clear" w:color="auto" w:fill="B2A1C7" w:themeFill="accent4" w:themeFillTint="99"/>
            <w:vAlign w:val="bottom"/>
          </w:tcPr>
          <w:p w14:paraId="3672001C" w14:textId="3A4684CC" w:rsidR="00B76B0C" w:rsidRPr="005970E9" w:rsidRDefault="008A61AF" w:rsidP="00295FF2">
            <w:pPr>
              <w:pStyle w:val="Caption"/>
              <w:keepNext/>
              <w:jc w:val="center"/>
              <w:rPr>
                <w:rFonts w:ascii="Century Schoolbook" w:hAnsi="Century Schoolbook"/>
                <w:i w:val="0"/>
                <w:iCs w:val="0"/>
                <w:sz w:val="20"/>
                <w:szCs w:val="20"/>
              </w:rPr>
            </w:pPr>
            <w:bookmarkStart w:id="131" w:name="_Toc42549208"/>
            <w:r w:rsidRPr="005970E9">
              <w:rPr>
                <w:rFonts w:ascii="Century Schoolbook" w:hAnsi="Century Schoolbook"/>
                <w:i w:val="0"/>
                <w:iCs w:val="0"/>
                <w:sz w:val="20"/>
                <w:szCs w:val="20"/>
              </w:rPr>
              <w:t>Tabla</w:t>
            </w:r>
            <w:r w:rsidR="00295FF2" w:rsidRPr="005970E9">
              <w:rPr>
                <w:rFonts w:ascii="Century Schoolbook" w:hAnsi="Century Schoolbook"/>
                <w:i w:val="0"/>
                <w:iCs w:val="0"/>
                <w:sz w:val="20"/>
                <w:szCs w:val="20"/>
              </w:rPr>
              <w:t xml:space="preserve">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9D1829" w:rsidRPr="005970E9">
              <w:rPr>
                <w:rFonts w:ascii="Century Schoolbook" w:hAnsi="Century Schoolbook"/>
                <w:i w:val="0"/>
                <w:iCs w:val="0"/>
                <w:noProof/>
                <w:sz w:val="20"/>
                <w:szCs w:val="20"/>
              </w:rPr>
              <w:t>14</w:t>
            </w:r>
            <w:r w:rsidRPr="005970E9">
              <w:rPr>
                <w:rFonts w:ascii="Century Schoolbook" w:hAnsi="Century Schoolbook"/>
                <w:i w:val="0"/>
                <w:iCs w:val="0"/>
                <w:sz w:val="20"/>
                <w:szCs w:val="20"/>
              </w:rPr>
              <w:fldChar w:fldCharType="end"/>
            </w:r>
            <w:r w:rsidR="00295FF2" w:rsidRPr="005970E9">
              <w:rPr>
                <w:rFonts w:ascii="Century Schoolbook" w:hAnsi="Century Schoolbook"/>
                <w:i w:val="0"/>
                <w:iCs w:val="0"/>
                <w:sz w:val="20"/>
                <w:szCs w:val="20"/>
              </w:rPr>
              <w:t xml:space="preserve">. </w:t>
            </w:r>
            <w:r w:rsidR="004434CE" w:rsidRPr="005970E9">
              <w:rPr>
                <w:rFonts w:ascii="Century Schoolbook" w:hAnsi="Century Schoolbook"/>
                <w:i w:val="0"/>
                <w:iCs w:val="0"/>
                <w:sz w:val="20"/>
                <w:szCs w:val="20"/>
              </w:rPr>
              <w:t xml:space="preserve">Distribución porcentual de la </w:t>
            </w:r>
            <w:r w:rsidR="003B5C05" w:rsidRPr="005970E9">
              <w:rPr>
                <w:rFonts w:ascii="Century Schoolbook" w:eastAsia="Century Schoolbook" w:hAnsi="Century Schoolbook" w:cs="Century Schoolbook"/>
                <w:i w:val="0"/>
                <w:iCs w:val="0"/>
                <w:color w:val="000000"/>
                <w:sz w:val="20"/>
                <w:szCs w:val="20"/>
              </w:rPr>
              <w:t>Estructura de la población ocupada por sector de actividad económica, según sexo y por nivel de productividad en la República de Panamá y área geográfica (Porcentaje sobre el total de la población ocupada): Año 2017.</w:t>
            </w:r>
            <w:bookmarkEnd w:id="131"/>
          </w:p>
        </w:tc>
      </w:tr>
      <w:tr w:rsidR="00E87B38" w:rsidRPr="005970E9" w14:paraId="0D203362" w14:textId="77777777">
        <w:trPr>
          <w:trHeight w:val="300"/>
        </w:trPr>
        <w:tc>
          <w:tcPr>
            <w:tcW w:w="5949" w:type="dxa"/>
            <w:shd w:val="clear" w:color="auto" w:fill="auto"/>
            <w:vAlign w:val="bottom"/>
          </w:tcPr>
          <w:p w14:paraId="61B3BED2" w14:textId="34E73BF3" w:rsidR="00B76B0C" w:rsidRPr="005970E9" w:rsidRDefault="00B76B0C">
            <w:pPr>
              <w:rPr>
                <w:rFonts w:eastAsia="Century Schoolbook" w:cs="Century Schoolbook"/>
                <w:b/>
                <w:color w:val="000000"/>
                <w:sz w:val="20"/>
                <w:szCs w:val="20"/>
              </w:rPr>
            </w:pPr>
          </w:p>
        </w:tc>
        <w:tc>
          <w:tcPr>
            <w:tcW w:w="850" w:type="dxa"/>
            <w:shd w:val="clear" w:color="auto" w:fill="auto"/>
            <w:vAlign w:val="bottom"/>
          </w:tcPr>
          <w:p w14:paraId="47AC6697" w14:textId="77777777" w:rsidR="00B76B0C" w:rsidRPr="005970E9" w:rsidRDefault="003B5C05">
            <w:pPr>
              <w:jc w:val="right"/>
              <w:rPr>
                <w:rFonts w:eastAsia="Century Schoolbook" w:cs="Century Schoolbook"/>
                <w:b/>
                <w:color w:val="000000"/>
                <w:sz w:val="20"/>
                <w:szCs w:val="20"/>
              </w:rPr>
            </w:pPr>
            <w:r w:rsidRPr="005970E9">
              <w:rPr>
                <w:rFonts w:eastAsia="Century Schoolbook" w:cs="Century Schoolbook"/>
                <w:b/>
                <w:color w:val="000000"/>
                <w:sz w:val="20"/>
                <w:szCs w:val="20"/>
              </w:rPr>
              <w:t>Total</w:t>
            </w:r>
          </w:p>
        </w:tc>
        <w:tc>
          <w:tcPr>
            <w:tcW w:w="1253" w:type="dxa"/>
            <w:shd w:val="clear" w:color="auto" w:fill="auto"/>
            <w:vAlign w:val="bottom"/>
          </w:tcPr>
          <w:p w14:paraId="3BE882B3" w14:textId="77777777" w:rsidR="00B76B0C" w:rsidRPr="005970E9" w:rsidRDefault="003B5C05">
            <w:pPr>
              <w:jc w:val="right"/>
              <w:rPr>
                <w:rFonts w:eastAsia="Century Schoolbook" w:cs="Century Schoolbook"/>
                <w:b/>
                <w:color w:val="000000"/>
                <w:sz w:val="20"/>
                <w:szCs w:val="20"/>
              </w:rPr>
            </w:pPr>
            <w:r w:rsidRPr="005970E9">
              <w:rPr>
                <w:rFonts w:eastAsia="Century Schoolbook" w:cs="Century Schoolbook"/>
                <w:b/>
                <w:color w:val="000000"/>
                <w:sz w:val="20"/>
                <w:szCs w:val="20"/>
              </w:rPr>
              <w:t>Hombres</w:t>
            </w:r>
          </w:p>
        </w:tc>
        <w:tc>
          <w:tcPr>
            <w:tcW w:w="1097" w:type="dxa"/>
            <w:shd w:val="clear" w:color="auto" w:fill="auto"/>
            <w:vAlign w:val="bottom"/>
          </w:tcPr>
          <w:p w14:paraId="61EAF0AE" w14:textId="77777777" w:rsidR="00B76B0C" w:rsidRPr="005970E9" w:rsidRDefault="003B5C05">
            <w:pPr>
              <w:jc w:val="right"/>
              <w:rPr>
                <w:rFonts w:eastAsia="Century Schoolbook" w:cs="Century Schoolbook"/>
                <w:b/>
                <w:color w:val="000000"/>
                <w:sz w:val="20"/>
                <w:szCs w:val="20"/>
              </w:rPr>
            </w:pPr>
            <w:r w:rsidRPr="005970E9">
              <w:rPr>
                <w:rFonts w:eastAsia="Century Schoolbook" w:cs="Century Schoolbook"/>
                <w:b/>
                <w:color w:val="000000"/>
                <w:sz w:val="20"/>
                <w:szCs w:val="20"/>
              </w:rPr>
              <w:t>Mujeres</w:t>
            </w:r>
          </w:p>
        </w:tc>
      </w:tr>
    </w:tbl>
    <w:tbl>
      <w:tblPr>
        <w:tblStyle w:val="5"/>
        <w:tblW w:w="91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850"/>
        <w:gridCol w:w="1253"/>
        <w:gridCol w:w="1097"/>
      </w:tblGrid>
      <w:tr w:rsidR="004434CE" w:rsidRPr="005970E9" w14:paraId="200B70B0" w14:textId="77777777">
        <w:trPr>
          <w:trHeight w:val="300"/>
        </w:trPr>
        <w:tc>
          <w:tcPr>
            <w:tcW w:w="5949" w:type="dxa"/>
            <w:shd w:val="clear" w:color="auto" w:fill="auto"/>
            <w:vAlign w:val="bottom"/>
          </w:tcPr>
          <w:p w14:paraId="28F83449" w14:textId="00C5646C" w:rsidR="004434CE" w:rsidRPr="005970E9" w:rsidRDefault="004434CE">
            <w:pPr>
              <w:rPr>
                <w:rFonts w:eastAsia="Century Schoolbook" w:cs="Century Schoolbook"/>
                <w:b/>
                <w:color w:val="000000"/>
                <w:sz w:val="20"/>
                <w:szCs w:val="20"/>
              </w:rPr>
            </w:pPr>
            <w:r w:rsidRPr="005970E9">
              <w:rPr>
                <w:rFonts w:eastAsia="Century Schoolbook" w:cs="Century Schoolbook"/>
                <w:b/>
                <w:color w:val="000000"/>
                <w:sz w:val="20"/>
                <w:szCs w:val="20"/>
              </w:rPr>
              <w:t>NACIONAL</w:t>
            </w:r>
          </w:p>
        </w:tc>
        <w:tc>
          <w:tcPr>
            <w:tcW w:w="850" w:type="dxa"/>
            <w:shd w:val="clear" w:color="auto" w:fill="auto"/>
            <w:vAlign w:val="bottom"/>
          </w:tcPr>
          <w:p w14:paraId="54FA95B5" w14:textId="6956B57D" w:rsidR="004434CE" w:rsidRPr="005970E9" w:rsidRDefault="004434CE">
            <w:pPr>
              <w:jc w:val="right"/>
              <w:rPr>
                <w:rFonts w:eastAsia="Century Schoolbook" w:cs="Century Schoolbook"/>
                <w:b/>
                <w:color w:val="000000"/>
                <w:sz w:val="20"/>
                <w:szCs w:val="20"/>
              </w:rPr>
            </w:pPr>
            <w:r w:rsidRPr="005970E9">
              <w:rPr>
                <w:rFonts w:eastAsia="Century Schoolbook" w:cs="Century Schoolbook"/>
                <w:b/>
                <w:color w:val="000000"/>
                <w:sz w:val="20"/>
                <w:szCs w:val="20"/>
              </w:rPr>
              <w:t>100</w:t>
            </w:r>
          </w:p>
        </w:tc>
        <w:tc>
          <w:tcPr>
            <w:tcW w:w="1253" w:type="dxa"/>
            <w:shd w:val="clear" w:color="auto" w:fill="auto"/>
            <w:vAlign w:val="bottom"/>
          </w:tcPr>
          <w:p w14:paraId="2C4E1BA5" w14:textId="21F18CDF" w:rsidR="004434CE" w:rsidRPr="005970E9" w:rsidRDefault="004434CE">
            <w:pPr>
              <w:jc w:val="right"/>
              <w:rPr>
                <w:rFonts w:eastAsia="Century Schoolbook" w:cs="Century Schoolbook"/>
                <w:b/>
                <w:color w:val="000000"/>
                <w:sz w:val="20"/>
                <w:szCs w:val="20"/>
              </w:rPr>
            </w:pPr>
            <w:r w:rsidRPr="005970E9">
              <w:rPr>
                <w:rFonts w:eastAsia="Century Schoolbook" w:cs="Century Schoolbook"/>
                <w:b/>
                <w:color w:val="000000"/>
                <w:sz w:val="20"/>
                <w:szCs w:val="20"/>
              </w:rPr>
              <w:t>100</w:t>
            </w:r>
          </w:p>
        </w:tc>
        <w:tc>
          <w:tcPr>
            <w:tcW w:w="1097" w:type="dxa"/>
            <w:shd w:val="clear" w:color="auto" w:fill="auto"/>
            <w:vAlign w:val="bottom"/>
          </w:tcPr>
          <w:p w14:paraId="4B874914" w14:textId="35ED81E9" w:rsidR="004434CE" w:rsidRPr="005970E9" w:rsidRDefault="004434CE">
            <w:pPr>
              <w:jc w:val="right"/>
              <w:rPr>
                <w:rFonts w:eastAsia="Century Schoolbook" w:cs="Century Schoolbook"/>
                <w:b/>
                <w:color w:val="000000"/>
                <w:sz w:val="20"/>
                <w:szCs w:val="20"/>
              </w:rPr>
            </w:pPr>
            <w:r w:rsidRPr="005970E9">
              <w:rPr>
                <w:rFonts w:eastAsia="Century Schoolbook" w:cs="Century Schoolbook"/>
                <w:b/>
                <w:color w:val="000000"/>
                <w:sz w:val="20"/>
                <w:szCs w:val="20"/>
              </w:rPr>
              <w:t>100</w:t>
            </w:r>
          </w:p>
        </w:tc>
      </w:tr>
    </w:tbl>
    <w:tbl>
      <w:tblPr>
        <w:tblW w:w="9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5949"/>
        <w:gridCol w:w="850"/>
        <w:gridCol w:w="1253"/>
        <w:gridCol w:w="1097"/>
      </w:tblGrid>
      <w:tr w:rsidR="00E87B38" w:rsidRPr="005970E9" w14:paraId="6C4C4828" w14:textId="77777777">
        <w:trPr>
          <w:trHeight w:val="300"/>
        </w:trPr>
        <w:tc>
          <w:tcPr>
            <w:tcW w:w="5949" w:type="dxa"/>
            <w:shd w:val="clear" w:color="auto" w:fill="auto"/>
            <w:vAlign w:val="bottom"/>
          </w:tcPr>
          <w:p w14:paraId="275FE6DB" w14:textId="77777777" w:rsidR="00B76B0C" w:rsidRPr="005970E9" w:rsidRDefault="003B5C05">
            <w:pPr>
              <w:ind w:left="708"/>
              <w:rPr>
                <w:rFonts w:eastAsia="Century Schoolbook" w:cs="Century Schoolbook"/>
                <w:color w:val="000000"/>
                <w:sz w:val="20"/>
                <w:szCs w:val="20"/>
              </w:rPr>
            </w:pPr>
            <w:r w:rsidRPr="005970E9">
              <w:rPr>
                <w:rFonts w:eastAsia="Century Schoolbook" w:cs="Century Schoolbook"/>
                <w:color w:val="000000"/>
                <w:sz w:val="20"/>
                <w:szCs w:val="20"/>
              </w:rPr>
              <w:t>Productividad baja (Agricultura, Comercio, Servicios)</w:t>
            </w:r>
          </w:p>
        </w:tc>
        <w:tc>
          <w:tcPr>
            <w:tcW w:w="850" w:type="dxa"/>
            <w:shd w:val="clear" w:color="auto" w:fill="auto"/>
          </w:tcPr>
          <w:p w14:paraId="25283880"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62.8</w:t>
            </w:r>
          </w:p>
        </w:tc>
        <w:tc>
          <w:tcPr>
            <w:tcW w:w="1253" w:type="dxa"/>
            <w:shd w:val="clear" w:color="auto" w:fill="auto"/>
          </w:tcPr>
          <w:p w14:paraId="130C5148"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53.5</w:t>
            </w:r>
          </w:p>
        </w:tc>
        <w:tc>
          <w:tcPr>
            <w:tcW w:w="1097" w:type="dxa"/>
            <w:shd w:val="clear" w:color="auto" w:fill="auto"/>
          </w:tcPr>
          <w:p w14:paraId="5A96F545"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76.5</w:t>
            </w:r>
          </w:p>
        </w:tc>
      </w:tr>
      <w:tr w:rsidR="00E87B38" w:rsidRPr="005970E9" w14:paraId="6A2C7833" w14:textId="77777777">
        <w:trPr>
          <w:trHeight w:val="300"/>
        </w:trPr>
        <w:tc>
          <w:tcPr>
            <w:tcW w:w="5949" w:type="dxa"/>
            <w:shd w:val="clear" w:color="auto" w:fill="auto"/>
            <w:vAlign w:val="bottom"/>
          </w:tcPr>
          <w:p w14:paraId="45791C8B" w14:textId="77777777" w:rsidR="00B76B0C" w:rsidRPr="005970E9" w:rsidRDefault="003B5C05">
            <w:pPr>
              <w:ind w:left="708"/>
              <w:rPr>
                <w:rFonts w:eastAsia="Century Schoolbook" w:cs="Century Schoolbook"/>
                <w:color w:val="000000"/>
                <w:sz w:val="20"/>
                <w:szCs w:val="20"/>
              </w:rPr>
            </w:pPr>
            <w:r w:rsidRPr="005970E9">
              <w:rPr>
                <w:rFonts w:eastAsia="Century Schoolbook" w:cs="Century Schoolbook"/>
                <w:color w:val="000000"/>
                <w:sz w:val="20"/>
                <w:szCs w:val="20"/>
              </w:rPr>
              <w:lastRenderedPageBreak/>
              <w:t>Productividad media (Ind. Manufacturera, Construcción, Transporte y comunicaciones)</w:t>
            </w:r>
          </w:p>
        </w:tc>
        <w:tc>
          <w:tcPr>
            <w:tcW w:w="850" w:type="dxa"/>
            <w:shd w:val="clear" w:color="auto" w:fill="auto"/>
          </w:tcPr>
          <w:p w14:paraId="5248DDA2"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26.8</w:t>
            </w:r>
          </w:p>
        </w:tc>
        <w:tc>
          <w:tcPr>
            <w:tcW w:w="1253" w:type="dxa"/>
            <w:shd w:val="clear" w:color="auto" w:fill="auto"/>
          </w:tcPr>
          <w:p w14:paraId="506B6139"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36.1</w:t>
            </w:r>
          </w:p>
        </w:tc>
        <w:tc>
          <w:tcPr>
            <w:tcW w:w="1097" w:type="dxa"/>
            <w:shd w:val="clear" w:color="auto" w:fill="auto"/>
          </w:tcPr>
          <w:p w14:paraId="427DAB96"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13.1</w:t>
            </w:r>
          </w:p>
        </w:tc>
      </w:tr>
      <w:tr w:rsidR="00E87B38" w:rsidRPr="005970E9" w14:paraId="27F2239E" w14:textId="77777777">
        <w:trPr>
          <w:trHeight w:val="300"/>
        </w:trPr>
        <w:tc>
          <w:tcPr>
            <w:tcW w:w="5949" w:type="dxa"/>
            <w:shd w:val="clear" w:color="auto" w:fill="auto"/>
            <w:vAlign w:val="bottom"/>
          </w:tcPr>
          <w:p w14:paraId="470C2D25" w14:textId="77777777" w:rsidR="00B76B0C" w:rsidRPr="005970E9" w:rsidRDefault="003B5C05">
            <w:pPr>
              <w:ind w:left="708"/>
              <w:rPr>
                <w:rFonts w:eastAsia="Century Schoolbook" w:cs="Century Schoolbook"/>
                <w:color w:val="000000"/>
                <w:sz w:val="20"/>
                <w:szCs w:val="20"/>
              </w:rPr>
            </w:pPr>
            <w:r w:rsidRPr="005970E9">
              <w:rPr>
                <w:rFonts w:eastAsia="Century Schoolbook" w:cs="Century Schoolbook"/>
                <w:color w:val="000000"/>
                <w:sz w:val="20"/>
                <w:szCs w:val="20"/>
              </w:rPr>
              <w:t>Productividad alta (Minería, Electricidad, gas y agua, Actividades financieras e inmobiliarias)</w:t>
            </w:r>
          </w:p>
        </w:tc>
        <w:tc>
          <w:tcPr>
            <w:tcW w:w="850" w:type="dxa"/>
            <w:shd w:val="clear" w:color="auto" w:fill="auto"/>
          </w:tcPr>
          <w:p w14:paraId="392CBE82"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10.4</w:t>
            </w:r>
          </w:p>
        </w:tc>
        <w:tc>
          <w:tcPr>
            <w:tcW w:w="1253" w:type="dxa"/>
            <w:shd w:val="clear" w:color="auto" w:fill="auto"/>
          </w:tcPr>
          <w:p w14:paraId="04954172"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10.4</w:t>
            </w:r>
          </w:p>
        </w:tc>
        <w:tc>
          <w:tcPr>
            <w:tcW w:w="1097" w:type="dxa"/>
            <w:shd w:val="clear" w:color="auto" w:fill="auto"/>
          </w:tcPr>
          <w:p w14:paraId="6CFC5913"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10.4</w:t>
            </w:r>
          </w:p>
        </w:tc>
      </w:tr>
      <w:tr w:rsidR="00E87B38" w:rsidRPr="005970E9" w14:paraId="527AB878" w14:textId="77777777">
        <w:trPr>
          <w:trHeight w:val="300"/>
        </w:trPr>
        <w:tc>
          <w:tcPr>
            <w:tcW w:w="5949" w:type="dxa"/>
            <w:shd w:val="clear" w:color="auto" w:fill="auto"/>
            <w:vAlign w:val="bottom"/>
          </w:tcPr>
          <w:p w14:paraId="0F4D25AA" w14:textId="77777777" w:rsidR="00B76B0C" w:rsidRPr="005970E9" w:rsidRDefault="003B5C05">
            <w:pPr>
              <w:rPr>
                <w:rFonts w:eastAsia="Century Schoolbook" w:cs="Century Schoolbook"/>
                <w:b/>
                <w:color w:val="000000"/>
                <w:sz w:val="20"/>
                <w:szCs w:val="20"/>
              </w:rPr>
            </w:pPr>
            <w:r w:rsidRPr="005970E9">
              <w:rPr>
                <w:rFonts w:eastAsia="Century Schoolbook" w:cs="Century Schoolbook"/>
                <w:b/>
                <w:color w:val="000000"/>
                <w:sz w:val="20"/>
                <w:szCs w:val="20"/>
              </w:rPr>
              <w:t>URBANA</w:t>
            </w:r>
          </w:p>
        </w:tc>
        <w:tc>
          <w:tcPr>
            <w:tcW w:w="850" w:type="dxa"/>
            <w:shd w:val="clear" w:color="auto" w:fill="auto"/>
          </w:tcPr>
          <w:p w14:paraId="1DAAA641" w14:textId="77777777" w:rsidR="00B76B0C" w:rsidRPr="005970E9" w:rsidRDefault="004434CE" w:rsidP="003B4616">
            <w:pPr>
              <w:jc w:val="right"/>
              <w:rPr>
                <w:rFonts w:eastAsia="Century Schoolbook" w:cs="Century Schoolbook"/>
                <w:b/>
                <w:sz w:val="20"/>
                <w:szCs w:val="20"/>
              </w:rPr>
            </w:pPr>
            <w:r w:rsidRPr="005970E9">
              <w:rPr>
                <w:rFonts w:eastAsia="Century Schoolbook" w:cs="Century Schoolbook"/>
                <w:b/>
                <w:sz w:val="20"/>
                <w:szCs w:val="20"/>
              </w:rPr>
              <w:t>100</w:t>
            </w:r>
          </w:p>
        </w:tc>
        <w:tc>
          <w:tcPr>
            <w:tcW w:w="1253" w:type="dxa"/>
            <w:shd w:val="clear" w:color="auto" w:fill="auto"/>
          </w:tcPr>
          <w:p w14:paraId="36B8C7A2" w14:textId="77777777" w:rsidR="00B76B0C" w:rsidRPr="005970E9" w:rsidRDefault="00F44511">
            <w:pPr>
              <w:jc w:val="right"/>
              <w:rPr>
                <w:rFonts w:eastAsia="Century Schoolbook" w:cs="Century Schoolbook"/>
                <w:sz w:val="20"/>
                <w:szCs w:val="20"/>
              </w:rPr>
            </w:pPr>
            <w:r w:rsidRPr="005970E9">
              <w:rPr>
                <w:rFonts w:eastAsia="Century Schoolbook" w:cs="Century Schoolbook"/>
                <w:sz w:val="20"/>
                <w:szCs w:val="20"/>
              </w:rPr>
              <w:t>100</w:t>
            </w:r>
          </w:p>
        </w:tc>
        <w:tc>
          <w:tcPr>
            <w:tcW w:w="1097" w:type="dxa"/>
            <w:shd w:val="clear" w:color="auto" w:fill="auto"/>
          </w:tcPr>
          <w:p w14:paraId="69CF5848" w14:textId="77777777" w:rsidR="00B76B0C" w:rsidRPr="005970E9" w:rsidRDefault="00F44511">
            <w:pPr>
              <w:jc w:val="right"/>
              <w:rPr>
                <w:rFonts w:eastAsia="Century Schoolbook" w:cs="Century Schoolbook"/>
                <w:sz w:val="20"/>
                <w:szCs w:val="20"/>
              </w:rPr>
            </w:pPr>
            <w:r w:rsidRPr="005970E9">
              <w:rPr>
                <w:rFonts w:eastAsia="Century Schoolbook" w:cs="Century Schoolbook"/>
                <w:sz w:val="20"/>
                <w:szCs w:val="20"/>
              </w:rPr>
              <w:t>100</w:t>
            </w:r>
          </w:p>
        </w:tc>
      </w:tr>
      <w:tr w:rsidR="00E87B38" w:rsidRPr="005970E9" w14:paraId="018AF488" w14:textId="77777777">
        <w:trPr>
          <w:trHeight w:val="300"/>
        </w:trPr>
        <w:tc>
          <w:tcPr>
            <w:tcW w:w="5949" w:type="dxa"/>
            <w:shd w:val="clear" w:color="auto" w:fill="auto"/>
            <w:vAlign w:val="bottom"/>
          </w:tcPr>
          <w:p w14:paraId="4903A62A" w14:textId="77777777" w:rsidR="00B76B0C" w:rsidRPr="005970E9" w:rsidRDefault="003B5C05">
            <w:pPr>
              <w:ind w:left="708"/>
              <w:rPr>
                <w:rFonts w:eastAsia="Century Schoolbook" w:cs="Century Schoolbook"/>
                <w:color w:val="000000"/>
                <w:sz w:val="20"/>
                <w:szCs w:val="20"/>
              </w:rPr>
            </w:pPr>
            <w:r w:rsidRPr="005970E9">
              <w:rPr>
                <w:rFonts w:eastAsia="Century Schoolbook" w:cs="Century Schoolbook"/>
                <w:color w:val="000000"/>
                <w:sz w:val="20"/>
                <w:szCs w:val="20"/>
              </w:rPr>
              <w:t>Productividad baja (Agricultura, Comercio, Servicios)</w:t>
            </w:r>
          </w:p>
        </w:tc>
        <w:tc>
          <w:tcPr>
            <w:tcW w:w="850" w:type="dxa"/>
            <w:shd w:val="clear" w:color="auto" w:fill="auto"/>
          </w:tcPr>
          <w:p w14:paraId="2C0A798B"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57.4</w:t>
            </w:r>
          </w:p>
        </w:tc>
        <w:tc>
          <w:tcPr>
            <w:tcW w:w="1253" w:type="dxa"/>
            <w:shd w:val="clear" w:color="auto" w:fill="auto"/>
          </w:tcPr>
          <w:p w14:paraId="28E58CA2"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45.0</w:t>
            </w:r>
          </w:p>
        </w:tc>
        <w:tc>
          <w:tcPr>
            <w:tcW w:w="1097" w:type="dxa"/>
            <w:shd w:val="clear" w:color="auto" w:fill="auto"/>
          </w:tcPr>
          <w:p w14:paraId="0950F31A"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74.1</w:t>
            </w:r>
          </w:p>
        </w:tc>
      </w:tr>
      <w:tr w:rsidR="00E87B38" w:rsidRPr="005970E9" w14:paraId="13B5BB09" w14:textId="77777777">
        <w:trPr>
          <w:trHeight w:val="300"/>
        </w:trPr>
        <w:tc>
          <w:tcPr>
            <w:tcW w:w="5949" w:type="dxa"/>
            <w:shd w:val="clear" w:color="auto" w:fill="auto"/>
            <w:vAlign w:val="bottom"/>
          </w:tcPr>
          <w:p w14:paraId="4AD3AED7" w14:textId="77777777" w:rsidR="00B76B0C" w:rsidRPr="005970E9" w:rsidRDefault="003B5C05">
            <w:pPr>
              <w:ind w:left="708"/>
              <w:rPr>
                <w:rFonts w:eastAsia="Century Schoolbook" w:cs="Century Schoolbook"/>
                <w:color w:val="000000"/>
                <w:sz w:val="20"/>
                <w:szCs w:val="20"/>
              </w:rPr>
            </w:pPr>
            <w:r w:rsidRPr="005970E9">
              <w:rPr>
                <w:rFonts w:eastAsia="Century Schoolbook" w:cs="Century Schoolbook"/>
                <w:color w:val="000000"/>
                <w:sz w:val="20"/>
                <w:szCs w:val="20"/>
              </w:rPr>
              <w:t>Productividad media (Ind. Manufacturera, Construcción, Transporte y comunicaciones)</w:t>
            </w:r>
          </w:p>
        </w:tc>
        <w:tc>
          <w:tcPr>
            <w:tcW w:w="850" w:type="dxa"/>
            <w:shd w:val="clear" w:color="auto" w:fill="auto"/>
          </w:tcPr>
          <w:p w14:paraId="35E7591B"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29.6</w:t>
            </w:r>
          </w:p>
        </w:tc>
        <w:tc>
          <w:tcPr>
            <w:tcW w:w="1253" w:type="dxa"/>
            <w:shd w:val="clear" w:color="auto" w:fill="auto"/>
          </w:tcPr>
          <w:p w14:paraId="07522E70"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42.0</w:t>
            </w:r>
          </w:p>
        </w:tc>
        <w:tc>
          <w:tcPr>
            <w:tcW w:w="1097" w:type="dxa"/>
            <w:shd w:val="clear" w:color="auto" w:fill="auto"/>
          </w:tcPr>
          <w:p w14:paraId="76CC390E"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12.8</w:t>
            </w:r>
          </w:p>
        </w:tc>
      </w:tr>
      <w:tr w:rsidR="00E87B38" w:rsidRPr="005970E9" w14:paraId="7F0ECB4B" w14:textId="77777777">
        <w:trPr>
          <w:trHeight w:val="291"/>
        </w:trPr>
        <w:tc>
          <w:tcPr>
            <w:tcW w:w="5949" w:type="dxa"/>
            <w:shd w:val="clear" w:color="auto" w:fill="auto"/>
            <w:vAlign w:val="bottom"/>
          </w:tcPr>
          <w:p w14:paraId="3DD4FFF1" w14:textId="77777777" w:rsidR="00B76B0C" w:rsidRPr="005970E9" w:rsidRDefault="003B5C05">
            <w:pPr>
              <w:ind w:left="708"/>
              <w:rPr>
                <w:rFonts w:eastAsia="Century Schoolbook" w:cs="Century Schoolbook"/>
                <w:color w:val="000000"/>
                <w:sz w:val="20"/>
                <w:szCs w:val="20"/>
              </w:rPr>
            </w:pPr>
            <w:r w:rsidRPr="005970E9">
              <w:rPr>
                <w:rFonts w:eastAsia="Century Schoolbook" w:cs="Century Schoolbook"/>
                <w:color w:val="000000"/>
                <w:sz w:val="20"/>
                <w:szCs w:val="20"/>
              </w:rPr>
              <w:t>Productividad alta (Minería, Electricidad, gas y agua, Actividades financieras e inmobiliarias)</w:t>
            </w:r>
          </w:p>
        </w:tc>
        <w:tc>
          <w:tcPr>
            <w:tcW w:w="850" w:type="dxa"/>
            <w:shd w:val="clear" w:color="auto" w:fill="auto"/>
          </w:tcPr>
          <w:p w14:paraId="2F6B98D1"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13.0</w:t>
            </w:r>
          </w:p>
        </w:tc>
        <w:tc>
          <w:tcPr>
            <w:tcW w:w="1253" w:type="dxa"/>
            <w:shd w:val="clear" w:color="auto" w:fill="auto"/>
          </w:tcPr>
          <w:p w14:paraId="4DD262B7"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13.0</w:t>
            </w:r>
          </w:p>
        </w:tc>
        <w:tc>
          <w:tcPr>
            <w:tcW w:w="1097" w:type="dxa"/>
            <w:shd w:val="clear" w:color="auto" w:fill="auto"/>
          </w:tcPr>
          <w:p w14:paraId="1B21E9B0"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13.1</w:t>
            </w:r>
          </w:p>
        </w:tc>
      </w:tr>
      <w:tr w:rsidR="00E87B38" w:rsidRPr="005970E9" w14:paraId="48FF6DDB" w14:textId="77777777" w:rsidTr="00F44511">
        <w:trPr>
          <w:trHeight w:val="291"/>
        </w:trPr>
        <w:tc>
          <w:tcPr>
            <w:tcW w:w="5949" w:type="dxa"/>
            <w:shd w:val="clear" w:color="auto" w:fill="auto"/>
            <w:vAlign w:val="bottom"/>
          </w:tcPr>
          <w:p w14:paraId="7599EB96" w14:textId="77777777" w:rsidR="00B76B0C" w:rsidRPr="005970E9" w:rsidRDefault="003B5C05">
            <w:pPr>
              <w:rPr>
                <w:rFonts w:eastAsia="Century Schoolbook" w:cs="Century Schoolbook"/>
                <w:b/>
                <w:color w:val="000000"/>
                <w:sz w:val="20"/>
                <w:szCs w:val="20"/>
              </w:rPr>
            </w:pPr>
            <w:r w:rsidRPr="005970E9">
              <w:rPr>
                <w:rFonts w:eastAsia="Century Schoolbook" w:cs="Century Schoolbook"/>
                <w:b/>
                <w:color w:val="000000"/>
                <w:sz w:val="20"/>
                <w:szCs w:val="20"/>
              </w:rPr>
              <w:t>RURAL</w:t>
            </w:r>
          </w:p>
        </w:tc>
        <w:tc>
          <w:tcPr>
            <w:tcW w:w="850" w:type="dxa"/>
            <w:shd w:val="clear" w:color="auto" w:fill="auto"/>
            <w:vAlign w:val="bottom"/>
          </w:tcPr>
          <w:p w14:paraId="2CEFD6B3" w14:textId="77777777" w:rsidR="00B76B0C" w:rsidRPr="005970E9" w:rsidRDefault="00F44511" w:rsidP="003B4616">
            <w:pPr>
              <w:jc w:val="right"/>
              <w:rPr>
                <w:rFonts w:eastAsia="Century Schoolbook" w:cs="Century Schoolbook"/>
                <w:b/>
                <w:sz w:val="20"/>
                <w:szCs w:val="20"/>
              </w:rPr>
            </w:pPr>
            <w:r w:rsidRPr="005970E9">
              <w:rPr>
                <w:rFonts w:eastAsia="Century Schoolbook" w:cs="Century Schoolbook"/>
                <w:b/>
                <w:sz w:val="20"/>
                <w:szCs w:val="20"/>
              </w:rPr>
              <w:t>100</w:t>
            </w:r>
          </w:p>
        </w:tc>
        <w:tc>
          <w:tcPr>
            <w:tcW w:w="1253" w:type="dxa"/>
            <w:shd w:val="clear" w:color="auto" w:fill="auto"/>
            <w:vAlign w:val="bottom"/>
          </w:tcPr>
          <w:p w14:paraId="080C5896" w14:textId="77777777" w:rsidR="00B76B0C" w:rsidRPr="005970E9" w:rsidRDefault="00F44511" w:rsidP="003B4616">
            <w:pPr>
              <w:jc w:val="right"/>
              <w:rPr>
                <w:rFonts w:eastAsia="Century Schoolbook" w:cs="Century Schoolbook"/>
                <w:sz w:val="20"/>
                <w:szCs w:val="20"/>
              </w:rPr>
            </w:pPr>
            <w:r w:rsidRPr="005970E9">
              <w:rPr>
                <w:rFonts w:eastAsia="Century Schoolbook" w:cs="Century Schoolbook"/>
                <w:sz w:val="20"/>
                <w:szCs w:val="20"/>
              </w:rPr>
              <w:t>100</w:t>
            </w:r>
          </w:p>
        </w:tc>
        <w:tc>
          <w:tcPr>
            <w:tcW w:w="1097" w:type="dxa"/>
            <w:shd w:val="clear" w:color="auto" w:fill="auto"/>
            <w:vAlign w:val="bottom"/>
          </w:tcPr>
          <w:p w14:paraId="5CAF37E0" w14:textId="77777777" w:rsidR="00B76B0C" w:rsidRPr="005970E9" w:rsidRDefault="00F44511" w:rsidP="003B4616">
            <w:pPr>
              <w:jc w:val="right"/>
              <w:rPr>
                <w:rFonts w:eastAsia="Century Schoolbook" w:cs="Century Schoolbook"/>
                <w:sz w:val="20"/>
                <w:szCs w:val="20"/>
              </w:rPr>
            </w:pPr>
            <w:r w:rsidRPr="005970E9">
              <w:rPr>
                <w:rFonts w:eastAsia="Century Schoolbook" w:cs="Century Schoolbook"/>
                <w:sz w:val="20"/>
                <w:szCs w:val="20"/>
              </w:rPr>
              <w:t>100</w:t>
            </w:r>
          </w:p>
        </w:tc>
      </w:tr>
      <w:tr w:rsidR="00E87B38" w:rsidRPr="005970E9" w14:paraId="4A046232" w14:textId="77777777">
        <w:trPr>
          <w:trHeight w:val="291"/>
        </w:trPr>
        <w:tc>
          <w:tcPr>
            <w:tcW w:w="5949" w:type="dxa"/>
            <w:shd w:val="clear" w:color="auto" w:fill="auto"/>
            <w:vAlign w:val="bottom"/>
          </w:tcPr>
          <w:p w14:paraId="0A265077" w14:textId="77777777" w:rsidR="00B76B0C" w:rsidRPr="005970E9" w:rsidRDefault="003B5C05">
            <w:pPr>
              <w:ind w:left="708"/>
              <w:rPr>
                <w:rFonts w:eastAsia="Century Schoolbook" w:cs="Century Schoolbook"/>
                <w:color w:val="000000"/>
                <w:sz w:val="20"/>
                <w:szCs w:val="20"/>
              </w:rPr>
            </w:pPr>
            <w:r w:rsidRPr="005970E9">
              <w:rPr>
                <w:rFonts w:eastAsia="Century Schoolbook" w:cs="Century Schoolbook"/>
                <w:color w:val="000000"/>
                <w:sz w:val="20"/>
                <w:szCs w:val="20"/>
              </w:rPr>
              <w:t>Productividad baja (Agricultura, Comercio, Servicios)</w:t>
            </w:r>
          </w:p>
        </w:tc>
        <w:tc>
          <w:tcPr>
            <w:tcW w:w="850" w:type="dxa"/>
            <w:shd w:val="clear" w:color="auto" w:fill="auto"/>
          </w:tcPr>
          <w:p w14:paraId="7AE999E7"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76.1</w:t>
            </w:r>
          </w:p>
        </w:tc>
        <w:tc>
          <w:tcPr>
            <w:tcW w:w="1253" w:type="dxa"/>
            <w:shd w:val="clear" w:color="auto" w:fill="auto"/>
          </w:tcPr>
          <w:p w14:paraId="6EC2275B"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71.9</w:t>
            </w:r>
          </w:p>
        </w:tc>
        <w:tc>
          <w:tcPr>
            <w:tcW w:w="1097" w:type="dxa"/>
            <w:shd w:val="clear" w:color="auto" w:fill="auto"/>
          </w:tcPr>
          <w:p w14:paraId="296CB264"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83.6</w:t>
            </w:r>
          </w:p>
        </w:tc>
      </w:tr>
      <w:tr w:rsidR="00E87B38" w:rsidRPr="005970E9" w14:paraId="1A17A63D" w14:textId="77777777">
        <w:trPr>
          <w:trHeight w:val="291"/>
        </w:trPr>
        <w:tc>
          <w:tcPr>
            <w:tcW w:w="5949" w:type="dxa"/>
            <w:shd w:val="clear" w:color="auto" w:fill="auto"/>
            <w:vAlign w:val="bottom"/>
          </w:tcPr>
          <w:p w14:paraId="2537F706" w14:textId="77777777" w:rsidR="00B76B0C" w:rsidRPr="005970E9" w:rsidRDefault="003B5C05">
            <w:pPr>
              <w:ind w:left="708"/>
              <w:rPr>
                <w:rFonts w:eastAsia="Century Schoolbook" w:cs="Century Schoolbook"/>
                <w:color w:val="000000"/>
                <w:sz w:val="20"/>
                <w:szCs w:val="20"/>
              </w:rPr>
            </w:pPr>
            <w:r w:rsidRPr="005970E9">
              <w:rPr>
                <w:rFonts w:eastAsia="Century Schoolbook" w:cs="Century Schoolbook"/>
                <w:color w:val="000000"/>
                <w:sz w:val="20"/>
                <w:szCs w:val="20"/>
              </w:rPr>
              <w:t>Productividad media (Ind. Manufacturera, Construcción, Transporte y comunicaciones)</w:t>
            </w:r>
          </w:p>
        </w:tc>
        <w:tc>
          <w:tcPr>
            <w:tcW w:w="850" w:type="dxa"/>
            <w:shd w:val="clear" w:color="auto" w:fill="auto"/>
          </w:tcPr>
          <w:p w14:paraId="6F0C795E"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19.8</w:t>
            </w:r>
          </w:p>
        </w:tc>
        <w:tc>
          <w:tcPr>
            <w:tcW w:w="1253" w:type="dxa"/>
            <w:shd w:val="clear" w:color="auto" w:fill="auto"/>
          </w:tcPr>
          <w:p w14:paraId="4C990355"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23.2</w:t>
            </w:r>
          </w:p>
        </w:tc>
        <w:tc>
          <w:tcPr>
            <w:tcW w:w="1097" w:type="dxa"/>
            <w:shd w:val="clear" w:color="auto" w:fill="auto"/>
          </w:tcPr>
          <w:p w14:paraId="2521BB35"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13.9</w:t>
            </w:r>
          </w:p>
        </w:tc>
      </w:tr>
      <w:tr w:rsidR="00E87B38" w:rsidRPr="005970E9" w14:paraId="14747AF7" w14:textId="77777777">
        <w:trPr>
          <w:trHeight w:val="291"/>
        </w:trPr>
        <w:tc>
          <w:tcPr>
            <w:tcW w:w="5949" w:type="dxa"/>
            <w:shd w:val="clear" w:color="auto" w:fill="auto"/>
            <w:vAlign w:val="bottom"/>
          </w:tcPr>
          <w:p w14:paraId="18513EAA" w14:textId="77777777" w:rsidR="00B76B0C" w:rsidRPr="005970E9" w:rsidRDefault="003B5C05">
            <w:pPr>
              <w:ind w:left="708"/>
              <w:rPr>
                <w:rFonts w:eastAsia="Century Schoolbook" w:cs="Century Schoolbook"/>
                <w:color w:val="000000"/>
                <w:sz w:val="20"/>
                <w:szCs w:val="20"/>
              </w:rPr>
            </w:pPr>
            <w:r w:rsidRPr="005970E9">
              <w:rPr>
                <w:rFonts w:eastAsia="Century Schoolbook" w:cs="Century Schoolbook"/>
                <w:color w:val="000000"/>
                <w:sz w:val="20"/>
                <w:szCs w:val="20"/>
              </w:rPr>
              <w:t>Productividad alta (Minería, Electricidad, gas y agua, Actividades financieras e inmobiliarias)</w:t>
            </w:r>
          </w:p>
        </w:tc>
        <w:tc>
          <w:tcPr>
            <w:tcW w:w="850" w:type="dxa"/>
            <w:shd w:val="clear" w:color="auto" w:fill="auto"/>
          </w:tcPr>
          <w:p w14:paraId="7FDDC4B0"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4.1</w:t>
            </w:r>
          </w:p>
        </w:tc>
        <w:tc>
          <w:tcPr>
            <w:tcW w:w="1253" w:type="dxa"/>
            <w:shd w:val="clear" w:color="auto" w:fill="auto"/>
          </w:tcPr>
          <w:p w14:paraId="79CF9855"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4.9</w:t>
            </w:r>
          </w:p>
        </w:tc>
        <w:tc>
          <w:tcPr>
            <w:tcW w:w="1097" w:type="dxa"/>
            <w:shd w:val="clear" w:color="auto" w:fill="auto"/>
          </w:tcPr>
          <w:p w14:paraId="2C13F396"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2.5</w:t>
            </w:r>
          </w:p>
        </w:tc>
      </w:tr>
      <w:tr w:rsidR="00B76B0C" w:rsidRPr="005970E9" w14:paraId="72A892D8" w14:textId="77777777" w:rsidTr="00282FF2">
        <w:trPr>
          <w:trHeight w:val="291"/>
        </w:trPr>
        <w:tc>
          <w:tcPr>
            <w:tcW w:w="9149" w:type="dxa"/>
            <w:gridSpan w:val="4"/>
            <w:shd w:val="clear" w:color="auto" w:fill="E5DFEC" w:themeFill="accent4" w:themeFillTint="33"/>
            <w:vAlign w:val="bottom"/>
          </w:tcPr>
          <w:p w14:paraId="539E156B" w14:textId="77777777" w:rsidR="00B76B0C" w:rsidRPr="005970E9" w:rsidRDefault="003B5C05">
            <w:pPr>
              <w:rPr>
                <w:rFonts w:eastAsia="Century Schoolbook" w:cs="Century Schoolbook"/>
                <w:color w:val="000000"/>
                <w:sz w:val="20"/>
                <w:szCs w:val="20"/>
              </w:rPr>
            </w:pPr>
            <w:r w:rsidRPr="005970E9">
              <w:rPr>
                <w:rFonts w:eastAsia="Century Schoolbook" w:cs="Century Schoolbook"/>
                <w:color w:val="000000"/>
                <w:sz w:val="20"/>
                <w:szCs w:val="20"/>
              </w:rPr>
              <w:t>Fuentes: CEPAL: Comisión Económica para América Latina y el Caribe - Sobre la base de encuestas de hogares de los países. Banco de Datos de Encuestas de Hogares (BADEHOG).</w:t>
            </w:r>
          </w:p>
        </w:tc>
      </w:tr>
    </w:tbl>
    <w:p w14:paraId="481654AA" w14:textId="477EDA9B" w:rsidR="00B76B0C" w:rsidRPr="005970E9" w:rsidRDefault="003B5C05" w:rsidP="002C77C2">
      <w:pPr>
        <w:pBdr>
          <w:top w:val="nil"/>
          <w:left w:val="nil"/>
          <w:bottom w:val="nil"/>
          <w:right w:val="nil"/>
          <w:between w:val="nil"/>
        </w:pBdr>
        <w:spacing w:before="240" w:after="120" w:line="276" w:lineRule="auto"/>
        <w:jc w:val="both"/>
        <w:rPr>
          <w:rFonts w:eastAsia="Century Schoolbook" w:cs="Century Schoolbook"/>
          <w:color w:val="000000"/>
        </w:rPr>
      </w:pPr>
      <w:r w:rsidRPr="005970E9">
        <w:rPr>
          <w:rFonts w:eastAsia="Century Schoolbook" w:cs="Century Schoolbook"/>
          <w:color w:val="000000"/>
        </w:rPr>
        <w:t xml:space="preserve">La productividad en el área rural </w:t>
      </w:r>
      <w:r w:rsidR="00295FF2" w:rsidRPr="005970E9">
        <w:rPr>
          <w:rFonts w:eastAsia="Century Schoolbook" w:cs="Century Schoolbook"/>
          <w:color w:val="000000"/>
        </w:rPr>
        <w:t xml:space="preserve">resulta </w:t>
      </w:r>
      <w:r w:rsidRPr="005970E9">
        <w:rPr>
          <w:rFonts w:eastAsia="Century Schoolbook" w:cs="Century Schoolbook"/>
          <w:color w:val="000000"/>
        </w:rPr>
        <w:t xml:space="preserve">la más baja </w:t>
      </w:r>
      <w:r w:rsidR="00295FF2" w:rsidRPr="005970E9">
        <w:rPr>
          <w:rFonts w:eastAsia="Century Schoolbook" w:cs="Century Schoolbook"/>
          <w:color w:val="000000"/>
        </w:rPr>
        <w:t xml:space="preserve">e involucra una suma </w:t>
      </w:r>
      <w:r w:rsidRPr="005970E9">
        <w:rPr>
          <w:rFonts w:eastAsia="Century Schoolbook" w:cs="Century Schoolbook"/>
          <w:color w:val="000000"/>
        </w:rPr>
        <w:t xml:space="preserve">elevada </w:t>
      </w:r>
      <w:r w:rsidR="00295FF2" w:rsidRPr="005970E9">
        <w:rPr>
          <w:rFonts w:eastAsia="Century Schoolbook" w:cs="Century Schoolbook"/>
          <w:color w:val="000000"/>
        </w:rPr>
        <w:t xml:space="preserve">de </w:t>
      </w:r>
      <w:r w:rsidRPr="005970E9">
        <w:rPr>
          <w:rFonts w:eastAsia="Century Schoolbook" w:cs="Century Schoolbook"/>
          <w:color w:val="000000"/>
        </w:rPr>
        <w:t xml:space="preserve">mujeres (83.6%), como </w:t>
      </w:r>
      <w:r w:rsidR="00295FF2" w:rsidRPr="005970E9">
        <w:rPr>
          <w:rFonts w:eastAsia="Century Schoolbook" w:cs="Century Schoolbook"/>
          <w:color w:val="000000"/>
        </w:rPr>
        <w:t xml:space="preserve">de </w:t>
      </w:r>
      <w:r w:rsidRPr="005970E9">
        <w:rPr>
          <w:rFonts w:eastAsia="Century Schoolbook" w:cs="Century Schoolbook"/>
          <w:color w:val="000000"/>
        </w:rPr>
        <w:t>hombres (71.9%). En esta área la productividad alta solo incluye un 2.5% de mujeres, igual de baja resulta la productividad media, 13.9%.</w:t>
      </w:r>
    </w:p>
    <w:p w14:paraId="1BBAE2B0" w14:textId="77777777"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 xml:space="preserve">En el área urbana las mujeres también son mayoría en la productividad baja 74.1% y 45.0% hombres; en la productividad media urbana, las mujeres son 12.8% y los hombres 42.0%. </w:t>
      </w:r>
    </w:p>
    <w:p w14:paraId="6B97471C" w14:textId="4406D694"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Como puede observarse las mujeres y hombres muestran igualdad en la productividad alta urbana y nacional. Estas disparidades por sexo en la población trabajadora en materia de productividad guarda</w:t>
      </w:r>
      <w:r w:rsidR="00295FF2" w:rsidRPr="005970E9">
        <w:rPr>
          <w:rFonts w:eastAsia="Century Schoolbook" w:cs="Century Schoolbook"/>
        </w:rPr>
        <w:t>n</w:t>
      </w:r>
      <w:r w:rsidRPr="005970E9">
        <w:rPr>
          <w:rFonts w:eastAsia="Century Schoolbook" w:cs="Century Schoolbook"/>
        </w:rPr>
        <w:t xml:space="preserve"> relación con la riqueza que produce la actividad económica, la productividad alta, coincide con los sectores tractores de la economía panameña que identifica el Diagnóstico de la Iniciativa de Paridad de Género (DIPG): los “tractores de la economía (logístico, comercial, financiero, turístico), modernos, impulsados por grandes corporaciones, basados en servicios de carácter exportable, dinámicos e insertos en la economía internacional (que representan alrededor del 60 por ciento del PIB) (INEC, 2018b), coexisten con el resto de la economía nacional, enfocada hacia actividades agrícolas o industriales, poco competitivas internacionalmente, basadas en micro y pequeñas empresas, destinadas al mercado interno e intensivos en mano de obra”. Los sectores de productividad alta cuentan con “empresas que absorben el 7 por ciento del empleo (unas 100,000 personas) generan el 47 por ciento de la riqueza, con un salario promedio de 3,078 dólares/mes, mientras que el 93 por ciento restante (1,500,000 trabajadores(as)) produce el 53 por ciento del PIB, con un salario medio de 697 dólares mensuales. </w:t>
      </w:r>
      <w:r w:rsidRPr="005970E9">
        <w:rPr>
          <w:rFonts w:eastAsia="Century Schoolbook" w:cs="Century Schoolbook"/>
          <w:b/>
        </w:rPr>
        <w:t>La productividad del</w:t>
      </w:r>
      <w:r w:rsidRPr="005970E9">
        <w:rPr>
          <w:rFonts w:eastAsia="Century Schoolbook" w:cs="Century Schoolbook"/>
        </w:rPr>
        <w:t xml:space="preserve"> </w:t>
      </w:r>
      <w:r w:rsidRPr="005970E9">
        <w:rPr>
          <w:rFonts w:eastAsia="Century Schoolbook" w:cs="Century Schoolbook"/>
          <w:b/>
          <w:i/>
        </w:rPr>
        <w:t>Network</w:t>
      </w:r>
      <w:r w:rsidRPr="005970E9">
        <w:rPr>
          <w:rFonts w:eastAsia="Century Schoolbook" w:cs="Century Schoolbook"/>
        </w:rPr>
        <w:t xml:space="preserve"> </w:t>
      </w:r>
      <w:r w:rsidRPr="005970E9">
        <w:rPr>
          <w:rFonts w:eastAsia="Century Schoolbook" w:cs="Century Schoolbook"/>
          <w:b/>
        </w:rPr>
        <w:t>es, de esa manera, 18</w:t>
      </w:r>
      <w:r w:rsidRPr="005970E9">
        <w:rPr>
          <w:rFonts w:eastAsia="Century Schoolbook" w:cs="Century Schoolbook"/>
        </w:rPr>
        <w:t xml:space="preserve"> </w:t>
      </w:r>
      <w:r w:rsidRPr="005970E9">
        <w:rPr>
          <w:rFonts w:eastAsia="Century Schoolbook" w:cs="Century Schoolbook"/>
          <w:b/>
        </w:rPr>
        <w:t xml:space="preserve">veces superior al del resto de la economía </w:t>
      </w:r>
      <w:r w:rsidRPr="005970E9">
        <w:rPr>
          <w:rFonts w:eastAsia="Century Schoolbook" w:cs="Century Schoolbook"/>
        </w:rPr>
        <w:t xml:space="preserve">(Intracorp, 2014) (DIPG, 2019, p6). </w:t>
      </w:r>
    </w:p>
    <w:p w14:paraId="577D0BFE" w14:textId="77777777" w:rsidR="004018EC" w:rsidRPr="005970E9" w:rsidRDefault="004018EC">
      <w:pPr>
        <w:spacing w:before="120" w:after="120" w:line="276" w:lineRule="auto"/>
        <w:jc w:val="both"/>
        <w:rPr>
          <w:rFonts w:eastAsia="Century Schoolbook" w:cs="Century Schoolbook"/>
        </w:rPr>
      </w:pPr>
    </w:p>
    <w:p w14:paraId="259000D3" w14:textId="77777777" w:rsidR="00B76B0C" w:rsidRPr="005970E9" w:rsidRDefault="003B5C05" w:rsidP="002338C0">
      <w:pPr>
        <w:pStyle w:val="Heading3"/>
        <w:numPr>
          <w:ilvl w:val="2"/>
          <w:numId w:val="16"/>
        </w:numPr>
      </w:pPr>
      <w:bookmarkStart w:id="132" w:name="_Toc42159211"/>
      <w:bookmarkStart w:id="133" w:name="_Toc42549445"/>
      <w:r w:rsidRPr="005970E9">
        <w:lastRenderedPageBreak/>
        <w:t>Brecha salarial de género</w:t>
      </w:r>
      <w:bookmarkEnd w:id="132"/>
      <w:bookmarkEnd w:id="133"/>
    </w:p>
    <w:p w14:paraId="207C57AD" w14:textId="77777777" w:rsidR="00B76B0C" w:rsidRPr="005970E9" w:rsidRDefault="003B5C05">
      <w:pPr>
        <w:spacing w:before="120" w:after="120"/>
        <w:ind w:left="1080" w:right="49"/>
        <w:jc w:val="both"/>
        <w:rPr>
          <w:rFonts w:eastAsia="Century Schoolbook" w:cs="Century Schoolbook"/>
          <w:b/>
          <w:color w:val="ED7D31"/>
          <w:sz w:val="18"/>
          <w:szCs w:val="18"/>
        </w:rPr>
      </w:pPr>
      <w:r w:rsidRPr="005970E9">
        <w:rPr>
          <w:rFonts w:eastAsia="Century Schoolbook" w:cs="Century Schoolbook"/>
          <w:b/>
          <w:color w:val="ED7D31"/>
          <w:sz w:val="18"/>
          <w:szCs w:val="18"/>
        </w:rPr>
        <w:t>“De aquí a 2030, lograr el empleo pleno y productivo y el trabajo decente para todas las mujeres y los hombres, incluidos los jóvenes y las personas con discapacidad, así como la igualdad de remuneración por un trabajo de igual valor.” Objetivo 8. ODS, meta bajo custodia de la OIT.</w:t>
      </w:r>
    </w:p>
    <w:p w14:paraId="5D3C4417" w14:textId="77777777" w:rsidR="00B76B0C" w:rsidRPr="005970E9" w:rsidRDefault="003B5C05">
      <w:pPr>
        <w:spacing w:before="120" w:after="120" w:line="276" w:lineRule="auto"/>
        <w:ind w:right="49"/>
        <w:jc w:val="both"/>
        <w:rPr>
          <w:rFonts w:eastAsia="Century Schoolbook" w:cs="Century Schoolbook"/>
        </w:rPr>
      </w:pPr>
      <w:r w:rsidRPr="005970E9">
        <w:rPr>
          <w:rFonts w:eastAsia="Century Schoolbook" w:cs="Century Schoolbook"/>
        </w:rPr>
        <w:t>La Asamblea General de las Naciones Unidas en septiembre de 2017, creo la Coalición Internacional sobre la Igualdad de Remuneración (EPIC) con el propósito de abordar las disparidades en materia de remuneración entre hombres y mujeres, es liderada por la OIT, ONU-MUJERES y la OCDE, se trata de una alianza múltiple para el logro de la Meta 8.5 de los ODS. Se trata de brindar un abordaje colectivo al problema. Los indicadores de éxito son:</w:t>
      </w:r>
    </w:p>
    <w:p w14:paraId="6C0D01B1" w14:textId="45CDC477" w:rsidR="00B76B0C" w:rsidRPr="005970E9" w:rsidRDefault="003B5C05" w:rsidP="00295FF2">
      <w:pPr>
        <w:pBdr>
          <w:top w:val="nil"/>
          <w:left w:val="nil"/>
          <w:bottom w:val="nil"/>
          <w:right w:val="nil"/>
          <w:between w:val="nil"/>
        </w:pBdr>
        <w:spacing w:before="120" w:after="120" w:line="276" w:lineRule="auto"/>
        <w:ind w:right="49"/>
        <w:jc w:val="both"/>
        <w:rPr>
          <w:rFonts w:eastAsia="Century Schoolbook" w:cs="Century Schoolbook"/>
          <w:color w:val="000000"/>
        </w:rPr>
      </w:pPr>
      <w:r w:rsidRPr="005970E9">
        <w:rPr>
          <w:rFonts w:eastAsia="Century Schoolbook" w:cs="Century Schoolbook"/>
          <w:color w:val="000000"/>
        </w:rPr>
        <w:t>1) Disminución de la brecha de género; 2) Compromiso demostrado para lograr la igualdad de remuneración; 3) La ratificación universal de las normas internacionales del trabajo pertinentes.</w:t>
      </w:r>
      <w:r w:rsidR="00F94652" w:rsidRPr="005970E9">
        <w:rPr>
          <w:rStyle w:val="FootnoteReference"/>
          <w:rFonts w:eastAsia="Century Schoolbook" w:cs="Century Schoolbook"/>
          <w:color w:val="000000"/>
        </w:rPr>
        <w:footnoteReference w:id="35"/>
      </w:r>
      <w:r w:rsidRPr="005970E9">
        <w:rPr>
          <w:rFonts w:eastAsia="Century Schoolbook" w:cs="Century Schoolbook"/>
          <w:color w:val="000000"/>
        </w:rPr>
        <w:t xml:space="preserve"> En Panamá los días 30-31 de enero 2018, se realizó la Conferencia Regional: “Igualdad Salarial entre Hombres y Mujeres para Economías más Prósperas e Inclusivas”. Un encuentro organizado por el Gobierno de la República de Panamá, la Organización Internacional del Trabajo (OIT) y ONU Mujeres, para trabajar las políticas públicas para la igual remuneración entre hombres y mujeres.</w:t>
      </w:r>
    </w:p>
    <w:p w14:paraId="4A06CD40" w14:textId="0F4488E0" w:rsidR="00B76B0C" w:rsidRPr="005970E9" w:rsidRDefault="003B5C05">
      <w:pPr>
        <w:spacing w:before="120" w:after="120" w:line="276" w:lineRule="auto"/>
        <w:ind w:right="49"/>
        <w:jc w:val="both"/>
        <w:rPr>
          <w:rFonts w:eastAsia="Century Schoolbook" w:cs="Century Schoolbook"/>
        </w:rPr>
      </w:pPr>
      <w:r w:rsidRPr="005970E9">
        <w:rPr>
          <w:rFonts w:eastAsia="Century Schoolbook" w:cs="Century Schoolbook"/>
        </w:rPr>
        <w:t>El</w:t>
      </w:r>
      <w:r w:rsidR="006D1B3C" w:rsidRPr="005970E9">
        <w:rPr>
          <w:rFonts w:eastAsia="Century Schoolbook" w:cs="Century Schoolbook"/>
        </w:rPr>
        <w:t xml:space="preserve"> </w:t>
      </w:r>
      <w:r w:rsidR="006D1B3C" w:rsidRPr="005970E9">
        <w:rPr>
          <w:rFonts w:eastAsia="Century Schoolbook" w:cs="Century Schoolbook"/>
          <w:sz w:val="20"/>
          <w:szCs w:val="20"/>
        </w:rPr>
        <w:t>Diagnóstico de Iniciativa de Paridad de Género, ya citado arriba</w:t>
      </w:r>
      <w:r w:rsidRPr="005970E9">
        <w:rPr>
          <w:rFonts w:eastAsia="Century Schoolbook" w:cs="Century Schoolbook"/>
        </w:rPr>
        <w:t xml:space="preserve"> identificó</w:t>
      </w:r>
      <w:r w:rsidRPr="005970E9">
        <w:rPr>
          <w:rFonts w:eastAsia="Century Schoolbook" w:cs="Century Schoolbook"/>
          <w:vertAlign w:val="superscript"/>
        </w:rPr>
        <w:footnoteReference w:id="36"/>
      </w:r>
      <w:r w:rsidRPr="005970E9">
        <w:rPr>
          <w:rFonts w:eastAsia="Century Schoolbook" w:cs="Century Schoolbook"/>
        </w:rPr>
        <w:t xml:space="preserve"> que “la brecha salarial de género se intensifica entre los trabajadores(as) por cuenta propia (30 por ciento), los patronos(as) (17 por ciento) y cooperativistas (47 por ciento)”. También que esta tiene mayor proporción entre trabajadoras insertas en la agricultura con un 83%. En la manufactura la brecha es de 74% y en los servicios y comercio 38%, entre las profesionales y científicas la brecha es el 21% (Almario T., 2016a).</w:t>
      </w:r>
    </w:p>
    <w:p w14:paraId="01FCE419" w14:textId="14ADC5C9" w:rsidR="00B76B0C" w:rsidRPr="005970E9" w:rsidRDefault="003B5C05">
      <w:pPr>
        <w:spacing w:before="120" w:after="120" w:line="276" w:lineRule="auto"/>
        <w:ind w:right="49"/>
        <w:jc w:val="both"/>
        <w:rPr>
          <w:rFonts w:eastAsia="Century Schoolbook" w:cs="Century Schoolbook"/>
        </w:rPr>
      </w:pPr>
      <w:r w:rsidRPr="005970E9">
        <w:rPr>
          <w:rFonts w:eastAsia="Century Schoolbook" w:cs="Century Schoolbook"/>
        </w:rPr>
        <w:t xml:space="preserve">Los datos del estudio preliminar sobre Brechas salariales de género en Panamá: 2011-2018, de la investigadora de la Universidad de Panamá Rosa Arrocha, trabajados con Microdatos de la Encuesta de Propósitos múltiples del INEC de marzo 2011 y 2018, identifica </w:t>
      </w:r>
      <w:r w:rsidR="006D1B3C" w:rsidRPr="005970E9">
        <w:rPr>
          <w:rFonts w:eastAsia="Century Schoolbook" w:cs="Century Schoolbook"/>
        </w:rPr>
        <w:t xml:space="preserve">cuánto </w:t>
      </w:r>
      <w:r w:rsidRPr="005970E9">
        <w:rPr>
          <w:rFonts w:eastAsia="Century Schoolbook" w:cs="Century Schoolbook"/>
        </w:rPr>
        <w:t xml:space="preserve">más cobran los hombres respecto a las mujeres, el cálculo se realiza con los salarios por hora. La brecha salarial de género se da en dos grupos no comparables: hombres que tienen 9.28 años de experiencia laboral, 10.59 años de educación; frente a 8.7 años de experiencia </w:t>
      </w:r>
      <w:r w:rsidR="00295FF2" w:rsidRPr="005970E9">
        <w:rPr>
          <w:rFonts w:eastAsia="Century Schoolbook" w:cs="Century Schoolbook"/>
        </w:rPr>
        <w:t xml:space="preserve">laboral </w:t>
      </w:r>
      <w:r w:rsidRPr="005970E9">
        <w:rPr>
          <w:rFonts w:eastAsia="Century Schoolbook" w:cs="Century Schoolbook"/>
        </w:rPr>
        <w:t xml:space="preserve">y 13.20 años de educación de las mujeres.  Estas diferencias fueron utilizadas para ajustar el cálculo. </w:t>
      </w:r>
      <w:r w:rsidRPr="005970E9">
        <w:rPr>
          <w:rFonts w:eastAsia="Century Schoolbook" w:cs="Century Schoolbook"/>
          <w:b/>
          <w:bCs/>
        </w:rPr>
        <w:t>La brecha salarial sin ajustar</w:t>
      </w:r>
      <w:r w:rsidRPr="005970E9">
        <w:rPr>
          <w:rFonts w:eastAsia="Century Schoolbook" w:cs="Century Schoolbook"/>
        </w:rPr>
        <w:t xml:space="preserve"> </w:t>
      </w:r>
      <w:r w:rsidR="00491B7A" w:rsidRPr="005970E9">
        <w:rPr>
          <w:rFonts w:eastAsia="Century Schoolbook" w:cs="Century Schoolbook"/>
        </w:rPr>
        <w:t xml:space="preserve">(o no ajustada) </w:t>
      </w:r>
      <w:r w:rsidRPr="005970E9">
        <w:rPr>
          <w:rFonts w:eastAsia="Century Schoolbook" w:cs="Century Schoolbook"/>
        </w:rPr>
        <w:t xml:space="preserve">es aquella que: “Mide la diferencia porcentual bruta en salario entre hombres y mujeres independientemente de las disimilitudes subyacentes en ambos colectivos en términos de características socioeconómicas y del puesto de trabajo” con ello se hace una comparación de igualdad. </w:t>
      </w:r>
      <w:r w:rsidRPr="005970E9">
        <w:rPr>
          <w:rFonts w:eastAsia="Century Schoolbook" w:cs="Century Schoolbook"/>
          <w:b/>
          <w:bCs/>
        </w:rPr>
        <w:t>La brecha salarial ajustada</w:t>
      </w:r>
      <w:r w:rsidRPr="005970E9">
        <w:rPr>
          <w:rFonts w:eastAsia="Century Schoolbook" w:cs="Century Schoolbook"/>
        </w:rPr>
        <w:t xml:space="preserve"> mide la diferencia porcentual en salario, controlando las características </w:t>
      </w:r>
      <w:r w:rsidRPr="005970E9">
        <w:rPr>
          <w:rFonts w:eastAsia="Century Schoolbook" w:cs="Century Schoolbook"/>
        </w:rPr>
        <w:lastRenderedPageBreak/>
        <w:t>socioeconómicas y del puesto de trabajo, tratando de obtener una medida de “</w:t>
      </w:r>
      <w:r w:rsidRPr="005970E9">
        <w:rPr>
          <w:rFonts w:eastAsia="Century Schoolbook" w:cs="Century Schoolbook"/>
          <w:i/>
        </w:rPr>
        <w:t>diferencias en la remuneración por el mismo trabajo realizado</w:t>
      </w:r>
      <w:r w:rsidRPr="005970E9">
        <w:rPr>
          <w:rFonts w:eastAsia="Century Schoolbook" w:cs="Century Schoolbook"/>
        </w:rPr>
        <w:t>” y se relaciona con el concepto de equidad.</w:t>
      </w:r>
    </w:p>
    <w:p w14:paraId="5DC7505F" w14:textId="4EC670E4" w:rsidR="00B76B0C" w:rsidRPr="005970E9" w:rsidRDefault="003B5C05">
      <w:pPr>
        <w:spacing w:before="120" w:after="120" w:line="276" w:lineRule="auto"/>
        <w:ind w:right="49"/>
        <w:jc w:val="both"/>
        <w:rPr>
          <w:rFonts w:eastAsia="Century Schoolbook" w:cs="Century Schoolbook"/>
        </w:rPr>
      </w:pPr>
      <w:r w:rsidRPr="005970E9">
        <w:rPr>
          <w:rFonts w:eastAsia="Century Schoolbook" w:cs="Century Schoolbook"/>
        </w:rPr>
        <w:t>Las brechas salariales de género ajustadas consideran</w:t>
      </w:r>
      <w:r w:rsidR="00752C00" w:rsidRPr="005970E9">
        <w:rPr>
          <w:rFonts w:eastAsia="Century Schoolbook" w:cs="Century Schoolbook"/>
        </w:rPr>
        <w:t xml:space="preserve"> las</w:t>
      </w:r>
      <w:r w:rsidRPr="005970E9">
        <w:rPr>
          <w:rFonts w:eastAsia="Century Schoolbook" w:cs="Century Schoolbook"/>
        </w:rPr>
        <w:t xml:space="preserve"> </w:t>
      </w:r>
      <w:r w:rsidRPr="005970E9">
        <w:rPr>
          <w:rFonts w:eastAsia="Century Schoolbook" w:cs="Century Schoolbook"/>
          <w:i/>
        </w:rPr>
        <w:t>variables socioeconómicas</w:t>
      </w:r>
      <w:r w:rsidRPr="005970E9">
        <w:rPr>
          <w:rFonts w:eastAsia="Century Schoolbook" w:cs="Century Schoolbook"/>
        </w:rPr>
        <w:t xml:space="preserve">: sexo, edad, nivel educativo, experiencia y número de hijos; y las </w:t>
      </w:r>
      <w:r w:rsidRPr="005970E9">
        <w:rPr>
          <w:rFonts w:eastAsia="Century Schoolbook" w:cs="Century Schoolbook"/>
          <w:i/>
        </w:rPr>
        <w:t>variables características del empleo y de la empresa</w:t>
      </w:r>
      <w:r w:rsidRPr="005970E9">
        <w:rPr>
          <w:rFonts w:eastAsia="Century Schoolbook" w:cs="Century Schoolbook"/>
        </w:rPr>
        <w:t>: tamaño de la empresa, tipo de contrato, tipo de jornada, ocupación y rama económica.</w:t>
      </w:r>
    </w:p>
    <w:p w14:paraId="42633CAF" w14:textId="1BA68BF6" w:rsidR="00B76B0C" w:rsidRPr="005970E9" w:rsidRDefault="003B5C05">
      <w:pPr>
        <w:spacing w:before="120" w:after="120" w:line="276" w:lineRule="auto"/>
        <w:ind w:right="49"/>
        <w:jc w:val="both"/>
        <w:rPr>
          <w:rFonts w:eastAsia="Century Schoolbook" w:cs="Century Schoolbook"/>
        </w:rPr>
      </w:pPr>
      <w:r w:rsidRPr="005970E9">
        <w:rPr>
          <w:rFonts w:eastAsia="Century Schoolbook" w:cs="Century Schoolbook"/>
        </w:rPr>
        <w:t>La brecha salarial de género no ajustada en el sector terciario de la economía panameña es 11% en 2011 y 4% en 2018</w:t>
      </w:r>
      <w:r w:rsidR="00B43882">
        <w:rPr>
          <w:rFonts w:eastAsia="Century Schoolbook" w:cs="Century Schoolbook"/>
        </w:rPr>
        <w:t xml:space="preserve"> (ver gráfica 6)</w:t>
      </w:r>
      <w:r w:rsidRPr="005970E9">
        <w:rPr>
          <w:rFonts w:eastAsia="Century Schoolbook" w:cs="Century Schoolbook"/>
        </w:rPr>
        <w:t>. En el ámbito de los grupos de ocupación</w:t>
      </w:r>
      <w:r w:rsidR="00775BFC" w:rsidRPr="005970E9">
        <w:rPr>
          <w:rFonts w:eastAsia="Century Schoolbook" w:cs="Century Schoolbook"/>
        </w:rPr>
        <w:t>,</w:t>
      </w:r>
      <w:r w:rsidRPr="005970E9">
        <w:rPr>
          <w:rFonts w:eastAsia="Century Schoolbook" w:cs="Century Schoolbook"/>
        </w:rPr>
        <w:t xml:space="preserve"> las brechas más elevadas se observan entre los ‘Operadores/as de instalaciones fijas y máquinas; ensambladores, conductores y operadores…’ con 196% en 2011 y 20% en 2018. </w:t>
      </w:r>
    </w:p>
    <w:p w14:paraId="698DD740" w14:textId="298BCCB8" w:rsidR="002C77C2" w:rsidRPr="005970E9" w:rsidRDefault="00775BFC" w:rsidP="00775BFC">
      <w:pPr>
        <w:pStyle w:val="Caption"/>
        <w:keepNext/>
        <w:spacing w:after="240"/>
        <w:jc w:val="both"/>
        <w:rPr>
          <w:rFonts w:ascii="Century Schoolbook" w:eastAsia="Century Schoolbook" w:hAnsi="Century Schoolbook" w:cs="Century Schoolbook"/>
        </w:rPr>
      </w:pPr>
      <w:bookmarkStart w:id="134" w:name="_Toc42549238"/>
      <w:r w:rsidRPr="005970E9">
        <w:rPr>
          <w:rFonts w:ascii="Century Schoolbook" w:hAnsi="Century Schoolbook"/>
          <w:noProof/>
          <w:highlight w:val="magenta"/>
        </w:rPr>
        <w:drawing>
          <wp:anchor distT="0" distB="0" distL="114300" distR="114300" simplePos="0" relativeHeight="251738153" behindDoc="0" locked="0" layoutInCell="1" hidden="0" allowOverlap="1" wp14:anchorId="5CB32598" wp14:editId="64C394AB">
            <wp:simplePos x="0" y="0"/>
            <wp:positionH relativeFrom="column">
              <wp:posOffset>12065</wp:posOffset>
            </wp:positionH>
            <wp:positionV relativeFrom="paragraph">
              <wp:posOffset>265430</wp:posOffset>
            </wp:positionV>
            <wp:extent cx="5736590" cy="2895600"/>
            <wp:effectExtent l="19050" t="19050" r="16510" b="19050"/>
            <wp:wrapSquare wrapText="bothSides" distT="0" distB="0" distL="114300" distR="11430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5736590" cy="2895600"/>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r w:rsidR="6D4472E7" w:rsidRPr="005970E9">
        <w:rPr>
          <w:rFonts w:ascii="Century Schoolbook" w:hAnsi="Century Schoolbook"/>
        </w:rPr>
        <w:t>Gráfica</w:t>
      </w:r>
      <w:r w:rsidR="2EE30F22" w:rsidRPr="005970E9">
        <w:rPr>
          <w:rFonts w:ascii="Century Schoolbook" w:hAnsi="Century Schoolbook"/>
        </w:rPr>
        <w:t xml:space="preserve"> </w:t>
      </w:r>
      <w:r w:rsidR="00F202BE" w:rsidRPr="005970E9">
        <w:rPr>
          <w:rFonts w:ascii="Century Schoolbook" w:hAnsi="Century Schoolbook"/>
        </w:rPr>
        <w:fldChar w:fldCharType="begin"/>
      </w:r>
      <w:r w:rsidR="00F202BE" w:rsidRPr="005970E9">
        <w:rPr>
          <w:rFonts w:ascii="Century Schoolbook" w:hAnsi="Century Schoolbook"/>
        </w:rPr>
        <w:instrText xml:space="preserve"> SEQ Gráfica \* ARABIC </w:instrText>
      </w:r>
      <w:r w:rsidR="00F202BE" w:rsidRPr="005970E9">
        <w:rPr>
          <w:rFonts w:ascii="Century Schoolbook" w:hAnsi="Century Schoolbook"/>
        </w:rPr>
        <w:fldChar w:fldCharType="separate"/>
      </w:r>
      <w:r w:rsidR="00C5041B" w:rsidRPr="005970E9">
        <w:rPr>
          <w:rFonts w:ascii="Century Schoolbook" w:hAnsi="Century Schoolbook"/>
          <w:noProof/>
        </w:rPr>
        <w:t>6</w:t>
      </w:r>
      <w:r w:rsidR="00F202BE" w:rsidRPr="005970E9">
        <w:rPr>
          <w:rFonts w:ascii="Century Schoolbook" w:hAnsi="Century Schoolbook"/>
        </w:rPr>
        <w:fldChar w:fldCharType="end"/>
      </w:r>
      <w:r w:rsidR="2EE30F22" w:rsidRPr="005970E9">
        <w:rPr>
          <w:rFonts w:ascii="Century Schoolbook" w:hAnsi="Century Schoolbook"/>
        </w:rPr>
        <w:t xml:space="preserve">. </w:t>
      </w:r>
      <w:r w:rsidR="2EE30F22" w:rsidRPr="005970E9">
        <w:rPr>
          <w:rFonts w:ascii="Century Schoolbook" w:eastAsia="Century Schoolbook" w:hAnsi="Century Schoolbook" w:cs="Century Schoolbook"/>
        </w:rPr>
        <w:t>Brechas salariales no ajustadas, 2011-2018</w:t>
      </w:r>
      <w:bookmarkEnd w:id="134"/>
    </w:p>
    <w:p w14:paraId="2D256469" w14:textId="77777777" w:rsidR="00775BFC" w:rsidRPr="005970E9" w:rsidRDefault="00775BFC" w:rsidP="00491B7A">
      <w:pPr>
        <w:spacing w:after="120" w:line="276" w:lineRule="auto"/>
        <w:ind w:right="49"/>
        <w:jc w:val="center"/>
        <w:rPr>
          <w:rFonts w:eastAsia="Century Schoolbook" w:cs="Century Schoolbook"/>
          <w:sz w:val="20"/>
          <w:szCs w:val="20"/>
        </w:rPr>
      </w:pPr>
      <w:r w:rsidRPr="005970E9">
        <w:rPr>
          <w:rFonts w:eastAsia="Century Schoolbook" w:cs="Century Schoolbook"/>
          <w:sz w:val="20"/>
          <w:szCs w:val="20"/>
        </w:rPr>
        <w:t>Fuente: Arrocha, Brechas salariales de género en Panamá: 2011-2018.</w:t>
      </w:r>
    </w:p>
    <w:p w14:paraId="0C79E448" w14:textId="15560941" w:rsidR="00752C00" w:rsidRPr="005970E9" w:rsidRDefault="00775BFC" w:rsidP="000830C7">
      <w:pPr>
        <w:spacing w:after="120" w:line="276" w:lineRule="auto"/>
        <w:ind w:right="49"/>
        <w:jc w:val="both"/>
        <w:rPr>
          <w:rFonts w:eastAsia="Century Schoolbook" w:cs="Century Schoolbook"/>
          <w:sz w:val="20"/>
          <w:szCs w:val="20"/>
        </w:rPr>
      </w:pPr>
      <w:r w:rsidRPr="005970E9">
        <w:rPr>
          <w:rFonts w:eastAsia="Century Schoolbook" w:cs="Century Schoolbook"/>
        </w:rPr>
        <w:t>Entre las ‘Agricultoras, trabajadores agropecuarios, forestales de la pesca y caza…’ en 2011 es de 163% y 18% en 2018. Las ‘Artesanas y trabajadores de minería, la construcción, industria manufacturera…’ 91% y 36% respectivamente. Las ‘Profesionales, científicas e intelectuales’ fueron 40% y 22% en los años del estudio.</w:t>
      </w:r>
    </w:p>
    <w:p w14:paraId="3DFDE076" w14:textId="71227C1D" w:rsidR="00775BFC" w:rsidRPr="005970E9" w:rsidRDefault="00775BFC" w:rsidP="006A2415">
      <w:pPr>
        <w:spacing w:line="276" w:lineRule="auto"/>
        <w:ind w:right="49"/>
        <w:jc w:val="both"/>
        <w:rPr>
          <w:rFonts w:eastAsia="Century Schoolbook" w:cs="Century Schoolbook"/>
        </w:rPr>
      </w:pPr>
      <w:r w:rsidRPr="005970E9">
        <w:rPr>
          <w:rFonts w:eastAsia="Century Schoolbook" w:cs="Century Schoolbook"/>
        </w:rPr>
        <w:t>Las brechas salariales de género según nivel educativo muestran que las mujeres con mayor escolaridad, con estudios de Postgrado o maestría tienen las brechas más elevadas. En 2011 fue de 67% y en 2018 de 18%, para esos mismos años, con formación superior fue de 13% y 14% respetivamente, con menos de educación secundaria la brecha es de 26% en 2011 y 10% en 2018.  Con secundaria de 10% en 2018.</w:t>
      </w:r>
    </w:p>
    <w:p w14:paraId="5F543EE6" w14:textId="77777777" w:rsidR="00775BFC" w:rsidRPr="005970E9" w:rsidRDefault="00775BFC" w:rsidP="000830C7">
      <w:pPr>
        <w:spacing w:after="120" w:line="276" w:lineRule="auto"/>
        <w:ind w:right="49"/>
        <w:jc w:val="both"/>
        <w:rPr>
          <w:rFonts w:eastAsia="Century Schoolbook" w:cs="Century Schoolbook"/>
          <w:sz w:val="20"/>
          <w:szCs w:val="20"/>
        </w:rPr>
      </w:pPr>
    </w:p>
    <w:p w14:paraId="31EA1364" w14:textId="0A68B0EB" w:rsidR="00D2316D" w:rsidRPr="005970E9" w:rsidRDefault="00D2316D" w:rsidP="00D2316D">
      <w:pPr>
        <w:pStyle w:val="Heading3"/>
        <w:numPr>
          <w:ilvl w:val="2"/>
          <w:numId w:val="16"/>
        </w:numPr>
        <w:rPr>
          <w:sz w:val="20"/>
          <w:szCs w:val="20"/>
        </w:rPr>
      </w:pPr>
      <w:bookmarkStart w:id="135" w:name="_Toc42159212"/>
      <w:bookmarkStart w:id="136" w:name="_Toc42549446"/>
      <w:r w:rsidRPr="005970E9">
        <w:lastRenderedPageBreak/>
        <w:t>Las brechas salariales de género ajustadas: 2011-2018</w:t>
      </w:r>
      <w:bookmarkEnd w:id="135"/>
      <w:bookmarkEnd w:id="136"/>
    </w:p>
    <w:p w14:paraId="7ACF7D35" w14:textId="07B96988" w:rsidR="002C77C2" w:rsidRPr="005970E9" w:rsidRDefault="004C1B95" w:rsidP="00D2316D">
      <w:pPr>
        <w:pStyle w:val="Caption"/>
        <w:keepNext/>
        <w:ind w:left="4320"/>
        <w:jc w:val="right"/>
        <w:rPr>
          <w:rFonts w:ascii="Century Schoolbook" w:eastAsia="Century Schoolbook" w:hAnsi="Century Schoolbook" w:cs="Century Schoolbook"/>
          <w:sz w:val="20"/>
          <w:szCs w:val="20"/>
        </w:rPr>
      </w:pPr>
      <w:bookmarkStart w:id="137" w:name="_Toc42549239"/>
      <w:r w:rsidRPr="005970E9">
        <w:rPr>
          <w:rFonts w:ascii="Century Schoolbook" w:hAnsi="Century Schoolbook"/>
        </w:rPr>
        <w:t>Gráfica</w:t>
      </w:r>
      <w:r w:rsidR="00D2316D" w:rsidRPr="005970E9">
        <w:rPr>
          <w:rFonts w:ascii="Century Schoolbook" w:hAnsi="Century Schoolbook"/>
        </w:rPr>
        <w:t xml:space="preserve"> </w:t>
      </w:r>
      <w:r w:rsidR="00F202BE" w:rsidRPr="005970E9">
        <w:rPr>
          <w:rFonts w:ascii="Century Schoolbook" w:hAnsi="Century Schoolbook"/>
        </w:rPr>
        <w:fldChar w:fldCharType="begin"/>
      </w:r>
      <w:r w:rsidR="00F202BE" w:rsidRPr="005970E9">
        <w:rPr>
          <w:rFonts w:ascii="Century Schoolbook" w:hAnsi="Century Schoolbook"/>
        </w:rPr>
        <w:instrText xml:space="preserve"> SEQ Gráfica \* ARABIC </w:instrText>
      </w:r>
      <w:r w:rsidR="00F202BE" w:rsidRPr="005970E9">
        <w:rPr>
          <w:rFonts w:ascii="Century Schoolbook" w:hAnsi="Century Schoolbook"/>
        </w:rPr>
        <w:fldChar w:fldCharType="separate"/>
      </w:r>
      <w:r w:rsidR="00C5041B" w:rsidRPr="005970E9">
        <w:rPr>
          <w:rFonts w:ascii="Century Schoolbook" w:hAnsi="Century Schoolbook"/>
          <w:noProof/>
        </w:rPr>
        <w:t>7</w:t>
      </w:r>
      <w:r w:rsidR="00F202BE" w:rsidRPr="005970E9">
        <w:rPr>
          <w:rFonts w:ascii="Century Schoolbook" w:hAnsi="Century Schoolbook"/>
        </w:rPr>
        <w:fldChar w:fldCharType="end"/>
      </w:r>
      <w:r w:rsidR="00D2316D" w:rsidRPr="005970E9">
        <w:rPr>
          <w:rFonts w:ascii="Century Schoolbook" w:hAnsi="Century Schoolbook"/>
        </w:rPr>
        <w:t xml:space="preserve">. </w:t>
      </w:r>
      <w:r w:rsidR="00D2316D" w:rsidRPr="005970E9">
        <w:rPr>
          <w:rFonts w:ascii="Century Schoolbook" w:eastAsia="Century Schoolbook" w:hAnsi="Century Schoolbook" w:cs="Century Schoolbook"/>
          <w:sz w:val="20"/>
          <w:szCs w:val="20"/>
        </w:rPr>
        <w:t>Brechas salariales de género ajustadas, 2011-2018.</w:t>
      </w:r>
      <w:bookmarkEnd w:id="137"/>
    </w:p>
    <w:p w14:paraId="78408331" w14:textId="70E3886F" w:rsidR="00B03BEA" w:rsidRPr="005970E9" w:rsidRDefault="00491B7A" w:rsidP="00B03BEA">
      <w:pPr>
        <w:jc w:val="both"/>
        <w:rPr>
          <w:rFonts w:eastAsia="Century Schoolbook" w:cs="Century Schoolbook"/>
          <w:sz w:val="18"/>
          <w:szCs w:val="18"/>
        </w:rPr>
      </w:pPr>
      <w:r w:rsidRPr="005970E9">
        <w:rPr>
          <w:noProof/>
        </w:rPr>
        <w:drawing>
          <wp:anchor distT="0" distB="0" distL="114300" distR="114300" simplePos="0" relativeHeight="251740201" behindDoc="0" locked="0" layoutInCell="1" hidden="0" allowOverlap="1" wp14:anchorId="6B74665B" wp14:editId="471A54CC">
            <wp:simplePos x="0" y="0"/>
            <wp:positionH relativeFrom="column">
              <wp:posOffset>1957070</wp:posOffset>
            </wp:positionH>
            <wp:positionV relativeFrom="paragraph">
              <wp:posOffset>106045</wp:posOffset>
            </wp:positionV>
            <wp:extent cx="3660775" cy="3696970"/>
            <wp:effectExtent l="19050" t="19050" r="15875" b="17780"/>
            <wp:wrapSquare wrapText="bothSides" distT="0" distB="0" distL="114300" distR="114300"/>
            <wp:docPr id="2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3660775" cy="3696970"/>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r w:rsidR="003B5C05" w:rsidRPr="005970E9">
        <w:rPr>
          <w:rFonts w:eastAsia="Century Schoolbook" w:cs="Century Schoolbook"/>
        </w:rPr>
        <w:t>Los resultados de las variables socio económicas muestran una brecha salarial de género de 14.37% en 2011 y, en 2018 de 10.76% y las variables socioeconómicas más las variables de la empresa un 11.59% en 2011 y 5.54% en 2018, esta reducción de la brecha salarial es aparente, pues el cálculo que incluye las variables socioeconómi</w:t>
      </w:r>
      <w:r w:rsidR="00361C3A" w:rsidRPr="005970E9">
        <w:rPr>
          <w:rFonts w:eastAsia="Century Schoolbook" w:cs="Century Schoolbook"/>
        </w:rPr>
        <w:softHyphen/>
      </w:r>
      <w:r w:rsidR="003B5C05" w:rsidRPr="005970E9">
        <w:rPr>
          <w:rFonts w:eastAsia="Century Schoolbook" w:cs="Century Schoolbook"/>
        </w:rPr>
        <w:t>cas, de las empresas, de las ocupaciones y ramas de la actividad económica mues</w:t>
      </w:r>
      <w:r w:rsidR="00361C3A" w:rsidRPr="005970E9">
        <w:rPr>
          <w:rFonts w:eastAsia="Century Schoolbook" w:cs="Century Schoolbook"/>
        </w:rPr>
        <w:softHyphen/>
      </w:r>
      <w:r w:rsidR="003B5C05" w:rsidRPr="005970E9">
        <w:rPr>
          <w:rFonts w:eastAsia="Century Schoolbook" w:cs="Century Schoolbook"/>
        </w:rPr>
        <w:t xml:space="preserve">tran una </w:t>
      </w:r>
      <w:r w:rsidR="00B03BEA" w:rsidRPr="005970E9">
        <w:rPr>
          <w:rFonts w:eastAsia="Century Schoolbook" w:cs="Century Schoolbook"/>
        </w:rPr>
        <w:t>reducción mínima</w:t>
      </w:r>
      <w:r w:rsidR="00361C3A" w:rsidRPr="005970E9">
        <w:rPr>
          <w:rFonts w:eastAsia="Century Schoolbook" w:cs="Century Schoolbook"/>
        </w:rPr>
        <w:t xml:space="preserve"> 7.49% y 7.29% respectiva</w:t>
      </w:r>
      <w:r w:rsidR="00361C3A" w:rsidRPr="005970E9">
        <w:rPr>
          <w:rFonts w:eastAsia="Century Schoolbook" w:cs="Century Schoolbook"/>
        </w:rPr>
        <w:softHyphen/>
        <w:t>mente</w:t>
      </w:r>
      <w:r w:rsidR="00B03BEA" w:rsidRPr="005970E9">
        <w:rPr>
          <w:rFonts w:eastAsia="Century Schoolbook" w:cs="Century Schoolbook"/>
        </w:rPr>
        <w:t>, prácticamente las brechas de género ajustadas en ocho años permanecen imperturbadas, sin cambios sustantivos</w:t>
      </w:r>
      <w:r w:rsidR="00B43882">
        <w:rPr>
          <w:rFonts w:eastAsia="Century Schoolbook" w:cs="Century Schoolbook"/>
        </w:rPr>
        <w:t xml:space="preserve"> (ver gráfica 7)</w:t>
      </w:r>
      <w:r w:rsidR="00B03BEA" w:rsidRPr="005970E9">
        <w:rPr>
          <w:rFonts w:eastAsia="Century Schoolbook" w:cs="Century Schoolbook"/>
        </w:rPr>
        <w:t>.</w:t>
      </w:r>
      <w:r w:rsidR="00B03BEA" w:rsidRPr="005970E9">
        <w:rPr>
          <w:rFonts w:eastAsia="Century Schoolbook" w:cs="Century Schoolbook"/>
          <w:sz w:val="18"/>
          <w:szCs w:val="18"/>
        </w:rPr>
        <w:t xml:space="preserve"> </w:t>
      </w:r>
    </w:p>
    <w:p w14:paraId="7EC156FB" w14:textId="44E4A725" w:rsidR="00E90CF8" w:rsidRPr="005970E9" w:rsidRDefault="00E90CF8" w:rsidP="006D1B3C">
      <w:pPr>
        <w:ind w:left="2160"/>
        <w:jc w:val="right"/>
        <w:rPr>
          <w:rFonts w:eastAsia="Century Schoolbook" w:cs="Century Schoolbook"/>
          <w:sz w:val="18"/>
          <w:szCs w:val="18"/>
        </w:rPr>
      </w:pPr>
      <w:r w:rsidRPr="005970E9">
        <w:rPr>
          <w:rFonts w:eastAsia="Century Schoolbook" w:cs="Century Schoolbook"/>
          <w:sz w:val="18"/>
          <w:szCs w:val="18"/>
        </w:rPr>
        <w:t>Fuente: Arrocha, Brechas salariales de género en Panamá: 2011-2018</w:t>
      </w:r>
    </w:p>
    <w:p w14:paraId="12ED0CB0" w14:textId="77777777" w:rsidR="006D1B3C" w:rsidRPr="005970E9" w:rsidRDefault="006D1B3C" w:rsidP="006D1B3C">
      <w:pPr>
        <w:ind w:left="2160"/>
        <w:jc w:val="right"/>
        <w:rPr>
          <w:rFonts w:eastAsia="Century Schoolbook" w:cs="Century Schoolbook"/>
          <w:sz w:val="18"/>
          <w:szCs w:val="18"/>
        </w:rPr>
      </w:pPr>
    </w:p>
    <w:p w14:paraId="45D6F4A4" w14:textId="77777777" w:rsidR="000830C7" w:rsidRPr="005970E9" w:rsidRDefault="000830C7" w:rsidP="00E90CF8">
      <w:pPr>
        <w:jc w:val="both"/>
        <w:rPr>
          <w:rFonts w:eastAsia="Century Schoolbook" w:cs="Century Schoolbook"/>
          <w:sz w:val="18"/>
          <w:szCs w:val="18"/>
        </w:rPr>
      </w:pPr>
    </w:p>
    <w:p w14:paraId="62741C34" w14:textId="77777777" w:rsidR="00B76B0C" w:rsidRPr="005970E9" w:rsidRDefault="003B5C05" w:rsidP="002338C0">
      <w:pPr>
        <w:pStyle w:val="Heading3"/>
        <w:numPr>
          <w:ilvl w:val="2"/>
          <w:numId w:val="16"/>
        </w:numPr>
      </w:pPr>
      <w:bookmarkStart w:id="138" w:name="_Toc42159213"/>
      <w:bookmarkStart w:id="139" w:name="_Toc42549447"/>
      <w:r w:rsidRPr="005970E9">
        <w:t>Mujeres productoras en el área rural</w:t>
      </w:r>
      <w:bookmarkEnd w:id="138"/>
      <w:bookmarkEnd w:id="139"/>
    </w:p>
    <w:p w14:paraId="1B6AF4EC" w14:textId="77777777" w:rsidR="00B76B0C" w:rsidRPr="005970E9" w:rsidRDefault="003B5C05">
      <w:pPr>
        <w:spacing w:before="120" w:after="120" w:line="276" w:lineRule="auto"/>
        <w:ind w:left="2832"/>
        <w:jc w:val="both"/>
        <w:rPr>
          <w:rFonts w:eastAsia="Century Schoolbook" w:cs="Century Schoolbook"/>
          <w:color w:val="ED7D31"/>
        </w:rPr>
      </w:pPr>
      <w:r w:rsidRPr="005970E9">
        <w:rPr>
          <w:rFonts w:eastAsia="Century Schoolbook" w:cs="Century Schoolbook"/>
          <w:color w:val="ED7D31"/>
          <w:sz w:val="18"/>
          <w:szCs w:val="18"/>
        </w:rPr>
        <w:t>Las mujeres rurales representaban el 20% de la fuerza de trabajo agrícola en América Latina en 2010. ATLAS de las mujeres FAO.</w:t>
      </w:r>
      <w:r w:rsidRPr="005970E9">
        <w:rPr>
          <w:rFonts w:eastAsia="Century Schoolbook" w:cs="Century Schoolbook"/>
          <w:color w:val="ED7D31"/>
        </w:rPr>
        <w:t xml:space="preserve"> </w:t>
      </w:r>
    </w:p>
    <w:p w14:paraId="7142C923" w14:textId="6736D5B7"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Las mujeres productoras en actividades agropecuarias, según los censos agropecuarios se acercan a un tercio de las mujeres en el campo. Por cada mujer hay dos productores. Entre los Censos Agropecuarios de 2001 y 2011 las productoras aumentaron en 16.1% su participación en el sector y los hombres en 1%. En 2001 las productoras eran 29.3% y en 2011 son 32.3%</w:t>
      </w:r>
      <w:r w:rsidR="00B03BEA" w:rsidRPr="005970E9">
        <w:rPr>
          <w:rFonts w:eastAsia="Century Schoolbook" w:cs="Century Schoolbook"/>
        </w:rPr>
        <w:t xml:space="preserve"> esto es 79,131</w:t>
      </w:r>
      <w:r w:rsidRPr="005970E9">
        <w:rPr>
          <w:rFonts w:eastAsia="Century Schoolbook" w:cs="Century Schoolbook"/>
        </w:rPr>
        <w:t>.</w:t>
      </w:r>
    </w:p>
    <w:p w14:paraId="2A2B47E4" w14:textId="7EA2E2B3"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Los títulos de propiedad de la tierra en 2011 para los productores fueron 87,195 (52.54%) de 165,974</w:t>
      </w:r>
      <w:r w:rsidR="00B03BEA" w:rsidRPr="005970E9">
        <w:rPr>
          <w:rFonts w:eastAsia="Century Schoolbook" w:cs="Century Schoolbook"/>
        </w:rPr>
        <w:t>, comparado con las mujeres que tenían tí</w:t>
      </w:r>
      <w:r w:rsidR="00AD710C" w:rsidRPr="005970E9">
        <w:rPr>
          <w:rFonts w:eastAsia="Century Schoolbook" w:cs="Century Schoolbook"/>
        </w:rPr>
        <w:t>t</w:t>
      </w:r>
      <w:r w:rsidR="00B03BEA" w:rsidRPr="005970E9">
        <w:rPr>
          <w:rFonts w:eastAsia="Century Schoolbook" w:cs="Century Schoolbook"/>
        </w:rPr>
        <w:t xml:space="preserve">ulo de propiedad se observa </w:t>
      </w:r>
      <w:r w:rsidR="00AD710C" w:rsidRPr="005970E9">
        <w:rPr>
          <w:rFonts w:eastAsia="Century Schoolbook" w:cs="Century Schoolbook"/>
        </w:rPr>
        <w:t xml:space="preserve">que ellos son el 61.38%, y las productoras con tales títulos eran 38,62%. Entre </w:t>
      </w:r>
      <w:r w:rsidRPr="005970E9">
        <w:rPr>
          <w:rFonts w:eastAsia="Century Schoolbook" w:cs="Century Schoolbook"/>
        </w:rPr>
        <w:t xml:space="preserve">las productoras </w:t>
      </w:r>
      <w:r w:rsidR="00AD710C" w:rsidRPr="005970E9">
        <w:rPr>
          <w:rFonts w:eastAsia="Century Schoolbook" w:cs="Century Schoolbook"/>
        </w:rPr>
        <w:t xml:space="preserve">las que lograron título de propiedad </w:t>
      </w:r>
      <w:r w:rsidRPr="005970E9">
        <w:rPr>
          <w:rFonts w:eastAsia="Century Schoolbook" w:cs="Century Schoolbook"/>
        </w:rPr>
        <w:t xml:space="preserve">son 54,861 </w:t>
      </w:r>
      <w:r w:rsidR="00AD710C" w:rsidRPr="005970E9">
        <w:rPr>
          <w:rFonts w:eastAsia="Century Schoolbook" w:cs="Century Schoolbook"/>
        </w:rPr>
        <w:t xml:space="preserve">para un </w:t>
      </w:r>
      <w:r w:rsidRPr="005970E9">
        <w:rPr>
          <w:rFonts w:eastAsia="Century Schoolbook" w:cs="Century Schoolbook"/>
        </w:rPr>
        <w:t xml:space="preserve">(69.33%) de </w:t>
      </w:r>
      <w:r w:rsidR="00AD710C" w:rsidRPr="005970E9">
        <w:rPr>
          <w:rFonts w:eastAsia="Century Schoolbook" w:cs="Century Schoolbook"/>
        </w:rPr>
        <w:t xml:space="preserve">las </w:t>
      </w:r>
      <w:r w:rsidRPr="005970E9">
        <w:rPr>
          <w:rFonts w:eastAsia="Century Schoolbook" w:cs="Century Schoolbook"/>
        </w:rPr>
        <w:lastRenderedPageBreak/>
        <w:t xml:space="preserve">79,131 </w:t>
      </w:r>
      <w:r w:rsidR="00AD710C" w:rsidRPr="005970E9">
        <w:rPr>
          <w:rFonts w:eastAsia="Century Schoolbook" w:cs="Century Schoolbook"/>
        </w:rPr>
        <w:t>d</w:t>
      </w:r>
      <w:r w:rsidRPr="005970E9">
        <w:rPr>
          <w:rFonts w:eastAsia="Century Schoolbook" w:cs="Century Schoolbook"/>
        </w:rPr>
        <w:t>el año 2011 respecto al Censo Agropecuario de 2001, las productoras/es con títulos de propiedad se incrementaron en 59.9% (INAMU, 2016).</w:t>
      </w:r>
      <w:r w:rsidRPr="005970E9">
        <w:rPr>
          <w:rFonts w:eastAsia="Century Schoolbook" w:cs="Century Schoolbook"/>
          <w:vertAlign w:val="superscript"/>
        </w:rPr>
        <w:footnoteReference w:id="37"/>
      </w:r>
    </w:p>
    <w:p w14:paraId="5971B930" w14:textId="77777777"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 xml:space="preserve">En dicho Censo se identificó que de las 245,105 explotaciones agropecuarias el 89.08% (218,337), son pequeña y mediana producción. 96.4% están en manos de productoras y 85.6% de productores. Las superficies mayores de 20 hectáreas el 14.4% son propiedad de productores y 3.6% corresponde a productoras. En la realidad las productoras perciben predios de poca superficie y los recursos que reciben son magros. </w:t>
      </w:r>
    </w:p>
    <w:p w14:paraId="7ADA4B96" w14:textId="77777777" w:rsidR="00B76B0C" w:rsidRPr="005970E9" w:rsidRDefault="003B5C05">
      <w:pPr>
        <w:spacing w:after="120" w:line="276" w:lineRule="auto"/>
        <w:jc w:val="both"/>
        <w:rPr>
          <w:rFonts w:eastAsia="Century Schoolbook" w:cs="Century Schoolbook"/>
        </w:rPr>
      </w:pPr>
      <w:r w:rsidRPr="005970E9">
        <w:rPr>
          <w:rFonts w:eastAsia="Century Schoolbook" w:cs="Century Schoolbook"/>
        </w:rPr>
        <w:t>Las productoras reciben poquísimos créditos y asistencia técnica, son propietarias de equipos y herramientas de bajo costo, casi inexistentes canales de comercialización, bajo acceso a tecnología y sujetas a los precios del empresariado de agroquímicos, estos controlan el mercado y deciden sobre las necesidades de las productoras/es.</w:t>
      </w:r>
    </w:p>
    <w:p w14:paraId="2392C1F0" w14:textId="77777777" w:rsidR="00B76B0C" w:rsidRPr="005970E9" w:rsidRDefault="003B5C05">
      <w:pPr>
        <w:spacing w:line="276" w:lineRule="auto"/>
        <w:jc w:val="both"/>
        <w:rPr>
          <w:rFonts w:eastAsia="Century Schoolbook" w:cs="Century Schoolbook"/>
        </w:rPr>
      </w:pPr>
      <w:r w:rsidRPr="005970E9">
        <w:rPr>
          <w:rFonts w:eastAsia="Century Schoolbook" w:cs="Century Schoolbook"/>
        </w:rPr>
        <w:t xml:space="preserve">En el mundo rural existe una diversidad de mujeres trabajadoras que se dedican a la pesca, a la venta en tiendas, de forma ambulatoria a baja escala y a las artesanías. Los ingresos son bajísimos en esta área y la presencia de las mujeres es invisibilizada y poco valorizada. Conviven prácticas y patrones culturales con una larga tradición y presencia en el istmo, indígenas y afrodescendientes comparten su tradición por la protección de la naturaleza, los recursos hídricos, forestales y la biodiversidad.  </w:t>
      </w:r>
    </w:p>
    <w:p w14:paraId="5026E52F" w14:textId="77777777" w:rsidR="00B76B0C" w:rsidRPr="005970E9" w:rsidRDefault="003B5C05">
      <w:pPr>
        <w:spacing w:before="120" w:after="120" w:line="276" w:lineRule="auto"/>
        <w:jc w:val="both"/>
        <w:rPr>
          <w:rFonts w:eastAsia="Century Schoolbook" w:cs="Century Schoolbook"/>
        </w:rPr>
      </w:pPr>
      <w:r w:rsidRPr="005970E9">
        <w:rPr>
          <w:rFonts w:eastAsia="Century Schoolbook" w:cs="Century Schoolbook"/>
        </w:rPr>
        <w:t>Los determinantes de género van a dar cuenta de las condiciones deplorables y de desigualdad que acompaña a las mujeres en el campo, además de la discriminación en la remuneración, ingresos propios y tierras para la subsistencia, viven condiciones que afectan su autonomía física y están expuestas a situaciones de violencia, en particular las adolescentes deben transitar por embarazos e iniciar sus familias a temprana edad.</w:t>
      </w:r>
    </w:p>
    <w:p w14:paraId="7F332379" w14:textId="77777777" w:rsidR="00B76B0C" w:rsidRPr="005970E9" w:rsidRDefault="003B5C05">
      <w:pPr>
        <w:spacing w:before="120" w:after="120" w:line="276" w:lineRule="auto"/>
        <w:jc w:val="both"/>
        <w:rPr>
          <w:rFonts w:eastAsia="Century Schoolbook" w:cs="Century Schoolbook"/>
        </w:rPr>
      </w:pPr>
      <w:r w:rsidRPr="005970E9">
        <w:rPr>
          <w:highlight w:val="yellow"/>
        </w:rPr>
        <w:t>Desde fines de los años cuarenta se inicia el proceso de migración a la ciudad, las mujeres rurales empobrecidas generalmente se insertan en el trabajo doméstico remunerado y en oficios de baja remuneración. También migrarían en busca de estudios y mejores servicios públicos.</w:t>
      </w:r>
      <w:r w:rsidRPr="005970E9">
        <w:rPr>
          <w:rFonts w:eastAsia="Century Schoolbook" w:cs="Century Schoolbook"/>
        </w:rPr>
        <w:t xml:space="preserve"> Las mujeres en el campo generalmente, son parte de una red que recibe recursos de las migrantes y también cuidan de las hijas/os de ellas; en general hacen parte de las redes de cuidado que hoy devienen en un fenómeno internacional y de grave explotación del trabajo de las mujeres.</w:t>
      </w:r>
    </w:p>
    <w:p w14:paraId="67E4CC45" w14:textId="77777777" w:rsidR="00B76B0C" w:rsidRPr="005970E9" w:rsidRDefault="003B5C05" w:rsidP="002338C0">
      <w:pPr>
        <w:pStyle w:val="Heading3"/>
        <w:numPr>
          <w:ilvl w:val="2"/>
          <w:numId w:val="16"/>
        </w:numPr>
      </w:pPr>
      <w:bookmarkStart w:id="140" w:name="_Toc42159214"/>
      <w:bookmarkStart w:id="141" w:name="_Toc42549448"/>
      <w:r w:rsidRPr="005970E9">
        <w:t>Las jóvenes en el campo y en el ámbito laboral</w:t>
      </w:r>
      <w:bookmarkEnd w:id="140"/>
      <w:bookmarkEnd w:id="141"/>
    </w:p>
    <w:p w14:paraId="4F7D61E2" w14:textId="77777777" w:rsidR="00B76B0C" w:rsidRPr="005970E9" w:rsidRDefault="003B5C05">
      <w:pPr>
        <w:spacing w:after="120" w:line="276" w:lineRule="auto"/>
        <w:ind w:right="49"/>
        <w:jc w:val="both"/>
        <w:rPr>
          <w:rFonts w:eastAsia="Bookman Old Style" w:cs="Bookman Old Style"/>
        </w:rPr>
      </w:pPr>
      <w:r w:rsidRPr="005970E9">
        <w:rPr>
          <w:rFonts w:eastAsia="Bookman Old Style" w:cs="Bookman Old Style"/>
        </w:rPr>
        <w:t xml:space="preserve">En el mundo rural las y los jóvenes también viven en condiciones de vulnerabilidad, desempleo elevado, bajos salarios y, la desvalorización en el campo, ha provocado el </w:t>
      </w:r>
      <w:r w:rsidRPr="005970E9">
        <w:rPr>
          <w:rFonts w:eastAsia="Bookman Old Style" w:cs="Bookman Old Style"/>
        </w:rPr>
        <w:lastRenderedPageBreak/>
        <w:t xml:space="preserve">éxodo a las áreas urbanas. Las bajas ofertas de empleo, la insuficiencia de ingresos y las reducidas oportunidades que les brinda la sociedad resulta en una proporción elevada que no cuenta con empleo y tampoco accede a estudios, afectando en mayor proporción a las mujeres entre los 15 y 29 años. </w:t>
      </w:r>
    </w:p>
    <w:p w14:paraId="18210DBF" w14:textId="77777777" w:rsidR="00B76B0C" w:rsidRPr="005970E9" w:rsidRDefault="003B5C05">
      <w:pPr>
        <w:spacing w:after="120" w:line="276" w:lineRule="auto"/>
        <w:ind w:right="49"/>
        <w:jc w:val="both"/>
        <w:rPr>
          <w:rFonts w:eastAsia="Bookman Old Style" w:cs="Bookman Old Style"/>
        </w:rPr>
      </w:pPr>
      <w:r w:rsidRPr="005970E9">
        <w:rPr>
          <w:rFonts w:eastAsia="Bookman Old Style" w:cs="Bookman Old Style"/>
        </w:rPr>
        <w:t>Fenómeno que afecta también a la juventud en las áreas urbanas, cercados por entornos de violencia, con delitos de tráfico de drogas y consumo de sustancias psicoactivas.</w:t>
      </w:r>
    </w:p>
    <w:p w14:paraId="4719086A" w14:textId="77777777" w:rsidR="00B76B0C" w:rsidRPr="005970E9" w:rsidRDefault="003B5C05">
      <w:pPr>
        <w:spacing w:before="120" w:after="120" w:line="276" w:lineRule="auto"/>
        <w:ind w:right="49"/>
        <w:jc w:val="both"/>
        <w:rPr>
          <w:rFonts w:eastAsia="Bookman Old Style" w:cs="Bookman Old Style"/>
        </w:rPr>
      </w:pPr>
      <w:r w:rsidRPr="005970E9">
        <w:rPr>
          <w:rFonts w:eastAsia="Bookman Old Style" w:cs="Bookman Old Style"/>
        </w:rPr>
        <w:t>Conviene señalar que como el mercado no reconoce el trabajo de cuidado de las mujeres, en la publicación del MITRADEL de 2017 sobre la población que no tiene acceso a estudiar ni trabajar, se incluye a las ‘amas de casa’ e indican “representan el 50%” (MITRADEL, 2017, p15).</w:t>
      </w:r>
    </w:p>
    <w:p w14:paraId="2664B4E8" w14:textId="51F1EBA4" w:rsidR="000830C7" w:rsidRPr="005970E9" w:rsidRDefault="004C1B95" w:rsidP="004C51B4">
      <w:pPr>
        <w:pStyle w:val="Caption"/>
        <w:keepNext/>
        <w:jc w:val="center"/>
        <w:rPr>
          <w:rFonts w:ascii="Century Schoolbook" w:hAnsi="Century Schoolbook"/>
          <w:sz w:val="20"/>
          <w:szCs w:val="20"/>
        </w:rPr>
      </w:pPr>
      <w:bookmarkStart w:id="142" w:name="_Toc42549240"/>
      <w:r w:rsidRPr="005970E9">
        <w:rPr>
          <w:rFonts w:ascii="Century Schoolbook" w:hAnsi="Century Schoolbook"/>
          <w:sz w:val="20"/>
          <w:szCs w:val="20"/>
        </w:rPr>
        <w:t>Gráfica</w:t>
      </w:r>
      <w:r w:rsidR="009106E6" w:rsidRPr="005970E9">
        <w:rPr>
          <w:rFonts w:ascii="Century Schoolbook" w:hAnsi="Century Schoolbook"/>
          <w:sz w:val="20"/>
          <w:szCs w:val="20"/>
        </w:rPr>
        <w:t xml:space="preserve">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8</w:t>
      </w:r>
      <w:r w:rsidR="00F202BE" w:rsidRPr="005970E9">
        <w:rPr>
          <w:rFonts w:ascii="Century Schoolbook" w:hAnsi="Century Schoolbook"/>
          <w:sz w:val="20"/>
          <w:szCs w:val="20"/>
        </w:rPr>
        <w:fldChar w:fldCharType="end"/>
      </w:r>
      <w:r w:rsidR="004C51B4" w:rsidRPr="005970E9">
        <w:rPr>
          <w:rFonts w:ascii="Century Schoolbook" w:hAnsi="Century Schoolbook"/>
          <w:sz w:val="20"/>
          <w:szCs w:val="20"/>
        </w:rPr>
        <w:t>.</w:t>
      </w:r>
      <w:r w:rsidR="009106E6" w:rsidRPr="005970E9">
        <w:rPr>
          <w:rFonts w:ascii="Century Schoolbook" w:hAnsi="Century Schoolbook"/>
          <w:sz w:val="20"/>
          <w:szCs w:val="20"/>
        </w:rPr>
        <w:t xml:space="preserve"> </w:t>
      </w:r>
      <w:r w:rsidR="009106E6" w:rsidRPr="005970E9">
        <w:rPr>
          <w:rFonts w:ascii="Century Schoolbook" w:eastAsia="Bookman Old Style" w:hAnsi="Century Schoolbook" w:cs="Bookman Old Style"/>
          <w:sz w:val="20"/>
          <w:szCs w:val="20"/>
        </w:rPr>
        <w:t>Tasa de participación por sexo, años 2012-2017</w:t>
      </w:r>
      <w:bookmarkEnd w:id="142"/>
    </w:p>
    <w:p w14:paraId="04B0C0A4" w14:textId="5F417136" w:rsidR="00376F36" w:rsidRPr="005970E9" w:rsidRDefault="00376F36">
      <w:pPr>
        <w:spacing w:before="240" w:after="120" w:line="276" w:lineRule="auto"/>
        <w:ind w:right="49"/>
        <w:jc w:val="both"/>
        <w:rPr>
          <w:rFonts w:eastAsia="Bookman Old Style" w:cs="Bookman Old Style"/>
        </w:rPr>
      </w:pPr>
    </w:p>
    <w:p w14:paraId="007CFF6D" w14:textId="51DF61B3" w:rsidR="00B76B0C" w:rsidRPr="005970E9" w:rsidRDefault="00FB788C">
      <w:pPr>
        <w:spacing w:before="240" w:after="120" w:line="276" w:lineRule="auto"/>
        <w:ind w:right="49"/>
        <w:jc w:val="both"/>
        <w:rPr>
          <w:rFonts w:eastAsia="Bookman Old Style" w:cs="Bookman Old Style"/>
        </w:rPr>
      </w:pPr>
      <w:r w:rsidRPr="005970E9">
        <w:rPr>
          <w:rFonts w:eastAsia="Bookman Old Style" w:cs="Bookman Old Style"/>
          <w:noProof/>
        </w:rPr>
        <w:drawing>
          <wp:anchor distT="0" distB="0" distL="114300" distR="114300" simplePos="0" relativeHeight="251783209" behindDoc="0" locked="0" layoutInCell="1" allowOverlap="1" wp14:anchorId="5C85C174" wp14:editId="125B5B01">
            <wp:simplePos x="0" y="0"/>
            <wp:positionH relativeFrom="column">
              <wp:posOffset>0</wp:posOffset>
            </wp:positionH>
            <wp:positionV relativeFrom="paragraph">
              <wp:posOffset>272415</wp:posOffset>
            </wp:positionV>
            <wp:extent cx="5612130" cy="2056130"/>
            <wp:effectExtent l="0" t="0" r="7620" b="1270"/>
            <wp:wrapTight wrapText="bothSides">
              <wp:wrapPolygon edited="0">
                <wp:start x="0" y="0"/>
                <wp:lineTo x="0" y="21413"/>
                <wp:lineTo x="21556" y="21413"/>
                <wp:lineTo x="21556" y="0"/>
                <wp:lineTo x="0" y="0"/>
              </wp:wrapPolygon>
            </wp:wrapTight>
            <wp:docPr id="4" name="Imagen 3">
              <a:extLst xmlns:a="http://schemas.openxmlformats.org/drawingml/2006/main">
                <a:ext uri="{FF2B5EF4-FFF2-40B4-BE49-F238E27FC236}">
                  <a16:creationId xmlns:a16="http://schemas.microsoft.com/office/drawing/2014/main" id="{6E362862-631A-42A6-A8AD-ED8AF6512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E362862-631A-42A6-A8AD-ED8AF6512681}"/>
                        </a:ext>
                      </a:extLst>
                    </pic:cNvPr>
                    <pic:cNvPicPr>
                      <a:picLocks noChangeAspect="1"/>
                    </pic:cNvPicPr>
                  </pic:nvPicPr>
                  <pic:blipFill>
                    <a:blip r:embed="rId40"/>
                    <a:stretch>
                      <a:fillRect/>
                    </a:stretch>
                  </pic:blipFill>
                  <pic:spPr>
                    <a:xfrm>
                      <a:off x="0" y="0"/>
                      <a:ext cx="5612130" cy="2056130"/>
                    </a:xfrm>
                    <a:prstGeom prst="rect">
                      <a:avLst/>
                    </a:prstGeom>
                  </pic:spPr>
                </pic:pic>
              </a:graphicData>
            </a:graphic>
          </wp:anchor>
        </w:drawing>
      </w:r>
      <w:r w:rsidR="003B5C05" w:rsidRPr="005970E9">
        <w:rPr>
          <w:rFonts w:eastAsia="Bookman Old Style" w:cs="Bookman Old Style"/>
        </w:rPr>
        <w:t xml:space="preserve"> </w:t>
      </w:r>
    </w:p>
    <w:p w14:paraId="7BC13209" w14:textId="57A947C6" w:rsidR="00376F36" w:rsidRPr="005970E9" w:rsidRDefault="0043166A" w:rsidP="0043166A">
      <w:pPr>
        <w:spacing w:after="120" w:line="276" w:lineRule="auto"/>
        <w:ind w:right="49"/>
        <w:jc w:val="both"/>
      </w:pPr>
      <w:r w:rsidRPr="005970E9">
        <w:t>Fuente: MITRADEL (2018) Estudio Los Ninis en Panamá.</w:t>
      </w:r>
    </w:p>
    <w:p w14:paraId="565FB597" w14:textId="3C9BFF79" w:rsidR="00E90CF8" w:rsidRPr="005970E9" w:rsidRDefault="00021F56">
      <w:pPr>
        <w:spacing w:before="240" w:after="120" w:line="276" w:lineRule="auto"/>
        <w:ind w:right="49"/>
        <w:jc w:val="both"/>
        <w:rPr>
          <w:rFonts w:eastAsia="Century Schoolbook" w:cs="Century Schoolbook"/>
        </w:rPr>
      </w:pPr>
      <w:r w:rsidRPr="00FF4DED">
        <w:t xml:space="preserve">Las amas de casa </w:t>
      </w:r>
      <w:r w:rsidR="003B5C05" w:rsidRPr="00FF4DED">
        <w:t>trabajan, pero no son contadas ni valoradas</w:t>
      </w:r>
      <w:r w:rsidR="0043166A" w:rsidRPr="00FF4DED">
        <w:t xml:space="preserve"> </w:t>
      </w:r>
      <w:r w:rsidRPr="00FF4DED">
        <w:t xml:space="preserve">por el trabajo </w:t>
      </w:r>
      <w:r w:rsidR="0043166A" w:rsidRPr="00FF4DED">
        <w:t>de cuidado</w:t>
      </w:r>
      <w:r w:rsidRPr="00FF4DED">
        <w:t xml:space="preserve"> que desempeñan</w:t>
      </w:r>
      <w:r w:rsidR="003B5C05" w:rsidRPr="00FF4DED">
        <w:t xml:space="preserve">. La tasa de participación </w:t>
      </w:r>
      <w:r w:rsidR="0043166A" w:rsidRPr="00FF4DED">
        <w:t xml:space="preserve">en el mercado laboral </w:t>
      </w:r>
      <w:r w:rsidR="003B5C05" w:rsidRPr="00FF4DED">
        <w:t>de las mujeres en la juventud es baja y entre los 20-24 años no rebasan el 53%, para los hombres esta tasa va en declive entre 2012 y 2017 y la ocupación también.</w:t>
      </w:r>
      <w:r w:rsidR="003B5C05" w:rsidRPr="00FF4DED">
        <w:rPr>
          <w:rFonts w:eastAsia="Century Schoolbook" w:cs="Century Schoolbook"/>
        </w:rPr>
        <w:t xml:space="preserve"> El desempleo juvenil en 2012 fue de 8% y en 2017 se eleva a 12.9%; las mujeres entre 15-24 años van</w:t>
      </w:r>
      <w:r w:rsidR="003B5C05" w:rsidRPr="005970E9">
        <w:rPr>
          <w:rFonts w:eastAsia="Century Schoolbook" w:cs="Century Schoolbook"/>
        </w:rPr>
        <w:t xml:space="preserve"> a representar el 17.8% y los hombres 8%</w:t>
      </w:r>
      <w:r w:rsidR="00975D0A">
        <w:rPr>
          <w:rFonts w:eastAsia="Century Schoolbook" w:cs="Century Schoolbook"/>
        </w:rPr>
        <w:t xml:space="preserve"> (ver gráfica 8)</w:t>
      </w:r>
      <w:r w:rsidR="003B5C05" w:rsidRPr="005970E9">
        <w:rPr>
          <w:rFonts w:eastAsia="Century Schoolbook" w:cs="Century Schoolbook"/>
        </w:rPr>
        <w:t>. Según el estudio del MITRADEL las mujeres jóvenes se insertan en un 37.1% en los trabajos de servicios, vendedores de comercios y mercados, 14.4% corresponde a los hombres; 13.2% mujeres se insertan en la agricultura, sector agropecuario, forestal, pesca y caza, y en 14.4% lo hacen los hombres; 5.1% son artesanas... frente a 16.5% de hombres y 10.9 son trabajadoras no calificadas de los servicios, la minería, construcción, industria manufacturera, transporte y otras ocupaciones elementales, en este sector se inserta la mayor cantidad de trabajadores jóvenes con 34.4%.</w:t>
      </w:r>
    </w:p>
    <w:p w14:paraId="30C63627" w14:textId="00C55772" w:rsidR="00B76B0C" w:rsidRPr="005970E9" w:rsidRDefault="003B5C05" w:rsidP="002338C0">
      <w:pPr>
        <w:pStyle w:val="Heading3"/>
        <w:numPr>
          <w:ilvl w:val="2"/>
          <w:numId w:val="16"/>
        </w:numPr>
      </w:pPr>
      <w:bookmarkStart w:id="143" w:name="_Toc42159215"/>
      <w:bookmarkStart w:id="144" w:name="_Toc42549449"/>
      <w:r w:rsidRPr="005970E9">
        <w:lastRenderedPageBreak/>
        <w:t>Seguridad social</w:t>
      </w:r>
      <w:bookmarkEnd w:id="143"/>
      <w:bookmarkEnd w:id="144"/>
    </w:p>
    <w:p w14:paraId="120E42AB" w14:textId="10D75082" w:rsidR="000F2F74" w:rsidRPr="005970E9" w:rsidRDefault="003B5C05" w:rsidP="00E90CF8">
      <w:pPr>
        <w:spacing w:before="120" w:after="120" w:line="276" w:lineRule="auto"/>
        <w:jc w:val="both"/>
        <w:rPr>
          <w:rFonts w:eastAsia="Century Schoolbook" w:cs="Century Schoolbook"/>
        </w:rPr>
      </w:pPr>
      <w:r w:rsidRPr="005970E9">
        <w:rPr>
          <w:rFonts w:eastAsia="Century Schoolbook" w:cs="Century Schoolbook"/>
        </w:rPr>
        <w:t xml:space="preserve">La seguridad social es una institución que protege al trabajo remunerado y a sus familias, la mayor presencia de hombres asegurados directos, 58.08% en 2019 responde a las particularidades de la división sexual del trabajo, que asigna a las mujeres el trabajo de cuidado por ello su proporción es menor 41.92% como aseguradas directas. Consecuencia de ello es también que haya un 60.98% de mujeres en condición de beneficiario. Las jubiladas y pensionadas son menos. </w:t>
      </w:r>
      <w:r w:rsidR="009106E6" w:rsidRPr="005970E9">
        <w:rPr>
          <w:rFonts w:eastAsia="Century Schoolbook" w:cs="Century Schoolbook"/>
        </w:rPr>
        <w:t xml:space="preserve">La mitad de la población </w:t>
      </w:r>
      <w:r w:rsidRPr="005970E9">
        <w:rPr>
          <w:rFonts w:eastAsia="Century Schoolbook" w:cs="Century Schoolbook"/>
        </w:rPr>
        <w:t xml:space="preserve">no </w:t>
      </w:r>
      <w:r w:rsidR="009106E6" w:rsidRPr="005970E9">
        <w:rPr>
          <w:rFonts w:eastAsia="Century Schoolbook" w:cs="Century Schoolbook"/>
        </w:rPr>
        <w:t>está</w:t>
      </w:r>
      <w:r w:rsidRPr="005970E9">
        <w:rPr>
          <w:rFonts w:eastAsia="Century Schoolbook" w:cs="Century Schoolbook"/>
        </w:rPr>
        <w:t xml:space="preserve"> cubiert</w:t>
      </w:r>
      <w:r w:rsidR="009106E6" w:rsidRPr="005970E9">
        <w:rPr>
          <w:rFonts w:eastAsia="Century Schoolbook" w:cs="Century Schoolbook"/>
        </w:rPr>
        <w:t>a</w:t>
      </w:r>
      <w:r w:rsidRPr="005970E9">
        <w:rPr>
          <w:rFonts w:eastAsia="Century Schoolbook" w:cs="Century Schoolbook"/>
        </w:rPr>
        <w:t xml:space="preserve"> por la seguridad social panameña</w:t>
      </w:r>
      <w:r w:rsidR="00FC47ED" w:rsidRPr="005970E9">
        <w:rPr>
          <w:rFonts w:eastAsia="Century Schoolbook" w:cs="Century Schoolbook"/>
        </w:rPr>
        <w:t xml:space="preserve"> (Ver gráfica </w:t>
      </w:r>
      <w:r w:rsidR="00975D0A">
        <w:rPr>
          <w:rFonts w:eastAsia="Century Schoolbook" w:cs="Century Schoolbook"/>
        </w:rPr>
        <w:t>9</w:t>
      </w:r>
      <w:r w:rsidR="00FC47ED" w:rsidRPr="005970E9">
        <w:rPr>
          <w:rFonts w:eastAsia="Century Schoolbook" w:cs="Century Schoolbook"/>
        </w:rPr>
        <w:t>)</w:t>
      </w:r>
      <w:r w:rsidRPr="005970E9">
        <w:rPr>
          <w:rFonts w:eastAsia="Century Schoolbook" w:cs="Century Schoolbook"/>
        </w:rPr>
        <w:t xml:space="preserve">. </w:t>
      </w:r>
    </w:p>
    <w:p w14:paraId="1A4C4852" w14:textId="4E46C046" w:rsidR="000F2F74" w:rsidRPr="005970E9" w:rsidRDefault="000F2F74" w:rsidP="00E90CF8">
      <w:pPr>
        <w:spacing w:before="120" w:after="120" w:line="276" w:lineRule="auto"/>
        <w:jc w:val="both"/>
        <w:rPr>
          <w:rFonts w:eastAsia="Century Schoolbook" w:cs="Century Schoolbook"/>
        </w:rPr>
      </w:pPr>
      <w:r w:rsidRPr="005970E9">
        <w:rPr>
          <w:rFonts w:eastAsia="Century Schoolbook" w:cs="Century Schoolbook"/>
        </w:rPr>
        <w:t>La condición de mayor exclusión dada por estar fuera del mercado de trabajo se encuentra en</w:t>
      </w:r>
      <w:r w:rsidR="00845BA6" w:rsidRPr="005970E9">
        <w:rPr>
          <w:rFonts w:eastAsia="Century Schoolbook" w:cs="Century Schoolbook"/>
        </w:rPr>
        <w:t xml:space="preserve"> la población indígena. Al año 2018 la población indígena de las comarcas Guna Yala, Ngäbe Buglé y Emberá era de 271,624, de esta 137,695</w:t>
      </w:r>
      <w:r w:rsidR="00196997" w:rsidRPr="005970E9">
        <w:rPr>
          <w:rFonts w:eastAsia="Century Schoolbook" w:cs="Century Schoolbook"/>
        </w:rPr>
        <w:t xml:space="preserve"> eran mujeres.</w:t>
      </w:r>
      <w:r w:rsidR="00845BA6" w:rsidRPr="005970E9">
        <w:rPr>
          <w:rFonts w:eastAsia="Century Schoolbook" w:cs="Century Schoolbook"/>
        </w:rPr>
        <w:t xml:space="preserve"> </w:t>
      </w:r>
      <w:r w:rsidR="00196997" w:rsidRPr="005970E9">
        <w:rPr>
          <w:rFonts w:eastAsia="Century Schoolbook" w:cs="Century Schoolbook"/>
        </w:rPr>
        <w:t>C</w:t>
      </w:r>
      <w:r w:rsidR="00845BA6" w:rsidRPr="005970E9">
        <w:rPr>
          <w:rFonts w:eastAsia="Century Schoolbook" w:cs="Century Schoolbook"/>
        </w:rPr>
        <w:t xml:space="preserve">ubierta por la seguridad social </w:t>
      </w:r>
      <w:r w:rsidR="00196997" w:rsidRPr="005970E9">
        <w:rPr>
          <w:rFonts w:eastAsia="Century Schoolbook" w:cs="Century Schoolbook"/>
        </w:rPr>
        <w:t xml:space="preserve">hubo </w:t>
      </w:r>
      <w:r w:rsidR="00845BA6" w:rsidRPr="005970E9">
        <w:rPr>
          <w:rFonts w:eastAsia="Century Schoolbook" w:cs="Century Schoolbook"/>
        </w:rPr>
        <w:t>44,762 (17.6%)</w:t>
      </w:r>
      <w:r w:rsidR="00196997" w:rsidRPr="005970E9">
        <w:rPr>
          <w:rFonts w:eastAsia="Century Schoolbook" w:cs="Century Schoolbook"/>
        </w:rPr>
        <w:t xml:space="preserve"> asegurados/as cotizantes</w:t>
      </w:r>
      <w:r w:rsidR="00845BA6" w:rsidRPr="005970E9">
        <w:rPr>
          <w:rFonts w:eastAsia="Century Schoolbook" w:cs="Century Schoolbook"/>
        </w:rPr>
        <w:t xml:space="preserve"> y </w:t>
      </w:r>
      <w:r w:rsidR="00196997" w:rsidRPr="005970E9">
        <w:rPr>
          <w:rFonts w:eastAsia="Century Schoolbook" w:cs="Century Schoolbook"/>
        </w:rPr>
        <w:t>co</w:t>
      </w:r>
      <w:r w:rsidR="00BF31BB" w:rsidRPr="005970E9">
        <w:rPr>
          <w:rFonts w:eastAsia="Century Schoolbook" w:cs="Century Schoolbook"/>
        </w:rPr>
        <w:t>m</w:t>
      </w:r>
      <w:r w:rsidR="00196997" w:rsidRPr="005970E9">
        <w:rPr>
          <w:rFonts w:eastAsia="Century Schoolbook" w:cs="Century Schoolbook"/>
        </w:rPr>
        <w:t xml:space="preserve">o asegurados/as </w:t>
      </w:r>
      <w:r w:rsidR="00845BA6" w:rsidRPr="005970E9">
        <w:rPr>
          <w:rFonts w:eastAsia="Century Schoolbook" w:cs="Century Schoolbook"/>
        </w:rPr>
        <w:t xml:space="preserve">dependientes </w:t>
      </w:r>
      <w:r w:rsidR="00196997" w:rsidRPr="005970E9">
        <w:rPr>
          <w:rFonts w:eastAsia="Century Schoolbook" w:cs="Century Schoolbook"/>
        </w:rPr>
        <w:t xml:space="preserve">(hijo/a, esposa compañera, padre/madre y persona con discapacidad) hubo 35,616 (13.1); las mujeres dependientes en calidad de esposas/compañeras son </w:t>
      </w:r>
      <w:r w:rsidR="00845BA6" w:rsidRPr="005970E9">
        <w:rPr>
          <w:rFonts w:eastAsia="Century Schoolbook" w:cs="Century Schoolbook"/>
        </w:rPr>
        <w:t>5,698 (4.1%) respecto a la población femenina</w:t>
      </w:r>
      <w:r w:rsidR="00196997" w:rsidRPr="005970E9">
        <w:rPr>
          <w:rFonts w:eastAsia="Century Schoolbook" w:cs="Century Schoolbook"/>
        </w:rPr>
        <w:t xml:space="preserve"> indígena.</w:t>
      </w:r>
      <w:r w:rsidR="004C1B95" w:rsidRPr="005970E9">
        <w:rPr>
          <w:rFonts w:eastAsia="Century Schoolbook" w:cs="Century Schoolbook"/>
        </w:rPr>
        <w:t xml:space="preserve"> </w:t>
      </w:r>
      <w:r w:rsidR="00196997" w:rsidRPr="005970E9">
        <w:rPr>
          <w:rFonts w:eastAsia="Century Schoolbook" w:cs="Century Schoolbook"/>
        </w:rPr>
        <w:t xml:space="preserve">Los hijos e hijas respecto a la población indígena con seguridad social son 26,350 (9.7%) y entre los dependientes representan </w:t>
      </w:r>
      <w:r w:rsidR="004C1B95" w:rsidRPr="005970E9">
        <w:rPr>
          <w:rFonts w:eastAsia="Century Schoolbook" w:cs="Century Schoolbook"/>
        </w:rPr>
        <w:t>el 73.98%</w:t>
      </w:r>
      <w:r w:rsidR="00845BA6" w:rsidRPr="005970E9">
        <w:rPr>
          <w:rFonts w:eastAsia="Century Schoolbook" w:cs="Century Schoolbook"/>
        </w:rPr>
        <w:t xml:space="preserve"> de (INEC, 2018</w:t>
      </w:r>
      <w:r w:rsidR="004C1B95" w:rsidRPr="005970E9">
        <w:rPr>
          <w:rFonts w:eastAsia="Century Schoolbook" w:cs="Century Schoolbook"/>
        </w:rPr>
        <w:t>) (INEC, Boletín 15 de estimaciones de población</w:t>
      </w:r>
      <w:r w:rsidR="00845BA6" w:rsidRPr="005970E9">
        <w:rPr>
          <w:rFonts w:eastAsia="Century Schoolbook" w:cs="Century Schoolbook"/>
        </w:rPr>
        <w:t>).</w:t>
      </w:r>
    </w:p>
    <w:p w14:paraId="6781E864" w14:textId="31F14656" w:rsidR="004C1B95" w:rsidRPr="005970E9" w:rsidRDefault="00D02285" w:rsidP="004C1B95">
      <w:pPr>
        <w:pStyle w:val="Caption"/>
        <w:rPr>
          <w:rFonts w:ascii="Century Schoolbook" w:eastAsia="Century Schoolbook" w:hAnsi="Century Schoolbook" w:cs="Century Schoolbook"/>
        </w:rPr>
      </w:pPr>
      <w:bookmarkStart w:id="145" w:name="_Toc42549241"/>
      <w:r w:rsidRPr="005970E9">
        <w:rPr>
          <w:rFonts w:ascii="Century Schoolbook" w:hAnsi="Century Schoolbook"/>
          <w:noProof/>
        </w:rPr>
        <w:drawing>
          <wp:anchor distT="0" distB="0" distL="114300" distR="114300" simplePos="0" relativeHeight="251785257" behindDoc="0" locked="0" layoutInCell="1" allowOverlap="1" wp14:anchorId="0E07C024" wp14:editId="4D88A895">
            <wp:simplePos x="0" y="0"/>
            <wp:positionH relativeFrom="column">
              <wp:posOffset>-2540</wp:posOffset>
            </wp:positionH>
            <wp:positionV relativeFrom="paragraph">
              <wp:posOffset>207645</wp:posOffset>
            </wp:positionV>
            <wp:extent cx="5564505" cy="2743200"/>
            <wp:effectExtent l="0" t="0" r="17145" b="0"/>
            <wp:wrapTight wrapText="bothSides">
              <wp:wrapPolygon edited="0">
                <wp:start x="0" y="0"/>
                <wp:lineTo x="0" y="21450"/>
                <wp:lineTo x="21593" y="21450"/>
                <wp:lineTo x="21593" y="0"/>
                <wp:lineTo x="0" y="0"/>
              </wp:wrapPolygon>
            </wp:wrapTight>
            <wp:docPr id="8" name="Gráfico 8">
              <a:extLst xmlns:a="http://schemas.openxmlformats.org/drawingml/2006/main">
                <a:ext uri="{FF2B5EF4-FFF2-40B4-BE49-F238E27FC236}">
                  <a16:creationId xmlns:a16="http://schemas.microsoft.com/office/drawing/2014/main" id="{116792C9-50E0-4BC4-BF55-45579F424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4C1B95" w:rsidRPr="005970E9">
        <w:rPr>
          <w:rFonts w:ascii="Century Schoolbook" w:hAnsi="Century Schoolbook"/>
        </w:rPr>
        <w:t xml:space="preserve">Gráfica </w:t>
      </w:r>
      <w:r w:rsidR="00F202BE" w:rsidRPr="005970E9">
        <w:rPr>
          <w:rFonts w:ascii="Century Schoolbook" w:hAnsi="Century Schoolbook"/>
        </w:rPr>
        <w:fldChar w:fldCharType="begin"/>
      </w:r>
      <w:r w:rsidR="00F202BE" w:rsidRPr="005970E9">
        <w:rPr>
          <w:rFonts w:ascii="Century Schoolbook" w:hAnsi="Century Schoolbook"/>
        </w:rPr>
        <w:instrText xml:space="preserve"> SEQ Gráfica \* ARABIC </w:instrText>
      </w:r>
      <w:r w:rsidR="00F202BE" w:rsidRPr="005970E9">
        <w:rPr>
          <w:rFonts w:ascii="Century Schoolbook" w:hAnsi="Century Schoolbook"/>
        </w:rPr>
        <w:fldChar w:fldCharType="separate"/>
      </w:r>
      <w:r w:rsidR="00C5041B" w:rsidRPr="005970E9">
        <w:rPr>
          <w:rFonts w:ascii="Century Schoolbook" w:hAnsi="Century Schoolbook"/>
          <w:noProof/>
        </w:rPr>
        <w:t>9</w:t>
      </w:r>
      <w:r w:rsidR="00F202BE" w:rsidRPr="005970E9">
        <w:rPr>
          <w:rFonts w:ascii="Century Schoolbook" w:hAnsi="Century Schoolbook"/>
        </w:rPr>
        <w:fldChar w:fldCharType="end"/>
      </w:r>
      <w:r w:rsidR="004C51B4" w:rsidRPr="005970E9">
        <w:rPr>
          <w:rFonts w:ascii="Century Schoolbook" w:hAnsi="Century Schoolbook"/>
          <w:noProof/>
        </w:rPr>
        <w:t>. P</w:t>
      </w:r>
      <w:r w:rsidR="00021F56" w:rsidRPr="005970E9">
        <w:rPr>
          <w:rFonts w:ascii="Century Schoolbook" w:hAnsi="Century Schoolbook"/>
          <w:noProof/>
        </w:rPr>
        <w:t>r</w:t>
      </w:r>
      <w:r w:rsidR="004C51B4" w:rsidRPr="005970E9">
        <w:rPr>
          <w:rFonts w:ascii="Century Schoolbook" w:hAnsi="Century Schoolbook"/>
          <w:noProof/>
        </w:rPr>
        <w:t>o</w:t>
      </w:r>
      <w:r w:rsidR="00021F56" w:rsidRPr="005970E9">
        <w:rPr>
          <w:rFonts w:ascii="Century Schoolbook" w:hAnsi="Century Schoolbook"/>
          <w:noProof/>
        </w:rPr>
        <w:t>porción</w:t>
      </w:r>
      <w:r w:rsidRPr="005970E9">
        <w:rPr>
          <w:rFonts w:ascii="Century Schoolbook" w:hAnsi="Century Schoolbook"/>
          <w:noProof/>
        </w:rPr>
        <w:t xml:space="preserve"> porcentual</w:t>
      </w:r>
      <w:r w:rsidR="00021F56" w:rsidRPr="005970E9">
        <w:rPr>
          <w:rFonts w:ascii="Century Schoolbook" w:hAnsi="Century Schoolbook"/>
          <w:noProof/>
        </w:rPr>
        <w:t xml:space="preserve"> de la po</w:t>
      </w:r>
      <w:r w:rsidR="004C51B4" w:rsidRPr="005970E9">
        <w:rPr>
          <w:rFonts w:ascii="Century Schoolbook" w:hAnsi="Century Schoolbook"/>
          <w:noProof/>
        </w:rPr>
        <w:t>blación con seguro social por sexo.</w:t>
      </w:r>
      <w:bookmarkEnd w:id="145"/>
    </w:p>
    <w:p w14:paraId="77B6B742" w14:textId="460C4B2D" w:rsidR="00FC47ED" w:rsidRPr="005970E9" w:rsidRDefault="25E5F478" w:rsidP="00D02285">
      <w:pPr>
        <w:spacing w:before="360" w:after="120" w:line="276" w:lineRule="auto"/>
        <w:jc w:val="both"/>
        <w:rPr>
          <w:rFonts w:eastAsia="Century Schoolbook" w:cs="Century Schoolbook"/>
        </w:rPr>
      </w:pPr>
      <w:r w:rsidRPr="005970E9">
        <w:rPr>
          <w:rFonts w:eastAsia="Century Schoolbook" w:cs="Century Schoolbook"/>
        </w:rPr>
        <w:t xml:space="preserve">Sólo las mujeres de otro país tienen una proporción mayor con 52.78%, ver gráfica </w:t>
      </w:r>
      <w:r w:rsidR="00FC47ED" w:rsidRPr="005970E9">
        <w:rPr>
          <w:rFonts w:eastAsia="Century Schoolbook" w:cs="Century Schoolbook"/>
        </w:rPr>
        <w:t>9</w:t>
      </w:r>
      <w:r w:rsidRPr="005970E9">
        <w:rPr>
          <w:rFonts w:eastAsia="Century Schoolbook" w:cs="Century Schoolbook"/>
        </w:rPr>
        <w:t xml:space="preserve">. </w:t>
      </w:r>
    </w:p>
    <w:p w14:paraId="0CAFF948" w14:textId="1F176B0B" w:rsidR="002E66F4" w:rsidRPr="005970E9" w:rsidRDefault="003B5C05" w:rsidP="00D02285">
      <w:pPr>
        <w:spacing w:before="360" w:after="120" w:line="276" w:lineRule="auto"/>
        <w:jc w:val="both"/>
        <w:rPr>
          <w:rFonts w:eastAsia="Century Schoolbook" w:cs="Century Schoolbook"/>
        </w:rPr>
      </w:pPr>
      <w:r w:rsidRPr="005970E9">
        <w:rPr>
          <w:rFonts w:eastAsia="Century Schoolbook" w:cs="Century Schoolbook"/>
        </w:rPr>
        <w:t>En la seguridad social las personas que tienen acceso a la atención en los servicios de salud deben presentar su ficha de la Caja de Seguro Social</w:t>
      </w:r>
      <w:r w:rsidR="000A7332" w:rsidRPr="005970E9">
        <w:rPr>
          <w:rFonts w:eastAsia="Century Schoolbook" w:cs="Century Schoolbook"/>
        </w:rPr>
        <w:t xml:space="preserve"> (CSS)</w:t>
      </w:r>
      <w:r w:rsidRPr="005970E9">
        <w:rPr>
          <w:rFonts w:eastAsia="Century Schoolbook" w:cs="Century Schoolbook"/>
        </w:rPr>
        <w:t>, lo que implica el pago de la cuota del asegurado</w:t>
      </w:r>
      <w:r w:rsidR="14FB9903" w:rsidRPr="005970E9">
        <w:rPr>
          <w:rFonts w:eastAsia="Century Schoolbook" w:cs="Century Schoolbook"/>
        </w:rPr>
        <w:t>. E</w:t>
      </w:r>
      <w:r w:rsidRPr="005970E9">
        <w:rPr>
          <w:rFonts w:eastAsia="Century Schoolbook" w:cs="Century Schoolbook"/>
        </w:rPr>
        <w:t>ntre quienes respondieron que cuentan con tal ficha hay un 57.86% de hombres y 42.14 de mujeres</w:t>
      </w:r>
      <w:r w:rsidR="000A7332" w:rsidRPr="005970E9">
        <w:rPr>
          <w:rFonts w:eastAsia="Century Schoolbook" w:cs="Century Schoolbook"/>
        </w:rPr>
        <w:t xml:space="preserve"> (grafica 1</w:t>
      </w:r>
      <w:r w:rsidR="00975D0A">
        <w:rPr>
          <w:rFonts w:eastAsia="Century Schoolbook" w:cs="Century Schoolbook"/>
        </w:rPr>
        <w:t>0</w:t>
      </w:r>
      <w:r w:rsidR="000A7332" w:rsidRPr="005970E9">
        <w:rPr>
          <w:rFonts w:eastAsia="Century Schoolbook" w:cs="Century Schoolbook"/>
        </w:rPr>
        <w:t>)</w:t>
      </w:r>
      <w:r w:rsidRPr="005970E9">
        <w:rPr>
          <w:rFonts w:eastAsia="Century Schoolbook" w:cs="Century Schoolbook"/>
        </w:rPr>
        <w:t xml:space="preserve">. </w:t>
      </w:r>
    </w:p>
    <w:p w14:paraId="418D56BC" w14:textId="6CA107E5" w:rsidR="000830C7" w:rsidRPr="005970E9" w:rsidRDefault="00D02285" w:rsidP="002E66F4">
      <w:pPr>
        <w:pStyle w:val="Caption"/>
        <w:jc w:val="right"/>
        <w:rPr>
          <w:rFonts w:ascii="Century Schoolbook" w:eastAsia="Century Schoolbook" w:hAnsi="Century Schoolbook" w:cs="Century Schoolbook"/>
          <w:sz w:val="20"/>
          <w:szCs w:val="20"/>
        </w:rPr>
      </w:pPr>
      <w:bookmarkStart w:id="146" w:name="_Toc42549242"/>
      <w:r w:rsidRPr="005970E9">
        <w:rPr>
          <w:rFonts w:ascii="Century Schoolbook" w:hAnsi="Century Schoolbook"/>
          <w:noProof/>
        </w:rPr>
        <w:lastRenderedPageBreak/>
        <w:drawing>
          <wp:anchor distT="19050" distB="20955" distL="133350" distR="0" simplePos="0" relativeHeight="251658244" behindDoc="0" locked="0" layoutInCell="1" hidden="0" allowOverlap="1" wp14:anchorId="176BF31B" wp14:editId="52DC1A11">
            <wp:simplePos x="0" y="0"/>
            <wp:positionH relativeFrom="margin">
              <wp:posOffset>2865120</wp:posOffset>
            </wp:positionH>
            <wp:positionV relativeFrom="paragraph">
              <wp:posOffset>212271</wp:posOffset>
            </wp:positionV>
            <wp:extent cx="2699385" cy="1927860"/>
            <wp:effectExtent l="19050" t="19050" r="24765" b="15240"/>
            <wp:wrapSquare wrapText="bothSides" distT="19050" distB="20955" distL="133350" distR="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2699385" cy="1927860"/>
                    </a:xfrm>
                    <a:prstGeom prst="rect">
                      <a:avLst/>
                    </a:prstGeom>
                    <a:ln w="9525">
                      <a:solidFill>
                        <a:srgbClr val="808080"/>
                      </a:solidFill>
                      <a:prstDash val="solid"/>
                    </a:ln>
                  </pic:spPr>
                </pic:pic>
              </a:graphicData>
            </a:graphic>
            <wp14:sizeRelH relativeFrom="margin">
              <wp14:pctWidth>0</wp14:pctWidth>
            </wp14:sizeRelH>
            <wp14:sizeRelV relativeFrom="margin">
              <wp14:pctHeight>0</wp14:pctHeight>
            </wp14:sizeRelV>
          </wp:anchor>
        </w:drawing>
      </w:r>
      <w:r w:rsidRPr="005970E9">
        <w:rPr>
          <w:rFonts w:ascii="Century Schoolbook" w:hAnsi="Century Schoolbook"/>
          <w:noProof/>
        </w:rPr>
        <w:drawing>
          <wp:anchor distT="19050" distB="20955" distL="133350" distR="0" simplePos="0" relativeHeight="251744297" behindDoc="0" locked="0" layoutInCell="1" hidden="0" allowOverlap="1" wp14:anchorId="176BF31B" wp14:editId="566CFDFF">
            <wp:simplePos x="0" y="0"/>
            <wp:positionH relativeFrom="margin">
              <wp:posOffset>2865120</wp:posOffset>
            </wp:positionH>
            <wp:positionV relativeFrom="paragraph">
              <wp:posOffset>212090</wp:posOffset>
            </wp:positionV>
            <wp:extent cx="2699385" cy="1927860"/>
            <wp:effectExtent l="19050" t="19050" r="24765" b="15240"/>
            <wp:wrapSquare wrapText="bothSides" distT="19050" distB="20955" distL="133350" distR="0"/>
            <wp:docPr id="2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2699385" cy="1927860"/>
                    </a:xfrm>
                    <a:prstGeom prst="rect">
                      <a:avLst/>
                    </a:prstGeom>
                    <a:ln w="9525">
                      <a:solidFill>
                        <a:srgbClr val="808080"/>
                      </a:solidFill>
                      <a:prstDash val="solid"/>
                    </a:ln>
                  </pic:spPr>
                </pic:pic>
              </a:graphicData>
            </a:graphic>
            <wp14:sizeRelH relativeFrom="margin">
              <wp14:pctWidth>0</wp14:pctWidth>
            </wp14:sizeRelH>
            <wp14:sizeRelV relativeFrom="margin">
              <wp14:pctHeight>0</wp14:pctHeight>
            </wp14:sizeRelV>
          </wp:anchor>
        </w:drawing>
      </w:r>
      <w:r w:rsidR="002E66F4"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10</w:t>
      </w:r>
      <w:r w:rsidR="00F202BE" w:rsidRPr="005970E9">
        <w:rPr>
          <w:rFonts w:ascii="Century Schoolbook" w:hAnsi="Century Schoolbook"/>
          <w:sz w:val="20"/>
          <w:szCs w:val="20"/>
        </w:rPr>
        <w:fldChar w:fldCharType="end"/>
      </w:r>
      <w:r w:rsidR="004C51B4" w:rsidRPr="005970E9">
        <w:rPr>
          <w:rFonts w:ascii="Century Schoolbook" w:hAnsi="Century Schoolbook"/>
          <w:sz w:val="20"/>
          <w:szCs w:val="20"/>
        </w:rPr>
        <w:t>. Asegurados con ficha de SS</w:t>
      </w:r>
      <w:bookmarkEnd w:id="146"/>
      <w:r w:rsidR="002E66F4" w:rsidRPr="005970E9">
        <w:rPr>
          <w:rFonts w:ascii="Century Schoolbook" w:hAnsi="Century Schoolbook"/>
          <w:sz w:val="20"/>
          <w:szCs w:val="20"/>
        </w:rPr>
        <w:tab/>
      </w:r>
    </w:p>
    <w:p w14:paraId="6645512C" w14:textId="1FB180A0" w:rsidR="000830C7" w:rsidRPr="005970E9" w:rsidRDefault="003B5C05" w:rsidP="00E90CF8">
      <w:pPr>
        <w:spacing w:before="120" w:after="120" w:line="276" w:lineRule="auto"/>
        <w:jc w:val="both"/>
        <w:rPr>
          <w:rFonts w:eastAsia="Century Schoolbook" w:cs="Century Schoolbook"/>
        </w:rPr>
      </w:pPr>
      <w:r w:rsidRPr="005970E9">
        <w:rPr>
          <w:rFonts w:eastAsia="Century Schoolbook" w:cs="Century Schoolbook"/>
        </w:rPr>
        <w:t>También entre quienes no cuentan con su ficha</w:t>
      </w:r>
      <w:r w:rsidR="71CDBE0E" w:rsidRPr="005970E9">
        <w:rPr>
          <w:rFonts w:eastAsia="Century Schoolbook" w:cs="Century Schoolbook"/>
        </w:rPr>
        <w:t xml:space="preserve"> sobresalen</w:t>
      </w:r>
      <w:r w:rsidRPr="005970E9">
        <w:rPr>
          <w:rFonts w:eastAsia="Century Schoolbook" w:cs="Century Schoolbook"/>
        </w:rPr>
        <w:t xml:space="preserve"> los hombres</w:t>
      </w:r>
      <w:r w:rsidR="71CDBE0E" w:rsidRPr="005970E9">
        <w:rPr>
          <w:rFonts w:eastAsia="Century Schoolbook" w:cs="Century Schoolbook"/>
        </w:rPr>
        <w:t>,</w:t>
      </w:r>
      <w:r w:rsidRPr="005970E9">
        <w:rPr>
          <w:rFonts w:eastAsia="Century Schoolbook" w:cs="Century Schoolbook"/>
        </w:rPr>
        <w:t xml:space="preserve"> </w:t>
      </w:r>
      <w:r w:rsidR="71CDBE0E" w:rsidRPr="005970E9">
        <w:rPr>
          <w:rFonts w:eastAsia="Century Schoolbook" w:cs="Century Schoolbook"/>
        </w:rPr>
        <w:t>c</w:t>
      </w:r>
      <w:r w:rsidRPr="005970E9">
        <w:rPr>
          <w:rFonts w:eastAsia="Century Schoolbook" w:cs="Century Schoolbook"/>
        </w:rPr>
        <w:t xml:space="preserve">on una proporción </w:t>
      </w:r>
      <w:r w:rsidR="71CDBE0E" w:rsidRPr="005970E9">
        <w:rPr>
          <w:rFonts w:eastAsia="Century Schoolbook" w:cs="Century Schoolbook"/>
        </w:rPr>
        <w:t xml:space="preserve">de </w:t>
      </w:r>
      <w:r w:rsidRPr="005970E9">
        <w:rPr>
          <w:rFonts w:eastAsia="Century Schoolbook" w:cs="Century Schoolbook"/>
        </w:rPr>
        <w:t xml:space="preserve">68.45%. </w:t>
      </w:r>
      <w:r w:rsidR="71CDBE0E" w:rsidRPr="005970E9">
        <w:rPr>
          <w:rFonts w:eastAsia="Century Schoolbook" w:cs="Century Schoolbook"/>
        </w:rPr>
        <w:t>E</w:t>
      </w:r>
      <w:r w:rsidRPr="005970E9">
        <w:rPr>
          <w:rFonts w:eastAsia="Century Schoolbook" w:cs="Century Schoolbook"/>
        </w:rPr>
        <w:t>stas diferencias obedecen a las mismas razones observadas antes, las mujeres están en menor proporción que los hombres en el mercado de trabajo formal y son menos quienes no tienen ficha</w:t>
      </w:r>
      <w:r w:rsidR="2781B11E" w:rsidRPr="005970E9">
        <w:rPr>
          <w:rFonts w:eastAsia="Century Schoolbook" w:cs="Century Schoolbook"/>
        </w:rPr>
        <w:t>,</w:t>
      </w:r>
      <w:r w:rsidRPr="005970E9">
        <w:rPr>
          <w:rFonts w:eastAsia="Century Schoolbook" w:cs="Century Schoolbook"/>
        </w:rPr>
        <w:t xml:space="preserve"> </w:t>
      </w:r>
      <w:r w:rsidR="25E5F478" w:rsidRPr="005970E9">
        <w:rPr>
          <w:rFonts w:eastAsia="Century Schoolbook" w:cs="Century Schoolbook"/>
        </w:rPr>
        <w:t>esto puede responder a que tienen mayor tendencia a sacar tiempo para el autocuidado.</w:t>
      </w:r>
      <w:r w:rsidRPr="005970E9">
        <w:rPr>
          <w:rFonts w:eastAsia="Century Schoolbook" w:cs="Century Schoolbook"/>
        </w:rPr>
        <w:t xml:space="preserve"> </w:t>
      </w:r>
    </w:p>
    <w:p w14:paraId="3899A9E9" w14:textId="77777777" w:rsidR="008E7902" w:rsidRPr="005970E9" w:rsidRDefault="008E7902" w:rsidP="00BF31BB">
      <w:pPr>
        <w:pStyle w:val="Caption"/>
        <w:spacing w:before="240" w:after="0"/>
        <w:ind w:left="3600"/>
        <w:jc w:val="right"/>
        <w:rPr>
          <w:rFonts w:ascii="Century Schoolbook" w:hAnsi="Century Schoolbook"/>
        </w:rPr>
      </w:pPr>
    </w:p>
    <w:p w14:paraId="624685E2" w14:textId="0AD070CD" w:rsidR="00D02285" w:rsidRPr="005970E9" w:rsidRDefault="00D02285" w:rsidP="00BF31BB">
      <w:pPr>
        <w:pStyle w:val="Caption"/>
        <w:spacing w:before="240" w:after="0"/>
        <w:ind w:left="3600"/>
        <w:jc w:val="right"/>
        <w:rPr>
          <w:rFonts w:ascii="Century Schoolbook" w:hAnsi="Century Schoolbook"/>
          <w:sz w:val="20"/>
          <w:szCs w:val="20"/>
        </w:rPr>
      </w:pPr>
    </w:p>
    <w:p w14:paraId="0C47EDE3" w14:textId="3A98D60D" w:rsidR="000830C7" w:rsidRPr="005970E9" w:rsidRDefault="002E66F4" w:rsidP="00BF31BB">
      <w:pPr>
        <w:pStyle w:val="Caption"/>
        <w:spacing w:before="240" w:after="0"/>
        <w:ind w:left="3600"/>
        <w:jc w:val="right"/>
        <w:rPr>
          <w:rFonts w:ascii="Century Schoolbook" w:eastAsia="Century Schoolbook" w:hAnsi="Century Schoolbook" w:cs="Century Schoolbook"/>
          <w:sz w:val="20"/>
          <w:szCs w:val="20"/>
        </w:rPr>
      </w:pPr>
      <w:bookmarkStart w:id="147" w:name="_Toc42549243"/>
      <w:r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11</w:t>
      </w:r>
      <w:r w:rsidR="00F202BE" w:rsidRPr="005970E9">
        <w:rPr>
          <w:rFonts w:ascii="Century Schoolbook" w:hAnsi="Century Schoolbook"/>
          <w:sz w:val="20"/>
          <w:szCs w:val="20"/>
        </w:rPr>
        <w:fldChar w:fldCharType="end"/>
      </w:r>
      <w:r w:rsidR="004C51B4" w:rsidRPr="005970E9">
        <w:rPr>
          <w:rFonts w:ascii="Century Schoolbook" w:hAnsi="Century Schoolbook"/>
          <w:noProof/>
          <w:sz w:val="20"/>
          <w:szCs w:val="20"/>
        </w:rPr>
        <w:t>. Afiliados a fondos privados</w:t>
      </w:r>
      <w:bookmarkEnd w:id="147"/>
    </w:p>
    <w:p w14:paraId="3E7DDC55" w14:textId="6F9ED9E6" w:rsidR="00B76B0C" w:rsidRPr="005970E9" w:rsidRDefault="00C60253" w:rsidP="000830C7">
      <w:pPr>
        <w:spacing w:line="276" w:lineRule="auto"/>
        <w:jc w:val="both"/>
        <w:rPr>
          <w:rFonts w:eastAsia="Century Schoolbook" w:cs="Century Schoolbook"/>
        </w:rPr>
      </w:pPr>
      <w:r w:rsidRPr="005970E9">
        <w:rPr>
          <w:noProof/>
        </w:rPr>
        <w:drawing>
          <wp:anchor distT="0" distB="0" distL="114300" distR="114300" simplePos="0" relativeHeight="251787305" behindDoc="0" locked="0" layoutInCell="1" allowOverlap="1" wp14:anchorId="0194CC08" wp14:editId="699DC5A7">
            <wp:simplePos x="0" y="0"/>
            <wp:positionH relativeFrom="column">
              <wp:posOffset>1863725</wp:posOffset>
            </wp:positionH>
            <wp:positionV relativeFrom="paragraph">
              <wp:posOffset>20320</wp:posOffset>
            </wp:positionV>
            <wp:extent cx="3706495" cy="1931670"/>
            <wp:effectExtent l="0" t="0" r="8255" b="11430"/>
            <wp:wrapTight wrapText="bothSides">
              <wp:wrapPolygon edited="0">
                <wp:start x="0" y="0"/>
                <wp:lineTo x="0" y="21515"/>
                <wp:lineTo x="21537" y="21515"/>
                <wp:lineTo x="21537" y="0"/>
                <wp:lineTo x="0" y="0"/>
              </wp:wrapPolygon>
            </wp:wrapTight>
            <wp:docPr id="10" name="Gráfico 10">
              <a:extLst xmlns:a="http://schemas.openxmlformats.org/drawingml/2006/main">
                <a:ext uri="{FF2B5EF4-FFF2-40B4-BE49-F238E27FC236}">
                  <a16:creationId xmlns:a16="http://schemas.microsoft.com/office/drawing/2014/main" id="{FD84E3C9-6FE4-49FD-BBAC-81A12BBE2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3B5C05" w:rsidRPr="005970E9">
        <w:rPr>
          <w:rFonts w:eastAsia="Century Schoolbook" w:cs="Century Schoolbook"/>
        </w:rPr>
        <w:t>La seguridad social panameña establece la afiliación obligatoria a trabajadores/as independientes, cuenta propia y trabajadoras/es domésticas</w:t>
      </w:r>
      <w:r w:rsidR="2781B11E" w:rsidRPr="005970E9">
        <w:rPr>
          <w:rFonts w:eastAsia="Century Schoolbook" w:cs="Century Schoolbook"/>
        </w:rPr>
        <w:t>.</w:t>
      </w:r>
      <w:r w:rsidR="003B5C05" w:rsidRPr="005970E9">
        <w:rPr>
          <w:rFonts w:eastAsia="Century Schoolbook" w:cs="Century Schoolbook"/>
          <w:vertAlign w:val="superscript"/>
        </w:rPr>
        <w:footnoteReference w:id="38"/>
      </w:r>
      <w:r w:rsidR="003B5C05" w:rsidRPr="005970E9">
        <w:rPr>
          <w:rFonts w:eastAsia="Century Schoolbook" w:cs="Century Schoolbook"/>
        </w:rPr>
        <w:t xml:space="preserve">  </w:t>
      </w:r>
    </w:p>
    <w:p w14:paraId="5FB35BA6" w14:textId="34DBCEF2" w:rsidR="005C1716" w:rsidRPr="005970E9" w:rsidRDefault="005C1716" w:rsidP="00BF31BB">
      <w:pPr>
        <w:spacing w:after="120"/>
        <w:jc w:val="both"/>
        <w:rPr>
          <w:rFonts w:eastAsia="Century Schoolbook" w:cs="Century Schoolbook"/>
        </w:rPr>
      </w:pPr>
    </w:p>
    <w:p w14:paraId="4A937729" w14:textId="7D0EB260" w:rsidR="00BF31BB" w:rsidRPr="005970E9" w:rsidRDefault="003B5C05" w:rsidP="00BF31BB">
      <w:pPr>
        <w:spacing w:after="120"/>
        <w:jc w:val="both"/>
        <w:rPr>
          <w:rFonts w:eastAsia="Century Schoolbook" w:cs="Century Schoolbook"/>
        </w:rPr>
      </w:pPr>
      <w:r w:rsidRPr="005970E9">
        <w:rPr>
          <w:rFonts w:eastAsia="Century Schoolbook" w:cs="Century Schoolbook"/>
        </w:rPr>
        <w:t xml:space="preserve">Las mujeres que han adquirido algún fondo privado de pensión o jubilación son </w:t>
      </w:r>
      <w:r w:rsidR="009E2668" w:rsidRPr="005970E9">
        <w:rPr>
          <w:rFonts w:eastAsia="Century Schoolbook" w:cs="Century Schoolbook"/>
        </w:rPr>
        <w:t xml:space="preserve">más que los hombres en un mínimo </w:t>
      </w:r>
      <w:r w:rsidR="00D11ADF" w:rsidRPr="005970E9">
        <w:rPr>
          <w:rFonts w:eastAsia="Century Schoolbook" w:cs="Century Schoolbook"/>
        </w:rPr>
        <w:t xml:space="preserve">de </w:t>
      </w:r>
      <w:r w:rsidRPr="005970E9">
        <w:rPr>
          <w:rFonts w:eastAsia="Century Schoolbook" w:cs="Century Schoolbook"/>
        </w:rPr>
        <w:t>1.12</w:t>
      </w:r>
      <w:r w:rsidR="009E2668" w:rsidRPr="005970E9">
        <w:rPr>
          <w:rFonts w:eastAsia="Century Schoolbook" w:cs="Century Schoolbook"/>
        </w:rPr>
        <w:t>%</w:t>
      </w:r>
      <w:r w:rsidRPr="005970E9">
        <w:rPr>
          <w:rFonts w:eastAsia="Century Schoolbook" w:cs="Century Schoolbook"/>
        </w:rPr>
        <w:t xml:space="preserve"> </w:t>
      </w:r>
      <w:r w:rsidR="00D11ADF" w:rsidRPr="005970E9">
        <w:rPr>
          <w:rFonts w:eastAsia="Century Schoolbook" w:cs="Century Schoolbook"/>
        </w:rPr>
        <w:t>(</w:t>
      </w:r>
      <w:r w:rsidRPr="005970E9">
        <w:rPr>
          <w:rFonts w:eastAsia="Century Schoolbook" w:cs="Century Schoolbook"/>
        </w:rPr>
        <w:t>50.56%</w:t>
      </w:r>
      <w:r w:rsidR="00D11ADF" w:rsidRPr="005970E9">
        <w:rPr>
          <w:rFonts w:eastAsia="Century Schoolbook" w:cs="Century Schoolbook"/>
        </w:rPr>
        <w:t>)</w:t>
      </w:r>
      <w:r w:rsidRPr="005970E9">
        <w:rPr>
          <w:rFonts w:eastAsia="Century Schoolbook" w:cs="Century Schoolbook"/>
        </w:rPr>
        <w:t xml:space="preserve"> </w:t>
      </w:r>
      <w:r w:rsidR="009E2668" w:rsidRPr="005970E9">
        <w:rPr>
          <w:rFonts w:eastAsia="Century Schoolbook" w:cs="Century Schoolbook"/>
        </w:rPr>
        <w:t>y</w:t>
      </w:r>
      <w:r w:rsidR="00D11ADF" w:rsidRPr="005970E9">
        <w:rPr>
          <w:rFonts w:eastAsia="Century Schoolbook" w:cs="Century Schoolbook"/>
        </w:rPr>
        <w:t xml:space="preserve"> los </w:t>
      </w:r>
      <w:r w:rsidRPr="005970E9">
        <w:rPr>
          <w:rFonts w:eastAsia="Century Schoolbook" w:cs="Century Schoolbook"/>
        </w:rPr>
        <w:t xml:space="preserve">hombres representan el 49.44%. También las mujeres </w:t>
      </w:r>
      <w:r w:rsidR="009E2668" w:rsidRPr="005970E9">
        <w:rPr>
          <w:rFonts w:eastAsia="Century Schoolbook" w:cs="Century Schoolbook"/>
        </w:rPr>
        <w:t xml:space="preserve">son </w:t>
      </w:r>
      <w:r w:rsidRPr="005970E9">
        <w:rPr>
          <w:rFonts w:eastAsia="Century Schoolbook" w:cs="Century Schoolbook"/>
        </w:rPr>
        <w:t>más entre quienes no cuentan con un fondo privado (51.48% y 48.52% de hombres</w:t>
      </w:r>
      <w:r w:rsidR="004E7406" w:rsidRPr="005970E9">
        <w:rPr>
          <w:rFonts w:eastAsia="Century Schoolbook" w:cs="Century Schoolbook"/>
        </w:rPr>
        <w:t>)</w:t>
      </w:r>
      <w:r w:rsidR="00975D0A">
        <w:rPr>
          <w:rFonts w:eastAsia="Century Schoolbook" w:cs="Century Schoolbook"/>
        </w:rPr>
        <w:t xml:space="preserve"> (ver gráfica 11)</w:t>
      </w:r>
      <w:r w:rsidRPr="005970E9">
        <w:rPr>
          <w:rFonts w:eastAsia="Century Schoolbook" w:cs="Century Schoolbook"/>
        </w:rPr>
        <w:t>.</w:t>
      </w:r>
      <w:r w:rsidR="00BF31BB" w:rsidRPr="005970E9">
        <w:rPr>
          <w:rFonts w:eastAsia="Century Schoolbook" w:cs="Century Schoolbook"/>
        </w:rPr>
        <w:t xml:space="preserve"> </w:t>
      </w:r>
    </w:p>
    <w:p w14:paraId="7D7A6B90" w14:textId="4DD97055" w:rsidR="00B76B0C" w:rsidRPr="005970E9" w:rsidRDefault="00BF31BB" w:rsidP="00BF31BB">
      <w:pPr>
        <w:spacing w:before="120" w:after="120"/>
        <w:jc w:val="both"/>
        <w:rPr>
          <w:rFonts w:eastAsia="Century Schoolbook" w:cs="Century Schoolbook"/>
        </w:rPr>
      </w:pPr>
      <w:r w:rsidRPr="005970E9">
        <w:rPr>
          <w:rFonts w:eastAsia="Century Schoolbook" w:cs="Century Schoolbook"/>
        </w:rPr>
        <w:t xml:space="preserve">La posibilidad de seguros privados al final se cruza con variables de ingresos, en este ámbito, no </w:t>
      </w:r>
      <w:r w:rsidR="009E2668" w:rsidRPr="005970E9">
        <w:rPr>
          <w:rFonts w:eastAsia="Century Schoolbook" w:cs="Century Schoolbook"/>
        </w:rPr>
        <w:t xml:space="preserve">sólo guarda relación con el trabajo remunerado sino con el acceso a ingreso, ya que </w:t>
      </w:r>
      <w:r w:rsidR="004E7406" w:rsidRPr="005970E9">
        <w:rPr>
          <w:rFonts w:eastAsia="Century Schoolbook" w:cs="Century Schoolbook"/>
        </w:rPr>
        <w:t xml:space="preserve">hay </w:t>
      </w:r>
      <w:r w:rsidR="009E2668" w:rsidRPr="005970E9">
        <w:rPr>
          <w:rFonts w:eastAsia="Century Schoolbook" w:cs="Century Schoolbook"/>
        </w:rPr>
        <w:t xml:space="preserve">mujeres y hombres </w:t>
      </w:r>
      <w:r w:rsidR="004E7406" w:rsidRPr="005970E9">
        <w:rPr>
          <w:rFonts w:eastAsia="Century Schoolbook" w:cs="Century Schoolbook"/>
        </w:rPr>
        <w:t xml:space="preserve">que, independientemente </w:t>
      </w:r>
      <w:r w:rsidR="009E2668" w:rsidRPr="005970E9">
        <w:rPr>
          <w:rFonts w:eastAsia="Century Schoolbook" w:cs="Century Schoolbook"/>
        </w:rPr>
        <w:t xml:space="preserve">de contar con seguridad social adquieren seguros privados de salud y fondos privados de pensión o jubilación. Obviamente, </w:t>
      </w:r>
      <w:r w:rsidR="00D11ADF" w:rsidRPr="005970E9">
        <w:rPr>
          <w:rFonts w:eastAsia="Century Schoolbook" w:cs="Century Schoolbook"/>
        </w:rPr>
        <w:t>las condiciones de ingresos de las mujeres reducen</w:t>
      </w:r>
      <w:r w:rsidR="009E2668" w:rsidRPr="005970E9">
        <w:rPr>
          <w:rFonts w:eastAsia="Century Schoolbook" w:cs="Century Schoolbook"/>
        </w:rPr>
        <w:t xml:space="preserve"> su acceso éstos.</w:t>
      </w:r>
    </w:p>
    <w:p w14:paraId="5C7D667A" w14:textId="77777777" w:rsidR="00B76B0C" w:rsidRPr="005970E9" w:rsidRDefault="003B5C05" w:rsidP="00D11ADF">
      <w:pPr>
        <w:pStyle w:val="Heading2"/>
        <w:numPr>
          <w:ilvl w:val="1"/>
          <w:numId w:val="16"/>
        </w:numPr>
        <w:spacing w:before="360"/>
      </w:pPr>
      <w:bookmarkStart w:id="148" w:name="_Toc42159216"/>
      <w:bookmarkStart w:id="149" w:name="_Toc42549450"/>
      <w:r w:rsidRPr="005970E9">
        <w:t>Género y acceso a la ciencia y la tecnología</w:t>
      </w:r>
      <w:bookmarkEnd w:id="148"/>
      <w:bookmarkEnd w:id="149"/>
      <w:r w:rsidRPr="005970E9">
        <w:t xml:space="preserve"> </w:t>
      </w:r>
    </w:p>
    <w:p w14:paraId="51D13734" w14:textId="7A182F53" w:rsidR="000830C7" w:rsidRPr="005970E9" w:rsidRDefault="003B5C05" w:rsidP="00700AB2">
      <w:pPr>
        <w:spacing w:before="120" w:after="120" w:line="276" w:lineRule="auto"/>
        <w:jc w:val="both"/>
        <w:rPr>
          <w:rFonts w:eastAsia="Century Schoolbook" w:cs="Century Schoolbook"/>
        </w:rPr>
      </w:pPr>
      <w:r w:rsidRPr="005970E9">
        <w:rPr>
          <w:rFonts w:eastAsia="Century Schoolbook" w:cs="Century Schoolbook"/>
        </w:rPr>
        <w:t xml:space="preserve">La participación de las mujeres en el sistema educativo y en el trabajo remunerado se ha ido incrementando en las últimas décadas en América Latina y el Caribe. Sin </w:t>
      </w:r>
      <w:r w:rsidRPr="005970E9">
        <w:rPr>
          <w:rFonts w:eastAsia="Century Schoolbook" w:cs="Century Schoolbook"/>
        </w:rPr>
        <w:lastRenderedPageBreak/>
        <w:t>embargo, en el ámbito de la ciencia, la tecnología y la innovación los avances no son significativos.</w:t>
      </w:r>
    </w:p>
    <w:p w14:paraId="3D1383CA" w14:textId="62DB9E46" w:rsidR="00B76B0C" w:rsidRPr="005970E9" w:rsidRDefault="003B5C05" w:rsidP="008E7902">
      <w:pPr>
        <w:spacing w:after="120" w:line="276" w:lineRule="auto"/>
        <w:jc w:val="both"/>
        <w:rPr>
          <w:rFonts w:eastAsia="Century Schoolbook" w:cs="Century Schoolbook"/>
        </w:rPr>
      </w:pPr>
      <w:r w:rsidRPr="005970E9">
        <w:rPr>
          <w:rFonts w:eastAsia="Century Schoolbook" w:cs="Century Schoolbook"/>
        </w:rPr>
        <w:t>En ese sentido se han venido realizando esfuerzos para promover la incorporación de las mujeres, a través de programas de apoyo a mujeres científicas e incentivos, a su vez se ejecutan políticas públicas para incorporar la perspectiva de género a la de educación y de CTI, pese a lo cual siguen existiendo brechas de género que mantienen a las mujeres limitadas en el acceso y participación en estos campos. Según el Foro Económico Mundial, para 2017 todavía persistía una brecha de género en América Latina y el Caribe del 30%, parecido a Europa del Este y Asia Central (estimado en el 29%), y a Canadá y Estados Unidos (28%), pero mayor que Europa Occidental (25%).</w:t>
      </w:r>
    </w:p>
    <w:p w14:paraId="30B3A776" w14:textId="50797B97" w:rsidR="00B76B0C" w:rsidRPr="005970E9" w:rsidRDefault="003B5C05" w:rsidP="00700AB2">
      <w:pPr>
        <w:spacing w:before="120" w:after="120" w:line="276" w:lineRule="auto"/>
        <w:jc w:val="both"/>
        <w:rPr>
          <w:rFonts w:eastAsia="Century Schoolbook" w:cs="Century Schoolbook"/>
        </w:rPr>
      </w:pPr>
      <w:r w:rsidRPr="005970E9">
        <w:rPr>
          <w:rFonts w:eastAsia="Century Schoolbook" w:cs="Century Schoolbook"/>
        </w:rPr>
        <w:t xml:space="preserve">La era digital se encuentra en pleno avance y desarrollo, esta dinámica debe ser integral e incluir a todos los componentes de la sociedad; dicho esto, por obvias razones la no exclusión de las mujeres no solo representa una ventaja competitiva, sino que contribuye a potenciar los impactos positivos de las nuevas tecnologías de la información y en la reducción de las brechas sociales de género existentes. </w:t>
      </w:r>
    </w:p>
    <w:p w14:paraId="2A66AC9C" w14:textId="7F6A7394" w:rsidR="005D502D" w:rsidRPr="005970E9" w:rsidRDefault="00D871F7" w:rsidP="00D871F7">
      <w:pPr>
        <w:pStyle w:val="Caption"/>
        <w:spacing w:after="0"/>
        <w:jc w:val="center"/>
        <w:rPr>
          <w:rFonts w:ascii="Century Schoolbook" w:hAnsi="Century Schoolbook"/>
          <w:noProof/>
          <w:sz w:val="20"/>
          <w:szCs w:val="20"/>
        </w:rPr>
      </w:pPr>
      <w:bookmarkStart w:id="150" w:name="_Toc42549244"/>
      <w:r w:rsidRPr="005970E9">
        <w:rPr>
          <w:rFonts w:ascii="Century Schoolbook" w:hAnsi="Century Schoolbook"/>
          <w:noProof/>
        </w:rPr>
        <w:drawing>
          <wp:anchor distT="114300" distB="114300" distL="114300" distR="114300" simplePos="0" relativeHeight="251748393" behindDoc="0" locked="0" layoutInCell="1" hidden="0" allowOverlap="1" wp14:anchorId="52451272" wp14:editId="6A2427E0">
            <wp:simplePos x="0" y="0"/>
            <wp:positionH relativeFrom="margin">
              <wp:posOffset>748665</wp:posOffset>
            </wp:positionH>
            <wp:positionV relativeFrom="paragraph">
              <wp:posOffset>405130</wp:posOffset>
            </wp:positionV>
            <wp:extent cx="4425950" cy="3892550"/>
            <wp:effectExtent l="0" t="0" r="0" b="0"/>
            <wp:wrapTopAndBottom/>
            <wp:docPr id="234" name="image8.png" descr="Gráfico"/>
            <wp:cNvGraphicFramePr/>
            <a:graphic xmlns:a="http://schemas.openxmlformats.org/drawingml/2006/main">
              <a:graphicData uri="http://schemas.openxmlformats.org/drawingml/2006/picture">
                <pic:pic xmlns:pic="http://schemas.openxmlformats.org/drawingml/2006/picture">
                  <pic:nvPicPr>
                    <pic:cNvPr id="0" name="image8.png" descr="Gráfico"/>
                    <pic:cNvPicPr preferRelativeResize="0"/>
                  </pic:nvPicPr>
                  <pic:blipFill>
                    <a:blip r:embed="rId44"/>
                    <a:srcRect/>
                    <a:stretch>
                      <a:fillRect/>
                    </a:stretch>
                  </pic:blipFill>
                  <pic:spPr>
                    <a:xfrm>
                      <a:off x="0" y="0"/>
                      <a:ext cx="4425950" cy="3892550"/>
                    </a:xfrm>
                    <a:prstGeom prst="rect">
                      <a:avLst/>
                    </a:prstGeom>
                    <a:ln/>
                  </pic:spPr>
                </pic:pic>
              </a:graphicData>
            </a:graphic>
            <wp14:sizeRelH relativeFrom="margin">
              <wp14:pctWidth>0</wp14:pctWidth>
            </wp14:sizeRelH>
            <wp14:sizeRelV relativeFrom="margin">
              <wp14:pctHeight>0</wp14:pctHeight>
            </wp14:sizeRelV>
          </wp:anchor>
        </w:drawing>
      </w:r>
      <w:r w:rsidR="005D502D" w:rsidRPr="005970E9">
        <w:rPr>
          <w:rFonts w:ascii="Century Schoolbook" w:hAnsi="Century Schoolbook"/>
        </w:rPr>
        <w:t>G</w:t>
      </w:r>
      <w:r w:rsidR="005D502D" w:rsidRPr="005970E9">
        <w:rPr>
          <w:rFonts w:ascii="Century Schoolbook" w:hAnsi="Century Schoolbook"/>
          <w:sz w:val="20"/>
          <w:szCs w:val="20"/>
        </w:rPr>
        <w:t xml:space="preserve">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12</w:t>
      </w:r>
      <w:r w:rsidR="00F202BE" w:rsidRPr="005970E9">
        <w:rPr>
          <w:rFonts w:ascii="Century Schoolbook" w:hAnsi="Century Schoolbook"/>
          <w:sz w:val="20"/>
          <w:szCs w:val="20"/>
        </w:rPr>
        <w:fldChar w:fldCharType="end"/>
      </w:r>
      <w:r w:rsidR="005D502D" w:rsidRPr="005970E9">
        <w:rPr>
          <w:rFonts w:ascii="Century Schoolbook" w:hAnsi="Century Schoolbook"/>
          <w:noProof/>
          <w:sz w:val="20"/>
          <w:szCs w:val="20"/>
        </w:rPr>
        <w:t>. Mujeres y hombres en la carrera científica</w:t>
      </w:r>
      <w:bookmarkEnd w:id="150"/>
    </w:p>
    <w:p w14:paraId="3FF89F5C" w14:textId="703F3530" w:rsidR="005D502D" w:rsidRPr="005970E9" w:rsidRDefault="005D502D" w:rsidP="005D502D"/>
    <w:p w14:paraId="33121596" w14:textId="5C462191" w:rsidR="002E6779" w:rsidRDefault="003B5C05" w:rsidP="00700AB2">
      <w:pPr>
        <w:spacing w:before="120" w:after="120" w:line="276" w:lineRule="auto"/>
        <w:jc w:val="both"/>
        <w:rPr>
          <w:rFonts w:eastAsia="Century Schoolbook" w:cs="Century Schoolbook"/>
        </w:rPr>
      </w:pPr>
      <w:r w:rsidRPr="005970E9">
        <w:rPr>
          <w:rFonts w:eastAsia="Century Schoolbook" w:cs="Century Schoolbook"/>
        </w:rPr>
        <w:t xml:space="preserve">El sistema de CTI en Panamá está constituido, además de por la SENACYT, por las universidades públicas que tienen políticas de investigación: la Universidad de Panamá </w:t>
      </w:r>
      <w:r w:rsidRPr="005970E9">
        <w:rPr>
          <w:rFonts w:eastAsia="Century Schoolbook" w:cs="Century Schoolbook"/>
        </w:rPr>
        <w:lastRenderedPageBreak/>
        <w:t xml:space="preserve">(UP) y la Universidad Tecnológica de Panamá (UTP); por el Instituto de Investigaciones Científicas y Servicios de Alta Tecnología AIP (INDICASAT AIP); y el Instituto Conmemorativo Gorgas de Estudios de la Salud (ICGES). </w:t>
      </w:r>
      <w:r w:rsidR="002E6779" w:rsidRPr="002E6779">
        <w:t>También, entre otras cosas se incluyen dentro del sistema distintas mesas sectoriales de ciencia, economía y políticas públicas, ambiente, agua y energía; salud, industria y tecnología 4.0 y sector agropecuario que a su vez involucran organizaciones que toman parte en el desarrollo del sistema CTI. Como lo son: UTP, MICI, AIG, CENAMEP, Georgia Tech, USMA,</w:t>
      </w:r>
      <w:r w:rsidR="002E6779">
        <w:t xml:space="preserve"> </w:t>
      </w:r>
      <w:r w:rsidR="002E6779" w:rsidRPr="002E6779">
        <w:t>APEDE, LYNXSHIELD TECH, MINSA, MEF, IFARHU, PNUD, INADHE, Fundación Ciudad del Saber, CIEPS, CENAMEP, INDICASAT entre otras.</w:t>
      </w:r>
    </w:p>
    <w:p w14:paraId="772C33DA" w14:textId="1D4D21B0" w:rsidR="00B76B0C" w:rsidRPr="005970E9" w:rsidRDefault="003B5C05" w:rsidP="00700AB2">
      <w:pPr>
        <w:spacing w:before="120" w:after="120" w:line="276" w:lineRule="auto"/>
        <w:jc w:val="both"/>
        <w:rPr>
          <w:rFonts w:eastAsia="Century Schoolbook" w:cs="Century Schoolbook"/>
        </w:rPr>
      </w:pPr>
      <w:r w:rsidRPr="005970E9">
        <w:rPr>
          <w:rFonts w:eastAsia="Century Schoolbook" w:cs="Century Schoolbook"/>
        </w:rPr>
        <w:t xml:space="preserve">Sin embargo, hasta la elaboración del Plan de Acción para la Igualdad de </w:t>
      </w:r>
      <w:r w:rsidR="722126AD" w:rsidRPr="005970E9">
        <w:rPr>
          <w:rFonts w:eastAsia="Century Schoolbook" w:cs="Century Schoolbook"/>
        </w:rPr>
        <w:t>O</w:t>
      </w:r>
      <w:r w:rsidRPr="005970E9">
        <w:rPr>
          <w:rFonts w:eastAsia="Century Schoolbook" w:cs="Century Schoolbook"/>
        </w:rPr>
        <w:t>portunidades para las Mujeres, 2016-2019</w:t>
      </w:r>
      <w:r w:rsidRPr="005970E9">
        <w:rPr>
          <w:rFonts w:eastAsia="Century Schoolbook" w:cs="Century Schoolbook"/>
          <w:vertAlign w:val="superscript"/>
        </w:rPr>
        <w:footnoteReference w:id="39"/>
      </w:r>
      <w:r w:rsidRPr="005970E9">
        <w:rPr>
          <w:rFonts w:eastAsia="Century Schoolbook" w:cs="Century Schoolbook"/>
        </w:rPr>
        <w:t>, en los planes de igualdad generados desde el Instituto Nacional de la Mujer (INAMU), no se había incluido un eje sobre Tecnologías de la Información y Comunicación (TIC). En los planes anteriores del INAMU se contemplaba la necesidad de promover la igualdad en el uso de las TIC y luchar contra la brecha digital entre hombres y mujeres, pero no se consideraba la participación femenina en la ciencia, desde el punto de vista de la investigación y el ejercicio en general de la misma.</w:t>
      </w:r>
    </w:p>
    <w:p w14:paraId="75CE382A" w14:textId="77777777" w:rsidR="00B76B0C" w:rsidRPr="005970E9" w:rsidRDefault="003B5C05" w:rsidP="00700AB2">
      <w:pPr>
        <w:spacing w:before="120" w:after="120" w:line="276" w:lineRule="auto"/>
        <w:jc w:val="both"/>
        <w:rPr>
          <w:rFonts w:eastAsia="Century Schoolbook" w:cs="Century Schoolbook"/>
          <w:color w:val="222222"/>
        </w:rPr>
      </w:pPr>
      <w:r w:rsidRPr="005970E9">
        <w:rPr>
          <w:rFonts w:eastAsia="Century Schoolbook" w:cs="Century Schoolbook"/>
        </w:rPr>
        <w:t>Según datos proporcionados por el diagnóstico de género sobre la participación de las mujeres en la ciencia en Panamá hasta el 2018</w:t>
      </w:r>
      <w:r w:rsidRPr="005970E9">
        <w:rPr>
          <w:rFonts w:eastAsia="Century Schoolbook" w:cs="Century Schoolbook"/>
          <w:vertAlign w:val="superscript"/>
        </w:rPr>
        <w:footnoteReference w:id="40"/>
      </w:r>
      <w:r w:rsidRPr="005970E9">
        <w:rPr>
          <w:rFonts w:eastAsia="Century Schoolbook" w:cs="Century Schoolbook"/>
        </w:rPr>
        <w:t xml:space="preserve"> evidencian un claro aumento de la brecha en la participación de las mujeres en todo ambiente científico distinto al académico-estudiantil, es decir mientras que las mujeres son en porcentaje quienes más aspiran a carreras científicas, son los hombres quienes mayormente ocupan espacios laborales relacionados con la TIC mientras que la preparación profesional de las mujeres en distintos campos de la ciencia está en aumento con respecto a la de los hombres. Esto plantea la existencia de una disyuntiva, por ejemplo</w:t>
      </w:r>
      <w:r w:rsidRPr="005970E9">
        <w:rPr>
          <w:rFonts w:eastAsia="Century Schoolbook" w:cs="Century Schoolbook"/>
          <w:color w:val="222222"/>
          <w:sz w:val="21"/>
          <w:szCs w:val="21"/>
          <w:highlight w:val="white"/>
        </w:rPr>
        <w:t xml:space="preserve">, </w:t>
      </w:r>
      <w:r w:rsidRPr="005970E9">
        <w:rPr>
          <w:rFonts w:eastAsia="Century Schoolbook" w:cs="Century Schoolbook"/>
          <w:color w:val="222222"/>
          <w:highlight w:val="white"/>
        </w:rPr>
        <w:t>"es potente y evidente la presencia femenina en uso de redes sociales y telefonía móvil"</w:t>
      </w:r>
      <w:r w:rsidRPr="005970E9">
        <w:rPr>
          <w:rFonts w:ascii="Times New Roman" w:eastAsia="Times New Roman" w:hAnsi="Times New Roman" w:cs="Times New Roman"/>
          <w:color w:val="222222"/>
          <w:highlight w:val="white"/>
        </w:rPr>
        <w:t>​</w:t>
      </w:r>
      <w:r w:rsidRPr="005970E9">
        <w:rPr>
          <w:rFonts w:eastAsia="Century Schoolbook" w:cs="Century Schoolbook"/>
          <w:color w:val="222222"/>
          <w:highlight w:val="white"/>
        </w:rPr>
        <w:t>. Por lo que la brecha de acceso a la tecnología ha disminuido, pero esto no se proyecta en relación con la toma de decisiones de alto nivel empresarial o gubernamental</w:t>
      </w:r>
      <w:r w:rsidRPr="005970E9">
        <w:rPr>
          <w:rFonts w:eastAsia="Century Schoolbook" w:cs="Century Schoolbook"/>
        </w:rPr>
        <w:t xml:space="preserve">. La reducción de la brecha no puede ni debe expresarse en un solo sector de la misma, esta debe ser integral y abarcar todo desde el sector productivo hasta el acceso físico y cognitivo a las tecnologías de la información y la ciencia. En ese sentido </w:t>
      </w:r>
      <w:r w:rsidRPr="005970E9">
        <w:rPr>
          <w:rFonts w:eastAsia="Century Schoolbook" w:cs="Century Schoolbook"/>
          <w:color w:val="222222"/>
        </w:rPr>
        <w:t>la CEPAL recomienda algunas acciones para superar la brecha digital de género</w:t>
      </w:r>
      <w:r w:rsidRPr="005970E9">
        <w:rPr>
          <w:rFonts w:eastAsia="Century Schoolbook" w:cs="Century Schoolbook"/>
          <w:color w:val="222222"/>
          <w:vertAlign w:val="superscript"/>
        </w:rPr>
        <w:footnoteReference w:id="41"/>
      </w:r>
      <w:r w:rsidRPr="005970E9">
        <w:rPr>
          <w:rFonts w:eastAsia="Century Schoolbook" w:cs="Century Schoolbook"/>
          <w:color w:val="222222"/>
        </w:rPr>
        <w:t>:</w:t>
      </w:r>
    </w:p>
    <w:p w14:paraId="034D9AC6" w14:textId="77777777" w:rsidR="00B76B0C" w:rsidRPr="005970E9" w:rsidRDefault="003B5C05" w:rsidP="00A90F49">
      <w:pPr>
        <w:numPr>
          <w:ilvl w:val="0"/>
          <w:numId w:val="7"/>
        </w:numPr>
        <w:shd w:val="clear" w:color="auto" w:fill="FFFFFF"/>
        <w:spacing w:before="120" w:line="276" w:lineRule="auto"/>
        <w:ind w:left="284" w:hanging="284"/>
        <w:jc w:val="both"/>
      </w:pPr>
      <w:r w:rsidRPr="005970E9">
        <w:rPr>
          <w:rFonts w:eastAsia="Century Schoolbook" w:cs="Century Schoolbook"/>
          <w:color w:val="222222"/>
        </w:rPr>
        <w:t>Promocionar acciones de capacitación que permitan la inclusión de las mujeres a través de la adquisición de las habilidades necesarias para el uso de las TIC adaptados a sus perfiles y orientándola a la capacitación a cuestiones que inciden en aspectos sustanciales para ellas (empoderamiento, comunicación, integración, derechos, combate de la violencia de género, etc.).</w:t>
      </w:r>
    </w:p>
    <w:p w14:paraId="5337469D" w14:textId="77777777" w:rsidR="00B76B0C" w:rsidRPr="005970E9" w:rsidRDefault="003B5C05" w:rsidP="00A90F49">
      <w:pPr>
        <w:numPr>
          <w:ilvl w:val="0"/>
          <w:numId w:val="7"/>
        </w:numPr>
        <w:shd w:val="clear" w:color="auto" w:fill="FFFFFF"/>
        <w:spacing w:line="276" w:lineRule="auto"/>
        <w:ind w:left="284" w:hanging="284"/>
        <w:jc w:val="both"/>
      </w:pPr>
      <w:r w:rsidRPr="005970E9">
        <w:rPr>
          <w:rFonts w:eastAsia="Century Schoolbook" w:cs="Century Schoolbook"/>
          <w:color w:val="222222"/>
        </w:rPr>
        <w:lastRenderedPageBreak/>
        <w:t>Desarrollar programas para la inclusión digital de las mujeres que viven mayores desigualdades y que se encuentran más alejadas de las TIC.</w:t>
      </w:r>
    </w:p>
    <w:p w14:paraId="0A9CE715" w14:textId="77777777" w:rsidR="00B76B0C" w:rsidRPr="005970E9" w:rsidRDefault="003B5C05" w:rsidP="00A90F49">
      <w:pPr>
        <w:numPr>
          <w:ilvl w:val="0"/>
          <w:numId w:val="7"/>
        </w:numPr>
        <w:shd w:val="clear" w:color="auto" w:fill="FFFFFF"/>
        <w:spacing w:line="276" w:lineRule="auto"/>
        <w:ind w:left="284" w:hanging="284"/>
        <w:jc w:val="both"/>
      </w:pPr>
      <w:r w:rsidRPr="005970E9">
        <w:rPr>
          <w:rFonts w:eastAsia="Century Schoolbook" w:cs="Century Schoolbook"/>
          <w:color w:val="222222"/>
        </w:rPr>
        <w:t>Promover el desarrollo de una ciudadanía digital, para lograr el uso responsable de internet y la información que provee, lo que para las mujeres implica enfrentar los riesgos del uso cotidiano de las TIC frente al acoso a menores y a la violencia de género.</w:t>
      </w:r>
    </w:p>
    <w:p w14:paraId="4059C647" w14:textId="77777777" w:rsidR="00B76B0C" w:rsidRPr="005970E9" w:rsidRDefault="003B5C05" w:rsidP="00A90F49">
      <w:pPr>
        <w:numPr>
          <w:ilvl w:val="0"/>
          <w:numId w:val="7"/>
        </w:numPr>
        <w:shd w:val="clear" w:color="auto" w:fill="FFFFFF"/>
        <w:spacing w:after="20" w:line="276" w:lineRule="auto"/>
        <w:ind w:left="284" w:hanging="284"/>
        <w:jc w:val="both"/>
      </w:pPr>
      <w:r w:rsidRPr="005970E9">
        <w:rPr>
          <w:rFonts w:eastAsia="Century Schoolbook" w:cs="Century Schoolbook"/>
          <w:color w:val="222222"/>
        </w:rPr>
        <w:t>Incorporar en las políticas de acceso y uso de TIC la perspectiva de género como eje transversal, para que estas consideren las desigualdades y las necesidades diferentes de mujeres y hombres en la sociedad de la información.</w:t>
      </w:r>
    </w:p>
    <w:p w14:paraId="4F186DBB" w14:textId="77777777" w:rsidR="00B76B0C" w:rsidRPr="005970E9" w:rsidRDefault="003B5C05" w:rsidP="00700AB2">
      <w:pPr>
        <w:pBdr>
          <w:top w:val="nil"/>
          <w:left w:val="nil"/>
          <w:bottom w:val="nil"/>
          <w:right w:val="nil"/>
          <w:between w:val="nil"/>
        </w:pBdr>
        <w:shd w:val="clear" w:color="auto" w:fill="FFFFFF"/>
        <w:spacing w:before="120" w:after="120" w:line="276" w:lineRule="auto"/>
        <w:jc w:val="both"/>
        <w:rPr>
          <w:rFonts w:eastAsia="Century Schoolbook" w:cs="Century Schoolbook"/>
          <w:color w:val="000000"/>
        </w:rPr>
      </w:pPr>
      <w:r w:rsidRPr="005970E9">
        <w:rPr>
          <w:rFonts w:eastAsia="Century Schoolbook" w:cs="Century Schoolbook"/>
          <w:color w:val="000000"/>
        </w:rPr>
        <w:t>En el plano local y nacional se crean el Plan nacional 2015-2019 que incluye cinco programas: Ciencia, Investigación desarrollo tecnológico e innovación para el desarrollo sostenible; CTI para la inclusión social; CTI para la innovación y el emprendimiento dinámico; desarrollo de la ciencia y las capacidades científicas y fortalecimiento de la gobernanza del SN de CTI.</w:t>
      </w:r>
    </w:p>
    <w:p w14:paraId="773673E6" w14:textId="77777777" w:rsidR="00B76B0C" w:rsidRPr="005970E9" w:rsidRDefault="003B5C05" w:rsidP="00700AB2">
      <w:pPr>
        <w:spacing w:before="120" w:after="120" w:line="276" w:lineRule="auto"/>
        <w:jc w:val="both"/>
        <w:rPr>
          <w:rFonts w:eastAsia="Century Schoolbook" w:cs="Century Schoolbook"/>
        </w:rPr>
      </w:pPr>
      <w:r w:rsidRPr="005970E9">
        <w:rPr>
          <w:rFonts w:eastAsia="Century Schoolbook" w:cs="Century Schoolbook"/>
        </w:rPr>
        <w:t>En resumen, estos programas plantean algunos retos: el desarrollo sostenible, avanzar en el desarrollo inclusivo, consolidar altos niveles de competitividad sostenible, y desarrollar una mayor capacidad de generación, adaptación, difusión y utilización del conocimiento.</w:t>
      </w:r>
    </w:p>
    <w:p w14:paraId="09F08504" w14:textId="77777777" w:rsidR="008E7902" w:rsidRPr="005970E9" w:rsidRDefault="008E7902">
      <w:pPr>
        <w:rPr>
          <w:rFonts w:eastAsia="Century Schoolbook" w:cs="Century Schoolbook"/>
          <w:color w:val="000000"/>
        </w:rPr>
      </w:pPr>
      <w:r w:rsidRPr="005970E9">
        <w:rPr>
          <w:rFonts w:eastAsia="Century Schoolbook" w:cs="Century Schoolbook"/>
          <w:color w:val="000000"/>
        </w:rPr>
        <w:br w:type="page"/>
      </w:r>
    </w:p>
    <w:p w14:paraId="6367669E" w14:textId="77777777" w:rsidR="00B76B0C" w:rsidRPr="005970E9" w:rsidRDefault="003B5C05" w:rsidP="00D478B6">
      <w:pPr>
        <w:pStyle w:val="Heading1"/>
        <w:numPr>
          <w:ilvl w:val="0"/>
          <w:numId w:val="56"/>
        </w:numPr>
      </w:pPr>
      <w:r w:rsidRPr="005970E9">
        <w:lastRenderedPageBreak/>
        <w:t xml:space="preserve"> </w:t>
      </w:r>
      <w:bookmarkStart w:id="151" w:name="_Toc42159217"/>
      <w:bookmarkStart w:id="152" w:name="_Toc42549451"/>
      <w:r w:rsidRPr="005970E9">
        <w:t>DIMENSIÓN SOCIAL</w:t>
      </w:r>
      <w:bookmarkEnd w:id="151"/>
      <w:bookmarkEnd w:id="152"/>
    </w:p>
    <w:p w14:paraId="39910904" w14:textId="77777777" w:rsidR="00B76B0C" w:rsidRPr="005970E9" w:rsidRDefault="003B5C05" w:rsidP="00D478B6">
      <w:pPr>
        <w:pStyle w:val="Heading2"/>
        <w:numPr>
          <w:ilvl w:val="1"/>
          <w:numId w:val="56"/>
        </w:numPr>
      </w:pPr>
      <w:bookmarkStart w:id="153" w:name="_Toc42159221"/>
      <w:bookmarkStart w:id="154" w:name="_Toc42549452"/>
      <w:r w:rsidRPr="005970E9">
        <w:t>Género y educación</w:t>
      </w:r>
      <w:bookmarkEnd w:id="153"/>
      <w:bookmarkEnd w:id="154"/>
    </w:p>
    <w:p w14:paraId="102BF284" w14:textId="7E2852A9" w:rsidR="001A0428" w:rsidRPr="005970E9" w:rsidRDefault="00A36980" w:rsidP="001A0428">
      <w:pPr>
        <w:spacing w:before="120" w:after="120" w:line="276" w:lineRule="auto"/>
        <w:jc w:val="both"/>
        <w:rPr>
          <w:rFonts w:cs="Gotham-Bold"/>
        </w:rPr>
      </w:pPr>
      <w:r w:rsidRPr="005970E9">
        <w:t>Los indicadores educativos para el periodo 2010-2018 son presentados con el fin de ver los progresos en la educación de las mujeres en Panamá; tales como los niveles de analfabetismo, la matr</w:t>
      </w:r>
      <w:r w:rsidR="0E86FD66" w:rsidRPr="005970E9">
        <w:t>í</w:t>
      </w:r>
      <w:r w:rsidRPr="005970E9">
        <w:t xml:space="preserve">cula a nivel nacional, los niveles de estudio, </w:t>
      </w:r>
      <w:r w:rsidR="00FA4F6C" w:rsidRPr="005970E9">
        <w:t xml:space="preserve">la </w:t>
      </w:r>
      <w:r w:rsidRPr="005970E9">
        <w:t xml:space="preserve">feminización de </w:t>
      </w:r>
      <w:r w:rsidR="00FA4F6C" w:rsidRPr="005970E9">
        <w:t xml:space="preserve">las </w:t>
      </w:r>
      <w:r w:rsidRPr="005970E9">
        <w:t xml:space="preserve">carreras, </w:t>
      </w:r>
      <w:r w:rsidR="00FA4F6C" w:rsidRPr="005970E9">
        <w:t xml:space="preserve">la </w:t>
      </w:r>
      <w:r w:rsidRPr="005970E9">
        <w:t>educación sexual</w:t>
      </w:r>
      <w:r w:rsidR="00FA4F6C" w:rsidRPr="005970E9">
        <w:t>,</w:t>
      </w:r>
      <w:r w:rsidRPr="005970E9">
        <w:t xml:space="preserve"> </w:t>
      </w:r>
      <w:r w:rsidR="00FA4F6C" w:rsidRPr="005970E9">
        <w:t xml:space="preserve">los </w:t>
      </w:r>
      <w:r w:rsidRPr="005970E9">
        <w:t xml:space="preserve">embarazos en las escuelas y colegios y las instalaciones educativas. </w:t>
      </w:r>
      <w:r w:rsidR="001A0428" w:rsidRPr="005970E9">
        <w:t xml:space="preserve">Estos </w:t>
      </w:r>
      <w:r w:rsidRPr="005970E9">
        <w:t xml:space="preserve">indicadores nacionales coinciden con </w:t>
      </w:r>
      <w:r w:rsidR="001A0428" w:rsidRPr="005970E9">
        <w:t xml:space="preserve">aquellos establecidos para la educación en </w:t>
      </w:r>
      <w:r w:rsidRPr="005970E9">
        <w:t>los Objetivos de Desarrollo Sostenible</w:t>
      </w:r>
      <w:r w:rsidR="002B517B" w:rsidRPr="005970E9">
        <w:t xml:space="preserve"> </w:t>
      </w:r>
      <w:r w:rsidRPr="005970E9">
        <w:t xml:space="preserve">(ODS), suscritos por el Gobierno Panameño, específicamente el </w:t>
      </w:r>
      <w:r w:rsidRPr="005970E9">
        <w:rPr>
          <w:rFonts w:cs="Gotham-Bold"/>
        </w:rPr>
        <w:t>Objetivo 4 que consiste en Garantizar una educación inclusiva, equitativa y de calidad y promover oportunidades de apren</w:t>
      </w:r>
      <w:r w:rsidR="001A0428" w:rsidRPr="005970E9">
        <w:rPr>
          <w:rFonts w:cs="Gotham-Bold"/>
        </w:rPr>
        <w:softHyphen/>
      </w:r>
      <w:r w:rsidRPr="005970E9">
        <w:rPr>
          <w:rFonts w:cs="Gotham-Bold"/>
        </w:rPr>
        <w:t xml:space="preserve">dizaje durante toda la vida para todas y todos y sus indicadores </w:t>
      </w:r>
      <w:sdt>
        <w:sdtPr>
          <w:rPr>
            <w:rFonts w:cs="Gotham-Bold"/>
          </w:rPr>
          <w:id w:val="-359750253"/>
          <w:citation/>
        </w:sdtPr>
        <w:sdtEndPr/>
        <w:sdtContent>
          <w:r w:rsidRPr="005970E9">
            <w:rPr>
              <w:rFonts w:cs="Gotham-Bold"/>
            </w:rPr>
            <w:fldChar w:fldCharType="begin"/>
          </w:r>
          <w:r w:rsidRPr="005970E9">
            <w:rPr>
              <w:rFonts w:cs="Gotham-Bold"/>
            </w:rPr>
            <w:instrText xml:space="preserve"> CITATION ONU18 \l 6154 </w:instrText>
          </w:r>
          <w:r w:rsidRPr="005970E9">
            <w:rPr>
              <w:rFonts w:cs="Gotham-Bold"/>
            </w:rPr>
            <w:fldChar w:fldCharType="separate"/>
          </w:r>
          <w:r w:rsidRPr="005970E9">
            <w:rPr>
              <w:rFonts w:cs="Gotham-Bold"/>
              <w:noProof/>
            </w:rPr>
            <w:t>(ONU Mujeres, 2018)</w:t>
          </w:r>
          <w:r w:rsidRPr="005970E9">
            <w:rPr>
              <w:rFonts w:cs="Gotham-Bold"/>
            </w:rPr>
            <w:fldChar w:fldCharType="end"/>
          </w:r>
        </w:sdtContent>
      </w:sdt>
      <w:r w:rsidR="001A0428" w:rsidRPr="005970E9">
        <w:rPr>
          <w:rFonts w:cs="Gotham-Bold"/>
        </w:rPr>
        <w:t>.</w:t>
      </w:r>
    </w:p>
    <w:p w14:paraId="2636AE76" w14:textId="0ECAABC2" w:rsidR="00A36980" w:rsidRPr="005970E9" w:rsidRDefault="00A36980" w:rsidP="001A0428">
      <w:pPr>
        <w:spacing w:before="120" w:after="120" w:line="276" w:lineRule="auto"/>
        <w:jc w:val="both"/>
        <w:rPr>
          <w:rFonts w:cs="Gotham-Bold"/>
        </w:rPr>
      </w:pPr>
      <w:r w:rsidRPr="005970E9">
        <w:rPr>
          <w:rFonts w:cs="Gotham-Bold"/>
        </w:rPr>
        <w:t>Proporción de niños, niñas y adolescentes por nivel de enseñanza primaria y secundaria inferior.</w:t>
      </w:r>
    </w:p>
    <w:p w14:paraId="1ACFBEB5" w14:textId="77777777" w:rsidR="00A36980" w:rsidRPr="005970E9" w:rsidRDefault="00A36980" w:rsidP="002338C0">
      <w:pPr>
        <w:pStyle w:val="ListParagraph"/>
        <w:numPr>
          <w:ilvl w:val="0"/>
          <w:numId w:val="20"/>
        </w:numPr>
        <w:autoSpaceDE w:val="0"/>
        <w:autoSpaceDN w:val="0"/>
        <w:adjustRightInd w:val="0"/>
        <w:spacing w:line="276" w:lineRule="auto"/>
        <w:jc w:val="both"/>
        <w:rPr>
          <w:rFonts w:ascii="Century Schoolbook" w:hAnsi="Century Schoolbook" w:cs="Gotham-Bold"/>
        </w:rPr>
      </w:pPr>
      <w:r w:rsidRPr="005970E9">
        <w:rPr>
          <w:rFonts w:ascii="Century Schoolbook" w:hAnsi="Century Schoolbook" w:cs="Gotham-Bold"/>
        </w:rPr>
        <w:t>Tasa de participación en el aprendizaje organizado (un año antes de la edad oficial de ingreso en la enseñanza primaria), desagregada por sexo.</w:t>
      </w:r>
    </w:p>
    <w:p w14:paraId="2ED3F76D" w14:textId="77777777" w:rsidR="00A36980" w:rsidRPr="005970E9" w:rsidRDefault="00A36980" w:rsidP="002338C0">
      <w:pPr>
        <w:pStyle w:val="ListParagraph"/>
        <w:numPr>
          <w:ilvl w:val="0"/>
          <w:numId w:val="20"/>
        </w:numPr>
        <w:autoSpaceDE w:val="0"/>
        <w:autoSpaceDN w:val="0"/>
        <w:adjustRightInd w:val="0"/>
        <w:spacing w:line="276" w:lineRule="auto"/>
        <w:jc w:val="both"/>
        <w:rPr>
          <w:rFonts w:ascii="Century Schoolbook" w:hAnsi="Century Schoolbook" w:cs="Gotham-Bold"/>
        </w:rPr>
      </w:pPr>
      <w:r w:rsidRPr="005970E9">
        <w:rPr>
          <w:rFonts w:ascii="Century Schoolbook" w:hAnsi="Century Schoolbook" w:cs="Gotham-Bold"/>
        </w:rPr>
        <w:t>Tasa de participación de personas jóvenes y adultas en la enseñanza y formación académica y no académica, desagregada por sexo.</w:t>
      </w:r>
    </w:p>
    <w:p w14:paraId="14C7E9FD" w14:textId="77777777" w:rsidR="00A36980" w:rsidRPr="005970E9" w:rsidRDefault="00A36980" w:rsidP="002338C0">
      <w:pPr>
        <w:pStyle w:val="ListParagraph"/>
        <w:numPr>
          <w:ilvl w:val="0"/>
          <w:numId w:val="20"/>
        </w:numPr>
        <w:autoSpaceDE w:val="0"/>
        <w:autoSpaceDN w:val="0"/>
        <w:adjustRightInd w:val="0"/>
        <w:spacing w:line="276" w:lineRule="auto"/>
        <w:jc w:val="both"/>
        <w:rPr>
          <w:rFonts w:ascii="Century Schoolbook" w:hAnsi="Century Schoolbook" w:cs="Gotham-Bold"/>
        </w:rPr>
      </w:pPr>
      <w:r w:rsidRPr="005970E9">
        <w:rPr>
          <w:rFonts w:ascii="Century Schoolbook" w:hAnsi="Century Schoolbook" w:cs="Gotham-Bold"/>
        </w:rPr>
        <w:t>Porcentaje de la población que ha alcanzado al menos un nivel fijo de alfabetización y nociones elementales desagregado por sexo.</w:t>
      </w:r>
    </w:p>
    <w:p w14:paraId="7F9AB628" w14:textId="57136FD9" w:rsidR="00BF0E46" w:rsidRPr="005970E9" w:rsidRDefault="00A36980" w:rsidP="007A451C">
      <w:pPr>
        <w:pStyle w:val="ListParagraph"/>
        <w:numPr>
          <w:ilvl w:val="0"/>
          <w:numId w:val="20"/>
        </w:numPr>
        <w:autoSpaceDE w:val="0"/>
        <w:autoSpaceDN w:val="0"/>
        <w:adjustRightInd w:val="0"/>
        <w:spacing w:line="276" w:lineRule="auto"/>
        <w:jc w:val="both"/>
        <w:rPr>
          <w:rFonts w:ascii="Century Schoolbook" w:hAnsi="Century Schoolbook" w:cs="Gotham-Bold"/>
        </w:rPr>
      </w:pPr>
      <w:r w:rsidRPr="005970E9">
        <w:rPr>
          <w:rFonts w:ascii="Century Schoolbook" w:hAnsi="Century Schoolbook" w:cs="Gotham-Bold"/>
        </w:rPr>
        <w:t xml:space="preserve">Proporción de escuelas con acceso a electricidad, internet, </w:t>
      </w:r>
      <w:r w:rsidR="007A451C" w:rsidRPr="005970E9">
        <w:rPr>
          <w:rFonts w:ascii="Century Schoolbook" w:hAnsi="Century Schoolbook" w:cs="Gotham-Bold"/>
        </w:rPr>
        <w:t xml:space="preserve">computadoras, </w:t>
      </w:r>
      <w:r w:rsidRPr="005970E9">
        <w:rPr>
          <w:rFonts w:ascii="Century Schoolbook" w:hAnsi="Century Schoolbook" w:cs="Gotham-Bold"/>
        </w:rPr>
        <w:t>suministro de agua potable e instalaciones de saneamiento básic</w:t>
      </w:r>
      <w:r w:rsidR="00775CA9" w:rsidRPr="005970E9">
        <w:rPr>
          <w:rFonts w:ascii="Century Schoolbook" w:hAnsi="Century Schoolbook" w:cs="Gotham-Bold"/>
        </w:rPr>
        <w:t>o</w:t>
      </w:r>
      <w:r w:rsidRPr="005970E9">
        <w:rPr>
          <w:rFonts w:ascii="Century Schoolbook" w:hAnsi="Century Schoolbook" w:cs="Gotham-Bold"/>
        </w:rPr>
        <w:t>.</w:t>
      </w:r>
    </w:p>
    <w:p w14:paraId="72FF480B" w14:textId="5B93A46D" w:rsidR="00BF0E46" w:rsidRPr="005970E9" w:rsidRDefault="00BF0E46" w:rsidP="00D478B6">
      <w:pPr>
        <w:pStyle w:val="Heading3"/>
        <w:numPr>
          <w:ilvl w:val="2"/>
          <w:numId w:val="56"/>
        </w:numPr>
      </w:pPr>
      <w:bookmarkStart w:id="155" w:name="_Toc42159222"/>
      <w:bookmarkStart w:id="156" w:name="_Toc42549453"/>
      <w:r w:rsidRPr="005970E9">
        <w:t>Nivel educativo y género</w:t>
      </w:r>
      <w:bookmarkEnd w:id="155"/>
      <w:bookmarkEnd w:id="156"/>
      <w:r w:rsidRPr="005970E9">
        <w:t xml:space="preserve">  </w:t>
      </w:r>
    </w:p>
    <w:p w14:paraId="07E5F4ED" w14:textId="675E50DA" w:rsidR="009D6EBF" w:rsidRPr="005970E9" w:rsidRDefault="00A36980" w:rsidP="00A841D9">
      <w:pPr>
        <w:autoSpaceDE w:val="0"/>
        <w:autoSpaceDN w:val="0"/>
        <w:adjustRightInd w:val="0"/>
        <w:spacing w:before="120" w:after="120" w:line="276" w:lineRule="auto"/>
        <w:jc w:val="both"/>
      </w:pPr>
      <w:r w:rsidRPr="005970E9">
        <w:t xml:space="preserve">De acuerdo con el Censo Nacional de Población y Vivienda del 2010 </w:t>
      </w:r>
      <w:sdt>
        <w:sdtPr>
          <w:id w:val="-1045136537"/>
          <w:citation/>
        </w:sdtPr>
        <w:sdtEndPr/>
        <w:sdtContent>
          <w:r w:rsidRPr="005970E9">
            <w:fldChar w:fldCharType="begin"/>
          </w:r>
          <w:r w:rsidRPr="005970E9">
            <w:instrText xml:space="preserve"> CITATION INE10 \l 6154 </w:instrText>
          </w:r>
          <w:r w:rsidRPr="005970E9">
            <w:fldChar w:fldCharType="separate"/>
          </w:r>
          <w:r w:rsidRPr="005970E9">
            <w:rPr>
              <w:noProof/>
            </w:rPr>
            <w:t>(INEC I. N., 2010)</w:t>
          </w:r>
          <w:r w:rsidRPr="005970E9">
            <w:fldChar w:fldCharType="end"/>
          </w:r>
        </w:sdtContent>
      </w:sdt>
      <w:r w:rsidRPr="005970E9">
        <w:t>, las oportunidades de estudio en la</w:t>
      </w:r>
      <w:r w:rsidR="00973E13" w:rsidRPr="005970E9">
        <w:t>s</w:t>
      </w:r>
      <w:r w:rsidRPr="005970E9">
        <w:t xml:space="preserve"> última</w:t>
      </w:r>
      <w:r w:rsidR="00973E13" w:rsidRPr="005970E9">
        <w:t>s</w:t>
      </w:r>
      <w:r w:rsidRPr="005970E9">
        <w:t xml:space="preserve"> década</w:t>
      </w:r>
      <w:r w:rsidR="00973E13" w:rsidRPr="005970E9">
        <w:t>s</w:t>
      </w:r>
      <w:r w:rsidRPr="005970E9">
        <w:t xml:space="preserve"> mejoraron ya que el analfabetismo disminuyó del 7% a un 5.5%, aproximadamente 148,747 personas analfabetas menos.  Sin embargo, las tasas desglosadas por sexo indican </w:t>
      </w:r>
      <w:r w:rsidR="002723A3" w:rsidRPr="005970E9">
        <w:t xml:space="preserve">que </w:t>
      </w:r>
      <w:r w:rsidRPr="005970E9">
        <w:t xml:space="preserve">el </w:t>
      </w:r>
      <w:r w:rsidR="00465911" w:rsidRPr="005970E9">
        <w:t>4.40</w:t>
      </w:r>
      <w:r w:rsidRPr="005970E9">
        <w:t xml:space="preserve">% de las mujeres de 10 y más años son analfabetas y el </w:t>
      </w:r>
      <w:r w:rsidR="00465911" w:rsidRPr="005970E9">
        <w:t>3.54</w:t>
      </w:r>
      <w:r w:rsidRPr="005970E9">
        <w:t>% son hombres. Algunas de las posibles causas que inciden sobre este problema están relacionadas como los altos niveles de pobreza, la falta de empleos</w:t>
      </w:r>
      <w:r w:rsidR="009833DC" w:rsidRPr="005970E9">
        <w:t xml:space="preserve"> y </w:t>
      </w:r>
      <w:r w:rsidRPr="005970E9">
        <w:t xml:space="preserve">mayor cobertura de este servicio (Ver </w:t>
      </w:r>
      <w:r w:rsidRPr="00D76FE2">
        <w:t xml:space="preserve">Gráfica </w:t>
      </w:r>
      <w:r w:rsidR="0033404E" w:rsidRPr="00D76FE2">
        <w:t>1</w:t>
      </w:r>
      <w:r w:rsidR="00D76FE2" w:rsidRPr="00D76FE2">
        <w:t>3</w:t>
      </w:r>
      <w:r w:rsidRPr="00D76FE2">
        <w:t>)</w:t>
      </w:r>
      <w:r w:rsidR="002723A3" w:rsidRPr="00D76FE2">
        <w:t>.</w:t>
      </w:r>
      <w:r w:rsidR="009833DC" w:rsidRPr="005970E9">
        <w:t xml:space="preserve"> </w:t>
      </w:r>
    </w:p>
    <w:p w14:paraId="42C9D378" w14:textId="576FD44B" w:rsidR="00A36980" w:rsidRPr="005970E9" w:rsidRDefault="009833DC" w:rsidP="00A841D9">
      <w:pPr>
        <w:autoSpaceDE w:val="0"/>
        <w:autoSpaceDN w:val="0"/>
        <w:adjustRightInd w:val="0"/>
        <w:spacing w:before="120" w:after="120" w:line="276" w:lineRule="auto"/>
        <w:jc w:val="both"/>
      </w:pPr>
      <w:r w:rsidRPr="005970E9">
        <w:t>La mayor parte de las personas en condición de analfabetismo son mujeres indígenas, los servicios educativos no logran poner fin a estas carencias educativas, se les vulnera derechos básicos que además son una base propicia para el desarrollo sostenible, el empoderamiento y el control de sus vidas.</w:t>
      </w:r>
      <w:r w:rsidR="001A0428" w:rsidRPr="005970E9">
        <w:t xml:space="preserve"> “</w:t>
      </w:r>
      <w:r w:rsidR="009D6EBF" w:rsidRPr="005970E9">
        <w:rPr>
          <w:rFonts w:cs="Times New Roman"/>
        </w:rPr>
        <w:t xml:space="preserve">El </w:t>
      </w:r>
      <w:r w:rsidR="001A0428" w:rsidRPr="005970E9">
        <w:rPr>
          <w:rFonts w:cs="Times New Roman"/>
        </w:rPr>
        <w:t xml:space="preserve">15.5% de la población indígena </w:t>
      </w:r>
      <w:r w:rsidR="009D6EBF" w:rsidRPr="005970E9">
        <w:rPr>
          <w:rFonts w:cs="Times New Roman"/>
        </w:rPr>
        <w:t xml:space="preserve">de 10 años y más de edad (63,610 personas) </w:t>
      </w:r>
      <w:r w:rsidR="001A0428" w:rsidRPr="005970E9">
        <w:rPr>
          <w:rFonts w:cs="Times New Roman"/>
        </w:rPr>
        <w:t>no sabe leer ni escribir</w:t>
      </w:r>
      <w:r w:rsidR="009D6EBF" w:rsidRPr="005970E9">
        <w:rPr>
          <w:rFonts w:cs="Times New Roman"/>
        </w:rPr>
        <w:t xml:space="preserve">, respecto a la población indígena total (411592). 40,020 </w:t>
      </w:r>
      <w:r w:rsidR="001A0428" w:rsidRPr="005970E9">
        <w:rPr>
          <w:rFonts w:cs="Times New Roman"/>
        </w:rPr>
        <w:t>corresponde</w:t>
      </w:r>
      <w:r w:rsidR="009D6EBF" w:rsidRPr="005970E9">
        <w:rPr>
          <w:rFonts w:cs="Times New Roman"/>
        </w:rPr>
        <w:t>n</w:t>
      </w:r>
      <w:r w:rsidR="001A0428" w:rsidRPr="005970E9">
        <w:rPr>
          <w:rFonts w:cs="Times New Roman"/>
        </w:rPr>
        <w:t xml:space="preserve"> a mujeres y 23,690 a hombres.” </w:t>
      </w:r>
      <w:r w:rsidR="009D6EBF" w:rsidRPr="005970E9">
        <w:rPr>
          <w:rFonts w:cs="Times New Roman"/>
        </w:rPr>
        <w:t>(PNUD, 2016, p. 85).</w:t>
      </w:r>
    </w:p>
    <w:p w14:paraId="2878EF3D" w14:textId="77777777" w:rsidR="001A0428" w:rsidRPr="005970E9" w:rsidRDefault="001A0428" w:rsidP="00A841D9">
      <w:pPr>
        <w:autoSpaceDE w:val="0"/>
        <w:autoSpaceDN w:val="0"/>
        <w:adjustRightInd w:val="0"/>
        <w:spacing w:before="120" w:after="120" w:line="276" w:lineRule="auto"/>
        <w:jc w:val="both"/>
      </w:pPr>
    </w:p>
    <w:p w14:paraId="53C26E92" w14:textId="279A6DF1" w:rsidR="00A36980" w:rsidRPr="005970E9" w:rsidRDefault="00C506F7" w:rsidP="00C506F7">
      <w:pPr>
        <w:pStyle w:val="Caption"/>
        <w:spacing w:after="0"/>
        <w:jc w:val="center"/>
        <w:rPr>
          <w:rFonts w:ascii="Century Schoolbook" w:hAnsi="Century Schoolbook"/>
          <w:sz w:val="20"/>
          <w:szCs w:val="20"/>
        </w:rPr>
      </w:pPr>
      <w:bookmarkStart w:id="157" w:name="_Toc42549245"/>
      <w:r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13</w:t>
      </w:r>
      <w:r w:rsidR="00F202BE" w:rsidRPr="005970E9">
        <w:rPr>
          <w:rFonts w:ascii="Century Schoolbook" w:hAnsi="Century Schoolbook"/>
          <w:sz w:val="20"/>
          <w:szCs w:val="20"/>
        </w:rPr>
        <w:fldChar w:fldCharType="end"/>
      </w:r>
      <w:r w:rsidRPr="005970E9">
        <w:rPr>
          <w:rFonts w:ascii="Century Schoolbook" w:hAnsi="Century Schoolbook"/>
          <w:sz w:val="20"/>
          <w:szCs w:val="20"/>
        </w:rPr>
        <w:t>.</w:t>
      </w:r>
      <w:r w:rsidRPr="005970E9">
        <w:rPr>
          <w:rFonts w:ascii="Century Schoolbook" w:eastAsia="Calibri" w:hAnsi="Century Schoolbook" w:cs="Calibri"/>
          <w:sz w:val="20"/>
          <w:szCs w:val="20"/>
        </w:rPr>
        <w:t xml:space="preserve"> </w:t>
      </w:r>
      <w:r w:rsidR="00973E88" w:rsidRPr="005970E9">
        <w:rPr>
          <w:rFonts w:ascii="Century Schoolbook" w:eastAsia="Calibri" w:hAnsi="Century Schoolbook" w:cs="Calibri"/>
          <w:sz w:val="20"/>
          <w:szCs w:val="20"/>
        </w:rPr>
        <w:t>A</w:t>
      </w:r>
      <w:r w:rsidR="00973E88" w:rsidRPr="005970E9">
        <w:rPr>
          <w:rFonts w:ascii="Century Schoolbook" w:hAnsi="Century Schoolbook"/>
          <w:sz w:val="20"/>
          <w:szCs w:val="20"/>
        </w:rPr>
        <w:t>nalfabetismo en la república de Panamá, por sexo: años 2000-2010-2020</w:t>
      </w:r>
      <w:bookmarkEnd w:id="157"/>
    </w:p>
    <w:p w14:paraId="779545CD" w14:textId="77777777" w:rsidR="00C506F7" w:rsidRPr="005970E9" w:rsidRDefault="00A36980" w:rsidP="00C506F7">
      <w:pPr>
        <w:keepNext/>
        <w:jc w:val="center"/>
      </w:pPr>
      <w:r w:rsidRPr="005970E9">
        <w:rPr>
          <w:noProof/>
        </w:rPr>
        <w:lastRenderedPageBreak/>
        <w:drawing>
          <wp:inline distT="0" distB="0" distL="0" distR="0" wp14:anchorId="6C9371A9" wp14:editId="2FDA6404">
            <wp:extent cx="4572000" cy="2743200"/>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B876C42" w14:textId="77777777" w:rsidR="007A451C" w:rsidRPr="005970E9" w:rsidRDefault="007A451C" w:rsidP="00A36980">
      <w:pPr>
        <w:jc w:val="center"/>
      </w:pPr>
    </w:p>
    <w:p w14:paraId="324617BF" w14:textId="77777777" w:rsidR="00A36980" w:rsidRPr="005970E9" w:rsidRDefault="00A36980" w:rsidP="00A36980">
      <w:pPr>
        <w:jc w:val="both"/>
      </w:pPr>
    </w:p>
    <w:p w14:paraId="4609C491" w14:textId="7BE920F9" w:rsidR="00A36980" w:rsidRPr="005970E9" w:rsidRDefault="00A36980" w:rsidP="00A841D9">
      <w:pPr>
        <w:spacing w:before="120" w:after="120" w:line="276" w:lineRule="auto"/>
        <w:jc w:val="both"/>
      </w:pPr>
      <w:r w:rsidRPr="005970E9">
        <w:t xml:space="preserve">En Panamá en la primera línea educativa, se encuentra el Preescolar como </w:t>
      </w:r>
      <w:r w:rsidRPr="005970E9">
        <w:rPr>
          <w:rFonts w:cs="Gotham-Bold"/>
        </w:rPr>
        <w:t xml:space="preserve">aprendizaje organizado antes de la edad oficial de ingreso a la enseñanza primaria. La cantidad de matriculados al 2018 totalizaba 79,713 de los cuales el 49.2% eran niñas y el 50.77% niños. En todas las provincias la participación de niñas es menor a la de los niños, con mayor énfasis en Darién, Colón y en las </w:t>
      </w:r>
      <w:r w:rsidRPr="00D76FE2">
        <w:rPr>
          <w:rFonts w:cs="Gotham-Bold"/>
        </w:rPr>
        <w:t>Comarcas</w:t>
      </w:r>
      <w:r w:rsidRPr="00D76FE2">
        <w:t xml:space="preserve"> (Ver </w:t>
      </w:r>
      <w:r w:rsidRPr="005970E9">
        <w:rPr>
          <w:highlight w:val="cyan"/>
        </w:rPr>
        <w:t>Gráfica No.</w:t>
      </w:r>
      <w:r w:rsidR="00D76FE2">
        <w:rPr>
          <w:highlight w:val="cyan"/>
        </w:rPr>
        <w:t xml:space="preserve"> 14</w:t>
      </w:r>
      <w:r w:rsidRPr="005970E9">
        <w:rPr>
          <w:highlight w:val="cyan"/>
        </w:rPr>
        <w:t xml:space="preserve">). </w:t>
      </w:r>
    </w:p>
    <w:p w14:paraId="7FC6C1C5" w14:textId="59750AA3" w:rsidR="00A36980" w:rsidRPr="005970E9" w:rsidRDefault="00C506F7" w:rsidP="00C506F7">
      <w:pPr>
        <w:pStyle w:val="Caption"/>
        <w:jc w:val="both"/>
        <w:rPr>
          <w:rFonts w:ascii="Century Schoolbook" w:hAnsi="Century Schoolbook"/>
          <w:sz w:val="20"/>
          <w:szCs w:val="20"/>
        </w:rPr>
      </w:pPr>
      <w:bookmarkStart w:id="158" w:name="_Toc42549246"/>
      <w:r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14</w:t>
      </w:r>
      <w:r w:rsidR="00F202BE" w:rsidRPr="005970E9">
        <w:rPr>
          <w:rFonts w:ascii="Century Schoolbook" w:hAnsi="Century Schoolbook"/>
          <w:sz w:val="20"/>
          <w:szCs w:val="20"/>
        </w:rPr>
        <w:fldChar w:fldCharType="end"/>
      </w:r>
      <w:r w:rsidR="004C51B4" w:rsidRPr="005970E9">
        <w:rPr>
          <w:rFonts w:ascii="Century Schoolbook" w:hAnsi="Century Schoolbook"/>
          <w:noProof/>
          <w:sz w:val="20"/>
          <w:szCs w:val="20"/>
        </w:rPr>
        <w:t>.</w:t>
      </w:r>
      <w:r w:rsidRPr="005970E9">
        <w:rPr>
          <w:rFonts w:ascii="Century Schoolbook" w:hAnsi="Century Schoolbook"/>
          <w:b/>
          <w:bCs/>
          <w:sz w:val="20"/>
          <w:szCs w:val="20"/>
        </w:rPr>
        <w:t xml:space="preserve"> </w:t>
      </w:r>
      <w:r w:rsidR="00985296" w:rsidRPr="005970E9">
        <w:rPr>
          <w:rFonts w:ascii="Century Schoolbook" w:hAnsi="Century Schoolbook"/>
          <w:sz w:val="20"/>
          <w:szCs w:val="20"/>
        </w:rPr>
        <w:t>Matrícula preescolar de niños y niñas en la república, por provincias: año 2018</w:t>
      </w:r>
      <w:bookmarkEnd w:id="158"/>
    </w:p>
    <w:p w14:paraId="60D66766" w14:textId="77777777" w:rsidR="00A90F49" w:rsidRPr="005970E9" w:rsidRDefault="00A36980" w:rsidP="00A90F49">
      <w:pPr>
        <w:keepNext/>
        <w:jc w:val="both"/>
      </w:pPr>
      <w:r w:rsidRPr="005970E9">
        <w:rPr>
          <w:noProof/>
          <w:sz w:val="18"/>
        </w:rPr>
        <w:drawing>
          <wp:inline distT="0" distB="0" distL="0" distR="0" wp14:anchorId="494D78D8" wp14:editId="299F3546">
            <wp:extent cx="5612130" cy="2331720"/>
            <wp:effectExtent l="0" t="0" r="7620" b="1143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4CEDBD" w14:textId="77777777" w:rsidR="00AE43EE" w:rsidRPr="005970E9" w:rsidRDefault="00AE43EE" w:rsidP="00AE43EE"/>
    <w:p w14:paraId="5A43890F" w14:textId="6815AED0" w:rsidR="005C54CB" w:rsidRPr="005970E9" w:rsidRDefault="005C54CB" w:rsidP="003C708D">
      <w:pPr>
        <w:spacing w:before="120" w:after="120" w:line="276" w:lineRule="auto"/>
        <w:jc w:val="both"/>
      </w:pPr>
      <w:r w:rsidRPr="005970E9">
        <w:t xml:space="preserve">Los derechos alcanzados en materia de cobertura universal educativa para </w:t>
      </w:r>
      <w:r w:rsidR="003C708D" w:rsidRPr="005970E9">
        <w:t xml:space="preserve">el preescolar </w:t>
      </w:r>
      <w:r w:rsidRPr="005970E9">
        <w:t>no se logran</w:t>
      </w:r>
      <w:r w:rsidR="003C708D" w:rsidRPr="005970E9">
        <w:t>.</w:t>
      </w:r>
      <w:r w:rsidRPr="005970E9">
        <w:t xml:space="preserve"> </w:t>
      </w:r>
      <w:r w:rsidR="003C708D" w:rsidRPr="005970E9">
        <w:t>C</w:t>
      </w:r>
      <w:r w:rsidRPr="005970E9">
        <w:t xml:space="preserve">omo vemos, </w:t>
      </w:r>
      <w:r w:rsidR="003C708D" w:rsidRPr="005970E9">
        <w:t xml:space="preserve">las niñas </w:t>
      </w:r>
      <w:r w:rsidRPr="005970E9">
        <w:t xml:space="preserve">son las </w:t>
      </w:r>
      <w:r w:rsidR="003C708D" w:rsidRPr="005970E9">
        <w:t xml:space="preserve">que más </w:t>
      </w:r>
      <w:r w:rsidRPr="005970E9">
        <w:t xml:space="preserve">rezagada </w:t>
      </w:r>
      <w:r w:rsidR="003C708D" w:rsidRPr="005970E9">
        <w:t xml:space="preserve">quedan </w:t>
      </w:r>
      <w:r w:rsidRPr="005970E9">
        <w:t xml:space="preserve">en estos </w:t>
      </w:r>
      <w:r w:rsidR="003C708D" w:rsidRPr="005970E9">
        <w:t xml:space="preserve">aprendizajes y son fundamentales para su </w:t>
      </w:r>
      <w:r w:rsidR="00BC2A80" w:rsidRPr="005970E9">
        <w:t xml:space="preserve">posterior </w:t>
      </w:r>
      <w:r w:rsidRPr="005970E9">
        <w:t>desempeño escolar. Se trata de niñas en condición de pobreza, e</w:t>
      </w:r>
      <w:r w:rsidR="00BC2A80" w:rsidRPr="005970E9">
        <w:t>n</w:t>
      </w:r>
      <w:r w:rsidRPr="005970E9">
        <w:t xml:space="preserve"> áreas de difícil acceso e indígenas. Las familias en no pocos casos plantean que las niñas se enfrentan a mayores riesgos y peligros en los campos cuando deben salir solas, si observamos los casos de embarazos en el nivel </w:t>
      </w:r>
      <w:r w:rsidRPr="005970E9">
        <w:lastRenderedPageBreak/>
        <w:t>primario, sin duda los temores de abusos a menor edad</w:t>
      </w:r>
      <w:r w:rsidR="007F112F" w:rsidRPr="005970E9">
        <w:t xml:space="preserve">, expresan que estos temores </w:t>
      </w:r>
      <w:r w:rsidRPr="005970E9">
        <w:t>no son infundados.</w:t>
      </w:r>
    </w:p>
    <w:p w14:paraId="63493025" w14:textId="7848BBAD" w:rsidR="00AE43EE" w:rsidRPr="005970E9" w:rsidRDefault="00AE43EE" w:rsidP="00AE43EE">
      <w:pPr>
        <w:spacing w:line="276" w:lineRule="auto"/>
        <w:jc w:val="both"/>
      </w:pPr>
      <w:r w:rsidRPr="005970E9">
        <w:t>En segunda instancia, se encuentra el nivel de estudios primarios, la matr</w:t>
      </w:r>
      <w:r w:rsidR="2CF6440E" w:rsidRPr="005970E9">
        <w:t>í</w:t>
      </w:r>
      <w:r w:rsidRPr="005970E9">
        <w:t xml:space="preserve">cula aumentó en el 2018 en 32,342 niños y niñas con respecto al 2010, totalizando </w:t>
      </w:r>
      <w:r w:rsidR="00D76FE2">
        <w:t>441,655</w:t>
      </w:r>
      <w:r w:rsidRPr="005970E9">
        <w:t xml:space="preserve"> matriculados. L</w:t>
      </w:r>
      <w:r w:rsidR="005B129E" w:rsidRPr="005970E9">
        <w:t>a proporción de</w:t>
      </w:r>
      <w:r w:rsidRPr="005970E9">
        <w:t xml:space="preserve"> niños matricula</w:t>
      </w:r>
      <w:r w:rsidR="005B129E" w:rsidRPr="005970E9">
        <w:t xml:space="preserve">dos es un poco más que las niñas </w:t>
      </w:r>
      <w:r w:rsidR="009833DC" w:rsidRPr="005970E9">
        <w:t>co</w:t>
      </w:r>
      <w:r w:rsidRPr="005970E9">
        <w:t>n un 51.44% (227,181 niños)</w:t>
      </w:r>
      <w:r w:rsidR="009833DC" w:rsidRPr="005970E9">
        <w:t xml:space="preserve"> </w:t>
      </w:r>
      <w:r w:rsidRPr="005970E9">
        <w:t>a nivel nacional, en concordancia con el nivel Preescolar; en tanto que las niñas continúan matriculándose en menor cantidad muy similares a los resultados obtenidos en el 2010 y como se puede observar en la Gráfica No.</w:t>
      </w:r>
      <w:r w:rsidR="00C506F7" w:rsidRPr="005970E9">
        <w:rPr>
          <w:highlight w:val="green"/>
        </w:rPr>
        <w:t>1</w:t>
      </w:r>
      <w:r w:rsidR="00D76FE2">
        <w:t>5</w:t>
      </w:r>
      <w:r w:rsidRPr="005970E9">
        <w:t xml:space="preserve"> y Cuadro No.</w:t>
      </w:r>
      <w:r w:rsidRPr="005970E9">
        <w:rPr>
          <w:highlight w:val="green"/>
        </w:rPr>
        <w:t>2</w:t>
      </w:r>
      <w:r w:rsidRPr="005970E9">
        <w:t xml:space="preserve">. </w:t>
      </w:r>
    </w:p>
    <w:p w14:paraId="78DD8A2E" w14:textId="1E8426D4" w:rsidR="008E3017" w:rsidRPr="005970E9" w:rsidRDefault="008E3017" w:rsidP="008E3017">
      <w:pPr>
        <w:keepNext/>
        <w:rPr>
          <w:sz w:val="20"/>
          <w:szCs w:val="20"/>
        </w:rPr>
        <w:sectPr w:rsidR="008E3017" w:rsidRPr="005970E9">
          <w:headerReference w:type="default" r:id="rId47"/>
          <w:footerReference w:type="default" r:id="rId48"/>
          <w:pgSz w:w="12240" w:h="15840"/>
          <w:pgMar w:top="1417" w:right="1701" w:bottom="1417" w:left="1701" w:header="0" w:footer="0" w:gutter="0"/>
          <w:cols w:space="720"/>
          <w:formProt w:val="0"/>
          <w:docGrid w:linePitch="360" w:charSpace="-2049"/>
        </w:sectPr>
      </w:pPr>
    </w:p>
    <w:p w14:paraId="1362A656" w14:textId="4AC49B3C" w:rsidR="008E3017" w:rsidRPr="005970E9" w:rsidRDefault="008E3017" w:rsidP="008E3017">
      <w:pPr>
        <w:pStyle w:val="Caption"/>
        <w:jc w:val="both"/>
        <w:rPr>
          <w:rFonts w:ascii="Century Schoolbook" w:hAnsi="Century Schoolbook" w:cs="Arial"/>
          <w:sz w:val="20"/>
          <w:szCs w:val="20"/>
        </w:rPr>
      </w:pPr>
      <w:bookmarkStart w:id="159" w:name="_Toc42549247"/>
      <w:r w:rsidRPr="005970E9">
        <w:rPr>
          <w:rFonts w:ascii="Century Schoolbook" w:hAnsi="Century Schoolbook"/>
          <w:sz w:val="20"/>
          <w:szCs w:val="20"/>
        </w:rPr>
        <w:lastRenderedPageBreak/>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15</w:t>
      </w:r>
      <w:r w:rsidR="00F202BE" w:rsidRPr="005970E9">
        <w:rPr>
          <w:rFonts w:ascii="Century Schoolbook" w:hAnsi="Century Schoolbook"/>
          <w:sz w:val="20"/>
          <w:szCs w:val="20"/>
        </w:rPr>
        <w:fldChar w:fldCharType="end"/>
      </w:r>
      <w:r w:rsidRPr="005970E9">
        <w:rPr>
          <w:rFonts w:ascii="Century Schoolbook" w:hAnsi="Century Schoolbook"/>
          <w:sz w:val="20"/>
          <w:szCs w:val="20"/>
        </w:rPr>
        <w:t xml:space="preserve">. </w:t>
      </w:r>
      <w:r w:rsidR="00820926" w:rsidRPr="005970E9">
        <w:rPr>
          <w:rFonts w:ascii="Century Schoolbook" w:hAnsi="Century Schoolbook" w:cs="Arial"/>
          <w:sz w:val="20"/>
          <w:szCs w:val="20"/>
        </w:rPr>
        <w:t>Matrícula a nivel primario, secundario y universitario en la república, por sexo: años 2010-2018</w:t>
      </w:r>
      <w:bookmarkEnd w:id="159"/>
    </w:p>
    <w:p w14:paraId="40732F1B" w14:textId="77777777" w:rsidR="00A36980" w:rsidRPr="005970E9" w:rsidRDefault="00A36980" w:rsidP="00A36980">
      <w:pPr>
        <w:jc w:val="center"/>
      </w:pPr>
      <w:r w:rsidRPr="005970E9">
        <w:rPr>
          <w:noProof/>
        </w:rPr>
        <w:drawing>
          <wp:inline distT="0" distB="0" distL="0" distR="0" wp14:anchorId="63189B3C" wp14:editId="7F04394E">
            <wp:extent cx="5141595" cy="2067339"/>
            <wp:effectExtent l="0" t="0" r="1905" b="952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DE2FB0C" w14:textId="77777777" w:rsidR="00A36980" w:rsidRPr="005970E9" w:rsidRDefault="00A36980" w:rsidP="00A36980">
      <w:pPr>
        <w:jc w:val="center"/>
        <w:rPr>
          <w:lang w:val="es-US"/>
        </w:rPr>
      </w:pPr>
      <w:r w:rsidRPr="005970E9">
        <w:t xml:space="preserve">Fuente:  INEC, Estadísticas Vitales 2018. </w:t>
      </w:r>
    </w:p>
    <w:p w14:paraId="27C5C5D7" w14:textId="77777777" w:rsidR="00A36980" w:rsidRPr="005970E9" w:rsidRDefault="00A36980" w:rsidP="00A36980">
      <w:pPr>
        <w:jc w:val="center"/>
      </w:pPr>
    </w:p>
    <w:p w14:paraId="6039CD54" w14:textId="79766B49" w:rsidR="00A36980" w:rsidRPr="005970E9" w:rsidRDefault="00A36980" w:rsidP="00AD406E">
      <w:pPr>
        <w:spacing w:after="120"/>
        <w:jc w:val="both"/>
      </w:pPr>
      <w:r w:rsidRPr="005970E9">
        <w:t xml:space="preserve">La situación cambia a nivel de estudios secundarios en el cual la matrícula total para el 2018 fue de 271,317 estudiantes, de los cuales la participación de las niñas y adolescentes es mayoritaria (51.3%) logrando en primera instancia, igualar y superar la matricula </w:t>
      </w:r>
      <w:r w:rsidR="007F13EC" w:rsidRPr="005970E9">
        <w:t>masculina en</w:t>
      </w:r>
      <w:r w:rsidRPr="005970E9">
        <w:t xml:space="preserve"> todas las provincias del país, con mayor número en la provincia de Panamá y exceptuando las áreas comarcales, donde se registra mayor matrícula de hombres (Gráfica </w:t>
      </w:r>
      <w:r w:rsidRPr="00FF4DED">
        <w:t>No.</w:t>
      </w:r>
      <w:r w:rsidR="008E3017" w:rsidRPr="00FF4DED">
        <w:t>15</w:t>
      </w:r>
      <w:r w:rsidRPr="00FF4DED">
        <w:t>).</w:t>
      </w:r>
    </w:p>
    <w:p w14:paraId="3F50127F" w14:textId="219D1251" w:rsidR="008A0104" w:rsidRPr="005970E9" w:rsidRDefault="008E3017" w:rsidP="00AD406E">
      <w:pPr>
        <w:pStyle w:val="Caption"/>
        <w:keepNext/>
        <w:spacing w:before="240"/>
        <w:jc w:val="both"/>
        <w:rPr>
          <w:rFonts w:ascii="Century Schoolbook" w:hAnsi="Century Schoolbook"/>
          <w:sz w:val="20"/>
          <w:szCs w:val="20"/>
        </w:rPr>
      </w:pPr>
      <w:bookmarkStart w:id="160" w:name="_Toc42549248"/>
      <w:r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16</w:t>
      </w:r>
      <w:r w:rsidR="00F202BE" w:rsidRPr="005970E9">
        <w:rPr>
          <w:rFonts w:ascii="Century Schoolbook" w:hAnsi="Century Schoolbook"/>
          <w:sz w:val="20"/>
          <w:szCs w:val="20"/>
        </w:rPr>
        <w:fldChar w:fldCharType="end"/>
      </w:r>
      <w:r w:rsidRPr="005970E9">
        <w:rPr>
          <w:rFonts w:ascii="Century Schoolbook" w:hAnsi="Century Schoolbook"/>
          <w:sz w:val="20"/>
          <w:szCs w:val="20"/>
        </w:rPr>
        <w:t xml:space="preserve">. </w:t>
      </w:r>
      <w:r w:rsidR="00820926" w:rsidRPr="005970E9">
        <w:rPr>
          <w:rFonts w:ascii="Century Schoolbook" w:hAnsi="Century Schoolbook"/>
          <w:sz w:val="20"/>
          <w:szCs w:val="20"/>
        </w:rPr>
        <w:t>Matrícula a nivel secundario de adolescentes en la república, según provincias y por sexo: año 2018</w:t>
      </w:r>
      <w:bookmarkEnd w:id="160"/>
    </w:p>
    <w:p w14:paraId="5339D508" w14:textId="433E1247" w:rsidR="00A36980" w:rsidRPr="005970E9" w:rsidRDefault="00A36980" w:rsidP="00A36980">
      <w:pPr>
        <w:jc w:val="center"/>
      </w:pPr>
      <w:r w:rsidRPr="005970E9">
        <w:rPr>
          <w:noProof/>
        </w:rPr>
        <w:drawing>
          <wp:inline distT="0" distB="0" distL="0" distR="0" wp14:anchorId="50E3E8AD" wp14:editId="1DF59AAB">
            <wp:extent cx="4073237" cy="2396837"/>
            <wp:effectExtent l="0" t="0" r="3810" b="381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98457C4" w14:textId="77777777" w:rsidR="008E3017" w:rsidRPr="005970E9" w:rsidRDefault="008E3017" w:rsidP="00B429FB">
      <w:pPr>
        <w:spacing w:line="276" w:lineRule="auto"/>
        <w:jc w:val="center"/>
      </w:pPr>
    </w:p>
    <w:p w14:paraId="6A51B5B1" w14:textId="698EFE9B" w:rsidR="00471873" w:rsidRPr="005970E9" w:rsidRDefault="00A139EA" w:rsidP="00B429FB">
      <w:pPr>
        <w:spacing w:line="276" w:lineRule="auto"/>
        <w:jc w:val="both"/>
      </w:pPr>
      <w:r w:rsidRPr="005970E9">
        <w:t>Los derechos de los estudiantes que desertan en la educación Premedia y media</w:t>
      </w:r>
      <w:r w:rsidR="003C708D" w:rsidRPr="005970E9">
        <w:t>,</w:t>
      </w:r>
      <w:r w:rsidRPr="005970E9">
        <w:t xml:space="preserve"> en efecto no se satisfacen, particularmente, hay dos factores importantes, uno el relacionado con las condiciones económicas, sociales y </w:t>
      </w:r>
      <w:r w:rsidR="003C708D" w:rsidRPr="005970E9">
        <w:t xml:space="preserve">con lo </w:t>
      </w:r>
      <w:r w:rsidRPr="005970E9">
        <w:t xml:space="preserve">cultural. Los adolescentes desertan para insertarse en el mercado de trabajo orientados por la insuficiencia de ingresos en sus hogares. En </w:t>
      </w:r>
      <w:r w:rsidR="003C708D" w:rsidRPr="005970E9">
        <w:t>relación con los patrones culturales</w:t>
      </w:r>
      <w:r w:rsidRPr="005970E9">
        <w:t xml:space="preserve"> de género</w:t>
      </w:r>
      <w:r w:rsidR="00B429FB" w:rsidRPr="005970E9">
        <w:t>,</w:t>
      </w:r>
      <w:r w:rsidRPr="005970E9">
        <w:t xml:space="preserve"> sobre los varones pesa con mucha fuerza el rol patriarcal de proveedor asignado. Los gobiernos </w:t>
      </w:r>
      <w:r w:rsidRPr="005970E9">
        <w:lastRenderedPageBreak/>
        <w:t>para evitar la deserción implementaron la beca universal, no obstante, estos subsidios deben estar acompañados de educación no sexista, entre otras medidas de política, como la orientación y acompañamiento a las familias para lograr compromisos sostenidos con los logros educativo y</w:t>
      </w:r>
      <w:r w:rsidR="00B429FB" w:rsidRPr="005970E9">
        <w:t>,</w:t>
      </w:r>
      <w:r w:rsidRPr="005970E9">
        <w:t xml:space="preserve"> en especial</w:t>
      </w:r>
      <w:r w:rsidR="00B429FB" w:rsidRPr="005970E9">
        <w:t>,</w:t>
      </w:r>
      <w:r w:rsidRPr="005970E9">
        <w:t xml:space="preserve"> hacer realidad la comunidad educativa con la participación activa </w:t>
      </w:r>
      <w:r w:rsidR="00B429FB" w:rsidRPr="005970E9">
        <w:t xml:space="preserve">de ésta </w:t>
      </w:r>
      <w:r w:rsidRPr="005970E9">
        <w:t xml:space="preserve">en la solución de los problemas del sistema escolar en </w:t>
      </w:r>
      <w:r w:rsidR="00B429FB" w:rsidRPr="005970E9">
        <w:t xml:space="preserve">el </w:t>
      </w:r>
      <w:r w:rsidRPr="005970E9">
        <w:t xml:space="preserve">ámbito local. </w:t>
      </w:r>
    </w:p>
    <w:p w14:paraId="2DCA5FFE" w14:textId="47D16B64" w:rsidR="009A52DC" w:rsidRPr="005970E9" w:rsidRDefault="009A52DC" w:rsidP="00B429FB">
      <w:pPr>
        <w:spacing w:line="276" w:lineRule="auto"/>
        <w:jc w:val="both"/>
      </w:pPr>
    </w:p>
    <w:p w14:paraId="4811A62E" w14:textId="06AE7449" w:rsidR="009A52DC" w:rsidRPr="005970E9" w:rsidRDefault="009A52DC" w:rsidP="00B429FB">
      <w:pPr>
        <w:spacing w:line="276" w:lineRule="auto"/>
        <w:jc w:val="both"/>
      </w:pPr>
      <w:bookmarkStart w:id="161" w:name="_Toc42549168"/>
      <w:r w:rsidRPr="005970E9">
        <w:t xml:space="preserve">Cuadro </w:t>
      </w:r>
      <w:r w:rsidR="00062ABE">
        <w:fldChar w:fldCharType="begin"/>
      </w:r>
      <w:r w:rsidR="00062ABE">
        <w:instrText xml:space="preserve"> SEQ Cuadro \* ARABIC </w:instrText>
      </w:r>
      <w:r w:rsidR="00062ABE">
        <w:fldChar w:fldCharType="separate"/>
      </w:r>
      <w:r w:rsidR="00F808BF" w:rsidRPr="005970E9">
        <w:rPr>
          <w:noProof/>
        </w:rPr>
        <w:t>2</w:t>
      </w:r>
      <w:r w:rsidR="00062ABE">
        <w:rPr>
          <w:noProof/>
        </w:rPr>
        <w:fldChar w:fldCharType="end"/>
      </w:r>
      <w:r w:rsidRPr="005970E9">
        <w:t xml:space="preserve">. </w:t>
      </w:r>
      <w:r w:rsidRPr="005970E9">
        <w:rPr>
          <w:rFonts w:cs="Arial"/>
          <w:sz w:val="20"/>
          <w:szCs w:val="20"/>
        </w:rPr>
        <w:t>MATRÍCULA DE ESTUDIANTES A NIVEL PRIMARIO Y SECUNDARIO, POR SEXO, SEGÚN PROVINCIAS EN LA REPÚBLICA DE PANAMÁ: 2010-2018</w:t>
      </w:r>
      <w:bookmarkEnd w:id="161"/>
    </w:p>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2"/>
        <w:gridCol w:w="674"/>
        <w:gridCol w:w="709"/>
        <w:gridCol w:w="674"/>
        <w:gridCol w:w="674"/>
        <w:gridCol w:w="674"/>
        <w:gridCol w:w="674"/>
        <w:gridCol w:w="674"/>
        <w:gridCol w:w="674"/>
        <w:gridCol w:w="674"/>
        <w:gridCol w:w="674"/>
        <w:gridCol w:w="674"/>
        <w:gridCol w:w="674"/>
        <w:gridCol w:w="674"/>
        <w:gridCol w:w="681"/>
      </w:tblGrid>
      <w:tr w:rsidR="009A52DC" w:rsidRPr="005970E9" w14:paraId="2B4F39B0" w14:textId="77777777" w:rsidTr="009A52DC">
        <w:trPr>
          <w:trHeight w:val="312"/>
        </w:trPr>
        <w:tc>
          <w:tcPr>
            <w:tcW w:w="846" w:type="dxa"/>
            <w:vMerge w:val="restart"/>
            <w:shd w:val="clear" w:color="auto" w:fill="auto"/>
            <w:vAlign w:val="center"/>
            <w:hideMark/>
          </w:tcPr>
          <w:p w14:paraId="67DE9445"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Provincia y Comarca</w:t>
            </w:r>
          </w:p>
        </w:tc>
        <w:tc>
          <w:tcPr>
            <w:tcW w:w="4753" w:type="dxa"/>
            <w:gridSpan w:val="7"/>
            <w:shd w:val="clear" w:color="auto" w:fill="auto"/>
            <w:vAlign w:val="center"/>
            <w:hideMark/>
          </w:tcPr>
          <w:p w14:paraId="60EB1559"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2010</w:t>
            </w:r>
          </w:p>
        </w:tc>
        <w:tc>
          <w:tcPr>
            <w:tcW w:w="4725" w:type="dxa"/>
            <w:gridSpan w:val="7"/>
            <w:shd w:val="clear" w:color="auto" w:fill="auto"/>
            <w:vAlign w:val="center"/>
            <w:hideMark/>
          </w:tcPr>
          <w:p w14:paraId="359EE1F5"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2018</w:t>
            </w:r>
          </w:p>
        </w:tc>
      </w:tr>
      <w:tr w:rsidR="009A52DC" w:rsidRPr="005970E9" w14:paraId="39AC220F" w14:textId="77777777" w:rsidTr="009A52DC">
        <w:trPr>
          <w:trHeight w:val="348"/>
        </w:trPr>
        <w:tc>
          <w:tcPr>
            <w:tcW w:w="846" w:type="dxa"/>
            <w:vMerge/>
            <w:vAlign w:val="center"/>
            <w:hideMark/>
          </w:tcPr>
          <w:p w14:paraId="1964EBEF" w14:textId="77777777" w:rsidR="009A52DC" w:rsidRPr="005970E9" w:rsidRDefault="009A52DC" w:rsidP="009A52DC">
            <w:pPr>
              <w:rPr>
                <w:rFonts w:eastAsia="Times New Roman" w:cs="Arial"/>
                <w:sz w:val="16"/>
                <w:szCs w:val="16"/>
              </w:rPr>
            </w:pPr>
          </w:p>
        </w:tc>
        <w:tc>
          <w:tcPr>
            <w:tcW w:w="674" w:type="dxa"/>
            <w:vMerge w:val="restart"/>
            <w:shd w:val="clear" w:color="auto" w:fill="auto"/>
            <w:noWrap/>
            <w:vAlign w:val="center"/>
            <w:hideMark/>
          </w:tcPr>
          <w:p w14:paraId="4FBBDEE1" w14:textId="77777777" w:rsidR="009A52DC" w:rsidRPr="005970E9" w:rsidRDefault="009A52DC" w:rsidP="009A52DC">
            <w:pPr>
              <w:jc w:val="center"/>
              <w:rPr>
                <w:rFonts w:eastAsia="Times New Roman" w:cs="Arial"/>
                <w:color w:val="000000"/>
                <w:sz w:val="16"/>
                <w:szCs w:val="16"/>
              </w:rPr>
            </w:pPr>
            <w:r w:rsidRPr="005970E9">
              <w:rPr>
                <w:rFonts w:eastAsia="Times New Roman" w:cs="Arial"/>
                <w:color w:val="000000"/>
                <w:sz w:val="16"/>
                <w:szCs w:val="16"/>
              </w:rPr>
              <w:t>Total</w:t>
            </w:r>
          </w:p>
        </w:tc>
        <w:tc>
          <w:tcPr>
            <w:tcW w:w="2057" w:type="dxa"/>
            <w:gridSpan w:val="3"/>
            <w:shd w:val="clear" w:color="auto" w:fill="auto"/>
            <w:noWrap/>
            <w:vAlign w:val="center"/>
            <w:hideMark/>
          </w:tcPr>
          <w:p w14:paraId="75623A46"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Primaria</w:t>
            </w:r>
          </w:p>
        </w:tc>
        <w:tc>
          <w:tcPr>
            <w:tcW w:w="2022" w:type="dxa"/>
            <w:gridSpan w:val="3"/>
            <w:shd w:val="clear" w:color="auto" w:fill="auto"/>
            <w:noWrap/>
            <w:vAlign w:val="center"/>
            <w:hideMark/>
          </w:tcPr>
          <w:p w14:paraId="546275C8"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Secundaria</w:t>
            </w:r>
          </w:p>
        </w:tc>
        <w:tc>
          <w:tcPr>
            <w:tcW w:w="674" w:type="dxa"/>
            <w:shd w:val="clear" w:color="auto" w:fill="auto"/>
            <w:noWrap/>
            <w:vAlign w:val="center"/>
            <w:hideMark/>
          </w:tcPr>
          <w:p w14:paraId="604D584A" w14:textId="77777777" w:rsidR="009A52DC" w:rsidRPr="005970E9" w:rsidRDefault="009A52DC" w:rsidP="009A52DC">
            <w:pPr>
              <w:jc w:val="center"/>
              <w:rPr>
                <w:rFonts w:eastAsia="Times New Roman" w:cs="Arial"/>
                <w:color w:val="000000"/>
                <w:sz w:val="16"/>
                <w:szCs w:val="16"/>
              </w:rPr>
            </w:pPr>
            <w:r w:rsidRPr="005970E9">
              <w:rPr>
                <w:rFonts w:eastAsia="Times New Roman" w:cs="Arial"/>
                <w:color w:val="000000"/>
                <w:sz w:val="16"/>
                <w:szCs w:val="16"/>
              </w:rPr>
              <w:t>Total</w:t>
            </w:r>
          </w:p>
        </w:tc>
        <w:tc>
          <w:tcPr>
            <w:tcW w:w="2022" w:type="dxa"/>
            <w:gridSpan w:val="3"/>
            <w:shd w:val="clear" w:color="auto" w:fill="auto"/>
            <w:noWrap/>
            <w:vAlign w:val="center"/>
            <w:hideMark/>
          </w:tcPr>
          <w:p w14:paraId="1240F889"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Primaria</w:t>
            </w:r>
          </w:p>
        </w:tc>
        <w:tc>
          <w:tcPr>
            <w:tcW w:w="2029" w:type="dxa"/>
            <w:gridSpan w:val="3"/>
            <w:shd w:val="clear" w:color="auto" w:fill="auto"/>
            <w:noWrap/>
            <w:vAlign w:val="center"/>
            <w:hideMark/>
          </w:tcPr>
          <w:p w14:paraId="618B5797"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Secundaria</w:t>
            </w:r>
          </w:p>
        </w:tc>
      </w:tr>
      <w:tr w:rsidR="009A52DC" w:rsidRPr="005970E9" w14:paraId="624DAB01" w14:textId="77777777" w:rsidTr="009A52DC">
        <w:trPr>
          <w:trHeight w:val="348"/>
        </w:trPr>
        <w:tc>
          <w:tcPr>
            <w:tcW w:w="846" w:type="dxa"/>
            <w:vMerge/>
            <w:vAlign w:val="center"/>
            <w:hideMark/>
          </w:tcPr>
          <w:p w14:paraId="1BA36A00" w14:textId="77777777" w:rsidR="009A52DC" w:rsidRPr="005970E9" w:rsidRDefault="009A52DC" w:rsidP="009A52DC">
            <w:pPr>
              <w:rPr>
                <w:rFonts w:eastAsia="Times New Roman" w:cs="Arial"/>
                <w:sz w:val="16"/>
                <w:szCs w:val="16"/>
              </w:rPr>
            </w:pPr>
          </w:p>
        </w:tc>
        <w:tc>
          <w:tcPr>
            <w:tcW w:w="674" w:type="dxa"/>
            <w:vMerge/>
            <w:vAlign w:val="center"/>
            <w:hideMark/>
          </w:tcPr>
          <w:p w14:paraId="67263F97" w14:textId="77777777" w:rsidR="009A52DC" w:rsidRPr="005970E9" w:rsidRDefault="009A52DC" w:rsidP="009A52DC">
            <w:pPr>
              <w:rPr>
                <w:rFonts w:eastAsia="Times New Roman" w:cs="Arial"/>
                <w:color w:val="000000"/>
                <w:sz w:val="16"/>
                <w:szCs w:val="16"/>
              </w:rPr>
            </w:pPr>
          </w:p>
        </w:tc>
        <w:tc>
          <w:tcPr>
            <w:tcW w:w="709" w:type="dxa"/>
            <w:shd w:val="clear" w:color="auto" w:fill="auto"/>
            <w:noWrap/>
            <w:vAlign w:val="center"/>
            <w:hideMark/>
          </w:tcPr>
          <w:p w14:paraId="41626989"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T</w:t>
            </w:r>
          </w:p>
        </w:tc>
        <w:tc>
          <w:tcPr>
            <w:tcW w:w="674" w:type="dxa"/>
            <w:shd w:val="clear" w:color="auto" w:fill="auto"/>
            <w:noWrap/>
            <w:vAlign w:val="center"/>
            <w:hideMark/>
          </w:tcPr>
          <w:p w14:paraId="777772E6"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H</w:t>
            </w:r>
          </w:p>
        </w:tc>
        <w:tc>
          <w:tcPr>
            <w:tcW w:w="674" w:type="dxa"/>
            <w:shd w:val="clear" w:color="auto" w:fill="auto"/>
            <w:noWrap/>
            <w:vAlign w:val="center"/>
            <w:hideMark/>
          </w:tcPr>
          <w:p w14:paraId="3C7FE25B"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M</w:t>
            </w:r>
          </w:p>
        </w:tc>
        <w:tc>
          <w:tcPr>
            <w:tcW w:w="674" w:type="dxa"/>
            <w:shd w:val="clear" w:color="auto" w:fill="auto"/>
            <w:noWrap/>
            <w:vAlign w:val="center"/>
            <w:hideMark/>
          </w:tcPr>
          <w:p w14:paraId="111BA031"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T</w:t>
            </w:r>
          </w:p>
        </w:tc>
        <w:tc>
          <w:tcPr>
            <w:tcW w:w="674" w:type="dxa"/>
            <w:shd w:val="clear" w:color="auto" w:fill="auto"/>
            <w:noWrap/>
            <w:vAlign w:val="center"/>
            <w:hideMark/>
          </w:tcPr>
          <w:p w14:paraId="6BDD3730"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H</w:t>
            </w:r>
          </w:p>
        </w:tc>
        <w:tc>
          <w:tcPr>
            <w:tcW w:w="674" w:type="dxa"/>
            <w:shd w:val="clear" w:color="auto" w:fill="auto"/>
            <w:noWrap/>
            <w:vAlign w:val="center"/>
            <w:hideMark/>
          </w:tcPr>
          <w:p w14:paraId="209B1FE7"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M</w:t>
            </w:r>
          </w:p>
        </w:tc>
        <w:tc>
          <w:tcPr>
            <w:tcW w:w="674" w:type="dxa"/>
            <w:vAlign w:val="center"/>
            <w:hideMark/>
          </w:tcPr>
          <w:p w14:paraId="7A23B74F" w14:textId="77777777" w:rsidR="009A52DC" w:rsidRPr="005970E9" w:rsidRDefault="009A52DC" w:rsidP="009A52DC">
            <w:pPr>
              <w:rPr>
                <w:rFonts w:eastAsia="Times New Roman" w:cs="Arial"/>
                <w:color w:val="000000"/>
                <w:sz w:val="16"/>
                <w:szCs w:val="16"/>
              </w:rPr>
            </w:pPr>
          </w:p>
        </w:tc>
        <w:tc>
          <w:tcPr>
            <w:tcW w:w="674" w:type="dxa"/>
            <w:shd w:val="clear" w:color="auto" w:fill="auto"/>
            <w:noWrap/>
            <w:vAlign w:val="center"/>
            <w:hideMark/>
          </w:tcPr>
          <w:p w14:paraId="473C3C19"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T</w:t>
            </w:r>
          </w:p>
        </w:tc>
        <w:tc>
          <w:tcPr>
            <w:tcW w:w="674" w:type="dxa"/>
            <w:shd w:val="clear" w:color="auto" w:fill="auto"/>
            <w:noWrap/>
            <w:vAlign w:val="center"/>
            <w:hideMark/>
          </w:tcPr>
          <w:p w14:paraId="6CDA6239"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H</w:t>
            </w:r>
          </w:p>
        </w:tc>
        <w:tc>
          <w:tcPr>
            <w:tcW w:w="674" w:type="dxa"/>
            <w:shd w:val="clear" w:color="auto" w:fill="auto"/>
            <w:noWrap/>
            <w:vAlign w:val="center"/>
            <w:hideMark/>
          </w:tcPr>
          <w:p w14:paraId="10F70811"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M</w:t>
            </w:r>
          </w:p>
        </w:tc>
        <w:tc>
          <w:tcPr>
            <w:tcW w:w="674" w:type="dxa"/>
            <w:shd w:val="clear" w:color="auto" w:fill="auto"/>
            <w:noWrap/>
            <w:vAlign w:val="center"/>
            <w:hideMark/>
          </w:tcPr>
          <w:p w14:paraId="6FFD2241"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T</w:t>
            </w:r>
          </w:p>
        </w:tc>
        <w:tc>
          <w:tcPr>
            <w:tcW w:w="674" w:type="dxa"/>
            <w:shd w:val="clear" w:color="auto" w:fill="auto"/>
            <w:noWrap/>
            <w:vAlign w:val="center"/>
            <w:hideMark/>
          </w:tcPr>
          <w:p w14:paraId="5D180CA6"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H</w:t>
            </w:r>
          </w:p>
        </w:tc>
        <w:tc>
          <w:tcPr>
            <w:tcW w:w="681" w:type="dxa"/>
            <w:shd w:val="clear" w:color="auto" w:fill="auto"/>
            <w:noWrap/>
            <w:vAlign w:val="center"/>
            <w:hideMark/>
          </w:tcPr>
          <w:p w14:paraId="7EAA3203" w14:textId="77777777" w:rsidR="009A52DC" w:rsidRPr="005970E9" w:rsidRDefault="009A52DC" w:rsidP="009A52DC">
            <w:pPr>
              <w:jc w:val="center"/>
              <w:rPr>
                <w:rFonts w:eastAsia="Times New Roman" w:cs="Arial"/>
                <w:sz w:val="16"/>
                <w:szCs w:val="16"/>
              </w:rPr>
            </w:pPr>
            <w:r w:rsidRPr="005970E9">
              <w:rPr>
                <w:rFonts w:eastAsia="Times New Roman" w:cs="Arial"/>
                <w:sz w:val="16"/>
                <w:szCs w:val="16"/>
              </w:rPr>
              <w:t>M</w:t>
            </w:r>
          </w:p>
        </w:tc>
      </w:tr>
      <w:tr w:rsidR="009A52DC" w:rsidRPr="005970E9" w14:paraId="1C6FCF15" w14:textId="77777777" w:rsidTr="009A52DC">
        <w:trPr>
          <w:trHeight w:val="276"/>
        </w:trPr>
        <w:tc>
          <w:tcPr>
            <w:tcW w:w="846" w:type="dxa"/>
            <w:shd w:val="clear" w:color="auto" w:fill="auto"/>
            <w:noWrap/>
            <w:vAlign w:val="center"/>
            <w:hideMark/>
          </w:tcPr>
          <w:p w14:paraId="58A62066" w14:textId="77777777" w:rsidR="009A52DC" w:rsidRPr="005970E9" w:rsidRDefault="009A52DC" w:rsidP="009A52DC">
            <w:pPr>
              <w:rPr>
                <w:rFonts w:eastAsia="Times New Roman" w:cs="Arial"/>
                <w:sz w:val="16"/>
                <w:szCs w:val="16"/>
              </w:rPr>
            </w:pPr>
            <w:r w:rsidRPr="005970E9">
              <w:rPr>
                <w:rFonts w:eastAsia="Times New Roman" w:cs="Arial"/>
                <w:sz w:val="16"/>
                <w:szCs w:val="16"/>
              </w:rPr>
              <w:t>Total</w:t>
            </w:r>
          </w:p>
        </w:tc>
        <w:tc>
          <w:tcPr>
            <w:tcW w:w="674" w:type="dxa"/>
            <w:shd w:val="clear" w:color="auto" w:fill="auto"/>
            <w:noWrap/>
            <w:vAlign w:val="bottom"/>
            <w:hideMark/>
          </w:tcPr>
          <w:p w14:paraId="7835DD7D"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723493</w:t>
            </w:r>
          </w:p>
        </w:tc>
        <w:tc>
          <w:tcPr>
            <w:tcW w:w="709" w:type="dxa"/>
            <w:shd w:val="clear" w:color="auto" w:fill="auto"/>
            <w:noWrap/>
            <w:vAlign w:val="bottom"/>
            <w:hideMark/>
          </w:tcPr>
          <w:p w14:paraId="457F0EF4"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439746</w:t>
            </w:r>
          </w:p>
        </w:tc>
        <w:tc>
          <w:tcPr>
            <w:tcW w:w="674" w:type="dxa"/>
            <w:shd w:val="clear" w:color="auto" w:fill="auto"/>
            <w:noWrap/>
            <w:vAlign w:val="bottom"/>
            <w:hideMark/>
          </w:tcPr>
          <w:p w14:paraId="366D7AF0"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228177</w:t>
            </w:r>
          </w:p>
        </w:tc>
        <w:tc>
          <w:tcPr>
            <w:tcW w:w="674" w:type="dxa"/>
            <w:shd w:val="clear" w:color="auto" w:fill="auto"/>
            <w:noWrap/>
            <w:vAlign w:val="bottom"/>
            <w:hideMark/>
          </w:tcPr>
          <w:p w14:paraId="211209EE"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211569</w:t>
            </w:r>
          </w:p>
        </w:tc>
        <w:tc>
          <w:tcPr>
            <w:tcW w:w="674" w:type="dxa"/>
            <w:shd w:val="clear" w:color="auto" w:fill="auto"/>
            <w:noWrap/>
            <w:vAlign w:val="bottom"/>
            <w:hideMark/>
          </w:tcPr>
          <w:p w14:paraId="4C13A08A"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283747</w:t>
            </w:r>
          </w:p>
        </w:tc>
        <w:tc>
          <w:tcPr>
            <w:tcW w:w="674" w:type="dxa"/>
            <w:shd w:val="clear" w:color="auto" w:fill="auto"/>
            <w:noWrap/>
            <w:vAlign w:val="bottom"/>
            <w:hideMark/>
          </w:tcPr>
          <w:p w14:paraId="2802A700"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140061</w:t>
            </w:r>
          </w:p>
        </w:tc>
        <w:tc>
          <w:tcPr>
            <w:tcW w:w="674" w:type="dxa"/>
            <w:shd w:val="clear" w:color="auto" w:fill="auto"/>
            <w:noWrap/>
            <w:vAlign w:val="bottom"/>
            <w:hideMark/>
          </w:tcPr>
          <w:p w14:paraId="08CD6ED0"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143686</w:t>
            </w:r>
          </w:p>
        </w:tc>
        <w:tc>
          <w:tcPr>
            <w:tcW w:w="674" w:type="dxa"/>
            <w:shd w:val="clear" w:color="auto" w:fill="auto"/>
            <w:noWrap/>
            <w:vAlign w:val="bottom"/>
            <w:hideMark/>
          </w:tcPr>
          <w:p w14:paraId="4C20E3CC"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712972</w:t>
            </w:r>
          </w:p>
        </w:tc>
        <w:tc>
          <w:tcPr>
            <w:tcW w:w="674" w:type="dxa"/>
            <w:shd w:val="clear" w:color="auto" w:fill="auto"/>
            <w:noWrap/>
            <w:vAlign w:val="bottom"/>
            <w:hideMark/>
          </w:tcPr>
          <w:p w14:paraId="24CFF8D4"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441655</w:t>
            </w:r>
          </w:p>
        </w:tc>
        <w:tc>
          <w:tcPr>
            <w:tcW w:w="674" w:type="dxa"/>
            <w:shd w:val="clear" w:color="auto" w:fill="auto"/>
            <w:noWrap/>
            <w:vAlign w:val="bottom"/>
            <w:hideMark/>
          </w:tcPr>
          <w:p w14:paraId="5989B02F"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227181</w:t>
            </w:r>
          </w:p>
        </w:tc>
        <w:tc>
          <w:tcPr>
            <w:tcW w:w="674" w:type="dxa"/>
            <w:shd w:val="clear" w:color="auto" w:fill="auto"/>
            <w:noWrap/>
            <w:vAlign w:val="bottom"/>
            <w:hideMark/>
          </w:tcPr>
          <w:p w14:paraId="1238ECBE"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214474</w:t>
            </w:r>
          </w:p>
        </w:tc>
        <w:tc>
          <w:tcPr>
            <w:tcW w:w="674" w:type="dxa"/>
            <w:shd w:val="clear" w:color="auto" w:fill="auto"/>
            <w:noWrap/>
            <w:vAlign w:val="bottom"/>
            <w:hideMark/>
          </w:tcPr>
          <w:p w14:paraId="2CDEFD8E"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271317</w:t>
            </w:r>
          </w:p>
        </w:tc>
        <w:tc>
          <w:tcPr>
            <w:tcW w:w="674" w:type="dxa"/>
            <w:shd w:val="clear" w:color="auto" w:fill="auto"/>
            <w:noWrap/>
            <w:vAlign w:val="bottom"/>
            <w:hideMark/>
          </w:tcPr>
          <w:p w14:paraId="01B203D6"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132150</w:t>
            </w:r>
          </w:p>
        </w:tc>
        <w:tc>
          <w:tcPr>
            <w:tcW w:w="681" w:type="dxa"/>
            <w:shd w:val="clear" w:color="auto" w:fill="auto"/>
            <w:noWrap/>
            <w:vAlign w:val="bottom"/>
            <w:hideMark/>
          </w:tcPr>
          <w:p w14:paraId="2549D4A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139167</w:t>
            </w:r>
          </w:p>
        </w:tc>
      </w:tr>
      <w:tr w:rsidR="009A52DC" w:rsidRPr="005970E9" w14:paraId="68281B2D" w14:textId="77777777" w:rsidTr="009A52DC">
        <w:trPr>
          <w:trHeight w:val="348"/>
        </w:trPr>
        <w:tc>
          <w:tcPr>
            <w:tcW w:w="846" w:type="dxa"/>
            <w:shd w:val="clear" w:color="auto" w:fill="auto"/>
            <w:noWrap/>
            <w:vAlign w:val="center"/>
            <w:hideMark/>
          </w:tcPr>
          <w:p w14:paraId="08681CE4" w14:textId="77777777" w:rsidR="009A52DC" w:rsidRPr="005970E9" w:rsidRDefault="009A52DC" w:rsidP="009A52DC">
            <w:pPr>
              <w:rPr>
                <w:rFonts w:eastAsia="Times New Roman" w:cs="Arial"/>
                <w:sz w:val="16"/>
                <w:szCs w:val="16"/>
              </w:rPr>
            </w:pPr>
            <w:r w:rsidRPr="005970E9">
              <w:rPr>
                <w:rFonts w:eastAsia="Times New Roman" w:cs="Arial"/>
                <w:sz w:val="16"/>
                <w:szCs w:val="16"/>
              </w:rPr>
              <w:t>Bocas del Toro</w:t>
            </w:r>
          </w:p>
        </w:tc>
        <w:tc>
          <w:tcPr>
            <w:tcW w:w="674" w:type="dxa"/>
            <w:shd w:val="clear" w:color="auto" w:fill="auto"/>
            <w:noWrap/>
            <w:vAlign w:val="bottom"/>
            <w:hideMark/>
          </w:tcPr>
          <w:p w14:paraId="1D291C84"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36679</w:t>
            </w:r>
          </w:p>
        </w:tc>
        <w:tc>
          <w:tcPr>
            <w:tcW w:w="709" w:type="dxa"/>
            <w:shd w:val="clear" w:color="auto" w:fill="auto"/>
            <w:noWrap/>
            <w:vAlign w:val="bottom"/>
            <w:hideMark/>
          </w:tcPr>
          <w:p w14:paraId="4D37A495"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25022</w:t>
            </w:r>
          </w:p>
        </w:tc>
        <w:tc>
          <w:tcPr>
            <w:tcW w:w="674" w:type="dxa"/>
            <w:shd w:val="clear" w:color="auto" w:fill="auto"/>
            <w:noWrap/>
            <w:vAlign w:val="bottom"/>
            <w:hideMark/>
          </w:tcPr>
          <w:p w14:paraId="6AB1BD8B"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13012</w:t>
            </w:r>
          </w:p>
        </w:tc>
        <w:tc>
          <w:tcPr>
            <w:tcW w:w="674" w:type="dxa"/>
            <w:shd w:val="clear" w:color="auto" w:fill="auto"/>
            <w:noWrap/>
            <w:vAlign w:val="bottom"/>
            <w:hideMark/>
          </w:tcPr>
          <w:p w14:paraId="3FC18065"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12010</w:t>
            </w:r>
          </w:p>
        </w:tc>
        <w:tc>
          <w:tcPr>
            <w:tcW w:w="674" w:type="dxa"/>
            <w:shd w:val="clear" w:color="auto" w:fill="auto"/>
            <w:noWrap/>
            <w:vAlign w:val="bottom"/>
            <w:hideMark/>
          </w:tcPr>
          <w:p w14:paraId="7D67890A"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11657</w:t>
            </w:r>
          </w:p>
        </w:tc>
        <w:tc>
          <w:tcPr>
            <w:tcW w:w="674" w:type="dxa"/>
            <w:shd w:val="clear" w:color="auto" w:fill="auto"/>
            <w:noWrap/>
            <w:vAlign w:val="bottom"/>
            <w:hideMark/>
          </w:tcPr>
          <w:p w14:paraId="0801497C"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6248</w:t>
            </w:r>
          </w:p>
        </w:tc>
        <w:tc>
          <w:tcPr>
            <w:tcW w:w="674" w:type="dxa"/>
            <w:shd w:val="clear" w:color="auto" w:fill="auto"/>
            <w:noWrap/>
            <w:vAlign w:val="bottom"/>
            <w:hideMark/>
          </w:tcPr>
          <w:p w14:paraId="346CCF79"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5409</w:t>
            </w:r>
          </w:p>
        </w:tc>
        <w:tc>
          <w:tcPr>
            <w:tcW w:w="674" w:type="dxa"/>
            <w:shd w:val="clear" w:color="auto" w:fill="auto"/>
            <w:noWrap/>
            <w:vAlign w:val="bottom"/>
            <w:hideMark/>
          </w:tcPr>
          <w:p w14:paraId="4D601BFD"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39509</w:t>
            </w:r>
          </w:p>
        </w:tc>
        <w:tc>
          <w:tcPr>
            <w:tcW w:w="674" w:type="dxa"/>
            <w:shd w:val="clear" w:color="auto" w:fill="auto"/>
            <w:noWrap/>
            <w:vAlign w:val="bottom"/>
            <w:hideMark/>
          </w:tcPr>
          <w:p w14:paraId="7B1E9A3D"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26842</w:t>
            </w:r>
          </w:p>
        </w:tc>
        <w:tc>
          <w:tcPr>
            <w:tcW w:w="674" w:type="dxa"/>
            <w:shd w:val="clear" w:color="auto" w:fill="auto"/>
            <w:noWrap/>
            <w:vAlign w:val="bottom"/>
            <w:hideMark/>
          </w:tcPr>
          <w:p w14:paraId="6010147D"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13959</w:t>
            </w:r>
          </w:p>
        </w:tc>
        <w:tc>
          <w:tcPr>
            <w:tcW w:w="674" w:type="dxa"/>
            <w:shd w:val="clear" w:color="auto" w:fill="auto"/>
            <w:noWrap/>
            <w:vAlign w:val="bottom"/>
            <w:hideMark/>
          </w:tcPr>
          <w:p w14:paraId="63EEE2D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12883</w:t>
            </w:r>
          </w:p>
        </w:tc>
        <w:tc>
          <w:tcPr>
            <w:tcW w:w="674" w:type="dxa"/>
            <w:shd w:val="clear" w:color="auto" w:fill="auto"/>
            <w:noWrap/>
            <w:vAlign w:val="bottom"/>
            <w:hideMark/>
          </w:tcPr>
          <w:p w14:paraId="5E812D5E"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12667</w:t>
            </w:r>
          </w:p>
        </w:tc>
        <w:tc>
          <w:tcPr>
            <w:tcW w:w="674" w:type="dxa"/>
            <w:shd w:val="clear" w:color="auto" w:fill="auto"/>
            <w:noWrap/>
            <w:vAlign w:val="bottom"/>
            <w:hideMark/>
          </w:tcPr>
          <w:p w14:paraId="1CB65222"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6148</w:t>
            </w:r>
          </w:p>
        </w:tc>
        <w:tc>
          <w:tcPr>
            <w:tcW w:w="681" w:type="dxa"/>
            <w:shd w:val="clear" w:color="auto" w:fill="auto"/>
            <w:noWrap/>
            <w:vAlign w:val="bottom"/>
            <w:hideMark/>
          </w:tcPr>
          <w:p w14:paraId="197993CF"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6519</w:t>
            </w:r>
          </w:p>
        </w:tc>
      </w:tr>
      <w:tr w:rsidR="009A52DC" w:rsidRPr="005970E9" w14:paraId="52FC3694" w14:textId="77777777" w:rsidTr="009A52DC">
        <w:trPr>
          <w:trHeight w:val="348"/>
        </w:trPr>
        <w:tc>
          <w:tcPr>
            <w:tcW w:w="846" w:type="dxa"/>
            <w:shd w:val="clear" w:color="auto" w:fill="auto"/>
            <w:noWrap/>
            <w:vAlign w:val="center"/>
            <w:hideMark/>
          </w:tcPr>
          <w:p w14:paraId="65A78947" w14:textId="32F54C04" w:rsidR="009A52DC" w:rsidRPr="005970E9" w:rsidRDefault="009A52DC" w:rsidP="009A52DC">
            <w:pPr>
              <w:rPr>
                <w:rFonts w:eastAsia="Times New Roman" w:cs="Arial"/>
                <w:sz w:val="16"/>
                <w:szCs w:val="16"/>
              </w:rPr>
            </w:pPr>
            <w:r w:rsidRPr="005970E9">
              <w:rPr>
                <w:rFonts w:eastAsia="Times New Roman" w:cs="Arial"/>
                <w:sz w:val="16"/>
                <w:szCs w:val="16"/>
              </w:rPr>
              <w:t>Chiriquí</w:t>
            </w:r>
          </w:p>
        </w:tc>
        <w:tc>
          <w:tcPr>
            <w:tcW w:w="674" w:type="dxa"/>
            <w:shd w:val="clear" w:color="auto" w:fill="auto"/>
            <w:noWrap/>
            <w:vAlign w:val="bottom"/>
            <w:hideMark/>
          </w:tcPr>
          <w:p w14:paraId="674A5344"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90883</w:t>
            </w:r>
          </w:p>
        </w:tc>
        <w:tc>
          <w:tcPr>
            <w:tcW w:w="709" w:type="dxa"/>
            <w:shd w:val="clear" w:color="auto" w:fill="auto"/>
            <w:noWrap/>
            <w:vAlign w:val="bottom"/>
            <w:hideMark/>
          </w:tcPr>
          <w:p w14:paraId="296935D1"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53059</w:t>
            </w:r>
          </w:p>
        </w:tc>
        <w:tc>
          <w:tcPr>
            <w:tcW w:w="674" w:type="dxa"/>
            <w:shd w:val="clear" w:color="auto" w:fill="auto"/>
            <w:noWrap/>
            <w:vAlign w:val="bottom"/>
            <w:hideMark/>
          </w:tcPr>
          <w:p w14:paraId="44424BCC"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27551</w:t>
            </w:r>
          </w:p>
        </w:tc>
        <w:tc>
          <w:tcPr>
            <w:tcW w:w="674" w:type="dxa"/>
            <w:shd w:val="clear" w:color="auto" w:fill="auto"/>
            <w:noWrap/>
            <w:vAlign w:val="bottom"/>
            <w:hideMark/>
          </w:tcPr>
          <w:p w14:paraId="3E62A5C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25508</w:t>
            </w:r>
          </w:p>
        </w:tc>
        <w:tc>
          <w:tcPr>
            <w:tcW w:w="674" w:type="dxa"/>
            <w:shd w:val="clear" w:color="auto" w:fill="auto"/>
            <w:noWrap/>
            <w:vAlign w:val="bottom"/>
            <w:hideMark/>
          </w:tcPr>
          <w:p w14:paraId="697EA6DF"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37824</w:t>
            </w:r>
          </w:p>
        </w:tc>
        <w:tc>
          <w:tcPr>
            <w:tcW w:w="674" w:type="dxa"/>
            <w:shd w:val="clear" w:color="auto" w:fill="auto"/>
            <w:noWrap/>
            <w:vAlign w:val="bottom"/>
            <w:hideMark/>
          </w:tcPr>
          <w:p w14:paraId="3AD4A236"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18596</w:t>
            </w:r>
          </w:p>
        </w:tc>
        <w:tc>
          <w:tcPr>
            <w:tcW w:w="674" w:type="dxa"/>
            <w:shd w:val="clear" w:color="auto" w:fill="auto"/>
            <w:noWrap/>
            <w:vAlign w:val="bottom"/>
            <w:hideMark/>
          </w:tcPr>
          <w:p w14:paraId="0A5FCC5C"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19228</w:t>
            </w:r>
          </w:p>
        </w:tc>
        <w:tc>
          <w:tcPr>
            <w:tcW w:w="674" w:type="dxa"/>
            <w:shd w:val="clear" w:color="auto" w:fill="auto"/>
            <w:noWrap/>
            <w:vAlign w:val="bottom"/>
            <w:hideMark/>
          </w:tcPr>
          <w:p w14:paraId="182F97A0"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84759</w:t>
            </w:r>
          </w:p>
        </w:tc>
        <w:tc>
          <w:tcPr>
            <w:tcW w:w="674" w:type="dxa"/>
            <w:shd w:val="clear" w:color="auto" w:fill="auto"/>
            <w:noWrap/>
            <w:vAlign w:val="bottom"/>
            <w:hideMark/>
          </w:tcPr>
          <w:p w14:paraId="74D8A36C"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49394</w:t>
            </w:r>
          </w:p>
        </w:tc>
        <w:tc>
          <w:tcPr>
            <w:tcW w:w="674" w:type="dxa"/>
            <w:shd w:val="clear" w:color="auto" w:fill="auto"/>
            <w:noWrap/>
            <w:vAlign w:val="bottom"/>
            <w:hideMark/>
          </w:tcPr>
          <w:p w14:paraId="36025F52"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25260</w:t>
            </w:r>
          </w:p>
        </w:tc>
        <w:tc>
          <w:tcPr>
            <w:tcW w:w="674" w:type="dxa"/>
            <w:shd w:val="clear" w:color="auto" w:fill="auto"/>
            <w:noWrap/>
            <w:vAlign w:val="bottom"/>
            <w:hideMark/>
          </w:tcPr>
          <w:p w14:paraId="140F94A6"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24134</w:t>
            </w:r>
          </w:p>
        </w:tc>
        <w:tc>
          <w:tcPr>
            <w:tcW w:w="674" w:type="dxa"/>
            <w:shd w:val="clear" w:color="auto" w:fill="auto"/>
            <w:noWrap/>
            <w:vAlign w:val="bottom"/>
            <w:hideMark/>
          </w:tcPr>
          <w:p w14:paraId="34C65F33"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35365</w:t>
            </w:r>
          </w:p>
        </w:tc>
        <w:tc>
          <w:tcPr>
            <w:tcW w:w="674" w:type="dxa"/>
            <w:shd w:val="clear" w:color="auto" w:fill="auto"/>
            <w:noWrap/>
            <w:vAlign w:val="bottom"/>
            <w:hideMark/>
          </w:tcPr>
          <w:p w14:paraId="393EF88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16921</w:t>
            </w:r>
          </w:p>
        </w:tc>
        <w:tc>
          <w:tcPr>
            <w:tcW w:w="681" w:type="dxa"/>
            <w:shd w:val="clear" w:color="auto" w:fill="auto"/>
            <w:noWrap/>
            <w:vAlign w:val="bottom"/>
            <w:hideMark/>
          </w:tcPr>
          <w:p w14:paraId="3FD11415"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18444</w:t>
            </w:r>
          </w:p>
        </w:tc>
      </w:tr>
      <w:tr w:rsidR="009A52DC" w:rsidRPr="005970E9" w14:paraId="13E2BB36" w14:textId="77777777" w:rsidTr="009A52DC">
        <w:trPr>
          <w:trHeight w:val="348"/>
        </w:trPr>
        <w:tc>
          <w:tcPr>
            <w:tcW w:w="846" w:type="dxa"/>
            <w:shd w:val="clear" w:color="auto" w:fill="auto"/>
            <w:noWrap/>
            <w:vAlign w:val="center"/>
            <w:hideMark/>
          </w:tcPr>
          <w:p w14:paraId="30C6BA83" w14:textId="77777777" w:rsidR="009A52DC" w:rsidRPr="005970E9" w:rsidRDefault="009A52DC" w:rsidP="009A52DC">
            <w:pPr>
              <w:rPr>
                <w:rFonts w:eastAsia="Times New Roman" w:cs="Arial"/>
                <w:sz w:val="16"/>
                <w:szCs w:val="16"/>
              </w:rPr>
            </w:pPr>
            <w:r w:rsidRPr="005970E9">
              <w:rPr>
                <w:rFonts w:eastAsia="Times New Roman" w:cs="Arial"/>
                <w:sz w:val="16"/>
                <w:szCs w:val="16"/>
              </w:rPr>
              <w:t>Coclé</w:t>
            </w:r>
          </w:p>
        </w:tc>
        <w:tc>
          <w:tcPr>
            <w:tcW w:w="674" w:type="dxa"/>
            <w:shd w:val="clear" w:color="auto" w:fill="auto"/>
            <w:noWrap/>
            <w:vAlign w:val="bottom"/>
            <w:hideMark/>
          </w:tcPr>
          <w:p w14:paraId="52EDF8E6"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52978</w:t>
            </w:r>
          </w:p>
        </w:tc>
        <w:tc>
          <w:tcPr>
            <w:tcW w:w="709" w:type="dxa"/>
            <w:shd w:val="clear" w:color="auto" w:fill="auto"/>
            <w:noWrap/>
            <w:vAlign w:val="bottom"/>
            <w:hideMark/>
          </w:tcPr>
          <w:p w14:paraId="0E726A12"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31045</w:t>
            </w:r>
          </w:p>
        </w:tc>
        <w:tc>
          <w:tcPr>
            <w:tcW w:w="674" w:type="dxa"/>
            <w:shd w:val="clear" w:color="auto" w:fill="auto"/>
            <w:noWrap/>
            <w:vAlign w:val="bottom"/>
            <w:hideMark/>
          </w:tcPr>
          <w:p w14:paraId="565BF833"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16139</w:t>
            </w:r>
          </w:p>
        </w:tc>
        <w:tc>
          <w:tcPr>
            <w:tcW w:w="674" w:type="dxa"/>
            <w:shd w:val="clear" w:color="auto" w:fill="auto"/>
            <w:noWrap/>
            <w:vAlign w:val="bottom"/>
            <w:hideMark/>
          </w:tcPr>
          <w:p w14:paraId="214D9731"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14906</w:t>
            </w:r>
          </w:p>
        </w:tc>
        <w:tc>
          <w:tcPr>
            <w:tcW w:w="674" w:type="dxa"/>
            <w:shd w:val="clear" w:color="auto" w:fill="auto"/>
            <w:noWrap/>
            <w:vAlign w:val="bottom"/>
            <w:hideMark/>
          </w:tcPr>
          <w:p w14:paraId="38AE0466"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21933</w:t>
            </w:r>
          </w:p>
        </w:tc>
        <w:tc>
          <w:tcPr>
            <w:tcW w:w="674" w:type="dxa"/>
            <w:shd w:val="clear" w:color="auto" w:fill="auto"/>
            <w:noWrap/>
            <w:vAlign w:val="bottom"/>
            <w:hideMark/>
          </w:tcPr>
          <w:p w14:paraId="06EB8F7B"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10510</w:t>
            </w:r>
          </w:p>
        </w:tc>
        <w:tc>
          <w:tcPr>
            <w:tcW w:w="674" w:type="dxa"/>
            <w:shd w:val="clear" w:color="auto" w:fill="auto"/>
            <w:noWrap/>
            <w:vAlign w:val="bottom"/>
            <w:hideMark/>
          </w:tcPr>
          <w:p w14:paraId="15EC0DAB"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11423</w:t>
            </w:r>
          </w:p>
        </w:tc>
        <w:tc>
          <w:tcPr>
            <w:tcW w:w="674" w:type="dxa"/>
            <w:shd w:val="clear" w:color="auto" w:fill="auto"/>
            <w:noWrap/>
            <w:vAlign w:val="bottom"/>
            <w:hideMark/>
          </w:tcPr>
          <w:p w14:paraId="1BD52480"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46432</w:t>
            </w:r>
          </w:p>
        </w:tc>
        <w:tc>
          <w:tcPr>
            <w:tcW w:w="674" w:type="dxa"/>
            <w:shd w:val="clear" w:color="auto" w:fill="auto"/>
            <w:noWrap/>
            <w:vAlign w:val="bottom"/>
            <w:hideMark/>
          </w:tcPr>
          <w:p w14:paraId="5AE611FF"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27811</w:t>
            </w:r>
          </w:p>
        </w:tc>
        <w:tc>
          <w:tcPr>
            <w:tcW w:w="674" w:type="dxa"/>
            <w:shd w:val="clear" w:color="auto" w:fill="auto"/>
            <w:noWrap/>
            <w:vAlign w:val="bottom"/>
            <w:hideMark/>
          </w:tcPr>
          <w:p w14:paraId="474D5920"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14290</w:t>
            </w:r>
          </w:p>
        </w:tc>
        <w:tc>
          <w:tcPr>
            <w:tcW w:w="674" w:type="dxa"/>
            <w:shd w:val="clear" w:color="auto" w:fill="auto"/>
            <w:noWrap/>
            <w:vAlign w:val="bottom"/>
            <w:hideMark/>
          </w:tcPr>
          <w:p w14:paraId="7D60F344"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13521</w:t>
            </w:r>
          </w:p>
        </w:tc>
        <w:tc>
          <w:tcPr>
            <w:tcW w:w="674" w:type="dxa"/>
            <w:shd w:val="clear" w:color="auto" w:fill="auto"/>
            <w:noWrap/>
            <w:vAlign w:val="bottom"/>
            <w:hideMark/>
          </w:tcPr>
          <w:p w14:paraId="0B618552"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18621</w:t>
            </w:r>
          </w:p>
        </w:tc>
        <w:tc>
          <w:tcPr>
            <w:tcW w:w="674" w:type="dxa"/>
            <w:shd w:val="clear" w:color="auto" w:fill="auto"/>
            <w:noWrap/>
            <w:vAlign w:val="bottom"/>
            <w:hideMark/>
          </w:tcPr>
          <w:p w14:paraId="374459F4"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8798</w:t>
            </w:r>
          </w:p>
        </w:tc>
        <w:tc>
          <w:tcPr>
            <w:tcW w:w="681" w:type="dxa"/>
            <w:shd w:val="clear" w:color="auto" w:fill="auto"/>
            <w:noWrap/>
            <w:vAlign w:val="bottom"/>
            <w:hideMark/>
          </w:tcPr>
          <w:p w14:paraId="543BC433"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9823</w:t>
            </w:r>
          </w:p>
        </w:tc>
      </w:tr>
      <w:tr w:rsidR="009A52DC" w:rsidRPr="005970E9" w14:paraId="5BC36C67" w14:textId="77777777" w:rsidTr="009A52DC">
        <w:trPr>
          <w:trHeight w:val="348"/>
        </w:trPr>
        <w:tc>
          <w:tcPr>
            <w:tcW w:w="846" w:type="dxa"/>
            <w:shd w:val="clear" w:color="auto" w:fill="auto"/>
            <w:noWrap/>
            <w:vAlign w:val="center"/>
            <w:hideMark/>
          </w:tcPr>
          <w:p w14:paraId="7C34C28E" w14:textId="77777777" w:rsidR="009A52DC" w:rsidRPr="005970E9" w:rsidRDefault="009A52DC" w:rsidP="009A52DC">
            <w:pPr>
              <w:rPr>
                <w:rFonts w:eastAsia="Times New Roman" w:cs="Arial"/>
                <w:sz w:val="16"/>
                <w:szCs w:val="16"/>
              </w:rPr>
            </w:pPr>
            <w:r w:rsidRPr="005970E9">
              <w:rPr>
                <w:rFonts w:eastAsia="Times New Roman" w:cs="Arial"/>
                <w:sz w:val="16"/>
                <w:szCs w:val="16"/>
              </w:rPr>
              <w:t>Colón</w:t>
            </w:r>
          </w:p>
        </w:tc>
        <w:tc>
          <w:tcPr>
            <w:tcW w:w="674" w:type="dxa"/>
            <w:shd w:val="clear" w:color="auto" w:fill="auto"/>
            <w:noWrap/>
            <w:vAlign w:val="bottom"/>
            <w:hideMark/>
          </w:tcPr>
          <w:p w14:paraId="0F18CDC8"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55799</w:t>
            </w:r>
          </w:p>
        </w:tc>
        <w:tc>
          <w:tcPr>
            <w:tcW w:w="709" w:type="dxa"/>
            <w:shd w:val="clear" w:color="auto" w:fill="auto"/>
            <w:noWrap/>
            <w:vAlign w:val="bottom"/>
            <w:hideMark/>
          </w:tcPr>
          <w:p w14:paraId="459B1F70"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32132</w:t>
            </w:r>
          </w:p>
        </w:tc>
        <w:tc>
          <w:tcPr>
            <w:tcW w:w="674" w:type="dxa"/>
            <w:shd w:val="clear" w:color="auto" w:fill="auto"/>
            <w:noWrap/>
            <w:vAlign w:val="bottom"/>
            <w:hideMark/>
          </w:tcPr>
          <w:p w14:paraId="6B11E4DA"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16700</w:t>
            </w:r>
          </w:p>
        </w:tc>
        <w:tc>
          <w:tcPr>
            <w:tcW w:w="674" w:type="dxa"/>
            <w:shd w:val="clear" w:color="auto" w:fill="auto"/>
            <w:noWrap/>
            <w:vAlign w:val="bottom"/>
            <w:hideMark/>
          </w:tcPr>
          <w:p w14:paraId="28855EE1"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15432</w:t>
            </w:r>
          </w:p>
        </w:tc>
        <w:tc>
          <w:tcPr>
            <w:tcW w:w="674" w:type="dxa"/>
            <w:shd w:val="clear" w:color="auto" w:fill="auto"/>
            <w:noWrap/>
            <w:vAlign w:val="bottom"/>
            <w:hideMark/>
          </w:tcPr>
          <w:p w14:paraId="1F95B5EE"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23667</w:t>
            </w:r>
          </w:p>
        </w:tc>
        <w:tc>
          <w:tcPr>
            <w:tcW w:w="674" w:type="dxa"/>
            <w:shd w:val="clear" w:color="auto" w:fill="auto"/>
            <w:noWrap/>
            <w:vAlign w:val="bottom"/>
            <w:hideMark/>
          </w:tcPr>
          <w:p w14:paraId="4D713D48"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11548</w:t>
            </w:r>
          </w:p>
        </w:tc>
        <w:tc>
          <w:tcPr>
            <w:tcW w:w="674" w:type="dxa"/>
            <w:shd w:val="clear" w:color="auto" w:fill="auto"/>
            <w:noWrap/>
            <w:vAlign w:val="bottom"/>
            <w:hideMark/>
          </w:tcPr>
          <w:p w14:paraId="0C48DA7C"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12119</w:t>
            </w:r>
          </w:p>
        </w:tc>
        <w:tc>
          <w:tcPr>
            <w:tcW w:w="674" w:type="dxa"/>
            <w:shd w:val="clear" w:color="auto" w:fill="auto"/>
            <w:noWrap/>
            <w:vAlign w:val="bottom"/>
            <w:hideMark/>
          </w:tcPr>
          <w:p w14:paraId="61F28D0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47577</w:t>
            </w:r>
          </w:p>
        </w:tc>
        <w:tc>
          <w:tcPr>
            <w:tcW w:w="674" w:type="dxa"/>
            <w:shd w:val="clear" w:color="auto" w:fill="auto"/>
            <w:noWrap/>
            <w:vAlign w:val="bottom"/>
            <w:hideMark/>
          </w:tcPr>
          <w:p w14:paraId="31193869"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28215</w:t>
            </w:r>
          </w:p>
        </w:tc>
        <w:tc>
          <w:tcPr>
            <w:tcW w:w="674" w:type="dxa"/>
            <w:shd w:val="clear" w:color="auto" w:fill="auto"/>
            <w:noWrap/>
            <w:vAlign w:val="bottom"/>
            <w:hideMark/>
          </w:tcPr>
          <w:p w14:paraId="2F95D914"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14515</w:t>
            </w:r>
          </w:p>
        </w:tc>
        <w:tc>
          <w:tcPr>
            <w:tcW w:w="674" w:type="dxa"/>
            <w:shd w:val="clear" w:color="auto" w:fill="auto"/>
            <w:noWrap/>
            <w:vAlign w:val="bottom"/>
            <w:hideMark/>
          </w:tcPr>
          <w:p w14:paraId="22B5B24E"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13700</w:t>
            </w:r>
          </w:p>
        </w:tc>
        <w:tc>
          <w:tcPr>
            <w:tcW w:w="674" w:type="dxa"/>
            <w:shd w:val="clear" w:color="auto" w:fill="auto"/>
            <w:noWrap/>
            <w:vAlign w:val="bottom"/>
            <w:hideMark/>
          </w:tcPr>
          <w:p w14:paraId="2F860C3D"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19362</w:t>
            </w:r>
          </w:p>
        </w:tc>
        <w:tc>
          <w:tcPr>
            <w:tcW w:w="674" w:type="dxa"/>
            <w:shd w:val="clear" w:color="auto" w:fill="auto"/>
            <w:noWrap/>
            <w:vAlign w:val="bottom"/>
            <w:hideMark/>
          </w:tcPr>
          <w:p w14:paraId="449058F3"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9446</w:t>
            </w:r>
          </w:p>
        </w:tc>
        <w:tc>
          <w:tcPr>
            <w:tcW w:w="681" w:type="dxa"/>
            <w:shd w:val="clear" w:color="auto" w:fill="auto"/>
            <w:noWrap/>
            <w:vAlign w:val="bottom"/>
            <w:hideMark/>
          </w:tcPr>
          <w:p w14:paraId="70B1457B"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9916</w:t>
            </w:r>
          </w:p>
        </w:tc>
      </w:tr>
      <w:tr w:rsidR="009A52DC" w:rsidRPr="005970E9" w14:paraId="755D1AF9" w14:textId="77777777" w:rsidTr="009A52DC">
        <w:trPr>
          <w:trHeight w:val="348"/>
        </w:trPr>
        <w:tc>
          <w:tcPr>
            <w:tcW w:w="846" w:type="dxa"/>
            <w:shd w:val="clear" w:color="auto" w:fill="auto"/>
            <w:noWrap/>
            <w:vAlign w:val="center"/>
            <w:hideMark/>
          </w:tcPr>
          <w:p w14:paraId="73229AD5" w14:textId="3E42DC19" w:rsidR="009A52DC" w:rsidRPr="005970E9" w:rsidRDefault="009A52DC" w:rsidP="009A52DC">
            <w:pPr>
              <w:rPr>
                <w:rFonts w:eastAsia="Times New Roman" w:cs="Arial"/>
                <w:sz w:val="16"/>
                <w:szCs w:val="16"/>
              </w:rPr>
            </w:pPr>
            <w:r w:rsidRPr="005970E9">
              <w:rPr>
                <w:rFonts w:eastAsia="Times New Roman" w:cs="Arial"/>
                <w:sz w:val="16"/>
                <w:szCs w:val="16"/>
              </w:rPr>
              <w:t>Darién</w:t>
            </w:r>
          </w:p>
        </w:tc>
        <w:tc>
          <w:tcPr>
            <w:tcW w:w="674" w:type="dxa"/>
            <w:shd w:val="clear" w:color="auto" w:fill="auto"/>
            <w:noWrap/>
            <w:vAlign w:val="bottom"/>
            <w:hideMark/>
          </w:tcPr>
          <w:p w14:paraId="119AE168"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12721</w:t>
            </w:r>
          </w:p>
        </w:tc>
        <w:tc>
          <w:tcPr>
            <w:tcW w:w="709" w:type="dxa"/>
            <w:shd w:val="clear" w:color="auto" w:fill="auto"/>
            <w:noWrap/>
            <w:vAlign w:val="bottom"/>
            <w:hideMark/>
          </w:tcPr>
          <w:p w14:paraId="7DC6085A"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8918</w:t>
            </w:r>
          </w:p>
        </w:tc>
        <w:tc>
          <w:tcPr>
            <w:tcW w:w="674" w:type="dxa"/>
            <w:shd w:val="clear" w:color="auto" w:fill="auto"/>
            <w:noWrap/>
            <w:vAlign w:val="bottom"/>
            <w:hideMark/>
          </w:tcPr>
          <w:p w14:paraId="313B600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4741</w:t>
            </w:r>
          </w:p>
        </w:tc>
        <w:tc>
          <w:tcPr>
            <w:tcW w:w="674" w:type="dxa"/>
            <w:shd w:val="clear" w:color="auto" w:fill="auto"/>
            <w:noWrap/>
            <w:vAlign w:val="bottom"/>
            <w:hideMark/>
          </w:tcPr>
          <w:p w14:paraId="4DDFC5C8"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4177</w:t>
            </w:r>
          </w:p>
        </w:tc>
        <w:tc>
          <w:tcPr>
            <w:tcW w:w="674" w:type="dxa"/>
            <w:shd w:val="clear" w:color="auto" w:fill="auto"/>
            <w:noWrap/>
            <w:vAlign w:val="bottom"/>
            <w:hideMark/>
          </w:tcPr>
          <w:p w14:paraId="1CB3704F"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3803</w:t>
            </w:r>
          </w:p>
        </w:tc>
        <w:tc>
          <w:tcPr>
            <w:tcW w:w="674" w:type="dxa"/>
            <w:shd w:val="clear" w:color="auto" w:fill="auto"/>
            <w:noWrap/>
            <w:vAlign w:val="bottom"/>
            <w:hideMark/>
          </w:tcPr>
          <w:p w14:paraId="2AE85AB2"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1911</w:t>
            </w:r>
          </w:p>
        </w:tc>
        <w:tc>
          <w:tcPr>
            <w:tcW w:w="674" w:type="dxa"/>
            <w:shd w:val="clear" w:color="auto" w:fill="auto"/>
            <w:noWrap/>
            <w:vAlign w:val="bottom"/>
            <w:hideMark/>
          </w:tcPr>
          <w:p w14:paraId="2EEC29E5"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1892</w:t>
            </w:r>
          </w:p>
        </w:tc>
        <w:tc>
          <w:tcPr>
            <w:tcW w:w="674" w:type="dxa"/>
            <w:shd w:val="clear" w:color="auto" w:fill="auto"/>
            <w:noWrap/>
            <w:vAlign w:val="bottom"/>
            <w:hideMark/>
          </w:tcPr>
          <w:p w14:paraId="350FF7C1"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11913</w:t>
            </w:r>
          </w:p>
        </w:tc>
        <w:tc>
          <w:tcPr>
            <w:tcW w:w="674" w:type="dxa"/>
            <w:shd w:val="clear" w:color="auto" w:fill="auto"/>
            <w:noWrap/>
            <w:vAlign w:val="bottom"/>
            <w:hideMark/>
          </w:tcPr>
          <w:p w14:paraId="40A07E7B"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7866</w:t>
            </w:r>
          </w:p>
        </w:tc>
        <w:tc>
          <w:tcPr>
            <w:tcW w:w="674" w:type="dxa"/>
            <w:shd w:val="clear" w:color="auto" w:fill="auto"/>
            <w:noWrap/>
            <w:vAlign w:val="bottom"/>
            <w:hideMark/>
          </w:tcPr>
          <w:p w14:paraId="68210694"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4140</w:t>
            </w:r>
          </w:p>
        </w:tc>
        <w:tc>
          <w:tcPr>
            <w:tcW w:w="674" w:type="dxa"/>
            <w:shd w:val="clear" w:color="auto" w:fill="auto"/>
            <w:noWrap/>
            <w:vAlign w:val="bottom"/>
            <w:hideMark/>
          </w:tcPr>
          <w:p w14:paraId="56064A0F"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3726</w:t>
            </w:r>
          </w:p>
        </w:tc>
        <w:tc>
          <w:tcPr>
            <w:tcW w:w="674" w:type="dxa"/>
            <w:shd w:val="clear" w:color="auto" w:fill="auto"/>
            <w:noWrap/>
            <w:vAlign w:val="bottom"/>
            <w:hideMark/>
          </w:tcPr>
          <w:p w14:paraId="4A5409AD"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4047</w:t>
            </w:r>
          </w:p>
        </w:tc>
        <w:tc>
          <w:tcPr>
            <w:tcW w:w="674" w:type="dxa"/>
            <w:shd w:val="clear" w:color="auto" w:fill="auto"/>
            <w:noWrap/>
            <w:vAlign w:val="bottom"/>
            <w:hideMark/>
          </w:tcPr>
          <w:p w14:paraId="1503FEBA"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2015</w:t>
            </w:r>
          </w:p>
        </w:tc>
        <w:tc>
          <w:tcPr>
            <w:tcW w:w="681" w:type="dxa"/>
            <w:shd w:val="clear" w:color="auto" w:fill="auto"/>
            <w:noWrap/>
            <w:vAlign w:val="bottom"/>
            <w:hideMark/>
          </w:tcPr>
          <w:p w14:paraId="554FE6FB"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2032</w:t>
            </w:r>
          </w:p>
        </w:tc>
      </w:tr>
      <w:tr w:rsidR="009A52DC" w:rsidRPr="005970E9" w14:paraId="3C9D781F" w14:textId="77777777" w:rsidTr="009A52DC">
        <w:trPr>
          <w:trHeight w:val="348"/>
        </w:trPr>
        <w:tc>
          <w:tcPr>
            <w:tcW w:w="846" w:type="dxa"/>
            <w:shd w:val="clear" w:color="auto" w:fill="auto"/>
            <w:noWrap/>
            <w:vAlign w:val="center"/>
            <w:hideMark/>
          </w:tcPr>
          <w:p w14:paraId="0FE0C2F6" w14:textId="77777777" w:rsidR="009A52DC" w:rsidRPr="005970E9" w:rsidRDefault="009A52DC" w:rsidP="009A52DC">
            <w:pPr>
              <w:rPr>
                <w:rFonts w:eastAsia="Times New Roman" w:cs="Arial"/>
                <w:sz w:val="16"/>
                <w:szCs w:val="16"/>
              </w:rPr>
            </w:pPr>
            <w:r w:rsidRPr="005970E9">
              <w:rPr>
                <w:rFonts w:eastAsia="Times New Roman" w:cs="Arial"/>
                <w:sz w:val="16"/>
                <w:szCs w:val="16"/>
              </w:rPr>
              <w:t>Herrera</w:t>
            </w:r>
          </w:p>
        </w:tc>
        <w:tc>
          <w:tcPr>
            <w:tcW w:w="674" w:type="dxa"/>
            <w:shd w:val="clear" w:color="auto" w:fill="auto"/>
            <w:noWrap/>
            <w:vAlign w:val="bottom"/>
            <w:hideMark/>
          </w:tcPr>
          <w:p w14:paraId="3CA41EA0"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21567</w:t>
            </w:r>
          </w:p>
        </w:tc>
        <w:tc>
          <w:tcPr>
            <w:tcW w:w="709" w:type="dxa"/>
            <w:shd w:val="clear" w:color="auto" w:fill="auto"/>
            <w:noWrap/>
            <w:vAlign w:val="bottom"/>
            <w:hideMark/>
          </w:tcPr>
          <w:p w14:paraId="7F37AFFF"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12114</w:t>
            </w:r>
          </w:p>
        </w:tc>
        <w:tc>
          <w:tcPr>
            <w:tcW w:w="674" w:type="dxa"/>
            <w:shd w:val="clear" w:color="auto" w:fill="auto"/>
            <w:noWrap/>
            <w:vAlign w:val="bottom"/>
            <w:hideMark/>
          </w:tcPr>
          <w:p w14:paraId="1667BB9B"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6337</w:t>
            </w:r>
          </w:p>
        </w:tc>
        <w:tc>
          <w:tcPr>
            <w:tcW w:w="674" w:type="dxa"/>
            <w:shd w:val="clear" w:color="auto" w:fill="auto"/>
            <w:noWrap/>
            <w:vAlign w:val="bottom"/>
            <w:hideMark/>
          </w:tcPr>
          <w:p w14:paraId="2494E76D"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5777</w:t>
            </w:r>
          </w:p>
        </w:tc>
        <w:tc>
          <w:tcPr>
            <w:tcW w:w="674" w:type="dxa"/>
            <w:shd w:val="clear" w:color="auto" w:fill="auto"/>
            <w:noWrap/>
            <w:vAlign w:val="bottom"/>
            <w:hideMark/>
          </w:tcPr>
          <w:p w14:paraId="7F7F0A53"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9453</w:t>
            </w:r>
          </w:p>
        </w:tc>
        <w:tc>
          <w:tcPr>
            <w:tcW w:w="674" w:type="dxa"/>
            <w:shd w:val="clear" w:color="auto" w:fill="auto"/>
            <w:noWrap/>
            <w:vAlign w:val="bottom"/>
            <w:hideMark/>
          </w:tcPr>
          <w:p w14:paraId="47BC082A"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4461</w:t>
            </w:r>
          </w:p>
        </w:tc>
        <w:tc>
          <w:tcPr>
            <w:tcW w:w="674" w:type="dxa"/>
            <w:shd w:val="clear" w:color="auto" w:fill="auto"/>
            <w:noWrap/>
            <w:vAlign w:val="bottom"/>
            <w:hideMark/>
          </w:tcPr>
          <w:p w14:paraId="13921066"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4992</w:t>
            </w:r>
          </w:p>
        </w:tc>
        <w:tc>
          <w:tcPr>
            <w:tcW w:w="674" w:type="dxa"/>
            <w:shd w:val="clear" w:color="auto" w:fill="auto"/>
            <w:noWrap/>
            <w:vAlign w:val="bottom"/>
            <w:hideMark/>
          </w:tcPr>
          <w:p w14:paraId="658BC410"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17749</w:t>
            </w:r>
          </w:p>
        </w:tc>
        <w:tc>
          <w:tcPr>
            <w:tcW w:w="674" w:type="dxa"/>
            <w:shd w:val="clear" w:color="auto" w:fill="auto"/>
            <w:noWrap/>
            <w:vAlign w:val="bottom"/>
            <w:hideMark/>
          </w:tcPr>
          <w:p w14:paraId="3DED7DB1"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9510</w:t>
            </w:r>
          </w:p>
        </w:tc>
        <w:tc>
          <w:tcPr>
            <w:tcW w:w="674" w:type="dxa"/>
            <w:shd w:val="clear" w:color="auto" w:fill="auto"/>
            <w:noWrap/>
            <w:vAlign w:val="bottom"/>
            <w:hideMark/>
          </w:tcPr>
          <w:p w14:paraId="5AFBCE02"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4875</w:t>
            </w:r>
          </w:p>
        </w:tc>
        <w:tc>
          <w:tcPr>
            <w:tcW w:w="674" w:type="dxa"/>
            <w:shd w:val="clear" w:color="auto" w:fill="auto"/>
            <w:noWrap/>
            <w:vAlign w:val="bottom"/>
            <w:hideMark/>
          </w:tcPr>
          <w:p w14:paraId="091B1359"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4635</w:t>
            </w:r>
          </w:p>
        </w:tc>
        <w:tc>
          <w:tcPr>
            <w:tcW w:w="674" w:type="dxa"/>
            <w:shd w:val="clear" w:color="auto" w:fill="auto"/>
            <w:noWrap/>
            <w:vAlign w:val="bottom"/>
            <w:hideMark/>
          </w:tcPr>
          <w:p w14:paraId="6EC1F108"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8239</w:t>
            </w:r>
          </w:p>
        </w:tc>
        <w:tc>
          <w:tcPr>
            <w:tcW w:w="674" w:type="dxa"/>
            <w:shd w:val="clear" w:color="auto" w:fill="auto"/>
            <w:noWrap/>
            <w:vAlign w:val="bottom"/>
            <w:hideMark/>
          </w:tcPr>
          <w:p w14:paraId="2148A67C"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3871</w:t>
            </w:r>
          </w:p>
        </w:tc>
        <w:tc>
          <w:tcPr>
            <w:tcW w:w="681" w:type="dxa"/>
            <w:shd w:val="clear" w:color="auto" w:fill="auto"/>
            <w:noWrap/>
            <w:vAlign w:val="bottom"/>
            <w:hideMark/>
          </w:tcPr>
          <w:p w14:paraId="7B27B025"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4368</w:t>
            </w:r>
          </w:p>
        </w:tc>
      </w:tr>
      <w:tr w:rsidR="009A52DC" w:rsidRPr="005970E9" w14:paraId="3AE71B59" w14:textId="77777777" w:rsidTr="009A52DC">
        <w:trPr>
          <w:trHeight w:val="348"/>
        </w:trPr>
        <w:tc>
          <w:tcPr>
            <w:tcW w:w="846" w:type="dxa"/>
            <w:shd w:val="clear" w:color="auto" w:fill="auto"/>
            <w:noWrap/>
            <w:vAlign w:val="center"/>
            <w:hideMark/>
          </w:tcPr>
          <w:p w14:paraId="001620B2" w14:textId="77777777" w:rsidR="009A52DC" w:rsidRPr="005970E9" w:rsidRDefault="009A52DC" w:rsidP="009A52DC">
            <w:pPr>
              <w:rPr>
                <w:rFonts w:eastAsia="Times New Roman" w:cs="Arial"/>
                <w:sz w:val="16"/>
                <w:szCs w:val="16"/>
              </w:rPr>
            </w:pPr>
            <w:r w:rsidRPr="005970E9">
              <w:rPr>
                <w:rFonts w:eastAsia="Times New Roman" w:cs="Arial"/>
                <w:sz w:val="16"/>
                <w:szCs w:val="16"/>
              </w:rPr>
              <w:t>Los Santos</w:t>
            </w:r>
          </w:p>
        </w:tc>
        <w:tc>
          <w:tcPr>
            <w:tcW w:w="674" w:type="dxa"/>
            <w:shd w:val="clear" w:color="auto" w:fill="auto"/>
            <w:noWrap/>
            <w:vAlign w:val="bottom"/>
            <w:hideMark/>
          </w:tcPr>
          <w:p w14:paraId="6BF10190"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15098</w:t>
            </w:r>
          </w:p>
        </w:tc>
        <w:tc>
          <w:tcPr>
            <w:tcW w:w="709" w:type="dxa"/>
            <w:shd w:val="clear" w:color="auto" w:fill="auto"/>
            <w:noWrap/>
            <w:vAlign w:val="bottom"/>
            <w:hideMark/>
          </w:tcPr>
          <w:p w14:paraId="17D5D44C"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8156</w:t>
            </w:r>
          </w:p>
        </w:tc>
        <w:tc>
          <w:tcPr>
            <w:tcW w:w="674" w:type="dxa"/>
            <w:shd w:val="clear" w:color="auto" w:fill="auto"/>
            <w:noWrap/>
            <w:vAlign w:val="bottom"/>
            <w:hideMark/>
          </w:tcPr>
          <w:p w14:paraId="013E26C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4215</w:t>
            </w:r>
          </w:p>
        </w:tc>
        <w:tc>
          <w:tcPr>
            <w:tcW w:w="674" w:type="dxa"/>
            <w:shd w:val="clear" w:color="auto" w:fill="auto"/>
            <w:noWrap/>
            <w:vAlign w:val="bottom"/>
            <w:hideMark/>
          </w:tcPr>
          <w:p w14:paraId="4862587D"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3941</w:t>
            </w:r>
          </w:p>
        </w:tc>
        <w:tc>
          <w:tcPr>
            <w:tcW w:w="674" w:type="dxa"/>
            <w:shd w:val="clear" w:color="auto" w:fill="auto"/>
            <w:noWrap/>
            <w:vAlign w:val="bottom"/>
            <w:hideMark/>
          </w:tcPr>
          <w:p w14:paraId="7FE99617"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6942</w:t>
            </w:r>
          </w:p>
        </w:tc>
        <w:tc>
          <w:tcPr>
            <w:tcW w:w="674" w:type="dxa"/>
            <w:shd w:val="clear" w:color="auto" w:fill="auto"/>
            <w:noWrap/>
            <w:vAlign w:val="bottom"/>
            <w:hideMark/>
          </w:tcPr>
          <w:p w14:paraId="3F2FDE20"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3539</w:t>
            </w:r>
          </w:p>
        </w:tc>
        <w:tc>
          <w:tcPr>
            <w:tcW w:w="674" w:type="dxa"/>
            <w:shd w:val="clear" w:color="auto" w:fill="auto"/>
            <w:noWrap/>
            <w:vAlign w:val="bottom"/>
            <w:hideMark/>
          </w:tcPr>
          <w:p w14:paraId="2A694F83"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3403</w:t>
            </w:r>
          </w:p>
        </w:tc>
        <w:tc>
          <w:tcPr>
            <w:tcW w:w="674" w:type="dxa"/>
            <w:shd w:val="clear" w:color="auto" w:fill="auto"/>
            <w:noWrap/>
            <w:vAlign w:val="bottom"/>
            <w:hideMark/>
          </w:tcPr>
          <w:p w14:paraId="251C1EEC"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44623</w:t>
            </w:r>
          </w:p>
        </w:tc>
        <w:tc>
          <w:tcPr>
            <w:tcW w:w="674" w:type="dxa"/>
            <w:shd w:val="clear" w:color="auto" w:fill="auto"/>
            <w:noWrap/>
            <w:vAlign w:val="bottom"/>
            <w:hideMark/>
          </w:tcPr>
          <w:p w14:paraId="42DAFE6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6893</w:t>
            </w:r>
          </w:p>
        </w:tc>
        <w:tc>
          <w:tcPr>
            <w:tcW w:w="674" w:type="dxa"/>
            <w:shd w:val="clear" w:color="auto" w:fill="auto"/>
            <w:noWrap/>
            <w:vAlign w:val="bottom"/>
            <w:hideMark/>
          </w:tcPr>
          <w:p w14:paraId="665E97DF"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3593</w:t>
            </w:r>
          </w:p>
        </w:tc>
        <w:tc>
          <w:tcPr>
            <w:tcW w:w="674" w:type="dxa"/>
            <w:shd w:val="clear" w:color="auto" w:fill="auto"/>
            <w:noWrap/>
            <w:vAlign w:val="bottom"/>
            <w:hideMark/>
          </w:tcPr>
          <w:p w14:paraId="55F539C6"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3300</w:t>
            </w:r>
          </w:p>
        </w:tc>
        <w:tc>
          <w:tcPr>
            <w:tcW w:w="674" w:type="dxa"/>
            <w:shd w:val="clear" w:color="auto" w:fill="auto"/>
            <w:noWrap/>
            <w:vAlign w:val="bottom"/>
            <w:hideMark/>
          </w:tcPr>
          <w:p w14:paraId="3BB6531F"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37730</w:t>
            </w:r>
          </w:p>
        </w:tc>
        <w:tc>
          <w:tcPr>
            <w:tcW w:w="674" w:type="dxa"/>
            <w:shd w:val="clear" w:color="auto" w:fill="auto"/>
            <w:noWrap/>
            <w:vAlign w:val="bottom"/>
            <w:hideMark/>
          </w:tcPr>
          <w:p w14:paraId="5C9F9F35"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2614</w:t>
            </w:r>
          </w:p>
        </w:tc>
        <w:tc>
          <w:tcPr>
            <w:tcW w:w="681" w:type="dxa"/>
            <w:shd w:val="clear" w:color="auto" w:fill="auto"/>
            <w:noWrap/>
            <w:vAlign w:val="bottom"/>
            <w:hideMark/>
          </w:tcPr>
          <w:p w14:paraId="72AB9103"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2608</w:t>
            </w:r>
          </w:p>
        </w:tc>
      </w:tr>
      <w:tr w:rsidR="009A52DC" w:rsidRPr="005970E9" w14:paraId="439679A1" w14:textId="77777777" w:rsidTr="009A52DC">
        <w:trPr>
          <w:trHeight w:val="348"/>
        </w:trPr>
        <w:tc>
          <w:tcPr>
            <w:tcW w:w="846" w:type="dxa"/>
            <w:shd w:val="clear" w:color="auto" w:fill="auto"/>
            <w:noWrap/>
            <w:vAlign w:val="center"/>
            <w:hideMark/>
          </w:tcPr>
          <w:p w14:paraId="4F10F787" w14:textId="77777777" w:rsidR="009A52DC" w:rsidRPr="005970E9" w:rsidRDefault="009A52DC" w:rsidP="009A52DC">
            <w:pPr>
              <w:rPr>
                <w:rFonts w:eastAsia="Times New Roman" w:cs="Arial"/>
                <w:sz w:val="16"/>
                <w:szCs w:val="16"/>
              </w:rPr>
            </w:pPr>
            <w:r w:rsidRPr="005970E9">
              <w:rPr>
                <w:rFonts w:eastAsia="Times New Roman" w:cs="Arial"/>
                <w:sz w:val="16"/>
                <w:szCs w:val="16"/>
              </w:rPr>
              <w:t>Panamá</w:t>
            </w:r>
          </w:p>
        </w:tc>
        <w:tc>
          <w:tcPr>
            <w:tcW w:w="674" w:type="dxa"/>
            <w:shd w:val="clear" w:color="auto" w:fill="auto"/>
            <w:noWrap/>
            <w:vAlign w:val="bottom"/>
            <w:hideMark/>
          </w:tcPr>
          <w:p w14:paraId="58F4D9D9"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314378</w:t>
            </w:r>
          </w:p>
        </w:tc>
        <w:tc>
          <w:tcPr>
            <w:tcW w:w="709" w:type="dxa"/>
            <w:shd w:val="clear" w:color="auto" w:fill="auto"/>
            <w:noWrap/>
            <w:vAlign w:val="bottom"/>
            <w:hideMark/>
          </w:tcPr>
          <w:p w14:paraId="44563193"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183075</w:t>
            </w:r>
          </w:p>
        </w:tc>
        <w:tc>
          <w:tcPr>
            <w:tcW w:w="674" w:type="dxa"/>
            <w:shd w:val="clear" w:color="auto" w:fill="auto"/>
            <w:noWrap/>
            <w:vAlign w:val="bottom"/>
            <w:hideMark/>
          </w:tcPr>
          <w:p w14:paraId="39B8A2C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94064</w:t>
            </w:r>
          </w:p>
        </w:tc>
        <w:tc>
          <w:tcPr>
            <w:tcW w:w="674" w:type="dxa"/>
            <w:shd w:val="clear" w:color="auto" w:fill="auto"/>
            <w:noWrap/>
            <w:vAlign w:val="bottom"/>
            <w:hideMark/>
          </w:tcPr>
          <w:p w14:paraId="7B4985FB"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89011</w:t>
            </w:r>
          </w:p>
        </w:tc>
        <w:tc>
          <w:tcPr>
            <w:tcW w:w="674" w:type="dxa"/>
            <w:shd w:val="clear" w:color="auto" w:fill="auto"/>
            <w:noWrap/>
            <w:vAlign w:val="bottom"/>
            <w:hideMark/>
          </w:tcPr>
          <w:p w14:paraId="4EA5D848"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131303</w:t>
            </w:r>
          </w:p>
        </w:tc>
        <w:tc>
          <w:tcPr>
            <w:tcW w:w="674" w:type="dxa"/>
            <w:shd w:val="clear" w:color="auto" w:fill="auto"/>
            <w:noWrap/>
            <w:vAlign w:val="bottom"/>
            <w:hideMark/>
          </w:tcPr>
          <w:p w14:paraId="4B6723CA"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63165</w:t>
            </w:r>
          </w:p>
        </w:tc>
        <w:tc>
          <w:tcPr>
            <w:tcW w:w="674" w:type="dxa"/>
            <w:shd w:val="clear" w:color="auto" w:fill="auto"/>
            <w:noWrap/>
            <w:vAlign w:val="bottom"/>
            <w:hideMark/>
          </w:tcPr>
          <w:p w14:paraId="4ED4C9DC"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68138</w:t>
            </w:r>
          </w:p>
        </w:tc>
        <w:tc>
          <w:tcPr>
            <w:tcW w:w="674" w:type="dxa"/>
            <w:shd w:val="clear" w:color="auto" w:fill="auto"/>
            <w:noWrap/>
            <w:vAlign w:val="bottom"/>
            <w:hideMark/>
          </w:tcPr>
          <w:p w14:paraId="5450CFB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290595</w:t>
            </w:r>
          </w:p>
        </w:tc>
        <w:tc>
          <w:tcPr>
            <w:tcW w:w="674" w:type="dxa"/>
            <w:shd w:val="clear" w:color="auto" w:fill="auto"/>
            <w:noWrap/>
            <w:vAlign w:val="bottom"/>
            <w:hideMark/>
          </w:tcPr>
          <w:p w14:paraId="3B3D94AB"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197561</w:t>
            </w:r>
          </w:p>
        </w:tc>
        <w:tc>
          <w:tcPr>
            <w:tcW w:w="674" w:type="dxa"/>
            <w:shd w:val="clear" w:color="auto" w:fill="auto"/>
            <w:noWrap/>
            <w:vAlign w:val="bottom"/>
            <w:hideMark/>
          </w:tcPr>
          <w:p w14:paraId="447D4142"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100707</w:t>
            </w:r>
          </w:p>
        </w:tc>
        <w:tc>
          <w:tcPr>
            <w:tcW w:w="674" w:type="dxa"/>
            <w:shd w:val="clear" w:color="auto" w:fill="auto"/>
            <w:noWrap/>
            <w:vAlign w:val="bottom"/>
            <w:hideMark/>
          </w:tcPr>
          <w:p w14:paraId="143D525A"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96854</w:t>
            </w:r>
          </w:p>
        </w:tc>
        <w:tc>
          <w:tcPr>
            <w:tcW w:w="674" w:type="dxa"/>
            <w:shd w:val="clear" w:color="auto" w:fill="auto"/>
            <w:noWrap/>
            <w:vAlign w:val="bottom"/>
            <w:hideMark/>
          </w:tcPr>
          <w:p w14:paraId="0F8D043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93034</w:t>
            </w:r>
          </w:p>
        </w:tc>
        <w:tc>
          <w:tcPr>
            <w:tcW w:w="674" w:type="dxa"/>
            <w:shd w:val="clear" w:color="auto" w:fill="auto"/>
            <w:noWrap/>
            <w:vAlign w:val="bottom"/>
            <w:hideMark/>
          </w:tcPr>
          <w:p w14:paraId="2FE76A54"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60491</w:t>
            </w:r>
          </w:p>
        </w:tc>
        <w:tc>
          <w:tcPr>
            <w:tcW w:w="681" w:type="dxa"/>
            <w:shd w:val="clear" w:color="auto" w:fill="auto"/>
            <w:noWrap/>
            <w:vAlign w:val="bottom"/>
            <w:hideMark/>
          </w:tcPr>
          <w:p w14:paraId="5BE6E2C5"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65051</w:t>
            </w:r>
          </w:p>
        </w:tc>
      </w:tr>
      <w:tr w:rsidR="009A52DC" w:rsidRPr="005970E9" w14:paraId="28872384" w14:textId="77777777" w:rsidTr="009A52DC">
        <w:trPr>
          <w:trHeight w:val="348"/>
        </w:trPr>
        <w:tc>
          <w:tcPr>
            <w:tcW w:w="846" w:type="dxa"/>
            <w:shd w:val="clear" w:color="auto" w:fill="auto"/>
            <w:noWrap/>
            <w:vAlign w:val="center"/>
            <w:hideMark/>
          </w:tcPr>
          <w:p w14:paraId="7EC4FC10" w14:textId="77777777" w:rsidR="009A52DC" w:rsidRPr="005970E9" w:rsidRDefault="009A52DC" w:rsidP="009A52DC">
            <w:pPr>
              <w:rPr>
                <w:rFonts w:eastAsia="Times New Roman" w:cs="Arial"/>
                <w:sz w:val="16"/>
                <w:szCs w:val="16"/>
              </w:rPr>
            </w:pPr>
            <w:r w:rsidRPr="005970E9">
              <w:rPr>
                <w:rFonts w:eastAsia="Times New Roman" w:cs="Arial"/>
                <w:sz w:val="16"/>
                <w:szCs w:val="16"/>
              </w:rPr>
              <w:t>Veraguas</w:t>
            </w:r>
          </w:p>
        </w:tc>
        <w:tc>
          <w:tcPr>
            <w:tcW w:w="674" w:type="dxa"/>
            <w:shd w:val="clear" w:color="auto" w:fill="auto"/>
            <w:noWrap/>
            <w:vAlign w:val="bottom"/>
            <w:hideMark/>
          </w:tcPr>
          <w:p w14:paraId="6606E533"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52764</w:t>
            </w:r>
          </w:p>
        </w:tc>
        <w:tc>
          <w:tcPr>
            <w:tcW w:w="709" w:type="dxa"/>
            <w:shd w:val="clear" w:color="auto" w:fill="auto"/>
            <w:noWrap/>
            <w:vAlign w:val="bottom"/>
            <w:hideMark/>
          </w:tcPr>
          <w:p w14:paraId="3193CB3E"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30120</w:t>
            </w:r>
          </w:p>
        </w:tc>
        <w:tc>
          <w:tcPr>
            <w:tcW w:w="674" w:type="dxa"/>
            <w:shd w:val="clear" w:color="auto" w:fill="auto"/>
            <w:noWrap/>
            <w:vAlign w:val="bottom"/>
            <w:hideMark/>
          </w:tcPr>
          <w:p w14:paraId="0DE8CAB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15735</w:t>
            </w:r>
          </w:p>
        </w:tc>
        <w:tc>
          <w:tcPr>
            <w:tcW w:w="674" w:type="dxa"/>
            <w:shd w:val="clear" w:color="auto" w:fill="auto"/>
            <w:noWrap/>
            <w:vAlign w:val="bottom"/>
            <w:hideMark/>
          </w:tcPr>
          <w:p w14:paraId="36B58302"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14385</w:t>
            </w:r>
          </w:p>
        </w:tc>
        <w:tc>
          <w:tcPr>
            <w:tcW w:w="674" w:type="dxa"/>
            <w:shd w:val="clear" w:color="auto" w:fill="auto"/>
            <w:noWrap/>
            <w:vAlign w:val="bottom"/>
            <w:hideMark/>
          </w:tcPr>
          <w:p w14:paraId="6C6FA3DD"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22644</w:t>
            </w:r>
          </w:p>
        </w:tc>
        <w:tc>
          <w:tcPr>
            <w:tcW w:w="674" w:type="dxa"/>
            <w:shd w:val="clear" w:color="auto" w:fill="auto"/>
            <w:noWrap/>
            <w:vAlign w:val="bottom"/>
            <w:hideMark/>
          </w:tcPr>
          <w:p w14:paraId="11EE41B6"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11497</w:t>
            </w:r>
          </w:p>
        </w:tc>
        <w:tc>
          <w:tcPr>
            <w:tcW w:w="674" w:type="dxa"/>
            <w:shd w:val="clear" w:color="auto" w:fill="auto"/>
            <w:noWrap/>
            <w:vAlign w:val="bottom"/>
            <w:hideMark/>
          </w:tcPr>
          <w:p w14:paraId="7C5B904C"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11147</w:t>
            </w:r>
          </w:p>
        </w:tc>
        <w:tc>
          <w:tcPr>
            <w:tcW w:w="674" w:type="dxa"/>
            <w:shd w:val="clear" w:color="auto" w:fill="auto"/>
            <w:noWrap/>
            <w:vAlign w:val="bottom"/>
            <w:hideMark/>
          </w:tcPr>
          <w:p w14:paraId="5FBBA1C1"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43402</w:t>
            </w:r>
          </w:p>
        </w:tc>
        <w:tc>
          <w:tcPr>
            <w:tcW w:w="674" w:type="dxa"/>
            <w:shd w:val="clear" w:color="auto" w:fill="auto"/>
            <w:noWrap/>
            <w:vAlign w:val="bottom"/>
            <w:hideMark/>
          </w:tcPr>
          <w:p w14:paraId="3C39438D"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25550</w:t>
            </w:r>
          </w:p>
        </w:tc>
        <w:tc>
          <w:tcPr>
            <w:tcW w:w="674" w:type="dxa"/>
            <w:shd w:val="clear" w:color="auto" w:fill="auto"/>
            <w:noWrap/>
            <w:vAlign w:val="bottom"/>
            <w:hideMark/>
          </w:tcPr>
          <w:p w14:paraId="7BE15B46"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13288</w:t>
            </w:r>
          </w:p>
        </w:tc>
        <w:tc>
          <w:tcPr>
            <w:tcW w:w="674" w:type="dxa"/>
            <w:shd w:val="clear" w:color="auto" w:fill="auto"/>
            <w:noWrap/>
            <w:vAlign w:val="bottom"/>
            <w:hideMark/>
          </w:tcPr>
          <w:p w14:paraId="0F779195"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12262</w:t>
            </w:r>
          </w:p>
        </w:tc>
        <w:tc>
          <w:tcPr>
            <w:tcW w:w="674" w:type="dxa"/>
            <w:shd w:val="clear" w:color="auto" w:fill="auto"/>
            <w:noWrap/>
            <w:vAlign w:val="bottom"/>
            <w:hideMark/>
          </w:tcPr>
          <w:p w14:paraId="7918AC0F"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17852</w:t>
            </w:r>
          </w:p>
        </w:tc>
        <w:tc>
          <w:tcPr>
            <w:tcW w:w="674" w:type="dxa"/>
            <w:shd w:val="clear" w:color="auto" w:fill="auto"/>
            <w:noWrap/>
            <w:vAlign w:val="bottom"/>
            <w:hideMark/>
          </w:tcPr>
          <w:p w14:paraId="428DBEB9"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8357</w:t>
            </w:r>
          </w:p>
        </w:tc>
        <w:tc>
          <w:tcPr>
            <w:tcW w:w="681" w:type="dxa"/>
            <w:shd w:val="clear" w:color="auto" w:fill="auto"/>
            <w:noWrap/>
            <w:vAlign w:val="bottom"/>
            <w:hideMark/>
          </w:tcPr>
          <w:p w14:paraId="52DAA209"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9495</w:t>
            </w:r>
          </w:p>
        </w:tc>
      </w:tr>
      <w:tr w:rsidR="009A52DC" w:rsidRPr="005970E9" w14:paraId="0C7DB868" w14:textId="77777777" w:rsidTr="009A52DC">
        <w:trPr>
          <w:trHeight w:val="348"/>
        </w:trPr>
        <w:tc>
          <w:tcPr>
            <w:tcW w:w="846" w:type="dxa"/>
            <w:shd w:val="clear" w:color="auto" w:fill="auto"/>
            <w:noWrap/>
            <w:vAlign w:val="center"/>
            <w:hideMark/>
          </w:tcPr>
          <w:p w14:paraId="636A362C" w14:textId="77777777" w:rsidR="009A52DC" w:rsidRPr="005970E9" w:rsidRDefault="009A52DC" w:rsidP="009A52DC">
            <w:pPr>
              <w:rPr>
                <w:rFonts w:eastAsia="Times New Roman" w:cs="Arial"/>
                <w:sz w:val="16"/>
                <w:szCs w:val="16"/>
              </w:rPr>
            </w:pPr>
            <w:r w:rsidRPr="005970E9">
              <w:rPr>
                <w:rFonts w:eastAsia="Times New Roman" w:cs="Arial"/>
                <w:sz w:val="16"/>
                <w:szCs w:val="16"/>
              </w:rPr>
              <w:t>Comarcas</w:t>
            </w:r>
          </w:p>
        </w:tc>
        <w:tc>
          <w:tcPr>
            <w:tcW w:w="674" w:type="dxa"/>
            <w:shd w:val="clear" w:color="auto" w:fill="auto"/>
            <w:noWrap/>
            <w:vAlign w:val="bottom"/>
            <w:hideMark/>
          </w:tcPr>
          <w:p w14:paraId="7CAD312A"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70626</w:t>
            </w:r>
          </w:p>
        </w:tc>
        <w:tc>
          <w:tcPr>
            <w:tcW w:w="709" w:type="dxa"/>
            <w:shd w:val="clear" w:color="auto" w:fill="auto"/>
            <w:noWrap/>
            <w:vAlign w:val="bottom"/>
            <w:hideMark/>
          </w:tcPr>
          <w:p w14:paraId="1B4409C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56105</w:t>
            </w:r>
          </w:p>
        </w:tc>
        <w:tc>
          <w:tcPr>
            <w:tcW w:w="674" w:type="dxa"/>
            <w:shd w:val="clear" w:color="auto" w:fill="auto"/>
            <w:noWrap/>
            <w:vAlign w:val="bottom"/>
            <w:hideMark/>
          </w:tcPr>
          <w:p w14:paraId="1C37D1F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29683</w:t>
            </w:r>
          </w:p>
        </w:tc>
        <w:tc>
          <w:tcPr>
            <w:tcW w:w="674" w:type="dxa"/>
            <w:shd w:val="clear" w:color="auto" w:fill="auto"/>
            <w:noWrap/>
            <w:vAlign w:val="bottom"/>
            <w:hideMark/>
          </w:tcPr>
          <w:p w14:paraId="247EACD3"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26422</w:t>
            </w:r>
          </w:p>
        </w:tc>
        <w:tc>
          <w:tcPr>
            <w:tcW w:w="674" w:type="dxa"/>
            <w:shd w:val="clear" w:color="auto" w:fill="auto"/>
            <w:noWrap/>
            <w:vAlign w:val="bottom"/>
            <w:hideMark/>
          </w:tcPr>
          <w:p w14:paraId="2AB8E80E"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14521</w:t>
            </w:r>
          </w:p>
        </w:tc>
        <w:tc>
          <w:tcPr>
            <w:tcW w:w="674" w:type="dxa"/>
            <w:shd w:val="clear" w:color="auto" w:fill="auto"/>
            <w:noWrap/>
            <w:vAlign w:val="bottom"/>
            <w:hideMark/>
          </w:tcPr>
          <w:p w14:paraId="12AB2CEB"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8586</w:t>
            </w:r>
          </w:p>
        </w:tc>
        <w:tc>
          <w:tcPr>
            <w:tcW w:w="674" w:type="dxa"/>
            <w:shd w:val="clear" w:color="auto" w:fill="auto"/>
            <w:noWrap/>
            <w:vAlign w:val="bottom"/>
            <w:hideMark/>
          </w:tcPr>
          <w:p w14:paraId="4BE6DFF4" w14:textId="77777777" w:rsidR="009A52DC" w:rsidRPr="005970E9" w:rsidRDefault="009A52DC" w:rsidP="009A52DC">
            <w:pPr>
              <w:jc w:val="right"/>
              <w:rPr>
                <w:rFonts w:eastAsia="Times New Roman" w:cs="Arial"/>
                <w:sz w:val="16"/>
                <w:szCs w:val="16"/>
              </w:rPr>
            </w:pPr>
            <w:r w:rsidRPr="005970E9">
              <w:rPr>
                <w:rFonts w:eastAsia="Times New Roman" w:cs="Arial"/>
                <w:sz w:val="16"/>
                <w:szCs w:val="16"/>
              </w:rPr>
              <w:t>5935</w:t>
            </w:r>
          </w:p>
        </w:tc>
        <w:tc>
          <w:tcPr>
            <w:tcW w:w="674" w:type="dxa"/>
            <w:shd w:val="clear" w:color="auto" w:fill="auto"/>
            <w:noWrap/>
            <w:vAlign w:val="bottom"/>
            <w:hideMark/>
          </w:tcPr>
          <w:p w14:paraId="732A7066"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86413</w:t>
            </w:r>
          </w:p>
        </w:tc>
        <w:tc>
          <w:tcPr>
            <w:tcW w:w="674" w:type="dxa"/>
            <w:shd w:val="clear" w:color="auto" w:fill="auto"/>
            <w:noWrap/>
            <w:vAlign w:val="bottom"/>
            <w:hideMark/>
          </w:tcPr>
          <w:p w14:paraId="3E26F450"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62013</w:t>
            </w:r>
          </w:p>
        </w:tc>
        <w:tc>
          <w:tcPr>
            <w:tcW w:w="674" w:type="dxa"/>
            <w:shd w:val="clear" w:color="auto" w:fill="auto"/>
            <w:noWrap/>
            <w:vAlign w:val="bottom"/>
            <w:hideMark/>
          </w:tcPr>
          <w:p w14:paraId="77777341"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32554</w:t>
            </w:r>
          </w:p>
        </w:tc>
        <w:tc>
          <w:tcPr>
            <w:tcW w:w="674" w:type="dxa"/>
            <w:shd w:val="clear" w:color="auto" w:fill="auto"/>
            <w:noWrap/>
            <w:vAlign w:val="bottom"/>
            <w:hideMark/>
          </w:tcPr>
          <w:p w14:paraId="3C8D8EC8"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29459</w:t>
            </w:r>
          </w:p>
        </w:tc>
        <w:tc>
          <w:tcPr>
            <w:tcW w:w="674" w:type="dxa"/>
            <w:shd w:val="clear" w:color="auto" w:fill="auto"/>
            <w:noWrap/>
            <w:vAlign w:val="bottom"/>
            <w:hideMark/>
          </w:tcPr>
          <w:p w14:paraId="1DAB6666"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24400</w:t>
            </w:r>
          </w:p>
        </w:tc>
        <w:tc>
          <w:tcPr>
            <w:tcW w:w="674" w:type="dxa"/>
            <w:shd w:val="clear" w:color="auto" w:fill="auto"/>
            <w:noWrap/>
            <w:vAlign w:val="bottom"/>
            <w:hideMark/>
          </w:tcPr>
          <w:p w14:paraId="5384256E"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13489</w:t>
            </w:r>
          </w:p>
        </w:tc>
        <w:tc>
          <w:tcPr>
            <w:tcW w:w="681" w:type="dxa"/>
            <w:shd w:val="clear" w:color="auto" w:fill="auto"/>
            <w:noWrap/>
            <w:vAlign w:val="bottom"/>
            <w:hideMark/>
          </w:tcPr>
          <w:p w14:paraId="0F9CC6A7" w14:textId="77777777" w:rsidR="009A52DC" w:rsidRPr="005970E9" w:rsidRDefault="009A52DC" w:rsidP="009A52DC">
            <w:pPr>
              <w:jc w:val="right"/>
              <w:rPr>
                <w:rFonts w:eastAsia="Times New Roman" w:cs="Arial"/>
                <w:color w:val="000000"/>
                <w:sz w:val="16"/>
                <w:szCs w:val="16"/>
              </w:rPr>
            </w:pPr>
            <w:r w:rsidRPr="005970E9">
              <w:rPr>
                <w:rFonts w:eastAsia="Times New Roman" w:cs="Arial"/>
                <w:color w:val="000000"/>
                <w:sz w:val="16"/>
                <w:szCs w:val="16"/>
              </w:rPr>
              <w:t>10911</w:t>
            </w:r>
          </w:p>
        </w:tc>
      </w:tr>
      <w:tr w:rsidR="009A52DC" w:rsidRPr="005970E9" w14:paraId="0FEBA534" w14:textId="77777777" w:rsidTr="009A52DC">
        <w:trPr>
          <w:trHeight w:val="300"/>
        </w:trPr>
        <w:tc>
          <w:tcPr>
            <w:tcW w:w="10327" w:type="dxa"/>
            <w:gridSpan w:val="15"/>
            <w:shd w:val="clear" w:color="auto" w:fill="auto"/>
            <w:vAlign w:val="center"/>
            <w:hideMark/>
          </w:tcPr>
          <w:p w14:paraId="4E18290D" w14:textId="0AF54065" w:rsidR="009A52DC" w:rsidRPr="005970E9" w:rsidRDefault="009A52DC" w:rsidP="00BC583F">
            <w:pPr>
              <w:rPr>
                <w:rFonts w:eastAsia="Times New Roman" w:cs="Arial"/>
                <w:sz w:val="16"/>
                <w:szCs w:val="16"/>
              </w:rPr>
            </w:pPr>
            <w:r w:rsidRPr="005970E9">
              <w:rPr>
                <w:rFonts w:eastAsia="Times New Roman" w:cs="Arial"/>
                <w:sz w:val="16"/>
                <w:szCs w:val="16"/>
              </w:rPr>
              <w:t>Fuente: Elaboración propia en base a datos del Departamento de Estadística del MEDUCA y del Instituto de Estadística y Censo de la Contraloría General de la República de Panamá.</w:t>
            </w:r>
          </w:p>
        </w:tc>
      </w:tr>
    </w:tbl>
    <w:p w14:paraId="598ED080" w14:textId="7919B0D5" w:rsidR="009A52DC" w:rsidRPr="005970E9" w:rsidRDefault="009A52DC" w:rsidP="00B429FB">
      <w:pPr>
        <w:spacing w:line="276" w:lineRule="auto"/>
        <w:jc w:val="both"/>
      </w:pPr>
    </w:p>
    <w:p w14:paraId="6539E52C" w14:textId="77777777" w:rsidR="00BC583F" w:rsidRPr="005970E9" w:rsidRDefault="00BC583F" w:rsidP="008031E2">
      <w:pPr>
        <w:spacing w:line="276" w:lineRule="auto"/>
        <w:jc w:val="both"/>
      </w:pPr>
    </w:p>
    <w:p w14:paraId="233F6A90" w14:textId="19A4CA63" w:rsidR="00A36980" w:rsidRPr="005970E9" w:rsidRDefault="00A76298" w:rsidP="008031E2">
      <w:pPr>
        <w:spacing w:line="276" w:lineRule="auto"/>
        <w:jc w:val="both"/>
      </w:pPr>
      <w:r w:rsidRPr="005970E9">
        <w:rPr>
          <w:noProof/>
        </w:rPr>
        <w:lastRenderedPageBreak/>
        <w:drawing>
          <wp:anchor distT="0" distB="0" distL="114300" distR="114300" simplePos="0" relativeHeight="251658247" behindDoc="0" locked="0" layoutInCell="1" allowOverlap="1" wp14:anchorId="7E52FE16" wp14:editId="70EC92A2">
            <wp:simplePos x="0" y="0"/>
            <wp:positionH relativeFrom="margin">
              <wp:posOffset>2490470</wp:posOffset>
            </wp:positionH>
            <wp:positionV relativeFrom="paragraph">
              <wp:posOffset>725170</wp:posOffset>
            </wp:positionV>
            <wp:extent cx="3120390" cy="2596515"/>
            <wp:effectExtent l="38100" t="0" r="41910" b="13335"/>
            <wp:wrapSquare wrapText="bothSides"/>
            <wp:docPr id="36" name="Gráfico 36">
              <a:extLst xmlns:a="http://schemas.openxmlformats.org/drawingml/2006/main">
                <a:ext uri="{FF2B5EF4-FFF2-40B4-BE49-F238E27FC236}">
                  <a16:creationId xmlns:a16="http://schemas.microsoft.com/office/drawing/2014/main" id="{3FB19D9F-DFA9-4DF0-BED1-8BEB85400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8E3017" w:rsidRPr="005970E9">
        <w:rPr>
          <w:noProof/>
        </w:rPr>
        <mc:AlternateContent>
          <mc:Choice Requires="wps">
            <w:drawing>
              <wp:anchor distT="0" distB="0" distL="114300" distR="114300" simplePos="0" relativeHeight="251750441" behindDoc="0" locked="0" layoutInCell="1" allowOverlap="1" wp14:anchorId="6EACA6FE" wp14:editId="23DD1B27">
                <wp:simplePos x="0" y="0"/>
                <wp:positionH relativeFrom="column">
                  <wp:posOffset>2528570</wp:posOffset>
                </wp:positionH>
                <wp:positionV relativeFrom="paragraph">
                  <wp:posOffset>78740</wp:posOffset>
                </wp:positionV>
                <wp:extent cx="3120390" cy="647065"/>
                <wp:effectExtent l="0" t="0" r="3810" b="635"/>
                <wp:wrapSquare wrapText="bothSides"/>
                <wp:docPr id="236" name="Cuadro de texto 9"/>
                <wp:cNvGraphicFramePr/>
                <a:graphic xmlns:a="http://schemas.openxmlformats.org/drawingml/2006/main">
                  <a:graphicData uri="http://schemas.microsoft.com/office/word/2010/wordprocessingShape">
                    <wps:wsp>
                      <wps:cNvSpPr txBox="1"/>
                      <wps:spPr>
                        <a:xfrm>
                          <a:off x="0" y="0"/>
                          <a:ext cx="3120390" cy="647065"/>
                        </a:xfrm>
                        <a:prstGeom prst="rect">
                          <a:avLst/>
                        </a:prstGeom>
                        <a:solidFill>
                          <a:prstClr val="white"/>
                        </a:solidFill>
                        <a:ln>
                          <a:noFill/>
                        </a:ln>
                      </wps:spPr>
                      <wps:txbx>
                        <w:txbxContent>
                          <w:p w14:paraId="3DADA042" w14:textId="2FCAD0ED" w:rsidR="00DC0EAB" w:rsidRPr="004C51B4" w:rsidRDefault="00DC0EAB" w:rsidP="008E3017">
                            <w:pPr>
                              <w:pStyle w:val="Caption"/>
                              <w:jc w:val="center"/>
                              <w:rPr>
                                <w:rFonts w:ascii="Century Schoolbook" w:eastAsia="Calibri" w:hAnsi="Century Schoolbook" w:cs="Calibri"/>
                                <w:noProof/>
                                <w:sz w:val="20"/>
                                <w:szCs w:val="20"/>
                              </w:rPr>
                            </w:pPr>
                            <w:bookmarkStart w:id="162" w:name="_Toc42549249"/>
                            <w:r w:rsidRPr="004C51B4">
                              <w:rPr>
                                <w:rFonts w:ascii="Century Schoolbook" w:hAnsi="Century Schoolbook"/>
                                <w:sz w:val="20"/>
                                <w:szCs w:val="20"/>
                              </w:rPr>
                              <w:t xml:space="preserve">Gráfica </w:t>
                            </w:r>
                            <w:r>
                              <w:rPr>
                                <w:rFonts w:ascii="Century Schoolbook" w:hAnsi="Century Schoolbook"/>
                                <w:sz w:val="20"/>
                                <w:szCs w:val="20"/>
                              </w:rPr>
                              <w:fldChar w:fldCharType="begin"/>
                            </w:r>
                            <w:r>
                              <w:rPr>
                                <w:rFonts w:ascii="Century Schoolbook" w:hAnsi="Century Schoolbook"/>
                                <w:sz w:val="20"/>
                                <w:szCs w:val="20"/>
                              </w:rPr>
                              <w:instrText xml:space="preserve"> SEQ Gráfica \* ARABIC </w:instrText>
                            </w:r>
                            <w:r>
                              <w:rPr>
                                <w:rFonts w:ascii="Century Schoolbook" w:hAnsi="Century Schoolbook"/>
                                <w:sz w:val="20"/>
                                <w:szCs w:val="20"/>
                              </w:rPr>
                              <w:fldChar w:fldCharType="separate"/>
                            </w:r>
                            <w:r>
                              <w:rPr>
                                <w:rFonts w:ascii="Century Schoolbook" w:hAnsi="Century Schoolbook"/>
                                <w:noProof/>
                                <w:sz w:val="20"/>
                                <w:szCs w:val="20"/>
                              </w:rPr>
                              <w:t>17</w:t>
                            </w:r>
                            <w:r>
                              <w:rPr>
                                <w:rFonts w:ascii="Century Schoolbook" w:hAnsi="Century Schoolbook"/>
                                <w:sz w:val="20"/>
                                <w:szCs w:val="20"/>
                              </w:rPr>
                              <w:fldChar w:fldCharType="end"/>
                            </w:r>
                            <w:r w:rsidRPr="004C51B4">
                              <w:rPr>
                                <w:rFonts w:ascii="Century Schoolbook" w:hAnsi="Century Schoolbook"/>
                                <w:sz w:val="20"/>
                                <w:szCs w:val="20"/>
                              </w:rPr>
                              <w:t xml:space="preserve">. Matrícula universitaria pública y privada de la república de </w:t>
                            </w:r>
                            <w:r>
                              <w:rPr>
                                <w:rFonts w:ascii="Century Schoolbook" w:hAnsi="Century Schoolbook"/>
                                <w:sz w:val="20"/>
                                <w:szCs w:val="20"/>
                              </w:rPr>
                              <w:t>P</w:t>
                            </w:r>
                            <w:r w:rsidRPr="004C51B4">
                              <w:rPr>
                                <w:rFonts w:ascii="Century Schoolbook" w:hAnsi="Century Schoolbook"/>
                                <w:sz w:val="20"/>
                                <w:szCs w:val="20"/>
                              </w:rPr>
                              <w:t>anamá, por sexo: año 2018</w:t>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CA6FE" id="Cuadro de texto 9" o:spid="_x0000_s1030" type="#_x0000_t202" style="position:absolute;left:0;text-align:left;margin-left:199.1pt;margin-top:6.2pt;width:245.7pt;height:50.95pt;z-index:2517504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" stroked="f">
                <v:textbox inset="0,0,0,0">
                  <w:txbxContent>
                    <w:p w14:paraId="3DADA042" w14:textId="2FCAD0ED" w:rsidR="00DC0EAB" w:rsidRPr="004C51B4" w:rsidRDefault="00DC0EAB" w:rsidP="008E3017">
                      <w:pPr>
                        <w:pStyle w:val="Caption"/>
                        <w:jc w:val="center"/>
                        <w:rPr>
                          <w:rFonts w:ascii="Century Schoolbook" w:eastAsia="Calibri" w:hAnsi="Century Schoolbook" w:cs="Calibri"/>
                          <w:noProof/>
                          <w:sz w:val="20"/>
                          <w:szCs w:val="20"/>
                        </w:rPr>
                      </w:pPr>
                      <w:bookmarkStart w:id="163" w:name="_Toc42549249"/>
                      <w:r w:rsidRPr="004C51B4">
                        <w:rPr>
                          <w:rFonts w:ascii="Century Schoolbook" w:hAnsi="Century Schoolbook"/>
                          <w:sz w:val="20"/>
                          <w:szCs w:val="20"/>
                        </w:rPr>
                        <w:t xml:space="preserve">Gráfica </w:t>
                      </w:r>
                      <w:r>
                        <w:rPr>
                          <w:rFonts w:ascii="Century Schoolbook" w:hAnsi="Century Schoolbook"/>
                          <w:sz w:val="20"/>
                          <w:szCs w:val="20"/>
                        </w:rPr>
                        <w:fldChar w:fldCharType="begin"/>
                      </w:r>
                      <w:r>
                        <w:rPr>
                          <w:rFonts w:ascii="Century Schoolbook" w:hAnsi="Century Schoolbook"/>
                          <w:sz w:val="20"/>
                          <w:szCs w:val="20"/>
                        </w:rPr>
                        <w:instrText xml:space="preserve"> SEQ Gráfica \* ARABIC </w:instrText>
                      </w:r>
                      <w:r>
                        <w:rPr>
                          <w:rFonts w:ascii="Century Schoolbook" w:hAnsi="Century Schoolbook"/>
                          <w:sz w:val="20"/>
                          <w:szCs w:val="20"/>
                        </w:rPr>
                        <w:fldChar w:fldCharType="separate"/>
                      </w:r>
                      <w:r>
                        <w:rPr>
                          <w:rFonts w:ascii="Century Schoolbook" w:hAnsi="Century Schoolbook"/>
                          <w:noProof/>
                          <w:sz w:val="20"/>
                          <w:szCs w:val="20"/>
                        </w:rPr>
                        <w:t>17</w:t>
                      </w:r>
                      <w:r>
                        <w:rPr>
                          <w:rFonts w:ascii="Century Schoolbook" w:hAnsi="Century Schoolbook"/>
                          <w:sz w:val="20"/>
                          <w:szCs w:val="20"/>
                        </w:rPr>
                        <w:fldChar w:fldCharType="end"/>
                      </w:r>
                      <w:r w:rsidRPr="004C51B4">
                        <w:rPr>
                          <w:rFonts w:ascii="Century Schoolbook" w:hAnsi="Century Schoolbook"/>
                          <w:sz w:val="20"/>
                          <w:szCs w:val="20"/>
                        </w:rPr>
                        <w:t xml:space="preserve">. Matrícula universitaria pública y privada de la república de </w:t>
                      </w:r>
                      <w:r>
                        <w:rPr>
                          <w:rFonts w:ascii="Century Schoolbook" w:hAnsi="Century Schoolbook"/>
                          <w:sz w:val="20"/>
                          <w:szCs w:val="20"/>
                        </w:rPr>
                        <w:t>P</w:t>
                      </w:r>
                      <w:r w:rsidRPr="004C51B4">
                        <w:rPr>
                          <w:rFonts w:ascii="Century Schoolbook" w:hAnsi="Century Schoolbook"/>
                          <w:sz w:val="20"/>
                          <w:szCs w:val="20"/>
                        </w:rPr>
                        <w:t>anamá, por sexo: año 2018</w:t>
                      </w:r>
                      <w:bookmarkEnd w:id="163"/>
                    </w:p>
                  </w:txbxContent>
                </v:textbox>
                <w10:wrap type="square"/>
              </v:shape>
            </w:pict>
          </mc:Fallback>
        </mc:AlternateContent>
      </w:r>
      <w:r w:rsidR="008E3017" w:rsidRPr="005970E9">
        <w:rPr>
          <w:noProof/>
        </w:rPr>
        <mc:AlternateContent>
          <mc:Choice Requires="wps">
            <w:drawing>
              <wp:anchor distT="0" distB="0" distL="114300" distR="114300" simplePos="0" relativeHeight="251658264" behindDoc="0" locked="0" layoutInCell="1" allowOverlap="1" wp14:anchorId="6EACA6FE" wp14:editId="03436C2E">
                <wp:simplePos x="0" y="0"/>
                <wp:positionH relativeFrom="column">
                  <wp:posOffset>2528570</wp:posOffset>
                </wp:positionH>
                <wp:positionV relativeFrom="paragraph">
                  <wp:posOffset>78740</wp:posOffset>
                </wp:positionV>
                <wp:extent cx="3120390" cy="647065"/>
                <wp:effectExtent l="0" t="0" r="3810" b="635"/>
                <wp:wrapSquare wrapText="bothSides"/>
                <wp:docPr id="9" name="Cuadro de texto 9"/>
                <wp:cNvGraphicFramePr/>
                <a:graphic xmlns:a="http://schemas.openxmlformats.org/drawingml/2006/main">
                  <a:graphicData uri="http://schemas.microsoft.com/office/word/2010/wordprocessingShape">
                    <wps:wsp>
                      <wps:cNvSpPr txBox="1"/>
                      <wps:spPr>
                        <a:xfrm>
                          <a:off x="0" y="0"/>
                          <a:ext cx="3120390" cy="647065"/>
                        </a:xfrm>
                        <a:prstGeom prst="rect">
                          <a:avLst/>
                        </a:prstGeom>
                        <a:solidFill>
                          <a:prstClr val="white"/>
                        </a:solidFill>
                        <a:ln>
                          <a:noFill/>
                        </a:ln>
                      </wps:spPr>
                      <wps:txbx>
                        <w:txbxContent>
                          <w:p w14:paraId="4794B8A0" w14:textId="68DCA957" w:rsidR="00DC0EAB" w:rsidRPr="004C51B4" w:rsidRDefault="00DC0EAB" w:rsidP="008E3017">
                            <w:pPr>
                              <w:pStyle w:val="Caption"/>
                              <w:jc w:val="center"/>
                              <w:rPr>
                                <w:rFonts w:ascii="Century Schoolbook" w:eastAsia="Calibri" w:hAnsi="Century Schoolbook" w:cs="Calibri"/>
                                <w:noProof/>
                                <w:sz w:val="20"/>
                                <w:szCs w:val="20"/>
                              </w:rPr>
                            </w:pPr>
                            <w:bookmarkStart w:id="164" w:name="_Toc42549250"/>
                            <w:r w:rsidRPr="004C51B4">
                              <w:rPr>
                                <w:rFonts w:ascii="Century Schoolbook" w:hAnsi="Century Schoolbook"/>
                                <w:sz w:val="20"/>
                                <w:szCs w:val="20"/>
                              </w:rPr>
                              <w:t xml:space="preserve">Gráfica </w:t>
                            </w:r>
                            <w:r>
                              <w:rPr>
                                <w:rFonts w:ascii="Century Schoolbook" w:hAnsi="Century Schoolbook"/>
                                <w:sz w:val="20"/>
                                <w:szCs w:val="20"/>
                              </w:rPr>
                              <w:fldChar w:fldCharType="begin"/>
                            </w:r>
                            <w:r>
                              <w:rPr>
                                <w:rFonts w:ascii="Century Schoolbook" w:hAnsi="Century Schoolbook"/>
                                <w:sz w:val="20"/>
                                <w:szCs w:val="20"/>
                              </w:rPr>
                              <w:instrText xml:space="preserve"> SEQ Gráfica \* ARABIC </w:instrText>
                            </w:r>
                            <w:r>
                              <w:rPr>
                                <w:rFonts w:ascii="Century Schoolbook" w:hAnsi="Century Schoolbook"/>
                                <w:sz w:val="20"/>
                                <w:szCs w:val="20"/>
                              </w:rPr>
                              <w:fldChar w:fldCharType="separate"/>
                            </w:r>
                            <w:r>
                              <w:rPr>
                                <w:rFonts w:ascii="Century Schoolbook" w:hAnsi="Century Schoolbook"/>
                                <w:noProof/>
                                <w:sz w:val="20"/>
                                <w:szCs w:val="20"/>
                              </w:rPr>
                              <w:t>18</w:t>
                            </w:r>
                            <w:r>
                              <w:rPr>
                                <w:rFonts w:ascii="Century Schoolbook" w:hAnsi="Century Schoolbook"/>
                                <w:sz w:val="20"/>
                                <w:szCs w:val="20"/>
                              </w:rPr>
                              <w:fldChar w:fldCharType="end"/>
                            </w:r>
                            <w:r w:rsidRPr="004C51B4">
                              <w:rPr>
                                <w:rFonts w:ascii="Century Schoolbook" w:hAnsi="Century Schoolbook"/>
                                <w:sz w:val="20"/>
                                <w:szCs w:val="20"/>
                              </w:rPr>
                              <w:t>. Matrícula universitaria pública y privada de la república de panamá, por sexo: año 2018</w:t>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CA6FE" id="_x0000_s1031" type="#_x0000_t202" style="position:absolute;left:0;text-align:left;margin-left:199.1pt;margin-top:6.2pt;width:245.7pt;height:50.9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" stroked="f">
                <v:textbox inset="0,0,0,0">
                  <w:txbxContent>
                    <w:p w14:paraId="4794B8A0" w14:textId="68DCA957" w:rsidR="00DC0EAB" w:rsidRPr="004C51B4" w:rsidRDefault="00DC0EAB" w:rsidP="008E3017">
                      <w:pPr>
                        <w:pStyle w:val="Caption"/>
                        <w:jc w:val="center"/>
                        <w:rPr>
                          <w:rFonts w:ascii="Century Schoolbook" w:eastAsia="Calibri" w:hAnsi="Century Schoolbook" w:cs="Calibri"/>
                          <w:noProof/>
                          <w:sz w:val="20"/>
                          <w:szCs w:val="20"/>
                        </w:rPr>
                      </w:pPr>
                      <w:bookmarkStart w:id="165" w:name="_Toc42549250"/>
                      <w:r w:rsidRPr="004C51B4">
                        <w:rPr>
                          <w:rFonts w:ascii="Century Schoolbook" w:hAnsi="Century Schoolbook"/>
                          <w:sz w:val="20"/>
                          <w:szCs w:val="20"/>
                        </w:rPr>
                        <w:t xml:space="preserve">Gráfica </w:t>
                      </w:r>
                      <w:r>
                        <w:rPr>
                          <w:rFonts w:ascii="Century Schoolbook" w:hAnsi="Century Schoolbook"/>
                          <w:sz w:val="20"/>
                          <w:szCs w:val="20"/>
                        </w:rPr>
                        <w:fldChar w:fldCharType="begin"/>
                      </w:r>
                      <w:r>
                        <w:rPr>
                          <w:rFonts w:ascii="Century Schoolbook" w:hAnsi="Century Schoolbook"/>
                          <w:sz w:val="20"/>
                          <w:szCs w:val="20"/>
                        </w:rPr>
                        <w:instrText xml:space="preserve"> SEQ Gráfica \* ARABIC </w:instrText>
                      </w:r>
                      <w:r>
                        <w:rPr>
                          <w:rFonts w:ascii="Century Schoolbook" w:hAnsi="Century Schoolbook"/>
                          <w:sz w:val="20"/>
                          <w:szCs w:val="20"/>
                        </w:rPr>
                        <w:fldChar w:fldCharType="separate"/>
                      </w:r>
                      <w:r>
                        <w:rPr>
                          <w:rFonts w:ascii="Century Schoolbook" w:hAnsi="Century Schoolbook"/>
                          <w:noProof/>
                          <w:sz w:val="20"/>
                          <w:szCs w:val="20"/>
                        </w:rPr>
                        <w:t>18</w:t>
                      </w:r>
                      <w:r>
                        <w:rPr>
                          <w:rFonts w:ascii="Century Schoolbook" w:hAnsi="Century Schoolbook"/>
                          <w:sz w:val="20"/>
                          <w:szCs w:val="20"/>
                        </w:rPr>
                        <w:fldChar w:fldCharType="end"/>
                      </w:r>
                      <w:r w:rsidRPr="004C51B4">
                        <w:rPr>
                          <w:rFonts w:ascii="Century Schoolbook" w:hAnsi="Century Schoolbook"/>
                          <w:sz w:val="20"/>
                          <w:szCs w:val="20"/>
                        </w:rPr>
                        <w:t>. Matrícula universitaria pública y privada de la república de panamá, por sexo: año 2018</w:t>
                      </w:r>
                      <w:bookmarkEnd w:id="165"/>
                    </w:p>
                  </w:txbxContent>
                </v:textbox>
                <w10:wrap type="square"/>
              </v:shape>
            </w:pict>
          </mc:Fallback>
        </mc:AlternateContent>
      </w:r>
      <w:r w:rsidR="00A36980" w:rsidRPr="005970E9">
        <w:t xml:space="preserve">Posteriormente se encuentra la matrícula universitaria, que para el año 2018 tuvo una </w:t>
      </w:r>
      <w:r w:rsidR="00907429" w:rsidRPr="005970E9">
        <w:t>participación femenina</w:t>
      </w:r>
      <w:r w:rsidR="00A36980" w:rsidRPr="005970E9">
        <w:t xml:space="preserve"> de 22,52 puntos porcentuales mayores que la masculina, con una matrícula de 1</w:t>
      </w:r>
      <w:r w:rsidR="00BC1CF6" w:rsidRPr="005970E9">
        <w:t>1</w:t>
      </w:r>
      <w:r w:rsidR="00A36980" w:rsidRPr="005970E9">
        <w:t>1,420 mujeres (61%) y 70.459 (39%) hombres</w:t>
      </w:r>
      <w:r w:rsidR="00A36980" w:rsidRPr="005970E9">
        <w:rPr>
          <w:noProof/>
        </w:rPr>
        <w:t xml:space="preserve">.   </w:t>
      </w:r>
      <w:r w:rsidR="00A36980" w:rsidRPr="005970E9">
        <w:t>A pesar del logro educativo de las mujeres a nivel universitario, persiste la elección de carreras tradicionalmente “femeninas” en áreas tales como ciencias de la educación (maestras), ciencias de la salud (enfermeras) y áreas de comercio y administración (secretarias); cediendo espacios de carreras en áreas de mayor remuneración como las ingenierías, arquitectura, informática, física, matemáticas, entre otras.  Lo anterior nos indica que se deben redoblar esfuerzos en la orientación equitativa de la educación femenina. (Ver gráfico No.</w:t>
      </w:r>
      <w:r w:rsidR="008E3017" w:rsidRPr="005970E9">
        <w:t>1</w:t>
      </w:r>
      <w:r w:rsidR="00F202BE" w:rsidRPr="005970E9">
        <w:t>8</w:t>
      </w:r>
      <w:r w:rsidR="00A36980" w:rsidRPr="005970E9">
        <w:t>).</w:t>
      </w:r>
    </w:p>
    <w:p w14:paraId="77EC4D07" w14:textId="5F865FC0" w:rsidR="00A76298" w:rsidRPr="005970E9" w:rsidRDefault="00F202BE" w:rsidP="00E718C2">
      <w:pPr>
        <w:pStyle w:val="Caption"/>
        <w:jc w:val="both"/>
        <w:rPr>
          <w:rFonts w:ascii="Century Schoolbook" w:hAnsi="Century Schoolbook"/>
        </w:rPr>
      </w:pPr>
      <w:r w:rsidRPr="005970E9">
        <w:rPr>
          <w:rFonts w:ascii="Century Schoolbook" w:hAnsi="Century Schoolbook"/>
        </w:rPr>
        <w:t>Gráfica</w:t>
      </w:r>
      <w:r w:rsidR="00E718C2" w:rsidRPr="005970E9">
        <w:rPr>
          <w:rFonts w:ascii="Century Schoolbook" w:hAnsi="Century Schoolbook"/>
        </w:rPr>
        <w:t xml:space="preserve"> 18. </w:t>
      </w:r>
      <w:r w:rsidR="00A76298" w:rsidRPr="005970E9">
        <w:rPr>
          <w:rFonts w:ascii="Century Schoolbook" w:hAnsi="Century Schoolbook"/>
          <w:sz w:val="20"/>
          <w:szCs w:val="20"/>
        </w:rPr>
        <w:t>Proporción de matriculados a nivel universitario en la república de Panamá, según sector de estudio, por sexo: año 2018.</w:t>
      </w:r>
    </w:p>
    <w:p w14:paraId="26AFDCF2" w14:textId="77777777" w:rsidR="00A36980" w:rsidRPr="005970E9" w:rsidRDefault="00A36980" w:rsidP="00A36980">
      <w:pPr>
        <w:jc w:val="both"/>
      </w:pPr>
      <w:r w:rsidRPr="005970E9">
        <w:rPr>
          <w:noProof/>
        </w:rPr>
        <w:drawing>
          <wp:inline distT="0" distB="0" distL="0" distR="0" wp14:anchorId="5364698F" wp14:editId="453E80B5">
            <wp:extent cx="5612130" cy="3112770"/>
            <wp:effectExtent l="0" t="0" r="7620" b="11430"/>
            <wp:docPr id="39" name="Gráfico 39">
              <a:extLst xmlns:a="http://schemas.openxmlformats.org/drawingml/2006/main">
                <a:ext uri="{FF2B5EF4-FFF2-40B4-BE49-F238E27FC236}">
                  <a16:creationId xmlns:a16="http://schemas.microsoft.com/office/drawing/2014/main" id="{8B2B1958-7BBF-4541-B100-AFB1F3C53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BBF91E" w14:textId="77777777" w:rsidR="00A36980" w:rsidRPr="005970E9" w:rsidRDefault="00A36980" w:rsidP="00A36980">
      <w:pPr>
        <w:jc w:val="both"/>
      </w:pPr>
    </w:p>
    <w:p w14:paraId="429ADEAF" w14:textId="6F4637A0" w:rsidR="00A36980" w:rsidRPr="005970E9" w:rsidRDefault="00A36980" w:rsidP="008031E2">
      <w:pPr>
        <w:spacing w:line="276" w:lineRule="auto"/>
        <w:jc w:val="both"/>
      </w:pPr>
      <w:r w:rsidRPr="005970E9">
        <w:t xml:space="preserve">Tomando en consideración que las mujeres asumen enormes cargas de tareas de cuidado y de trabajo doméstico no remunerado en la esfera de lo privado, es poco el tiempo </w:t>
      </w:r>
      <w:r w:rsidRPr="005970E9">
        <w:lastRenderedPageBreak/>
        <w:t xml:space="preserve">disponible para dedicarse al empleo formal y además al estudio; por ello cobra mucha relevancia que el indicador del logro educativo en las mujeres sea mayor que los hombres, ello implica que permanece y aumenta el avance de las mujeres en el sector educativo.  Los resultados educativos por sexo cobran mucho más sentido cuando se contrastan contra el empleo y </w:t>
      </w:r>
      <w:r w:rsidR="00BC1CF6" w:rsidRPr="005970E9">
        <w:t xml:space="preserve">la </w:t>
      </w:r>
      <w:r w:rsidRPr="005970E9">
        <w:t>ocupación por sexo, en los cuales se demuestra que a pesar de que las mujeres tienen mayor nivel educativo, participan menos en el mercado de trabajo y además como se presentó anteriormente, poseen tasas mayores de desempleo que los hombres, lo cual nos lleva a la conclusión de que si bien existen evidentes progresos de la mujer en materia educativa, ello no se refleja en el bienestar económico a través del empleo y por tanto en el logro de su autonomía económica.</w:t>
      </w:r>
    </w:p>
    <w:p w14:paraId="4D96A10B" w14:textId="5E5EE5A7" w:rsidR="00BF0E46" w:rsidRPr="005970E9" w:rsidRDefault="00BF0E46" w:rsidP="00D478B6">
      <w:pPr>
        <w:pStyle w:val="Heading3"/>
        <w:numPr>
          <w:ilvl w:val="2"/>
          <w:numId w:val="56"/>
        </w:numPr>
      </w:pPr>
      <w:bookmarkStart w:id="166" w:name="_Toc42159223"/>
      <w:bookmarkStart w:id="167" w:name="_Toc42549454"/>
      <w:r w:rsidRPr="005970E9">
        <w:t>Estudiantes embarazadas</w:t>
      </w:r>
      <w:bookmarkEnd w:id="166"/>
      <w:bookmarkEnd w:id="167"/>
      <w:r w:rsidRPr="005970E9">
        <w:t xml:space="preserve"> </w:t>
      </w:r>
    </w:p>
    <w:p w14:paraId="4A5DA75B" w14:textId="4FC1C410" w:rsidR="00A36980" w:rsidRPr="005970E9" w:rsidRDefault="00A36980" w:rsidP="0017702A">
      <w:pPr>
        <w:spacing w:before="120" w:after="120" w:line="276" w:lineRule="auto"/>
        <w:jc w:val="both"/>
      </w:pPr>
      <w:r w:rsidRPr="005970E9">
        <w:t xml:space="preserve">Un aspecto medular en el desarrollo educativo de las mujeres es la necesidad de implementar de forma urgente la educación sexual en los niveles educativos, ya que resaltan indicadores de deserción </w:t>
      </w:r>
      <w:r w:rsidR="00BC1CF6" w:rsidRPr="005970E9">
        <w:t xml:space="preserve">como resultados de </w:t>
      </w:r>
      <w:r w:rsidRPr="005970E9">
        <w:t>embarazo</w:t>
      </w:r>
      <w:r w:rsidR="00BC1CF6" w:rsidRPr="005970E9">
        <w:t xml:space="preserve">s. En el sistema educativo se observan </w:t>
      </w:r>
      <w:r w:rsidRPr="005970E9">
        <w:t>cifras de embaraz</w:t>
      </w:r>
      <w:r w:rsidR="00BC1CF6" w:rsidRPr="005970E9">
        <w:t xml:space="preserve">os </w:t>
      </w:r>
      <w:r w:rsidRPr="005970E9">
        <w:t>en premedia, media e inclusive a nivel primario. De acuerdo a datos del INEC para el 2010 hubo 684 embara</w:t>
      </w:r>
      <w:r w:rsidR="0017702A" w:rsidRPr="005970E9">
        <w:t xml:space="preserve">zos a temprana edad, en la </w:t>
      </w:r>
      <w:r w:rsidRPr="005970E9">
        <w:t>matr</w:t>
      </w:r>
      <w:r w:rsidR="0017702A" w:rsidRPr="005970E9">
        <w:t>í</w:t>
      </w:r>
      <w:r w:rsidRPr="005970E9">
        <w:t xml:space="preserve">cula </w:t>
      </w:r>
      <w:r w:rsidR="0017702A" w:rsidRPr="005970E9">
        <w:t>d</w:t>
      </w:r>
      <w:r w:rsidRPr="005970E9">
        <w:t xml:space="preserve">el Sistema Educativo Público y Privado, cifras que aumentaron significativamente para el 2016, último año en el que se lleva el registro oficial, totalizando 1,433 casos, indicador que aumentó en todas las provincias, exceptuando la provincia de Los Santos en donde disminuyeron los casos con respecto al 2010.  </w:t>
      </w:r>
    </w:p>
    <w:p w14:paraId="031AB374" w14:textId="6E9313C3" w:rsidR="00A36980" w:rsidRPr="005970E9" w:rsidRDefault="00A36980" w:rsidP="008031E2">
      <w:pPr>
        <w:spacing w:line="276" w:lineRule="auto"/>
        <w:jc w:val="both"/>
      </w:pPr>
      <w:r w:rsidRPr="005970E9">
        <w:t>De igual forma para el 2016 del total de casos, se registraron 1,381 casos a nivel de premedia y media y 52 casos a nivel primario, de los cuales 28 casos se focalizaban en la provincia de Bocas del Toro y otros 12 en áreas comarcales; lo que implica que persiste el abuso de niñas indígenas en la mayoría de los casos relacionadas con el nivel de vida y la pobreza de los habitantes de dichas regiones; pero además, en el caso de la adolescencia por el desconocimiento en materia de educación sexual, sosteniendo relaciones de forma precoz sin el uso de métodos anticonceptivos o un uso erróneo y equivocado de los mismos. (</w:t>
      </w:r>
      <w:r w:rsidRPr="00FF4DED">
        <w:t>Ver Gráfica No.</w:t>
      </w:r>
      <w:r w:rsidR="008031E2" w:rsidRPr="00FF4DED">
        <w:t>1</w:t>
      </w:r>
      <w:r w:rsidR="00533E56" w:rsidRPr="00FF4DED">
        <w:t>9</w:t>
      </w:r>
      <w:r w:rsidRPr="00FF4DED">
        <w:t xml:space="preserve"> y Cuadro No. 3).</w:t>
      </w:r>
    </w:p>
    <w:p w14:paraId="44EAF723" w14:textId="24E4901D" w:rsidR="00EF29CA" w:rsidRPr="005970E9" w:rsidRDefault="008031E2" w:rsidP="00EF29CA">
      <w:pPr>
        <w:pStyle w:val="Caption"/>
        <w:rPr>
          <w:rFonts w:ascii="Century Schoolbook" w:hAnsi="Century Schoolbook"/>
          <w:sz w:val="20"/>
          <w:szCs w:val="20"/>
        </w:rPr>
      </w:pPr>
      <w:bookmarkStart w:id="168" w:name="_Toc42549251"/>
      <w:r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19</w:t>
      </w:r>
      <w:r w:rsidR="00F202BE" w:rsidRPr="005970E9">
        <w:rPr>
          <w:rFonts w:ascii="Century Schoolbook" w:hAnsi="Century Schoolbook"/>
          <w:sz w:val="20"/>
          <w:szCs w:val="20"/>
        </w:rPr>
        <w:fldChar w:fldCharType="end"/>
      </w:r>
      <w:r w:rsidRPr="005970E9">
        <w:rPr>
          <w:rFonts w:ascii="Century Schoolbook" w:hAnsi="Century Schoolbook"/>
          <w:sz w:val="20"/>
          <w:szCs w:val="20"/>
        </w:rPr>
        <w:t xml:space="preserve">. </w:t>
      </w:r>
      <w:r w:rsidR="00820926" w:rsidRPr="005970E9">
        <w:rPr>
          <w:rFonts w:ascii="Century Schoolbook" w:hAnsi="Century Schoolbook"/>
          <w:sz w:val="20"/>
          <w:szCs w:val="20"/>
        </w:rPr>
        <w:t>Cantidad de embaraz</w:t>
      </w:r>
      <w:r w:rsidR="00BC2A80" w:rsidRPr="005970E9">
        <w:rPr>
          <w:rFonts w:ascii="Century Schoolbook" w:hAnsi="Century Schoolbook"/>
          <w:sz w:val="20"/>
          <w:szCs w:val="20"/>
        </w:rPr>
        <w:t>o</w:t>
      </w:r>
      <w:r w:rsidR="00820926" w:rsidRPr="005970E9">
        <w:rPr>
          <w:rFonts w:ascii="Century Schoolbook" w:hAnsi="Century Schoolbook"/>
          <w:sz w:val="20"/>
          <w:szCs w:val="20"/>
        </w:rPr>
        <w:t>s</w:t>
      </w:r>
      <w:r w:rsidR="00BC2A80" w:rsidRPr="005970E9">
        <w:rPr>
          <w:rFonts w:ascii="Century Schoolbook" w:hAnsi="Century Schoolbook"/>
          <w:sz w:val="20"/>
          <w:szCs w:val="20"/>
        </w:rPr>
        <w:t xml:space="preserve"> a temprana edad</w:t>
      </w:r>
      <w:r w:rsidR="00820926" w:rsidRPr="005970E9">
        <w:rPr>
          <w:rFonts w:ascii="Century Schoolbook" w:hAnsi="Century Schoolbook"/>
          <w:sz w:val="20"/>
          <w:szCs w:val="20"/>
        </w:rPr>
        <w:t xml:space="preserve"> en la </w:t>
      </w:r>
      <w:r w:rsidR="042AD3F4" w:rsidRPr="005970E9">
        <w:rPr>
          <w:rFonts w:ascii="Century Schoolbook" w:hAnsi="Century Schoolbook"/>
          <w:sz w:val="20"/>
          <w:szCs w:val="20"/>
        </w:rPr>
        <w:t>R</w:t>
      </w:r>
      <w:r w:rsidR="00820926" w:rsidRPr="005970E9">
        <w:rPr>
          <w:rFonts w:ascii="Century Schoolbook" w:hAnsi="Century Schoolbook"/>
          <w:sz w:val="20"/>
          <w:szCs w:val="20"/>
        </w:rPr>
        <w:t xml:space="preserve">epública de </w:t>
      </w:r>
      <w:r w:rsidR="176EA9EB" w:rsidRPr="005970E9">
        <w:rPr>
          <w:rFonts w:ascii="Century Schoolbook" w:hAnsi="Century Schoolbook"/>
          <w:sz w:val="20"/>
          <w:szCs w:val="20"/>
        </w:rPr>
        <w:t>P</w:t>
      </w:r>
      <w:r w:rsidR="00820926" w:rsidRPr="005970E9">
        <w:rPr>
          <w:rFonts w:ascii="Century Schoolbook" w:hAnsi="Century Schoolbook"/>
          <w:sz w:val="20"/>
          <w:szCs w:val="20"/>
        </w:rPr>
        <w:t>anamá, según provincia: años 2010-201</w:t>
      </w:r>
      <w:r w:rsidR="00EE5DF9" w:rsidRPr="005970E9">
        <w:rPr>
          <w:rFonts w:ascii="Century Schoolbook" w:hAnsi="Century Schoolbook"/>
          <w:sz w:val="20"/>
          <w:szCs w:val="20"/>
        </w:rPr>
        <w:t>6</w:t>
      </w:r>
      <w:bookmarkEnd w:id="168"/>
    </w:p>
    <w:p w14:paraId="21479450" w14:textId="0D4EF33B" w:rsidR="00A36980" w:rsidRPr="005970E9" w:rsidRDefault="003030FF" w:rsidP="00EF29CA">
      <w:pPr>
        <w:pStyle w:val="Caption"/>
        <w:rPr>
          <w:rFonts w:ascii="Century Schoolbook" w:hAnsi="Century Schoolbook"/>
        </w:rPr>
      </w:pPr>
      <w:r w:rsidRPr="005970E9">
        <w:rPr>
          <w:rFonts w:ascii="Century Schoolbook" w:hAnsi="Century Schoolbook"/>
          <w:noProof/>
        </w:rPr>
        <w:drawing>
          <wp:inline distT="0" distB="0" distL="0" distR="0" wp14:anchorId="28D5CF70" wp14:editId="5CB9D4CF">
            <wp:extent cx="5664200" cy="2011680"/>
            <wp:effectExtent l="0" t="0" r="12700" b="762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2118EB0" w14:textId="77777777" w:rsidR="00A36980" w:rsidRPr="005970E9" w:rsidRDefault="00A36980" w:rsidP="00A36980">
      <w:pPr>
        <w:jc w:val="center"/>
        <w:rPr>
          <w:sz w:val="20"/>
          <w:szCs w:val="20"/>
          <w:lang w:val="es-US"/>
        </w:rPr>
      </w:pPr>
      <w:r w:rsidRPr="005970E9">
        <w:rPr>
          <w:sz w:val="20"/>
          <w:szCs w:val="20"/>
        </w:rPr>
        <w:lastRenderedPageBreak/>
        <w:t xml:space="preserve">Fuente:  INEC, Estadísticas Vitales 2018. </w:t>
      </w:r>
    </w:p>
    <w:p w14:paraId="3AF25147" w14:textId="77777777" w:rsidR="00A36980" w:rsidRPr="005970E9" w:rsidRDefault="00A36980" w:rsidP="00A36980">
      <w:pPr>
        <w:jc w:val="both"/>
        <w:rPr>
          <w:shd w:val="clear" w:color="auto" w:fill="FFFF00"/>
        </w:rPr>
      </w:pPr>
    </w:p>
    <w:tbl>
      <w:tblPr>
        <w:tblpPr w:leftFromText="141" w:rightFromText="141" w:vertAnchor="text" w:horzAnchor="margin" w:tblpY="602"/>
        <w:tblW w:w="10064" w:type="dxa"/>
        <w:tblLayout w:type="fixed"/>
        <w:tblCellMar>
          <w:left w:w="70" w:type="dxa"/>
          <w:right w:w="70" w:type="dxa"/>
        </w:tblCellMar>
        <w:tblLook w:val="04A0" w:firstRow="1" w:lastRow="0" w:firstColumn="1" w:lastColumn="0" w:noHBand="0" w:noVBand="1"/>
      </w:tblPr>
      <w:tblGrid>
        <w:gridCol w:w="1351"/>
        <w:gridCol w:w="698"/>
        <w:gridCol w:w="810"/>
        <w:gridCol w:w="685"/>
        <w:gridCol w:w="631"/>
        <w:gridCol w:w="810"/>
        <w:gridCol w:w="685"/>
        <w:gridCol w:w="658"/>
        <w:gridCol w:w="810"/>
        <w:gridCol w:w="800"/>
        <w:gridCol w:w="626"/>
        <w:gridCol w:w="810"/>
        <w:gridCol w:w="690"/>
      </w:tblGrid>
      <w:tr w:rsidR="00471873" w:rsidRPr="005970E9" w14:paraId="7E0D99F9" w14:textId="77777777" w:rsidTr="00471873">
        <w:trPr>
          <w:trHeight w:val="276"/>
        </w:trPr>
        <w:tc>
          <w:tcPr>
            <w:tcW w:w="1351" w:type="dxa"/>
            <w:vMerge w:val="restart"/>
            <w:tcBorders>
              <w:top w:val="single" w:sz="4" w:space="0" w:color="auto"/>
              <w:left w:val="nil"/>
              <w:bottom w:val="single" w:sz="4" w:space="0" w:color="auto"/>
              <w:right w:val="single" w:sz="4" w:space="0" w:color="auto"/>
            </w:tcBorders>
            <w:shd w:val="clear" w:color="auto" w:fill="auto"/>
            <w:vAlign w:val="center"/>
            <w:hideMark/>
          </w:tcPr>
          <w:p w14:paraId="37C5F460" w14:textId="77777777" w:rsidR="00471873" w:rsidRPr="005970E9" w:rsidRDefault="00471873" w:rsidP="00471873">
            <w:pPr>
              <w:jc w:val="center"/>
              <w:rPr>
                <w:rFonts w:eastAsia="Times New Roman" w:cs="Arial"/>
                <w:b/>
                <w:bCs/>
                <w:color w:val="000000"/>
              </w:rPr>
            </w:pPr>
            <w:r w:rsidRPr="005970E9">
              <w:rPr>
                <w:rFonts w:eastAsia="Times New Roman" w:cs="Arial"/>
                <w:b/>
                <w:bCs/>
                <w:color w:val="000000"/>
              </w:rPr>
              <w:t>Provincia</w:t>
            </w:r>
          </w:p>
        </w:tc>
        <w:tc>
          <w:tcPr>
            <w:tcW w:w="2193" w:type="dxa"/>
            <w:gridSpan w:val="3"/>
            <w:tcBorders>
              <w:top w:val="single" w:sz="4" w:space="0" w:color="auto"/>
              <w:left w:val="nil"/>
              <w:bottom w:val="single" w:sz="4" w:space="0" w:color="auto"/>
              <w:right w:val="single" w:sz="4" w:space="0" w:color="auto"/>
            </w:tcBorders>
            <w:shd w:val="clear" w:color="auto" w:fill="auto"/>
            <w:vAlign w:val="center"/>
            <w:hideMark/>
          </w:tcPr>
          <w:p w14:paraId="403CDA6C" w14:textId="77777777" w:rsidR="00471873" w:rsidRPr="005970E9" w:rsidRDefault="00471873" w:rsidP="00471873">
            <w:pPr>
              <w:jc w:val="center"/>
              <w:rPr>
                <w:rFonts w:eastAsia="Times New Roman" w:cs="Arial"/>
                <w:b/>
                <w:bCs/>
                <w:color w:val="000000"/>
                <w:sz w:val="20"/>
                <w:szCs w:val="20"/>
              </w:rPr>
            </w:pPr>
            <w:r w:rsidRPr="005970E9">
              <w:rPr>
                <w:rFonts w:eastAsia="Times New Roman" w:cs="Arial"/>
                <w:b/>
                <w:bCs/>
                <w:color w:val="000000"/>
                <w:sz w:val="20"/>
                <w:szCs w:val="20"/>
              </w:rPr>
              <w:t>2013</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79942903" w14:textId="77777777" w:rsidR="00471873" w:rsidRPr="005970E9" w:rsidRDefault="00471873" w:rsidP="00471873">
            <w:pPr>
              <w:jc w:val="center"/>
              <w:rPr>
                <w:rFonts w:eastAsia="Times New Roman" w:cs="Arial"/>
                <w:b/>
                <w:bCs/>
                <w:color w:val="000000"/>
                <w:sz w:val="20"/>
                <w:szCs w:val="20"/>
              </w:rPr>
            </w:pPr>
            <w:r w:rsidRPr="005970E9">
              <w:rPr>
                <w:rFonts w:eastAsia="Times New Roman" w:cs="Arial"/>
                <w:b/>
                <w:bCs/>
                <w:color w:val="000000"/>
                <w:sz w:val="20"/>
                <w:szCs w:val="20"/>
              </w:rPr>
              <w:t>2014</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F658BE" w14:textId="77777777" w:rsidR="00471873" w:rsidRPr="005970E9" w:rsidRDefault="00471873" w:rsidP="00471873">
            <w:pPr>
              <w:jc w:val="center"/>
              <w:rPr>
                <w:rFonts w:eastAsia="Times New Roman" w:cs="Arial"/>
                <w:b/>
                <w:bCs/>
                <w:color w:val="000000"/>
                <w:sz w:val="20"/>
                <w:szCs w:val="20"/>
              </w:rPr>
            </w:pPr>
            <w:r w:rsidRPr="005970E9">
              <w:rPr>
                <w:rFonts w:eastAsia="Times New Roman" w:cs="Arial"/>
                <w:b/>
                <w:bCs/>
                <w:color w:val="000000"/>
                <w:sz w:val="20"/>
                <w:szCs w:val="20"/>
              </w:rPr>
              <w:t>2015</w:t>
            </w:r>
          </w:p>
        </w:tc>
        <w:tc>
          <w:tcPr>
            <w:tcW w:w="21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CB74637" w14:textId="77777777" w:rsidR="00471873" w:rsidRPr="005970E9" w:rsidRDefault="00471873" w:rsidP="00471873">
            <w:pPr>
              <w:jc w:val="center"/>
              <w:rPr>
                <w:rFonts w:eastAsia="Times New Roman" w:cs="Arial"/>
                <w:b/>
                <w:bCs/>
                <w:color w:val="000000"/>
                <w:sz w:val="20"/>
                <w:szCs w:val="20"/>
              </w:rPr>
            </w:pPr>
            <w:r w:rsidRPr="005970E9">
              <w:rPr>
                <w:rFonts w:eastAsia="Times New Roman" w:cs="Arial"/>
                <w:b/>
                <w:bCs/>
                <w:color w:val="000000"/>
                <w:sz w:val="20"/>
                <w:szCs w:val="20"/>
              </w:rPr>
              <w:t>2016</w:t>
            </w:r>
          </w:p>
        </w:tc>
      </w:tr>
      <w:tr w:rsidR="00471873" w:rsidRPr="005970E9" w14:paraId="5B775D77" w14:textId="77777777" w:rsidTr="00471873">
        <w:trPr>
          <w:trHeight w:val="408"/>
        </w:trPr>
        <w:tc>
          <w:tcPr>
            <w:tcW w:w="1351" w:type="dxa"/>
            <w:vMerge/>
            <w:tcBorders>
              <w:top w:val="single" w:sz="4" w:space="0" w:color="auto"/>
              <w:left w:val="nil"/>
              <w:bottom w:val="single" w:sz="4" w:space="0" w:color="auto"/>
              <w:right w:val="single" w:sz="4" w:space="0" w:color="auto"/>
            </w:tcBorders>
            <w:vAlign w:val="center"/>
            <w:hideMark/>
          </w:tcPr>
          <w:p w14:paraId="6AD8D82C" w14:textId="77777777" w:rsidR="00471873" w:rsidRPr="005970E9" w:rsidRDefault="00471873" w:rsidP="00471873">
            <w:pPr>
              <w:rPr>
                <w:rFonts w:eastAsia="Times New Roman" w:cs="Arial"/>
                <w:b/>
                <w:bCs/>
                <w:color w:val="000000"/>
              </w:rPr>
            </w:pPr>
          </w:p>
        </w:tc>
        <w:tc>
          <w:tcPr>
            <w:tcW w:w="698" w:type="dxa"/>
            <w:tcBorders>
              <w:top w:val="nil"/>
              <w:left w:val="nil"/>
              <w:bottom w:val="single" w:sz="4" w:space="0" w:color="auto"/>
              <w:right w:val="single" w:sz="4" w:space="0" w:color="auto"/>
            </w:tcBorders>
            <w:shd w:val="clear" w:color="auto" w:fill="auto"/>
            <w:vAlign w:val="center"/>
            <w:hideMark/>
          </w:tcPr>
          <w:p w14:paraId="1BE9ED6C" w14:textId="77777777" w:rsidR="00471873" w:rsidRPr="005970E9" w:rsidRDefault="00471873" w:rsidP="00471873">
            <w:pPr>
              <w:jc w:val="center"/>
              <w:rPr>
                <w:rFonts w:eastAsia="Times New Roman" w:cs="Arial"/>
                <w:color w:val="000000"/>
                <w:sz w:val="20"/>
                <w:szCs w:val="20"/>
              </w:rPr>
            </w:pPr>
            <w:r w:rsidRPr="005970E9">
              <w:rPr>
                <w:rFonts w:eastAsia="Times New Roman" w:cs="Arial"/>
                <w:color w:val="000000"/>
                <w:sz w:val="20"/>
                <w:szCs w:val="20"/>
              </w:rPr>
              <w:t>Total</w:t>
            </w:r>
          </w:p>
        </w:tc>
        <w:tc>
          <w:tcPr>
            <w:tcW w:w="810" w:type="dxa"/>
            <w:tcBorders>
              <w:top w:val="nil"/>
              <w:left w:val="nil"/>
              <w:bottom w:val="single" w:sz="4" w:space="0" w:color="auto"/>
              <w:right w:val="single" w:sz="4" w:space="0" w:color="auto"/>
            </w:tcBorders>
            <w:shd w:val="clear" w:color="auto" w:fill="auto"/>
            <w:vAlign w:val="center"/>
            <w:hideMark/>
          </w:tcPr>
          <w:p w14:paraId="78460F30" w14:textId="77777777" w:rsidR="00471873" w:rsidRPr="005970E9" w:rsidRDefault="00471873" w:rsidP="00471873">
            <w:pPr>
              <w:jc w:val="center"/>
              <w:rPr>
                <w:rFonts w:eastAsia="Times New Roman" w:cs="Arial"/>
                <w:color w:val="000000"/>
                <w:sz w:val="16"/>
                <w:szCs w:val="16"/>
              </w:rPr>
            </w:pPr>
            <w:r w:rsidRPr="005970E9">
              <w:rPr>
                <w:rFonts w:eastAsia="Times New Roman" w:cs="Arial"/>
                <w:color w:val="000000"/>
                <w:sz w:val="16"/>
                <w:szCs w:val="16"/>
              </w:rPr>
              <w:t>Primaria</w:t>
            </w:r>
          </w:p>
        </w:tc>
        <w:tc>
          <w:tcPr>
            <w:tcW w:w="685" w:type="dxa"/>
            <w:tcBorders>
              <w:top w:val="nil"/>
              <w:left w:val="nil"/>
              <w:bottom w:val="single" w:sz="4" w:space="0" w:color="auto"/>
              <w:right w:val="single" w:sz="4" w:space="0" w:color="auto"/>
            </w:tcBorders>
            <w:shd w:val="clear" w:color="auto" w:fill="auto"/>
            <w:vAlign w:val="center"/>
            <w:hideMark/>
          </w:tcPr>
          <w:p w14:paraId="32C1A52A" w14:textId="77777777" w:rsidR="00471873" w:rsidRPr="005970E9" w:rsidRDefault="00471873" w:rsidP="00471873">
            <w:pPr>
              <w:jc w:val="center"/>
              <w:rPr>
                <w:rFonts w:eastAsia="Times New Roman" w:cs="Arial"/>
                <w:color w:val="000000"/>
                <w:sz w:val="16"/>
                <w:szCs w:val="16"/>
              </w:rPr>
            </w:pPr>
            <w:r w:rsidRPr="005970E9">
              <w:rPr>
                <w:rFonts w:eastAsia="Times New Roman" w:cs="Arial"/>
                <w:color w:val="000000"/>
                <w:sz w:val="16"/>
                <w:szCs w:val="16"/>
              </w:rPr>
              <w:t>Pre/Media</w:t>
            </w:r>
          </w:p>
        </w:tc>
        <w:tc>
          <w:tcPr>
            <w:tcW w:w="631" w:type="dxa"/>
            <w:tcBorders>
              <w:top w:val="nil"/>
              <w:left w:val="nil"/>
              <w:bottom w:val="single" w:sz="4" w:space="0" w:color="auto"/>
              <w:right w:val="single" w:sz="4" w:space="0" w:color="auto"/>
            </w:tcBorders>
            <w:shd w:val="clear" w:color="auto" w:fill="auto"/>
            <w:vAlign w:val="center"/>
            <w:hideMark/>
          </w:tcPr>
          <w:p w14:paraId="49EA187F" w14:textId="77777777" w:rsidR="00471873" w:rsidRPr="005970E9" w:rsidRDefault="00471873" w:rsidP="00471873">
            <w:pPr>
              <w:jc w:val="center"/>
              <w:rPr>
                <w:rFonts w:eastAsia="Times New Roman" w:cs="Arial"/>
                <w:color w:val="000000"/>
                <w:sz w:val="20"/>
                <w:szCs w:val="20"/>
              </w:rPr>
            </w:pPr>
            <w:r w:rsidRPr="005970E9">
              <w:rPr>
                <w:rFonts w:eastAsia="Times New Roman" w:cs="Arial"/>
                <w:color w:val="000000"/>
                <w:sz w:val="20"/>
                <w:szCs w:val="20"/>
              </w:rPr>
              <w:t>Total</w:t>
            </w:r>
          </w:p>
        </w:tc>
        <w:tc>
          <w:tcPr>
            <w:tcW w:w="810" w:type="dxa"/>
            <w:tcBorders>
              <w:top w:val="nil"/>
              <w:left w:val="nil"/>
              <w:bottom w:val="single" w:sz="4" w:space="0" w:color="auto"/>
              <w:right w:val="single" w:sz="4" w:space="0" w:color="auto"/>
            </w:tcBorders>
            <w:shd w:val="clear" w:color="auto" w:fill="auto"/>
            <w:vAlign w:val="center"/>
            <w:hideMark/>
          </w:tcPr>
          <w:p w14:paraId="34BA8A9E" w14:textId="77777777" w:rsidR="00471873" w:rsidRPr="005970E9" w:rsidRDefault="00471873" w:rsidP="00471873">
            <w:pPr>
              <w:jc w:val="center"/>
              <w:rPr>
                <w:rFonts w:eastAsia="Times New Roman" w:cs="Arial"/>
                <w:color w:val="000000"/>
                <w:sz w:val="16"/>
                <w:szCs w:val="16"/>
              </w:rPr>
            </w:pPr>
            <w:r w:rsidRPr="005970E9">
              <w:rPr>
                <w:rFonts w:eastAsia="Times New Roman" w:cs="Arial"/>
                <w:color w:val="000000"/>
                <w:sz w:val="16"/>
                <w:szCs w:val="16"/>
              </w:rPr>
              <w:t>Primaria</w:t>
            </w:r>
          </w:p>
        </w:tc>
        <w:tc>
          <w:tcPr>
            <w:tcW w:w="685" w:type="dxa"/>
            <w:tcBorders>
              <w:top w:val="nil"/>
              <w:left w:val="nil"/>
              <w:bottom w:val="single" w:sz="4" w:space="0" w:color="auto"/>
              <w:right w:val="single" w:sz="4" w:space="0" w:color="auto"/>
            </w:tcBorders>
            <w:shd w:val="clear" w:color="auto" w:fill="auto"/>
            <w:vAlign w:val="center"/>
            <w:hideMark/>
          </w:tcPr>
          <w:p w14:paraId="73649800" w14:textId="77777777" w:rsidR="00471873" w:rsidRPr="005970E9" w:rsidRDefault="00471873" w:rsidP="00471873">
            <w:pPr>
              <w:jc w:val="center"/>
              <w:rPr>
                <w:rFonts w:eastAsia="Times New Roman" w:cs="Arial"/>
                <w:color w:val="000000"/>
                <w:sz w:val="16"/>
                <w:szCs w:val="16"/>
              </w:rPr>
            </w:pPr>
            <w:r w:rsidRPr="005970E9">
              <w:rPr>
                <w:rFonts w:eastAsia="Times New Roman" w:cs="Arial"/>
                <w:color w:val="000000"/>
                <w:sz w:val="16"/>
                <w:szCs w:val="16"/>
              </w:rPr>
              <w:t>Pre/Media</w:t>
            </w:r>
          </w:p>
        </w:tc>
        <w:tc>
          <w:tcPr>
            <w:tcW w:w="658" w:type="dxa"/>
            <w:tcBorders>
              <w:top w:val="nil"/>
              <w:left w:val="nil"/>
              <w:bottom w:val="single" w:sz="4" w:space="0" w:color="auto"/>
              <w:right w:val="single" w:sz="4" w:space="0" w:color="auto"/>
            </w:tcBorders>
            <w:shd w:val="clear" w:color="auto" w:fill="auto"/>
            <w:vAlign w:val="center"/>
            <w:hideMark/>
          </w:tcPr>
          <w:p w14:paraId="75283893" w14:textId="77777777" w:rsidR="00471873" w:rsidRPr="005970E9" w:rsidRDefault="00471873" w:rsidP="00471873">
            <w:pPr>
              <w:jc w:val="center"/>
              <w:rPr>
                <w:rFonts w:eastAsia="Times New Roman" w:cs="Arial"/>
                <w:color w:val="000000"/>
                <w:sz w:val="20"/>
                <w:szCs w:val="20"/>
              </w:rPr>
            </w:pPr>
            <w:r w:rsidRPr="005970E9">
              <w:rPr>
                <w:rFonts w:eastAsia="Times New Roman" w:cs="Arial"/>
                <w:color w:val="000000"/>
                <w:sz w:val="20"/>
                <w:szCs w:val="20"/>
              </w:rPr>
              <w:t>Total</w:t>
            </w:r>
          </w:p>
        </w:tc>
        <w:tc>
          <w:tcPr>
            <w:tcW w:w="810" w:type="dxa"/>
            <w:tcBorders>
              <w:top w:val="nil"/>
              <w:left w:val="nil"/>
              <w:bottom w:val="single" w:sz="4" w:space="0" w:color="auto"/>
              <w:right w:val="single" w:sz="4" w:space="0" w:color="auto"/>
            </w:tcBorders>
            <w:shd w:val="clear" w:color="auto" w:fill="auto"/>
            <w:vAlign w:val="center"/>
            <w:hideMark/>
          </w:tcPr>
          <w:p w14:paraId="230F53EB" w14:textId="77777777" w:rsidR="00471873" w:rsidRPr="005970E9" w:rsidRDefault="00471873" w:rsidP="00471873">
            <w:pPr>
              <w:jc w:val="center"/>
              <w:rPr>
                <w:rFonts w:eastAsia="Times New Roman" w:cs="Arial"/>
                <w:color w:val="000000"/>
                <w:sz w:val="16"/>
                <w:szCs w:val="16"/>
              </w:rPr>
            </w:pPr>
            <w:r w:rsidRPr="005970E9">
              <w:rPr>
                <w:rFonts w:eastAsia="Times New Roman" w:cs="Arial"/>
                <w:color w:val="000000"/>
                <w:sz w:val="16"/>
                <w:szCs w:val="16"/>
              </w:rPr>
              <w:t>Primaria</w:t>
            </w:r>
          </w:p>
        </w:tc>
        <w:tc>
          <w:tcPr>
            <w:tcW w:w="800" w:type="dxa"/>
            <w:tcBorders>
              <w:top w:val="nil"/>
              <w:left w:val="nil"/>
              <w:bottom w:val="single" w:sz="4" w:space="0" w:color="auto"/>
              <w:right w:val="single" w:sz="4" w:space="0" w:color="auto"/>
            </w:tcBorders>
            <w:shd w:val="clear" w:color="auto" w:fill="auto"/>
            <w:vAlign w:val="center"/>
            <w:hideMark/>
          </w:tcPr>
          <w:p w14:paraId="1E13233C" w14:textId="77777777" w:rsidR="00471873" w:rsidRPr="005970E9" w:rsidRDefault="00471873" w:rsidP="00471873">
            <w:pPr>
              <w:jc w:val="center"/>
              <w:rPr>
                <w:rFonts w:eastAsia="Times New Roman" w:cs="Arial"/>
                <w:color w:val="000000"/>
                <w:sz w:val="16"/>
                <w:szCs w:val="16"/>
              </w:rPr>
            </w:pPr>
            <w:r w:rsidRPr="005970E9">
              <w:rPr>
                <w:rFonts w:eastAsia="Times New Roman" w:cs="Arial"/>
                <w:color w:val="000000"/>
                <w:sz w:val="16"/>
                <w:szCs w:val="16"/>
              </w:rPr>
              <w:t>Pre/Media</w:t>
            </w:r>
          </w:p>
        </w:tc>
        <w:tc>
          <w:tcPr>
            <w:tcW w:w="626" w:type="dxa"/>
            <w:tcBorders>
              <w:top w:val="nil"/>
              <w:left w:val="nil"/>
              <w:bottom w:val="single" w:sz="4" w:space="0" w:color="auto"/>
              <w:right w:val="single" w:sz="4" w:space="0" w:color="auto"/>
            </w:tcBorders>
            <w:shd w:val="clear" w:color="000000" w:fill="FFFFFF"/>
            <w:vAlign w:val="center"/>
            <w:hideMark/>
          </w:tcPr>
          <w:p w14:paraId="5F3B6580" w14:textId="77777777" w:rsidR="00471873" w:rsidRPr="005970E9" w:rsidRDefault="00471873" w:rsidP="00471873">
            <w:pPr>
              <w:jc w:val="center"/>
              <w:rPr>
                <w:rFonts w:eastAsia="Times New Roman" w:cs="Arial"/>
                <w:color w:val="000000"/>
                <w:sz w:val="20"/>
                <w:szCs w:val="20"/>
              </w:rPr>
            </w:pPr>
            <w:r w:rsidRPr="005970E9">
              <w:rPr>
                <w:rFonts w:eastAsia="Times New Roman" w:cs="Arial"/>
                <w:color w:val="000000"/>
                <w:sz w:val="20"/>
                <w:szCs w:val="20"/>
              </w:rPr>
              <w:t>Total</w:t>
            </w:r>
          </w:p>
        </w:tc>
        <w:tc>
          <w:tcPr>
            <w:tcW w:w="810" w:type="dxa"/>
            <w:tcBorders>
              <w:top w:val="nil"/>
              <w:left w:val="nil"/>
              <w:bottom w:val="single" w:sz="4" w:space="0" w:color="auto"/>
              <w:right w:val="single" w:sz="4" w:space="0" w:color="auto"/>
            </w:tcBorders>
            <w:shd w:val="clear" w:color="000000" w:fill="FFFFFF"/>
            <w:vAlign w:val="center"/>
            <w:hideMark/>
          </w:tcPr>
          <w:p w14:paraId="04B1BBE4" w14:textId="77777777" w:rsidR="00471873" w:rsidRPr="005970E9" w:rsidRDefault="00471873" w:rsidP="00471873">
            <w:pPr>
              <w:jc w:val="center"/>
              <w:rPr>
                <w:rFonts w:eastAsia="Times New Roman" w:cs="Arial"/>
                <w:color w:val="000000"/>
                <w:sz w:val="16"/>
                <w:szCs w:val="16"/>
              </w:rPr>
            </w:pPr>
            <w:r w:rsidRPr="005970E9">
              <w:rPr>
                <w:rFonts w:eastAsia="Times New Roman" w:cs="Arial"/>
                <w:color w:val="000000"/>
                <w:sz w:val="16"/>
                <w:szCs w:val="16"/>
              </w:rPr>
              <w:t>Primaria</w:t>
            </w:r>
          </w:p>
        </w:tc>
        <w:tc>
          <w:tcPr>
            <w:tcW w:w="690" w:type="dxa"/>
            <w:tcBorders>
              <w:top w:val="nil"/>
              <w:left w:val="nil"/>
              <w:bottom w:val="single" w:sz="4" w:space="0" w:color="auto"/>
              <w:right w:val="nil"/>
            </w:tcBorders>
            <w:shd w:val="clear" w:color="000000" w:fill="FFFFFF"/>
            <w:vAlign w:val="center"/>
            <w:hideMark/>
          </w:tcPr>
          <w:p w14:paraId="3181CBE2" w14:textId="77777777" w:rsidR="00471873" w:rsidRPr="005970E9" w:rsidRDefault="00471873" w:rsidP="00471873">
            <w:pPr>
              <w:jc w:val="center"/>
              <w:rPr>
                <w:rFonts w:eastAsia="Times New Roman" w:cs="Arial"/>
                <w:color w:val="000000"/>
                <w:sz w:val="16"/>
                <w:szCs w:val="16"/>
              </w:rPr>
            </w:pPr>
            <w:r w:rsidRPr="005970E9">
              <w:rPr>
                <w:rFonts w:eastAsia="Times New Roman" w:cs="Arial"/>
                <w:color w:val="000000"/>
                <w:sz w:val="16"/>
                <w:szCs w:val="16"/>
              </w:rPr>
              <w:t>Pre/Media</w:t>
            </w:r>
          </w:p>
        </w:tc>
      </w:tr>
      <w:tr w:rsidR="00471873" w:rsidRPr="005970E9" w14:paraId="4BD490B6" w14:textId="77777777" w:rsidTr="00471873">
        <w:trPr>
          <w:trHeight w:val="276"/>
        </w:trPr>
        <w:tc>
          <w:tcPr>
            <w:tcW w:w="1351" w:type="dxa"/>
            <w:tcBorders>
              <w:top w:val="single" w:sz="4" w:space="0" w:color="auto"/>
              <w:bottom w:val="single" w:sz="4" w:space="0" w:color="auto"/>
              <w:right w:val="single" w:sz="4" w:space="0" w:color="auto"/>
            </w:tcBorders>
            <w:shd w:val="clear" w:color="auto" w:fill="auto"/>
            <w:noWrap/>
            <w:vAlign w:val="center"/>
            <w:hideMark/>
          </w:tcPr>
          <w:p w14:paraId="0D497932" w14:textId="77777777" w:rsidR="00471873" w:rsidRPr="005970E9" w:rsidRDefault="00471873" w:rsidP="00471873">
            <w:pPr>
              <w:jc w:val="center"/>
              <w:rPr>
                <w:rFonts w:eastAsia="Times New Roman" w:cs="Arial"/>
                <w:color w:val="000000"/>
                <w:sz w:val="20"/>
                <w:szCs w:val="20"/>
              </w:rPr>
            </w:pPr>
            <w:r w:rsidRPr="005970E9">
              <w:rPr>
                <w:rFonts w:eastAsia="Times New Roman" w:cs="Arial"/>
                <w:color w:val="000000"/>
                <w:sz w:val="20"/>
                <w:szCs w:val="20"/>
              </w:rPr>
              <w:t>TOTAL</w:t>
            </w:r>
          </w:p>
        </w:tc>
        <w:tc>
          <w:tcPr>
            <w:tcW w:w="698" w:type="dxa"/>
            <w:tcBorders>
              <w:top w:val="nil"/>
              <w:left w:val="nil"/>
              <w:bottom w:val="nil"/>
              <w:right w:val="single" w:sz="4" w:space="0" w:color="auto"/>
            </w:tcBorders>
            <w:shd w:val="clear" w:color="auto" w:fill="auto"/>
            <w:noWrap/>
            <w:vAlign w:val="center"/>
            <w:hideMark/>
          </w:tcPr>
          <w:p w14:paraId="56BB3A45"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1,312</w:t>
            </w:r>
          </w:p>
        </w:tc>
        <w:tc>
          <w:tcPr>
            <w:tcW w:w="810" w:type="dxa"/>
            <w:tcBorders>
              <w:top w:val="nil"/>
              <w:left w:val="nil"/>
              <w:bottom w:val="nil"/>
              <w:right w:val="single" w:sz="4" w:space="0" w:color="auto"/>
            </w:tcBorders>
            <w:shd w:val="clear" w:color="auto" w:fill="auto"/>
            <w:noWrap/>
            <w:vAlign w:val="center"/>
            <w:hideMark/>
          </w:tcPr>
          <w:p w14:paraId="67B7515D"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30</w:t>
            </w:r>
          </w:p>
        </w:tc>
        <w:tc>
          <w:tcPr>
            <w:tcW w:w="685" w:type="dxa"/>
            <w:tcBorders>
              <w:top w:val="nil"/>
              <w:left w:val="nil"/>
              <w:bottom w:val="nil"/>
              <w:right w:val="single" w:sz="4" w:space="0" w:color="auto"/>
            </w:tcBorders>
            <w:shd w:val="clear" w:color="auto" w:fill="auto"/>
            <w:noWrap/>
            <w:vAlign w:val="center"/>
            <w:hideMark/>
          </w:tcPr>
          <w:p w14:paraId="7EB956FD"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1,282</w:t>
            </w:r>
          </w:p>
        </w:tc>
        <w:tc>
          <w:tcPr>
            <w:tcW w:w="631" w:type="dxa"/>
            <w:tcBorders>
              <w:top w:val="nil"/>
              <w:left w:val="nil"/>
              <w:bottom w:val="nil"/>
              <w:right w:val="single" w:sz="4" w:space="0" w:color="auto"/>
            </w:tcBorders>
            <w:shd w:val="clear" w:color="auto" w:fill="auto"/>
            <w:noWrap/>
            <w:vAlign w:val="center"/>
            <w:hideMark/>
          </w:tcPr>
          <w:p w14:paraId="274B31EE"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1,320</w:t>
            </w:r>
          </w:p>
        </w:tc>
        <w:tc>
          <w:tcPr>
            <w:tcW w:w="810" w:type="dxa"/>
            <w:tcBorders>
              <w:top w:val="nil"/>
              <w:left w:val="nil"/>
              <w:bottom w:val="nil"/>
              <w:right w:val="single" w:sz="4" w:space="0" w:color="auto"/>
            </w:tcBorders>
            <w:shd w:val="clear" w:color="auto" w:fill="auto"/>
            <w:noWrap/>
            <w:vAlign w:val="center"/>
            <w:hideMark/>
          </w:tcPr>
          <w:p w14:paraId="0AC7416B"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69</w:t>
            </w:r>
          </w:p>
        </w:tc>
        <w:tc>
          <w:tcPr>
            <w:tcW w:w="685" w:type="dxa"/>
            <w:tcBorders>
              <w:top w:val="nil"/>
              <w:left w:val="nil"/>
              <w:bottom w:val="nil"/>
              <w:right w:val="single" w:sz="4" w:space="0" w:color="auto"/>
            </w:tcBorders>
            <w:shd w:val="clear" w:color="auto" w:fill="auto"/>
            <w:noWrap/>
            <w:vAlign w:val="center"/>
            <w:hideMark/>
          </w:tcPr>
          <w:p w14:paraId="19256410"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1,251</w:t>
            </w:r>
          </w:p>
        </w:tc>
        <w:tc>
          <w:tcPr>
            <w:tcW w:w="658" w:type="dxa"/>
            <w:tcBorders>
              <w:top w:val="nil"/>
              <w:left w:val="nil"/>
              <w:bottom w:val="nil"/>
              <w:right w:val="single" w:sz="4" w:space="0" w:color="auto"/>
            </w:tcBorders>
            <w:shd w:val="clear" w:color="auto" w:fill="auto"/>
            <w:noWrap/>
            <w:vAlign w:val="center"/>
            <w:hideMark/>
          </w:tcPr>
          <w:p w14:paraId="4A7C8A83"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762</w:t>
            </w:r>
          </w:p>
        </w:tc>
        <w:tc>
          <w:tcPr>
            <w:tcW w:w="810" w:type="dxa"/>
            <w:tcBorders>
              <w:top w:val="nil"/>
              <w:left w:val="nil"/>
              <w:bottom w:val="nil"/>
              <w:right w:val="single" w:sz="4" w:space="0" w:color="auto"/>
            </w:tcBorders>
            <w:shd w:val="clear" w:color="auto" w:fill="auto"/>
            <w:noWrap/>
            <w:vAlign w:val="center"/>
            <w:hideMark/>
          </w:tcPr>
          <w:p w14:paraId="26DA8F1F"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43</w:t>
            </w:r>
          </w:p>
        </w:tc>
        <w:tc>
          <w:tcPr>
            <w:tcW w:w="800" w:type="dxa"/>
            <w:tcBorders>
              <w:top w:val="nil"/>
              <w:left w:val="nil"/>
              <w:bottom w:val="nil"/>
              <w:right w:val="nil"/>
            </w:tcBorders>
            <w:shd w:val="clear" w:color="auto" w:fill="auto"/>
            <w:noWrap/>
            <w:vAlign w:val="center"/>
            <w:hideMark/>
          </w:tcPr>
          <w:p w14:paraId="29B14F56"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719</w:t>
            </w:r>
          </w:p>
        </w:tc>
        <w:tc>
          <w:tcPr>
            <w:tcW w:w="626" w:type="dxa"/>
            <w:tcBorders>
              <w:top w:val="nil"/>
              <w:left w:val="single" w:sz="4" w:space="0" w:color="auto"/>
              <w:bottom w:val="single" w:sz="4" w:space="0" w:color="auto"/>
              <w:right w:val="single" w:sz="4" w:space="0" w:color="auto"/>
            </w:tcBorders>
            <w:shd w:val="clear" w:color="000000" w:fill="FFFFFF"/>
            <w:noWrap/>
            <w:vAlign w:val="center"/>
            <w:hideMark/>
          </w:tcPr>
          <w:p w14:paraId="123D5D21"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1,433</w:t>
            </w:r>
          </w:p>
        </w:tc>
        <w:tc>
          <w:tcPr>
            <w:tcW w:w="810" w:type="dxa"/>
            <w:tcBorders>
              <w:top w:val="nil"/>
              <w:left w:val="nil"/>
              <w:bottom w:val="nil"/>
              <w:right w:val="single" w:sz="4" w:space="0" w:color="auto"/>
            </w:tcBorders>
            <w:shd w:val="clear" w:color="000000" w:fill="FFFFFF"/>
            <w:noWrap/>
            <w:vAlign w:val="center"/>
            <w:hideMark/>
          </w:tcPr>
          <w:p w14:paraId="572A6805"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52</w:t>
            </w:r>
          </w:p>
        </w:tc>
        <w:tc>
          <w:tcPr>
            <w:tcW w:w="690" w:type="dxa"/>
            <w:tcBorders>
              <w:top w:val="nil"/>
              <w:left w:val="nil"/>
              <w:bottom w:val="nil"/>
              <w:right w:val="nil"/>
            </w:tcBorders>
            <w:shd w:val="clear" w:color="000000" w:fill="FFFFFF"/>
            <w:noWrap/>
            <w:vAlign w:val="center"/>
            <w:hideMark/>
          </w:tcPr>
          <w:p w14:paraId="10E56807"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1,381</w:t>
            </w:r>
          </w:p>
        </w:tc>
      </w:tr>
      <w:tr w:rsidR="00471873" w:rsidRPr="005970E9" w14:paraId="3258F2F9" w14:textId="77777777" w:rsidTr="00471873">
        <w:trPr>
          <w:trHeight w:val="276"/>
        </w:trPr>
        <w:tc>
          <w:tcPr>
            <w:tcW w:w="1351" w:type="dxa"/>
            <w:tcBorders>
              <w:top w:val="nil"/>
              <w:left w:val="nil"/>
              <w:bottom w:val="single" w:sz="4" w:space="0" w:color="auto"/>
              <w:right w:val="single" w:sz="4" w:space="0" w:color="auto"/>
            </w:tcBorders>
            <w:shd w:val="clear" w:color="auto" w:fill="auto"/>
            <w:noWrap/>
            <w:vAlign w:val="center"/>
            <w:hideMark/>
          </w:tcPr>
          <w:p w14:paraId="34C06A7D" w14:textId="77777777" w:rsidR="00471873" w:rsidRPr="005970E9" w:rsidRDefault="00471873" w:rsidP="00471873">
            <w:pPr>
              <w:rPr>
                <w:rFonts w:eastAsia="Times New Roman" w:cs="Arial"/>
                <w:color w:val="000000"/>
                <w:sz w:val="20"/>
                <w:szCs w:val="20"/>
              </w:rPr>
            </w:pPr>
            <w:r w:rsidRPr="005970E9">
              <w:rPr>
                <w:rFonts w:eastAsia="Times New Roman" w:cs="Arial"/>
                <w:color w:val="000000"/>
                <w:sz w:val="20"/>
                <w:szCs w:val="20"/>
              </w:rPr>
              <w:t>Bocas del Toro</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54C2051E"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104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324B2338"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4</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14:paraId="0792F496"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100</w:t>
            </w:r>
          </w:p>
        </w:tc>
        <w:tc>
          <w:tcPr>
            <w:tcW w:w="631" w:type="dxa"/>
            <w:tcBorders>
              <w:top w:val="single" w:sz="4" w:space="0" w:color="auto"/>
              <w:left w:val="nil"/>
              <w:bottom w:val="single" w:sz="4" w:space="0" w:color="auto"/>
              <w:right w:val="single" w:sz="4" w:space="0" w:color="auto"/>
            </w:tcBorders>
            <w:shd w:val="clear" w:color="auto" w:fill="auto"/>
            <w:noWrap/>
            <w:vAlign w:val="center"/>
            <w:hideMark/>
          </w:tcPr>
          <w:p w14:paraId="2BBDDEC8"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85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2E1872A7"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7</w:t>
            </w:r>
          </w:p>
        </w:tc>
        <w:tc>
          <w:tcPr>
            <w:tcW w:w="685" w:type="dxa"/>
            <w:tcBorders>
              <w:top w:val="single" w:sz="4" w:space="0" w:color="auto"/>
              <w:left w:val="nil"/>
              <w:bottom w:val="single" w:sz="4" w:space="0" w:color="auto"/>
              <w:right w:val="nil"/>
            </w:tcBorders>
            <w:shd w:val="clear" w:color="auto" w:fill="auto"/>
            <w:noWrap/>
            <w:vAlign w:val="center"/>
            <w:hideMark/>
          </w:tcPr>
          <w:p w14:paraId="7AF33BE5"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78</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DA81E"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91</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1E375E58"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0</w:t>
            </w:r>
          </w:p>
        </w:tc>
        <w:tc>
          <w:tcPr>
            <w:tcW w:w="800" w:type="dxa"/>
            <w:tcBorders>
              <w:top w:val="single" w:sz="4" w:space="0" w:color="auto"/>
              <w:left w:val="nil"/>
              <w:bottom w:val="single" w:sz="4" w:space="0" w:color="auto"/>
              <w:right w:val="nil"/>
            </w:tcBorders>
            <w:shd w:val="clear" w:color="auto" w:fill="auto"/>
            <w:noWrap/>
            <w:vAlign w:val="center"/>
            <w:hideMark/>
          </w:tcPr>
          <w:p w14:paraId="4D2B0878"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91</w:t>
            </w:r>
          </w:p>
        </w:tc>
        <w:tc>
          <w:tcPr>
            <w:tcW w:w="626" w:type="dxa"/>
            <w:tcBorders>
              <w:top w:val="nil"/>
              <w:left w:val="single" w:sz="4" w:space="0" w:color="auto"/>
              <w:bottom w:val="single" w:sz="4" w:space="0" w:color="auto"/>
              <w:right w:val="single" w:sz="4" w:space="0" w:color="auto"/>
            </w:tcBorders>
            <w:shd w:val="clear" w:color="000000" w:fill="FFFFFF"/>
            <w:noWrap/>
            <w:vAlign w:val="center"/>
            <w:hideMark/>
          </w:tcPr>
          <w:p w14:paraId="06F0CDC5"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142</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14:paraId="5F12C0CD"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28</w:t>
            </w:r>
          </w:p>
        </w:tc>
        <w:tc>
          <w:tcPr>
            <w:tcW w:w="690" w:type="dxa"/>
            <w:tcBorders>
              <w:top w:val="single" w:sz="4" w:space="0" w:color="auto"/>
              <w:left w:val="nil"/>
              <w:bottom w:val="single" w:sz="4" w:space="0" w:color="auto"/>
              <w:right w:val="nil"/>
            </w:tcBorders>
            <w:shd w:val="clear" w:color="000000" w:fill="FFFFFF"/>
            <w:noWrap/>
            <w:vAlign w:val="center"/>
            <w:hideMark/>
          </w:tcPr>
          <w:p w14:paraId="6D7B6830"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114</w:t>
            </w:r>
          </w:p>
        </w:tc>
      </w:tr>
      <w:tr w:rsidR="00471873" w:rsidRPr="005970E9" w14:paraId="124A1FC7" w14:textId="77777777" w:rsidTr="00471873">
        <w:trPr>
          <w:trHeight w:val="276"/>
        </w:trPr>
        <w:tc>
          <w:tcPr>
            <w:tcW w:w="1351" w:type="dxa"/>
            <w:tcBorders>
              <w:top w:val="nil"/>
              <w:left w:val="nil"/>
              <w:bottom w:val="single" w:sz="4" w:space="0" w:color="auto"/>
              <w:right w:val="single" w:sz="4" w:space="0" w:color="auto"/>
            </w:tcBorders>
            <w:shd w:val="clear" w:color="auto" w:fill="auto"/>
            <w:noWrap/>
            <w:vAlign w:val="center"/>
            <w:hideMark/>
          </w:tcPr>
          <w:p w14:paraId="196E05EA" w14:textId="77777777" w:rsidR="00471873" w:rsidRPr="005970E9" w:rsidRDefault="00471873" w:rsidP="00471873">
            <w:pPr>
              <w:rPr>
                <w:rFonts w:eastAsia="Times New Roman" w:cs="Arial"/>
                <w:color w:val="000000"/>
                <w:sz w:val="20"/>
                <w:szCs w:val="20"/>
              </w:rPr>
            </w:pPr>
            <w:r w:rsidRPr="005970E9">
              <w:rPr>
                <w:rFonts w:eastAsia="Times New Roman" w:cs="Arial"/>
                <w:color w:val="000000"/>
                <w:sz w:val="20"/>
                <w:szCs w:val="20"/>
              </w:rPr>
              <w:t>Chiriquí</w:t>
            </w:r>
          </w:p>
        </w:tc>
        <w:tc>
          <w:tcPr>
            <w:tcW w:w="698" w:type="dxa"/>
            <w:tcBorders>
              <w:top w:val="nil"/>
              <w:left w:val="nil"/>
              <w:bottom w:val="single" w:sz="4" w:space="0" w:color="auto"/>
              <w:right w:val="single" w:sz="4" w:space="0" w:color="auto"/>
            </w:tcBorders>
            <w:shd w:val="clear" w:color="auto" w:fill="auto"/>
            <w:noWrap/>
            <w:vAlign w:val="center"/>
            <w:hideMark/>
          </w:tcPr>
          <w:p w14:paraId="2CE5921D"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131</w:t>
            </w:r>
          </w:p>
        </w:tc>
        <w:tc>
          <w:tcPr>
            <w:tcW w:w="810" w:type="dxa"/>
            <w:tcBorders>
              <w:top w:val="nil"/>
              <w:left w:val="nil"/>
              <w:bottom w:val="single" w:sz="4" w:space="0" w:color="auto"/>
              <w:right w:val="single" w:sz="4" w:space="0" w:color="auto"/>
            </w:tcBorders>
            <w:shd w:val="clear" w:color="auto" w:fill="auto"/>
            <w:noWrap/>
            <w:vAlign w:val="center"/>
            <w:hideMark/>
          </w:tcPr>
          <w:p w14:paraId="7E232D89"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4</w:t>
            </w:r>
          </w:p>
        </w:tc>
        <w:tc>
          <w:tcPr>
            <w:tcW w:w="685" w:type="dxa"/>
            <w:tcBorders>
              <w:top w:val="nil"/>
              <w:left w:val="nil"/>
              <w:bottom w:val="single" w:sz="4" w:space="0" w:color="auto"/>
              <w:right w:val="single" w:sz="4" w:space="0" w:color="auto"/>
            </w:tcBorders>
            <w:shd w:val="clear" w:color="auto" w:fill="auto"/>
            <w:noWrap/>
            <w:vAlign w:val="center"/>
            <w:hideMark/>
          </w:tcPr>
          <w:p w14:paraId="2696DA28"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127</w:t>
            </w:r>
          </w:p>
        </w:tc>
        <w:tc>
          <w:tcPr>
            <w:tcW w:w="631" w:type="dxa"/>
            <w:tcBorders>
              <w:top w:val="nil"/>
              <w:left w:val="nil"/>
              <w:bottom w:val="single" w:sz="4" w:space="0" w:color="auto"/>
              <w:right w:val="single" w:sz="4" w:space="0" w:color="auto"/>
            </w:tcBorders>
            <w:shd w:val="clear" w:color="auto" w:fill="auto"/>
            <w:noWrap/>
            <w:vAlign w:val="center"/>
            <w:hideMark/>
          </w:tcPr>
          <w:p w14:paraId="043BEDE7"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137</w:t>
            </w:r>
          </w:p>
        </w:tc>
        <w:tc>
          <w:tcPr>
            <w:tcW w:w="810" w:type="dxa"/>
            <w:tcBorders>
              <w:top w:val="nil"/>
              <w:left w:val="nil"/>
              <w:bottom w:val="single" w:sz="4" w:space="0" w:color="auto"/>
              <w:right w:val="single" w:sz="4" w:space="0" w:color="auto"/>
            </w:tcBorders>
            <w:shd w:val="clear" w:color="auto" w:fill="auto"/>
            <w:noWrap/>
            <w:vAlign w:val="center"/>
            <w:hideMark/>
          </w:tcPr>
          <w:p w14:paraId="0A226155"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18</w:t>
            </w:r>
          </w:p>
        </w:tc>
        <w:tc>
          <w:tcPr>
            <w:tcW w:w="685" w:type="dxa"/>
            <w:tcBorders>
              <w:top w:val="nil"/>
              <w:left w:val="nil"/>
              <w:bottom w:val="single" w:sz="4" w:space="0" w:color="auto"/>
              <w:right w:val="nil"/>
            </w:tcBorders>
            <w:shd w:val="clear" w:color="auto" w:fill="auto"/>
            <w:noWrap/>
            <w:vAlign w:val="center"/>
            <w:hideMark/>
          </w:tcPr>
          <w:p w14:paraId="63FCA603"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119</w:t>
            </w:r>
          </w:p>
        </w:tc>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6E799A67"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86</w:t>
            </w:r>
          </w:p>
        </w:tc>
        <w:tc>
          <w:tcPr>
            <w:tcW w:w="810" w:type="dxa"/>
            <w:tcBorders>
              <w:top w:val="nil"/>
              <w:left w:val="nil"/>
              <w:bottom w:val="single" w:sz="4" w:space="0" w:color="auto"/>
              <w:right w:val="single" w:sz="4" w:space="0" w:color="auto"/>
            </w:tcBorders>
            <w:shd w:val="clear" w:color="auto" w:fill="auto"/>
            <w:noWrap/>
            <w:vAlign w:val="center"/>
            <w:hideMark/>
          </w:tcPr>
          <w:p w14:paraId="4A254F0A"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0</w:t>
            </w:r>
          </w:p>
        </w:tc>
        <w:tc>
          <w:tcPr>
            <w:tcW w:w="800" w:type="dxa"/>
            <w:tcBorders>
              <w:top w:val="nil"/>
              <w:left w:val="nil"/>
              <w:bottom w:val="single" w:sz="4" w:space="0" w:color="auto"/>
              <w:right w:val="nil"/>
            </w:tcBorders>
            <w:shd w:val="clear" w:color="auto" w:fill="auto"/>
            <w:noWrap/>
            <w:vAlign w:val="center"/>
            <w:hideMark/>
          </w:tcPr>
          <w:p w14:paraId="14560296"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86</w:t>
            </w:r>
          </w:p>
        </w:tc>
        <w:tc>
          <w:tcPr>
            <w:tcW w:w="626" w:type="dxa"/>
            <w:tcBorders>
              <w:top w:val="nil"/>
              <w:left w:val="single" w:sz="4" w:space="0" w:color="auto"/>
              <w:bottom w:val="single" w:sz="4" w:space="0" w:color="auto"/>
              <w:right w:val="single" w:sz="4" w:space="0" w:color="auto"/>
            </w:tcBorders>
            <w:shd w:val="clear" w:color="000000" w:fill="FFFFFF"/>
            <w:noWrap/>
            <w:vAlign w:val="center"/>
            <w:hideMark/>
          </w:tcPr>
          <w:p w14:paraId="42ADE0B3"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164</w:t>
            </w:r>
          </w:p>
        </w:tc>
        <w:tc>
          <w:tcPr>
            <w:tcW w:w="810" w:type="dxa"/>
            <w:tcBorders>
              <w:top w:val="nil"/>
              <w:left w:val="nil"/>
              <w:bottom w:val="single" w:sz="4" w:space="0" w:color="auto"/>
              <w:right w:val="single" w:sz="4" w:space="0" w:color="auto"/>
            </w:tcBorders>
            <w:shd w:val="clear" w:color="000000" w:fill="FFFFFF"/>
            <w:noWrap/>
            <w:vAlign w:val="center"/>
            <w:hideMark/>
          </w:tcPr>
          <w:p w14:paraId="23921350"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3</w:t>
            </w:r>
          </w:p>
        </w:tc>
        <w:tc>
          <w:tcPr>
            <w:tcW w:w="690" w:type="dxa"/>
            <w:tcBorders>
              <w:top w:val="nil"/>
              <w:left w:val="nil"/>
              <w:bottom w:val="single" w:sz="4" w:space="0" w:color="auto"/>
              <w:right w:val="nil"/>
            </w:tcBorders>
            <w:shd w:val="clear" w:color="000000" w:fill="FFFFFF"/>
            <w:noWrap/>
            <w:vAlign w:val="center"/>
            <w:hideMark/>
          </w:tcPr>
          <w:p w14:paraId="35FBA733"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161</w:t>
            </w:r>
          </w:p>
        </w:tc>
      </w:tr>
      <w:tr w:rsidR="00471873" w:rsidRPr="005970E9" w14:paraId="0BA276F5" w14:textId="77777777" w:rsidTr="00471873">
        <w:trPr>
          <w:trHeight w:val="276"/>
        </w:trPr>
        <w:tc>
          <w:tcPr>
            <w:tcW w:w="1351" w:type="dxa"/>
            <w:tcBorders>
              <w:top w:val="nil"/>
              <w:left w:val="nil"/>
              <w:bottom w:val="single" w:sz="4" w:space="0" w:color="auto"/>
              <w:right w:val="single" w:sz="4" w:space="0" w:color="auto"/>
            </w:tcBorders>
            <w:shd w:val="clear" w:color="auto" w:fill="auto"/>
            <w:noWrap/>
            <w:vAlign w:val="center"/>
            <w:hideMark/>
          </w:tcPr>
          <w:p w14:paraId="40B1DD60" w14:textId="77777777" w:rsidR="00471873" w:rsidRPr="005970E9" w:rsidRDefault="00471873" w:rsidP="00471873">
            <w:pPr>
              <w:rPr>
                <w:rFonts w:eastAsia="Times New Roman" w:cs="Arial"/>
                <w:color w:val="000000"/>
                <w:sz w:val="20"/>
                <w:szCs w:val="20"/>
              </w:rPr>
            </w:pPr>
            <w:r w:rsidRPr="005970E9">
              <w:rPr>
                <w:rFonts w:eastAsia="Times New Roman" w:cs="Arial"/>
                <w:color w:val="000000"/>
                <w:sz w:val="20"/>
                <w:szCs w:val="20"/>
              </w:rPr>
              <w:t>Coclé</w:t>
            </w:r>
          </w:p>
        </w:tc>
        <w:tc>
          <w:tcPr>
            <w:tcW w:w="698" w:type="dxa"/>
            <w:tcBorders>
              <w:top w:val="nil"/>
              <w:left w:val="nil"/>
              <w:bottom w:val="single" w:sz="4" w:space="0" w:color="auto"/>
              <w:right w:val="single" w:sz="4" w:space="0" w:color="auto"/>
            </w:tcBorders>
            <w:shd w:val="clear" w:color="auto" w:fill="auto"/>
            <w:noWrap/>
            <w:vAlign w:val="center"/>
            <w:hideMark/>
          </w:tcPr>
          <w:p w14:paraId="02867BAD"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center"/>
            <w:hideMark/>
          </w:tcPr>
          <w:p w14:paraId="7C43607B"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w:t>
            </w:r>
          </w:p>
        </w:tc>
        <w:tc>
          <w:tcPr>
            <w:tcW w:w="685" w:type="dxa"/>
            <w:tcBorders>
              <w:top w:val="nil"/>
              <w:left w:val="nil"/>
              <w:bottom w:val="single" w:sz="4" w:space="0" w:color="auto"/>
              <w:right w:val="single" w:sz="4" w:space="0" w:color="auto"/>
            </w:tcBorders>
            <w:shd w:val="clear" w:color="auto" w:fill="auto"/>
            <w:noWrap/>
            <w:vAlign w:val="center"/>
            <w:hideMark/>
          </w:tcPr>
          <w:p w14:paraId="3FD93736"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98</w:t>
            </w:r>
          </w:p>
        </w:tc>
        <w:tc>
          <w:tcPr>
            <w:tcW w:w="631" w:type="dxa"/>
            <w:tcBorders>
              <w:top w:val="nil"/>
              <w:left w:val="nil"/>
              <w:bottom w:val="single" w:sz="4" w:space="0" w:color="auto"/>
              <w:right w:val="single" w:sz="4" w:space="0" w:color="auto"/>
            </w:tcBorders>
            <w:shd w:val="clear" w:color="auto" w:fill="auto"/>
            <w:noWrap/>
            <w:vAlign w:val="center"/>
            <w:hideMark/>
          </w:tcPr>
          <w:p w14:paraId="0B27EC03"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134</w:t>
            </w:r>
          </w:p>
        </w:tc>
        <w:tc>
          <w:tcPr>
            <w:tcW w:w="810" w:type="dxa"/>
            <w:tcBorders>
              <w:top w:val="nil"/>
              <w:left w:val="nil"/>
              <w:bottom w:val="single" w:sz="4" w:space="0" w:color="auto"/>
              <w:right w:val="single" w:sz="4" w:space="0" w:color="auto"/>
            </w:tcBorders>
            <w:shd w:val="clear" w:color="auto" w:fill="auto"/>
            <w:noWrap/>
            <w:vAlign w:val="center"/>
            <w:hideMark/>
          </w:tcPr>
          <w:p w14:paraId="1595D6F4"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3</w:t>
            </w:r>
          </w:p>
        </w:tc>
        <w:tc>
          <w:tcPr>
            <w:tcW w:w="685" w:type="dxa"/>
            <w:tcBorders>
              <w:top w:val="nil"/>
              <w:left w:val="nil"/>
              <w:bottom w:val="single" w:sz="4" w:space="0" w:color="auto"/>
              <w:right w:val="nil"/>
            </w:tcBorders>
            <w:shd w:val="clear" w:color="auto" w:fill="auto"/>
            <w:noWrap/>
            <w:vAlign w:val="center"/>
            <w:hideMark/>
          </w:tcPr>
          <w:p w14:paraId="30641A65"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133</w:t>
            </w:r>
          </w:p>
        </w:tc>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0B5560AC"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center"/>
            <w:hideMark/>
          </w:tcPr>
          <w:p w14:paraId="656A6100"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11</w:t>
            </w:r>
          </w:p>
        </w:tc>
        <w:tc>
          <w:tcPr>
            <w:tcW w:w="800" w:type="dxa"/>
            <w:tcBorders>
              <w:top w:val="nil"/>
              <w:left w:val="nil"/>
              <w:bottom w:val="single" w:sz="4" w:space="0" w:color="auto"/>
              <w:right w:val="nil"/>
            </w:tcBorders>
            <w:shd w:val="clear" w:color="auto" w:fill="auto"/>
            <w:noWrap/>
            <w:vAlign w:val="center"/>
            <w:hideMark/>
          </w:tcPr>
          <w:p w14:paraId="3D1837E2"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53</w:t>
            </w:r>
          </w:p>
        </w:tc>
        <w:tc>
          <w:tcPr>
            <w:tcW w:w="626" w:type="dxa"/>
            <w:tcBorders>
              <w:top w:val="nil"/>
              <w:left w:val="single" w:sz="4" w:space="0" w:color="auto"/>
              <w:bottom w:val="single" w:sz="4" w:space="0" w:color="auto"/>
              <w:right w:val="single" w:sz="4" w:space="0" w:color="auto"/>
            </w:tcBorders>
            <w:shd w:val="clear" w:color="000000" w:fill="FFFFFF"/>
            <w:noWrap/>
            <w:vAlign w:val="center"/>
            <w:hideMark/>
          </w:tcPr>
          <w:p w14:paraId="6524AEBE"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97</w:t>
            </w:r>
          </w:p>
        </w:tc>
        <w:tc>
          <w:tcPr>
            <w:tcW w:w="810" w:type="dxa"/>
            <w:tcBorders>
              <w:top w:val="nil"/>
              <w:left w:val="nil"/>
              <w:bottom w:val="single" w:sz="4" w:space="0" w:color="auto"/>
              <w:right w:val="single" w:sz="4" w:space="0" w:color="auto"/>
            </w:tcBorders>
            <w:shd w:val="clear" w:color="000000" w:fill="FFFFFF"/>
            <w:noWrap/>
            <w:vAlign w:val="center"/>
            <w:hideMark/>
          </w:tcPr>
          <w:p w14:paraId="4B50A077"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4</w:t>
            </w:r>
          </w:p>
        </w:tc>
        <w:tc>
          <w:tcPr>
            <w:tcW w:w="690" w:type="dxa"/>
            <w:tcBorders>
              <w:top w:val="nil"/>
              <w:left w:val="nil"/>
              <w:bottom w:val="single" w:sz="4" w:space="0" w:color="auto"/>
              <w:right w:val="nil"/>
            </w:tcBorders>
            <w:shd w:val="clear" w:color="000000" w:fill="FFFFFF"/>
            <w:noWrap/>
            <w:vAlign w:val="center"/>
            <w:hideMark/>
          </w:tcPr>
          <w:p w14:paraId="6F28CF37"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93</w:t>
            </w:r>
          </w:p>
        </w:tc>
      </w:tr>
      <w:tr w:rsidR="00471873" w:rsidRPr="005970E9" w14:paraId="46498A45" w14:textId="77777777" w:rsidTr="00471873">
        <w:trPr>
          <w:trHeight w:val="276"/>
        </w:trPr>
        <w:tc>
          <w:tcPr>
            <w:tcW w:w="1351" w:type="dxa"/>
            <w:tcBorders>
              <w:top w:val="nil"/>
              <w:left w:val="nil"/>
              <w:right w:val="single" w:sz="4" w:space="0" w:color="auto"/>
            </w:tcBorders>
            <w:shd w:val="clear" w:color="auto" w:fill="auto"/>
            <w:noWrap/>
            <w:vAlign w:val="center"/>
            <w:hideMark/>
          </w:tcPr>
          <w:p w14:paraId="72BA3FC9" w14:textId="77777777" w:rsidR="00471873" w:rsidRPr="005970E9" w:rsidRDefault="00471873" w:rsidP="00471873">
            <w:pPr>
              <w:rPr>
                <w:rFonts w:eastAsia="Times New Roman" w:cs="Arial"/>
                <w:color w:val="000000"/>
                <w:sz w:val="20"/>
                <w:szCs w:val="20"/>
              </w:rPr>
            </w:pPr>
            <w:r w:rsidRPr="005970E9">
              <w:rPr>
                <w:rFonts w:eastAsia="Times New Roman" w:cs="Arial"/>
                <w:color w:val="000000"/>
                <w:sz w:val="20"/>
                <w:szCs w:val="20"/>
              </w:rPr>
              <w:t>Colón</w:t>
            </w:r>
          </w:p>
        </w:tc>
        <w:tc>
          <w:tcPr>
            <w:tcW w:w="698" w:type="dxa"/>
            <w:tcBorders>
              <w:top w:val="nil"/>
              <w:left w:val="nil"/>
              <w:bottom w:val="single" w:sz="4" w:space="0" w:color="auto"/>
              <w:right w:val="single" w:sz="4" w:space="0" w:color="auto"/>
            </w:tcBorders>
            <w:shd w:val="clear" w:color="auto" w:fill="auto"/>
            <w:noWrap/>
            <w:vAlign w:val="center"/>
            <w:hideMark/>
          </w:tcPr>
          <w:p w14:paraId="6E2DF75B"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163</w:t>
            </w:r>
          </w:p>
        </w:tc>
        <w:tc>
          <w:tcPr>
            <w:tcW w:w="810" w:type="dxa"/>
            <w:tcBorders>
              <w:top w:val="nil"/>
              <w:left w:val="nil"/>
              <w:bottom w:val="single" w:sz="4" w:space="0" w:color="auto"/>
              <w:right w:val="single" w:sz="4" w:space="0" w:color="auto"/>
            </w:tcBorders>
            <w:shd w:val="clear" w:color="auto" w:fill="auto"/>
            <w:noWrap/>
            <w:vAlign w:val="center"/>
            <w:hideMark/>
          </w:tcPr>
          <w:p w14:paraId="74774947"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4</w:t>
            </w:r>
          </w:p>
        </w:tc>
        <w:tc>
          <w:tcPr>
            <w:tcW w:w="685" w:type="dxa"/>
            <w:tcBorders>
              <w:top w:val="nil"/>
              <w:left w:val="nil"/>
              <w:bottom w:val="single" w:sz="4" w:space="0" w:color="auto"/>
              <w:right w:val="single" w:sz="4" w:space="0" w:color="auto"/>
            </w:tcBorders>
            <w:shd w:val="clear" w:color="auto" w:fill="auto"/>
            <w:noWrap/>
            <w:vAlign w:val="center"/>
            <w:hideMark/>
          </w:tcPr>
          <w:p w14:paraId="1F43264D"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159</w:t>
            </w:r>
          </w:p>
        </w:tc>
        <w:tc>
          <w:tcPr>
            <w:tcW w:w="631" w:type="dxa"/>
            <w:tcBorders>
              <w:top w:val="nil"/>
              <w:left w:val="nil"/>
              <w:bottom w:val="single" w:sz="4" w:space="0" w:color="auto"/>
              <w:right w:val="single" w:sz="4" w:space="0" w:color="auto"/>
            </w:tcBorders>
            <w:shd w:val="clear" w:color="auto" w:fill="auto"/>
            <w:noWrap/>
            <w:vAlign w:val="center"/>
            <w:hideMark/>
          </w:tcPr>
          <w:p w14:paraId="6E211509"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57</w:t>
            </w:r>
          </w:p>
        </w:tc>
        <w:tc>
          <w:tcPr>
            <w:tcW w:w="810" w:type="dxa"/>
            <w:tcBorders>
              <w:top w:val="nil"/>
              <w:left w:val="nil"/>
              <w:bottom w:val="single" w:sz="4" w:space="0" w:color="auto"/>
              <w:right w:val="single" w:sz="4" w:space="0" w:color="auto"/>
            </w:tcBorders>
            <w:shd w:val="clear" w:color="auto" w:fill="auto"/>
            <w:noWrap/>
            <w:vAlign w:val="center"/>
            <w:hideMark/>
          </w:tcPr>
          <w:p w14:paraId="0630FBE6"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20</w:t>
            </w:r>
          </w:p>
        </w:tc>
        <w:tc>
          <w:tcPr>
            <w:tcW w:w="685" w:type="dxa"/>
            <w:tcBorders>
              <w:top w:val="nil"/>
              <w:left w:val="nil"/>
              <w:bottom w:val="single" w:sz="4" w:space="0" w:color="auto"/>
              <w:right w:val="nil"/>
            </w:tcBorders>
            <w:shd w:val="clear" w:color="auto" w:fill="auto"/>
            <w:noWrap/>
            <w:vAlign w:val="center"/>
            <w:hideMark/>
          </w:tcPr>
          <w:p w14:paraId="203C6353"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54</w:t>
            </w:r>
          </w:p>
        </w:tc>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47BB268B"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83</w:t>
            </w:r>
          </w:p>
        </w:tc>
        <w:tc>
          <w:tcPr>
            <w:tcW w:w="810" w:type="dxa"/>
            <w:tcBorders>
              <w:top w:val="nil"/>
              <w:left w:val="nil"/>
              <w:bottom w:val="single" w:sz="4" w:space="0" w:color="auto"/>
              <w:right w:val="single" w:sz="4" w:space="0" w:color="auto"/>
            </w:tcBorders>
            <w:shd w:val="clear" w:color="auto" w:fill="auto"/>
            <w:noWrap/>
            <w:vAlign w:val="center"/>
            <w:hideMark/>
          </w:tcPr>
          <w:p w14:paraId="71C26F98"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0</w:t>
            </w:r>
          </w:p>
        </w:tc>
        <w:tc>
          <w:tcPr>
            <w:tcW w:w="800" w:type="dxa"/>
            <w:tcBorders>
              <w:top w:val="nil"/>
              <w:left w:val="nil"/>
              <w:bottom w:val="single" w:sz="4" w:space="0" w:color="auto"/>
              <w:right w:val="nil"/>
            </w:tcBorders>
            <w:shd w:val="clear" w:color="auto" w:fill="auto"/>
            <w:noWrap/>
            <w:vAlign w:val="center"/>
            <w:hideMark/>
          </w:tcPr>
          <w:p w14:paraId="4B4016E6"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83</w:t>
            </w:r>
          </w:p>
        </w:tc>
        <w:tc>
          <w:tcPr>
            <w:tcW w:w="626" w:type="dxa"/>
            <w:tcBorders>
              <w:top w:val="nil"/>
              <w:left w:val="single" w:sz="4" w:space="0" w:color="auto"/>
              <w:bottom w:val="single" w:sz="4" w:space="0" w:color="auto"/>
              <w:right w:val="single" w:sz="4" w:space="0" w:color="auto"/>
            </w:tcBorders>
            <w:shd w:val="clear" w:color="000000" w:fill="FFFFFF"/>
            <w:noWrap/>
            <w:vAlign w:val="center"/>
            <w:hideMark/>
          </w:tcPr>
          <w:p w14:paraId="74BB58FB"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157</w:t>
            </w:r>
          </w:p>
        </w:tc>
        <w:tc>
          <w:tcPr>
            <w:tcW w:w="810" w:type="dxa"/>
            <w:tcBorders>
              <w:top w:val="nil"/>
              <w:left w:val="nil"/>
              <w:bottom w:val="single" w:sz="4" w:space="0" w:color="auto"/>
              <w:right w:val="single" w:sz="4" w:space="0" w:color="auto"/>
            </w:tcBorders>
            <w:shd w:val="clear" w:color="000000" w:fill="FFFFFF"/>
            <w:noWrap/>
            <w:vAlign w:val="center"/>
            <w:hideMark/>
          </w:tcPr>
          <w:p w14:paraId="525196CF"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w:t>
            </w:r>
          </w:p>
        </w:tc>
        <w:tc>
          <w:tcPr>
            <w:tcW w:w="690" w:type="dxa"/>
            <w:tcBorders>
              <w:top w:val="nil"/>
              <w:left w:val="nil"/>
              <w:bottom w:val="single" w:sz="4" w:space="0" w:color="auto"/>
              <w:right w:val="nil"/>
            </w:tcBorders>
            <w:shd w:val="clear" w:color="000000" w:fill="FFFFFF"/>
            <w:noWrap/>
            <w:vAlign w:val="center"/>
            <w:hideMark/>
          </w:tcPr>
          <w:p w14:paraId="1F136655"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156</w:t>
            </w:r>
          </w:p>
        </w:tc>
      </w:tr>
      <w:tr w:rsidR="00471873" w:rsidRPr="005970E9" w14:paraId="14CEABFA" w14:textId="77777777" w:rsidTr="00471873">
        <w:trPr>
          <w:trHeight w:val="276"/>
        </w:trPr>
        <w:tc>
          <w:tcPr>
            <w:tcW w:w="1351" w:type="dxa"/>
            <w:tcBorders>
              <w:top w:val="nil"/>
              <w:bottom w:val="single" w:sz="4" w:space="0" w:color="auto"/>
              <w:right w:val="single" w:sz="4" w:space="0" w:color="auto"/>
            </w:tcBorders>
            <w:shd w:val="clear" w:color="auto" w:fill="auto"/>
            <w:noWrap/>
            <w:vAlign w:val="center"/>
            <w:hideMark/>
          </w:tcPr>
          <w:p w14:paraId="0E4A462C" w14:textId="77777777" w:rsidR="00471873" w:rsidRPr="005970E9" w:rsidRDefault="00471873" w:rsidP="00471873">
            <w:pPr>
              <w:rPr>
                <w:rFonts w:eastAsia="Times New Roman" w:cs="Arial"/>
                <w:color w:val="000000"/>
                <w:sz w:val="20"/>
                <w:szCs w:val="20"/>
              </w:rPr>
            </w:pPr>
            <w:r w:rsidRPr="005970E9">
              <w:rPr>
                <w:rFonts w:eastAsia="Times New Roman" w:cs="Arial"/>
                <w:color w:val="000000"/>
                <w:sz w:val="20"/>
                <w:szCs w:val="20"/>
              </w:rPr>
              <w:t>Comarcas</w:t>
            </w:r>
          </w:p>
        </w:tc>
        <w:tc>
          <w:tcPr>
            <w:tcW w:w="698" w:type="dxa"/>
            <w:tcBorders>
              <w:top w:val="nil"/>
              <w:left w:val="nil"/>
              <w:bottom w:val="single" w:sz="4" w:space="0" w:color="auto"/>
              <w:right w:val="single" w:sz="4" w:space="0" w:color="auto"/>
            </w:tcBorders>
            <w:shd w:val="clear" w:color="auto" w:fill="auto"/>
            <w:noWrap/>
            <w:vAlign w:val="center"/>
            <w:hideMark/>
          </w:tcPr>
          <w:p w14:paraId="5272B5F0"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161</w:t>
            </w:r>
          </w:p>
        </w:tc>
        <w:tc>
          <w:tcPr>
            <w:tcW w:w="810" w:type="dxa"/>
            <w:tcBorders>
              <w:top w:val="nil"/>
              <w:left w:val="nil"/>
              <w:bottom w:val="single" w:sz="4" w:space="0" w:color="auto"/>
              <w:right w:val="single" w:sz="4" w:space="0" w:color="auto"/>
            </w:tcBorders>
            <w:shd w:val="clear" w:color="auto" w:fill="auto"/>
            <w:noWrap/>
            <w:vAlign w:val="center"/>
            <w:hideMark/>
          </w:tcPr>
          <w:p w14:paraId="15BA9B9F"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7</w:t>
            </w:r>
          </w:p>
        </w:tc>
        <w:tc>
          <w:tcPr>
            <w:tcW w:w="685" w:type="dxa"/>
            <w:tcBorders>
              <w:top w:val="nil"/>
              <w:left w:val="nil"/>
              <w:bottom w:val="single" w:sz="4" w:space="0" w:color="auto"/>
              <w:right w:val="single" w:sz="4" w:space="0" w:color="auto"/>
            </w:tcBorders>
            <w:shd w:val="clear" w:color="auto" w:fill="auto"/>
            <w:noWrap/>
            <w:vAlign w:val="center"/>
            <w:hideMark/>
          </w:tcPr>
          <w:p w14:paraId="32F0D7AA"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154</w:t>
            </w:r>
          </w:p>
        </w:tc>
        <w:tc>
          <w:tcPr>
            <w:tcW w:w="631" w:type="dxa"/>
            <w:tcBorders>
              <w:top w:val="nil"/>
              <w:left w:val="nil"/>
              <w:bottom w:val="single" w:sz="4" w:space="0" w:color="auto"/>
              <w:right w:val="single" w:sz="4" w:space="0" w:color="auto"/>
            </w:tcBorders>
            <w:shd w:val="clear" w:color="auto" w:fill="auto"/>
            <w:noWrap/>
            <w:vAlign w:val="center"/>
            <w:hideMark/>
          </w:tcPr>
          <w:p w14:paraId="5C8E5160"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136</w:t>
            </w:r>
          </w:p>
        </w:tc>
        <w:tc>
          <w:tcPr>
            <w:tcW w:w="810" w:type="dxa"/>
            <w:tcBorders>
              <w:top w:val="nil"/>
              <w:left w:val="nil"/>
              <w:bottom w:val="single" w:sz="4" w:space="0" w:color="auto"/>
              <w:right w:val="single" w:sz="4" w:space="0" w:color="auto"/>
            </w:tcBorders>
            <w:shd w:val="clear" w:color="auto" w:fill="auto"/>
            <w:noWrap/>
            <w:vAlign w:val="center"/>
            <w:hideMark/>
          </w:tcPr>
          <w:p w14:paraId="5AD4A7B1"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20</w:t>
            </w:r>
          </w:p>
        </w:tc>
        <w:tc>
          <w:tcPr>
            <w:tcW w:w="685" w:type="dxa"/>
            <w:tcBorders>
              <w:top w:val="nil"/>
              <w:left w:val="nil"/>
              <w:bottom w:val="single" w:sz="4" w:space="0" w:color="auto"/>
              <w:right w:val="nil"/>
            </w:tcBorders>
            <w:shd w:val="clear" w:color="auto" w:fill="auto"/>
            <w:noWrap/>
            <w:vAlign w:val="center"/>
            <w:hideMark/>
          </w:tcPr>
          <w:p w14:paraId="2B3206A5"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116</w:t>
            </w:r>
          </w:p>
        </w:tc>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3935BD83"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65</w:t>
            </w:r>
          </w:p>
        </w:tc>
        <w:tc>
          <w:tcPr>
            <w:tcW w:w="810" w:type="dxa"/>
            <w:tcBorders>
              <w:top w:val="nil"/>
              <w:left w:val="nil"/>
              <w:bottom w:val="single" w:sz="4" w:space="0" w:color="auto"/>
              <w:right w:val="single" w:sz="4" w:space="0" w:color="auto"/>
            </w:tcBorders>
            <w:shd w:val="clear" w:color="auto" w:fill="auto"/>
            <w:noWrap/>
            <w:vAlign w:val="center"/>
            <w:hideMark/>
          </w:tcPr>
          <w:p w14:paraId="5DB40EB3"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4</w:t>
            </w:r>
          </w:p>
        </w:tc>
        <w:tc>
          <w:tcPr>
            <w:tcW w:w="800" w:type="dxa"/>
            <w:tcBorders>
              <w:top w:val="nil"/>
              <w:left w:val="nil"/>
              <w:bottom w:val="single" w:sz="4" w:space="0" w:color="auto"/>
              <w:right w:val="nil"/>
            </w:tcBorders>
            <w:shd w:val="clear" w:color="auto" w:fill="auto"/>
            <w:noWrap/>
            <w:vAlign w:val="center"/>
            <w:hideMark/>
          </w:tcPr>
          <w:p w14:paraId="5FA4C723"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61</w:t>
            </w:r>
          </w:p>
        </w:tc>
        <w:tc>
          <w:tcPr>
            <w:tcW w:w="626" w:type="dxa"/>
            <w:tcBorders>
              <w:top w:val="nil"/>
              <w:left w:val="single" w:sz="4" w:space="0" w:color="auto"/>
              <w:bottom w:val="single" w:sz="4" w:space="0" w:color="auto"/>
              <w:right w:val="single" w:sz="4" w:space="0" w:color="auto"/>
            </w:tcBorders>
            <w:shd w:val="clear" w:color="000000" w:fill="FFFFFF"/>
            <w:noWrap/>
            <w:vAlign w:val="center"/>
            <w:hideMark/>
          </w:tcPr>
          <w:p w14:paraId="4F7868F3"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205</w:t>
            </w:r>
          </w:p>
        </w:tc>
        <w:tc>
          <w:tcPr>
            <w:tcW w:w="810" w:type="dxa"/>
            <w:tcBorders>
              <w:top w:val="nil"/>
              <w:left w:val="nil"/>
              <w:bottom w:val="single" w:sz="4" w:space="0" w:color="auto"/>
              <w:right w:val="single" w:sz="4" w:space="0" w:color="auto"/>
            </w:tcBorders>
            <w:shd w:val="clear" w:color="000000" w:fill="FFFFFF"/>
            <w:noWrap/>
            <w:vAlign w:val="center"/>
            <w:hideMark/>
          </w:tcPr>
          <w:p w14:paraId="595F06F2"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12</w:t>
            </w:r>
          </w:p>
        </w:tc>
        <w:tc>
          <w:tcPr>
            <w:tcW w:w="690" w:type="dxa"/>
            <w:tcBorders>
              <w:top w:val="nil"/>
              <w:left w:val="nil"/>
              <w:bottom w:val="single" w:sz="4" w:space="0" w:color="auto"/>
              <w:right w:val="nil"/>
            </w:tcBorders>
            <w:shd w:val="clear" w:color="000000" w:fill="FFFFFF"/>
            <w:noWrap/>
            <w:vAlign w:val="center"/>
            <w:hideMark/>
          </w:tcPr>
          <w:p w14:paraId="2D9A557F"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193</w:t>
            </w:r>
          </w:p>
        </w:tc>
      </w:tr>
      <w:tr w:rsidR="00471873" w:rsidRPr="005970E9" w14:paraId="2AA4231E" w14:textId="77777777" w:rsidTr="00471873">
        <w:trPr>
          <w:trHeight w:val="276"/>
        </w:trPr>
        <w:tc>
          <w:tcPr>
            <w:tcW w:w="1351" w:type="dxa"/>
            <w:tcBorders>
              <w:top w:val="nil"/>
              <w:left w:val="nil"/>
              <w:bottom w:val="single" w:sz="4" w:space="0" w:color="auto"/>
              <w:right w:val="single" w:sz="4" w:space="0" w:color="auto"/>
            </w:tcBorders>
            <w:shd w:val="clear" w:color="auto" w:fill="auto"/>
            <w:noWrap/>
            <w:vAlign w:val="center"/>
            <w:hideMark/>
          </w:tcPr>
          <w:p w14:paraId="57A84A32" w14:textId="77777777" w:rsidR="00471873" w:rsidRPr="005970E9" w:rsidRDefault="00471873" w:rsidP="00471873">
            <w:pPr>
              <w:rPr>
                <w:rFonts w:eastAsia="Times New Roman" w:cs="Arial"/>
                <w:color w:val="000000"/>
                <w:sz w:val="20"/>
                <w:szCs w:val="20"/>
              </w:rPr>
            </w:pPr>
            <w:r w:rsidRPr="005970E9">
              <w:rPr>
                <w:rFonts w:eastAsia="Times New Roman" w:cs="Arial"/>
                <w:color w:val="000000"/>
                <w:sz w:val="20"/>
                <w:szCs w:val="20"/>
              </w:rPr>
              <w:t>Darién</w:t>
            </w:r>
          </w:p>
        </w:tc>
        <w:tc>
          <w:tcPr>
            <w:tcW w:w="698" w:type="dxa"/>
            <w:tcBorders>
              <w:top w:val="nil"/>
              <w:left w:val="nil"/>
              <w:bottom w:val="single" w:sz="4" w:space="0" w:color="auto"/>
              <w:right w:val="single" w:sz="4" w:space="0" w:color="auto"/>
            </w:tcBorders>
            <w:shd w:val="clear" w:color="auto" w:fill="auto"/>
            <w:noWrap/>
            <w:vAlign w:val="center"/>
            <w:hideMark/>
          </w:tcPr>
          <w:p w14:paraId="6E3338BA"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23</w:t>
            </w:r>
          </w:p>
        </w:tc>
        <w:tc>
          <w:tcPr>
            <w:tcW w:w="810" w:type="dxa"/>
            <w:tcBorders>
              <w:top w:val="nil"/>
              <w:left w:val="nil"/>
              <w:bottom w:val="single" w:sz="4" w:space="0" w:color="auto"/>
              <w:right w:val="single" w:sz="4" w:space="0" w:color="auto"/>
            </w:tcBorders>
            <w:shd w:val="clear" w:color="auto" w:fill="auto"/>
            <w:noWrap/>
            <w:vAlign w:val="center"/>
            <w:hideMark/>
          </w:tcPr>
          <w:p w14:paraId="3E142C3C"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4</w:t>
            </w:r>
          </w:p>
        </w:tc>
        <w:tc>
          <w:tcPr>
            <w:tcW w:w="685" w:type="dxa"/>
            <w:tcBorders>
              <w:top w:val="nil"/>
              <w:left w:val="nil"/>
              <w:bottom w:val="single" w:sz="4" w:space="0" w:color="auto"/>
              <w:right w:val="single" w:sz="4" w:space="0" w:color="auto"/>
            </w:tcBorders>
            <w:shd w:val="clear" w:color="auto" w:fill="auto"/>
            <w:noWrap/>
            <w:vAlign w:val="center"/>
            <w:hideMark/>
          </w:tcPr>
          <w:p w14:paraId="26F1CC98"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19</w:t>
            </w:r>
          </w:p>
        </w:tc>
        <w:tc>
          <w:tcPr>
            <w:tcW w:w="631" w:type="dxa"/>
            <w:tcBorders>
              <w:top w:val="nil"/>
              <w:left w:val="nil"/>
              <w:bottom w:val="single" w:sz="4" w:space="0" w:color="auto"/>
              <w:right w:val="single" w:sz="4" w:space="0" w:color="auto"/>
            </w:tcBorders>
            <w:shd w:val="clear" w:color="auto" w:fill="auto"/>
            <w:noWrap/>
            <w:vAlign w:val="center"/>
            <w:hideMark/>
          </w:tcPr>
          <w:p w14:paraId="2542B20C"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32</w:t>
            </w:r>
          </w:p>
        </w:tc>
        <w:tc>
          <w:tcPr>
            <w:tcW w:w="810" w:type="dxa"/>
            <w:tcBorders>
              <w:top w:val="nil"/>
              <w:left w:val="nil"/>
              <w:bottom w:val="single" w:sz="4" w:space="0" w:color="auto"/>
              <w:right w:val="single" w:sz="4" w:space="0" w:color="auto"/>
            </w:tcBorders>
            <w:shd w:val="clear" w:color="auto" w:fill="auto"/>
            <w:noWrap/>
            <w:vAlign w:val="center"/>
            <w:hideMark/>
          </w:tcPr>
          <w:p w14:paraId="0AB52D23"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6</w:t>
            </w:r>
          </w:p>
        </w:tc>
        <w:tc>
          <w:tcPr>
            <w:tcW w:w="685" w:type="dxa"/>
            <w:tcBorders>
              <w:top w:val="nil"/>
              <w:left w:val="nil"/>
              <w:bottom w:val="single" w:sz="4" w:space="0" w:color="auto"/>
              <w:right w:val="nil"/>
            </w:tcBorders>
            <w:shd w:val="clear" w:color="auto" w:fill="auto"/>
            <w:noWrap/>
            <w:vAlign w:val="center"/>
            <w:hideMark/>
          </w:tcPr>
          <w:p w14:paraId="639142B9"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26</w:t>
            </w:r>
          </w:p>
        </w:tc>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56B99716"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27</w:t>
            </w:r>
          </w:p>
        </w:tc>
        <w:tc>
          <w:tcPr>
            <w:tcW w:w="810" w:type="dxa"/>
            <w:tcBorders>
              <w:top w:val="nil"/>
              <w:left w:val="nil"/>
              <w:bottom w:val="single" w:sz="4" w:space="0" w:color="auto"/>
              <w:right w:val="single" w:sz="4" w:space="0" w:color="auto"/>
            </w:tcBorders>
            <w:shd w:val="clear" w:color="auto" w:fill="auto"/>
            <w:noWrap/>
            <w:vAlign w:val="center"/>
            <w:hideMark/>
          </w:tcPr>
          <w:p w14:paraId="28E605B4"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10</w:t>
            </w:r>
          </w:p>
        </w:tc>
        <w:tc>
          <w:tcPr>
            <w:tcW w:w="800" w:type="dxa"/>
            <w:tcBorders>
              <w:top w:val="nil"/>
              <w:left w:val="nil"/>
              <w:bottom w:val="single" w:sz="4" w:space="0" w:color="auto"/>
              <w:right w:val="nil"/>
            </w:tcBorders>
            <w:shd w:val="clear" w:color="auto" w:fill="auto"/>
            <w:noWrap/>
            <w:vAlign w:val="center"/>
            <w:hideMark/>
          </w:tcPr>
          <w:p w14:paraId="1B7594A6"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17</w:t>
            </w:r>
          </w:p>
        </w:tc>
        <w:tc>
          <w:tcPr>
            <w:tcW w:w="626" w:type="dxa"/>
            <w:tcBorders>
              <w:top w:val="nil"/>
              <w:left w:val="single" w:sz="4" w:space="0" w:color="auto"/>
              <w:bottom w:val="single" w:sz="4" w:space="0" w:color="auto"/>
              <w:right w:val="single" w:sz="4" w:space="0" w:color="auto"/>
            </w:tcBorders>
            <w:shd w:val="clear" w:color="000000" w:fill="FFFFFF"/>
            <w:noWrap/>
            <w:vAlign w:val="center"/>
            <w:hideMark/>
          </w:tcPr>
          <w:p w14:paraId="08D45802"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26</w:t>
            </w:r>
          </w:p>
        </w:tc>
        <w:tc>
          <w:tcPr>
            <w:tcW w:w="810" w:type="dxa"/>
            <w:tcBorders>
              <w:top w:val="nil"/>
              <w:left w:val="nil"/>
              <w:bottom w:val="single" w:sz="4" w:space="0" w:color="auto"/>
              <w:right w:val="single" w:sz="4" w:space="0" w:color="auto"/>
            </w:tcBorders>
            <w:shd w:val="clear" w:color="000000" w:fill="FFFFFF"/>
            <w:noWrap/>
            <w:vAlign w:val="center"/>
            <w:hideMark/>
          </w:tcPr>
          <w:p w14:paraId="554104F0"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0</w:t>
            </w:r>
          </w:p>
        </w:tc>
        <w:tc>
          <w:tcPr>
            <w:tcW w:w="690" w:type="dxa"/>
            <w:tcBorders>
              <w:top w:val="nil"/>
              <w:left w:val="nil"/>
              <w:bottom w:val="single" w:sz="4" w:space="0" w:color="auto"/>
              <w:right w:val="nil"/>
            </w:tcBorders>
            <w:shd w:val="clear" w:color="000000" w:fill="FFFFFF"/>
            <w:noWrap/>
            <w:vAlign w:val="center"/>
            <w:hideMark/>
          </w:tcPr>
          <w:p w14:paraId="3A675E94"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26</w:t>
            </w:r>
          </w:p>
        </w:tc>
      </w:tr>
      <w:tr w:rsidR="00471873" w:rsidRPr="005970E9" w14:paraId="39EAD491" w14:textId="77777777" w:rsidTr="00471873">
        <w:trPr>
          <w:trHeight w:val="276"/>
        </w:trPr>
        <w:tc>
          <w:tcPr>
            <w:tcW w:w="1351" w:type="dxa"/>
            <w:tcBorders>
              <w:top w:val="nil"/>
              <w:left w:val="nil"/>
              <w:bottom w:val="single" w:sz="4" w:space="0" w:color="auto"/>
              <w:right w:val="single" w:sz="4" w:space="0" w:color="auto"/>
            </w:tcBorders>
            <w:shd w:val="clear" w:color="auto" w:fill="auto"/>
            <w:noWrap/>
            <w:vAlign w:val="center"/>
            <w:hideMark/>
          </w:tcPr>
          <w:p w14:paraId="75E3F715" w14:textId="77777777" w:rsidR="00471873" w:rsidRPr="005970E9" w:rsidRDefault="00471873" w:rsidP="00471873">
            <w:pPr>
              <w:rPr>
                <w:rFonts w:eastAsia="Times New Roman" w:cs="Arial"/>
                <w:color w:val="000000"/>
                <w:sz w:val="20"/>
                <w:szCs w:val="20"/>
              </w:rPr>
            </w:pPr>
            <w:r w:rsidRPr="005970E9">
              <w:rPr>
                <w:rFonts w:eastAsia="Times New Roman" w:cs="Arial"/>
                <w:color w:val="000000"/>
                <w:sz w:val="20"/>
                <w:szCs w:val="20"/>
              </w:rPr>
              <w:t>Herrera</w:t>
            </w:r>
          </w:p>
        </w:tc>
        <w:tc>
          <w:tcPr>
            <w:tcW w:w="698" w:type="dxa"/>
            <w:tcBorders>
              <w:top w:val="nil"/>
              <w:left w:val="nil"/>
              <w:bottom w:val="single" w:sz="4" w:space="0" w:color="auto"/>
              <w:right w:val="single" w:sz="4" w:space="0" w:color="auto"/>
            </w:tcBorders>
            <w:shd w:val="clear" w:color="auto" w:fill="auto"/>
            <w:noWrap/>
            <w:vAlign w:val="center"/>
            <w:hideMark/>
          </w:tcPr>
          <w:p w14:paraId="458AE1E1"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22</w:t>
            </w:r>
          </w:p>
        </w:tc>
        <w:tc>
          <w:tcPr>
            <w:tcW w:w="810" w:type="dxa"/>
            <w:tcBorders>
              <w:top w:val="nil"/>
              <w:left w:val="nil"/>
              <w:bottom w:val="single" w:sz="4" w:space="0" w:color="auto"/>
              <w:right w:val="single" w:sz="4" w:space="0" w:color="auto"/>
            </w:tcBorders>
            <w:shd w:val="clear" w:color="auto" w:fill="auto"/>
            <w:noWrap/>
            <w:vAlign w:val="center"/>
            <w:hideMark/>
          </w:tcPr>
          <w:p w14:paraId="7C085B50"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0</w:t>
            </w:r>
          </w:p>
        </w:tc>
        <w:tc>
          <w:tcPr>
            <w:tcW w:w="685" w:type="dxa"/>
            <w:tcBorders>
              <w:top w:val="nil"/>
              <w:left w:val="nil"/>
              <w:bottom w:val="single" w:sz="4" w:space="0" w:color="auto"/>
              <w:right w:val="single" w:sz="4" w:space="0" w:color="auto"/>
            </w:tcBorders>
            <w:shd w:val="clear" w:color="auto" w:fill="auto"/>
            <w:noWrap/>
            <w:vAlign w:val="center"/>
            <w:hideMark/>
          </w:tcPr>
          <w:p w14:paraId="67A3FF73"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22</w:t>
            </w:r>
          </w:p>
        </w:tc>
        <w:tc>
          <w:tcPr>
            <w:tcW w:w="631" w:type="dxa"/>
            <w:tcBorders>
              <w:top w:val="nil"/>
              <w:left w:val="nil"/>
              <w:bottom w:val="single" w:sz="4" w:space="0" w:color="auto"/>
              <w:right w:val="single" w:sz="4" w:space="0" w:color="auto"/>
            </w:tcBorders>
            <w:shd w:val="clear" w:color="auto" w:fill="auto"/>
            <w:noWrap/>
            <w:vAlign w:val="center"/>
            <w:hideMark/>
          </w:tcPr>
          <w:p w14:paraId="198BD47E"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15</w:t>
            </w:r>
          </w:p>
        </w:tc>
        <w:tc>
          <w:tcPr>
            <w:tcW w:w="810" w:type="dxa"/>
            <w:tcBorders>
              <w:top w:val="nil"/>
              <w:left w:val="nil"/>
              <w:bottom w:val="single" w:sz="4" w:space="0" w:color="auto"/>
              <w:right w:val="single" w:sz="4" w:space="0" w:color="auto"/>
            </w:tcBorders>
            <w:shd w:val="clear" w:color="auto" w:fill="auto"/>
            <w:noWrap/>
            <w:vAlign w:val="center"/>
            <w:hideMark/>
          </w:tcPr>
          <w:p w14:paraId="2463A6F7"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0</w:t>
            </w:r>
          </w:p>
        </w:tc>
        <w:tc>
          <w:tcPr>
            <w:tcW w:w="685" w:type="dxa"/>
            <w:tcBorders>
              <w:top w:val="nil"/>
              <w:left w:val="nil"/>
              <w:bottom w:val="single" w:sz="4" w:space="0" w:color="auto"/>
              <w:right w:val="nil"/>
            </w:tcBorders>
            <w:shd w:val="clear" w:color="auto" w:fill="auto"/>
            <w:noWrap/>
            <w:vAlign w:val="center"/>
            <w:hideMark/>
          </w:tcPr>
          <w:p w14:paraId="1E090642"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15</w:t>
            </w:r>
          </w:p>
        </w:tc>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5B41D21D"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19</w:t>
            </w:r>
          </w:p>
        </w:tc>
        <w:tc>
          <w:tcPr>
            <w:tcW w:w="810" w:type="dxa"/>
            <w:tcBorders>
              <w:top w:val="nil"/>
              <w:left w:val="nil"/>
              <w:bottom w:val="single" w:sz="4" w:space="0" w:color="auto"/>
              <w:right w:val="single" w:sz="4" w:space="0" w:color="auto"/>
            </w:tcBorders>
            <w:shd w:val="clear" w:color="auto" w:fill="auto"/>
            <w:noWrap/>
            <w:vAlign w:val="center"/>
            <w:hideMark/>
          </w:tcPr>
          <w:p w14:paraId="07268EF6"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w:t>
            </w:r>
          </w:p>
        </w:tc>
        <w:tc>
          <w:tcPr>
            <w:tcW w:w="800" w:type="dxa"/>
            <w:tcBorders>
              <w:top w:val="nil"/>
              <w:left w:val="nil"/>
              <w:bottom w:val="single" w:sz="4" w:space="0" w:color="auto"/>
              <w:right w:val="nil"/>
            </w:tcBorders>
            <w:shd w:val="clear" w:color="auto" w:fill="auto"/>
            <w:noWrap/>
            <w:vAlign w:val="center"/>
            <w:hideMark/>
          </w:tcPr>
          <w:p w14:paraId="6D472079"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18</w:t>
            </w:r>
          </w:p>
        </w:tc>
        <w:tc>
          <w:tcPr>
            <w:tcW w:w="626" w:type="dxa"/>
            <w:tcBorders>
              <w:top w:val="nil"/>
              <w:left w:val="single" w:sz="4" w:space="0" w:color="auto"/>
              <w:bottom w:val="single" w:sz="4" w:space="0" w:color="auto"/>
              <w:right w:val="single" w:sz="4" w:space="0" w:color="auto"/>
            </w:tcBorders>
            <w:shd w:val="clear" w:color="000000" w:fill="FFFFFF"/>
            <w:noWrap/>
            <w:vAlign w:val="center"/>
            <w:hideMark/>
          </w:tcPr>
          <w:p w14:paraId="5CB5A922"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36</w:t>
            </w:r>
          </w:p>
        </w:tc>
        <w:tc>
          <w:tcPr>
            <w:tcW w:w="810" w:type="dxa"/>
            <w:tcBorders>
              <w:top w:val="nil"/>
              <w:left w:val="nil"/>
              <w:bottom w:val="single" w:sz="4" w:space="0" w:color="auto"/>
              <w:right w:val="single" w:sz="4" w:space="0" w:color="auto"/>
            </w:tcBorders>
            <w:shd w:val="clear" w:color="000000" w:fill="FFFFFF"/>
            <w:noWrap/>
            <w:vAlign w:val="center"/>
            <w:hideMark/>
          </w:tcPr>
          <w:p w14:paraId="40265BD6"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0</w:t>
            </w:r>
          </w:p>
        </w:tc>
        <w:tc>
          <w:tcPr>
            <w:tcW w:w="690" w:type="dxa"/>
            <w:tcBorders>
              <w:top w:val="nil"/>
              <w:left w:val="nil"/>
              <w:bottom w:val="single" w:sz="4" w:space="0" w:color="auto"/>
              <w:right w:val="nil"/>
            </w:tcBorders>
            <w:shd w:val="clear" w:color="000000" w:fill="FFFFFF"/>
            <w:noWrap/>
            <w:vAlign w:val="center"/>
            <w:hideMark/>
          </w:tcPr>
          <w:p w14:paraId="1A9DFC75"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36</w:t>
            </w:r>
          </w:p>
        </w:tc>
      </w:tr>
      <w:tr w:rsidR="00471873" w:rsidRPr="005970E9" w14:paraId="5EEB6A2F" w14:textId="77777777" w:rsidTr="00471873">
        <w:trPr>
          <w:trHeight w:val="276"/>
        </w:trPr>
        <w:tc>
          <w:tcPr>
            <w:tcW w:w="1351" w:type="dxa"/>
            <w:tcBorders>
              <w:top w:val="nil"/>
              <w:left w:val="nil"/>
              <w:bottom w:val="single" w:sz="4" w:space="0" w:color="auto"/>
              <w:right w:val="single" w:sz="4" w:space="0" w:color="auto"/>
            </w:tcBorders>
            <w:shd w:val="clear" w:color="auto" w:fill="auto"/>
            <w:noWrap/>
            <w:vAlign w:val="center"/>
            <w:hideMark/>
          </w:tcPr>
          <w:p w14:paraId="00E9A422" w14:textId="77777777" w:rsidR="00471873" w:rsidRPr="005970E9" w:rsidRDefault="00471873" w:rsidP="00471873">
            <w:pPr>
              <w:rPr>
                <w:rFonts w:eastAsia="Times New Roman" w:cs="Arial"/>
                <w:color w:val="000000"/>
                <w:sz w:val="20"/>
                <w:szCs w:val="20"/>
              </w:rPr>
            </w:pPr>
            <w:r w:rsidRPr="005970E9">
              <w:rPr>
                <w:rFonts w:eastAsia="Times New Roman" w:cs="Arial"/>
                <w:color w:val="000000"/>
                <w:sz w:val="20"/>
                <w:szCs w:val="20"/>
              </w:rPr>
              <w:t>Los Santos</w:t>
            </w:r>
          </w:p>
        </w:tc>
        <w:tc>
          <w:tcPr>
            <w:tcW w:w="698" w:type="dxa"/>
            <w:tcBorders>
              <w:top w:val="nil"/>
              <w:left w:val="nil"/>
              <w:bottom w:val="nil"/>
              <w:right w:val="nil"/>
            </w:tcBorders>
            <w:shd w:val="clear" w:color="auto" w:fill="auto"/>
            <w:noWrap/>
            <w:vAlign w:val="center"/>
            <w:hideMark/>
          </w:tcPr>
          <w:p w14:paraId="1E4A5D95"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13</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5F4DD92"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0</w:t>
            </w:r>
          </w:p>
        </w:tc>
        <w:tc>
          <w:tcPr>
            <w:tcW w:w="685" w:type="dxa"/>
            <w:tcBorders>
              <w:top w:val="nil"/>
              <w:left w:val="nil"/>
              <w:bottom w:val="single" w:sz="4" w:space="0" w:color="auto"/>
              <w:right w:val="single" w:sz="4" w:space="0" w:color="auto"/>
            </w:tcBorders>
            <w:shd w:val="clear" w:color="auto" w:fill="auto"/>
            <w:noWrap/>
            <w:vAlign w:val="center"/>
            <w:hideMark/>
          </w:tcPr>
          <w:p w14:paraId="3DE4F11C"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13</w:t>
            </w:r>
          </w:p>
        </w:tc>
        <w:tc>
          <w:tcPr>
            <w:tcW w:w="631" w:type="dxa"/>
            <w:tcBorders>
              <w:top w:val="nil"/>
              <w:left w:val="nil"/>
              <w:bottom w:val="single" w:sz="4" w:space="0" w:color="auto"/>
              <w:right w:val="single" w:sz="4" w:space="0" w:color="auto"/>
            </w:tcBorders>
            <w:shd w:val="clear" w:color="auto" w:fill="auto"/>
            <w:noWrap/>
            <w:vAlign w:val="center"/>
            <w:hideMark/>
          </w:tcPr>
          <w:p w14:paraId="130290CF"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12</w:t>
            </w:r>
          </w:p>
        </w:tc>
        <w:tc>
          <w:tcPr>
            <w:tcW w:w="810" w:type="dxa"/>
            <w:tcBorders>
              <w:top w:val="nil"/>
              <w:left w:val="nil"/>
              <w:bottom w:val="single" w:sz="4" w:space="0" w:color="auto"/>
              <w:right w:val="single" w:sz="4" w:space="0" w:color="auto"/>
            </w:tcBorders>
            <w:shd w:val="clear" w:color="auto" w:fill="auto"/>
            <w:noWrap/>
            <w:vAlign w:val="center"/>
            <w:hideMark/>
          </w:tcPr>
          <w:p w14:paraId="647A17E2"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0</w:t>
            </w:r>
          </w:p>
        </w:tc>
        <w:tc>
          <w:tcPr>
            <w:tcW w:w="685" w:type="dxa"/>
            <w:tcBorders>
              <w:top w:val="nil"/>
              <w:left w:val="nil"/>
              <w:bottom w:val="single" w:sz="4" w:space="0" w:color="auto"/>
              <w:right w:val="nil"/>
            </w:tcBorders>
            <w:shd w:val="clear" w:color="auto" w:fill="auto"/>
            <w:noWrap/>
            <w:vAlign w:val="center"/>
            <w:hideMark/>
          </w:tcPr>
          <w:p w14:paraId="3AF32C44"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12</w:t>
            </w:r>
          </w:p>
        </w:tc>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1DF60D83"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13</w:t>
            </w:r>
          </w:p>
        </w:tc>
        <w:tc>
          <w:tcPr>
            <w:tcW w:w="810" w:type="dxa"/>
            <w:tcBorders>
              <w:top w:val="nil"/>
              <w:left w:val="nil"/>
              <w:bottom w:val="single" w:sz="4" w:space="0" w:color="auto"/>
              <w:right w:val="single" w:sz="4" w:space="0" w:color="auto"/>
            </w:tcBorders>
            <w:shd w:val="clear" w:color="auto" w:fill="auto"/>
            <w:noWrap/>
            <w:vAlign w:val="center"/>
            <w:hideMark/>
          </w:tcPr>
          <w:p w14:paraId="03712825"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0</w:t>
            </w:r>
          </w:p>
        </w:tc>
        <w:tc>
          <w:tcPr>
            <w:tcW w:w="800" w:type="dxa"/>
            <w:tcBorders>
              <w:top w:val="nil"/>
              <w:left w:val="nil"/>
              <w:bottom w:val="single" w:sz="4" w:space="0" w:color="auto"/>
              <w:right w:val="nil"/>
            </w:tcBorders>
            <w:shd w:val="clear" w:color="auto" w:fill="auto"/>
            <w:noWrap/>
            <w:vAlign w:val="center"/>
            <w:hideMark/>
          </w:tcPr>
          <w:p w14:paraId="271DC6D8"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13</w:t>
            </w:r>
          </w:p>
        </w:tc>
        <w:tc>
          <w:tcPr>
            <w:tcW w:w="626" w:type="dxa"/>
            <w:tcBorders>
              <w:top w:val="nil"/>
              <w:left w:val="single" w:sz="4" w:space="0" w:color="auto"/>
              <w:bottom w:val="single" w:sz="4" w:space="0" w:color="auto"/>
              <w:right w:val="single" w:sz="4" w:space="0" w:color="auto"/>
            </w:tcBorders>
            <w:shd w:val="clear" w:color="000000" w:fill="FFFFFF"/>
            <w:noWrap/>
            <w:vAlign w:val="center"/>
            <w:hideMark/>
          </w:tcPr>
          <w:p w14:paraId="3C62172C"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2</w:t>
            </w:r>
          </w:p>
        </w:tc>
        <w:tc>
          <w:tcPr>
            <w:tcW w:w="810" w:type="dxa"/>
            <w:tcBorders>
              <w:top w:val="nil"/>
              <w:left w:val="nil"/>
              <w:bottom w:val="single" w:sz="4" w:space="0" w:color="auto"/>
              <w:right w:val="single" w:sz="4" w:space="0" w:color="auto"/>
            </w:tcBorders>
            <w:shd w:val="clear" w:color="000000" w:fill="FFFFFF"/>
            <w:noWrap/>
            <w:vAlign w:val="center"/>
            <w:hideMark/>
          </w:tcPr>
          <w:p w14:paraId="1A1FD07F"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0</w:t>
            </w:r>
          </w:p>
        </w:tc>
        <w:tc>
          <w:tcPr>
            <w:tcW w:w="690" w:type="dxa"/>
            <w:tcBorders>
              <w:top w:val="nil"/>
              <w:left w:val="nil"/>
              <w:bottom w:val="single" w:sz="4" w:space="0" w:color="auto"/>
              <w:right w:val="nil"/>
            </w:tcBorders>
            <w:shd w:val="clear" w:color="000000" w:fill="FFFFFF"/>
            <w:noWrap/>
            <w:vAlign w:val="center"/>
            <w:hideMark/>
          </w:tcPr>
          <w:p w14:paraId="518E65FD"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w:t>
            </w:r>
          </w:p>
        </w:tc>
      </w:tr>
      <w:tr w:rsidR="00471873" w:rsidRPr="005970E9" w14:paraId="00FC2560" w14:textId="77777777" w:rsidTr="00471873">
        <w:trPr>
          <w:trHeight w:val="276"/>
        </w:trPr>
        <w:tc>
          <w:tcPr>
            <w:tcW w:w="1351" w:type="dxa"/>
            <w:tcBorders>
              <w:top w:val="nil"/>
              <w:left w:val="nil"/>
              <w:bottom w:val="single" w:sz="4" w:space="0" w:color="auto"/>
              <w:right w:val="single" w:sz="4" w:space="0" w:color="auto"/>
            </w:tcBorders>
            <w:shd w:val="clear" w:color="auto" w:fill="auto"/>
            <w:noWrap/>
            <w:vAlign w:val="center"/>
            <w:hideMark/>
          </w:tcPr>
          <w:p w14:paraId="08556DA9" w14:textId="77777777" w:rsidR="00471873" w:rsidRPr="005970E9" w:rsidRDefault="00471873" w:rsidP="00471873">
            <w:pPr>
              <w:rPr>
                <w:rFonts w:eastAsia="Times New Roman" w:cs="Arial"/>
                <w:color w:val="000000"/>
                <w:sz w:val="20"/>
                <w:szCs w:val="20"/>
              </w:rPr>
            </w:pPr>
            <w:r w:rsidRPr="005970E9">
              <w:rPr>
                <w:rFonts w:eastAsia="Times New Roman" w:cs="Arial"/>
                <w:color w:val="000000"/>
                <w:sz w:val="20"/>
                <w:szCs w:val="20"/>
              </w:rPr>
              <w:t>Panamá</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505CA50A"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510</w:t>
            </w:r>
          </w:p>
        </w:tc>
        <w:tc>
          <w:tcPr>
            <w:tcW w:w="810" w:type="dxa"/>
            <w:tcBorders>
              <w:top w:val="nil"/>
              <w:left w:val="nil"/>
              <w:bottom w:val="single" w:sz="4" w:space="0" w:color="auto"/>
              <w:right w:val="single" w:sz="4" w:space="0" w:color="auto"/>
            </w:tcBorders>
            <w:shd w:val="clear" w:color="auto" w:fill="auto"/>
            <w:noWrap/>
            <w:vAlign w:val="center"/>
            <w:hideMark/>
          </w:tcPr>
          <w:p w14:paraId="0D3456C3"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3</w:t>
            </w:r>
          </w:p>
        </w:tc>
        <w:tc>
          <w:tcPr>
            <w:tcW w:w="685" w:type="dxa"/>
            <w:tcBorders>
              <w:top w:val="nil"/>
              <w:left w:val="nil"/>
              <w:bottom w:val="single" w:sz="4" w:space="0" w:color="auto"/>
              <w:right w:val="single" w:sz="4" w:space="0" w:color="auto"/>
            </w:tcBorders>
            <w:shd w:val="clear" w:color="auto" w:fill="auto"/>
            <w:noWrap/>
            <w:vAlign w:val="center"/>
            <w:hideMark/>
          </w:tcPr>
          <w:p w14:paraId="2BF1406C"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507</w:t>
            </w:r>
          </w:p>
        </w:tc>
        <w:tc>
          <w:tcPr>
            <w:tcW w:w="631" w:type="dxa"/>
            <w:tcBorders>
              <w:top w:val="nil"/>
              <w:left w:val="nil"/>
              <w:bottom w:val="single" w:sz="4" w:space="0" w:color="auto"/>
              <w:right w:val="single" w:sz="4" w:space="0" w:color="auto"/>
            </w:tcBorders>
            <w:shd w:val="clear" w:color="auto" w:fill="auto"/>
            <w:noWrap/>
            <w:vAlign w:val="center"/>
            <w:hideMark/>
          </w:tcPr>
          <w:p w14:paraId="614130F2"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645</w:t>
            </w:r>
          </w:p>
        </w:tc>
        <w:tc>
          <w:tcPr>
            <w:tcW w:w="810" w:type="dxa"/>
            <w:tcBorders>
              <w:top w:val="nil"/>
              <w:left w:val="nil"/>
              <w:bottom w:val="single" w:sz="4" w:space="0" w:color="auto"/>
              <w:right w:val="single" w:sz="4" w:space="0" w:color="auto"/>
            </w:tcBorders>
            <w:shd w:val="clear" w:color="auto" w:fill="auto"/>
            <w:noWrap/>
            <w:vAlign w:val="center"/>
            <w:hideMark/>
          </w:tcPr>
          <w:p w14:paraId="1CFF9938"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6</w:t>
            </w:r>
          </w:p>
        </w:tc>
        <w:tc>
          <w:tcPr>
            <w:tcW w:w="685" w:type="dxa"/>
            <w:tcBorders>
              <w:top w:val="nil"/>
              <w:left w:val="nil"/>
              <w:bottom w:val="single" w:sz="4" w:space="0" w:color="auto"/>
              <w:right w:val="nil"/>
            </w:tcBorders>
            <w:shd w:val="clear" w:color="auto" w:fill="auto"/>
            <w:noWrap/>
            <w:vAlign w:val="center"/>
            <w:hideMark/>
          </w:tcPr>
          <w:p w14:paraId="14A5C300"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639</w:t>
            </w:r>
          </w:p>
        </w:tc>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36369FAE"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255</w:t>
            </w:r>
          </w:p>
        </w:tc>
        <w:tc>
          <w:tcPr>
            <w:tcW w:w="810" w:type="dxa"/>
            <w:tcBorders>
              <w:top w:val="nil"/>
              <w:left w:val="nil"/>
              <w:bottom w:val="single" w:sz="4" w:space="0" w:color="auto"/>
              <w:right w:val="single" w:sz="4" w:space="0" w:color="auto"/>
            </w:tcBorders>
            <w:shd w:val="clear" w:color="auto" w:fill="auto"/>
            <w:noWrap/>
            <w:vAlign w:val="center"/>
            <w:hideMark/>
          </w:tcPr>
          <w:p w14:paraId="6898B764"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8</w:t>
            </w:r>
          </w:p>
        </w:tc>
        <w:tc>
          <w:tcPr>
            <w:tcW w:w="800" w:type="dxa"/>
            <w:tcBorders>
              <w:top w:val="nil"/>
              <w:left w:val="nil"/>
              <w:bottom w:val="single" w:sz="4" w:space="0" w:color="auto"/>
              <w:right w:val="nil"/>
            </w:tcBorders>
            <w:shd w:val="clear" w:color="auto" w:fill="auto"/>
            <w:noWrap/>
            <w:vAlign w:val="center"/>
            <w:hideMark/>
          </w:tcPr>
          <w:p w14:paraId="45C067B8"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247</w:t>
            </w:r>
          </w:p>
        </w:tc>
        <w:tc>
          <w:tcPr>
            <w:tcW w:w="626" w:type="dxa"/>
            <w:tcBorders>
              <w:top w:val="nil"/>
              <w:left w:val="single" w:sz="4" w:space="0" w:color="auto"/>
              <w:bottom w:val="single" w:sz="4" w:space="0" w:color="auto"/>
              <w:right w:val="single" w:sz="4" w:space="0" w:color="auto"/>
            </w:tcBorders>
            <w:shd w:val="clear" w:color="000000" w:fill="FFFFFF"/>
            <w:noWrap/>
            <w:vAlign w:val="center"/>
            <w:hideMark/>
          </w:tcPr>
          <w:p w14:paraId="0157E95F"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393</w:t>
            </w:r>
          </w:p>
        </w:tc>
        <w:tc>
          <w:tcPr>
            <w:tcW w:w="810" w:type="dxa"/>
            <w:tcBorders>
              <w:top w:val="nil"/>
              <w:left w:val="nil"/>
              <w:bottom w:val="single" w:sz="4" w:space="0" w:color="auto"/>
              <w:right w:val="single" w:sz="4" w:space="0" w:color="auto"/>
            </w:tcBorders>
            <w:shd w:val="clear" w:color="000000" w:fill="FFFFFF"/>
            <w:noWrap/>
            <w:vAlign w:val="center"/>
            <w:hideMark/>
          </w:tcPr>
          <w:p w14:paraId="24A087BA"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3</w:t>
            </w:r>
          </w:p>
        </w:tc>
        <w:tc>
          <w:tcPr>
            <w:tcW w:w="690" w:type="dxa"/>
            <w:tcBorders>
              <w:top w:val="nil"/>
              <w:left w:val="nil"/>
              <w:bottom w:val="single" w:sz="4" w:space="0" w:color="auto"/>
              <w:right w:val="nil"/>
            </w:tcBorders>
            <w:shd w:val="clear" w:color="000000" w:fill="FFFFFF"/>
            <w:noWrap/>
            <w:vAlign w:val="center"/>
            <w:hideMark/>
          </w:tcPr>
          <w:p w14:paraId="3D83B679"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390</w:t>
            </w:r>
          </w:p>
        </w:tc>
      </w:tr>
      <w:tr w:rsidR="00471873" w:rsidRPr="005970E9" w14:paraId="37C95510" w14:textId="77777777" w:rsidTr="00471873">
        <w:trPr>
          <w:trHeight w:val="276"/>
        </w:trPr>
        <w:tc>
          <w:tcPr>
            <w:tcW w:w="1351" w:type="dxa"/>
            <w:tcBorders>
              <w:top w:val="nil"/>
              <w:left w:val="nil"/>
              <w:bottom w:val="single" w:sz="4" w:space="0" w:color="auto"/>
              <w:right w:val="single" w:sz="4" w:space="0" w:color="auto"/>
            </w:tcBorders>
            <w:shd w:val="clear" w:color="auto" w:fill="auto"/>
            <w:noWrap/>
            <w:vAlign w:val="center"/>
            <w:hideMark/>
          </w:tcPr>
          <w:p w14:paraId="643294C3" w14:textId="77777777" w:rsidR="00471873" w:rsidRPr="005970E9" w:rsidRDefault="00471873" w:rsidP="00471873">
            <w:pPr>
              <w:rPr>
                <w:rFonts w:eastAsia="Times New Roman" w:cs="Arial"/>
                <w:color w:val="000000"/>
                <w:sz w:val="20"/>
                <w:szCs w:val="20"/>
              </w:rPr>
            </w:pPr>
            <w:r w:rsidRPr="005970E9">
              <w:rPr>
                <w:rFonts w:eastAsia="Times New Roman" w:cs="Arial"/>
                <w:color w:val="000000"/>
                <w:sz w:val="20"/>
                <w:szCs w:val="20"/>
              </w:rPr>
              <w:t>Veraguas</w:t>
            </w:r>
          </w:p>
        </w:tc>
        <w:tc>
          <w:tcPr>
            <w:tcW w:w="698" w:type="dxa"/>
            <w:tcBorders>
              <w:top w:val="nil"/>
              <w:left w:val="nil"/>
              <w:bottom w:val="single" w:sz="4" w:space="0" w:color="auto"/>
              <w:right w:val="single" w:sz="4" w:space="0" w:color="auto"/>
            </w:tcBorders>
            <w:shd w:val="clear" w:color="auto" w:fill="auto"/>
            <w:noWrap/>
            <w:vAlign w:val="center"/>
            <w:hideMark/>
          </w:tcPr>
          <w:p w14:paraId="0381E239"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86</w:t>
            </w:r>
          </w:p>
        </w:tc>
        <w:tc>
          <w:tcPr>
            <w:tcW w:w="810" w:type="dxa"/>
            <w:tcBorders>
              <w:top w:val="nil"/>
              <w:left w:val="nil"/>
              <w:bottom w:val="single" w:sz="4" w:space="0" w:color="auto"/>
              <w:right w:val="single" w:sz="4" w:space="0" w:color="auto"/>
            </w:tcBorders>
            <w:shd w:val="clear" w:color="auto" w:fill="auto"/>
            <w:noWrap/>
            <w:vAlign w:val="center"/>
            <w:hideMark/>
          </w:tcPr>
          <w:p w14:paraId="28D05A6F"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2</w:t>
            </w:r>
          </w:p>
        </w:tc>
        <w:tc>
          <w:tcPr>
            <w:tcW w:w="685" w:type="dxa"/>
            <w:tcBorders>
              <w:top w:val="nil"/>
              <w:left w:val="nil"/>
              <w:bottom w:val="single" w:sz="4" w:space="0" w:color="auto"/>
              <w:right w:val="single" w:sz="4" w:space="0" w:color="auto"/>
            </w:tcBorders>
            <w:shd w:val="clear" w:color="auto" w:fill="auto"/>
            <w:noWrap/>
            <w:vAlign w:val="center"/>
            <w:hideMark/>
          </w:tcPr>
          <w:p w14:paraId="5C2A10DD"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84</w:t>
            </w:r>
          </w:p>
        </w:tc>
        <w:tc>
          <w:tcPr>
            <w:tcW w:w="631" w:type="dxa"/>
            <w:tcBorders>
              <w:top w:val="nil"/>
              <w:left w:val="nil"/>
              <w:bottom w:val="single" w:sz="4" w:space="0" w:color="auto"/>
              <w:right w:val="single" w:sz="4" w:space="0" w:color="auto"/>
            </w:tcBorders>
            <w:shd w:val="clear" w:color="auto" w:fill="auto"/>
            <w:noWrap/>
            <w:vAlign w:val="center"/>
            <w:hideMark/>
          </w:tcPr>
          <w:p w14:paraId="54D5E57F"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67</w:t>
            </w:r>
          </w:p>
        </w:tc>
        <w:tc>
          <w:tcPr>
            <w:tcW w:w="810" w:type="dxa"/>
            <w:tcBorders>
              <w:top w:val="nil"/>
              <w:left w:val="nil"/>
              <w:bottom w:val="single" w:sz="4" w:space="0" w:color="auto"/>
              <w:right w:val="single" w:sz="4" w:space="0" w:color="auto"/>
            </w:tcBorders>
            <w:shd w:val="clear" w:color="auto" w:fill="auto"/>
            <w:noWrap/>
            <w:vAlign w:val="center"/>
            <w:hideMark/>
          </w:tcPr>
          <w:p w14:paraId="2CD2129A"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8</w:t>
            </w:r>
          </w:p>
        </w:tc>
        <w:tc>
          <w:tcPr>
            <w:tcW w:w="685" w:type="dxa"/>
            <w:tcBorders>
              <w:top w:val="nil"/>
              <w:left w:val="nil"/>
              <w:bottom w:val="single" w:sz="4" w:space="0" w:color="auto"/>
              <w:right w:val="nil"/>
            </w:tcBorders>
            <w:shd w:val="clear" w:color="auto" w:fill="auto"/>
            <w:noWrap/>
            <w:vAlign w:val="center"/>
            <w:hideMark/>
          </w:tcPr>
          <w:p w14:paraId="12207324"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59</w:t>
            </w:r>
          </w:p>
        </w:tc>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01EDF3B7"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59</w:t>
            </w:r>
          </w:p>
        </w:tc>
        <w:tc>
          <w:tcPr>
            <w:tcW w:w="810" w:type="dxa"/>
            <w:tcBorders>
              <w:top w:val="nil"/>
              <w:left w:val="nil"/>
              <w:bottom w:val="single" w:sz="4" w:space="0" w:color="auto"/>
              <w:right w:val="single" w:sz="4" w:space="0" w:color="auto"/>
            </w:tcBorders>
            <w:shd w:val="clear" w:color="auto" w:fill="auto"/>
            <w:noWrap/>
            <w:vAlign w:val="center"/>
            <w:hideMark/>
          </w:tcPr>
          <w:p w14:paraId="20AB5979"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9</w:t>
            </w:r>
          </w:p>
        </w:tc>
        <w:tc>
          <w:tcPr>
            <w:tcW w:w="800" w:type="dxa"/>
            <w:tcBorders>
              <w:top w:val="nil"/>
              <w:left w:val="nil"/>
              <w:bottom w:val="single" w:sz="4" w:space="0" w:color="auto"/>
              <w:right w:val="nil"/>
            </w:tcBorders>
            <w:shd w:val="clear" w:color="auto" w:fill="auto"/>
            <w:noWrap/>
            <w:vAlign w:val="center"/>
            <w:hideMark/>
          </w:tcPr>
          <w:p w14:paraId="68942DF4"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50</w:t>
            </w:r>
          </w:p>
        </w:tc>
        <w:tc>
          <w:tcPr>
            <w:tcW w:w="626" w:type="dxa"/>
            <w:tcBorders>
              <w:top w:val="nil"/>
              <w:left w:val="single" w:sz="4" w:space="0" w:color="auto"/>
              <w:bottom w:val="single" w:sz="4" w:space="0" w:color="auto"/>
              <w:right w:val="single" w:sz="4" w:space="0" w:color="auto"/>
            </w:tcBorders>
            <w:shd w:val="clear" w:color="000000" w:fill="FFFFFF"/>
            <w:noWrap/>
            <w:vAlign w:val="center"/>
            <w:hideMark/>
          </w:tcPr>
          <w:p w14:paraId="17B3E6EC" w14:textId="77777777" w:rsidR="00471873" w:rsidRPr="005970E9" w:rsidRDefault="00471873" w:rsidP="00471873">
            <w:pPr>
              <w:jc w:val="right"/>
              <w:rPr>
                <w:rFonts w:eastAsia="Times New Roman" w:cs="Arial"/>
                <w:sz w:val="18"/>
                <w:szCs w:val="18"/>
              </w:rPr>
            </w:pPr>
            <w:r w:rsidRPr="005970E9">
              <w:rPr>
                <w:rFonts w:eastAsia="Times New Roman" w:cs="Arial"/>
                <w:sz w:val="18"/>
                <w:szCs w:val="18"/>
              </w:rPr>
              <w:t>60</w:t>
            </w:r>
          </w:p>
        </w:tc>
        <w:tc>
          <w:tcPr>
            <w:tcW w:w="810" w:type="dxa"/>
            <w:tcBorders>
              <w:top w:val="nil"/>
              <w:left w:val="nil"/>
              <w:bottom w:val="single" w:sz="4" w:space="0" w:color="auto"/>
              <w:right w:val="single" w:sz="4" w:space="0" w:color="auto"/>
            </w:tcBorders>
            <w:shd w:val="clear" w:color="000000" w:fill="FFFFFF"/>
            <w:noWrap/>
            <w:vAlign w:val="center"/>
            <w:hideMark/>
          </w:tcPr>
          <w:p w14:paraId="6BAEBA2F"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1</w:t>
            </w:r>
          </w:p>
        </w:tc>
        <w:tc>
          <w:tcPr>
            <w:tcW w:w="690" w:type="dxa"/>
            <w:tcBorders>
              <w:top w:val="nil"/>
              <w:left w:val="nil"/>
              <w:bottom w:val="single" w:sz="4" w:space="0" w:color="auto"/>
              <w:right w:val="nil"/>
            </w:tcBorders>
            <w:shd w:val="clear" w:color="000000" w:fill="FFFFFF"/>
            <w:noWrap/>
            <w:vAlign w:val="center"/>
            <w:hideMark/>
          </w:tcPr>
          <w:p w14:paraId="29297DBC" w14:textId="77777777" w:rsidR="00471873" w:rsidRPr="005970E9" w:rsidRDefault="00471873" w:rsidP="00471873">
            <w:pPr>
              <w:jc w:val="right"/>
              <w:rPr>
                <w:rFonts w:eastAsia="Times New Roman" w:cs="Arial"/>
                <w:color w:val="000000"/>
                <w:sz w:val="18"/>
                <w:szCs w:val="18"/>
              </w:rPr>
            </w:pPr>
            <w:r w:rsidRPr="005970E9">
              <w:rPr>
                <w:rFonts w:eastAsia="Times New Roman" w:cs="Arial"/>
                <w:color w:val="000000"/>
                <w:sz w:val="18"/>
                <w:szCs w:val="18"/>
              </w:rPr>
              <w:t>59</w:t>
            </w:r>
          </w:p>
        </w:tc>
      </w:tr>
    </w:tbl>
    <w:p w14:paraId="30CBD2B5" w14:textId="77777777" w:rsidR="00471873" w:rsidRPr="005970E9" w:rsidRDefault="00471873" w:rsidP="00A36980">
      <w:pPr>
        <w:jc w:val="both"/>
        <w:rPr>
          <w:sz w:val="20"/>
          <w:szCs w:val="20"/>
        </w:rPr>
      </w:pPr>
      <w:bookmarkStart w:id="169" w:name="_Toc42549169"/>
      <w:r w:rsidRPr="005970E9">
        <w:t xml:space="preserve">Cuadro </w:t>
      </w:r>
      <w:r w:rsidRPr="005970E9">
        <w:fldChar w:fldCharType="begin"/>
      </w:r>
      <w:r w:rsidRPr="005970E9">
        <w:instrText>SEQ Cuadro \* ARABIC</w:instrText>
      </w:r>
      <w:r w:rsidRPr="005970E9">
        <w:fldChar w:fldCharType="separate"/>
      </w:r>
      <w:r w:rsidRPr="005970E9">
        <w:rPr>
          <w:noProof/>
        </w:rPr>
        <w:t>3</w:t>
      </w:r>
      <w:r w:rsidRPr="005970E9">
        <w:fldChar w:fldCharType="end"/>
      </w:r>
      <w:r w:rsidRPr="005970E9">
        <w:rPr>
          <w:sz w:val="20"/>
          <w:szCs w:val="20"/>
        </w:rPr>
        <w:t>. CANTIDAD DE ALUMNAS EMBARAZADAS ATENDIDAS EN LA EDUCACIÓN PRIMARIA, PREMEDIA Y MEDIA OFICIAL, SEGÚN REGIÓN EDUCATIVA: 2010-2016</w:t>
      </w:r>
      <w:bookmarkEnd w:id="169"/>
    </w:p>
    <w:p w14:paraId="1C4F671D" w14:textId="7996FF44" w:rsidR="00471873" w:rsidRPr="005970E9" w:rsidRDefault="00471873" w:rsidP="00A36980">
      <w:pPr>
        <w:jc w:val="both"/>
        <w:rPr>
          <w:shd w:val="clear" w:color="auto" w:fill="FFFF00"/>
        </w:rPr>
        <w:sectPr w:rsidR="00471873" w:rsidRPr="005970E9">
          <w:footerReference w:type="default" r:id="rId54"/>
          <w:pgSz w:w="12240" w:h="15840"/>
          <w:pgMar w:top="1417" w:right="1701" w:bottom="1417" w:left="1701" w:header="0" w:footer="0" w:gutter="0"/>
          <w:cols w:space="720"/>
          <w:formProt w:val="0"/>
          <w:docGrid w:linePitch="360" w:charSpace="-2049"/>
        </w:sectPr>
      </w:pPr>
    </w:p>
    <w:p w14:paraId="7EFB8FFB" w14:textId="0C446539" w:rsidR="00533E56" w:rsidRPr="00533E56" w:rsidRDefault="00533E56" w:rsidP="00533E56">
      <w:pPr>
        <w:pStyle w:val="Heading3"/>
      </w:pPr>
      <w:bookmarkStart w:id="170" w:name="_Toc42549455"/>
      <w:r>
        <w:lastRenderedPageBreak/>
        <w:t xml:space="preserve">4.1.3 </w:t>
      </w:r>
      <w:r w:rsidRPr="00533E56">
        <w:t>Instituciones educativas</w:t>
      </w:r>
      <w:bookmarkEnd w:id="170"/>
      <w:r w:rsidRPr="00533E56">
        <w:t xml:space="preserve"> </w:t>
      </w:r>
    </w:p>
    <w:p w14:paraId="42A9B142" w14:textId="143963DB" w:rsidR="00533E56" w:rsidRDefault="00533E56" w:rsidP="00533E56">
      <w:pPr>
        <w:spacing w:before="240" w:after="240" w:line="276" w:lineRule="auto"/>
        <w:jc w:val="both"/>
      </w:pPr>
      <w:r w:rsidRPr="00533E56">
        <w:t>Por último, pero no por ello menos importante, resaltamos las instalaciones educativas oficiales y particulares existentes en el país, que deben garantizar la participación equitativa de niños y niñas hasta en las áreas de difícil acceso.  A nivel nacional existen 4,360 instalaciones, con mayor cobertura en la provincia de Panamá en la cual existen 1,168 centros y una matrícula promedio de 138 estudiantes; en Los Santos existen solo 172 centros y una matrícula promedio de 35 estudiantes por centro. En todos los casos la matrícula por centro fue mayor de hombres que mujeres, observándose una mayor disparidad en las Comarcas, como se presenta en el Gráfico No.</w:t>
      </w:r>
      <w:r>
        <w:t>20</w:t>
      </w:r>
      <w:r w:rsidRPr="00533E56">
        <w:t xml:space="preserve"> y Cuadro No.4.</w:t>
      </w:r>
    </w:p>
    <w:p w14:paraId="5D32727F" w14:textId="4F3BC2B6" w:rsidR="008031E2" w:rsidRPr="005970E9" w:rsidRDefault="00316296" w:rsidP="008031E2">
      <w:pPr>
        <w:pStyle w:val="Caption"/>
        <w:rPr>
          <w:rFonts w:ascii="Century Schoolbook" w:hAnsi="Century Schoolbook"/>
          <w:sz w:val="20"/>
          <w:szCs w:val="20"/>
        </w:rPr>
      </w:pPr>
      <w:bookmarkStart w:id="171" w:name="_Toc42549252"/>
      <w:r w:rsidRPr="005970E9">
        <w:rPr>
          <w:rFonts w:ascii="Century Schoolbook" w:hAnsi="Century Schoolbook"/>
          <w:noProof/>
        </w:rPr>
        <w:drawing>
          <wp:anchor distT="0" distB="0" distL="114300" distR="114300" simplePos="0" relativeHeight="251789353" behindDoc="0" locked="0" layoutInCell="1" allowOverlap="1" wp14:anchorId="716BB503" wp14:editId="3B91B109">
            <wp:simplePos x="0" y="0"/>
            <wp:positionH relativeFrom="column">
              <wp:posOffset>-60960</wp:posOffset>
            </wp:positionH>
            <wp:positionV relativeFrom="paragraph">
              <wp:posOffset>518795</wp:posOffset>
            </wp:positionV>
            <wp:extent cx="5612130" cy="3846195"/>
            <wp:effectExtent l="0" t="0" r="7620" b="1905"/>
            <wp:wrapTight wrapText="bothSides">
              <wp:wrapPolygon edited="0">
                <wp:start x="0" y="0"/>
                <wp:lineTo x="0" y="21504"/>
                <wp:lineTo x="21556" y="21504"/>
                <wp:lineTo x="21556" y="0"/>
                <wp:lineTo x="0" y="0"/>
              </wp:wrapPolygon>
            </wp:wrapTight>
            <wp:docPr id="2" name="Gráfico 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8031E2"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20</w:t>
      </w:r>
      <w:r w:rsidR="00F202BE" w:rsidRPr="005970E9">
        <w:rPr>
          <w:rFonts w:ascii="Century Schoolbook" w:hAnsi="Century Schoolbook"/>
          <w:sz w:val="20"/>
          <w:szCs w:val="20"/>
        </w:rPr>
        <w:fldChar w:fldCharType="end"/>
      </w:r>
      <w:r w:rsidR="008031E2" w:rsidRPr="005970E9">
        <w:rPr>
          <w:rFonts w:ascii="Century Schoolbook" w:hAnsi="Century Schoolbook"/>
          <w:sz w:val="20"/>
          <w:szCs w:val="20"/>
        </w:rPr>
        <w:t xml:space="preserve">. </w:t>
      </w:r>
      <w:r w:rsidRPr="005970E9">
        <w:rPr>
          <w:rFonts w:ascii="Century Schoolbook" w:hAnsi="Century Schoolbook"/>
          <w:sz w:val="20"/>
          <w:szCs w:val="20"/>
        </w:rPr>
        <w:t>Promedio de estudiantes por</w:t>
      </w:r>
      <w:r w:rsidR="00820926" w:rsidRPr="005970E9">
        <w:rPr>
          <w:rFonts w:ascii="Century Schoolbook" w:hAnsi="Century Schoolbook"/>
          <w:sz w:val="20"/>
          <w:szCs w:val="20"/>
        </w:rPr>
        <w:t xml:space="preserve"> instalaci</w:t>
      </w:r>
      <w:r w:rsidRPr="005970E9">
        <w:rPr>
          <w:rFonts w:ascii="Century Schoolbook" w:hAnsi="Century Schoolbook"/>
          <w:sz w:val="20"/>
          <w:szCs w:val="20"/>
        </w:rPr>
        <w:t>ó</w:t>
      </w:r>
      <w:r w:rsidR="00820926" w:rsidRPr="005970E9">
        <w:rPr>
          <w:rFonts w:ascii="Century Schoolbook" w:hAnsi="Century Schoolbook"/>
          <w:sz w:val="20"/>
          <w:szCs w:val="20"/>
        </w:rPr>
        <w:t>n educativa oficial y particular por sexo, según provincias: año 2019</w:t>
      </w:r>
      <w:r w:rsidRPr="005970E9">
        <w:rPr>
          <w:rFonts w:ascii="Century Schoolbook" w:hAnsi="Century Schoolbook"/>
          <w:sz w:val="20"/>
          <w:szCs w:val="20"/>
        </w:rPr>
        <w:t>.</w:t>
      </w:r>
      <w:bookmarkEnd w:id="171"/>
    </w:p>
    <w:p w14:paraId="393491E3" w14:textId="68075621" w:rsidR="00316296" w:rsidRPr="005970E9" w:rsidRDefault="00316296" w:rsidP="008031E2">
      <w:pPr>
        <w:pStyle w:val="Caption"/>
        <w:rPr>
          <w:rFonts w:ascii="Century Schoolbook" w:hAnsi="Century Schoolbook"/>
          <w:sz w:val="20"/>
          <w:szCs w:val="20"/>
        </w:rPr>
      </w:pPr>
    </w:p>
    <w:p w14:paraId="76C7A7ED" w14:textId="5022EAEE" w:rsidR="00A36980" w:rsidRPr="005970E9" w:rsidRDefault="00A36980" w:rsidP="00A36980">
      <w:pPr>
        <w:jc w:val="center"/>
      </w:pPr>
    </w:p>
    <w:p w14:paraId="64822974" w14:textId="590DD058" w:rsidR="00A36980" w:rsidRPr="005970E9" w:rsidRDefault="00A36980" w:rsidP="008031E2">
      <w:pPr>
        <w:spacing w:before="240" w:line="276" w:lineRule="auto"/>
        <w:jc w:val="both"/>
      </w:pPr>
      <w:r w:rsidRPr="005970E9">
        <w:t xml:space="preserve">La mayor oferta de instalaciones educativas es de centros oficiales los cuales aportan 3,580 dependencias, en tanto que la oferta particular alcanza los 780 centros a nivel nacional, que presentan una matrícula promedio de 83 niños y adolescentes hombres por centro y 81 niñas y adolescentes mujeres respectivamente.  La mayor cantidad de instalaciones educativas se encuentran ubicadas en la provincia de Panamá, Chiriquí, Veraguas y en las Comarcas, como se presenta en el siguiente </w:t>
      </w:r>
      <w:r w:rsidRPr="00533E56">
        <w:t>Cuadro No.</w:t>
      </w:r>
      <w:r w:rsidR="00533E56" w:rsidRPr="00533E56">
        <w:t>4</w:t>
      </w:r>
      <w:r w:rsidRPr="00533E56">
        <w:t>.</w:t>
      </w:r>
    </w:p>
    <w:p w14:paraId="01669BE3" w14:textId="01FEAD71" w:rsidR="00AB359E" w:rsidRPr="005970E9" w:rsidRDefault="0049052D" w:rsidP="00533E56">
      <w:pPr>
        <w:pStyle w:val="Caption"/>
        <w:rPr>
          <w:rFonts w:ascii="Century Schoolbook" w:hAnsi="Century Schoolbook"/>
          <w:sz w:val="20"/>
          <w:szCs w:val="20"/>
        </w:rPr>
      </w:pPr>
      <w:bookmarkStart w:id="172" w:name="_Toc42549170"/>
      <w:r w:rsidRPr="005970E9">
        <w:rPr>
          <w:rFonts w:ascii="Century Schoolbook" w:hAnsi="Century Schoolbook"/>
          <w:i w:val="0"/>
          <w:iCs w:val="0"/>
        </w:rPr>
        <w:lastRenderedPageBreak/>
        <w:t xml:space="preserve">Cuadro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Cuadro \* ARABIC </w:instrText>
      </w:r>
      <w:r w:rsidRPr="005970E9">
        <w:rPr>
          <w:rFonts w:ascii="Century Schoolbook" w:hAnsi="Century Schoolbook"/>
          <w:i w:val="0"/>
          <w:iCs w:val="0"/>
        </w:rPr>
        <w:fldChar w:fldCharType="separate"/>
      </w:r>
      <w:r w:rsidR="00C5422E" w:rsidRPr="005970E9">
        <w:rPr>
          <w:rFonts w:ascii="Century Schoolbook" w:hAnsi="Century Schoolbook"/>
          <w:i w:val="0"/>
          <w:iCs w:val="0"/>
          <w:noProof/>
        </w:rPr>
        <w:t>4</w:t>
      </w:r>
      <w:r w:rsidRPr="005970E9">
        <w:rPr>
          <w:rFonts w:ascii="Century Schoolbook" w:hAnsi="Century Schoolbook"/>
          <w:i w:val="0"/>
          <w:iCs w:val="0"/>
        </w:rPr>
        <w:fldChar w:fldCharType="end"/>
      </w:r>
      <w:r w:rsidR="008031E2" w:rsidRPr="005970E9">
        <w:rPr>
          <w:rFonts w:ascii="Century Schoolbook" w:hAnsi="Century Schoolbook"/>
          <w:i w:val="0"/>
          <w:iCs w:val="0"/>
          <w:sz w:val="20"/>
          <w:szCs w:val="20"/>
        </w:rPr>
        <w:t>.</w:t>
      </w:r>
      <w:r w:rsidR="008031E2" w:rsidRPr="005970E9">
        <w:rPr>
          <w:rFonts w:ascii="Century Schoolbook" w:hAnsi="Century Schoolbook"/>
          <w:sz w:val="20"/>
          <w:szCs w:val="20"/>
        </w:rPr>
        <w:t xml:space="preserve"> </w:t>
      </w:r>
      <w:r w:rsidR="008031E2" w:rsidRPr="005970E9">
        <w:rPr>
          <w:rFonts w:ascii="Century Schoolbook" w:hAnsi="Century Schoolbook"/>
          <w:i w:val="0"/>
          <w:iCs w:val="0"/>
          <w:sz w:val="20"/>
          <w:szCs w:val="20"/>
        </w:rPr>
        <w:t>COBERTURA DE INSTALACIONES EDUCATIVAS</w:t>
      </w:r>
      <w:r w:rsidR="00EF29CA" w:rsidRPr="005970E9">
        <w:rPr>
          <w:rFonts w:ascii="Century Schoolbook" w:hAnsi="Century Schoolbook"/>
          <w:i w:val="0"/>
          <w:iCs w:val="0"/>
          <w:sz w:val="20"/>
          <w:szCs w:val="20"/>
        </w:rPr>
        <w:t>,</w:t>
      </w:r>
      <w:r w:rsidR="008031E2" w:rsidRPr="005970E9">
        <w:rPr>
          <w:rFonts w:ascii="Century Schoolbook" w:hAnsi="Century Schoolbook"/>
          <w:i w:val="0"/>
          <w:iCs w:val="0"/>
          <w:sz w:val="20"/>
          <w:szCs w:val="20"/>
        </w:rPr>
        <w:t xml:space="preserve"> REPUBLICA DE PANAMÁ, POR PROVINCIAS Y SEGÚN TIPO DE DEPENDENCIA. AÑO LECTIVO 2019-2020</w:t>
      </w:r>
      <w:bookmarkEnd w:id="172"/>
    </w:p>
    <w:tbl>
      <w:tblPr>
        <w:tblW w:w="9356" w:type="dxa"/>
        <w:tblLayout w:type="fixed"/>
        <w:tblCellMar>
          <w:left w:w="70" w:type="dxa"/>
          <w:right w:w="70" w:type="dxa"/>
        </w:tblCellMar>
        <w:tblLook w:val="04A0" w:firstRow="1" w:lastRow="0" w:firstColumn="1" w:lastColumn="0" w:noHBand="0" w:noVBand="1"/>
      </w:tblPr>
      <w:tblGrid>
        <w:gridCol w:w="1560"/>
        <w:gridCol w:w="1134"/>
        <w:gridCol w:w="992"/>
        <w:gridCol w:w="992"/>
        <w:gridCol w:w="1017"/>
        <w:gridCol w:w="826"/>
        <w:gridCol w:w="1387"/>
        <w:gridCol w:w="739"/>
        <w:gridCol w:w="709"/>
      </w:tblGrid>
      <w:tr w:rsidR="00AB359E" w:rsidRPr="005970E9" w14:paraId="41779397" w14:textId="77777777" w:rsidTr="00471873">
        <w:trPr>
          <w:trHeight w:val="636"/>
        </w:trPr>
        <w:tc>
          <w:tcPr>
            <w:tcW w:w="1560" w:type="dxa"/>
            <w:vMerge w:val="restart"/>
            <w:tcBorders>
              <w:top w:val="single" w:sz="4" w:space="0" w:color="auto"/>
              <w:left w:val="nil"/>
              <w:bottom w:val="single" w:sz="4" w:space="0" w:color="000000"/>
              <w:right w:val="single" w:sz="4" w:space="0" w:color="auto"/>
            </w:tcBorders>
            <w:shd w:val="clear" w:color="auto" w:fill="B2A1C7" w:themeFill="accent4" w:themeFillTint="99"/>
            <w:vAlign w:val="center"/>
            <w:hideMark/>
          </w:tcPr>
          <w:p w14:paraId="58771267" w14:textId="77777777" w:rsidR="00AB359E" w:rsidRPr="005970E9" w:rsidRDefault="00AB359E" w:rsidP="00AB359E">
            <w:pPr>
              <w:jc w:val="center"/>
              <w:rPr>
                <w:rFonts w:eastAsia="Times New Roman" w:cs="Arial"/>
                <w:b/>
                <w:bCs/>
                <w:sz w:val="20"/>
                <w:szCs w:val="20"/>
              </w:rPr>
            </w:pPr>
            <w:r w:rsidRPr="005970E9">
              <w:rPr>
                <w:rFonts w:eastAsia="Times New Roman" w:cs="Arial"/>
                <w:b/>
                <w:bCs/>
                <w:sz w:val="20"/>
                <w:szCs w:val="20"/>
              </w:rPr>
              <w:t>Provincia o Comarca</w:t>
            </w:r>
          </w:p>
        </w:tc>
        <w:tc>
          <w:tcPr>
            <w:tcW w:w="3118" w:type="dxa"/>
            <w:gridSpan w:val="3"/>
            <w:tcBorders>
              <w:top w:val="single" w:sz="4" w:space="0" w:color="auto"/>
              <w:left w:val="nil"/>
              <w:bottom w:val="single" w:sz="4" w:space="0" w:color="auto"/>
              <w:right w:val="single" w:sz="4" w:space="0" w:color="000000"/>
            </w:tcBorders>
            <w:shd w:val="clear" w:color="auto" w:fill="B2A1C7" w:themeFill="accent4" w:themeFillTint="99"/>
            <w:vAlign w:val="center"/>
            <w:hideMark/>
          </w:tcPr>
          <w:p w14:paraId="6B09E96F" w14:textId="77777777" w:rsidR="00AB359E" w:rsidRPr="005970E9" w:rsidRDefault="00AB359E" w:rsidP="00AB359E">
            <w:pPr>
              <w:jc w:val="center"/>
              <w:rPr>
                <w:rFonts w:eastAsia="Times New Roman" w:cs="Arial"/>
                <w:b/>
                <w:bCs/>
                <w:sz w:val="20"/>
                <w:szCs w:val="20"/>
              </w:rPr>
            </w:pPr>
            <w:r w:rsidRPr="005970E9">
              <w:rPr>
                <w:rFonts w:eastAsia="Times New Roman" w:cs="Arial"/>
                <w:b/>
                <w:bCs/>
                <w:sz w:val="20"/>
                <w:szCs w:val="20"/>
              </w:rPr>
              <w:t>Matricula (*)</w:t>
            </w:r>
          </w:p>
        </w:tc>
        <w:tc>
          <w:tcPr>
            <w:tcW w:w="1843" w:type="dxa"/>
            <w:gridSpan w:val="2"/>
            <w:tcBorders>
              <w:top w:val="single" w:sz="4" w:space="0" w:color="auto"/>
              <w:left w:val="nil"/>
              <w:bottom w:val="single" w:sz="4" w:space="0" w:color="auto"/>
              <w:right w:val="single" w:sz="4" w:space="0" w:color="000000"/>
            </w:tcBorders>
            <w:shd w:val="clear" w:color="auto" w:fill="B2A1C7" w:themeFill="accent4" w:themeFillTint="99"/>
            <w:noWrap/>
            <w:vAlign w:val="center"/>
            <w:hideMark/>
          </w:tcPr>
          <w:p w14:paraId="764D41D4" w14:textId="77777777" w:rsidR="00AB359E" w:rsidRPr="005970E9" w:rsidRDefault="00AB359E" w:rsidP="00AB359E">
            <w:pPr>
              <w:jc w:val="center"/>
              <w:rPr>
                <w:rFonts w:eastAsia="Times New Roman" w:cs="Arial"/>
                <w:b/>
                <w:bCs/>
                <w:color w:val="000000"/>
                <w:sz w:val="20"/>
                <w:szCs w:val="20"/>
              </w:rPr>
            </w:pPr>
            <w:r w:rsidRPr="005970E9">
              <w:rPr>
                <w:rFonts w:eastAsia="Times New Roman" w:cs="Arial"/>
                <w:b/>
                <w:bCs/>
                <w:color w:val="000000"/>
                <w:sz w:val="20"/>
                <w:szCs w:val="20"/>
              </w:rPr>
              <w:t>Tipo de Dependencia</w:t>
            </w:r>
          </w:p>
        </w:tc>
        <w:tc>
          <w:tcPr>
            <w:tcW w:w="1387" w:type="dxa"/>
            <w:vMerge w:val="restart"/>
            <w:tcBorders>
              <w:top w:val="single" w:sz="4" w:space="0" w:color="auto"/>
              <w:left w:val="nil"/>
              <w:right w:val="nil"/>
            </w:tcBorders>
            <w:shd w:val="clear" w:color="auto" w:fill="B2A1C7" w:themeFill="accent4" w:themeFillTint="99"/>
            <w:noWrap/>
            <w:vAlign w:val="center"/>
            <w:hideMark/>
          </w:tcPr>
          <w:p w14:paraId="0C0C1353" w14:textId="77777777" w:rsidR="00AB359E" w:rsidRPr="005970E9" w:rsidRDefault="00AB359E" w:rsidP="00AB359E">
            <w:pPr>
              <w:jc w:val="center"/>
              <w:rPr>
                <w:rFonts w:eastAsia="Times New Roman" w:cs="Arial"/>
                <w:b/>
                <w:bCs/>
                <w:color w:val="000000"/>
                <w:sz w:val="18"/>
                <w:szCs w:val="18"/>
              </w:rPr>
            </w:pPr>
            <w:r w:rsidRPr="005970E9">
              <w:rPr>
                <w:rFonts w:eastAsia="Times New Roman" w:cs="Arial"/>
                <w:b/>
                <w:bCs/>
                <w:color w:val="000000"/>
                <w:sz w:val="18"/>
                <w:szCs w:val="18"/>
              </w:rPr>
              <w:t>Total</w:t>
            </w:r>
          </w:p>
          <w:p w14:paraId="0CE3619F" w14:textId="464E1C3C" w:rsidR="00AB359E" w:rsidRPr="005970E9" w:rsidRDefault="00AB359E" w:rsidP="00AB359E">
            <w:pPr>
              <w:jc w:val="center"/>
              <w:rPr>
                <w:rFonts w:eastAsia="Times New Roman" w:cs="Arial"/>
                <w:b/>
                <w:bCs/>
                <w:color w:val="000000"/>
                <w:sz w:val="20"/>
                <w:szCs w:val="20"/>
              </w:rPr>
            </w:pPr>
            <w:r w:rsidRPr="005970E9">
              <w:rPr>
                <w:rFonts w:eastAsia="Times New Roman" w:cs="Arial"/>
                <w:b/>
                <w:bCs/>
                <w:color w:val="000000"/>
                <w:sz w:val="18"/>
                <w:szCs w:val="18"/>
              </w:rPr>
              <w:t>Instalaciones Educativas</w:t>
            </w:r>
          </w:p>
        </w:tc>
        <w:tc>
          <w:tcPr>
            <w:tcW w:w="1448" w:type="dxa"/>
            <w:gridSpan w:val="2"/>
            <w:tcBorders>
              <w:top w:val="single" w:sz="4" w:space="0" w:color="auto"/>
              <w:left w:val="single" w:sz="4" w:space="0" w:color="auto"/>
              <w:bottom w:val="single" w:sz="4" w:space="0" w:color="auto"/>
              <w:right w:val="nil"/>
            </w:tcBorders>
            <w:shd w:val="clear" w:color="auto" w:fill="B2A1C7" w:themeFill="accent4" w:themeFillTint="99"/>
            <w:vAlign w:val="center"/>
            <w:hideMark/>
          </w:tcPr>
          <w:p w14:paraId="0A24D121" w14:textId="77777777" w:rsidR="00AB359E" w:rsidRPr="005970E9" w:rsidRDefault="00AB359E" w:rsidP="00AB359E">
            <w:pPr>
              <w:jc w:val="center"/>
              <w:rPr>
                <w:rFonts w:eastAsia="Times New Roman" w:cs="Arial"/>
                <w:b/>
                <w:bCs/>
                <w:color w:val="000000"/>
                <w:sz w:val="20"/>
                <w:szCs w:val="20"/>
              </w:rPr>
            </w:pPr>
            <w:r w:rsidRPr="005970E9">
              <w:rPr>
                <w:rFonts w:eastAsia="Times New Roman" w:cs="Arial"/>
                <w:b/>
                <w:bCs/>
                <w:color w:val="000000"/>
                <w:sz w:val="20"/>
                <w:szCs w:val="20"/>
              </w:rPr>
              <w:t>Promedio de matrícula por instalación educativa</w:t>
            </w:r>
          </w:p>
        </w:tc>
      </w:tr>
      <w:tr w:rsidR="00AB359E" w:rsidRPr="005970E9" w14:paraId="0A5F89BE" w14:textId="77777777" w:rsidTr="00471873">
        <w:trPr>
          <w:trHeight w:val="480"/>
        </w:trPr>
        <w:tc>
          <w:tcPr>
            <w:tcW w:w="1560" w:type="dxa"/>
            <w:vMerge/>
            <w:tcBorders>
              <w:top w:val="single" w:sz="4" w:space="0" w:color="auto"/>
              <w:left w:val="nil"/>
              <w:bottom w:val="single" w:sz="4" w:space="0" w:color="000000"/>
              <w:right w:val="single" w:sz="4" w:space="0" w:color="auto"/>
            </w:tcBorders>
            <w:shd w:val="clear" w:color="auto" w:fill="B2A1C7" w:themeFill="accent4" w:themeFillTint="99"/>
            <w:vAlign w:val="center"/>
            <w:hideMark/>
          </w:tcPr>
          <w:p w14:paraId="2365CEF7" w14:textId="77777777" w:rsidR="00AB359E" w:rsidRPr="005970E9" w:rsidRDefault="00AB359E" w:rsidP="00AB359E">
            <w:pPr>
              <w:rPr>
                <w:rFonts w:eastAsia="Times New Roman" w:cs="Arial"/>
                <w:b/>
                <w:bCs/>
                <w:sz w:val="20"/>
                <w:szCs w:val="20"/>
              </w:rPr>
            </w:pPr>
          </w:p>
        </w:tc>
        <w:tc>
          <w:tcPr>
            <w:tcW w:w="1134" w:type="dxa"/>
            <w:tcBorders>
              <w:top w:val="nil"/>
              <w:left w:val="nil"/>
              <w:bottom w:val="single" w:sz="4" w:space="0" w:color="auto"/>
              <w:right w:val="single" w:sz="4" w:space="0" w:color="auto"/>
            </w:tcBorders>
            <w:shd w:val="clear" w:color="auto" w:fill="B2A1C7" w:themeFill="accent4" w:themeFillTint="99"/>
            <w:vAlign w:val="center"/>
            <w:hideMark/>
          </w:tcPr>
          <w:p w14:paraId="13C19BAC" w14:textId="77777777" w:rsidR="00AB359E" w:rsidRPr="005970E9" w:rsidRDefault="00AB359E" w:rsidP="00AB359E">
            <w:pPr>
              <w:rPr>
                <w:rFonts w:eastAsia="Times New Roman" w:cs="Arial"/>
                <w:b/>
                <w:bCs/>
                <w:sz w:val="20"/>
                <w:szCs w:val="20"/>
              </w:rPr>
            </w:pPr>
            <w:r w:rsidRPr="005970E9">
              <w:rPr>
                <w:rFonts w:eastAsia="Times New Roman" w:cs="Arial"/>
                <w:b/>
                <w:bCs/>
                <w:sz w:val="20"/>
                <w:szCs w:val="20"/>
              </w:rPr>
              <w:t>Total</w:t>
            </w:r>
          </w:p>
        </w:tc>
        <w:tc>
          <w:tcPr>
            <w:tcW w:w="992" w:type="dxa"/>
            <w:tcBorders>
              <w:top w:val="nil"/>
              <w:left w:val="nil"/>
              <w:bottom w:val="single" w:sz="4" w:space="0" w:color="auto"/>
              <w:right w:val="single" w:sz="4" w:space="0" w:color="auto"/>
            </w:tcBorders>
            <w:shd w:val="clear" w:color="auto" w:fill="B2A1C7" w:themeFill="accent4" w:themeFillTint="99"/>
            <w:vAlign w:val="center"/>
            <w:hideMark/>
          </w:tcPr>
          <w:p w14:paraId="057DC2F8" w14:textId="77777777" w:rsidR="00AB359E" w:rsidRPr="005970E9" w:rsidRDefault="00AB359E" w:rsidP="00AB359E">
            <w:pPr>
              <w:jc w:val="center"/>
              <w:rPr>
                <w:rFonts w:eastAsia="Times New Roman" w:cs="Arial"/>
                <w:b/>
                <w:bCs/>
                <w:sz w:val="20"/>
                <w:szCs w:val="20"/>
              </w:rPr>
            </w:pPr>
            <w:r w:rsidRPr="005970E9">
              <w:rPr>
                <w:rFonts w:eastAsia="Times New Roman" w:cs="Arial"/>
                <w:b/>
                <w:bCs/>
                <w:sz w:val="20"/>
                <w:szCs w:val="20"/>
              </w:rPr>
              <w:t>Hombre</w:t>
            </w:r>
          </w:p>
        </w:tc>
        <w:tc>
          <w:tcPr>
            <w:tcW w:w="992" w:type="dxa"/>
            <w:tcBorders>
              <w:top w:val="nil"/>
              <w:left w:val="nil"/>
              <w:bottom w:val="single" w:sz="4" w:space="0" w:color="auto"/>
              <w:right w:val="single" w:sz="4" w:space="0" w:color="auto"/>
            </w:tcBorders>
            <w:shd w:val="clear" w:color="auto" w:fill="B2A1C7" w:themeFill="accent4" w:themeFillTint="99"/>
            <w:vAlign w:val="center"/>
            <w:hideMark/>
          </w:tcPr>
          <w:p w14:paraId="44AD6163" w14:textId="77777777" w:rsidR="00AB359E" w:rsidRPr="005970E9" w:rsidRDefault="00AB359E" w:rsidP="00AB359E">
            <w:pPr>
              <w:jc w:val="center"/>
              <w:rPr>
                <w:rFonts w:eastAsia="Times New Roman" w:cs="Arial"/>
                <w:b/>
                <w:bCs/>
                <w:sz w:val="20"/>
                <w:szCs w:val="20"/>
              </w:rPr>
            </w:pPr>
            <w:r w:rsidRPr="005970E9">
              <w:rPr>
                <w:rFonts w:eastAsia="Times New Roman" w:cs="Arial"/>
                <w:b/>
                <w:bCs/>
                <w:sz w:val="20"/>
                <w:szCs w:val="20"/>
              </w:rPr>
              <w:t>Mujer</w:t>
            </w:r>
          </w:p>
        </w:tc>
        <w:tc>
          <w:tcPr>
            <w:tcW w:w="1017" w:type="dxa"/>
            <w:tcBorders>
              <w:top w:val="nil"/>
              <w:left w:val="nil"/>
              <w:bottom w:val="single" w:sz="4" w:space="0" w:color="auto"/>
              <w:right w:val="single" w:sz="4" w:space="0" w:color="auto"/>
            </w:tcBorders>
            <w:shd w:val="clear" w:color="auto" w:fill="B2A1C7" w:themeFill="accent4" w:themeFillTint="99"/>
            <w:noWrap/>
            <w:vAlign w:val="center"/>
            <w:hideMark/>
          </w:tcPr>
          <w:p w14:paraId="4A7DDCC5" w14:textId="77777777" w:rsidR="00AB359E" w:rsidRPr="005970E9" w:rsidRDefault="00AB359E" w:rsidP="00AB359E">
            <w:pPr>
              <w:jc w:val="center"/>
              <w:rPr>
                <w:rFonts w:eastAsia="Times New Roman" w:cs="Arial"/>
                <w:b/>
                <w:bCs/>
                <w:color w:val="000000"/>
                <w:sz w:val="20"/>
                <w:szCs w:val="20"/>
              </w:rPr>
            </w:pPr>
            <w:r w:rsidRPr="005970E9">
              <w:rPr>
                <w:rFonts w:eastAsia="Times New Roman" w:cs="Arial"/>
                <w:b/>
                <w:bCs/>
                <w:color w:val="000000"/>
                <w:sz w:val="20"/>
                <w:szCs w:val="20"/>
              </w:rPr>
              <w:t>Oficial</w:t>
            </w:r>
          </w:p>
        </w:tc>
        <w:tc>
          <w:tcPr>
            <w:tcW w:w="826" w:type="dxa"/>
            <w:tcBorders>
              <w:top w:val="nil"/>
              <w:left w:val="nil"/>
              <w:bottom w:val="single" w:sz="4" w:space="0" w:color="auto"/>
              <w:right w:val="single" w:sz="4" w:space="0" w:color="auto"/>
            </w:tcBorders>
            <w:shd w:val="clear" w:color="auto" w:fill="B2A1C7" w:themeFill="accent4" w:themeFillTint="99"/>
            <w:noWrap/>
            <w:vAlign w:val="center"/>
            <w:hideMark/>
          </w:tcPr>
          <w:p w14:paraId="598B482F" w14:textId="27088BE3" w:rsidR="00AB359E" w:rsidRPr="005970E9" w:rsidRDefault="00AB359E" w:rsidP="00AB359E">
            <w:pPr>
              <w:jc w:val="center"/>
              <w:rPr>
                <w:rFonts w:eastAsia="Times New Roman" w:cs="Arial"/>
                <w:b/>
                <w:bCs/>
                <w:color w:val="000000"/>
                <w:sz w:val="20"/>
                <w:szCs w:val="20"/>
              </w:rPr>
            </w:pPr>
            <w:r w:rsidRPr="005970E9">
              <w:rPr>
                <w:rFonts w:eastAsia="Times New Roman" w:cs="Arial"/>
                <w:b/>
                <w:bCs/>
                <w:color w:val="000000"/>
                <w:sz w:val="20"/>
                <w:szCs w:val="20"/>
              </w:rPr>
              <w:t>Parti-cular</w:t>
            </w:r>
          </w:p>
        </w:tc>
        <w:tc>
          <w:tcPr>
            <w:tcW w:w="1387" w:type="dxa"/>
            <w:vMerge/>
            <w:tcBorders>
              <w:left w:val="nil"/>
              <w:bottom w:val="single" w:sz="4" w:space="0" w:color="auto"/>
              <w:right w:val="nil"/>
            </w:tcBorders>
            <w:shd w:val="clear" w:color="auto" w:fill="B2A1C7" w:themeFill="accent4" w:themeFillTint="99"/>
            <w:vAlign w:val="center"/>
            <w:hideMark/>
          </w:tcPr>
          <w:p w14:paraId="4F5D0C03" w14:textId="1F57F2D8" w:rsidR="00AB359E" w:rsidRPr="005970E9" w:rsidRDefault="00AB359E" w:rsidP="00AB359E">
            <w:pPr>
              <w:jc w:val="center"/>
              <w:rPr>
                <w:rFonts w:eastAsia="Times New Roman" w:cs="Arial"/>
                <w:b/>
                <w:bCs/>
                <w:color w:val="000000"/>
                <w:sz w:val="20"/>
                <w:szCs w:val="20"/>
              </w:rPr>
            </w:pPr>
          </w:p>
        </w:tc>
        <w:tc>
          <w:tcPr>
            <w:tcW w:w="739"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3FA2C03B" w14:textId="77777777" w:rsidR="00AB359E" w:rsidRPr="005970E9" w:rsidRDefault="00AB359E" w:rsidP="00AB359E">
            <w:pPr>
              <w:jc w:val="center"/>
              <w:rPr>
                <w:rFonts w:eastAsia="Times New Roman" w:cs="Arial"/>
                <w:b/>
                <w:bCs/>
                <w:sz w:val="20"/>
                <w:szCs w:val="20"/>
              </w:rPr>
            </w:pPr>
            <w:r w:rsidRPr="005970E9">
              <w:rPr>
                <w:rFonts w:eastAsia="Times New Roman" w:cs="Arial"/>
                <w:b/>
                <w:bCs/>
                <w:sz w:val="20"/>
                <w:szCs w:val="20"/>
              </w:rPr>
              <w:t>Hombre</w:t>
            </w:r>
          </w:p>
        </w:tc>
        <w:tc>
          <w:tcPr>
            <w:tcW w:w="709" w:type="dxa"/>
            <w:tcBorders>
              <w:top w:val="nil"/>
              <w:left w:val="nil"/>
              <w:bottom w:val="single" w:sz="4" w:space="0" w:color="auto"/>
              <w:right w:val="nil"/>
            </w:tcBorders>
            <w:shd w:val="clear" w:color="auto" w:fill="B2A1C7" w:themeFill="accent4" w:themeFillTint="99"/>
            <w:vAlign w:val="center"/>
            <w:hideMark/>
          </w:tcPr>
          <w:p w14:paraId="61B57BE9" w14:textId="77777777" w:rsidR="00AB359E" w:rsidRPr="005970E9" w:rsidRDefault="00AB359E" w:rsidP="00AB359E">
            <w:pPr>
              <w:jc w:val="center"/>
              <w:rPr>
                <w:rFonts w:eastAsia="Times New Roman" w:cs="Arial"/>
                <w:b/>
                <w:bCs/>
                <w:sz w:val="20"/>
                <w:szCs w:val="20"/>
              </w:rPr>
            </w:pPr>
            <w:r w:rsidRPr="005970E9">
              <w:rPr>
                <w:rFonts w:eastAsia="Times New Roman" w:cs="Arial"/>
                <w:b/>
                <w:bCs/>
                <w:sz w:val="20"/>
                <w:szCs w:val="20"/>
              </w:rPr>
              <w:t>Mujer</w:t>
            </w:r>
          </w:p>
        </w:tc>
      </w:tr>
      <w:tr w:rsidR="00AB359E" w:rsidRPr="005970E9" w14:paraId="32B679F3" w14:textId="77777777" w:rsidTr="00316296">
        <w:trPr>
          <w:trHeight w:val="360"/>
        </w:trPr>
        <w:tc>
          <w:tcPr>
            <w:tcW w:w="1560" w:type="dxa"/>
            <w:tcBorders>
              <w:top w:val="nil"/>
              <w:left w:val="nil"/>
              <w:bottom w:val="single" w:sz="4" w:space="0" w:color="auto"/>
              <w:right w:val="single" w:sz="4" w:space="0" w:color="auto"/>
            </w:tcBorders>
            <w:shd w:val="clear" w:color="000000" w:fill="FFFFFF"/>
            <w:vAlign w:val="center"/>
            <w:hideMark/>
          </w:tcPr>
          <w:p w14:paraId="0E33E750" w14:textId="77777777" w:rsidR="00AB359E" w:rsidRPr="005970E9" w:rsidRDefault="00AB359E" w:rsidP="00AB359E">
            <w:pPr>
              <w:rPr>
                <w:rFonts w:eastAsia="Times New Roman" w:cs="Arial"/>
                <w:sz w:val="20"/>
                <w:szCs w:val="20"/>
              </w:rPr>
            </w:pPr>
            <w:r w:rsidRPr="005970E9">
              <w:rPr>
                <w:rFonts w:eastAsia="Times New Roman" w:cs="Arial"/>
                <w:sz w:val="20"/>
                <w:szCs w:val="20"/>
              </w:rPr>
              <w:t>BOCAS DEL TORO</w:t>
            </w:r>
          </w:p>
        </w:tc>
        <w:tc>
          <w:tcPr>
            <w:tcW w:w="1134" w:type="dxa"/>
            <w:tcBorders>
              <w:top w:val="nil"/>
              <w:left w:val="nil"/>
              <w:bottom w:val="single" w:sz="4" w:space="0" w:color="auto"/>
              <w:right w:val="single" w:sz="4" w:space="0" w:color="auto"/>
            </w:tcBorders>
            <w:shd w:val="clear" w:color="auto" w:fill="auto"/>
            <w:noWrap/>
            <w:vAlign w:val="center"/>
            <w:hideMark/>
          </w:tcPr>
          <w:p w14:paraId="783D9EC2" w14:textId="4443A18B"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 xml:space="preserve"> 39,509 </w:t>
            </w:r>
          </w:p>
        </w:tc>
        <w:tc>
          <w:tcPr>
            <w:tcW w:w="992" w:type="dxa"/>
            <w:tcBorders>
              <w:top w:val="nil"/>
              <w:left w:val="nil"/>
              <w:bottom w:val="single" w:sz="4" w:space="0" w:color="auto"/>
              <w:right w:val="single" w:sz="4" w:space="0" w:color="auto"/>
            </w:tcBorders>
            <w:shd w:val="clear" w:color="auto" w:fill="auto"/>
            <w:noWrap/>
            <w:vAlign w:val="center"/>
            <w:hideMark/>
          </w:tcPr>
          <w:p w14:paraId="6F00693E"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20107</w:t>
            </w:r>
          </w:p>
        </w:tc>
        <w:tc>
          <w:tcPr>
            <w:tcW w:w="992" w:type="dxa"/>
            <w:tcBorders>
              <w:top w:val="nil"/>
              <w:left w:val="nil"/>
              <w:bottom w:val="single" w:sz="4" w:space="0" w:color="auto"/>
              <w:right w:val="single" w:sz="4" w:space="0" w:color="auto"/>
            </w:tcBorders>
            <w:shd w:val="clear" w:color="auto" w:fill="auto"/>
            <w:noWrap/>
            <w:vAlign w:val="center"/>
            <w:hideMark/>
          </w:tcPr>
          <w:p w14:paraId="7DD25798"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19452</w:t>
            </w:r>
          </w:p>
        </w:tc>
        <w:tc>
          <w:tcPr>
            <w:tcW w:w="1017" w:type="dxa"/>
            <w:tcBorders>
              <w:top w:val="nil"/>
              <w:left w:val="nil"/>
              <w:bottom w:val="single" w:sz="4" w:space="0" w:color="auto"/>
              <w:right w:val="single" w:sz="4" w:space="0" w:color="auto"/>
            </w:tcBorders>
            <w:shd w:val="clear" w:color="auto" w:fill="auto"/>
            <w:noWrap/>
            <w:vAlign w:val="center"/>
            <w:hideMark/>
          </w:tcPr>
          <w:p w14:paraId="09776DF7"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232</w:t>
            </w:r>
          </w:p>
        </w:tc>
        <w:tc>
          <w:tcPr>
            <w:tcW w:w="826" w:type="dxa"/>
            <w:tcBorders>
              <w:top w:val="nil"/>
              <w:left w:val="nil"/>
              <w:bottom w:val="single" w:sz="4" w:space="0" w:color="auto"/>
              <w:right w:val="single" w:sz="4" w:space="0" w:color="auto"/>
            </w:tcBorders>
            <w:shd w:val="clear" w:color="auto" w:fill="auto"/>
            <w:noWrap/>
            <w:vAlign w:val="center"/>
            <w:hideMark/>
          </w:tcPr>
          <w:p w14:paraId="45C24711"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18</w:t>
            </w:r>
          </w:p>
        </w:tc>
        <w:tc>
          <w:tcPr>
            <w:tcW w:w="1387" w:type="dxa"/>
            <w:tcBorders>
              <w:top w:val="nil"/>
              <w:left w:val="nil"/>
              <w:bottom w:val="single" w:sz="4" w:space="0" w:color="auto"/>
              <w:right w:val="nil"/>
            </w:tcBorders>
            <w:shd w:val="clear" w:color="auto" w:fill="auto"/>
            <w:noWrap/>
            <w:vAlign w:val="center"/>
            <w:hideMark/>
          </w:tcPr>
          <w:p w14:paraId="492D22B4"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250</w:t>
            </w:r>
          </w:p>
        </w:tc>
        <w:tc>
          <w:tcPr>
            <w:tcW w:w="739" w:type="dxa"/>
            <w:tcBorders>
              <w:top w:val="nil"/>
              <w:left w:val="single" w:sz="4" w:space="0" w:color="auto"/>
              <w:bottom w:val="single" w:sz="4" w:space="0" w:color="auto"/>
              <w:right w:val="nil"/>
            </w:tcBorders>
            <w:shd w:val="clear" w:color="auto" w:fill="auto"/>
            <w:noWrap/>
            <w:vAlign w:val="center"/>
            <w:hideMark/>
          </w:tcPr>
          <w:p w14:paraId="639930D3"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80</w:t>
            </w:r>
          </w:p>
        </w:tc>
        <w:tc>
          <w:tcPr>
            <w:tcW w:w="709" w:type="dxa"/>
            <w:tcBorders>
              <w:top w:val="nil"/>
              <w:left w:val="single" w:sz="4" w:space="0" w:color="auto"/>
              <w:bottom w:val="single" w:sz="4" w:space="0" w:color="auto"/>
              <w:right w:val="nil"/>
            </w:tcBorders>
            <w:shd w:val="clear" w:color="auto" w:fill="auto"/>
            <w:noWrap/>
            <w:vAlign w:val="center"/>
            <w:hideMark/>
          </w:tcPr>
          <w:p w14:paraId="06F2FBE7"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78</w:t>
            </w:r>
          </w:p>
        </w:tc>
      </w:tr>
      <w:tr w:rsidR="00AB359E" w:rsidRPr="005970E9" w14:paraId="2C67FCC1" w14:textId="77777777" w:rsidTr="00316296">
        <w:trPr>
          <w:trHeight w:val="276"/>
        </w:trPr>
        <w:tc>
          <w:tcPr>
            <w:tcW w:w="1560" w:type="dxa"/>
            <w:tcBorders>
              <w:top w:val="nil"/>
              <w:left w:val="nil"/>
              <w:bottom w:val="single" w:sz="4" w:space="0" w:color="auto"/>
              <w:right w:val="single" w:sz="4" w:space="0" w:color="auto"/>
            </w:tcBorders>
            <w:shd w:val="clear" w:color="000000" w:fill="FFFFFF"/>
            <w:vAlign w:val="center"/>
            <w:hideMark/>
          </w:tcPr>
          <w:p w14:paraId="1D713F7D" w14:textId="77777777" w:rsidR="00AB359E" w:rsidRPr="005970E9" w:rsidRDefault="00AB359E" w:rsidP="00AB359E">
            <w:pPr>
              <w:rPr>
                <w:rFonts w:eastAsia="Times New Roman" w:cs="Arial"/>
                <w:sz w:val="20"/>
                <w:szCs w:val="20"/>
              </w:rPr>
            </w:pPr>
            <w:r w:rsidRPr="005970E9">
              <w:rPr>
                <w:rFonts w:eastAsia="Times New Roman" w:cs="Arial"/>
                <w:sz w:val="20"/>
                <w:szCs w:val="20"/>
              </w:rPr>
              <w:t>CHIRIQUÍ</w:t>
            </w:r>
          </w:p>
        </w:tc>
        <w:tc>
          <w:tcPr>
            <w:tcW w:w="1134" w:type="dxa"/>
            <w:tcBorders>
              <w:top w:val="nil"/>
              <w:left w:val="nil"/>
              <w:bottom w:val="single" w:sz="4" w:space="0" w:color="auto"/>
              <w:right w:val="single" w:sz="4" w:space="0" w:color="auto"/>
            </w:tcBorders>
            <w:shd w:val="clear" w:color="auto" w:fill="auto"/>
            <w:noWrap/>
            <w:vAlign w:val="center"/>
            <w:hideMark/>
          </w:tcPr>
          <w:p w14:paraId="1C9D5A94" w14:textId="71992C3B"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 xml:space="preserve"> 84,759 </w:t>
            </w:r>
          </w:p>
        </w:tc>
        <w:tc>
          <w:tcPr>
            <w:tcW w:w="992" w:type="dxa"/>
            <w:tcBorders>
              <w:top w:val="nil"/>
              <w:left w:val="nil"/>
              <w:bottom w:val="single" w:sz="4" w:space="0" w:color="auto"/>
              <w:right w:val="single" w:sz="4" w:space="0" w:color="auto"/>
            </w:tcBorders>
            <w:shd w:val="clear" w:color="auto" w:fill="auto"/>
            <w:noWrap/>
            <w:vAlign w:val="center"/>
            <w:hideMark/>
          </w:tcPr>
          <w:p w14:paraId="5BA8B422"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42578</w:t>
            </w:r>
          </w:p>
        </w:tc>
        <w:tc>
          <w:tcPr>
            <w:tcW w:w="992" w:type="dxa"/>
            <w:tcBorders>
              <w:top w:val="nil"/>
              <w:left w:val="nil"/>
              <w:bottom w:val="single" w:sz="4" w:space="0" w:color="auto"/>
              <w:right w:val="single" w:sz="4" w:space="0" w:color="auto"/>
            </w:tcBorders>
            <w:shd w:val="clear" w:color="auto" w:fill="auto"/>
            <w:noWrap/>
            <w:vAlign w:val="center"/>
            <w:hideMark/>
          </w:tcPr>
          <w:p w14:paraId="72136A6B"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42181</w:t>
            </w:r>
          </w:p>
        </w:tc>
        <w:tc>
          <w:tcPr>
            <w:tcW w:w="1017" w:type="dxa"/>
            <w:tcBorders>
              <w:top w:val="nil"/>
              <w:left w:val="nil"/>
              <w:bottom w:val="single" w:sz="4" w:space="0" w:color="auto"/>
              <w:right w:val="single" w:sz="4" w:space="0" w:color="auto"/>
            </w:tcBorders>
            <w:shd w:val="clear" w:color="auto" w:fill="auto"/>
            <w:noWrap/>
            <w:vAlign w:val="center"/>
            <w:hideMark/>
          </w:tcPr>
          <w:p w14:paraId="6DE6848D"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483</w:t>
            </w:r>
          </w:p>
        </w:tc>
        <w:tc>
          <w:tcPr>
            <w:tcW w:w="826" w:type="dxa"/>
            <w:tcBorders>
              <w:top w:val="nil"/>
              <w:left w:val="nil"/>
              <w:bottom w:val="single" w:sz="4" w:space="0" w:color="auto"/>
              <w:right w:val="single" w:sz="4" w:space="0" w:color="auto"/>
            </w:tcBorders>
            <w:shd w:val="clear" w:color="auto" w:fill="auto"/>
            <w:noWrap/>
            <w:vAlign w:val="center"/>
            <w:hideMark/>
          </w:tcPr>
          <w:p w14:paraId="3F7814D3"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71</w:t>
            </w:r>
          </w:p>
        </w:tc>
        <w:tc>
          <w:tcPr>
            <w:tcW w:w="1387" w:type="dxa"/>
            <w:tcBorders>
              <w:top w:val="nil"/>
              <w:left w:val="nil"/>
              <w:bottom w:val="single" w:sz="4" w:space="0" w:color="auto"/>
              <w:right w:val="nil"/>
            </w:tcBorders>
            <w:shd w:val="clear" w:color="auto" w:fill="auto"/>
            <w:noWrap/>
            <w:vAlign w:val="center"/>
            <w:hideMark/>
          </w:tcPr>
          <w:p w14:paraId="7CC3C960"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554</w:t>
            </w:r>
          </w:p>
        </w:tc>
        <w:tc>
          <w:tcPr>
            <w:tcW w:w="739" w:type="dxa"/>
            <w:tcBorders>
              <w:top w:val="nil"/>
              <w:left w:val="single" w:sz="4" w:space="0" w:color="auto"/>
              <w:bottom w:val="single" w:sz="4" w:space="0" w:color="auto"/>
              <w:right w:val="nil"/>
            </w:tcBorders>
            <w:shd w:val="clear" w:color="auto" w:fill="auto"/>
            <w:noWrap/>
            <w:vAlign w:val="center"/>
            <w:hideMark/>
          </w:tcPr>
          <w:p w14:paraId="7E116933"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77</w:t>
            </w:r>
          </w:p>
        </w:tc>
        <w:tc>
          <w:tcPr>
            <w:tcW w:w="709" w:type="dxa"/>
            <w:tcBorders>
              <w:top w:val="nil"/>
              <w:left w:val="single" w:sz="4" w:space="0" w:color="auto"/>
              <w:bottom w:val="single" w:sz="4" w:space="0" w:color="auto"/>
              <w:right w:val="nil"/>
            </w:tcBorders>
            <w:shd w:val="clear" w:color="auto" w:fill="auto"/>
            <w:noWrap/>
            <w:vAlign w:val="center"/>
            <w:hideMark/>
          </w:tcPr>
          <w:p w14:paraId="7CFDB725"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76</w:t>
            </w:r>
          </w:p>
        </w:tc>
      </w:tr>
      <w:tr w:rsidR="00AB359E" w:rsidRPr="005970E9" w14:paraId="2DE3B2C0" w14:textId="77777777" w:rsidTr="00316296">
        <w:trPr>
          <w:trHeight w:val="276"/>
        </w:trPr>
        <w:tc>
          <w:tcPr>
            <w:tcW w:w="1560" w:type="dxa"/>
            <w:tcBorders>
              <w:top w:val="nil"/>
              <w:left w:val="nil"/>
              <w:bottom w:val="single" w:sz="4" w:space="0" w:color="auto"/>
              <w:right w:val="single" w:sz="4" w:space="0" w:color="auto"/>
            </w:tcBorders>
            <w:shd w:val="clear" w:color="000000" w:fill="FFFFFF"/>
            <w:vAlign w:val="center"/>
            <w:hideMark/>
          </w:tcPr>
          <w:p w14:paraId="2C584AC3" w14:textId="77777777" w:rsidR="00AB359E" w:rsidRPr="005970E9" w:rsidRDefault="00AB359E" w:rsidP="00AB359E">
            <w:pPr>
              <w:rPr>
                <w:rFonts w:eastAsia="Times New Roman" w:cs="Arial"/>
                <w:sz w:val="20"/>
                <w:szCs w:val="20"/>
              </w:rPr>
            </w:pPr>
            <w:r w:rsidRPr="005970E9">
              <w:rPr>
                <w:rFonts w:eastAsia="Times New Roman" w:cs="Arial"/>
                <w:sz w:val="20"/>
                <w:szCs w:val="20"/>
              </w:rPr>
              <w:t>COCLÉ</w:t>
            </w:r>
          </w:p>
        </w:tc>
        <w:tc>
          <w:tcPr>
            <w:tcW w:w="1134" w:type="dxa"/>
            <w:tcBorders>
              <w:top w:val="nil"/>
              <w:left w:val="nil"/>
              <w:bottom w:val="single" w:sz="4" w:space="0" w:color="auto"/>
              <w:right w:val="single" w:sz="4" w:space="0" w:color="auto"/>
            </w:tcBorders>
            <w:shd w:val="clear" w:color="auto" w:fill="auto"/>
            <w:noWrap/>
            <w:vAlign w:val="center"/>
            <w:hideMark/>
          </w:tcPr>
          <w:p w14:paraId="5238DBBA" w14:textId="1C42D25D"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 xml:space="preserve">46,432 </w:t>
            </w:r>
          </w:p>
        </w:tc>
        <w:tc>
          <w:tcPr>
            <w:tcW w:w="992" w:type="dxa"/>
            <w:tcBorders>
              <w:top w:val="nil"/>
              <w:left w:val="nil"/>
              <w:bottom w:val="single" w:sz="4" w:space="0" w:color="auto"/>
              <w:right w:val="single" w:sz="4" w:space="0" w:color="auto"/>
            </w:tcBorders>
            <w:shd w:val="clear" w:color="auto" w:fill="auto"/>
            <w:noWrap/>
            <w:vAlign w:val="center"/>
            <w:hideMark/>
          </w:tcPr>
          <w:p w14:paraId="6A5253F2"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23344</w:t>
            </w:r>
          </w:p>
        </w:tc>
        <w:tc>
          <w:tcPr>
            <w:tcW w:w="992" w:type="dxa"/>
            <w:tcBorders>
              <w:top w:val="nil"/>
              <w:left w:val="nil"/>
              <w:bottom w:val="single" w:sz="4" w:space="0" w:color="auto"/>
              <w:right w:val="single" w:sz="4" w:space="0" w:color="auto"/>
            </w:tcBorders>
            <w:shd w:val="clear" w:color="auto" w:fill="auto"/>
            <w:noWrap/>
            <w:vAlign w:val="center"/>
            <w:hideMark/>
          </w:tcPr>
          <w:p w14:paraId="736B61E6"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23088</w:t>
            </w:r>
          </w:p>
        </w:tc>
        <w:tc>
          <w:tcPr>
            <w:tcW w:w="1017" w:type="dxa"/>
            <w:tcBorders>
              <w:top w:val="nil"/>
              <w:left w:val="nil"/>
              <w:bottom w:val="single" w:sz="4" w:space="0" w:color="auto"/>
              <w:right w:val="single" w:sz="4" w:space="0" w:color="auto"/>
            </w:tcBorders>
            <w:shd w:val="clear" w:color="auto" w:fill="auto"/>
            <w:noWrap/>
            <w:vAlign w:val="center"/>
            <w:hideMark/>
          </w:tcPr>
          <w:p w14:paraId="79979F79"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385</w:t>
            </w:r>
          </w:p>
        </w:tc>
        <w:tc>
          <w:tcPr>
            <w:tcW w:w="826" w:type="dxa"/>
            <w:tcBorders>
              <w:top w:val="nil"/>
              <w:left w:val="nil"/>
              <w:bottom w:val="single" w:sz="4" w:space="0" w:color="auto"/>
              <w:right w:val="single" w:sz="4" w:space="0" w:color="auto"/>
            </w:tcBorders>
            <w:shd w:val="clear" w:color="auto" w:fill="auto"/>
            <w:noWrap/>
            <w:vAlign w:val="center"/>
            <w:hideMark/>
          </w:tcPr>
          <w:p w14:paraId="48CDECF4"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29</w:t>
            </w:r>
          </w:p>
        </w:tc>
        <w:tc>
          <w:tcPr>
            <w:tcW w:w="1387" w:type="dxa"/>
            <w:tcBorders>
              <w:top w:val="nil"/>
              <w:left w:val="nil"/>
              <w:bottom w:val="single" w:sz="4" w:space="0" w:color="auto"/>
              <w:right w:val="nil"/>
            </w:tcBorders>
            <w:shd w:val="clear" w:color="auto" w:fill="auto"/>
            <w:noWrap/>
            <w:vAlign w:val="center"/>
            <w:hideMark/>
          </w:tcPr>
          <w:p w14:paraId="1F081A32"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414</w:t>
            </w:r>
          </w:p>
        </w:tc>
        <w:tc>
          <w:tcPr>
            <w:tcW w:w="739" w:type="dxa"/>
            <w:tcBorders>
              <w:top w:val="nil"/>
              <w:left w:val="single" w:sz="4" w:space="0" w:color="auto"/>
              <w:bottom w:val="single" w:sz="4" w:space="0" w:color="auto"/>
              <w:right w:val="nil"/>
            </w:tcBorders>
            <w:shd w:val="clear" w:color="auto" w:fill="auto"/>
            <w:noWrap/>
            <w:vAlign w:val="center"/>
            <w:hideMark/>
          </w:tcPr>
          <w:p w14:paraId="14E1A391"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57</w:t>
            </w:r>
          </w:p>
        </w:tc>
        <w:tc>
          <w:tcPr>
            <w:tcW w:w="709" w:type="dxa"/>
            <w:tcBorders>
              <w:top w:val="nil"/>
              <w:left w:val="single" w:sz="4" w:space="0" w:color="auto"/>
              <w:bottom w:val="single" w:sz="4" w:space="0" w:color="auto"/>
              <w:right w:val="nil"/>
            </w:tcBorders>
            <w:shd w:val="clear" w:color="auto" w:fill="auto"/>
            <w:noWrap/>
            <w:vAlign w:val="center"/>
            <w:hideMark/>
          </w:tcPr>
          <w:p w14:paraId="2F4CBC61"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56</w:t>
            </w:r>
          </w:p>
        </w:tc>
      </w:tr>
      <w:tr w:rsidR="00AB359E" w:rsidRPr="005970E9" w14:paraId="15887F7E" w14:textId="77777777" w:rsidTr="00316296">
        <w:trPr>
          <w:trHeight w:val="276"/>
        </w:trPr>
        <w:tc>
          <w:tcPr>
            <w:tcW w:w="1560" w:type="dxa"/>
            <w:tcBorders>
              <w:top w:val="nil"/>
              <w:left w:val="nil"/>
              <w:bottom w:val="single" w:sz="4" w:space="0" w:color="auto"/>
              <w:right w:val="single" w:sz="4" w:space="0" w:color="auto"/>
            </w:tcBorders>
            <w:shd w:val="clear" w:color="000000" w:fill="FFFFFF"/>
            <w:noWrap/>
            <w:vAlign w:val="center"/>
            <w:hideMark/>
          </w:tcPr>
          <w:p w14:paraId="134D3D9B" w14:textId="77777777" w:rsidR="00AB359E" w:rsidRPr="005970E9" w:rsidRDefault="00AB359E" w:rsidP="00AB359E">
            <w:pPr>
              <w:rPr>
                <w:rFonts w:eastAsia="Times New Roman" w:cs="Arial"/>
                <w:color w:val="000000"/>
                <w:sz w:val="20"/>
                <w:szCs w:val="20"/>
              </w:rPr>
            </w:pPr>
            <w:r w:rsidRPr="005970E9">
              <w:rPr>
                <w:rFonts w:eastAsia="Times New Roman" w:cs="Arial"/>
                <w:color w:val="000000"/>
                <w:sz w:val="20"/>
                <w:szCs w:val="20"/>
              </w:rPr>
              <w:t>COLÓN</w:t>
            </w:r>
          </w:p>
        </w:tc>
        <w:tc>
          <w:tcPr>
            <w:tcW w:w="1134" w:type="dxa"/>
            <w:tcBorders>
              <w:top w:val="nil"/>
              <w:left w:val="nil"/>
              <w:bottom w:val="single" w:sz="4" w:space="0" w:color="auto"/>
              <w:right w:val="single" w:sz="4" w:space="0" w:color="auto"/>
            </w:tcBorders>
            <w:shd w:val="clear" w:color="auto" w:fill="auto"/>
            <w:noWrap/>
            <w:vAlign w:val="center"/>
            <w:hideMark/>
          </w:tcPr>
          <w:p w14:paraId="15410C39" w14:textId="4A8D083C"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 xml:space="preserve">47,577 </w:t>
            </w:r>
          </w:p>
        </w:tc>
        <w:tc>
          <w:tcPr>
            <w:tcW w:w="992" w:type="dxa"/>
            <w:tcBorders>
              <w:top w:val="nil"/>
              <w:left w:val="nil"/>
              <w:bottom w:val="single" w:sz="4" w:space="0" w:color="auto"/>
              <w:right w:val="single" w:sz="4" w:space="0" w:color="auto"/>
            </w:tcBorders>
            <w:shd w:val="clear" w:color="auto" w:fill="auto"/>
            <w:noWrap/>
            <w:vAlign w:val="center"/>
            <w:hideMark/>
          </w:tcPr>
          <w:p w14:paraId="7B7EA0EC"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23961</w:t>
            </w:r>
          </w:p>
        </w:tc>
        <w:tc>
          <w:tcPr>
            <w:tcW w:w="992" w:type="dxa"/>
            <w:tcBorders>
              <w:top w:val="nil"/>
              <w:left w:val="nil"/>
              <w:bottom w:val="single" w:sz="4" w:space="0" w:color="auto"/>
              <w:right w:val="single" w:sz="4" w:space="0" w:color="auto"/>
            </w:tcBorders>
            <w:shd w:val="clear" w:color="auto" w:fill="auto"/>
            <w:noWrap/>
            <w:vAlign w:val="center"/>
            <w:hideMark/>
          </w:tcPr>
          <w:p w14:paraId="43F0831B"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23616</w:t>
            </w:r>
          </w:p>
        </w:tc>
        <w:tc>
          <w:tcPr>
            <w:tcW w:w="1017" w:type="dxa"/>
            <w:tcBorders>
              <w:top w:val="nil"/>
              <w:left w:val="nil"/>
              <w:bottom w:val="single" w:sz="4" w:space="0" w:color="auto"/>
              <w:right w:val="single" w:sz="4" w:space="0" w:color="auto"/>
            </w:tcBorders>
            <w:shd w:val="clear" w:color="auto" w:fill="auto"/>
            <w:noWrap/>
            <w:vAlign w:val="center"/>
            <w:hideMark/>
          </w:tcPr>
          <w:p w14:paraId="7CE288EF"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230</w:t>
            </w:r>
          </w:p>
        </w:tc>
        <w:tc>
          <w:tcPr>
            <w:tcW w:w="826" w:type="dxa"/>
            <w:tcBorders>
              <w:top w:val="nil"/>
              <w:left w:val="nil"/>
              <w:bottom w:val="single" w:sz="4" w:space="0" w:color="auto"/>
              <w:right w:val="single" w:sz="4" w:space="0" w:color="auto"/>
            </w:tcBorders>
            <w:shd w:val="clear" w:color="auto" w:fill="auto"/>
            <w:noWrap/>
            <w:vAlign w:val="center"/>
            <w:hideMark/>
          </w:tcPr>
          <w:p w14:paraId="19AC28C5"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35</w:t>
            </w:r>
          </w:p>
        </w:tc>
        <w:tc>
          <w:tcPr>
            <w:tcW w:w="1387" w:type="dxa"/>
            <w:tcBorders>
              <w:top w:val="nil"/>
              <w:left w:val="nil"/>
              <w:bottom w:val="single" w:sz="4" w:space="0" w:color="auto"/>
              <w:right w:val="nil"/>
            </w:tcBorders>
            <w:shd w:val="clear" w:color="auto" w:fill="auto"/>
            <w:noWrap/>
            <w:vAlign w:val="center"/>
            <w:hideMark/>
          </w:tcPr>
          <w:p w14:paraId="7CA4CF6D"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265</w:t>
            </w:r>
          </w:p>
        </w:tc>
        <w:tc>
          <w:tcPr>
            <w:tcW w:w="739" w:type="dxa"/>
            <w:tcBorders>
              <w:top w:val="nil"/>
              <w:left w:val="single" w:sz="4" w:space="0" w:color="auto"/>
              <w:bottom w:val="single" w:sz="4" w:space="0" w:color="auto"/>
              <w:right w:val="nil"/>
            </w:tcBorders>
            <w:shd w:val="clear" w:color="auto" w:fill="auto"/>
            <w:noWrap/>
            <w:vAlign w:val="center"/>
            <w:hideMark/>
          </w:tcPr>
          <w:p w14:paraId="59B67BD6"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90</w:t>
            </w:r>
          </w:p>
        </w:tc>
        <w:tc>
          <w:tcPr>
            <w:tcW w:w="709" w:type="dxa"/>
            <w:tcBorders>
              <w:top w:val="nil"/>
              <w:left w:val="single" w:sz="4" w:space="0" w:color="auto"/>
              <w:bottom w:val="single" w:sz="4" w:space="0" w:color="auto"/>
              <w:right w:val="nil"/>
            </w:tcBorders>
            <w:shd w:val="clear" w:color="auto" w:fill="auto"/>
            <w:noWrap/>
            <w:vAlign w:val="center"/>
            <w:hideMark/>
          </w:tcPr>
          <w:p w14:paraId="48B9A8AB"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89</w:t>
            </w:r>
          </w:p>
        </w:tc>
      </w:tr>
      <w:tr w:rsidR="00AB359E" w:rsidRPr="005970E9" w14:paraId="79E27DE9" w14:textId="77777777" w:rsidTr="00316296">
        <w:trPr>
          <w:trHeight w:val="276"/>
        </w:trPr>
        <w:tc>
          <w:tcPr>
            <w:tcW w:w="1560" w:type="dxa"/>
            <w:tcBorders>
              <w:top w:val="nil"/>
              <w:left w:val="nil"/>
              <w:bottom w:val="single" w:sz="4" w:space="0" w:color="auto"/>
              <w:right w:val="single" w:sz="4" w:space="0" w:color="auto"/>
            </w:tcBorders>
            <w:shd w:val="clear" w:color="000000" w:fill="FFFFFF"/>
            <w:noWrap/>
            <w:vAlign w:val="center"/>
            <w:hideMark/>
          </w:tcPr>
          <w:p w14:paraId="308FB04F" w14:textId="77777777" w:rsidR="00AB359E" w:rsidRPr="005970E9" w:rsidRDefault="00AB359E" w:rsidP="00AB359E">
            <w:pPr>
              <w:rPr>
                <w:rFonts w:eastAsia="Times New Roman" w:cs="Arial"/>
                <w:color w:val="000000"/>
                <w:sz w:val="20"/>
                <w:szCs w:val="20"/>
              </w:rPr>
            </w:pPr>
            <w:r w:rsidRPr="005970E9">
              <w:rPr>
                <w:rFonts w:eastAsia="Times New Roman" w:cs="Arial"/>
                <w:color w:val="000000"/>
                <w:sz w:val="20"/>
                <w:szCs w:val="20"/>
              </w:rPr>
              <w:t>COMARCAS</w:t>
            </w:r>
          </w:p>
        </w:tc>
        <w:tc>
          <w:tcPr>
            <w:tcW w:w="1134" w:type="dxa"/>
            <w:tcBorders>
              <w:top w:val="nil"/>
              <w:left w:val="nil"/>
              <w:bottom w:val="single" w:sz="4" w:space="0" w:color="auto"/>
              <w:right w:val="single" w:sz="4" w:space="0" w:color="auto"/>
            </w:tcBorders>
            <w:shd w:val="clear" w:color="auto" w:fill="auto"/>
            <w:noWrap/>
            <w:vAlign w:val="center"/>
            <w:hideMark/>
          </w:tcPr>
          <w:p w14:paraId="136B8EA2" w14:textId="1F81C675"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 xml:space="preserve">86,413 </w:t>
            </w:r>
          </w:p>
        </w:tc>
        <w:tc>
          <w:tcPr>
            <w:tcW w:w="992" w:type="dxa"/>
            <w:tcBorders>
              <w:top w:val="nil"/>
              <w:left w:val="nil"/>
              <w:bottom w:val="single" w:sz="4" w:space="0" w:color="auto"/>
              <w:right w:val="single" w:sz="4" w:space="0" w:color="auto"/>
            </w:tcBorders>
            <w:shd w:val="clear" w:color="auto" w:fill="auto"/>
            <w:noWrap/>
            <w:vAlign w:val="center"/>
            <w:hideMark/>
          </w:tcPr>
          <w:p w14:paraId="204B9EB7"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46043</w:t>
            </w:r>
          </w:p>
        </w:tc>
        <w:tc>
          <w:tcPr>
            <w:tcW w:w="992" w:type="dxa"/>
            <w:tcBorders>
              <w:top w:val="nil"/>
              <w:left w:val="nil"/>
              <w:bottom w:val="single" w:sz="4" w:space="0" w:color="auto"/>
              <w:right w:val="single" w:sz="4" w:space="0" w:color="auto"/>
            </w:tcBorders>
            <w:shd w:val="clear" w:color="auto" w:fill="auto"/>
            <w:noWrap/>
            <w:vAlign w:val="center"/>
            <w:hideMark/>
          </w:tcPr>
          <w:p w14:paraId="10149F5C"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40370</w:t>
            </w:r>
          </w:p>
        </w:tc>
        <w:tc>
          <w:tcPr>
            <w:tcW w:w="1017" w:type="dxa"/>
            <w:tcBorders>
              <w:top w:val="nil"/>
              <w:left w:val="nil"/>
              <w:bottom w:val="single" w:sz="4" w:space="0" w:color="auto"/>
              <w:right w:val="single" w:sz="4" w:space="0" w:color="auto"/>
            </w:tcBorders>
            <w:shd w:val="clear" w:color="auto" w:fill="auto"/>
            <w:noWrap/>
            <w:vAlign w:val="center"/>
            <w:hideMark/>
          </w:tcPr>
          <w:p w14:paraId="02324DD7"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519</w:t>
            </w:r>
          </w:p>
        </w:tc>
        <w:tc>
          <w:tcPr>
            <w:tcW w:w="826" w:type="dxa"/>
            <w:tcBorders>
              <w:top w:val="nil"/>
              <w:left w:val="nil"/>
              <w:bottom w:val="single" w:sz="4" w:space="0" w:color="auto"/>
              <w:right w:val="single" w:sz="4" w:space="0" w:color="auto"/>
            </w:tcBorders>
            <w:shd w:val="clear" w:color="auto" w:fill="auto"/>
            <w:noWrap/>
            <w:vAlign w:val="center"/>
            <w:hideMark/>
          </w:tcPr>
          <w:p w14:paraId="5EE0D42C"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4</w:t>
            </w:r>
          </w:p>
        </w:tc>
        <w:tc>
          <w:tcPr>
            <w:tcW w:w="1387" w:type="dxa"/>
            <w:tcBorders>
              <w:top w:val="nil"/>
              <w:left w:val="nil"/>
              <w:bottom w:val="single" w:sz="4" w:space="0" w:color="auto"/>
              <w:right w:val="nil"/>
            </w:tcBorders>
            <w:shd w:val="clear" w:color="auto" w:fill="auto"/>
            <w:noWrap/>
            <w:vAlign w:val="center"/>
            <w:hideMark/>
          </w:tcPr>
          <w:p w14:paraId="7238761F"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523</w:t>
            </w:r>
          </w:p>
        </w:tc>
        <w:tc>
          <w:tcPr>
            <w:tcW w:w="739" w:type="dxa"/>
            <w:tcBorders>
              <w:top w:val="nil"/>
              <w:left w:val="single" w:sz="4" w:space="0" w:color="auto"/>
              <w:bottom w:val="single" w:sz="4" w:space="0" w:color="auto"/>
              <w:right w:val="nil"/>
            </w:tcBorders>
            <w:shd w:val="clear" w:color="auto" w:fill="auto"/>
            <w:noWrap/>
            <w:vAlign w:val="center"/>
            <w:hideMark/>
          </w:tcPr>
          <w:p w14:paraId="7B1887CE"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88</w:t>
            </w:r>
          </w:p>
        </w:tc>
        <w:tc>
          <w:tcPr>
            <w:tcW w:w="709" w:type="dxa"/>
            <w:tcBorders>
              <w:top w:val="nil"/>
              <w:left w:val="single" w:sz="4" w:space="0" w:color="auto"/>
              <w:bottom w:val="single" w:sz="4" w:space="0" w:color="auto"/>
              <w:right w:val="nil"/>
            </w:tcBorders>
            <w:shd w:val="clear" w:color="auto" w:fill="auto"/>
            <w:noWrap/>
            <w:vAlign w:val="center"/>
            <w:hideMark/>
          </w:tcPr>
          <w:p w14:paraId="771EF679"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77</w:t>
            </w:r>
          </w:p>
        </w:tc>
      </w:tr>
      <w:tr w:rsidR="00AB359E" w:rsidRPr="005970E9" w14:paraId="7523E25F" w14:textId="77777777" w:rsidTr="00316296">
        <w:trPr>
          <w:trHeight w:val="276"/>
        </w:trPr>
        <w:tc>
          <w:tcPr>
            <w:tcW w:w="1560" w:type="dxa"/>
            <w:tcBorders>
              <w:top w:val="nil"/>
              <w:left w:val="nil"/>
              <w:bottom w:val="single" w:sz="4" w:space="0" w:color="auto"/>
              <w:right w:val="single" w:sz="4" w:space="0" w:color="auto"/>
            </w:tcBorders>
            <w:shd w:val="clear" w:color="auto" w:fill="auto"/>
            <w:noWrap/>
            <w:vAlign w:val="center"/>
            <w:hideMark/>
          </w:tcPr>
          <w:p w14:paraId="01053A86" w14:textId="77777777" w:rsidR="00AB359E" w:rsidRPr="005970E9" w:rsidRDefault="00AB359E" w:rsidP="00AB359E">
            <w:pPr>
              <w:rPr>
                <w:rFonts w:eastAsia="Times New Roman" w:cs="Arial"/>
                <w:color w:val="000000"/>
                <w:sz w:val="20"/>
                <w:szCs w:val="20"/>
              </w:rPr>
            </w:pPr>
            <w:r w:rsidRPr="005970E9">
              <w:rPr>
                <w:rFonts w:eastAsia="Times New Roman" w:cs="Arial"/>
                <w:color w:val="000000"/>
                <w:sz w:val="20"/>
                <w:szCs w:val="20"/>
              </w:rPr>
              <w:t>DARIEN</w:t>
            </w:r>
          </w:p>
        </w:tc>
        <w:tc>
          <w:tcPr>
            <w:tcW w:w="1134" w:type="dxa"/>
            <w:tcBorders>
              <w:top w:val="nil"/>
              <w:left w:val="nil"/>
              <w:bottom w:val="single" w:sz="4" w:space="0" w:color="auto"/>
              <w:right w:val="single" w:sz="4" w:space="0" w:color="auto"/>
            </w:tcBorders>
            <w:shd w:val="clear" w:color="auto" w:fill="auto"/>
            <w:noWrap/>
            <w:vAlign w:val="center"/>
            <w:hideMark/>
          </w:tcPr>
          <w:p w14:paraId="40A2E94B" w14:textId="50A7361E"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 xml:space="preserve">11,913 </w:t>
            </w:r>
          </w:p>
        </w:tc>
        <w:tc>
          <w:tcPr>
            <w:tcW w:w="992" w:type="dxa"/>
            <w:tcBorders>
              <w:top w:val="nil"/>
              <w:left w:val="nil"/>
              <w:bottom w:val="single" w:sz="4" w:space="0" w:color="auto"/>
              <w:right w:val="single" w:sz="4" w:space="0" w:color="auto"/>
            </w:tcBorders>
            <w:shd w:val="clear" w:color="auto" w:fill="auto"/>
            <w:noWrap/>
            <w:vAlign w:val="center"/>
            <w:hideMark/>
          </w:tcPr>
          <w:p w14:paraId="44DCA815"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6155</w:t>
            </w:r>
          </w:p>
        </w:tc>
        <w:tc>
          <w:tcPr>
            <w:tcW w:w="992" w:type="dxa"/>
            <w:tcBorders>
              <w:top w:val="nil"/>
              <w:left w:val="nil"/>
              <w:bottom w:val="single" w:sz="4" w:space="0" w:color="auto"/>
              <w:right w:val="single" w:sz="4" w:space="0" w:color="auto"/>
            </w:tcBorders>
            <w:shd w:val="clear" w:color="auto" w:fill="auto"/>
            <w:noWrap/>
            <w:vAlign w:val="center"/>
            <w:hideMark/>
          </w:tcPr>
          <w:p w14:paraId="6028F7A8"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5798</w:t>
            </w:r>
          </w:p>
        </w:tc>
        <w:tc>
          <w:tcPr>
            <w:tcW w:w="1017" w:type="dxa"/>
            <w:tcBorders>
              <w:top w:val="nil"/>
              <w:left w:val="nil"/>
              <w:bottom w:val="single" w:sz="4" w:space="0" w:color="auto"/>
              <w:right w:val="single" w:sz="4" w:space="0" w:color="auto"/>
            </w:tcBorders>
            <w:shd w:val="clear" w:color="auto" w:fill="auto"/>
            <w:noWrap/>
            <w:vAlign w:val="center"/>
            <w:hideMark/>
          </w:tcPr>
          <w:p w14:paraId="1EB1D38E"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172</w:t>
            </w:r>
          </w:p>
        </w:tc>
        <w:tc>
          <w:tcPr>
            <w:tcW w:w="826" w:type="dxa"/>
            <w:tcBorders>
              <w:top w:val="nil"/>
              <w:left w:val="nil"/>
              <w:bottom w:val="single" w:sz="4" w:space="0" w:color="auto"/>
              <w:right w:val="single" w:sz="4" w:space="0" w:color="auto"/>
            </w:tcBorders>
            <w:shd w:val="clear" w:color="auto" w:fill="auto"/>
            <w:noWrap/>
            <w:vAlign w:val="center"/>
            <w:hideMark/>
          </w:tcPr>
          <w:p w14:paraId="270DBB2A"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6</w:t>
            </w:r>
          </w:p>
        </w:tc>
        <w:tc>
          <w:tcPr>
            <w:tcW w:w="1387" w:type="dxa"/>
            <w:tcBorders>
              <w:top w:val="nil"/>
              <w:left w:val="nil"/>
              <w:bottom w:val="single" w:sz="4" w:space="0" w:color="auto"/>
              <w:right w:val="nil"/>
            </w:tcBorders>
            <w:shd w:val="clear" w:color="auto" w:fill="auto"/>
            <w:noWrap/>
            <w:vAlign w:val="center"/>
            <w:hideMark/>
          </w:tcPr>
          <w:p w14:paraId="54D20629"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178</w:t>
            </w:r>
          </w:p>
        </w:tc>
        <w:tc>
          <w:tcPr>
            <w:tcW w:w="739" w:type="dxa"/>
            <w:tcBorders>
              <w:top w:val="nil"/>
              <w:left w:val="single" w:sz="4" w:space="0" w:color="auto"/>
              <w:bottom w:val="single" w:sz="4" w:space="0" w:color="auto"/>
              <w:right w:val="nil"/>
            </w:tcBorders>
            <w:shd w:val="clear" w:color="auto" w:fill="auto"/>
            <w:noWrap/>
            <w:vAlign w:val="center"/>
            <w:hideMark/>
          </w:tcPr>
          <w:p w14:paraId="18432CD0"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35</w:t>
            </w:r>
          </w:p>
        </w:tc>
        <w:tc>
          <w:tcPr>
            <w:tcW w:w="709" w:type="dxa"/>
            <w:tcBorders>
              <w:top w:val="nil"/>
              <w:left w:val="single" w:sz="4" w:space="0" w:color="auto"/>
              <w:bottom w:val="single" w:sz="4" w:space="0" w:color="auto"/>
              <w:right w:val="nil"/>
            </w:tcBorders>
            <w:shd w:val="clear" w:color="auto" w:fill="auto"/>
            <w:noWrap/>
            <w:vAlign w:val="center"/>
            <w:hideMark/>
          </w:tcPr>
          <w:p w14:paraId="641AD9D6"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33</w:t>
            </w:r>
          </w:p>
        </w:tc>
      </w:tr>
      <w:tr w:rsidR="00AB359E" w:rsidRPr="005970E9" w14:paraId="26751784" w14:textId="77777777" w:rsidTr="00316296">
        <w:trPr>
          <w:trHeight w:val="276"/>
        </w:trPr>
        <w:tc>
          <w:tcPr>
            <w:tcW w:w="1560" w:type="dxa"/>
            <w:tcBorders>
              <w:top w:val="nil"/>
              <w:left w:val="nil"/>
              <w:bottom w:val="single" w:sz="4" w:space="0" w:color="auto"/>
              <w:right w:val="single" w:sz="4" w:space="0" w:color="auto"/>
            </w:tcBorders>
            <w:shd w:val="clear" w:color="auto" w:fill="auto"/>
            <w:noWrap/>
            <w:vAlign w:val="center"/>
            <w:hideMark/>
          </w:tcPr>
          <w:p w14:paraId="7CB04B79" w14:textId="77777777" w:rsidR="00AB359E" w:rsidRPr="005970E9" w:rsidRDefault="00AB359E" w:rsidP="00AB359E">
            <w:pPr>
              <w:rPr>
                <w:rFonts w:eastAsia="Times New Roman" w:cs="Arial"/>
                <w:color w:val="000000"/>
                <w:sz w:val="20"/>
                <w:szCs w:val="20"/>
              </w:rPr>
            </w:pPr>
            <w:r w:rsidRPr="005970E9">
              <w:rPr>
                <w:rFonts w:eastAsia="Times New Roman" w:cs="Arial"/>
                <w:color w:val="000000"/>
                <w:sz w:val="20"/>
                <w:szCs w:val="20"/>
              </w:rPr>
              <w:t>HERRERA</w:t>
            </w:r>
          </w:p>
        </w:tc>
        <w:tc>
          <w:tcPr>
            <w:tcW w:w="1134" w:type="dxa"/>
            <w:tcBorders>
              <w:top w:val="nil"/>
              <w:left w:val="nil"/>
              <w:bottom w:val="single" w:sz="4" w:space="0" w:color="auto"/>
              <w:right w:val="single" w:sz="4" w:space="0" w:color="auto"/>
            </w:tcBorders>
            <w:shd w:val="clear" w:color="auto" w:fill="auto"/>
            <w:noWrap/>
            <w:vAlign w:val="center"/>
            <w:hideMark/>
          </w:tcPr>
          <w:p w14:paraId="124C4FA1" w14:textId="14E6D43D"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 xml:space="preserve">17,749 </w:t>
            </w:r>
          </w:p>
        </w:tc>
        <w:tc>
          <w:tcPr>
            <w:tcW w:w="992" w:type="dxa"/>
            <w:tcBorders>
              <w:top w:val="nil"/>
              <w:left w:val="nil"/>
              <w:bottom w:val="single" w:sz="4" w:space="0" w:color="auto"/>
              <w:right w:val="single" w:sz="4" w:space="0" w:color="auto"/>
            </w:tcBorders>
            <w:shd w:val="clear" w:color="auto" w:fill="auto"/>
            <w:noWrap/>
            <w:vAlign w:val="center"/>
            <w:hideMark/>
          </w:tcPr>
          <w:p w14:paraId="149791E8"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9003</w:t>
            </w:r>
          </w:p>
        </w:tc>
        <w:tc>
          <w:tcPr>
            <w:tcW w:w="992" w:type="dxa"/>
            <w:tcBorders>
              <w:top w:val="nil"/>
              <w:left w:val="nil"/>
              <w:bottom w:val="single" w:sz="4" w:space="0" w:color="auto"/>
              <w:right w:val="single" w:sz="4" w:space="0" w:color="auto"/>
            </w:tcBorders>
            <w:shd w:val="clear" w:color="auto" w:fill="auto"/>
            <w:noWrap/>
            <w:vAlign w:val="center"/>
            <w:hideMark/>
          </w:tcPr>
          <w:p w14:paraId="15C53086"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8746</w:t>
            </w:r>
          </w:p>
        </w:tc>
        <w:tc>
          <w:tcPr>
            <w:tcW w:w="1017" w:type="dxa"/>
            <w:tcBorders>
              <w:top w:val="nil"/>
              <w:left w:val="nil"/>
              <w:bottom w:val="single" w:sz="4" w:space="0" w:color="auto"/>
              <w:right w:val="single" w:sz="4" w:space="0" w:color="auto"/>
            </w:tcBorders>
            <w:shd w:val="clear" w:color="auto" w:fill="auto"/>
            <w:noWrap/>
            <w:vAlign w:val="center"/>
            <w:hideMark/>
          </w:tcPr>
          <w:p w14:paraId="48E343D8"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198</w:t>
            </w:r>
          </w:p>
        </w:tc>
        <w:tc>
          <w:tcPr>
            <w:tcW w:w="826" w:type="dxa"/>
            <w:tcBorders>
              <w:top w:val="nil"/>
              <w:left w:val="nil"/>
              <w:bottom w:val="single" w:sz="4" w:space="0" w:color="auto"/>
              <w:right w:val="single" w:sz="4" w:space="0" w:color="auto"/>
            </w:tcBorders>
            <w:shd w:val="clear" w:color="auto" w:fill="auto"/>
            <w:noWrap/>
            <w:vAlign w:val="center"/>
            <w:hideMark/>
          </w:tcPr>
          <w:p w14:paraId="51AE9407"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12</w:t>
            </w:r>
          </w:p>
        </w:tc>
        <w:tc>
          <w:tcPr>
            <w:tcW w:w="1387" w:type="dxa"/>
            <w:tcBorders>
              <w:top w:val="nil"/>
              <w:left w:val="nil"/>
              <w:bottom w:val="single" w:sz="4" w:space="0" w:color="auto"/>
              <w:right w:val="nil"/>
            </w:tcBorders>
            <w:shd w:val="clear" w:color="auto" w:fill="auto"/>
            <w:noWrap/>
            <w:vAlign w:val="center"/>
            <w:hideMark/>
          </w:tcPr>
          <w:p w14:paraId="3171B33A"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210</w:t>
            </w:r>
          </w:p>
        </w:tc>
        <w:tc>
          <w:tcPr>
            <w:tcW w:w="739" w:type="dxa"/>
            <w:tcBorders>
              <w:top w:val="nil"/>
              <w:left w:val="single" w:sz="4" w:space="0" w:color="auto"/>
              <w:bottom w:val="single" w:sz="4" w:space="0" w:color="auto"/>
              <w:right w:val="nil"/>
            </w:tcBorders>
            <w:shd w:val="clear" w:color="auto" w:fill="auto"/>
            <w:noWrap/>
            <w:vAlign w:val="center"/>
            <w:hideMark/>
          </w:tcPr>
          <w:p w14:paraId="71F57403"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43</w:t>
            </w:r>
          </w:p>
        </w:tc>
        <w:tc>
          <w:tcPr>
            <w:tcW w:w="709" w:type="dxa"/>
            <w:tcBorders>
              <w:top w:val="nil"/>
              <w:left w:val="single" w:sz="4" w:space="0" w:color="auto"/>
              <w:bottom w:val="single" w:sz="4" w:space="0" w:color="auto"/>
              <w:right w:val="nil"/>
            </w:tcBorders>
            <w:shd w:val="clear" w:color="auto" w:fill="auto"/>
            <w:noWrap/>
            <w:vAlign w:val="center"/>
            <w:hideMark/>
          </w:tcPr>
          <w:p w14:paraId="70707CEA"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42</w:t>
            </w:r>
          </w:p>
        </w:tc>
      </w:tr>
      <w:tr w:rsidR="00AB359E" w:rsidRPr="005970E9" w14:paraId="4E03C04B" w14:textId="77777777" w:rsidTr="00316296">
        <w:trPr>
          <w:trHeight w:val="276"/>
        </w:trPr>
        <w:tc>
          <w:tcPr>
            <w:tcW w:w="1560" w:type="dxa"/>
            <w:tcBorders>
              <w:top w:val="nil"/>
              <w:left w:val="nil"/>
              <w:bottom w:val="single" w:sz="4" w:space="0" w:color="auto"/>
              <w:right w:val="single" w:sz="4" w:space="0" w:color="auto"/>
            </w:tcBorders>
            <w:shd w:val="clear" w:color="auto" w:fill="auto"/>
            <w:noWrap/>
            <w:vAlign w:val="center"/>
            <w:hideMark/>
          </w:tcPr>
          <w:p w14:paraId="7513FC31" w14:textId="77777777" w:rsidR="00AB359E" w:rsidRPr="005970E9" w:rsidRDefault="00AB359E" w:rsidP="00AB359E">
            <w:pPr>
              <w:rPr>
                <w:rFonts w:eastAsia="Times New Roman" w:cs="Arial"/>
                <w:color w:val="000000"/>
                <w:sz w:val="20"/>
                <w:szCs w:val="20"/>
              </w:rPr>
            </w:pPr>
            <w:r w:rsidRPr="005970E9">
              <w:rPr>
                <w:rFonts w:eastAsia="Times New Roman" w:cs="Arial"/>
                <w:color w:val="000000"/>
                <w:sz w:val="20"/>
                <w:szCs w:val="20"/>
              </w:rPr>
              <w:t>LOS SANTOS</w:t>
            </w:r>
          </w:p>
        </w:tc>
        <w:tc>
          <w:tcPr>
            <w:tcW w:w="1134" w:type="dxa"/>
            <w:tcBorders>
              <w:top w:val="nil"/>
              <w:left w:val="nil"/>
              <w:bottom w:val="single" w:sz="4" w:space="0" w:color="auto"/>
              <w:right w:val="single" w:sz="4" w:space="0" w:color="auto"/>
            </w:tcBorders>
            <w:shd w:val="clear" w:color="auto" w:fill="auto"/>
            <w:noWrap/>
            <w:vAlign w:val="center"/>
            <w:hideMark/>
          </w:tcPr>
          <w:p w14:paraId="1ABECA75" w14:textId="7586825A"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44,623</w:t>
            </w:r>
          </w:p>
        </w:tc>
        <w:tc>
          <w:tcPr>
            <w:tcW w:w="992" w:type="dxa"/>
            <w:tcBorders>
              <w:top w:val="nil"/>
              <w:left w:val="nil"/>
              <w:bottom w:val="single" w:sz="4" w:space="0" w:color="auto"/>
              <w:right w:val="single" w:sz="4" w:space="0" w:color="auto"/>
            </w:tcBorders>
            <w:shd w:val="clear" w:color="auto" w:fill="auto"/>
            <w:noWrap/>
            <w:vAlign w:val="center"/>
            <w:hideMark/>
          </w:tcPr>
          <w:p w14:paraId="24699849"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6207</w:t>
            </w:r>
          </w:p>
        </w:tc>
        <w:tc>
          <w:tcPr>
            <w:tcW w:w="992" w:type="dxa"/>
            <w:tcBorders>
              <w:top w:val="nil"/>
              <w:left w:val="nil"/>
              <w:bottom w:val="single" w:sz="4" w:space="0" w:color="auto"/>
              <w:right w:val="single" w:sz="4" w:space="0" w:color="auto"/>
            </w:tcBorders>
            <w:shd w:val="clear" w:color="auto" w:fill="auto"/>
            <w:noWrap/>
            <w:vAlign w:val="center"/>
            <w:hideMark/>
          </w:tcPr>
          <w:p w14:paraId="020401B0"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5908</w:t>
            </w:r>
          </w:p>
        </w:tc>
        <w:tc>
          <w:tcPr>
            <w:tcW w:w="1017" w:type="dxa"/>
            <w:tcBorders>
              <w:top w:val="nil"/>
              <w:left w:val="nil"/>
              <w:bottom w:val="single" w:sz="4" w:space="0" w:color="auto"/>
              <w:right w:val="single" w:sz="4" w:space="0" w:color="auto"/>
            </w:tcBorders>
            <w:shd w:val="clear" w:color="auto" w:fill="auto"/>
            <w:noWrap/>
            <w:vAlign w:val="center"/>
            <w:hideMark/>
          </w:tcPr>
          <w:p w14:paraId="6EC17641"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161</w:t>
            </w:r>
          </w:p>
        </w:tc>
        <w:tc>
          <w:tcPr>
            <w:tcW w:w="826" w:type="dxa"/>
            <w:tcBorders>
              <w:top w:val="nil"/>
              <w:left w:val="nil"/>
              <w:bottom w:val="single" w:sz="4" w:space="0" w:color="auto"/>
              <w:right w:val="single" w:sz="4" w:space="0" w:color="auto"/>
            </w:tcBorders>
            <w:shd w:val="clear" w:color="auto" w:fill="auto"/>
            <w:noWrap/>
            <w:vAlign w:val="center"/>
            <w:hideMark/>
          </w:tcPr>
          <w:p w14:paraId="0EE29A19"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11</w:t>
            </w:r>
          </w:p>
        </w:tc>
        <w:tc>
          <w:tcPr>
            <w:tcW w:w="1387" w:type="dxa"/>
            <w:tcBorders>
              <w:top w:val="nil"/>
              <w:left w:val="nil"/>
              <w:bottom w:val="single" w:sz="4" w:space="0" w:color="auto"/>
              <w:right w:val="nil"/>
            </w:tcBorders>
            <w:shd w:val="clear" w:color="auto" w:fill="auto"/>
            <w:noWrap/>
            <w:vAlign w:val="center"/>
            <w:hideMark/>
          </w:tcPr>
          <w:p w14:paraId="263E6CA7"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172</w:t>
            </w:r>
          </w:p>
        </w:tc>
        <w:tc>
          <w:tcPr>
            <w:tcW w:w="739" w:type="dxa"/>
            <w:tcBorders>
              <w:top w:val="nil"/>
              <w:left w:val="single" w:sz="4" w:space="0" w:color="auto"/>
              <w:bottom w:val="single" w:sz="4" w:space="0" w:color="auto"/>
              <w:right w:val="nil"/>
            </w:tcBorders>
            <w:shd w:val="clear" w:color="auto" w:fill="auto"/>
            <w:noWrap/>
            <w:vAlign w:val="center"/>
            <w:hideMark/>
          </w:tcPr>
          <w:p w14:paraId="43DB05A7"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36</w:t>
            </w:r>
          </w:p>
        </w:tc>
        <w:tc>
          <w:tcPr>
            <w:tcW w:w="709" w:type="dxa"/>
            <w:tcBorders>
              <w:top w:val="nil"/>
              <w:left w:val="single" w:sz="4" w:space="0" w:color="auto"/>
              <w:bottom w:val="single" w:sz="4" w:space="0" w:color="auto"/>
              <w:right w:val="nil"/>
            </w:tcBorders>
            <w:shd w:val="clear" w:color="auto" w:fill="auto"/>
            <w:noWrap/>
            <w:vAlign w:val="center"/>
            <w:hideMark/>
          </w:tcPr>
          <w:p w14:paraId="4474C058"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34</w:t>
            </w:r>
          </w:p>
        </w:tc>
      </w:tr>
      <w:tr w:rsidR="00AB359E" w:rsidRPr="005970E9" w14:paraId="5D963D97" w14:textId="77777777" w:rsidTr="00316296">
        <w:trPr>
          <w:trHeight w:val="276"/>
        </w:trPr>
        <w:tc>
          <w:tcPr>
            <w:tcW w:w="1560" w:type="dxa"/>
            <w:tcBorders>
              <w:top w:val="nil"/>
              <w:left w:val="nil"/>
              <w:bottom w:val="single" w:sz="4" w:space="0" w:color="auto"/>
              <w:right w:val="single" w:sz="4" w:space="0" w:color="auto"/>
            </w:tcBorders>
            <w:shd w:val="clear" w:color="auto" w:fill="auto"/>
            <w:noWrap/>
            <w:vAlign w:val="center"/>
            <w:hideMark/>
          </w:tcPr>
          <w:p w14:paraId="00F4CC4D" w14:textId="77777777" w:rsidR="00AB359E" w:rsidRPr="005970E9" w:rsidRDefault="00AB359E" w:rsidP="00AB359E">
            <w:pPr>
              <w:rPr>
                <w:rFonts w:eastAsia="Times New Roman" w:cs="Arial"/>
                <w:color w:val="000000"/>
                <w:sz w:val="20"/>
                <w:szCs w:val="20"/>
              </w:rPr>
            </w:pPr>
            <w:r w:rsidRPr="005970E9">
              <w:rPr>
                <w:rFonts w:eastAsia="Times New Roman" w:cs="Arial"/>
                <w:color w:val="000000"/>
                <w:sz w:val="20"/>
                <w:szCs w:val="20"/>
              </w:rPr>
              <w:t>PANAMÁ</w:t>
            </w:r>
          </w:p>
        </w:tc>
        <w:tc>
          <w:tcPr>
            <w:tcW w:w="1134" w:type="dxa"/>
            <w:tcBorders>
              <w:top w:val="nil"/>
              <w:left w:val="nil"/>
              <w:bottom w:val="single" w:sz="4" w:space="0" w:color="auto"/>
              <w:right w:val="single" w:sz="4" w:space="0" w:color="auto"/>
            </w:tcBorders>
            <w:shd w:val="clear" w:color="auto" w:fill="auto"/>
            <w:noWrap/>
            <w:vAlign w:val="center"/>
            <w:hideMark/>
          </w:tcPr>
          <w:p w14:paraId="4A4E4B49" w14:textId="5816960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290,695</w:t>
            </w:r>
          </w:p>
        </w:tc>
        <w:tc>
          <w:tcPr>
            <w:tcW w:w="992" w:type="dxa"/>
            <w:tcBorders>
              <w:top w:val="nil"/>
              <w:left w:val="nil"/>
              <w:bottom w:val="single" w:sz="4" w:space="0" w:color="auto"/>
              <w:right w:val="single" w:sz="4" w:space="0" w:color="auto"/>
            </w:tcBorders>
            <w:shd w:val="clear" w:color="auto" w:fill="auto"/>
            <w:noWrap/>
            <w:vAlign w:val="center"/>
            <w:hideMark/>
          </w:tcPr>
          <w:p w14:paraId="38AB1AE5"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161915</w:t>
            </w:r>
          </w:p>
        </w:tc>
        <w:tc>
          <w:tcPr>
            <w:tcW w:w="992" w:type="dxa"/>
            <w:tcBorders>
              <w:top w:val="nil"/>
              <w:left w:val="nil"/>
              <w:bottom w:val="single" w:sz="4" w:space="0" w:color="auto"/>
              <w:right w:val="single" w:sz="4" w:space="0" w:color="auto"/>
            </w:tcBorders>
            <w:shd w:val="clear" w:color="auto" w:fill="auto"/>
            <w:noWrap/>
            <w:vAlign w:val="center"/>
            <w:hideMark/>
          </w:tcPr>
          <w:p w14:paraId="17338D4C"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161198</w:t>
            </w:r>
          </w:p>
        </w:tc>
        <w:tc>
          <w:tcPr>
            <w:tcW w:w="1017" w:type="dxa"/>
            <w:tcBorders>
              <w:top w:val="nil"/>
              <w:left w:val="nil"/>
              <w:bottom w:val="single" w:sz="4" w:space="0" w:color="auto"/>
              <w:right w:val="single" w:sz="4" w:space="0" w:color="auto"/>
            </w:tcBorders>
            <w:shd w:val="clear" w:color="auto" w:fill="auto"/>
            <w:noWrap/>
            <w:vAlign w:val="center"/>
            <w:hideMark/>
          </w:tcPr>
          <w:p w14:paraId="2FC068BD"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643</w:t>
            </w:r>
          </w:p>
        </w:tc>
        <w:tc>
          <w:tcPr>
            <w:tcW w:w="826" w:type="dxa"/>
            <w:tcBorders>
              <w:top w:val="nil"/>
              <w:left w:val="nil"/>
              <w:bottom w:val="single" w:sz="4" w:space="0" w:color="auto"/>
              <w:right w:val="single" w:sz="4" w:space="0" w:color="auto"/>
            </w:tcBorders>
            <w:shd w:val="clear" w:color="auto" w:fill="auto"/>
            <w:noWrap/>
            <w:vAlign w:val="center"/>
            <w:hideMark/>
          </w:tcPr>
          <w:p w14:paraId="037EE31F"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525</w:t>
            </w:r>
          </w:p>
        </w:tc>
        <w:tc>
          <w:tcPr>
            <w:tcW w:w="1387" w:type="dxa"/>
            <w:tcBorders>
              <w:top w:val="nil"/>
              <w:left w:val="nil"/>
              <w:bottom w:val="single" w:sz="4" w:space="0" w:color="auto"/>
              <w:right w:val="nil"/>
            </w:tcBorders>
            <w:shd w:val="clear" w:color="auto" w:fill="auto"/>
            <w:noWrap/>
            <w:vAlign w:val="center"/>
            <w:hideMark/>
          </w:tcPr>
          <w:p w14:paraId="35DBC22D"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1168</w:t>
            </w:r>
          </w:p>
        </w:tc>
        <w:tc>
          <w:tcPr>
            <w:tcW w:w="739" w:type="dxa"/>
            <w:tcBorders>
              <w:top w:val="nil"/>
              <w:left w:val="single" w:sz="4" w:space="0" w:color="auto"/>
              <w:bottom w:val="single" w:sz="4" w:space="0" w:color="auto"/>
              <w:right w:val="nil"/>
            </w:tcBorders>
            <w:shd w:val="clear" w:color="auto" w:fill="auto"/>
            <w:noWrap/>
            <w:vAlign w:val="center"/>
            <w:hideMark/>
          </w:tcPr>
          <w:p w14:paraId="4AB50EBD"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139</w:t>
            </w:r>
          </w:p>
        </w:tc>
        <w:tc>
          <w:tcPr>
            <w:tcW w:w="709" w:type="dxa"/>
            <w:tcBorders>
              <w:top w:val="nil"/>
              <w:left w:val="single" w:sz="4" w:space="0" w:color="auto"/>
              <w:bottom w:val="single" w:sz="4" w:space="0" w:color="auto"/>
              <w:right w:val="nil"/>
            </w:tcBorders>
            <w:shd w:val="clear" w:color="auto" w:fill="auto"/>
            <w:noWrap/>
            <w:vAlign w:val="center"/>
            <w:hideMark/>
          </w:tcPr>
          <w:p w14:paraId="1F035310"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138</w:t>
            </w:r>
          </w:p>
        </w:tc>
      </w:tr>
      <w:tr w:rsidR="00AB359E" w:rsidRPr="005970E9" w14:paraId="6D01631D" w14:textId="77777777" w:rsidTr="00316296">
        <w:trPr>
          <w:trHeight w:val="276"/>
        </w:trPr>
        <w:tc>
          <w:tcPr>
            <w:tcW w:w="1560" w:type="dxa"/>
            <w:tcBorders>
              <w:top w:val="nil"/>
              <w:left w:val="nil"/>
              <w:bottom w:val="single" w:sz="4" w:space="0" w:color="auto"/>
              <w:right w:val="single" w:sz="4" w:space="0" w:color="auto"/>
            </w:tcBorders>
            <w:shd w:val="clear" w:color="auto" w:fill="auto"/>
            <w:noWrap/>
            <w:vAlign w:val="center"/>
            <w:hideMark/>
          </w:tcPr>
          <w:p w14:paraId="67C5AD35" w14:textId="77777777" w:rsidR="00AB359E" w:rsidRPr="005970E9" w:rsidRDefault="00AB359E" w:rsidP="00AB359E">
            <w:pPr>
              <w:rPr>
                <w:rFonts w:eastAsia="Times New Roman" w:cs="Arial"/>
                <w:color w:val="000000"/>
                <w:sz w:val="20"/>
                <w:szCs w:val="20"/>
              </w:rPr>
            </w:pPr>
            <w:r w:rsidRPr="005970E9">
              <w:rPr>
                <w:rFonts w:eastAsia="Times New Roman" w:cs="Arial"/>
                <w:color w:val="000000"/>
                <w:sz w:val="20"/>
                <w:szCs w:val="20"/>
              </w:rPr>
              <w:t>VERAGUAS</w:t>
            </w:r>
          </w:p>
        </w:tc>
        <w:tc>
          <w:tcPr>
            <w:tcW w:w="1134" w:type="dxa"/>
            <w:tcBorders>
              <w:top w:val="nil"/>
              <w:left w:val="nil"/>
              <w:bottom w:val="single" w:sz="4" w:space="0" w:color="auto"/>
              <w:right w:val="single" w:sz="4" w:space="0" w:color="auto"/>
            </w:tcBorders>
            <w:shd w:val="clear" w:color="auto" w:fill="auto"/>
            <w:noWrap/>
            <w:vAlign w:val="center"/>
            <w:hideMark/>
          </w:tcPr>
          <w:p w14:paraId="2592C4EA" w14:textId="5FA8DBD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43,402</w:t>
            </w:r>
          </w:p>
        </w:tc>
        <w:tc>
          <w:tcPr>
            <w:tcW w:w="992" w:type="dxa"/>
            <w:tcBorders>
              <w:top w:val="nil"/>
              <w:left w:val="nil"/>
              <w:bottom w:val="single" w:sz="4" w:space="0" w:color="auto"/>
              <w:right w:val="single" w:sz="4" w:space="0" w:color="auto"/>
            </w:tcBorders>
            <w:shd w:val="clear" w:color="auto" w:fill="auto"/>
            <w:noWrap/>
            <w:vAlign w:val="center"/>
            <w:hideMark/>
          </w:tcPr>
          <w:p w14:paraId="0A9905C0"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21757</w:t>
            </w:r>
          </w:p>
        </w:tc>
        <w:tc>
          <w:tcPr>
            <w:tcW w:w="992" w:type="dxa"/>
            <w:tcBorders>
              <w:top w:val="nil"/>
              <w:left w:val="nil"/>
              <w:bottom w:val="single" w:sz="4" w:space="0" w:color="auto"/>
              <w:right w:val="single" w:sz="4" w:space="0" w:color="auto"/>
            </w:tcBorders>
            <w:shd w:val="clear" w:color="auto" w:fill="auto"/>
            <w:noWrap/>
            <w:vAlign w:val="center"/>
            <w:hideMark/>
          </w:tcPr>
          <w:p w14:paraId="2B7E47D4"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21645</w:t>
            </w:r>
          </w:p>
        </w:tc>
        <w:tc>
          <w:tcPr>
            <w:tcW w:w="1017" w:type="dxa"/>
            <w:tcBorders>
              <w:top w:val="nil"/>
              <w:left w:val="nil"/>
              <w:bottom w:val="single" w:sz="4" w:space="0" w:color="auto"/>
              <w:right w:val="single" w:sz="4" w:space="0" w:color="auto"/>
            </w:tcBorders>
            <w:shd w:val="clear" w:color="auto" w:fill="auto"/>
            <w:noWrap/>
            <w:vAlign w:val="center"/>
            <w:hideMark/>
          </w:tcPr>
          <w:p w14:paraId="269668E2"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505</w:t>
            </w:r>
          </w:p>
        </w:tc>
        <w:tc>
          <w:tcPr>
            <w:tcW w:w="826" w:type="dxa"/>
            <w:tcBorders>
              <w:top w:val="nil"/>
              <w:left w:val="nil"/>
              <w:bottom w:val="single" w:sz="4" w:space="0" w:color="auto"/>
              <w:right w:val="single" w:sz="4" w:space="0" w:color="auto"/>
            </w:tcBorders>
            <w:shd w:val="clear" w:color="auto" w:fill="auto"/>
            <w:noWrap/>
            <w:vAlign w:val="center"/>
            <w:hideMark/>
          </w:tcPr>
          <w:p w14:paraId="734269E9"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16</w:t>
            </w:r>
          </w:p>
        </w:tc>
        <w:tc>
          <w:tcPr>
            <w:tcW w:w="1387" w:type="dxa"/>
            <w:tcBorders>
              <w:top w:val="nil"/>
              <w:left w:val="nil"/>
              <w:bottom w:val="single" w:sz="4" w:space="0" w:color="auto"/>
              <w:right w:val="nil"/>
            </w:tcBorders>
            <w:shd w:val="clear" w:color="auto" w:fill="auto"/>
            <w:noWrap/>
            <w:vAlign w:val="center"/>
            <w:hideMark/>
          </w:tcPr>
          <w:p w14:paraId="55E5F83E"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521</w:t>
            </w:r>
          </w:p>
        </w:tc>
        <w:tc>
          <w:tcPr>
            <w:tcW w:w="739" w:type="dxa"/>
            <w:tcBorders>
              <w:top w:val="nil"/>
              <w:left w:val="single" w:sz="4" w:space="0" w:color="auto"/>
              <w:bottom w:val="single" w:sz="4" w:space="0" w:color="auto"/>
              <w:right w:val="nil"/>
            </w:tcBorders>
            <w:shd w:val="clear" w:color="auto" w:fill="auto"/>
            <w:noWrap/>
            <w:vAlign w:val="center"/>
            <w:hideMark/>
          </w:tcPr>
          <w:p w14:paraId="7271523D"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42</w:t>
            </w:r>
          </w:p>
        </w:tc>
        <w:tc>
          <w:tcPr>
            <w:tcW w:w="709" w:type="dxa"/>
            <w:tcBorders>
              <w:top w:val="nil"/>
              <w:left w:val="single" w:sz="4" w:space="0" w:color="auto"/>
              <w:bottom w:val="single" w:sz="4" w:space="0" w:color="auto"/>
              <w:right w:val="nil"/>
            </w:tcBorders>
            <w:shd w:val="clear" w:color="auto" w:fill="auto"/>
            <w:noWrap/>
            <w:vAlign w:val="center"/>
            <w:hideMark/>
          </w:tcPr>
          <w:p w14:paraId="006CE7B3"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41</w:t>
            </w:r>
          </w:p>
        </w:tc>
      </w:tr>
      <w:tr w:rsidR="00AB359E" w:rsidRPr="005970E9" w14:paraId="476597F2" w14:textId="77777777" w:rsidTr="00316296">
        <w:trPr>
          <w:trHeight w:val="276"/>
        </w:trPr>
        <w:tc>
          <w:tcPr>
            <w:tcW w:w="1560" w:type="dxa"/>
            <w:tcBorders>
              <w:top w:val="nil"/>
              <w:left w:val="nil"/>
              <w:bottom w:val="single" w:sz="4" w:space="0" w:color="auto"/>
              <w:right w:val="single" w:sz="4" w:space="0" w:color="auto"/>
            </w:tcBorders>
            <w:shd w:val="clear" w:color="auto" w:fill="auto"/>
            <w:noWrap/>
            <w:vAlign w:val="center"/>
            <w:hideMark/>
          </w:tcPr>
          <w:p w14:paraId="69444C5D" w14:textId="77777777" w:rsidR="00AB359E" w:rsidRPr="005970E9" w:rsidRDefault="00AB359E" w:rsidP="00AB359E">
            <w:pPr>
              <w:rPr>
                <w:rFonts w:eastAsia="Times New Roman" w:cs="Arial"/>
                <w:color w:val="000000"/>
                <w:sz w:val="20"/>
                <w:szCs w:val="20"/>
              </w:rPr>
            </w:pPr>
            <w:r w:rsidRPr="005970E9">
              <w:rPr>
                <w:rFonts w:eastAsia="Times New Roman" w:cs="Arial"/>
                <w:color w:val="000000"/>
                <w:sz w:val="20"/>
                <w:szCs w:val="20"/>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7C3288B0" w14:textId="6C06B33A"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 xml:space="preserve">713,072 </w:t>
            </w:r>
          </w:p>
        </w:tc>
        <w:tc>
          <w:tcPr>
            <w:tcW w:w="992" w:type="dxa"/>
            <w:tcBorders>
              <w:top w:val="nil"/>
              <w:left w:val="nil"/>
              <w:bottom w:val="single" w:sz="4" w:space="0" w:color="auto"/>
              <w:right w:val="single" w:sz="4" w:space="0" w:color="auto"/>
            </w:tcBorders>
            <w:shd w:val="clear" w:color="auto" w:fill="auto"/>
            <w:noWrap/>
            <w:vAlign w:val="center"/>
            <w:hideMark/>
          </w:tcPr>
          <w:p w14:paraId="39B2C046" w14:textId="356C189F"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 xml:space="preserve"> 361,070</w:t>
            </w:r>
          </w:p>
        </w:tc>
        <w:tc>
          <w:tcPr>
            <w:tcW w:w="992" w:type="dxa"/>
            <w:tcBorders>
              <w:top w:val="nil"/>
              <w:left w:val="nil"/>
              <w:bottom w:val="single" w:sz="4" w:space="0" w:color="auto"/>
              <w:right w:val="single" w:sz="4" w:space="0" w:color="auto"/>
            </w:tcBorders>
            <w:shd w:val="clear" w:color="auto" w:fill="auto"/>
            <w:noWrap/>
            <w:vAlign w:val="center"/>
            <w:hideMark/>
          </w:tcPr>
          <w:p w14:paraId="19870C7B" w14:textId="65F11255"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352,002</w:t>
            </w:r>
          </w:p>
        </w:tc>
        <w:tc>
          <w:tcPr>
            <w:tcW w:w="1017" w:type="dxa"/>
            <w:tcBorders>
              <w:top w:val="nil"/>
              <w:left w:val="nil"/>
              <w:bottom w:val="single" w:sz="4" w:space="0" w:color="auto"/>
              <w:right w:val="single" w:sz="4" w:space="0" w:color="auto"/>
            </w:tcBorders>
            <w:shd w:val="clear" w:color="auto" w:fill="auto"/>
            <w:noWrap/>
            <w:vAlign w:val="center"/>
            <w:hideMark/>
          </w:tcPr>
          <w:p w14:paraId="6CF6965C"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3580</w:t>
            </w:r>
          </w:p>
        </w:tc>
        <w:tc>
          <w:tcPr>
            <w:tcW w:w="826" w:type="dxa"/>
            <w:tcBorders>
              <w:top w:val="nil"/>
              <w:left w:val="nil"/>
              <w:bottom w:val="single" w:sz="4" w:space="0" w:color="auto"/>
              <w:right w:val="single" w:sz="4" w:space="0" w:color="auto"/>
            </w:tcBorders>
            <w:shd w:val="clear" w:color="auto" w:fill="auto"/>
            <w:noWrap/>
            <w:vAlign w:val="center"/>
            <w:hideMark/>
          </w:tcPr>
          <w:p w14:paraId="4AF332CB" w14:textId="77777777" w:rsidR="00AB359E" w:rsidRPr="005970E9" w:rsidRDefault="00AB359E" w:rsidP="00AB359E">
            <w:pPr>
              <w:jc w:val="right"/>
              <w:rPr>
                <w:rFonts w:eastAsia="Times New Roman" w:cs="Arial"/>
                <w:color w:val="000000"/>
                <w:sz w:val="20"/>
                <w:szCs w:val="20"/>
              </w:rPr>
            </w:pPr>
            <w:r w:rsidRPr="005970E9">
              <w:rPr>
                <w:rFonts w:eastAsia="Times New Roman" w:cs="Arial"/>
                <w:color w:val="000000"/>
                <w:sz w:val="20"/>
                <w:szCs w:val="20"/>
              </w:rPr>
              <w:t>780</w:t>
            </w:r>
          </w:p>
        </w:tc>
        <w:tc>
          <w:tcPr>
            <w:tcW w:w="1387" w:type="dxa"/>
            <w:tcBorders>
              <w:top w:val="nil"/>
              <w:left w:val="nil"/>
              <w:bottom w:val="single" w:sz="4" w:space="0" w:color="auto"/>
              <w:right w:val="nil"/>
            </w:tcBorders>
            <w:shd w:val="clear" w:color="auto" w:fill="auto"/>
            <w:noWrap/>
            <w:vAlign w:val="center"/>
            <w:hideMark/>
          </w:tcPr>
          <w:p w14:paraId="6EF07AD2"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4360</w:t>
            </w:r>
          </w:p>
        </w:tc>
        <w:tc>
          <w:tcPr>
            <w:tcW w:w="739" w:type="dxa"/>
            <w:tcBorders>
              <w:top w:val="nil"/>
              <w:left w:val="single" w:sz="4" w:space="0" w:color="auto"/>
              <w:bottom w:val="single" w:sz="4" w:space="0" w:color="auto"/>
              <w:right w:val="nil"/>
            </w:tcBorders>
            <w:shd w:val="clear" w:color="auto" w:fill="auto"/>
            <w:noWrap/>
            <w:vAlign w:val="center"/>
            <w:hideMark/>
          </w:tcPr>
          <w:p w14:paraId="1AA4CBC5"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83</w:t>
            </w:r>
          </w:p>
        </w:tc>
        <w:tc>
          <w:tcPr>
            <w:tcW w:w="709" w:type="dxa"/>
            <w:tcBorders>
              <w:top w:val="nil"/>
              <w:left w:val="single" w:sz="4" w:space="0" w:color="auto"/>
              <w:bottom w:val="single" w:sz="4" w:space="0" w:color="auto"/>
              <w:right w:val="nil"/>
            </w:tcBorders>
            <w:shd w:val="clear" w:color="auto" w:fill="auto"/>
            <w:noWrap/>
            <w:vAlign w:val="center"/>
            <w:hideMark/>
          </w:tcPr>
          <w:p w14:paraId="3F29F33F" w14:textId="77777777" w:rsidR="00AB359E" w:rsidRPr="005970E9" w:rsidRDefault="00AB359E" w:rsidP="00AB359E">
            <w:pPr>
              <w:jc w:val="center"/>
              <w:rPr>
                <w:rFonts w:eastAsia="Times New Roman" w:cs="Arial"/>
                <w:color w:val="000000"/>
                <w:sz w:val="20"/>
                <w:szCs w:val="20"/>
              </w:rPr>
            </w:pPr>
            <w:r w:rsidRPr="005970E9">
              <w:rPr>
                <w:rFonts w:eastAsia="Times New Roman" w:cs="Arial"/>
                <w:color w:val="000000"/>
                <w:sz w:val="20"/>
                <w:szCs w:val="20"/>
              </w:rPr>
              <w:t>81</w:t>
            </w:r>
          </w:p>
        </w:tc>
      </w:tr>
      <w:tr w:rsidR="00AB359E" w:rsidRPr="005970E9" w14:paraId="7DC49ED6" w14:textId="77777777" w:rsidTr="00471873">
        <w:trPr>
          <w:trHeight w:val="276"/>
        </w:trPr>
        <w:tc>
          <w:tcPr>
            <w:tcW w:w="9356" w:type="dxa"/>
            <w:gridSpan w:val="9"/>
            <w:tcBorders>
              <w:top w:val="single" w:sz="4" w:space="0" w:color="auto"/>
              <w:left w:val="nil"/>
              <w:bottom w:val="nil"/>
              <w:right w:val="nil"/>
            </w:tcBorders>
            <w:shd w:val="clear" w:color="auto" w:fill="E5DFEC" w:themeFill="accent4" w:themeFillTint="33"/>
            <w:noWrap/>
            <w:vAlign w:val="center"/>
            <w:hideMark/>
          </w:tcPr>
          <w:p w14:paraId="1F82F383" w14:textId="77777777" w:rsidR="00AB359E" w:rsidRPr="005970E9" w:rsidRDefault="00AB359E" w:rsidP="00AB359E">
            <w:pPr>
              <w:rPr>
                <w:rFonts w:eastAsia="Times New Roman" w:cs="Arial"/>
                <w:color w:val="000000"/>
                <w:sz w:val="20"/>
                <w:szCs w:val="20"/>
              </w:rPr>
            </w:pPr>
            <w:r w:rsidRPr="005970E9">
              <w:rPr>
                <w:rFonts w:eastAsia="Times New Roman" w:cs="Arial"/>
                <w:color w:val="000000"/>
                <w:sz w:val="20"/>
                <w:szCs w:val="20"/>
              </w:rPr>
              <w:t>(*) Incluye Primaria, Premedia y Media para el 2018.</w:t>
            </w:r>
          </w:p>
        </w:tc>
      </w:tr>
      <w:tr w:rsidR="00AB359E" w:rsidRPr="005970E9" w14:paraId="7247F140" w14:textId="77777777" w:rsidTr="00471873">
        <w:trPr>
          <w:trHeight w:val="465"/>
        </w:trPr>
        <w:tc>
          <w:tcPr>
            <w:tcW w:w="9356" w:type="dxa"/>
            <w:gridSpan w:val="9"/>
            <w:tcBorders>
              <w:top w:val="nil"/>
              <w:left w:val="nil"/>
              <w:bottom w:val="nil"/>
              <w:right w:val="nil"/>
            </w:tcBorders>
            <w:shd w:val="clear" w:color="auto" w:fill="E5DFEC" w:themeFill="accent4" w:themeFillTint="33"/>
            <w:vAlign w:val="center"/>
            <w:hideMark/>
          </w:tcPr>
          <w:p w14:paraId="7B0E650F" w14:textId="4480A1A8" w:rsidR="00AB359E" w:rsidRPr="005970E9" w:rsidRDefault="00AB359E" w:rsidP="00AB359E">
            <w:pPr>
              <w:rPr>
                <w:rFonts w:eastAsia="Times New Roman" w:cs="Arial"/>
                <w:color w:val="000000"/>
                <w:sz w:val="20"/>
                <w:szCs w:val="20"/>
              </w:rPr>
            </w:pPr>
            <w:r w:rsidRPr="005970E9">
              <w:rPr>
                <w:rFonts w:eastAsia="Times New Roman" w:cs="Arial"/>
                <w:color w:val="000000"/>
                <w:sz w:val="20"/>
                <w:szCs w:val="20"/>
              </w:rPr>
              <w:t xml:space="preserve">Fuente: Elaboración propia en base a datos del Departamento de </w:t>
            </w:r>
            <w:r w:rsidR="0072455C" w:rsidRPr="005970E9">
              <w:rPr>
                <w:rFonts w:eastAsia="Times New Roman" w:cs="Arial"/>
                <w:color w:val="000000"/>
                <w:sz w:val="20"/>
                <w:szCs w:val="20"/>
              </w:rPr>
              <w:t>Estadística</w:t>
            </w:r>
            <w:r w:rsidRPr="005970E9">
              <w:rPr>
                <w:rFonts w:eastAsia="Times New Roman" w:cs="Arial"/>
                <w:color w:val="000000"/>
                <w:sz w:val="20"/>
                <w:szCs w:val="20"/>
              </w:rPr>
              <w:t xml:space="preserve"> del MEDUCA y del Instituto de Estadística y Censo de la Contraloría General de la República de Panamá.</w:t>
            </w:r>
          </w:p>
        </w:tc>
      </w:tr>
    </w:tbl>
    <w:p w14:paraId="0EF925BC" w14:textId="692FD158" w:rsidR="00B76B0C" w:rsidRPr="005970E9" w:rsidRDefault="00B76B0C" w:rsidP="00A36980">
      <w:pPr>
        <w:spacing w:before="120" w:after="120"/>
        <w:jc w:val="both"/>
        <w:rPr>
          <w:rFonts w:eastAsia="Century Schoolbook" w:cs="Century Schoolbook"/>
        </w:rPr>
      </w:pPr>
    </w:p>
    <w:p w14:paraId="07294A2F" w14:textId="77777777" w:rsidR="00B76B0C" w:rsidRPr="005970E9" w:rsidRDefault="003B5C05" w:rsidP="00D478B6">
      <w:pPr>
        <w:pStyle w:val="Heading2"/>
        <w:numPr>
          <w:ilvl w:val="1"/>
          <w:numId w:val="56"/>
        </w:numPr>
      </w:pPr>
      <w:bookmarkStart w:id="173" w:name="_Toc42159225"/>
      <w:bookmarkStart w:id="174" w:name="_Toc42549456"/>
      <w:r w:rsidRPr="005970E9">
        <w:t>Género y Salud</w:t>
      </w:r>
      <w:bookmarkEnd w:id="173"/>
      <w:bookmarkEnd w:id="174"/>
    </w:p>
    <w:p w14:paraId="560F98FB" w14:textId="2B662724" w:rsidR="00A36980" w:rsidRPr="005970E9" w:rsidRDefault="00A36980" w:rsidP="008031E2">
      <w:pPr>
        <w:spacing w:line="276" w:lineRule="auto"/>
        <w:jc w:val="both"/>
      </w:pPr>
      <w:r w:rsidRPr="005970E9">
        <w:t>Se presentan los resultados de salud para el período 2010-2019, con el fin de ver los progresos en la salud de las mujeres en Panamá.  El análisis parte señala</w:t>
      </w:r>
      <w:r w:rsidR="00BF0E46" w:rsidRPr="005970E9">
        <w:t>ndo</w:t>
      </w:r>
      <w:r w:rsidRPr="005970E9">
        <w:t xml:space="preserve"> los indicadores nacionales, tales como la esperanza de vida, la natalidad, fecundidad, mortalidad y morbilidad.  Sin embargo, existen también indicadores globales de la salud, establecidos en los ODS específicamente el Objetivo No.5 </w:t>
      </w:r>
      <w:sdt>
        <w:sdtPr>
          <w:rPr>
            <w:rFonts w:cs="TheSans-3Light"/>
          </w:rPr>
          <w:id w:val="-1332909861"/>
          <w:citation/>
        </w:sdtPr>
        <w:sdtEndPr/>
        <w:sdtContent>
          <w:r w:rsidRPr="005970E9">
            <w:rPr>
              <w:rFonts w:cs="TheSans-3Light"/>
            </w:rPr>
            <w:fldChar w:fldCharType="begin"/>
          </w:r>
          <w:r w:rsidRPr="005970E9">
            <w:rPr>
              <w:rFonts w:cs="TheSans-3Light"/>
            </w:rPr>
            <w:instrText xml:space="preserve"> CITATION ONU18 \l 6154 </w:instrText>
          </w:r>
          <w:r w:rsidRPr="005970E9">
            <w:rPr>
              <w:rFonts w:cs="TheSans-3Light"/>
            </w:rPr>
            <w:fldChar w:fldCharType="separate"/>
          </w:r>
          <w:r w:rsidRPr="005970E9">
            <w:rPr>
              <w:rFonts w:cs="TheSans-3Light"/>
              <w:noProof/>
            </w:rPr>
            <w:t>(ONU Mujeres, 2018)</w:t>
          </w:r>
          <w:r w:rsidRPr="005970E9">
            <w:rPr>
              <w:rFonts w:cs="TheSans-3Light"/>
            </w:rPr>
            <w:fldChar w:fldCharType="end"/>
          </w:r>
        </w:sdtContent>
      </w:sdt>
      <w:r w:rsidRPr="005970E9">
        <w:t xml:space="preserve"> que propugna por el alcance de la igualdad entre los géneros y empoderar a todas las mujeres y niñas, particularmente las metas de salud a saber:</w:t>
      </w:r>
    </w:p>
    <w:p w14:paraId="2F6CBFF5" w14:textId="77777777" w:rsidR="00A36980" w:rsidRPr="005970E9" w:rsidRDefault="00A36980" w:rsidP="008031E2">
      <w:pPr>
        <w:pStyle w:val="ListParagraph"/>
        <w:numPr>
          <w:ilvl w:val="0"/>
          <w:numId w:val="19"/>
        </w:numPr>
        <w:autoSpaceDE w:val="0"/>
        <w:autoSpaceDN w:val="0"/>
        <w:adjustRightInd w:val="0"/>
        <w:spacing w:line="276" w:lineRule="auto"/>
        <w:jc w:val="both"/>
        <w:rPr>
          <w:rFonts w:ascii="Century Schoolbook" w:hAnsi="Century Schoolbook" w:cs="TheSans-3Light"/>
        </w:rPr>
      </w:pPr>
      <w:r w:rsidRPr="005970E9">
        <w:rPr>
          <w:rFonts w:ascii="Century Schoolbook" w:hAnsi="Century Schoolbook" w:cs="TheSans-3Light"/>
        </w:rPr>
        <w:t>Tasa de mortalidad materna.</w:t>
      </w:r>
    </w:p>
    <w:p w14:paraId="7A0CED9F" w14:textId="77777777" w:rsidR="00A36980" w:rsidRPr="005970E9" w:rsidRDefault="00A36980" w:rsidP="008031E2">
      <w:pPr>
        <w:pStyle w:val="ListParagraph"/>
        <w:numPr>
          <w:ilvl w:val="0"/>
          <w:numId w:val="19"/>
        </w:numPr>
        <w:autoSpaceDE w:val="0"/>
        <w:autoSpaceDN w:val="0"/>
        <w:adjustRightInd w:val="0"/>
        <w:spacing w:line="276" w:lineRule="auto"/>
        <w:jc w:val="both"/>
        <w:rPr>
          <w:rFonts w:ascii="Century Schoolbook" w:hAnsi="Century Schoolbook" w:cs="TheSans-3Light"/>
        </w:rPr>
      </w:pPr>
      <w:r w:rsidRPr="005970E9">
        <w:rPr>
          <w:rFonts w:ascii="Century Schoolbook" w:hAnsi="Century Schoolbook" w:cs="TheSans-3Light"/>
        </w:rPr>
        <w:t>Proporción de partos atendidos por personal sanitario especializado.</w:t>
      </w:r>
    </w:p>
    <w:p w14:paraId="5D04E1E0" w14:textId="77777777" w:rsidR="00A36980" w:rsidRPr="005970E9" w:rsidRDefault="00A36980" w:rsidP="008031E2">
      <w:pPr>
        <w:pStyle w:val="ListParagraph"/>
        <w:numPr>
          <w:ilvl w:val="0"/>
          <w:numId w:val="19"/>
        </w:numPr>
        <w:autoSpaceDE w:val="0"/>
        <w:autoSpaceDN w:val="0"/>
        <w:adjustRightInd w:val="0"/>
        <w:spacing w:line="276" w:lineRule="auto"/>
        <w:jc w:val="both"/>
        <w:rPr>
          <w:rFonts w:ascii="Century Schoolbook" w:hAnsi="Century Schoolbook" w:cs="TheSans-3Light"/>
        </w:rPr>
      </w:pPr>
      <w:r w:rsidRPr="005970E9">
        <w:rPr>
          <w:rFonts w:ascii="Century Schoolbook" w:hAnsi="Century Schoolbook" w:cs="TheSans-3Light"/>
        </w:rPr>
        <w:t>Número de infecciones por el VIH por sexo.</w:t>
      </w:r>
    </w:p>
    <w:p w14:paraId="1F5A249F" w14:textId="77777777" w:rsidR="00A36980" w:rsidRPr="005970E9" w:rsidRDefault="00A36980" w:rsidP="008031E2">
      <w:pPr>
        <w:pStyle w:val="ListParagraph"/>
        <w:numPr>
          <w:ilvl w:val="0"/>
          <w:numId w:val="19"/>
        </w:numPr>
        <w:autoSpaceDE w:val="0"/>
        <w:autoSpaceDN w:val="0"/>
        <w:adjustRightInd w:val="0"/>
        <w:spacing w:line="276" w:lineRule="auto"/>
        <w:jc w:val="both"/>
        <w:rPr>
          <w:rFonts w:ascii="Century Schoolbook" w:hAnsi="Century Schoolbook" w:cs="TheSans-3Light"/>
        </w:rPr>
      </w:pPr>
      <w:r w:rsidRPr="005970E9">
        <w:rPr>
          <w:rFonts w:ascii="Century Schoolbook" w:hAnsi="Century Schoolbook" w:cs="TheSans-3Light"/>
        </w:rPr>
        <w:t>Proporción de mujeres en edad de procrear que cubren sus necesidades de planificación familiar con métodos modernos.</w:t>
      </w:r>
    </w:p>
    <w:p w14:paraId="6A23E04E" w14:textId="04F19DFB" w:rsidR="00A36980" w:rsidRPr="005970E9" w:rsidRDefault="00A36980" w:rsidP="00A36980">
      <w:pPr>
        <w:pStyle w:val="ListParagraph"/>
        <w:numPr>
          <w:ilvl w:val="0"/>
          <w:numId w:val="19"/>
        </w:numPr>
        <w:autoSpaceDE w:val="0"/>
        <w:autoSpaceDN w:val="0"/>
        <w:adjustRightInd w:val="0"/>
        <w:spacing w:line="276" w:lineRule="auto"/>
        <w:jc w:val="both"/>
        <w:rPr>
          <w:rFonts w:ascii="Century Schoolbook" w:hAnsi="Century Schoolbook"/>
        </w:rPr>
      </w:pPr>
      <w:r w:rsidRPr="005970E9">
        <w:rPr>
          <w:rFonts w:ascii="Century Schoolbook" w:hAnsi="Century Schoolbook" w:cs="TheSans-3Light"/>
        </w:rPr>
        <w:t xml:space="preserve">Tasa de fecundidad de las adolescentes. </w:t>
      </w:r>
    </w:p>
    <w:p w14:paraId="3807E777" w14:textId="321CD14D" w:rsidR="00BF0E46" w:rsidRPr="005970E9" w:rsidRDefault="00BF0E46" w:rsidP="00D478B6">
      <w:pPr>
        <w:pStyle w:val="Heading3"/>
        <w:numPr>
          <w:ilvl w:val="2"/>
          <w:numId w:val="56"/>
        </w:numPr>
      </w:pPr>
      <w:bookmarkStart w:id="175" w:name="_Toc42159226"/>
      <w:bookmarkStart w:id="176" w:name="_Toc42549457"/>
      <w:r w:rsidRPr="005970E9">
        <w:t>Esperanza de vida</w:t>
      </w:r>
      <w:bookmarkEnd w:id="175"/>
      <w:bookmarkEnd w:id="176"/>
      <w:r w:rsidRPr="005970E9">
        <w:t xml:space="preserve"> </w:t>
      </w:r>
    </w:p>
    <w:p w14:paraId="7D60F2F0" w14:textId="3218946B" w:rsidR="00A36980" w:rsidRPr="005970E9" w:rsidRDefault="00A36980" w:rsidP="00306A6C">
      <w:pPr>
        <w:spacing w:line="276" w:lineRule="auto"/>
        <w:jc w:val="both"/>
      </w:pPr>
      <w:r w:rsidRPr="005970E9">
        <w:t xml:space="preserve">El análisis parte por los indicadores de la Esperanza de Vida al nacer (en años) se han ido incrementando de forma sostenida en el último quinquenio pasando de 76.8 años en </w:t>
      </w:r>
      <w:r w:rsidRPr="005970E9">
        <w:lastRenderedPageBreak/>
        <w:t>2010 a 77.83 años en el 2015, siendo de 75.78 años para los hombres y 80.87 años para las mujeres (</w:t>
      </w:r>
      <w:r w:rsidR="00533E56">
        <w:t xml:space="preserve">Gráfico </w:t>
      </w:r>
      <w:r w:rsidR="00533E56" w:rsidRPr="00FF4DED">
        <w:t>21</w:t>
      </w:r>
      <w:r w:rsidRPr="00FF4DED">
        <w:fldChar w:fldCharType="begin"/>
      </w:r>
      <w:r w:rsidRPr="00FF4DED">
        <w:instrText xml:space="preserve"> REF _Ref22375770 \h  \* MERGEFORMAT </w:instrText>
      </w:r>
      <w:r w:rsidRPr="00FF4DED">
        <w:fldChar w:fldCharType="end"/>
      </w:r>
      <w:r w:rsidRPr="00FF4DED">
        <w:t xml:space="preserve"> y Cuadro </w:t>
      </w:r>
      <w:r w:rsidR="00533E56" w:rsidRPr="00FF4DED">
        <w:t>5</w:t>
      </w:r>
      <w:r w:rsidRPr="00FF4DED">
        <w:t>). En</w:t>
      </w:r>
      <w:r w:rsidRPr="005970E9">
        <w:t xml:space="preserve"> 2020, la esperanza de vida aumentó </w:t>
      </w:r>
      <w:r w:rsidR="006170BE" w:rsidRPr="005970E9">
        <w:t>en</w:t>
      </w:r>
      <w:r w:rsidRPr="005970E9">
        <w:t xml:space="preserve"> 8.51 años para ambos sexos, siendo de 83.42 para mujeres y 77.6 para hombres, con una diferencia de 5.82 años entre sexos. El INEC proyecta para el 2030 un aumento en la esperanza de vida promedio a 81.95, llegando a ser de 84.80 años para las mujeres y de 79.10 años para los hombres, con una diferencia de 5.70 años entre ambos sexos. </w:t>
      </w:r>
      <w:sdt>
        <w:sdtPr>
          <w:id w:val="-346014414"/>
          <w:citation/>
        </w:sdtPr>
        <w:sdtEndPr/>
        <w:sdtContent>
          <w:r w:rsidRPr="005970E9">
            <w:fldChar w:fldCharType="begin"/>
          </w:r>
          <w:r w:rsidRPr="005970E9">
            <w:instrText xml:space="preserve"> CITATION INE18 \l 6154 </w:instrText>
          </w:r>
          <w:r w:rsidRPr="005970E9">
            <w:fldChar w:fldCharType="separate"/>
          </w:r>
          <w:r w:rsidRPr="005970E9">
            <w:rPr>
              <w:noProof/>
            </w:rPr>
            <w:t>(INEC, Estadísticas Vitales 2018 del Instituto Nacional de Estadística, 2018)</w:t>
          </w:r>
          <w:r w:rsidRPr="005970E9">
            <w:fldChar w:fldCharType="end"/>
          </w:r>
        </w:sdtContent>
      </w:sdt>
      <w:r w:rsidRPr="005970E9">
        <w:t xml:space="preserve">. Lo anterior implica generar Políticas Públicas para satisfacer las necesidades de esta población adulta mayor, en salud, </w:t>
      </w:r>
      <w:r w:rsidR="00306A6C" w:rsidRPr="005970E9">
        <w:t xml:space="preserve">en </w:t>
      </w:r>
      <w:r w:rsidRPr="005970E9">
        <w:t xml:space="preserve">sistema de pensiones, </w:t>
      </w:r>
      <w:r w:rsidR="00306A6C" w:rsidRPr="005970E9">
        <w:t xml:space="preserve">en las condiciones de cuidado, </w:t>
      </w:r>
      <w:r w:rsidR="0070203A" w:rsidRPr="005970E9">
        <w:t xml:space="preserve">en el ocio y en la cultura. También </w:t>
      </w:r>
      <w:r w:rsidR="00306A6C" w:rsidRPr="005970E9">
        <w:t xml:space="preserve">se requiere impulsar el cuidado como una responsabilidad de todos los miembros del hogar. </w:t>
      </w:r>
    </w:p>
    <w:p w14:paraId="640E4BEA" w14:textId="7DCB478D" w:rsidR="008031E2" w:rsidRPr="005970E9" w:rsidRDefault="008031E2" w:rsidP="00EF29CA">
      <w:pPr>
        <w:pStyle w:val="Caption"/>
        <w:keepNext/>
        <w:jc w:val="center"/>
        <w:rPr>
          <w:rFonts w:ascii="Century Schoolbook" w:hAnsi="Century Schoolbook"/>
          <w:sz w:val="20"/>
          <w:szCs w:val="20"/>
        </w:rPr>
      </w:pPr>
      <w:bookmarkStart w:id="177" w:name="_Toc42549253"/>
      <w:r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21</w:t>
      </w:r>
      <w:r w:rsidR="00F202BE" w:rsidRPr="005970E9">
        <w:rPr>
          <w:rFonts w:ascii="Century Schoolbook" w:hAnsi="Century Schoolbook"/>
          <w:sz w:val="20"/>
          <w:szCs w:val="20"/>
        </w:rPr>
        <w:fldChar w:fldCharType="end"/>
      </w:r>
      <w:r w:rsidR="00762AAF" w:rsidRPr="005970E9">
        <w:rPr>
          <w:rFonts w:ascii="Century Schoolbook" w:hAnsi="Century Schoolbook"/>
          <w:sz w:val="20"/>
          <w:szCs w:val="20"/>
        </w:rPr>
        <w:t xml:space="preserve"> </w:t>
      </w:r>
      <w:r w:rsidR="00820926" w:rsidRPr="005970E9">
        <w:rPr>
          <w:rFonts w:ascii="Century Schoolbook" w:hAnsi="Century Schoolbook"/>
          <w:sz w:val="20"/>
          <w:szCs w:val="20"/>
        </w:rPr>
        <w:t xml:space="preserve">Esperanza de vida en </w:t>
      </w:r>
      <w:r w:rsidR="008961C4" w:rsidRPr="005970E9">
        <w:rPr>
          <w:rFonts w:ascii="Century Schoolbook" w:hAnsi="Century Schoolbook"/>
          <w:sz w:val="20"/>
          <w:szCs w:val="20"/>
        </w:rPr>
        <w:t>años en</w:t>
      </w:r>
      <w:r w:rsidR="00820926" w:rsidRPr="005970E9">
        <w:rPr>
          <w:rFonts w:ascii="Century Schoolbook" w:hAnsi="Century Schoolbook"/>
          <w:sz w:val="20"/>
          <w:szCs w:val="20"/>
        </w:rPr>
        <w:t xml:space="preserve"> </w:t>
      </w:r>
      <w:r w:rsidR="00EF29CA" w:rsidRPr="005970E9">
        <w:rPr>
          <w:rFonts w:ascii="Century Schoolbook" w:hAnsi="Century Schoolbook"/>
          <w:sz w:val="20"/>
          <w:szCs w:val="20"/>
        </w:rPr>
        <w:t>P</w:t>
      </w:r>
      <w:r w:rsidR="00820926" w:rsidRPr="005970E9">
        <w:rPr>
          <w:rFonts w:ascii="Century Schoolbook" w:hAnsi="Century Schoolbook"/>
          <w:sz w:val="20"/>
          <w:szCs w:val="20"/>
        </w:rPr>
        <w:t>anamá, por sexo: quinquenios 2000-2030*</w:t>
      </w:r>
      <w:bookmarkEnd w:id="177"/>
    </w:p>
    <w:p w14:paraId="5291087D" w14:textId="1FC2B9DA" w:rsidR="00A36980" w:rsidRPr="005970E9" w:rsidRDefault="00A36980" w:rsidP="00A36980">
      <w:pPr>
        <w:jc w:val="center"/>
        <w:rPr>
          <w:noProof/>
        </w:rPr>
      </w:pPr>
      <w:r w:rsidRPr="005970E9">
        <w:rPr>
          <w:noProof/>
        </w:rPr>
        <w:t xml:space="preserve"> </w:t>
      </w:r>
      <w:r w:rsidRPr="005970E9">
        <w:rPr>
          <w:noProof/>
        </w:rPr>
        <w:drawing>
          <wp:inline distT="0" distB="0" distL="0" distR="0" wp14:anchorId="052BF345" wp14:editId="4EE655CE">
            <wp:extent cx="5443220" cy="2331720"/>
            <wp:effectExtent l="0" t="0" r="5080" b="1143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C60A4E8" w14:textId="44C28CAC" w:rsidR="00762AAF" w:rsidRPr="005970E9" w:rsidRDefault="00762AAF" w:rsidP="00A36980">
      <w:pPr>
        <w:jc w:val="center"/>
      </w:pPr>
    </w:p>
    <w:p w14:paraId="20FF7E13" w14:textId="786DA179" w:rsidR="00A36980" w:rsidRPr="005970E9" w:rsidRDefault="0049052D" w:rsidP="0049052D">
      <w:pPr>
        <w:pStyle w:val="Caption"/>
        <w:rPr>
          <w:rFonts w:ascii="Century Schoolbook" w:hAnsi="Century Schoolbook"/>
          <w:i w:val="0"/>
          <w:iCs w:val="0"/>
          <w:sz w:val="20"/>
          <w:szCs w:val="20"/>
        </w:rPr>
      </w:pPr>
      <w:bookmarkStart w:id="178" w:name="_Toc42549171"/>
      <w:r w:rsidRPr="005970E9">
        <w:rPr>
          <w:rFonts w:ascii="Century Schoolbook" w:hAnsi="Century Schoolbook"/>
          <w:i w:val="0"/>
          <w:iCs w:val="0"/>
        </w:rPr>
        <w:t xml:space="preserve">Cuadro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Cuadro \* ARABIC </w:instrText>
      </w:r>
      <w:r w:rsidRPr="005970E9">
        <w:rPr>
          <w:rFonts w:ascii="Century Schoolbook" w:hAnsi="Century Schoolbook"/>
          <w:i w:val="0"/>
          <w:iCs w:val="0"/>
        </w:rPr>
        <w:fldChar w:fldCharType="separate"/>
      </w:r>
      <w:r w:rsidR="00C5422E" w:rsidRPr="005970E9">
        <w:rPr>
          <w:rFonts w:ascii="Century Schoolbook" w:hAnsi="Century Schoolbook"/>
          <w:i w:val="0"/>
          <w:iCs w:val="0"/>
          <w:noProof/>
        </w:rPr>
        <w:t>5</w:t>
      </w:r>
      <w:r w:rsidRPr="005970E9">
        <w:rPr>
          <w:rFonts w:ascii="Century Schoolbook" w:hAnsi="Century Schoolbook"/>
          <w:i w:val="0"/>
          <w:iCs w:val="0"/>
        </w:rPr>
        <w:fldChar w:fldCharType="end"/>
      </w:r>
      <w:r w:rsidRPr="005970E9">
        <w:rPr>
          <w:rFonts w:ascii="Century Schoolbook" w:hAnsi="Century Schoolbook"/>
          <w:i w:val="0"/>
          <w:iCs w:val="0"/>
        </w:rPr>
        <w:t xml:space="preserve">. </w:t>
      </w:r>
      <w:r w:rsidR="00762AAF" w:rsidRPr="005970E9">
        <w:rPr>
          <w:rFonts w:ascii="Century Schoolbook" w:eastAsia="Times New Roman" w:hAnsi="Century Schoolbook"/>
          <w:i w:val="0"/>
          <w:iCs w:val="0"/>
          <w:color w:val="000000"/>
          <w:sz w:val="20"/>
          <w:szCs w:val="20"/>
        </w:rPr>
        <w:t xml:space="preserve">ESPERANZA DE VIDA AL NACER EN </w:t>
      </w:r>
      <w:r w:rsidR="00E014C1" w:rsidRPr="005970E9">
        <w:rPr>
          <w:rFonts w:ascii="Century Schoolbook" w:eastAsia="Times New Roman" w:hAnsi="Century Schoolbook"/>
          <w:i w:val="0"/>
          <w:iCs w:val="0"/>
          <w:color w:val="000000"/>
          <w:sz w:val="20"/>
          <w:szCs w:val="20"/>
        </w:rPr>
        <w:t xml:space="preserve">AÑOS EN </w:t>
      </w:r>
      <w:r w:rsidR="00762AAF" w:rsidRPr="005970E9">
        <w:rPr>
          <w:rFonts w:ascii="Century Schoolbook" w:eastAsia="Times New Roman" w:hAnsi="Century Schoolbook"/>
          <w:i w:val="0"/>
          <w:iCs w:val="0"/>
          <w:color w:val="000000"/>
          <w:sz w:val="20"/>
          <w:szCs w:val="20"/>
        </w:rPr>
        <w:t>PANAMÁ POR SEXO: QUINQUENIOS 2000-2030</w:t>
      </w:r>
      <w:r w:rsidR="00762AAF" w:rsidRPr="005970E9">
        <w:rPr>
          <w:rFonts w:ascii="Century Schoolbook" w:eastAsia="Times New Roman" w:hAnsi="Century Schoolbook"/>
          <w:b/>
          <w:bCs/>
          <w:i w:val="0"/>
          <w:iCs w:val="0"/>
          <w:color w:val="000000"/>
          <w:sz w:val="20"/>
          <w:szCs w:val="20"/>
        </w:rPr>
        <w:t>*</w:t>
      </w:r>
      <w:bookmarkEnd w:id="178"/>
    </w:p>
    <w:tbl>
      <w:tblPr>
        <w:tblW w:w="5529" w:type="dxa"/>
        <w:jc w:val="center"/>
        <w:tblLayout w:type="fixed"/>
        <w:tblCellMar>
          <w:left w:w="70" w:type="dxa"/>
          <w:right w:w="70" w:type="dxa"/>
        </w:tblCellMar>
        <w:tblLook w:val="04A0" w:firstRow="1" w:lastRow="0" w:firstColumn="1" w:lastColumn="0" w:noHBand="0" w:noVBand="1"/>
      </w:tblPr>
      <w:tblGrid>
        <w:gridCol w:w="772"/>
        <w:gridCol w:w="1232"/>
        <w:gridCol w:w="1026"/>
        <w:gridCol w:w="1223"/>
        <w:gridCol w:w="1276"/>
      </w:tblGrid>
      <w:tr w:rsidR="00A36980" w:rsidRPr="005970E9" w14:paraId="0C8373C0" w14:textId="77777777" w:rsidTr="00762AAF">
        <w:trPr>
          <w:trHeight w:val="186"/>
          <w:jc w:val="center"/>
        </w:trPr>
        <w:tc>
          <w:tcPr>
            <w:tcW w:w="772" w:type="dxa"/>
            <w:vMerge w:val="restar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14:paraId="6D379101"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Año</w:t>
            </w:r>
          </w:p>
        </w:tc>
        <w:tc>
          <w:tcPr>
            <w:tcW w:w="2258" w:type="dxa"/>
            <w:gridSpan w:val="2"/>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14:paraId="07C2C961"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Sexo</w:t>
            </w:r>
          </w:p>
        </w:tc>
        <w:tc>
          <w:tcPr>
            <w:tcW w:w="1223" w:type="dxa"/>
            <w:vMerge w:val="restart"/>
            <w:tcBorders>
              <w:top w:val="single" w:sz="4" w:space="0" w:color="auto"/>
              <w:left w:val="single" w:sz="4" w:space="0" w:color="auto"/>
              <w:bottom w:val="single" w:sz="4" w:space="0" w:color="auto"/>
              <w:right w:val="nil"/>
            </w:tcBorders>
            <w:shd w:val="clear" w:color="auto" w:fill="CCC0D9" w:themeFill="accent4" w:themeFillTint="66"/>
            <w:noWrap/>
            <w:vAlign w:val="center"/>
            <w:hideMark/>
          </w:tcPr>
          <w:p w14:paraId="56B44503"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Promedio</w:t>
            </w:r>
          </w:p>
        </w:tc>
        <w:tc>
          <w:tcPr>
            <w:tcW w:w="1276" w:type="dxa"/>
            <w:vMerge w:val="restart"/>
            <w:tcBorders>
              <w:top w:val="single" w:sz="4" w:space="0" w:color="auto"/>
              <w:left w:val="single" w:sz="4" w:space="0" w:color="auto"/>
              <w:bottom w:val="single" w:sz="4" w:space="0" w:color="auto"/>
              <w:right w:val="nil"/>
            </w:tcBorders>
            <w:shd w:val="clear" w:color="auto" w:fill="CCC0D9" w:themeFill="accent4" w:themeFillTint="66"/>
            <w:noWrap/>
            <w:vAlign w:val="center"/>
            <w:hideMark/>
          </w:tcPr>
          <w:p w14:paraId="41AC2D71"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Diferencia</w:t>
            </w:r>
          </w:p>
          <w:p w14:paraId="5CC85576" w14:textId="77777777" w:rsidR="00A36980" w:rsidRPr="005970E9" w:rsidRDefault="001D6645" w:rsidP="00216547">
            <w:pPr>
              <w:jc w:val="center"/>
              <w:rPr>
                <w:rFonts w:eastAsia="Times New Roman"/>
                <w:color w:val="000000"/>
                <w:sz w:val="20"/>
                <w:szCs w:val="20"/>
              </w:rPr>
            </w:pPr>
            <w:r w:rsidRPr="005970E9">
              <w:rPr>
                <w:rFonts w:eastAsia="Times New Roman"/>
                <w:color w:val="000000"/>
                <w:sz w:val="20"/>
                <w:szCs w:val="20"/>
              </w:rPr>
              <w:t>(M-H)</w:t>
            </w:r>
          </w:p>
        </w:tc>
      </w:tr>
      <w:tr w:rsidR="00A36980" w:rsidRPr="005970E9" w14:paraId="3E70FF9E" w14:textId="77777777" w:rsidTr="00762AAF">
        <w:trPr>
          <w:trHeight w:val="221"/>
          <w:jc w:val="center"/>
        </w:trPr>
        <w:tc>
          <w:tcPr>
            <w:tcW w:w="772" w:type="dxa"/>
            <w:vMerge/>
            <w:tcBorders>
              <w:top w:val="single" w:sz="4" w:space="0" w:color="auto"/>
              <w:left w:val="nil"/>
              <w:bottom w:val="single" w:sz="4" w:space="0" w:color="auto"/>
              <w:right w:val="single" w:sz="4" w:space="0" w:color="auto"/>
            </w:tcBorders>
            <w:vAlign w:val="center"/>
            <w:hideMark/>
          </w:tcPr>
          <w:p w14:paraId="29FC4519" w14:textId="77777777" w:rsidR="00A36980" w:rsidRPr="005970E9" w:rsidRDefault="00A36980" w:rsidP="00216547">
            <w:pPr>
              <w:rPr>
                <w:rFonts w:eastAsia="Times New Roman"/>
                <w:color w:val="000000"/>
                <w:sz w:val="20"/>
                <w:szCs w:val="20"/>
              </w:rPr>
            </w:pPr>
          </w:p>
        </w:tc>
        <w:tc>
          <w:tcPr>
            <w:tcW w:w="1232" w:type="dxa"/>
            <w:tcBorders>
              <w:top w:val="nil"/>
              <w:left w:val="nil"/>
              <w:bottom w:val="single" w:sz="4" w:space="0" w:color="auto"/>
              <w:right w:val="single" w:sz="4" w:space="0" w:color="auto"/>
            </w:tcBorders>
            <w:shd w:val="clear" w:color="auto" w:fill="CCC0D9" w:themeFill="accent4" w:themeFillTint="66"/>
            <w:noWrap/>
            <w:vAlign w:val="center"/>
            <w:hideMark/>
          </w:tcPr>
          <w:p w14:paraId="4DF39A56"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Hombre</w:t>
            </w:r>
          </w:p>
        </w:tc>
        <w:tc>
          <w:tcPr>
            <w:tcW w:w="1026" w:type="dxa"/>
            <w:tcBorders>
              <w:top w:val="nil"/>
              <w:left w:val="nil"/>
              <w:bottom w:val="single" w:sz="4" w:space="0" w:color="auto"/>
              <w:right w:val="single" w:sz="4" w:space="0" w:color="auto"/>
            </w:tcBorders>
            <w:shd w:val="clear" w:color="auto" w:fill="CCC0D9" w:themeFill="accent4" w:themeFillTint="66"/>
            <w:noWrap/>
            <w:vAlign w:val="center"/>
            <w:hideMark/>
          </w:tcPr>
          <w:p w14:paraId="1574AF4F"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Mujer</w:t>
            </w:r>
          </w:p>
        </w:tc>
        <w:tc>
          <w:tcPr>
            <w:tcW w:w="1223" w:type="dxa"/>
            <w:vMerge/>
            <w:tcBorders>
              <w:top w:val="single" w:sz="4" w:space="0" w:color="auto"/>
              <w:left w:val="single" w:sz="4" w:space="0" w:color="auto"/>
              <w:bottom w:val="single" w:sz="4" w:space="0" w:color="auto"/>
              <w:right w:val="nil"/>
            </w:tcBorders>
            <w:vAlign w:val="center"/>
            <w:hideMark/>
          </w:tcPr>
          <w:p w14:paraId="387629EA" w14:textId="77777777" w:rsidR="00A36980" w:rsidRPr="005970E9" w:rsidRDefault="00A36980" w:rsidP="00216547">
            <w:pPr>
              <w:rPr>
                <w:rFonts w:eastAsia="Times New Roman"/>
                <w:color w:val="000000"/>
                <w:sz w:val="20"/>
                <w:szCs w:val="20"/>
              </w:rPr>
            </w:pPr>
          </w:p>
        </w:tc>
        <w:tc>
          <w:tcPr>
            <w:tcW w:w="1276" w:type="dxa"/>
            <w:vMerge/>
            <w:tcBorders>
              <w:top w:val="single" w:sz="4" w:space="0" w:color="auto"/>
              <w:left w:val="single" w:sz="4" w:space="0" w:color="auto"/>
              <w:bottom w:val="single" w:sz="4" w:space="0" w:color="auto"/>
              <w:right w:val="nil"/>
            </w:tcBorders>
            <w:vAlign w:val="center"/>
            <w:hideMark/>
          </w:tcPr>
          <w:p w14:paraId="2832C309" w14:textId="77777777" w:rsidR="00A36980" w:rsidRPr="005970E9" w:rsidRDefault="00A36980" w:rsidP="00216547">
            <w:pPr>
              <w:rPr>
                <w:rFonts w:eastAsia="Times New Roman"/>
                <w:color w:val="000000"/>
                <w:sz w:val="20"/>
                <w:szCs w:val="20"/>
              </w:rPr>
            </w:pPr>
          </w:p>
        </w:tc>
      </w:tr>
      <w:tr w:rsidR="00A36980" w:rsidRPr="005970E9" w14:paraId="5E46AF5B" w14:textId="77777777" w:rsidTr="00216547">
        <w:trPr>
          <w:trHeight w:val="233"/>
          <w:jc w:val="center"/>
        </w:trPr>
        <w:tc>
          <w:tcPr>
            <w:tcW w:w="772" w:type="dxa"/>
            <w:tcBorders>
              <w:top w:val="nil"/>
              <w:left w:val="nil"/>
              <w:bottom w:val="single" w:sz="4" w:space="0" w:color="auto"/>
              <w:right w:val="single" w:sz="4" w:space="0" w:color="auto"/>
            </w:tcBorders>
            <w:shd w:val="clear" w:color="auto" w:fill="auto"/>
            <w:noWrap/>
            <w:vAlign w:val="center"/>
            <w:hideMark/>
          </w:tcPr>
          <w:p w14:paraId="100B37F4"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2000</w:t>
            </w:r>
          </w:p>
        </w:tc>
        <w:tc>
          <w:tcPr>
            <w:tcW w:w="1232" w:type="dxa"/>
            <w:tcBorders>
              <w:top w:val="nil"/>
              <w:left w:val="nil"/>
              <w:bottom w:val="single" w:sz="4" w:space="0" w:color="auto"/>
              <w:right w:val="single" w:sz="4" w:space="0" w:color="auto"/>
            </w:tcBorders>
            <w:shd w:val="clear" w:color="auto" w:fill="auto"/>
            <w:noWrap/>
            <w:vAlign w:val="center"/>
            <w:hideMark/>
          </w:tcPr>
          <w:p w14:paraId="196E402B"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71.80</w:t>
            </w:r>
          </w:p>
        </w:tc>
        <w:tc>
          <w:tcPr>
            <w:tcW w:w="1026" w:type="dxa"/>
            <w:tcBorders>
              <w:top w:val="nil"/>
              <w:left w:val="nil"/>
              <w:bottom w:val="single" w:sz="4" w:space="0" w:color="auto"/>
              <w:right w:val="single" w:sz="4" w:space="0" w:color="auto"/>
            </w:tcBorders>
            <w:shd w:val="clear" w:color="auto" w:fill="auto"/>
            <w:noWrap/>
            <w:vAlign w:val="center"/>
            <w:hideMark/>
          </w:tcPr>
          <w:p w14:paraId="35A071C3"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76.80</w:t>
            </w:r>
          </w:p>
        </w:tc>
        <w:tc>
          <w:tcPr>
            <w:tcW w:w="1223" w:type="dxa"/>
            <w:tcBorders>
              <w:top w:val="nil"/>
              <w:left w:val="nil"/>
              <w:bottom w:val="single" w:sz="4" w:space="0" w:color="auto"/>
              <w:right w:val="single" w:sz="4" w:space="0" w:color="auto"/>
            </w:tcBorders>
            <w:shd w:val="clear" w:color="auto" w:fill="auto"/>
            <w:noWrap/>
            <w:vAlign w:val="center"/>
            <w:hideMark/>
          </w:tcPr>
          <w:p w14:paraId="67390BE5"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74.30</w:t>
            </w:r>
          </w:p>
        </w:tc>
        <w:tc>
          <w:tcPr>
            <w:tcW w:w="1276" w:type="dxa"/>
            <w:tcBorders>
              <w:top w:val="nil"/>
              <w:left w:val="nil"/>
              <w:bottom w:val="single" w:sz="4" w:space="0" w:color="auto"/>
              <w:right w:val="nil"/>
            </w:tcBorders>
            <w:shd w:val="clear" w:color="auto" w:fill="auto"/>
            <w:noWrap/>
            <w:vAlign w:val="center"/>
            <w:hideMark/>
          </w:tcPr>
          <w:p w14:paraId="128A4A07"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5.00</w:t>
            </w:r>
          </w:p>
        </w:tc>
      </w:tr>
      <w:tr w:rsidR="00A36980" w:rsidRPr="005970E9" w14:paraId="0166661A" w14:textId="77777777" w:rsidTr="00216547">
        <w:trPr>
          <w:trHeight w:val="233"/>
          <w:jc w:val="center"/>
        </w:trPr>
        <w:tc>
          <w:tcPr>
            <w:tcW w:w="772" w:type="dxa"/>
            <w:tcBorders>
              <w:top w:val="nil"/>
              <w:left w:val="nil"/>
              <w:bottom w:val="single" w:sz="4" w:space="0" w:color="auto"/>
              <w:right w:val="single" w:sz="4" w:space="0" w:color="auto"/>
            </w:tcBorders>
            <w:shd w:val="clear" w:color="auto" w:fill="auto"/>
            <w:noWrap/>
            <w:vAlign w:val="center"/>
            <w:hideMark/>
          </w:tcPr>
          <w:p w14:paraId="58C21478"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2005</w:t>
            </w:r>
          </w:p>
        </w:tc>
        <w:tc>
          <w:tcPr>
            <w:tcW w:w="1232" w:type="dxa"/>
            <w:tcBorders>
              <w:top w:val="nil"/>
              <w:left w:val="nil"/>
              <w:bottom w:val="single" w:sz="4" w:space="0" w:color="auto"/>
              <w:right w:val="single" w:sz="4" w:space="0" w:color="auto"/>
            </w:tcBorders>
            <w:shd w:val="clear" w:color="auto" w:fill="auto"/>
            <w:noWrap/>
            <w:vAlign w:val="center"/>
            <w:hideMark/>
          </w:tcPr>
          <w:p w14:paraId="28981457"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72.40</w:t>
            </w:r>
          </w:p>
        </w:tc>
        <w:tc>
          <w:tcPr>
            <w:tcW w:w="1026" w:type="dxa"/>
            <w:tcBorders>
              <w:top w:val="nil"/>
              <w:left w:val="nil"/>
              <w:bottom w:val="single" w:sz="4" w:space="0" w:color="auto"/>
              <w:right w:val="single" w:sz="4" w:space="0" w:color="auto"/>
            </w:tcBorders>
            <w:shd w:val="clear" w:color="auto" w:fill="auto"/>
            <w:noWrap/>
            <w:vAlign w:val="center"/>
            <w:hideMark/>
          </w:tcPr>
          <w:p w14:paraId="6D5111CA"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77.60</w:t>
            </w:r>
          </w:p>
        </w:tc>
        <w:tc>
          <w:tcPr>
            <w:tcW w:w="1223" w:type="dxa"/>
            <w:tcBorders>
              <w:top w:val="nil"/>
              <w:left w:val="nil"/>
              <w:bottom w:val="single" w:sz="4" w:space="0" w:color="auto"/>
              <w:right w:val="single" w:sz="4" w:space="0" w:color="auto"/>
            </w:tcBorders>
            <w:shd w:val="clear" w:color="auto" w:fill="auto"/>
            <w:noWrap/>
            <w:vAlign w:val="center"/>
            <w:hideMark/>
          </w:tcPr>
          <w:p w14:paraId="5A245776"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75.00</w:t>
            </w:r>
          </w:p>
        </w:tc>
        <w:tc>
          <w:tcPr>
            <w:tcW w:w="1276" w:type="dxa"/>
            <w:tcBorders>
              <w:top w:val="nil"/>
              <w:left w:val="nil"/>
              <w:bottom w:val="single" w:sz="4" w:space="0" w:color="auto"/>
              <w:right w:val="nil"/>
            </w:tcBorders>
            <w:shd w:val="clear" w:color="auto" w:fill="auto"/>
            <w:noWrap/>
            <w:vAlign w:val="center"/>
            <w:hideMark/>
          </w:tcPr>
          <w:p w14:paraId="3F3C250E"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5.20</w:t>
            </w:r>
          </w:p>
        </w:tc>
      </w:tr>
      <w:tr w:rsidR="00A36980" w:rsidRPr="005970E9" w14:paraId="301A0DE5" w14:textId="77777777" w:rsidTr="00216547">
        <w:trPr>
          <w:trHeight w:val="233"/>
          <w:jc w:val="center"/>
        </w:trPr>
        <w:tc>
          <w:tcPr>
            <w:tcW w:w="772" w:type="dxa"/>
            <w:tcBorders>
              <w:top w:val="nil"/>
              <w:left w:val="nil"/>
              <w:bottom w:val="single" w:sz="4" w:space="0" w:color="auto"/>
              <w:right w:val="single" w:sz="4" w:space="0" w:color="auto"/>
            </w:tcBorders>
            <w:shd w:val="clear" w:color="auto" w:fill="auto"/>
            <w:noWrap/>
            <w:vAlign w:val="center"/>
            <w:hideMark/>
          </w:tcPr>
          <w:p w14:paraId="5067A905"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2010</w:t>
            </w:r>
          </w:p>
        </w:tc>
        <w:tc>
          <w:tcPr>
            <w:tcW w:w="1232" w:type="dxa"/>
            <w:tcBorders>
              <w:top w:val="nil"/>
              <w:left w:val="nil"/>
              <w:bottom w:val="single" w:sz="4" w:space="0" w:color="auto"/>
              <w:right w:val="single" w:sz="4" w:space="0" w:color="auto"/>
            </w:tcBorders>
            <w:shd w:val="clear" w:color="auto" w:fill="auto"/>
            <w:noWrap/>
            <w:vAlign w:val="center"/>
            <w:hideMark/>
          </w:tcPr>
          <w:p w14:paraId="33CBF9CA"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73.70</w:t>
            </w:r>
          </w:p>
        </w:tc>
        <w:tc>
          <w:tcPr>
            <w:tcW w:w="1026" w:type="dxa"/>
            <w:tcBorders>
              <w:top w:val="nil"/>
              <w:left w:val="nil"/>
              <w:bottom w:val="single" w:sz="4" w:space="0" w:color="auto"/>
              <w:right w:val="single" w:sz="4" w:space="0" w:color="auto"/>
            </w:tcBorders>
            <w:shd w:val="clear" w:color="auto" w:fill="auto"/>
            <w:noWrap/>
            <w:vAlign w:val="center"/>
            <w:hideMark/>
          </w:tcPr>
          <w:p w14:paraId="333A7893"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79.90</w:t>
            </w:r>
          </w:p>
        </w:tc>
        <w:tc>
          <w:tcPr>
            <w:tcW w:w="1223" w:type="dxa"/>
            <w:tcBorders>
              <w:top w:val="nil"/>
              <w:left w:val="nil"/>
              <w:bottom w:val="single" w:sz="4" w:space="0" w:color="auto"/>
              <w:right w:val="single" w:sz="4" w:space="0" w:color="auto"/>
            </w:tcBorders>
            <w:shd w:val="clear" w:color="auto" w:fill="auto"/>
            <w:noWrap/>
            <w:vAlign w:val="center"/>
            <w:hideMark/>
          </w:tcPr>
          <w:p w14:paraId="65307019"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76.80</w:t>
            </w:r>
          </w:p>
        </w:tc>
        <w:tc>
          <w:tcPr>
            <w:tcW w:w="1276" w:type="dxa"/>
            <w:tcBorders>
              <w:top w:val="nil"/>
              <w:left w:val="nil"/>
              <w:bottom w:val="single" w:sz="4" w:space="0" w:color="auto"/>
              <w:right w:val="nil"/>
            </w:tcBorders>
            <w:shd w:val="clear" w:color="auto" w:fill="auto"/>
            <w:noWrap/>
            <w:vAlign w:val="center"/>
            <w:hideMark/>
          </w:tcPr>
          <w:p w14:paraId="0E4960FA"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6.20</w:t>
            </w:r>
          </w:p>
        </w:tc>
      </w:tr>
      <w:tr w:rsidR="00A36980" w:rsidRPr="005970E9" w14:paraId="0768214A" w14:textId="77777777" w:rsidTr="00216547">
        <w:trPr>
          <w:trHeight w:val="233"/>
          <w:jc w:val="center"/>
        </w:trPr>
        <w:tc>
          <w:tcPr>
            <w:tcW w:w="772" w:type="dxa"/>
            <w:tcBorders>
              <w:top w:val="nil"/>
              <w:left w:val="nil"/>
              <w:bottom w:val="single" w:sz="4" w:space="0" w:color="auto"/>
              <w:right w:val="single" w:sz="4" w:space="0" w:color="auto"/>
            </w:tcBorders>
            <w:shd w:val="clear" w:color="auto" w:fill="auto"/>
            <w:noWrap/>
            <w:vAlign w:val="center"/>
            <w:hideMark/>
          </w:tcPr>
          <w:p w14:paraId="7293D112"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2015</w:t>
            </w:r>
          </w:p>
        </w:tc>
        <w:tc>
          <w:tcPr>
            <w:tcW w:w="1232" w:type="dxa"/>
            <w:tcBorders>
              <w:top w:val="nil"/>
              <w:left w:val="nil"/>
              <w:bottom w:val="single" w:sz="4" w:space="0" w:color="auto"/>
              <w:right w:val="single" w:sz="4" w:space="0" w:color="auto"/>
            </w:tcBorders>
            <w:shd w:val="clear" w:color="auto" w:fill="auto"/>
            <w:noWrap/>
            <w:vAlign w:val="center"/>
            <w:hideMark/>
          </w:tcPr>
          <w:p w14:paraId="2BC8994D"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74.78</w:t>
            </w:r>
          </w:p>
        </w:tc>
        <w:tc>
          <w:tcPr>
            <w:tcW w:w="1026" w:type="dxa"/>
            <w:tcBorders>
              <w:top w:val="nil"/>
              <w:left w:val="nil"/>
              <w:bottom w:val="single" w:sz="4" w:space="0" w:color="auto"/>
              <w:right w:val="single" w:sz="4" w:space="0" w:color="auto"/>
            </w:tcBorders>
            <w:shd w:val="clear" w:color="auto" w:fill="auto"/>
            <w:noWrap/>
            <w:vAlign w:val="center"/>
            <w:hideMark/>
          </w:tcPr>
          <w:p w14:paraId="49ADD8E4"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80.87</w:t>
            </w:r>
          </w:p>
        </w:tc>
        <w:tc>
          <w:tcPr>
            <w:tcW w:w="1223" w:type="dxa"/>
            <w:tcBorders>
              <w:top w:val="nil"/>
              <w:left w:val="nil"/>
              <w:bottom w:val="single" w:sz="4" w:space="0" w:color="auto"/>
              <w:right w:val="single" w:sz="4" w:space="0" w:color="auto"/>
            </w:tcBorders>
            <w:shd w:val="clear" w:color="auto" w:fill="auto"/>
            <w:noWrap/>
            <w:vAlign w:val="center"/>
            <w:hideMark/>
          </w:tcPr>
          <w:p w14:paraId="2D668C54"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77.83</w:t>
            </w:r>
          </w:p>
        </w:tc>
        <w:tc>
          <w:tcPr>
            <w:tcW w:w="1276" w:type="dxa"/>
            <w:tcBorders>
              <w:top w:val="nil"/>
              <w:left w:val="nil"/>
              <w:bottom w:val="single" w:sz="4" w:space="0" w:color="auto"/>
              <w:right w:val="nil"/>
            </w:tcBorders>
            <w:shd w:val="clear" w:color="auto" w:fill="auto"/>
            <w:noWrap/>
            <w:vAlign w:val="center"/>
            <w:hideMark/>
          </w:tcPr>
          <w:p w14:paraId="522242C3"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6.09</w:t>
            </w:r>
          </w:p>
        </w:tc>
      </w:tr>
      <w:tr w:rsidR="00A36980" w:rsidRPr="005970E9" w14:paraId="64FFCF74" w14:textId="77777777" w:rsidTr="00216547">
        <w:trPr>
          <w:trHeight w:val="233"/>
          <w:jc w:val="center"/>
        </w:trPr>
        <w:tc>
          <w:tcPr>
            <w:tcW w:w="772" w:type="dxa"/>
            <w:tcBorders>
              <w:top w:val="nil"/>
              <w:left w:val="nil"/>
              <w:bottom w:val="single" w:sz="4" w:space="0" w:color="auto"/>
              <w:right w:val="single" w:sz="4" w:space="0" w:color="auto"/>
            </w:tcBorders>
            <w:shd w:val="clear" w:color="auto" w:fill="auto"/>
            <w:noWrap/>
            <w:vAlign w:val="center"/>
            <w:hideMark/>
          </w:tcPr>
          <w:p w14:paraId="40D1BD52"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2020</w:t>
            </w:r>
          </w:p>
        </w:tc>
        <w:tc>
          <w:tcPr>
            <w:tcW w:w="1232" w:type="dxa"/>
            <w:tcBorders>
              <w:top w:val="nil"/>
              <w:left w:val="nil"/>
              <w:bottom w:val="single" w:sz="4" w:space="0" w:color="auto"/>
              <w:right w:val="single" w:sz="4" w:space="0" w:color="auto"/>
            </w:tcBorders>
            <w:shd w:val="clear" w:color="auto" w:fill="auto"/>
            <w:noWrap/>
            <w:vAlign w:val="center"/>
            <w:hideMark/>
          </w:tcPr>
          <w:p w14:paraId="4958B76C"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77.60</w:t>
            </w:r>
          </w:p>
        </w:tc>
        <w:tc>
          <w:tcPr>
            <w:tcW w:w="1026" w:type="dxa"/>
            <w:tcBorders>
              <w:top w:val="nil"/>
              <w:left w:val="nil"/>
              <w:bottom w:val="single" w:sz="4" w:space="0" w:color="auto"/>
              <w:right w:val="single" w:sz="4" w:space="0" w:color="auto"/>
            </w:tcBorders>
            <w:shd w:val="clear" w:color="auto" w:fill="auto"/>
            <w:noWrap/>
            <w:vAlign w:val="center"/>
            <w:hideMark/>
          </w:tcPr>
          <w:p w14:paraId="6B8192C2"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83.42</w:t>
            </w:r>
          </w:p>
        </w:tc>
        <w:tc>
          <w:tcPr>
            <w:tcW w:w="1223" w:type="dxa"/>
            <w:tcBorders>
              <w:top w:val="nil"/>
              <w:left w:val="nil"/>
              <w:bottom w:val="single" w:sz="4" w:space="0" w:color="auto"/>
              <w:right w:val="single" w:sz="4" w:space="0" w:color="auto"/>
            </w:tcBorders>
            <w:shd w:val="clear" w:color="auto" w:fill="auto"/>
            <w:noWrap/>
            <w:vAlign w:val="center"/>
            <w:hideMark/>
          </w:tcPr>
          <w:p w14:paraId="64E80539"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80.51</w:t>
            </w:r>
          </w:p>
        </w:tc>
        <w:tc>
          <w:tcPr>
            <w:tcW w:w="1276" w:type="dxa"/>
            <w:tcBorders>
              <w:top w:val="nil"/>
              <w:left w:val="nil"/>
              <w:bottom w:val="single" w:sz="4" w:space="0" w:color="auto"/>
              <w:right w:val="nil"/>
            </w:tcBorders>
            <w:shd w:val="clear" w:color="auto" w:fill="auto"/>
            <w:noWrap/>
            <w:vAlign w:val="center"/>
            <w:hideMark/>
          </w:tcPr>
          <w:p w14:paraId="341D5983"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5.82</w:t>
            </w:r>
          </w:p>
        </w:tc>
      </w:tr>
      <w:tr w:rsidR="00A36980" w:rsidRPr="005970E9" w14:paraId="1345C0B9" w14:textId="77777777" w:rsidTr="00216547">
        <w:trPr>
          <w:trHeight w:val="233"/>
          <w:jc w:val="center"/>
        </w:trPr>
        <w:tc>
          <w:tcPr>
            <w:tcW w:w="772" w:type="dxa"/>
            <w:tcBorders>
              <w:top w:val="nil"/>
              <w:left w:val="nil"/>
              <w:bottom w:val="single" w:sz="4" w:space="0" w:color="auto"/>
              <w:right w:val="single" w:sz="4" w:space="0" w:color="auto"/>
            </w:tcBorders>
            <w:shd w:val="clear" w:color="auto" w:fill="auto"/>
            <w:noWrap/>
            <w:vAlign w:val="center"/>
            <w:hideMark/>
          </w:tcPr>
          <w:p w14:paraId="44C67F50"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2025</w:t>
            </w:r>
          </w:p>
        </w:tc>
        <w:tc>
          <w:tcPr>
            <w:tcW w:w="1232" w:type="dxa"/>
            <w:tcBorders>
              <w:top w:val="nil"/>
              <w:left w:val="nil"/>
              <w:bottom w:val="single" w:sz="4" w:space="0" w:color="auto"/>
              <w:right w:val="single" w:sz="4" w:space="0" w:color="auto"/>
            </w:tcBorders>
            <w:shd w:val="clear" w:color="auto" w:fill="auto"/>
            <w:noWrap/>
            <w:vAlign w:val="center"/>
            <w:hideMark/>
          </w:tcPr>
          <w:p w14:paraId="0E0F08AA"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78.35</w:t>
            </w:r>
          </w:p>
        </w:tc>
        <w:tc>
          <w:tcPr>
            <w:tcW w:w="1026" w:type="dxa"/>
            <w:tcBorders>
              <w:top w:val="nil"/>
              <w:left w:val="nil"/>
              <w:bottom w:val="single" w:sz="4" w:space="0" w:color="auto"/>
              <w:right w:val="single" w:sz="4" w:space="0" w:color="auto"/>
            </w:tcBorders>
            <w:shd w:val="clear" w:color="auto" w:fill="auto"/>
            <w:noWrap/>
            <w:vAlign w:val="center"/>
            <w:hideMark/>
          </w:tcPr>
          <w:p w14:paraId="71CC2B1C"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84.11</w:t>
            </w:r>
          </w:p>
        </w:tc>
        <w:tc>
          <w:tcPr>
            <w:tcW w:w="1223" w:type="dxa"/>
            <w:tcBorders>
              <w:top w:val="nil"/>
              <w:left w:val="nil"/>
              <w:bottom w:val="single" w:sz="4" w:space="0" w:color="auto"/>
              <w:right w:val="single" w:sz="4" w:space="0" w:color="auto"/>
            </w:tcBorders>
            <w:shd w:val="clear" w:color="auto" w:fill="auto"/>
            <w:noWrap/>
            <w:vAlign w:val="center"/>
            <w:hideMark/>
          </w:tcPr>
          <w:p w14:paraId="409ECAB5"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81.23</w:t>
            </w:r>
          </w:p>
        </w:tc>
        <w:tc>
          <w:tcPr>
            <w:tcW w:w="1276" w:type="dxa"/>
            <w:tcBorders>
              <w:top w:val="nil"/>
              <w:left w:val="nil"/>
              <w:bottom w:val="single" w:sz="4" w:space="0" w:color="auto"/>
              <w:right w:val="nil"/>
            </w:tcBorders>
            <w:shd w:val="clear" w:color="auto" w:fill="auto"/>
            <w:noWrap/>
            <w:vAlign w:val="center"/>
            <w:hideMark/>
          </w:tcPr>
          <w:p w14:paraId="26D34D35"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5.76</w:t>
            </w:r>
          </w:p>
        </w:tc>
      </w:tr>
      <w:tr w:rsidR="00A36980" w:rsidRPr="005970E9" w14:paraId="1AC8E7A4" w14:textId="77777777" w:rsidTr="00216547">
        <w:trPr>
          <w:trHeight w:val="233"/>
          <w:jc w:val="center"/>
        </w:trPr>
        <w:tc>
          <w:tcPr>
            <w:tcW w:w="772" w:type="dxa"/>
            <w:tcBorders>
              <w:top w:val="nil"/>
              <w:left w:val="nil"/>
              <w:bottom w:val="single" w:sz="4" w:space="0" w:color="auto"/>
              <w:right w:val="single" w:sz="4" w:space="0" w:color="auto"/>
            </w:tcBorders>
            <w:shd w:val="clear" w:color="auto" w:fill="auto"/>
            <w:noWrap/>
            <w:vAlign w:val="center"/>
            <w:hideMark/>
          </w:tcPr>
          <w:p w14:paraId="75FF4435"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2030</w:t>
            </w:r>
          </w:p>
        </w:tc>
        <w:tc>
          <w:tcPr>
            <w:tcW w:w="1232" w:type="dxa"/>
            <w:tcBorders>
              <w:top w:val="nil"/>
              <w:left w:val="nil"/>
              <w:bottom w:val="single" w:sz="4" w:space="0" w:color="auto"/>
              <w:right w:val="single" w:sz="4" w:space="0" w:color="auto"/>
            </w:tcBorders>
            <w:shd w:val="clear" w:color="auto" w:fill="auto"/>
            <w:noWrap/>
            <w:vAlign w:val="center"/>
            <w:hideMark/>
          </w:tcPr>
          <w:p w14:paraId="5CE89EA3"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79.10</w:t>
            </w:r>
          </w:p>
        </w:tc>
        <w:tc>
          <w:tcPr>
            <w:tcW w:w="1026" w:type="dxa"/>
            <w:tcBorders>
              <w:top w:val="nil"/>
              <w:left w:val="nil"/>
              <w:bottom w:val="single" w:sz="4" w:space="0" w:color="auto"/>
              <w:right w:val="single" w:sz="4" w:space="0" w:color="auto"/>
            </w:tcBorders>
            <w:shd w:val="clear" w:color="auto" w:fill="auto"/>
            <w:noWrap/>
            <w:vAlign w:val="center"/>
            <w:hideMark/>
          </w:tcPr>
          <w:p w14:paraId="631AB6F1"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84.80</w:t>
            </w:r>
          </w:p>
        </w:tc>
        <w:tc>
          <w:tcPr>
            <w:tcW w:w="1223" w:type="dxa"/>
            <w:tcBorders>
              <w:top w:val="nil"/>
              <w:left w:val="nil"/>
              <w:bottom w:val="single" w:sz="4" w:space="0" w:color="auto"/>
              <w:right w:val="single" w:sz="4" w:space="0" w:color="auto"/>
            </w:tcBorders>
            <w:shd w:val="clear" w:color="auto" w:fill="auto"/>
            <w:noWrap/>
            <w:vAlign w:val="center"/>
            <w:hideMark/>
          </w:tcPr>
          <w:p w14:paraId="12E932B1"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81.95</w:t>
            </w:r>
          </w:p>
        </w:tc>
        <w:tc>
          <w:tcPr>
            <w:tcW w:w="1276" w:type="dxa"/>
            <w:tcBorders>
              <w:top w:val="nil"/>
              <w:left w:val="nil"/>
              <w:bottom w:val="single" w:sz="4" w:space="0" w:color="auto"/>
              <w:right w:val="nil"/>
            </w:tcBorders>
            <w:shd w:val="clear" w:color="auto" w:fill="auto"/>
            <w:noWrap/>
            <w:vAlign w:val="center"/>
            <w:hideMark/>
          </w:tcPr>
          <w:p w14:paraId="174A5C70" w14:textId="77777777" w:rsidR="00A36980" w:rsidRPr="005970E9" w:rsidRDefault="00A36980" w:rsidP="00216547">
            <w:pPr>
              <w:jc w:val="center"/>
              <w:rPr>
                <w:rFonts w:eastAsia="Times New Roman"/>
                <w:color w:val="000000"/>
                <w:sz w:val="20"/>
                <w:szCs w:val="20"/>
              </w:rPr>
            </w:pPr>
            <w:r w:rsidRPr="005970E9">
              <w:rPr>
                <w:rFonts w:eastAsia="Times New Roman"/>
                <w:color w:val="000000"/>
                <w:sz w:val="20"/>
                <w:szCs w:val="20"/>
              </w:rPr>
              <w:t>5.70</w:t>
            </w:r>
          </w:p>
        </w:tc>
      </w:tr>
      <w:tr w:rsidR="00A36980" w:rsidRPr="005970E9" w14:paraId="3662F29E" w14:textId="77777777" w:rsidTr="00216547">
        <w:trPr>
          <w:trHeight w:val="384"/>
          <w:jc w:val="center"/>
        </w:trPr>
        <w:tc>
          <w:tcPr>
            <w:tcW w:w="5529" w:type="dxa"/>
            <w:gridSpan w:val="5"/>
            <w:tcBorders>
              <w:top w:val="single" w:sz="4" w:space="0" w:color="auto"/>
              <w:left w:val="nil"/>
              <w:bottom w:val="nil"/>
              <w:right w:val="nil"/>
            </w:tcBorders>
            <w:shd w:val="clear" w:color="000000" w:fill="F2F2F2"/>
            <w:vAlign w:val="center"/>
            <w:hideMark/>
          </w:tcPr>
          <w:p w14:paraId="286B45D6" w14:textId="77777777" w:rsidR="00A36980" w:rsidRPr="005970E9" w:rsidRDefault="00A36980" w:rsidP="00216547">
            <w:pPr>
              <w:rPr>
                <w:rFonts w:eastAsia="Times New Roman"/>
                <w:sz w:val="20"/>
                <w:szCs w:val="20"/>
              </w:rPr>
            </w:pPr>
            <w:r w:rsidRPr="005970E9">
              <w:rPr>
                <w:rFonts w:eastAsia="Times New Roman"/>
                <w:sz w:val="20"/>
                <w:szCs w:val="20"/>
              </w:rPr>
              <w:t>Fuente: Las autoras en base a Estadísticas Vitales 2018 del Instituto Nacional de Estadística y de la DIPLAN del MINSA. (*) Proyecciones INEC.</w:t>
            </w:r>
          </w:p>
        </w:tc>
      </w:tr>
    </w:tbl>
    <w:p w14:paraId="0D026301" w14:textId="10112951" w:rsidR="00A36980" w:rsidRPr="005970E9" w:rsidRDefault="00E014C1" w:rsidP="00E718C2">
      <w:pPr>
        <w:spacing w:before="120" w:after="120" w:line="276" w:lineRule="auto"/>
        <w:jc w:val="both"/>
      </w:pPr>
      <w:r w:rsidRPr="005970E9">
        <w:t xml:space="preserve">Resulta importante expresar que el comportamiento de la esperanza de vida </w:t>
      </w:r>
      <w:r w:rsidR="003F6295" w:rsidRPr="005970E9">
        <w:t xml:space="preserve">muestra importantes desigualdades en </w:t>
      </w:r>
      <w:r w:rsidRPr="005970E9">
        <w:t xml:space="preserve">el país, </w:t>
      </w:r>
      <w:r w:rsidR="003F6295" w:rsidRPr="005970E9">
        <w:t xml:space="preserve">en 2019 la esperanza de vida </w:t>
      </w:r>
      <w:r w:rsidR="002B4844" w:rsidRPr="005970E9">
        <w:t xml:space="preserve">en las </w:t>
      </w:r>
      <w:r w:rsidRPr="005970E9">
        <w:t xml:space="preserve">comarcas indígenas se reduce </w:t>
      </w:r>
      <w:r w:rsidR="002B4844" w:rsidRPr="005970E9">
        <w:t xml:space="preserve">sustancialmente, como puede observarse en </w:t>
      </w:r>
      <w:r w:rsidR="002B4844" w:rsidRPr="00533E56">
        <w:t xml:space="preserve">la tabla </w:t>
      </w:r>
      <w:r w:rsidR="00E718C2" w:rsidRPr="00533E56">
        <w:t>15</w:t>
      </w:r>
      <w:r w:rsidR="002B4844" w:rsidRPr="00533E56">
        <w:t>,</w:t>
      </w:r>
      <w:r w:rsidR="002B4844" w:rsidRPr="005970E9">
        <w:t xml:space="preserve"> </w:t>
      </w:r>
      <w:r w:rsidR="00B10FEE" w:rsidRPr="005970E9">
        <w:t xml:space="preserve">los hombres indígenas no superan los 69 años, y las mujeres de las comarcas Emberá y Ngäbe Buglé </w:t>
      </w:r>
      <w:r w:rsidR="00B10FEE" w:rsidRPr="005970E9">
        <w:lastRenderedPageBreak/>
        <w:t xml:space="preserve">se sitúan alrededor de los 73.9 años y las de Guna Yala en 76 años. Objetivamente, la pobreza en las áreas indígenas le resta muchos años a la vida. Los hombres llevan una situación de mayor vulnerabilidad, </w:t>
      </w:r>
      <w:r w:rsidR="00F837A9" w:rsidRPr="005970E9">
        <w:t xml:space="preserve">esto </w:t>
      </w:r>
      <w:r w:rsidR="00B10FEE" w:rsidRPr="005970E9">
        <w:t xml:space="preserve">sucede con otros distritos como el de </w:t>
      </w:r>
      <w:r w:rsidR="00F837A9" w:rsidRPr="005970E9">
        <w:t>Santa Isabel en Colón, donde los hombres tienen una esperanza de vida de 68.85 años. Al interior de la Comarca Ngäbe Buglé, las mujeres con la menor esperanza de vida (71.38) se encuentran en Jirondai y Santa Catalina con 71.76. y los hombres son 66.94 y 67.51 respectivamente para esos distritos.</w:t>
      </w:r>
    </w:p>
    <w:p w14:paraId="3AC997AA" w14:textId="77777777" w:rsidR="00B10FEE" w:rsidRPr="005970E9" w:rsidRDefault="00B10FEE" w:rsidP="00B10FEE">
      <w:pPr>
        <w:pStyle w:val="Caption"/>
        <w:rPr>
          <w:rFonts w:ascii="Century Schoolbook" w:hAnsi="Century Schoolbook"/>
          <w:i w:val="0"/>
          <w:iCs w:val="0"/>
          <w:sz w:val="20"/>
          <w:szCs w:val="20"/>
        </w:rPr>
      </w:pPr>
    </w:p>
    <w:p w14:paraId="585E3311" w14:textId="3C1985F2" w:rsidR="002B4844" w:rsidRPr="005970E9" w:rsidRDefault="00B10FEE" w:rsidP="00B10FEE">
      <w:pPr>
        <w:pStyle w:val="Caption"/>
        <w:rPr>
          <w:rFonts w:ascii="Century Schoolbook" w:hAnsi="Century Schoolbook" w:cs="Arial"/>
          <w:i w:val="0"/>
          <w:iCs w:val="0"/>
          <w:color w:val="222222"/>
          <w:sz w:val="20"/>
          <w:szCs w:val="20"/>
        </w:rPr>
      </w:pPr>
      <w:bookmarkStart w:id="179" w:name="_Toc42549209"/>
      <w:r w:rsidRPr="005970E9">
        <w:rPr>
          <w:rFonts w:ascii="Century Schoolbook" w:hAnsi="Century Schoolbook"/>
          <w:i w:val="0"/>
          <w:iCs w:val="0"/>
          <w:sz w:val="20"/>
          <w:szCs w:val="20"/>
        </w:rPr>
        <w:t xml:space="preserve">Tabla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9D1829" w:rsidRPr="005970E9">
        <w:rPr>
          <w:rFonts w:ascii="Century Schoolbook" w:hAnsi="Century Schoolbook"/>
          <w:i w:val="0"/>
          <w:iCs w:val="0"/>
          <w:noProof/>
          <w:sz w:val="20"/>
          <w:szCs w:val="20"/>
        </w:rPr>
        <w:t>15</w:t>
      </w:r>
      <w:r w:rsidRPr="005970E9">
        <w:rPr>
          <w:rFonts w:ascii="Century Schoolbook" w:hAnsi="Century Schoolbook"/>
          <w:i w:val="0"/>
          <w:iCs w:val="0"/>
          <w:sz w:val="20"/>
          <w:szCs w:val="20"/>
        </w:rPr>
        <w:fldChar w:fldCharType="end"/>
      </w:r>
      <w:r w:rsidRPr="005970E9">
        <w:rPr>
          <w:rFonts w:ascii="Century Schoolbook" w:hAnsi="Century Schoolbook"/>
          <w:i w:val="0"/>
          <w:iCs w:val="0"/>
          <w:sz w:val="20"/>
          <w:szCs w:val="20"/>
        </w:rPr>
        <w:t xml:space="preserve">. </w:t>
      </w:r>
      <w:r w:rsidR="002B4844" w:rsidRPr="005970E9">
        <w:rPr>
          <w:rFonts w:ascii="Century Schoolbook" w:hAnsi="Century Schoolbook" w:cs="Arial"/>
          <w:i w:val="0"/>
          <w:iCs w:val="0"/>
          <w:color w:val="222222"/>
          <w:sz w:val="20"/>
          <w:szCs w:val="20"/>
        </w:rPr>
        <w:t>Estimación de la esperanza de vida al nacer(e*), en las comarcas indígenas por sexo, según provincia y distrito. Año: 2019</w:t>
      </w:r>
      <w:bookmarkEnd w:id="179"/>
    </w:p>
    <w:tbl>
      <w:tblPr>
        <w:tblStyle w:val="TableGrid"/>
        <w:tblW w:w="0" w:type="auto"/>
        <w:jc w:val="center"/>
        <w:tblLook w:val="04A0" w:firstRow="1" w:lastRow="0" w:firstColumn="1" w:lastColumn="0" w:noHBand="0" w:noVBand="1"/>
      </w:tblPr>
      <w:tblGrid>
        <w:gridCol w:w="3256"/>
        <w:gridCol w:w="1474"/>
        <w:gridCol w:w="992"/>
        <w:gridCol w:w="1054"/>
      </w:tblGrid>
      <w:tr w:rsidR="002B4844" w:rsidRPr="005970E9" w14:paraId="28EF4C0A" w14:textId="77777777" w:rsidTr="00E718C2">
        <w:trPr>
          <w:jc w:val="center"/>
        </w:trPr>
        <w:tc>
          <w:tcPr>
            <w:tcW w:w="3256" w:type="dxa"/>
            <w:shd w:val="clear" w:color="auto" w:fill="B2A1C7" w:themeFill="accent4" w:themeFillTint="99"/>
          </w:tcPr>
          <w:p w14:paraId="30DA0B49" w14:textId="77777777" w:rsidR="002B4844" w:rsidRPr="005970E9" w:rsidRDefault="002B4844" w:rsidP="008075BF">
            <w:pPr>
              <w:rPr>
                <w:sz w:val="20"/>
                <w:szCs w:val="20"/>
              </w:rPr>
            </w:pPr>
            <w:r w:rsidRPr="005970E9">
              <w:rPr>
                <w:sz w:val="20"/>
                <w:szCs w:val="20"/>
              </w:rPr>
              <w:t xml:space="preserve"> Comarcas</w:t>
            </w:r>
          </w:p>
        </w:tc>
        <w:tc>
          <w:tcPr>
            <w:tcW w:w="1474" w:type="dxa"/>
            <w:shd w:val="clear" w:color="auto" w:fill="B2A1C7" w:themeFill="accent4" w:themeFillTint="99"/>
          </w:tcPr>
          <w:p w14:paraId="37EFCFE1" w14:textId="77777777" w:rsidR="002B4844" w:rsidRPr="005970E9" w:rsidRDefault="002B4844" w:rsidP="008075BF">
            <w:pPr>
              <w:rPr>
                <w:sz w:val="20"/>
                <w:szCs w:val="20"/>
              </w:rPr>
            </w:pPr>
            <w:r w:rsidRPr="005970E9">
              <w:rPr>
                <w:sz w:val="20"/>
                <w:szCs w:val="20"/>
              </w:rPr>
              <w:t>Ambos sexos</w:t>
            </w:r>
          </w:p>
        </w:tc>
        <w:tc>
          <w:tcPr>
            <w:tcW w:w="992" w:type="dxa"/>
            <w:shd w:val="clear" w:color="auto" w:fill="B2A1C7" w:themeFill="accent4" w:themeFillTint="99"/>
          </w:tcPr>
          <w:p w14:paraId="0606B4D9" w14:textId="77777777" w:rsidR="002B4844" w:rsidRPr="005970E9" w:rsidRDefault="002B4844" w:rsidP="008075BF">
            <w:pPr>
              <w:rPr>
                <w:sz w:val="20"/>
                <w:szCs w:val="20"/>
              </w:rPr>
            </w:pPr>
            <w:r w:rsidRPr="005970E9">
              <w:rPr>
                <w:sz w:val="20"/>
                <w:szCs w:val="20"/>
              </w:rPr>
              <w:t>Mujeres</w:t>
            </w:r>
          </w:p>
        </w:tc>
        <w:tc>
          <w:tcPr>
            <w:tcW w:w="1054" w:type="dxa"/>
            <w:shd w:val="clear" w:color="auto" w:fill="B2A1C7" w:themeFill="accent4" w:themeFillTint="99"/>
          </w:tcPr>
          <w:p w14:paraId="4A548E98" w14:textId="77777777" w:rsidR="002B4844" w:rsidRPr="005970E9" w:rsidRDefault="002B4844" w:rsidP="008075BF">
            <w:pPr>
              <w:rPr>
                <w:sz w:val="20"/>
                <w:szCs w:val="20"/>
              </w:rPr>
            </w:pPr>
            <w:r w:rsidRPr="005970E9">
              <w:rPr>
                <w:sz w:val="20"/>
                <w:szCs w:val="20"/>
              </w:rPr>
              <w:t>Hombres</w:t>
            </w:r>
          </w:p>
        </w:tc>
      </w:tr>
      <w:tr w:rsidR="002B4844" w:rsidRPr="005970E9" w14:paraId="48928996" w14:textId="77777777" w:rsidTr="00E718C2">
        <w:trPr>
          <w:jc w:val="center"/>
        </w:trPr>
        <w:tc>
          <w:tcPr>
            <w:tcW w:w="3256" w:type="dxa"/>
          </w:tcPr>
          <w:p w14:paraId="7F44E7E8" w14:textId="77777777" w:rsidR="002B4844" w:rsidRPr="005970E9" w:rsidRDefault="002B4844" w:rsidP="008075BF">
            <w:pPr>
              <w:rPr>
                <w:sz w:val="20"/>
                <w:szCs w:val="20"/>
              </w:rPr>
            </w:pPr>
            <w:r w:rsidRPr="005970E9">
              <w:rPr>
                <w:sz w:val="20"/>
                <w:szCs w:val="20"/>
              </w:rPr>
              <w:t>Comarca Kuna Yala</w:t>
            </w:r>
          </w:p>
        </w:tc>
        <w:tc>
          <w:tcPr>
            <w:tcW w:w="1474" w:type="dxa"/>
          </w:tcPr>
          <w:p w14:paraId="1181AC0A" w14:textId="77777777" w:rsidR="002B4844" w:rsidRPr="005970E9" w:rsidRDefault="002B4844" w:rsidP="008075BF">
            <w:pPr>
              <w:rPr>
                <w:sz w:val="20"/>
                <w:szCs w:val="20"/>
              </w:rPr>
            </w:pPr>
            <w:r w:rsidRPr="005970E9">
              <w:rPr>
                <w:sz w:val="20"/>
                <w:szCs w:val="20"/>
              </w:rPr>
              <w:t>72.88</w:t>
            </w:r>
          </w:p>
        </w:tc>
        <w:tc>
          <w:tcPr>
            <w:tcW w:w="992" w:type="dxa"/>
          </w:tcPr>
          <w:p w14:paraId="36B1BFBE" w14:textId="77777777" w:rsidR="002B4844" w:rsidRPr="005970E9" w:rsidRDefault="002B4844" w:rsidP="008075BF">
            <w:pPr>
              <w:rPr>
                <w:sz w:val="20"/>
                <w:szCs w:val="20"/>
              </w:rPr>
            </w:pPr>
            <w:r w:rsidRPr="005970E9">
              <w:rPr>
                <w:sz w:val="20"/>
                <w:szCs w:val="20"/>
              </w:rPr>
              <w:t>76.17</w:t>
            </w:r>
          </w:p>
        </w:tc>
        <w:tc>
          <w:tcPr>
            <w:tcW w:w="1054" w:type="dxa"/>
          </w:tcPr>
          <w:p w14:paraId="5C15BA22" w14:textId="77777777" w:rsidR="002B4844" w:rsidRPr="005970E9" w:rsidRDefault="002B4844" w:rsidP="008075BF">
            <w:pPr>
              <w:rPr>
                <w:sz w:val="20"/>
                <w:szCs w:val="20"/>
              </w:rPr>
            </w:pPr>
            <w:r w:rsidRPr="005970E9">
              <w:rPr>
                <w:sz w:val="20"/>
                <w:szCs w:val="20"/>
              </w:rPr>
              <w:t>69.75</w:t>
            </w:r>
          </w:p>
        </w:tc>
      </w:tr>
      <w:tr w:rsidR="002B4844" w:rsidRPr="005970E9" w14:paraId="4D2523A2" w14:textId="77777777" w:rsidTr="00E718C2">
        <w:trPr>
          <w:jc w:val="center"/>
        </w:trPr>
        <w:tc>
          <w:tcPr>
            <w:tcW w:w="3256" w:type="dxa"/>
          </w:tcPr>
          <w:p w14:paraId="38B51429" w14:textId="5181A525" w:rsidR="002B4844" w:rsidRPr="005970E9" w:rsidRDefault="002B4844" w:rsidP="008075BF">
            <w:pPr>
              <w:rPr>
                <w:sz w:val="20"/>
                <w:szCs w:val="20"/>
              </w:rPr>
            </w:pPr>
            <w:r w:rsidRPr="005970E9">
              <w:rPr>
                <w:sz w:val="20"/>
                <w:szCs w:val="20"/>
              </w:rPr>
              <w:t xml:space="preserve">Comarca Emberá </w:t>
            </w:r>
            <w:r w:rsidR="00B10FEE" w:rsidRPr="005970E9">
              <w:rPr>
                <w:sz w:val="20"/>
                <w:szCs w:val="20"/>
              </w:rPr>
              <w:t>Wounaan</w:t>
            </w:r>
          </w:p>
        </w:tc>
        <w:tc>
          <w:tcPr>
            <w:tcW w:w="1474" w:type="dxa"/>
          </w:tcPr>
          <w:p w14:paraId="15D34C7A" w14:textId="77777777" w:rsidR="002B4844" w:rsidRPr="005970E9" w:rsidRDefault="002B4844" w:rsidP="008075BF">
            <w:pPr>
              <w:rPr>
                <w:sz w:val="20"/>
                <w:szCs w:val="20"/>
              </w:rPr>
            </w:pPr>
            <w:r w:rsidRPr="005970E9">
              <w:rPr>
                <w:sz w:val="20"/>
                <w:szCs w:val="20"/>
              </w:rPr>
              <w:t>71.68</w:t>
            </w:r>
          </w:p>
        </w:tc>
        <w:tc>
          <w:tcPr>
            <w:tcW w:w="992" w:type="dxa"/>
          </w:tcPr>
          <w:p w14:paraId="6629A728" w14:textId="77777777" w:rsidR="002B4844" w:rsidRPr="005970E9" w:rsidRDefault="002B4844" w:rsidP="008075BF">
            <w:pPr>
              <w:rPr>
                <w:sz w:val="20"/>
                <w:szCs w:val="20"/>
              </w:rPr>
            </w:pPr>
            <w:r w:rsidRPr="005970E9">
              <w:rPr>
                <w:sz w:val="20"/>
                <w:szCs w:val="20"/>
              </w:rPr>
              <w:t>73.98</w:t>
            </w:r>
          </w:p>
        </w:tc>
        <w:tc>
          <w:tcPr>
            <w:tcW w:w="1054" w:type="dxa"/>
          </w:tcPr>
          <w:p w14:paraId="66FE8444" w14:textId="77777777" w:rsidR="002B4844" w:rsidRPr="005970E9" w:rsidRDefault="002B4844" w:rsidP="008075BF">
            <w:pPr>
              <w:rPr>
                <w:sz w:val="20"/>
                <w:szCs w:val="20"/>
              </w:rPr>
            </w:pPr>
            <w:r w:rsidRPr="005970E9">
              <w:rPr>
                <w:sz w:val="20"/>
                <w:szCs w:val="20"/>
              </w:rPr>
              <w:t>69.49</w:t>
            </w:r>
          </w:p>
        </w:tc>
      </w:tr>
      <w:tr w:rsidR="002B4844" w:rsidRPr="005970E9" w14:paraId="429D2018" w14:textId="77777777" w:rsidTr="00E718C2">
        <w:trPr>
          <w:jc w:val="center"/>
        </w:trPr>
        <w:tc>
          <w:tcPr>
            <w:tcW w:w="3256" w:type="dxa"/>
          </w:tcPr>
          <w:p w14:paraId="24D4CC27" w14:textId="4568D72A" w:rsidR="002B4844" w:rsidRPr="005970E9" w:rsidRDefault="002B4844" w:rsidP="008075BF">
            <w:pPr>
              <w:rPr>
                <w:sz w:val="20"/>
                <w:szCs w:val="20"/>
              </w:rPr>
            </w:pPr>
            <w:r w:rsidRPr="005970E9">
              <w:rPr>
                <w:sz w:val="20"/>
                <w:szCs w:val="20"/>
              </w:rPr>
              <w:t xml:space="preserve">Comarca Ngäbe </w:t>
            </w:r>
            <w:r w:rsidR="00B10FEE" w:rsidRPr="005970E9">
              <w:rPr>
                <w:sz w:val="20"/>
                <w:szCs w:val="20"/>
              </w:rPr>
              <w:t>Bugle.</w:t>
            </w:r>
          </w:p>
        </w:tc>
        <w:tc>
          <w:tcPr>
            <w:tcW w:w="1474" w:type="dxa"/>
          </w:tcPr>
          <w:p w14:paraId="6FE2E0AF" w14:textId="72F98C48" w:rsidR="002B4844" w:rsidRPr="005970E9" w:rsidRDefault="002B4844" w:rsidP="008075BF">
            <w:pPr>
              <w:rPr>
                <w:sz w:val="20"/>
                <w:szCs w:val="20"/>
              </w:rPr>
            </w:pPr>
            <w:r w:rsidRPr="005970E9">
              <w:rPr>
                <w:sz w:val="20"/>
                <w:szCs w:val="20"/>
              </w:rPr>
              <w:t>71.68</w:t>
            </w:r>
          </w:p>
        </w:tc>
        <w:tc>
          <w:tcPr>
            <w:tcW w:w="992" w:type="dxa"/>
          </w:tcPr>
          <w:p w14:paraId="6DD27AD4" w14:textId="77777777" w:rsidR="002B4844" w:rsidRPr="005970E9" w:rsidRDefault="002B4844" w:rsidP="008075BF">
            <w:pPr>
              <w:rPr>
                <w:sz w:val="20"/>
                <w:szCs w:val="20"/>
              </w:rPr>
            </w:pPr>
            <w:r w:rsidRPr="005970E9">
              <w:rPr>
                <w:sz w:val="20"/>
                <w:szCs w:val="20"/>
              </w:rPr>
              <w:t>73.8</w:t>
            </w:r>
          </w:p>
        </w:tc>
        <w:tc>
          <w:tcPr>
            <w:tcW w:w="1054" w:type="dxa"/>
          </w:tcPr>
          <w:p w14:paraId="3EBF0E87" w14:textId="77777777" w:rsidR="002B4844" w:rsidRPr="005970E9" w:rsidRDefault="002B4844" w:rsidP="008075BF">
            <w:pPr>
              <w:rPr>
                <w:sz w:val="20"/>
                <w:szCs w:val="20"/>
              </w:rPr>
            </w:pPr>
            <w:r w:rsidRPr="005970E9">
              <w:rPr>
                <w:sz w:val="20"/>
                <w:szCs w:val="20"/>
              </w:rPr>
              <w:t>69.51</w:t>
            </w:r>
          </w:p>
        </w:tc>
      </w:tr>
      <w:tr w:rsidR="00B10FEE" w:rsidRPr="005970E9" w14:paraId="79209B7A" w14:textId="77777777" w:rsidTr="00E718C2">
        <w:trPr>
          <w:jc w:val="center"/>
        </w:trPr>
        <w:tc>
          <w:tcPr>
            <w:tcW w:w="6776" w:type="dxa"/>
            <w:gridSpan w:val="4"/>
          </w:tcPr>
          <w:p w14:paraId="527F4FAE" w14:textId="2ABC4B9C" w:rsidR="00B10FEE" w:rsidRPr="005970E9" w:rsidRDefault="00B10FEE" w:rsidP="008075BF">
            <w:pPr>
              <w:rPr>
                <w:sz w:val="20"/>
                <w:szCs w:val="20"/>
              </w:rPr>
            </w:pPr>
            <w:r w:rsidRPr="005970E9">
              <w:rPr>
                <w:rFonts w:eastAsia="Times New Roman"/>
                <w:sz w:val="20"/>
                <w:szCs w:val="20"/>
              </w:rPr>
              <w:t>Fuente: Instituto Nacional de Estadística.</w:t>
            </w:r>
          </w:p>
        </w:tc>
      </w:tr>
    </w:tbl>
    <w:p w14:paraId="72C4BCDA" w14:textId="77777777" w:rsidR="003F6295" w:rsidRPr="005970E9" w:rsidRDefault="003F6295" w:rsidP="00E014C1">
      <w:pPr>
        <w:spacing w:before="120" w:after="120"/>
        <w:jc w:val="both"/>
        <w:rPr>
          <w:color w:val="FF0000"/>
        </w:rPr>
      </w:pPr>
    </w:p>
    <w:p w14:paraId="757A62CC" w14:textId="73C19161" w:rsidR="00A841D9" w:rsidRPr="005970E9" w:rsidRDefault="00A841D9" w:rsidP="00D478B6">
      <w:pPr>
        <w:pStyle w:val="Heading3"/>
        <w:numPr>
          <w:ilvl w:val="2"/>
          <w:numId w:val="56"/>
        </w:numPr>
      </w:pPr>
      <w:bookmarkStart w:id="180" w:name="_Toc42159227"/>
      <w:bookmarkStart w:id="181" w:name="_Toc42549458"/>
      <w:r w:rsidRPr="005970E9">
        <w:t>Natalidad</w:t>
      </w:r>
      <w:bookmarkEnd w:id="180"/>
      <w:bookmarkEnd w:id="181"/>
    </w:p>
    <w:p w14:paraId="2F9CDB68" w14:textId="361F8FE7" w:rsidR="00A36980" w:rsidRPr="005970E9" w:rsidRDefault="00A36980" w:rsidP="004C001D">
      <w:pPr>
        <w:spacing w:before="120" w:after="120" w:line="276" w:lineRule="auto"/>
        <w:jc w:val="both"/>
      </w:pPr>
      <w:r w:rsidRPr="005970E9">
        <w:t xml:space="preserve">En cuanto a la Tasa de Natalidad a nivel nacional, en el 2010 se situaba en 18.62 nacimientos vivos por cada mil habitantes y para el 2018 la tasa disminuyó levemente a 18.5 nacimientos </w:t>
      </w:r>
      <w:sdt>
        <w:sdtPr>
          <w:id w:val="-684903557"/>
          <w:citation/>
        </w:sdtPr>
        <w:sdtEndPr/>
        <w:sdtContent>
          <w:r w:rsidRPr="005970E9">
            <w:fldChar w:fldCharType="begin"/>
          </w:r>
          <w:r w:rsidRPr="005970E9">
            <w:instrText xml:space="preserve">CITATION INE181 \t  \l 6154 </w:instrText>
          </w:r>
          <w:r w:rsidRPr="005970E9">
            <w:fldChar w:fldCharType="separate"/>
          </w:r>
          <w:r w:rsidRPr="005970E9">
            <w:rPr>
              <w:noProof/>
            </w:rPr>
            <w:t>(INEC, 2010-2018)</w:t>
          </w:r>
          <w:r w:rsidRPr="005970E9">
            <w:fldChar w:fldCharType="end"/>
          </w:r>
        </w:sdtContent>
      </w:sdt>
      <w:r w:rsidRPr="005970E9">
        <w:t>. Sin embargo, presentan grandes variaciones entre provincias y comarcas, puesto que era de 11.4 y 13.7 en Los Santos y Herrera y de 16.8 en la comarca Guna Yala, respectivamente, mientras que es mucho mayor (37.2) en la comarca Ngäbe Buglé y de 27.0 en la provincia de Bocas del Toro (</w:t>
      </w:r>
      <w:r w:rsidRPr="002C53D7">
        <w:t>Gráfica No.2</w:t>
      </w:r>
      <w:r w:rsidR="002C53D7" w:rsidRPr="002C53D7">
        <w:t>2</w:t>
      </w:r>
      <w:r w:rsidRPr="005970E9">
        <w:t>). Estos datos reflejan inequidades en el acceso a los servicios de salud, y conocimiento sobre el uso y acceso a métodos anticonceptivos</w:t>
      </w:r>
      <w:r w:rsidR="00306A6C" w:rsidRPr="005970E9">
        <w:t xml:space="preserve"> como de las desigualdades de género e imposiciones de la masculinidad, pues en esas condiciones las mujeres no cuentan con posibilidad de negociar cu</w:t>
      </w:r>
      <w:r w:rsidR="00E014C1" w:rsidRPr="005970E9">
        <w:t>á</w:t>
      </w:r>
      <w:r w:rsidR="00306A6C" w:rsidRPr="005970E9">
        <w:t>ntos hijos tener ni cuándo</w:t>
      </w:r>
      <w:r w:rsidRPr="005970E9">
        <w:t xml:space="preserve">. </w:t>
      </w:r>
    </w:p>
    <w:p w14:paraId="3F321732" w14:textId="77777777" w:rsidR="004C001D" w:rsidRPr="005970E9" w:rsidRDefault="004C001D" w:rsidP="00306A6C">
      <w:pPr>
        <w:spacing w:before="120" w:after="120"/>
        <w:jc w:val="both"/>
      </w:pPr>
    </w:p>
    <w:p w14:paraId="19B0105E" w14:textId="2C9EFF4A" w:rsidR="004C001D" w:rsidRPr="005970E9" w:rsidRDefault="004C001D" w:rsidP="004C001D">
      <w:pPr>
        <w:pStyle w:val="Caption"/>
        <w:keepNext/>
        <w:jc w:val="both"/>
        <w:rPr>
          <w:rFonts w:ascii="Century Schoolbook" w:hAnsi="Century Schoolbook"/>
          <w:sz w:val="20"/>
          <w:szCs w:val="20"/>
        </w:rPr>
      </w:pPr>
      <w:bookmarkStart w:id="182" w:name="_Toc42549254"/>
      <w:r w:rsidRPr="005970E9">
        <w:rPr>
          <w:rFonts w:ascii="Century Schoolbook" w:hAnsi="Century Schoolbook"/>
          <w:sz w:val="20"/>
          <w:szCs w:val="20"/>
        </w:rPr>
        <w:lastRenderedPageBreak/>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22</w:t>
      </w:r>
      <w:r w:rsidR="00F202BE" w:rsidRPr="005970E9">
        <w:rPr>
          <w:rFonts w:ascii="Century Schoolbook" w:hAnsi="Century Schoolbook"/>
          <w:sz w:val="20"/>
          <w:szCs w:val="20"/>
        </w:rPr>
        <w:fldChar w:fldCharType="end"/>
      </w:r>
      <w:r w:rsidRPr="005970E9">
        <w:rPr>
          <w:rFonts w:ascii="Century Schoolbook" w:hAnsi="Century Schoolbook"/>
          <w:sz w:val="20"/>
          <w:szCs w:val="20"/>
        </w:rPr>
        <w:t xml:space="preserve">. </w:t>
      </w:r>
      <w:r w:rsidR="00820926" w:rsidRPr="005970E9">
        <w:rPr>
          <w:rFonts w:ascii="Century Schoolbook" w:hAnsi="Century Schoolbook"/>
          <w:sz w:val="20"/>
          <w:szCs w:val="20"/>
        </w:rPr>
        <w:t xml:space="preserve">Tasa de natalidad de </w:t>
      </w:r>
      <w:r w:rsidR="52B770F0" w:rsidRPr="005970E9">
        <w:rPr>
          <w:rFonts w:ascii="Century Schoolbook" w:hAnsi="Century Schoolbook"/>
          <w:sz w:val="20"/>
          <w:szCs w:val="20"/>
        </w:rPr>
        <w:t>P</w:t>
      </w:r>
      <w:r w:rsidR="00820926" w:rsidRPr="005970E9">
        <w:rPr>
          <w:rFonts w:ascii="Century Schoolbook" w:hAnsi="Century Schoolbook"/>
          <w:sz w:val="20"/>
          <w:szCs w:val="20"/>
        </w:rPr>
        <w:t>anamá según provincias: años 2010 y 2018</w:t>
      </w:r>
      <w:bookmarkEnd w:id="182"/>
    </w:p>
    <w:p w14:paraId="3E549344" w14:textId="77777777" w:rsidR="00A36980" w:rsidRPr="005970E9" w:rsidRDefault="00A36980" w:rsidP="00A36980">
      <w:pPr>
        <w:jc w:val="center"/>
        <w:rPr>
          <w:rFonts w:cstheme="minorHAnsi"/>
          <w:lang w:eastAsia="en-US"/>
        </w:rPr>
      </w:pPr>
      <w:r w:rsidRPr="005970E9">
        <w:rPr>
          <w:noProof/>
        </w:rPr>
        <w:drawing>
          <wp:inline distT="0" distB="0" distL="0" distR="0" wp14:anchorId="2C9496CA" wp14:editId="0F4B035E">
            <wp:extent cx="5066030" cy="3705225"/>
            <wp:effectExtent l="0" t="0" r="1270"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5970E9" w:rsidDel="00D30FFC">
        <w:rPr>
          <w:noProof/>
        </w:rPr>
        <w:t xml:space="preserve"> </w:t>
      </w:r>
    </w:p>
    <w:p w14:paraId="1774F23E" w14:textId="77777777" w:rsidR="00A36980" w:rsidRPr="005970E9" w:rsidRDefault="00A36980" w:rsidP="00A36980">
      <w:pPr>
        <w:jc w:val="center"/>
        <w:rPr>
          <w:rFonts w:cstheme="minorHAnsi"/>
          <w:lang w:eastAsia="en-US"/>
        </w:rPr>
      </w:pPr>
    </w:p>
    <w:p w14:paraId="15B7BDDD" w14:textId="77777777" w:rsidR="002C53D7" w:rsidRPr="002C53D7" w:rsidRDefault="002C53D7" w:rsidP="002C53D7">
      <w:bookmarkStart w:id="183" w:name="_Toc42159228"/>
    </w:p>
    <w:p w14:paraId="60BC1806" w14:textId="633611F1" w:rsidR="00A841D9" w:rsidRPr="005970E9" w:rsidRDefault="00A841D9" w:rsidP="00D478B6">
      <w:pPr>
        <w:pStyle w:val="Heading3"/>
        <w:numPr>
          <w:ilvl w:val="2"/>
          <w:numId w:val="56"/>
        </w:numPr>
      </w:pPr>
      <w:bookmarkStart w:id="184" w:name="_Toc42549459"/>
      <w:r w:rsidRPr="005970E9">
        <w:t>Fecundidad</w:t>
      </w:r>
      <w:bookmarkEnd w:id="183"/>
      <w:bookmarkEnd w:id="184"/>
    </w:p>
    <w:p w14:paraId="757A0BD1" w14:textId="08084FB6" w:rsidR="00A36980" w:rsidRPr="005970E9" w:rsidRDefault="00A36980" w:rsidP="004C001D">
      <w:pPr>
        <w:spacing w:before="120" w:after="120" w:line="276" w:lineRule="auto"/>
        <w:jc w:val="both"/>
      </w:pPr>
      <w:r w:rsidRPr="005970E9">
        <w:t xml:space="preserve">La tasa de fecundidad general es de 72 nacimientos vivos por cada mil mujeres de 15 a 49 </w:t>
      </w:r>
      <w:r w:rsidRPr="0074337F">
        <w:t>años, con base en la estimación de la población al 1 de julio de 2018</w:t>
      </w:r>
      <w:sdt>
        <w:sdtPr>
          <w:id w:val="-1330060384"/>
          <w:citation/>
        </w:sdtPr>
        <w:sdtEndPr/>
        <w:sdtContent>
          <w:r w:rsidRPr="0074337F">
            <w:fldChar w:fldCharType="begin"/>
          </w:r>
          <w:r w:rsidRPr="0074337F">
            <w:instrText xml:space="preserve"> CITATION INE182 \l 6154 </w:instrText>
          </w:r>
          <w:r w:rsidRPr="0074337F">
            <w:fldChar w:fldCharType="separate"/>
          </w:r>
          <w:r w:rsidRPr="0074337F">
            <w:rPr>
              <w:noProof/>
            </w:rPr>
            <w:t xml:space="preserve"> (INEC I. d., 2010-2018)</w:t>
          </w:r>
          <w:r w:rsidRPr="0074337F">
            <w:fldChar w:fldCharType="end"/>
          </w:r>
        </w:sdtContent>
      </w:sdt>
      <w:r w:rsidRPr="0074337F">
        <w:t xml:space="preserve"> </w:t>
      </w:r>
      <w:r w:rsidR="008F08EE" w:rsidRPr="0074337F">
        <w:t xml:space="preserve">a partir de 2010 esta tasa experimentó un </w:t>
      </w:r>
      <w:r w:rsidRPr="0074337F">
        <w:t>aument</w:t>
      </w:r>
      <w:r w:rsidR="008F08EE" w:rsidRPr="0074337F">
        <w:t>o importante, ya era</w:t>
      </w:r>
      <w:r w:rsidRPr="0074337F">
        <w:t xml:space="preserve"> de 60.5 nacimientos. Se observan enormes diferencias por provincias, siendo la comarca Ngäbe Buglé</w:t>
      </w:r>
      <w:r w:rsidR="00BD614B" w:rsidRPr="0074337F">
        <w:t xml:space="preserve"> y</w:t>
      </w:r>
      <w:r w:rsidRPr="0074337F">
        <w:t xml:space="preserve"> Bocas del Toro </w:t>
      </w:r>
      <w:r w:rsidR="008F08EE" w:rsidRPr="0074337F">
        <w:t xml:space="preserve">las que están </w:t>
      </w:r>
      <w:r w:rsidRPr="0074337F">
        <w:t xml:space="preserve">por encima del promedio del país, casi </w:t>
      </w:r>
      <w:r w:rsidR="00BD614B" w:rsidRPr="0074337F">
        <w:t>triplicándolo</w:t>
      </w:r>
      <w:r w:rsidRPr="0074337F">
        <w:t xml:space="preserve"> la primera con 151.7</w:t>
      </w:r>
      <w:r w:rsidR="00BD614B" w:rsidRPr="0074337F">
        <w:t xml:space="preserve"> y</w:t>
      </w:r>
      <w:r w:rsidRPr="0074337F">
        <w:t xml:space="preserve"> 108.1 respectivamente y la tasa más baja (48.6) en Los Santos</w:t>
      </w:r>
      <w:r w:rsidR="008F08EE" w:rsidRPr="0074337F">
        <w:t>, resultado de</w:t>
      </w:r>
      <w:r w:rsidRPr="0074337F">
        <w:t xml:space="preserve"> </w:t>
      </w:r>
      <w:r w:rsidRPr="005970E9">
        <w:t xml:space="preserve">un mayor acceso a servicios de salud sexual y reproductiva y una población de más edad en esta última. (Ver </w:t>
      </w:r>
      <w:r w:rsidR="0074337F">
        <w:t>g</w:t>
      </w:r>
      <w:r w:rsidRPr="005970E9">
        <w:t xml:space="preserve">ráfica </w:t>
      </w:r>
      <w:r w:rsidRPr="00FF4DED">
        <w:t>No.</w:t>
      </w:r>
      <w:r w:rsidR="004C001D" w:rsidRPr="00FF4DED">
        <w:t>2</w:t>
      </w:r>
      <w:r w:rsidR="0074337F" w:rsidRPr="00FF4DED">
        <w:t>3</w:t>
      </w:r>
      <w:r w:rsidR="0074337F">
        <w:t xml:space="preserve"> y cuadro 6</w:t>
      </w:r>
      <w:r w:rsidRPr="005970E9">
        <w:t>),</w:t>
      </w:r>
    </w:p>
    <w:p w14:paraId="31547819" w14:textId="77777777" w:rsidR="004C001D" w:rsidRPr="005970E9" w:rsidRDefault="004C001D" w:rsidP="00306A6C">
      <w:pPr>
        <w:spacing w:before="120" w:after="120"/>
        <w:jc w:val="both"/>
      </w:pPr>
    </w:p>
    <w:p w14:paraId="631041B7" w14:textId="6F6EF72B" w:rsidR="004C001D" w:rsidRPr="005970E9" w:rsidRDefault="004C001D" w:rsidP="004C001D">
      <w:pPr>
        <w:pStyle w:val="Caption"/>
        <w:keepNext/>
        <w:jc w:val="both"/>
        <w:rPr>
          <w:rFonts w:ascii="Century Schoolbook" w:hAnsi="Century Schoolbook"/>
          <w:sz w:val="20"/>
          <w:szCs w:val="20"/>
        </w:rPr>
      </w:pPr>
      <w:bookmarkStart w:id="185" w:name="_Toc42549255"/>
      <w:r w:rsidRPr="005970E9">
        <w:rPr>
          <w:rFonts w:ascii="Century Schoolbook" w:hAnsi="Century Schoolbook"/>
          <w:sz w:val="20"/>
          <w:szCs w:val="20"/>
        </w:rPr>
        <w:lastRenderedPageBreak/>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23</w:t>
      </w:r>
      <w:r w:rsidR="00F202BE" w:rsidRPr="005970E9">
        <w:rPr>
          <w:rFonts w:ascii="Century Schoolbook" w:hAnsi="Century Schoolbook"/>
          <w:sz w:val="20"/>
          <w:szCs w:val="20"/>
        </w:rPr>
        <w:fldChar w:fldCharType="end"/>
      </w:r>
      <w:r w:rsidR="00820926" w:rsidRPr="005970E9">
        <w:rPr>
          <w:rFonts w:ascii="Century Schoolbook" w:hAnsi="Century Schoolbook"/>
          <w:sz w:val="20"/>
          <w:szCs w:val="20"/>
        </w:rPr>
        <w:t>.</w:t>
      </w:r>
      <w:r w:rsidRPr="005970E9">
        <w:rPr>
          <w:rFonts w:ascii="Century Schoolbook" w:hAnsi="Century Schoolbook"/>
          <w:sz w:val="20"/>
          <w:szCs w:val="20"/>
        </w:rPr>
        <w:t xml:space="preserve"> </w:t>
      </w:r>
      <w:r w:rsidR="00820926" w:rsidRPr="005970E9">
        <w:rPr>
          <w:rFonts w:ascii="Century Schoolbook" w:hAnsi="Century Schoolbook"/>
          <w:sz w:val="20"/>
          <w:szCs w:val="20"/>
        </w:rPr>
        <w:t>Tasa de fecundidad general de panamá, según provincias y comarcas: años 2010-2018</w:t>
      </w:r>
      <w:bookmarkEnd w:id="185"/>
    </w:p>
    <w:p w14:paraId="16F09747" w14:textId="5F31E6FC" w:rsidR="00A36980" w:rsidRPr="005970E9" w:rsidRDefault="00A36980" w:rsidP="00A36980">
      <w:pPr>
        <w:jc w:val="both"/>
      </w:pPr>
      <w:r w:rsidRPr="005970E9">
        <w:rPr>
          <w:noProof/>
        </w:rPr>
        <w:drawing>
          <wp:inline distT="0" distB="0" distL="0" distR="0" wp14:anchorId="7DBBBCA3" wp14:editId="37EC574D">
            <wp:extent cx="5612130" cy="3234905"/>
            <wp:effectExtent l="0" t="0" r="7620" b="381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8772F5C" w14:textId="2F60AB3F" w:rsidR="004C001D" w:rsidRPr="005970E9" w:rsidRDefault="004C001D" w:rsidP="00A36980">
      <w:pPr>
        <w:jc w:val="both"/>
      </w:pPr>
    </w:p>
    <w:p w14:paraId="67E1508D" w14:textId="6F0B865E" w:rsidR="004C001D" w:rsidRPr="005970E9" w:rsidRDefault="004C001D" w:rsidP="004C001D">
      <w:pPr>
        <w:spacing w:before="120" w:after="120" w:line="276" w:lineRule="auto"/>
        <w:jc w:val="both"/>
      </w:pPr>
      <w:r w:rsidRPr="005970E9">
        <w:t>A nivel de provincia y de las áreas comarcales, se observa durante todo el periodo de la proyección disimilitudes en las tasas generales y globales de fecundidad</w:t>
      </w:r>
      <w:r w:rsidR="0070203A" w:rsidRPr="005970E9">
        <w:rPr>
          <w:rStyle w:val="FootnoteReference"/>
        </w:rPr>
        <w:footnoteReference w:id="42"/>
      </w:r>
      <w:r w:rsidRPr="005970E9">
        <w:t xml:space="preserve">. De acuerdo a los análisis del Ministerio de Salud, estas diferencias obedecen principalmente a la intrínseca relación existente entre el nivel de fecundidad y las condiciones socio-económicas y los patrones culturales, así como a los factores psicológicos y fisiológicos, lo cual se interpreta como el acceso a los servicios de salud, educación, empleo, entre otros y al grado de dotación de las infraestructuras y condiciones que promuevan un entorno que ha contribuido al cambio de hábitos, aspiraciones y actitudes de la población respecto de la procreación, el espaciamiento de los nacimientos y el acceso a métodos de planificación familiar. </w:t>
      </w:r>
      <w:sdt>
        <w:sdtPr>
          <w:id w:val="-1763599774"/>
          <w:citation/>
        </w:sdtPr>
        <w:sdtEndPr/>
        <w:sdtContent>
          <w:r w:rsidRPr="005970E9">
            <w:fldChar w:fldCharType="begin"/>
          </w:r>
          <w:r w:rsidRPr="005970E9">
            <w:instrText xml:space="preserve"> CITATION MIN13 \l 6154 </w:instrText>
          </w:r>
          <w:r w:rsidRPr="005970E9">
            <w:fldChar w:fldCharType="separate"/>
          </w:r>
          <w:r w:rsidRPr="005970E9">
            <w:rPr>
              <w:noProof/>
            </w:rPr>
            <w:t>(MINSA, 2013)</w:t>
          </w:r>
          <w:r w:rsidRPr="005970E9">
            <w:fldChar w:fldCharType="end"/>
          </w:r>
        </w:sdtContent>
      </w:sdt>
    </w:p>
    <w:p w14:paraId="2A966D06" w14:textId="77777777" w:rsidR="004C001D" w:rsidRPr="005970E9" w:rsidRDefault="004C001D" w:rsidP="00A36980">
      <w:pPr>
        <w:jc w:val="both"/>
      </w:pPr>
    </w:p>
    <w:p w14:paraId="7FDE4331" w14:textId="43B8A62E" w:rsidR="004C001D" w:rsidRPr="005970E9" w:rsidRDefault="0049052D" w:rsidP="0049052D">
      <w:pPr>
        <w:pStyle w:val="Caption"/>
        <w:rPr>
          <w:rFonts w:ascii="Century Schoolbook" w:hAnsi="Century Schoolbook" w:cstheme="minorHAnsi"/>
          <w:i w:val="0"/>
          <w:iCs w:val="0"/>
          <w:sz w:val="20"/>
          <w:szCs w:val="20"/>
          <w:lang w:eastAsia="en-US"/>
        </w:rPr>
      </w:pPr>
      <w:bookmarkStart w:id="186" w:name="_Toc42549172"/>
      <w:r w:rsidRPr="005970E9">
        <w:rPr>
          <w:rFonts w:ascii="Century Schoolbook" w:hAnsi="Century Schoolbook"/>
          <w:i w:val="0"/>
          <w:iCs w:val="0"/>
        </w:rPr>
        <w:t xml:space="preserve">Cuadro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Cuadro \* ARABIC </w:instrText>
      </w:r>
      <w:r w:rsidRPr="005970E9">
        <w:rPr>
          <w:rFonts w:ascii="Century Schoolbook" w:hAnsi="Century Schoolbook"/>
          <w:i w:val="0"/>
          <w:iCs w:val="0"/>
        </w:rPr>
        <w:fldChar w:fldCharType="separate"/>
      </w:r>
      <w:r w:rsidR="00C5422E" w:rsidRPr="005970E9">
        <w:rPr>
          <w:rFonts w:ascii="Century Schoolbook" w:hAnsi="Century Schoolbook"/>
          <w:i w:val="0"/>
          <w:iCs w:val="0"/>
          <w:noProof/>
        </w:rPr>
        <w:t>6</w:t>
      </w:r>
      <w:r w:rsidRPr="005970E9">
        <w:rPr>
          <w:rFonts w:ascii="Century Schoolbook" w:hAnsi="Century Schoolbook"/>
          <w:i w:val="0"/>
          <w:iCs w:val="0"/>
        </w:rPr>
        <w:fldChar w:fldCharType="end"/>
      </w:r>
      <w:r w:rsidR="004C001D" w:rsidRPr="005970E9">
        <w:rPr>
          <w:rFonts w:ascii="Century Schoolbook" w:hAnsi="Century Schoolbook"/>
          <w:i w:val="0"/>
          <w:iCs w:val="0"/>
          <w:sz w:val="20"/>
          <w:szCs w:val="20"/>
        </w:rPr>
        <w:t xml:space="preserve">. </w:t>
      </w:r>
      <w:r w:rsidR="004C001D" w:rsidRPr="005970E9">
        <w:rPr>
          <w:rFonts w:ascii="Century Schoolbook" w:eastAsia="Times New Roman" w:hAnsi="Century Schoolbook" w:cs="Arial"/>
          <w:i w:val="0"/>
          <w:iCs w:val="0"/>
          <w:sz w:val="20"/>
          <w:szCs w:val="20"/>
        </w:rPr>
        <w:t>INDICADORES DE FECUNDIDAD EN LA REPÚBLICA, SEGÚN ÁREA, PROVINCIA Y COMARCA INDÍGENA: AÑO 2010-2018</w:t>
      </w:r>
      <w:bookmarkEnd w:id="186"/>
    </w:p>
    <w:tbl>
      <w:tblPr>
        <w:tblW w:w="7526" w:type="dxa"/>
        <w:jc w:val="center"/>
        <w:tblCellMar>
          <w:left w:w="70" w:type="dxa"/>
          <w:right w:w="70" w:type="dxa"/>
        </w:tblCellMar>
        <w:tblLook w:val="04A0" w:firstRow="1" w:lastRow="0" w:firstColumn="1" w:lastColumn="0" w:noHBand="0" w:noVBand="1"/>
      </w:tblPr>
      <w:tblGrid>
        <w:gridCol w:w="2861"/>
        <w:gridCol w:w="1108"/>
        <w:gridCol w:w="1161"/>
        <w:gridCol w:w="1170"/>
        <w:gridCol w:w="1220"/>
        <w:gridCol w:w="6"/>
      </w:tblGrid>
      <w:tr w:rsidR="00A36980" w:rsidRPr="005970E9" w14:paraId="6449792E" w14:textId="77777777" w:rsidTr="004C001D">
        <w:trPr>
          <w:trHeight w:val="86"/>
          <w:jc w:val="center"/>
        </w:trPr>
        <w:tc>
          <w:tcPr>
            <w:tcW w:w="2861" w:type="dxa"/>
            <w:vMerge w:val="restart"/>
            <w:tcBorders>
              <w:top w:val="single" w:sz="4" w:space="0" w:color="auto"/>
              <w:left w:val="nil"/>
              <w:bottom w:val="single" w:sz="4" w:space="0" w:color="000000"/>
              <w:right w:val="single" w:sz="4" w:space="0" w:color="auto"/>
            </w:tcBorders>
            <w:shd w:val="clear" w:color="auto" w:fill="CCC0D9" w:themeFill="accent4" w:themeFillTint="66"/>
            <w:vAlign w:val="center"/>
            <w:hideMark/>
          </w:tcPr>
          <w:p w14:paraId="5D9441CE"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18"/>
                <w:szCs w:val="18"/>
              </w:rPr>
              <w:t>Área, provincia y comarca indígena</w:t>
            </w:r>
          </w:p>
        </w:tc>
        <w:tc>
          <w:tcPr>
            <w:tcW w:w="4665" w:type="dxa"/>
            <w:gridSpan w:val="5"/>
            <w:tcBorders>
              <w:top w:val="single" w:sz="4" w:space="0" w:color="auto"/>
              <w:left w:val="nil"/>
              <w:bottom w:val="nil"/>
              <w:right w:val="nil"/>
            </w:tcBorders>
            <w:shd w:val="clear" w:color="auto" w:fill="CCC0D9" w:themeFill="accent4" w:themeFillTint="66"/>
            <w:vAlign w:val="center"/>
            <w:hideMark/>
          </w:tcPr>
          <w:p w14:paraId="1BAD5959"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18"/>
                <w:szCs w:val="18"/>
              </w:rPr>
              <w:t>TASAS</w:t>
            </w:r>
          </w:p>
        </w:tc>
      </w:tr>
      <w:tr w:rsidR="00A36980" w:rsidRPr="005970E9" w14:paraId="4BEB0073" w14:textId="77777777" w:rsidTr="004C001D">
        <w:trPr>
          <w:gridAfter w:val="1"/>
          <w:wAfter w:w="6" w:type="dxa"/>
          <w:trHeight w:val="195"/>
          <w:jc w:val="center"/>
        </w:trPr>
        <w:tc>
          <w:tcPr>
            <w:tcW w:w="2861" w:type="dxa"/>
            <w:vMerge/>
            <w:tcBorders>
              <w:top w:val="single" w:sz="4" w:space="0" w:color="auto"/>
              <w:left w:val="nil"/>
              <w:bottom w:val="single" w:sz="4" w:space="0" w:color="000000"/>
              <w:right w:val="single" w:sz="4" w:space="0" w:color="auto"/>
            </w:tcBorders>
            <w:shd w:val="clear" w:color="auto" w:fill="CCC0D9" w:themeFill="accent4" w:themeFillTint="66"/>
            <w:vAlign w:val="center"/>
            <w:hideMark/>
          </w:tcPr>
          <w:p w14:paraId="71BACF58" w14:textId="77777777" w:rsidR="00A36980" w:rsidRPr="005970E9" w:rsidRDefault="00A36980" w:rsidP="00216547">
            <w:pPr>
              <w:rPr>
                <w:rFonts w:eastAsia="Times New Roman" w:cs="Arial"/>
                <w:b/>
                <w:bCs/>
                <w:sz w:val="20"/>
                <w:szCs w:val="20"/>
              </w:rPr>
            </w:pPr>
          </w:p>
        </w:tc>
        <w:tc>
          <w:tcPr>
            <w:tcW w:w="2269" w:type="dxa"/>
            <w:gridSpan w:val="2"/>
            <w:tcBorders>
              <w:top w:val="single" w:sz="4" w:space="0" w:color="auto"/>
              <w:left w:val="nil"/>
              <w:bottom w:val="single" w:sz="4" w:space="0" w:color="auto"/>
              <w:right w:val="single" w:sz="4" w:space="0" w:color="000000"/>
            </w:tcBorders>
            <w:shd w:val="clear" w:color="auto" w:fill="CCC0D9" w:themeFill="accent4" w:themeFillTint="66"/>
            <w:vAlign w:val="center"/>
            <w:hideMark/>
          </w:tcPr>
          <w:p w14:paraId="26B169EB"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Fecundidad general (1)</w:t>
            </w:r>
          </w:p>
        </w:tc>
        <w:tc>
          <w:tcPr>
            <w:tcW w:w="2390" w:type="dxa"/>
            <w:gridSpan w:val="2"/>
            <w:tcBorders>
              <w:top w:val="single" w:sz="4" w:space="0" w:color="auto"/>
              <w:left w:val="nil"/>
              <w:bottom w:val="single" w:sz="4" w:space="0" w:color="auto"/>
              <w:right w:val="nil"/>
            </w:tcBorders>
            <w:shd w:val="clear" w:color="auto" w:fill="CCC0D9" w:themeFill="accent4" w:themeFillTint="66"/>
            <w:vAlign w:val="center"/>
            <w:hideMark/>
          </w:tcPr>
          <w:p w14:paraId="7F391517"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Fecundidad Global (2)</w:t>
            </w:r>
          </w:p>
        </w:tc>
      </w:tr>
      <w:tr w:rsidR="00A36980" w:rsidRPr="005970E9" w14:paraId="194BD0D4" w14:textId="77777777" w:rsidTr="004C001D">
        <w:trPr>
          <w:gridAfter w:val="1"/>
          <w:wAfter w:w="6" w:type="dxa"/>
          <w:trHeight w:val="231"/>
          <w:jc w:val="center"/>
        </w:trPr>
        <w:tc>
          <w:tcPr>
            <w:tcW w:w="2861" w:type="dxa"/>
            <w:vMerge/>
            <w:tcBorders>
              <w:top w:val="single" w:sz="4" w:space="0" w:color="auto"/>
              <w:left w:val="nil"/>
              <w:bottom w:val="single" w:sz="4" w:space="0" w:color="000000"/>
              <w:right w:val="single" w:sz="4" w:space="0" w:color="auto"/>
            </w:tcBorders>
            <w:shd w:val="clear" w:color="auto" w:fill="CCC0D9" w:themeFill="accent4" w:themeFillTint="66"/>
            <w:vAlign w:val="center"/>
            <w:hideMark/>
          </w:tcPr>
          <w:p w14:paraId="117D279A" w14:textId="77777777" w:rsidR="00A36980" w:rsidRPr="005970E9" w:rsidRDefault="00A36980" w:rsidP="00216547">
            <w:pPr>
              <w:rPr>
                <w:rFonts w:eastAsia="Times New Roman" w:cs="Arial"/>
                <w:b/>
                <w:bCs/>
                <w:sz w:val="20"/>
                <w:szCs w:val="20"/>
              </w:rPr>
            </w:pPr>
          </w:p>
        </w:tc>
        <w:tc>
          <w:tcPr>
            <w:tcW w:w="1108" w:type="dxa"/>
            <w:tcBorders>
              <w:top w:val="nil"/>
              <w:left w:val="nil"/>
              <w:bottom w:val="nil"/>
              <w:right w:val="single" w:sz="4" w:space="0" w:color="auto"/>
            </w:tcBorders>
            <w:shd w:val="clear" w:color="auto" w:fill="CCC0D9" w:themeFill="accent4" w:themeFillTint="66"/>
            <w:vAlign w:val="center"/>
            <w:hideMark/>
          </w:tcPr>
          <w:p w14:paraId="09650109"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2010</w:t>
            </w:r>
          </w:p>
        </w:tc>
        <w:tc>
          <w:tcPr>
            <w:tcW w:w="1161" w:type="dxa"/>
            <w:tcBorders>
              <w:top w:val="nil"/>
              <w:left w:val="nil"/>
              <w:bottom w:val="nil"/>
              <w:right w:val="single" w:sz="4" w:space="0" w:color="auto"/>
            </w:tcBorders>
            <w:shd w:val="clear" w:color="auto" w:fill="CCC0D9" w:themeFill="accent4" w:themeFillTint="66"/>
            <w:vAlign w:val="center"/>
            <w:hideMark/>
          </w:tcPr>
          <w:p w14:paraId="02E571B1"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2018</w:t>
            </w:r>
          </w:p>
        </w:tc>
        <w:tc>
          <w:tcPr>
            <w:tcW w:w="1170" w:type="dxa"/>
            <w:tcBorders>
              <w:top w:val="nil"/>
              <w:left w:val="nil"/>
              <w:bottom w:val="nil"/>
              <w:right w:val="nil"/>
            </w:tcBorders>
            <w:shd w:val="clear" w:color="auto" w:fill="CCC0D9" w:themeFill="accent4" w:themeFillTint="66"/>
            <w:vAlign w:val="center"/>
            <w:hideMark/>
          </w:tcPr>
          <w:p w14:paraId="3747485A"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2010</w:t>
            </w:r>
          </w:p>
        </w:tc>
        <w:tc>
          <w:tcPr>
            <w:tcW w:w="1220" w:type="dxa"/>
            <w:tcBorders>
              <w:top w:val="nil"/>
              <w:left w:val="single" w:sz="4" w:space="0" w:color="auto"/>
              <w:bottom w:val="nil"/>
              <w:right w:val="nil"/>
            </w:tcBorders>
            <w:shd w:val="clear" w:color="auto" w:fill="CCC0D9" w:themeFill="accent4" w:themeFillTint="66"/>
            <w:vAlign w:val="center"/>
            <w:hideMark/>
          </w:tcPr>
          <w:p w14:paraId="44AF6F40"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2018</w:t>
            </w:r>
          </w:p>
        </w:tc>
      </w:tr>
      <w:tr w:rsidR="00A36980" w:rsidRPr="005970E9" w14:paraId="234678C0" w14:textId="77777777" w:rsidTr="004C001D">
        <w:trPr>
          <w:gridAfter w:val="1"/>
          <w:wAfter w:w="6" w:type="dxa"/>
          <w:trHeight w:val="231"/>
          <w:jc w:val="center"/>
        </w:trPr>
        <w:tc>
          <w:tcPr>
            <w:tcW w:w="2861" w:type="dxa"/>
            <w:tcBorders>
              <w:top w:val="nil"/>
              <w:left w:val="nil"/>
              <w:bottom w:val="nil"/>
              <w:right w:val="single" w:sz="4" w:space="0" w:color="auto"/>
            </w:tcBorders>
            <w:shd w:val="clear" w:color="000000" w:fill="FFFFFF"/>
            <w:noWrap/>
            <w:vAlign w:val="bottom"/>
            <w:hideMark/>
          </w:tcPr>
          <w:p w14:paraId="0C97220C"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TOTAL</w:t>
            </w:r>
          </w:p>
        </w:tc>
        <w:tc>
          <w:tcPr>
            <w:tcW w:w="1108" w:type="dxa"/>
            <w:tcBorders>
              <w:top w:val="single" w:sz="4" w:space="0" w:color="auto"/>
              <w:left w:val="nil"/>
              <w:bottom w:val="nil"/>
              <w:right w:val="single" w:sz="4" w:space="0" w:color="auto"/>
            </w:tcBorders>
            <w:shd w:val="clear" w:color="000000" w:fill="FFFFFF"/>
            <w:noWrap/>
            <w:vAlign w:val="bottom"/>
            <w:hideMark/>
          </w:tcPr>
          <w:p w14:paraId="1D01CF59"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60.5</w:t>
            </w:r>
          </w:p>
        </w:tc>
        <w:tc>
          <w:tcPr>
            <w:tcW w:w="1161" w:type="dxa"/>
            <w:tcBorders>
              <w:top w:val="single" w:sz="4" w:space="0" w:color="auto"/>
              <w:left w:val="nil"/>
              <w:bottom w:val="nil"/>
              <w:right w:val="single" w:sz="4" w:space="0" w:color="auto"/>
            </w:tcBorders>
            <w:shd w:val="clear" w:color="000000" w:fill="FFFFFF"/>
            <w:noWrap/>
            <w:vAlign w:val="center"/>
            <w:hideMark/>
          </w:tcPr>
          <w:p w14:paraId="697C4A84"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72.0</w:t>
            </w:r>
          </w:p>
        </w:tc>
        <w:tc>
          <w:tcPr>
            <w:tcW w:w="1170" w:type="dxa"/>
            <w:tcBorders>
              <w:top w:val="single" w:sz="4" w:space="0" w:color="auto"/>
              <w:left w:val="nil"/>
              <w:bottom w:val="nil"/>
              <w:right w:val="nil"/>
            </w:tcBorders>
            <w:shd w:val="clear" w:color="000000" w:fill="FFFFFF"/>
            <w:noWrap/>
            <w:vAlign w:val="center"/>
            <w:hideMark/>
          </w:tcPr>
          <w:p w14:paraId="6043AB34"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2.6</w:t>
            </w:r>
          </w:p>
        </w:tc>
        <w:tc>
          <w:tcPr>
            <w:tcW w:w="1220" w:type="dxa"/>
            <w:tcBorders>
              <w:top w:val="single" w:sz="4" w:space="0" w:color="auto"/>
              <w:left w:val="single" w:sz="4" w:space="0" w:color="auto"/>
              <w:bottom w:val="nil"/>
              <w:right w:val="nil"/>
            </w:tcBorders>
            <w:shd w:val="clear" w:color="000000" w:fill="FFFFFF"/>
            <w:noWrap/>
            <w:vAlign w:val="center"/>
            <w:hideMark/>
          </w:tcPr>
          <w:p w14:paraId="1F0BD065"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2.4</w:t>
            </w:r>
          </w:p>
        </w:tc>
      </w:tr>
      <w:tr w:rsidR="00A36980" w:rsidRPr="005970E9" w14:paraId="6529F89E" w14:textId="77777777" w:rsidTr="004C001D">
        <w:trPr>
          <w:gridAfter w:val="1"/>
          <w:wAfter w:w="6" w:type="dxa"/>
          <w:trHeight w:val="231"/>
          <w:jc w:val="center"/>
        </w:trPr>
        <w:tc>
          <w:tcPr>
            <w:tcW w:w="2861" w:type="dxa"/>
            <w:tcBorders>
              <w:top w:val="nil"/>
              <w:left w:val="nil"/>
              <w:bottom w:val="nil"/>
              <w:right w:val="single" w:sz="4" w:space="0" w:color="auto"/>
            </w:tcBorders>
            <w:shd w:val="clear" w:color="000000" w:fill="FFFFFF"/>
            <w:noWrap/>
            <w:vAlign w:val="bottom"/>
            <w:hideMark/>
          </w:tcPr>
          <w:p w14:paraId="61933138" w14:textId="77777777" w:rsidR="00A36980" w:rsidRPr="005970E9" w:rsidRDefault="00A36980" w:rsidP="00216547">
            <w:pPr>
              <w:rPr>
                <w:rFonts w:eastAsia="Times New Roman" w:cs="Arial"/>
                <w:sz w:val="20"/>
                <w:szCs w:val="20"/>
              </w:rPr>
            </w:pPr>
            <w:r w:rsidRPr="005970E9">
              <w:rPr>
                <w:rFonts w:eastAsia="Times New Roman" w:cs="Arial"/>
                <w:sz w:val="20"/>
                <w:szCs w:val="20"/>
              </w:rPr>
              <w:t>Bocas del Toro</w:t>
            </w:r>
          </w:p>
        </w:tc>
        <w:tc>
          <w:tcPr>
            <w:tcW w:w="1108" w:type="dxa"/>
            <w:tcBorders>
              <w:top w:val="nil"/>
              <w:left w:val="nil"/>
              <w:bottom w:val="nil"/>
              <w:right w:val="single" w:sz="4" w:space="0" w:color="auto"/>
            </w:tcBorders>
            <w:shd w:val="clear" w:color="000000" w:fill="FFFFFF"/>
            <w:noWrap/>
            <w:vAlign w:val="bottom"/>
            <w:hideMark/>
          </w:tcPr>
          <w:p w14:paraId="66D41885"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101.2</w:t>
            </w:r>
          </w:p>
        </w:tc>
        <w:tc>
          <w:tcPr>
            <w:tcW w:w="1161" w:type="dxa"/>
            <w:tcBorders>
              <w:top w:val="nil"/>
              <w:left w:val="nil"/>
              <w:bottom w:val="nil"/>
              <w:right w:val="single" w:sz="4" w:space="0" w:color="auto"/>
            </w:tcBorders>
            <w:shd w:val="clear" w:color="000000" w:fill="FFFFFF"/>
            <w:noWrap/>
            <w:vAlign w:val="center"/>
            <w:hideMark/>
          </w:tcPr>
          <w:p w14:paraId="71BD84B9"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108.1</w:t>
            </w:r>
          </w:p>
        </w:tc>
        <w:tc>
          <w:tcPr>
            <w:tcW w:w="1170" w:type="dxa"/>
            <w:tcBorders>
              <w:top w:val="nil"/>
              <w:left w:val="nil"/>
              <w:bottom w:val="nil"/>
              <w:right w:val="single" w:sz="4" w:space="0" w:color="auto"/>
            </w:tcBorders>
            <w:shd w:val="clear" w:color="000000" w:fill="FFFFFF"/>
            <w:noWrap/>
            <w:vAlign w:val="bottom"/>
            <w:hideMark/>
          </w:tcPr>
          <w:p w14:paraId="0E99A851"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4.3</w:t>
            </w:r>
          </w:p>
        </w:tc>
        <w:tc>
          <w:tcPr>
            <w:tcW w:w="1220" w:type="dxa"/>
            <w:tcBorders>
              <w:top w:val="nil"/>
              <w:left w:val="nil"/>
              <w:bottom w:val="nil"/>
              <w:right w:val="nil"/>
            </w:tcBorders>
            <w:shd w:val="clear" w:color="000000" w:fill="FFFFFF"/>
            <w:noWrap/>
            <w:vAlign w:val="center"/>
            <w:hideMark/>
          </w:tcPr>
          <w:p w14:paraId="37DAEFB0"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3.3</w:t>
            </w:r>
          </w:p>
        </w:tc>
      </w:tr>
      <w:tr w:rsidR="00A36980" w:rsidRPr="005970E9" w14:paraId="19E50E22" w14:textId="77777777" w:rsidTr="004C001D">
        <w:trPr>
          <w:gridAfter w:val="1"/>
          <w:wAfter w:w="6" w:type="dxa"/>
          <w:trHeight w:val="231"/>
          <w:jc w:val="center"/>
        </w:trPr>
        <w:tc>
          <w:tcPr>
            <w:tcW w:w="2861" w:type="dxa"/>
            <w:tcBorders>
              <w:top w:val="nil"/>
              <w:left w:val="nil"/>
              <w:bottom w:val="nil"/>
              <w:right w:val="single" w:sz="4" w:space="0" w:color="auto"/>
            </w:tcBorders>
            <w:shd w:val="clear" w:color="000000" w:fill="FFFFFF"/>
            <w:noWrap/>
            <w:vAlign w:val="bottom"/>
            <w:hideMark/>
          </w:tcPr>
          <w:p w14:paraId="1633C2C2" w14:textId="77777777" w:rsidR="00A36980" w:rsidRPr="005970E9" w:rsidRDefault="00A36980" w:rsidP="00216547">
            <w:pPr>
              <w:rPr>
                <w:rFonts w:eastAsia="Times New Roman" w:cs="Arial"/>
                <w:sz w:val="20"/>
                <w:szCs w:val="20"/>
              </w:rPr>
            </w:pPr>
            <w:r w:rsidRPr="005970E9">
              <w:rPr>
                <w:rFonts w:eastAsia="Times New Roman" w:cs="Arial"/>
                <w:sz w:val="20"/>
                <w:szCs w:val="20"/>
              </w:rPr>
              <w:lastRenderedPageBreak/>
              <w:t>Coclé</w:t>
            </w:r>
          </w:p>
        </w:tc>
        <w:tc>
          <w:tcPr>
            <w:tcW w:w="1108" w:type="dxa"/>
            <w:tcBorders>
              <w:top w:val="nil"/>
              <w:left w:val="nil"/>
              <w:bottom w:val="nil"/>
              <w:right w:val="single" w:sz="4" w:space="0" w:color="auto"/>
            </w:tcBorders>
            <w:shd w:val="clear" w:color="000000" w:fill="FFFFFF"/>
            <w:noWrap/>
            <w:vAlign w:val="bottom"/>
            <w:hideMark/>
          </w:tcPr>
          <w:p w14:paraId="5AC33B88"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54.1</w:t>
            </w:r>
          </w:p>
        </w:tc>
        <w:tc>
          <w:tcPr>
            <w:tcW w:w="1161" w:type="dxa"/>
            <w:tcBorders>
              <w:top w:val="nil"/>
              <w:left w:val="nil"/>
              <w:bottom w:val="nil"/>
              <w:right w:val="single" w:sz="4" w:space="0" w:color="auto"/>
            </w:tcBorders>
            <w:shd w:val="clear" w:color="000000" w:fill="FFFFFF"/>
            <w:noWrap/>
            <w:vAlign w:val="center"/>
            <w:hideMark/>
          </w:tcPr>
          <w:p w14:paraId="0ECFACF2"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64.2</w:t>
            </w:r>
          </w:p>
        </w:tc>
        <w:tc>
          <w:tcPr>
            <w:tcW w:w="1170" w:type="dxa"/>
            <w:tcBorders>
              <w:top w:val="nil"/>
              <w:left w:val="nil"/>
              <w:bottom w:val="nil"/>
              <w:right w:val="single" w:sz="4" w:space="0" w:color="auto"/>
            </w:tcBorders>
            <w:shd w:val="clear" w:color="000000" w:fill="FFFFFF"/>
            <w:noWrap/>
            <w:vAlign w:val="bottom"/>
            <w:hideMark/>
          </w:tcPr>
          <w:p w14:paraId="502A7FE7"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2.4</w:t>
            </w:r>
          </w:p>
        </w:tc>
        <w:tc>
          <w:tcPr>
            <w:tcW w:w="1220" w:type="dxa"/>
            <w:tcBorders>
              <w:top w:val="nil"/>
              <w:left w:val="nil"/>
              <w:bottom w:val="nil"/>
              <w:right w:val="nil"/>
            </w:tcBorders>
            <w:shd w:val="clear" w:color="000000" w:fill="FFFFFF"/>
            <w:noWrap/>
            <w:vAlign w:val="center"/>
            <w:hideMark/>
          </w:tcPr>
          <w:p w14:paraId="09799F68"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2.0</w:t>
            </w:r>
          </w:p>
        </w:tc>
      </w:tr>
      <w:tr w:rsidR="00A36980" w:rsidRPr="005970E9" w14:paraId="36BE0872" w14:textId="77777777" w:rsidTr="004C001D">
        <w:trPr>
          <w:gridAfter w:val="1"/>
          <w:wAfter w:w="6" w:type="dxa"/>
          <w:trHeight w:val="231"/>
          <w:jc w:val="center"/>
        </w:trPr>
        <w:tc>
          <w:tcPr>
            <w:tcW w:w="2861" w:type="dxa"/>
            <w:tcBorders>
              <w:top w:val="nil"/>
              <w:left w:val="nil"/>
              <w:bottom w:val="nil"/>
              <w:right w:val="single" w:sz="4" w:space="0" w:color="auto"/>
            </w:tcBorders>
            <w:shd w:val="clear" w:color="000000" w:fill="FFFFFF"/>
            <w:noWrap/>
            <w:vAlign w:val="bottom"/>
            <w:hideMark/>
          </w:tcPr>
          <w:p w14:paraId="035BEE6B" w14:textId="77777777" w:rsidR="00A36980" w:rsidRPr="005970E9" w:rsidRDefault="00A36980" w:rsidP="00216547">
            <w:pPr>
              <w:rPr>
                <w:rFonts w:eastAsia="Times New Roman" w:cs="Arial"/>
                <w:sz w:val="20"/>
                <w:szCs w:val="20"/>
              </w:rPr>
            </w:pPr>
            <w:r w:rsidRPr="005970E9">
              <w:rPr>
                <w:rFonts w:eastAsia="Times New Roman" w:cs="Arial"/>
                <w:sz w:val="20"/>
                <w:szCs w:val="20"/>
              </w:rPr>
              <w:t>Colón</w:t>
            </w:r>
          </w:p>
        </w:tc>
        <w:tc>
          <w:tcPr>
            <w:tcW w:w="1108" w:type="dxa"/>
            <w:tcBorders>
              <w:top w:val="nil"/>
              <w:left w:val="nil"/>
              <w:bottom w:val="nil"/>
              <w:right w:val="single" w:sz="4" w:space="0" w:color="auto"/>
            </w:tcBorders>
            <w:shd w:val="clear" w:color="000000" w:fill="FFFFFF"/>
            <w:noWrap/>
            <w:vAlign w:val="bottom"/>
            <w:hideMark/>
          </w:tcPr>
          <w:p w14:paraId="78D63DF5"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67.3</w:t>
            </w:r>
          </w:p>
        </w:tc>
        <w:tc>
          <w:tcPr>
            <w:tcW w:w="1161" w:type="dxa"/>
            <w:tcBorders>
              <w:top w:val="nil"/>
              <w:left w:val="nil"/>
              <w:bottom w:val="nil"/>
              <w:right w:val="single" w:sz="4" w:space="0" w:color="auto"/>
            </w:tcBorders>
            <w:shd w:val="clear" w:color="000000" w:fill="FFFFFF"/>
            <w:noWrap/>
            <w:vAlign w:val="center"/>
            <w:hideMark/>
          </w:tcPr>
          <w:p w14:paraId="4E13DDF5"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75.2</w:t>
            </w:r>
          </w:p>
        </w:tc>
        <w:tc>
          <w:tcPr>
            <w:tcW w:w="1170" w:type="dxa"/>
            <w:tcBorders>
              <w:top w:val="nil"/>
              <w:left w:val="nil"/>
              <w:bottom w:val="nil"/>
              <w:right w:val="single" w:sz="4" w:space="0" w:color="auto"/>
            </w:tcBorders>
            <w:shd w:val="clear" w:color="000000" w:fill="FFFFFF"/>
            <w:noWrap/>
            <w:vAlign w:val="bottom"/>
            <w:hideMark/>
          </w:tcPr>
          <w:p w14:paraId="6B36E6E1"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3.0</w:t>
            </w:r>
          </w:p>
        </w:tc>
        <w:tc>
          <w:tcPr>
            <w:tcW w:w="1220" w:type="dxa"/>
            <w:tcBorders>
              <w:top w:val="nil"/>
              <w:left w:val="nil"/>
              <w:bottom w:val="nil"/>
              <w:right w:val="nil"/>
            </w:tcBorders>
            <w:shd w:val="clear" w:color="000000" w:fill="FFFFFF"/>
            <w:noWrap/>
            <w:vAlign w:val="center"/>
            <w:hideMark/>
          </w:tcPr>
          <w:p w14:paraId="34442EA4"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2.4</w:t>
            </w:r>
          </w:p>
        </w:tc>
      </w:tr>
      <w:tr w:rsidR="00A36980" w:rsidRPr="005970E9" w14:paraId="16943618" w14:textId="77777777" w:rsidTr="004C001D">
        <w:trPr>
          <w:gridAfter w:val="1"/>
          <w:wAfter w:w="6" w:type="dxa"/>
          <w:trHeight w:val="231"/>
          <w:jc w:val="center"/>
        </w:trPr>
        <w:tc>
          <w:tcPr>
            <w:tcW w:w="2861" w:type="dxa"/>
            <w:tcBorders>
              <w:top w:val="nil"/>
              <w:left w:val="nil"/>
              <w:bottom w:val="nil"/>
              <w:right w:val="single" w:sz="4" w:space="0" w:color="auto"/>
            </w:tcBorders>
            <w:shd w:val="clear" w:color="000000" w:fill="FFFFFF"/>
            <w:noWrap/>
            <w:vAlign w:val="bottom"/>
            <w:hideMark/>
          </w:tcPr>
          <w:p w14:paraId="3356C01A" w14:textId="77777777" w:rsidR="00A36980" w:rsidRPr="005970E9" w:rsidRDefault="00A36980" w:rsidP="00216547">
            <w:pPr>
              <w:rPr>
                <w:rFonts w:eastAsia="Times New Roman" w:cs="Arial"/>
                <w:sz w:val="20"/>
                <w:szCs w:val="20"/>
              </w:rPr>
            </w:pPr>
            <w:r w:rsidRPr="005970E9">
              <w:rPr>
                <w:rFonts w:eastAsia="Times New Roman" w:cs="Arial"/>
                <w:sz w:val="20"/>
                <w:szCs w:val="20"/>
              </w:rPr>
              <w:t>Chiriquí</w:t>
            </w:r>
          </w:p>
        </w:tc>
        <w:tc>
          <w:tcPr>
            <w:tcW w:w="1108" w:type="dxa"/>
            <w:tcBorders>
              <w:top w:val="nil"/>
              <w:left w:val="nil"/>
              <w:bottom w:val="nil"/>
              <w:right w:val="single" w:sz="4" w:space="0" w:color="auto"/>
            </w:tcBorders>
            <w:shd w:val="clear" w:color="000000" w:fill="FFFFFF"/>
            <w:noWrap/>
            <w:vAlign w:val="bottom"/>
            <w:hideMark/>
          </w:tcPr>
          <w:p w14:paraId="22147240"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59.9</w:t>
            </w:r>
          </w:p>
        </w:tc>
        <w:tc>
          <w:tcPr>
            <w:tcW w:w="1161" w:type="dxa"/>
            <w:tcBorders>
              <w:top w:val="nil"/>
              <w:left w:val="nil"/>
              <w:bottom w:val="nil"/>
              <w:right w:val="single" w:sz="4" w:space="0" w:color="auto"/>
            </w:tcBorders>
            <w:shd w:val="clear" w:color="000000" w:fill="FFFFFF"/>
            <w:noWrap/>
            <w:vAlign w:val="center"/>
            <w:hideMark/>
          </w:tcPr>
          <w:p w14:paraId="056FBBB3"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79.1</w:t>
            </w:r>
          </w:p>
        </w:tc>
        <w:tc>
          <w:tcPr>
            <w:tcW w:w="1170" w:type="dxa"/>
            <w:tcBorders>
              <w:top w:val="nil"/>
              <w:left w:val="nil"/>
              <w:bottom w:val="nil"/>
              <w:right w:val="single" w:sz="4" w:space="0" w:color="auto"/>
            </w:tcBorders>
            <w:shd w:val="clear" w:color="000000" w:fill="FFFFFF"/>
            <w:noWrap/>
            <w:vAlign w:val="bottom"/>
            <w:hideMark/>
          </w:tcPr>
          <w:p w14:paraId="2A806937"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2.7</w:t>
            </w:r>
          </w:p>
        </w:tc>
        <w:tc>
          <w:tcPr>
            <w:tcW w:w="1220" w:type="dxa"/>
            <w:tcBorders>
              <w:top w:val="nil"/>
              <w:left w:val="nil"/>
              <w:bottom w:val="nil"/>
              <w:right w:val="nil"/>
            </w:tcBorders>
            <w:shd w:val="clear" w:color="000000" w:fill="FFFFFF"/>
            <w:noWrap/>
            <w:vAlign w:val="center"/>
            <w:hideMark/>
          </w:tcPr>
          <w:p w14:paraId="1B513CBF"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2.6</w:t>
            </w:r>
          </w:p>
        </w:tc>
      </w:tr>
      <w:tr w:rsidR="00A36980" w:rsidRPr="005970E9" w14:paraId="694F4BB5" w14:textId="77777777" w:rsidTr="004C001D">
        <w:trPr>
          <w:gridAfter w:val="1"/>
          <w:wAfter w:w="6" w:type="dxa"/>
          <w:trHeight w:val="231"/>
          <w:jc w:val="center"/>
        </w:trPr>
        <w:tc>
          <w:tcPr>
            <w:tcW w:w="2861" w:type="dxa"/>
            <w:tcBorders>
              <w:top w:val="nil"/>
              <w:left w:val="nil"/>
              <w:bottom w:val="nil"/>
              <w:right w:val="single" w:sz="4" w:space="0" w:color="auto"/>
            </w:tcBorders>
            <w:shd w:val="clear" w:color="000000" w:fill="FFFFFF"/>
            <w:noWrap/>
            <w:vAlign w:val="bottom"/>
            <w:hideMark/>
          </w:tcPr>
          <w:p w14:paraId="4EEBEDDE" w14:textId="77777777" w:rsidR="00A36980" w:rsidRPr="005970E9" w:rsidRDefault="00A36980" w:rsidP="00216547">
            <w:pPr>
              <w:rPr>
                <w:rFonts w:eastAsia="Times New Roman" w:cs="Arial"/>
                <w:sz w:val="20"/>
                <w:szCs w:val="20"/>
              </w:rPr>
            </w:pPr>
            <w:r w:rsidRPr="005970E9">
              <w:rPr>
                <w:rFonts w:eastAsia="Times New Roman" w:cs="Arial"/>
                <w:sz w:val="20"/>
                <w:szCs w:val="20"/>
              </w:rPr>
              <w:t>Darién</w:t>
            </w:r>
          </w:p>
        </w:tc>
        <w:tc>
          <w:tcPr>
            <w:tcW w:w="1108" w:type="dxa"/>
            <w:tcBorders>
              <w:top w:val="nil"/>
              <w:left w:val="nil"/>
              <w:bottom w:val="nil"/>
              <w:right w:val="single" w:sz="4" w:space="0" w:color="auto"/>
            </w:tcBorders>
            <w:shd w:val="clear" w:color="000000" w:fill="FFFFFF"/>
            <w:noWrap/>
            <w:vAlign w:val="bottom"/>
            <w:hideMark/>
          </w:tcPr>
          <w:p w14:paraId="4C112B80"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66.8</w:t>
            </w:r>
          </w:p>
        </w:tc>
        <w:tc>
          <w:tcPr>
            <w:tcW w:w="1161" w:type="dxa"/>
            <w:tcBorders>
              <w:top w:val="nil"/>
              <w:left w:val="nil"/>
              <w:bottom w:val="nil"/>
              <w:right w:val="single" w:sz="4" w:space="0" w:color="auto"/>
            </w:tcBorders>
            <w:shd w:val="clear" w:color="000000" w:fill="FFFFFF"/>
            <w:noWrap/>
            <w:vAlign w:val="center"/>
            <w:hideMark/>
          </w:tcPr>
          <w:p w14:paraId="49BE9CC6"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93.5</w:t>
            </w:r>
          </w:p>
        </w:tc>
        <w:tc>
          <w:tcPr>
            <w:tcW w:w="1170" w:type="dxa"/>
            <w:tcBorders>
              <w:top w:val="nil"/>
              <w:left w:val="nil"/>
              <w:bottom w:val="nil"/>
              <w:right w:val="single" w:sz="4" w:space="0" w:color="auto"/>
            </w:tcBorders>
            <w:shd w:val="clear" w:color="000000" w:fill="FFFFFF"/>
            <w:noWrap/>
            <w:vAlign w:val="bottom"/>
            <w:hideMark/>
          </w:tcPr>
          <w:p w14:paraId="30913883"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3.0</w:t>
            </w:r>
          </w:p>
        </w:tc>
        <w:tc>
          <w:tcPr>
            <w:tcW w:w="1220" w:type="dxa"/>
            <w:tcBorders>
              <w:top w:val="nil"/>
              <w:left w:val="nil"/>
              <w:bottom w:val="nil"/>
              <w:right w:val="nil"/>
            </w:tcBorders>
            <w:shd w:val="clear" w:color="000000" w:fill="FFFFFF"/>
            <w:noWrap/>
            <w:vAlign w:val="center"/>
            <w:hideMark/>
          </w:tcPr>
          <w:p w14:paraId="4E31D899"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2.8</w:t>
            </w:r>
          </w:p>
        </w:tc>
      </w:tr>
      <w:tr w:rsidR="00A36980" w:rsidRPr="005970E9" w14:paraId="347F1346" w14:textId="77777777" w:rsidTr="004C001D">
        <w:trPr>
          <w:gridAfter w:val="1"/>
          <w:wAfter w:w="6" w:type="dxa"/>
          <w:trHeight w:val="231"/>
          <w:jc w:val="center"/>
        </w:trPr>
        <w:tc>
          <w:tcPr>
            <w:tcW w:w="2861" w:type="dxa"/>
            <w:tcBorders>
              <w:top w:val="nil"/>
              <w:left w:val="nil"/>
              <w:bottom w:val="nil"/>
              <w:right w:val="single" w:sz="4" w:space="0" w:color="auto"/>
            </w:tcBorders>
            <w:shd w:val="clear" w:color="000000" w:fill="FFFFFF"/>
            <w:noWrap/>
            <w:vAlign w:val="bottom"/>
            <w:hideMark/>
          </w:tcPr>
          <w:p w14:paraId="22184EB3" w14:textId="77777777" w:rsidR="00A36980" w:rsidRPr="005970E9" w:rsidRDefault="00A36980" w:rsidP="00216547">
            <w:pPr>
              <w:rPr>
                <w:rFonts w:eastAsia="Times New Roman" w:cs="Arial"/>
                <w:sz w:val="20"/>
                <w:szCs w:val="20"/>
              </w:rPr>
            </w:pPr>
            <w:r w:rsidRPr="005970E9">
              <w:rPr>
                <w:rFonts w:eastAsia="Times New Roman" w:cs="Arial"/>
                <w:sz w:val="20"/>
                <w:szCs w:val="20"/>
              </w:rPr>
              <w:t>Herrera</w:t>
            </w:r>
          </w:p>
        </w:tc>
        <w:tc>
          <w:tcPr>
            <w:tcW w:w="1108" w:type="dxa"/>
            <w:tcBorders>
              <w:top w:val="nil"/>
              <w:left w:val="nil"/>
              <w:bottom w:val="nil"/>
              <w:right w:val="single" w:sz="4" w:space="0" w:color="auto"/>
            </w:tcBorders>
            <w:shd w:val="clear" w:color="000000" w:fill="FFFFFF"/>
            <w:noWrap/>
            <w:vAlign w:val="bottom"/>
            <w:hideMark/>
          </w:tcPr>
          <w:p w14:paraId="198FEABE"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40.3</w:t>
            </w:r>
          </w:p>
        </w:tc>
        <w:tc>
          <w:tcPr>
            <w:tcW w:w="1161" w:type="dxa"/>
            <w:tcBorders>
              <w:top w:val="nil"/>
              <w:left w:val="nil"/>
              <w:bottom w:val="nil"/>
              <w:right w:val="single" w:sz="4" w:space="0" w:color="auto"/>
            </w:tcBorders>
            <w:shd w:val="clear" w:color="000000" w:fill="FFFFFF"/>
            <w:noWrap/>
            <w:vAlign w:val="center"/>
            <w:hideMark/>
          </w:tcPr>
          <w:p w14:paraId="412D39F7"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56.6</w:t>
            </w:r>
          </w:p>
        </w:tc>
        <w:tc>
          <w:tcPr>
            <w:tcW w:w="1170" w:type="dxa"/>
            <w:tcBorders>
              <w:top w:val="nil"/>
              <w:left w:val="nil"/>
              <w:bottom w:val="nil"/>
              <w:right w:val="single" w:sz="4" w:space="0" w:color="auto"/>
            </w:tcBorders>
            <w:shd w:val="clear" w:color="000000" w:fill="FFFFFF"/>
            <w:noWrap/>
            <w:vAlign w:val="bottom"/>
            <w:hideMark/>
          </w:tcPr>
          <w:p w14:paraId="7F158262"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1.9</w:t>
            </w:r>
          </w:p>
        </w:tc>
        <w:tc>
          <w:tcPr>
            <w:tcW w:w="1220" w:type="dxa"/>
            <w:tcBorders>
              <w:top w:val="nil"/>
              <w:left w:val="nil"/>
              <w:bottom w:val="nil"/>
              <w:right w:val="nil"/>
            </w:tcBorders>
            <w:shd w:val="clear" w:color="000000" w:fill="FFFFFF"/>
            <w:noWrap/>
            <w:vAlign w:val="center"/>
            <w:hideMark/>
          </w:tcPr>
          <w:p w14:paraId="7737D8A4"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1.9</w:t>
            </w:r>
          </w:p>
        </w:tc>
      </w:tr>
      <w:tr w:rsidR="00A36980" w:rsidRPr="005970E9" w14:paraId="61370121" w14:textId="77777777" w:rsidTr="004C001D">
        <w:trPr>
          <w:gridAfter w:val="1"/>
          <w:wAfter w:w="6" w:type="dxa"/>
          <w:trHeight w:val="231"/>
          <w:jc w:val="center"/>
        </w:trPr>
        <w:tc>
          <w:tcPr>
            <w:tcW w:w="2861" w:type="dxa"/>
            <w:tcBorders>
              <w:top w:val="nil"/>
              <w:left w:val="nil"/>
              <w:bottom w:val="nil"/>
              <w:right w:val="single" w:sz="4" w:space="0" w:color="auto"/>
            </w:tcBorders>
            <w:shd w:val="clear" w:color="000000" w:fill="FFFFFF"/>
            <w:noWrap/>
            <w:vAlign w:val="bottom"/>
            <w:hideMark/>
          </w:tcPr>
          <w:p w14:paraId="0A133C79" w14:textId="77777777" w:rsidR="00A36980" w:rsidRPr="005970E9" w:rsidRDefault="00A36980" w:rsidP="00216547">
            <w:pPr>
              <w:rPr>
                <w:rFonts w:eastAsia="Times New Roman" w:cs="Arial"/>
                <w:sz w:val="20"/>
                <w:szCs w:val="20"/>
              </w:rPr>
            </w:pPr>
            <w:r w:rsidRPr="005970E9">
              <w:rPr>
                <w:rFonts w:eastAsia="Times New Roman" w:cs="Arial"/>
                <w:sz w:val="20"/>
                <w:szCs w:val="20"/>
              </w:rPr>
              <w:t>Los Santos</w:t>
            </w:r>
          </w:p>
        </w:tc>
        <w:tc>
          <w:tcPr>
            <w:tcW w:w="1108" w:type="dxa"/>
            <w:tcBorders>
              <w:top w:val="nil"/>
              <w:left w:val="nil"/>
              <w:bottom w:val="nil"/>
              <w:right w:val="single" w:sz="4" w:space="0" w:color="auto"/>
            </w:tcBorders>
            <w:shd w:val="clear" w:color="000000" w:fill="FFFFFF"/>
            <w:noWrap/>
            <w:vAlign w:val="bottom"/>
            <w:hideMark/>
          </w:tcPr>
          <w:p w14:paraId="1F03B1D8"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39.6</w:t>
            </w:r>
          </w:p>
        </w:tc>
        <w:tc>
          <w:tcPr>
            <w:tcW w:w="1161" w:type="dxa"/>
            <w:tcBorders>
              <w:top w:val="nil"/>
              <w:left w:val="nil"/>
              <w:bottom w:val="nil"/>
              <w:right w:val="single" w:sz="4" w:space="0" w:color="auto"/>
            </w:tcBorders>
            <w:shd w:val="clear" w:color="000000" w:fill="FFFFFF"/>
            <w:noWrap/>
            <w:vAlign w:val="center"/>
            <w:hideMark/>
          </w:tcPr>
          <w:p w14:paraId="6BCA74AC"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48.6</w:t>
            </w:r>
          </w:p>
        </w:tc>
        <w:tc>
          <w:tcPr>
            <w:tcW w:w="1170" w:type="dxa"/>
            <w:tcBorders>
              <w:top w:val="nil"/>
              <w:left w:val="nil"/>
              <w:bottom w:val="nil"/>
              <w:right w:val="single" w:sz="4" w:space="0" w:color="auto"/>
            </w:tcBorders>
            <w:shd w:val="clear" w:color="000000" w:fill="FFFFFF"/>
            <w:noWrap/>
            <w:vAlign w:val="bottom"/>
            <w:hideMark/>
          </w:tcPr>
          <w:p w14:paraId="50EAD615"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1.7</w:t>
            </w:r>
          </w:p>
        </w:tc>
        <w:tc>
          <w:tcPr>
            <w:tcW w:w="1220" w:type="dxa"/>
            <w:tcBorders>
              <w:top w:val="nil"/>
              <w:left w:val="nil"/>
              <w:bottom w:val="nil"/>
              <w:right w:val="nil"/>
            </w:tcBorders>
            <w:shd w:val="clear" w:color="000000" w:fill="FFFFFF"/>
            <w:noWrap/>
            <w:vAlign w:val="center"/>
            <w:hideMark/>
          </w:tcPr>
          <w:p w14:paraId="5C23B72C"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1.6</w:t>
            </w:r>
          </w:p>
        </w:tc>
      </w:tr>
      <w:tr w:rsidR="00A36980" w:rsidRPr="005970E9" w14:paraId="433202B6" w14:textId="77777777" w:rsidTr="004C001D">
        <w:trPr>
          <w:gridAfter w:val="1"/>
          <w:wAfter w:w="6" w:type="dxa"/>
          <w:trHeight w:val="231"/>
          <w:jc w:val="center"/>
        </w:trPr>
        <w:tc>
          <w:tcPr>
            <w:tcW w:w="2861" w:type="dxa"/>
            <w:tcBorders>
              <w:top w:val="nil"/>
              <w:left w:val="nil"/>
              <w:bottom w:val="nil"/>
              <w:right w:val="single" w:sz="4" w:space="0" w:color="auto"/>
            </w:tcBorders>
            <w:shd w:val="clear" w:color="000000" w:fill="FFFFFF"/>
            <w:noWrap/>
            <w:vAlign w:val="bottom"/>
            <w:hideMark/>
          </w:tcPr>
          <w:p w14:paraId="16332948" w14:textId="77777777" w:rsidR="00A36980" w:rsidRPr="005970E9" w:rsidRDefault="00A36980" w:rsidP="00216547">
            <w:pPr>
              <w:rPr>
                <w:rFonts w:eastAsia="Times New Roman" w:cs="Arial"/>
                <w:sz w:val="20"/>
                <w:szCs w:val="20"/>
              </w:rPr>
            </w:pPr>
            <w:r w:rsidRPr="005970E9">
              <w:rPr>
                <w:rFonts w:eastAsia="Times New Roman" w:cs="Arial"/>
                <w:sz w:val="20"/>
                <w:szCs w:val="20"/>
              </w:rPr>
              <w:t>Panamá</w:t>
            </w:r>
          </w:p>
        </w:tc>
        <w:tc>
          <w:tcPr>
            <w:tcW w:w="1108" w:type="dxa"/>
            <w:tcBorders>
              <w:top w:val="nil"/>
              <w:left w:val="nil"/>
              <w:bottom w:val="nil"/>
              <w:right w:val="single" w:sz="4" w:space="0" w:color="auto"/>
            </w:tcBorders>
            <w:shd w:val="clear" w:color="000000" w:fill="FFFFFF"/>
            <w:noWrap/>
            <w:vAlign w:val="bottom"/>
            <w:hideMark/>
          </w:tcPr>
          <w:p w14:paraId="43C35DE9"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56.6</w:t>
            </w:r>
          </w:p>
        </w:tc>
        <w:tc>
          <w:tcPr>
            <w:tcW w:w="1161" w:type="dxa"/>
            <w:tcBorders>
              <w:top w:val="nil"/>
              <w:left w:val="nil"/>
              <w:bottom w:val="nil"/>
              <w:right w:val="single" w:sz="4" w:space="0" w:color="auto"/>
            </w:tcBorders>
            <w:shd w:val="clear" w:color="000000" w:fill="FFFFFF"/>
            <w:noWrap/>
            <w:vAlign w:val="center"/>
            <w:hideMark/>
          </w:tcPr>
          <w:p w14:paraId="38F69AAC"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59.0</w:t>
            </w:r>
          </w:p>
        </w:tc>
        <w:tc>
          <w:tcPr>
            <w:tcW w:w="1170" w:type="dxa"/>
            <w:tcBorders>
              <w:top w:val="nil"/>
              <w:left w:val="nil"/>
              <w:bottom w:val="nil"/>
              <w:right w:val="single" w:sz="4" w:space="0" w:color="auto"/>
            </w:tcBorders>
            <w:shd w:val="clear" w:color="000000" w:fill="FFFFFF"/>
            <w:noWrap/>
            <w:vAlign w:val="bottom"/>
            <w:hideMark/>
          </w:tcPr>
          <w:p w14:paraId="679888F5"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2.2</w:t>
            </w:r>
          </w:p>
        </w:tc>
        <w:tc>
          <w:tcPr>
            <w:tcW w:w="1220" w:type="dxa"/>
            <w:tcBorders>
              <w:top w:val="nil"/>
              <w:left w:val="nil"/>
              <w:bottom w:val="nil"/>
              <w:right w:val="nil"/>
            </w:tcBorders>
            <w:shd w:val="clear" w:color="000000" w:fill="FFFFFF"/>
            <w:noWrap/>
            <w:vAlign w:val="center"/>
            <w:hideMark/>
          </w:tcPr>
          <w:p w14:paraId="61CAFBFD"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2.1</w:t>
            </w:r>
          </w:p>
        </w:tc>
      </w:tr>
      <w:tr w:rsidR="00A36980" w:rsidRPr="005970E9" w14:paraId="5D91FE0A" w14:textId="77777777" w:rsidTr="004C001D">
        <w:trPr>
          <w:gridAfter w:val="1"/>
          <w:wAfter w:w="6" w:type="dxa"/>
          <w:trHeight w:val="231"/>
          <w:jc w:val="center"/>
        </w:trPr>
        <w:tc>
          <w:tcPr>
            <w:tcW w:w="2861" w:type="dxa"/>
            <w:tcBorders>
              <w:top w:val="nil"/>
              <w:left w:val="nil"/>
              <w:bottom w:val="nil"/>
              <w:right w:val="single" w:sz="4" w:space="0" w:color="auto"/>
            </w:tcBorders>
            <w:shd w:val="clear" w:color="000000" w:fill="FFFFFF"/>
            <w:noWrap/>
            <w:vAlign w:val="bottom"/>
            <w:hideMark/>
          </w:tcPr>
          <w:p w14:paraId="709EC5DF" w14:textId="77777777" w:rsidR="00A36980" w:rsidRPr="005970E9" w:rsidRDefault="00A36980" w:rsidP="00216547">
            <w:pPr>
              <w:rPr>
                <w:rFonts w:eastAsia="Times New Roman" w:cs="Arial"/>
                <w:sz w:val="20"/>
                <w:szCs w:val="20"/>
              </w:rPr>
            </w:pPr>
            <w:r w:rsidRPr="005970E9">
              <w:rPr>
                <w:rFonts w:eastAsia="Times New Roman" w:cs="Arial"/>
                <w:sz w:val="20"/>
                <w:szCs w:val="20"/>
              </w:rPr>
              <w:t>Panamá Oeste</w:t>
            </w:r>
          </w:p>
        </w:tc>
        <w:tc>
          <w:tcPr>
            <w:tcW w:w="1108" w:type="dxa"/>
            <w:tcBorders>
              <w:top w:val="nil"/>
              <w:left w:val="nil"/>
              <w:bottom w:val="nil"/>
              <w:right w:val="single" w:sz="4" w:space="0" w:color="auto"/>
            </w:tcBorders>
            <w:shd w:val="clear" w:color="000000" w:fill="FFFFFF"/>
            <w:noWrap/>
            <w:vAlign w:val="bottom"/>
            <w:hideMark/>
          </w:tcPr>
          <w:p w14:paraId="161A0057"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w:t>
            </w:r>
          </w:p>
        </w:tc>
        <w:tc>
          <w:tcPr>
            <w:tcW w:w="1161" w:type="dxa"/>
            <w:tcBorders>
              <w:top w:val="nil"/>
              <w:left w:val="nil"/>
              <w:bottom w:val="nil"/>
              <w:right w:val="single" w:sz="4" w:space="0" w:color="auto"/>
            </w:tcBorders>
            <w:shd w:val="clear" w:color="000000" w:fill="FFFFFF"/>
            <w:noWrap/>
            <w:vAlign w:val="center"/>
            <w:hideMark/>
          </w:tcPr>
          <w:p w14:paraId="7E8BB4B0"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71.7</w:t>
            </w:r>
          </w:p>
        </w:tc>
        <w:tc>
          <w:tcPr>
            <w:tcW w:w="1170" w:type="dxa"/>
            <w:tcBorders>
              <w:top w:val="nil"/>
              <w:left w:val="nil"/>
              <w:bottom w:val="nil"/>
              <w:right w:val="single" w:sz="4" w:space="0" w:color="auto"/>
            </w:tcBorders>
            <w:shd w:val="clear" w:color="000000" w:fill="FFFFFF"/>
            <w:noWrap/>
            <w:vAlign w:val="bottom"/>
            <w:hideMark/>
          </w:tcPr>
          <w:p w14:paraId="509FAEC9"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w:t>
            </w:r>
          </w:p>
        </w:tc>
        <w:tc>
          <w:tcPr>
            <w:tcW w:w="1220" w:type="dxa"/>
            <w:tcBorders>
              <w:top w:val="nil"/>
              <w:left w:val="nil"/>
              <w:bottom w:val="nil"/>
              <w:right w:val="nil"/>
            </w:tcBorders>
            <w:shd w:val="clear" w:color="000000" w:fill="FFFFFF"/>
            <w:noWrap/>
            <w:vAlign w:val="center"/>
            <w:hideMark/>
          </w:tcPr>
          <w:p w14:paraId="19012FC3"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2.6</w:t>
            </w:r>
          </w:p>
        </w:tc>
      </w:tr>
      <w:tr w:rsidR="00A36980" w:rsidRPr="005970E9" w14:paraId="733B049A" w14:textId="77777777" w:rsidTr="004C001D">
        <w:trPr>
          <w:gridAfter w:val="1"/>
          <w:wAfter w:w="6" w:type="dxa"/>
          <w:trHeight w:val="231"/>
          <w:jc w:val="center"/>
        </w:trPr>
        <w:tc>
          <w:tcPr>
            <w:tcW w:w="2861" w:type="dxa"/>
            <w:tcBorders>
              <w:top w:val="nil"/>
              <w:left w:val="nil"/>
              <w:bottom w:val="nil"/>
              <w:right w:val="single" w:sz="4" w:space="0" w:color="auto"/>
            </w:tcBorders>
            <w:shd w:val="clear" w:color="000000" w:fill="FFFFFF"/>
            <w:noWrap/>
            <w:vAlign w:val="bottom"/>
            <w:hideMark/>
          </w:tcPr>
          <w:p w14:paraId="44CBBA4C" w14:textId="77777777" w:rsidR="00A36980" w:rsidRPr="005970E9" w:rsidRDefault="00A36980" w:rsidP="00216547">
            <w:pPr>
              <w:rPr>
                <w:rFonts w:eastAsia="Times New Roman" w:cs="Arial"/>
                <w:sz w:val="20"/>
                <w:szCs w:val="20"/>
              </w:rPr>
            </w:pPr>
            <w:r w:rsidRPr="005970E9">
              <w:rPr>
                <w:rFonts w:eastAsia="Times New Roman" w:cs="Arial"/>
                <w:sz w:val="20"/>
                <w:szCs w:val="20"/>
              </w:rPr>
              <w:t>Veraguas</w:t>
            </w:r>
          </w:p>
        </w:tc>
        <w:tc>
          <w:tcPr>
            <w:tcW w:w="1108" w:type="dxa"/>
            <w:tcBorders>
              <w:top w:val="nil"/>
              <w:left w:val="nil"/>
              <w:bottom w:val="nil"/>
              <w:right w:val="single" w:sz="4" w:space="0" w:color="auto"/>
            </w:tcBorders>
            <w:shd w:val="clear" w:color="000000" w:fill="FFFFFF"/>
            <w:noWrap/>
            <w:vAlign w:val="bottom"/>
            <w:hideMark/>
          </w:tcPr>
          <w:p w14:paraId="56B6C854"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56.7</w:t>
            </w:r>
          </w:p>
        </w:tc>
        <w:tc>
          <w:tcPr>
            <w:tcW w:w="1161" w:type="dxa"/>
            <w:tcBorders>
              <w:top w:val="nil"/>
              <w:left w:val="nil"/>
              <w:bottom w:val="nil"/>
              <w:right w:val="single" w:sz="4" w:space="0" w:color="auto"/>
            </w:tcBorders>
            <w:shd w:val="clear" w:color="000000" w:fill="FFFFFF"/>
            <w:noWrap/>
            <w:vAlign w:val="center"/>
            <w:hideMark/>
          </w:tcPr>
          <w:p w14:paraId="3D302CBC"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74.4</w:t>
            </w:r>
          </w:p>
        </w:tc>
        <w:tc>
          <w:tcPr>
            <w:tcW w:w="1170" w:type="dxa"/>
            <w:tcBorders>
              <w:top w:val="nil"/>
              <w:left w:val="nil"/>
              <w:bottom w:val="nil"/>
              <w:right w:val="single" w:sz="4" w:space="0" w:color="auto"/>
            </w:tcBorders>
            <w:shd w:val="clear" w:color="000000" w:fill="FFFFFF"/>
            <w:noWrap/>
            <w:vAlign w:val="bottom"/>
            <w:hideMark/>
          </w:tcPr>
          <w:p w14:paraId="7C31098D"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2.6</w:t>
            </w:r>
          </w:p>
        </w:tc>
        <w:tc>
          <w:tcPr>
            <w:tcW w:w="1220" w:type="dxa"/>
            <w:tcBorders>
              <w:top w:val="nil"/>
              <w:left w:val="nil"/>
              <w:bottom w:val="nil"/>
              <w:right w:val="nil"/>
            </w:tcBorders>
            <w:shd w:val="clear" w:color="000000" w:fill="FFFFFF"/>
            <w:noWrap/>
            <w:vAlign w:val="center"/>
            <w:hideMark/>
          </w:tcPr>
          <w:p w14:paraId="00485D96"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2.3</w:t>
            </w:r>
          </w:p>
        </w:tc>
      </w:tr>
      <w:tr w:rsidR="00A36980" w:rsidRPr="005970E9" w14:paraId="3D78C96C" w14:textId="77777777" w:rsidTr="004C001D">
        <w:trPr>
          <w:gridAfter w:val="1"/>
          <w:wAfter w:w="6" w:type="dxa"/>
          <w:trHeight w:val="231"/>
          <w:jc w:val="center"/>
        </w:trPr>
        <w:tc>
          <w:tcPr>
            <w:tcW w:w="2861" w:type="dxa"/>
            <w:tcBorders>
              <w:top w:val="nil"/>
              <w:left w:val="nil"/>
              <w:bottom w:val="nil"/>
              <w:right w:val="single" w:sz="4" w:space="0" w:color="auto"/>
            </w:tcBorders>
            <w:shd w:val="clear" w:color="000000" w:fill="FFFFFF"/>
            <w:noWrap/>
            <w:vAlign w:val="bottom"/>
            <w:hideMark/>
          </w:tcPr>
          <w:p w14:paraId="3A2C823B" w14:textId="77777777" w:rsidR="00A36980" w:rsidRPr="005970E9" w:rsidRDefault="00A36980" w:rsidP="00216547">
            <w:pPr>
              <w:rPr>
                <w:rFonts w:eastAsia="Times New Roman" w:cs="Arial"/>
                <w:sz w:val="20"/>
                <w:szCs w:val="20"/>
              </w:rPr>
            </w:pPr>
            <w:r w:rsidRPr="005970E9">
              <w:rPr>
                <w:rFonts w:eastAsia="Times New Roman" w:cs="Arial"/>
                <w:sz w:val="20"/>
                <w:szCs w:val="20"/>
              </w:rPr>
              <w:t>Comarca Guna Yala</w:t>
            </w:r>
          </w:p>
        </w:tc>
        <w:tc>
          <w:tcPr>
            <w:tcW w:w="1108" w:type="dxa"/>
            <w:tcBorders>
              <w:top w:val="nil"/>
              <w:left w:val="nil"/>
              <w:bottom w:val="nil"/>
              <w:right w:val="single" w:sz="4" w:space="0" w:color="auto"/>
            </w:tcBorders>
            <w:shd w:val="clear" w:color="000000" w:fill="FFFFFF"/>
            <w:noWrap/>
            <w:vAlign w:val="bottom"/>
            <w:hideMark/>
          </w:tcPr>
          <w:p w14:paraId="588CE414"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80.1</w:t>
            </w:r>
          </w:p>
        </w:tc>
        <w:tc>
          <w:tcPr>
            <w:tcW w:w="1161" w:type="dxa"/>
            <w:tcBorders>
              <w:top w:val="nil"/>
              <w:left w:val="nil"/>
              <w:bottom w:val="nil"/>
              <w:right w:val="single" w:sz="4" w:space="0" w:color="auto"/>
            </w:tcBorders>
            <w:shd w:val="clear" w:color="000000" w:fill="FFFFFF"/>
            <w:noWrap/>
            <w:vAlign w:val="center"/>
            <w:hideMark/>
          </w:tcPr>
          <w:p w14:paraId="3016BA85"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73.3</w:t>
            </w:r>
          </w:p>
        </w:tc>
        <w:tc>
          <w:tcPr>
            <w:tcW w:w="1170" w:type="dxa"/>
            <w:tcBorders>
              <w:top w:val="nil"/>
              <w:left w:val="nil"/>
              <w:bottom w:val="nil"/>
              <w:right w:val="single" w:sz="4" w:space="0" w:color="auto"/>
            </w:tcBorders>
            <w:shd w:val="clear" w:color="000000" w:fill="FFFFFF"/>
            <w:noWrap/>
            <w:vAlign w:val="bottom"/>
            <w:hideMark/>
          </w:tcPr>
          <w:p w14:paraId="72FE3F54"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4.4</w:t>
            </w:r>
          </w:p>
        </w:tc>
        <w:tc>
          <w:tcPr>
            <w:tcW w:w="1220" w:type="dxa"/>
            <w:tcBorders>
              <w:top w:val="nil"/>
              <w:left w:val="nil"/>
              <w:bottom w:val="nil"/>
              <w:right w:val="nil"/>
            </w:tcBorders>
            <w:shd w:val="clear" w:color="000000" w:fill="FFFFFF"/>
            <w:noWrap/>
            <w:vAlign w:val="center"/>
            <w:hideMark/>
          </w:tcPr>
          <w:p w14:paraId="1ED07081"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2.3</w:t>
            </w:r>
          </w:p>
        </w:tc>
      </w:tr>
      <w:tr w:rsidR="00A36980" w:rsidRPr="005970E9" w14:paraId="7A11DBF4" w14:textId="77777777" w:rsidTr="004C001D">
        <w:trPr>
          <w:gridAfter w:val="1"/>
          <w:wAfter w:w="6" w:type="dxa"/>
          <w:trHeight w:val="231"/>
          <w:jc w:val="center"/>
        </w:trPr>
        <w:tc>
          <w:tcPr>
            <w:tcW w:w="2861" w:type="dxa"/>
            <w:tcBorders>
              <w:top w:val="nil"/>
              <w:left w:val="nil"/>
              <w:bottom w:val="nil"/>
              <w:right w:val="single" w:sz="4" w:space="0" w:color="auto"/>
            </w:tcBorders>
            <w:shd w:val="clear" w:color="000000" w:fill="FFFFFF"/>
            <w:noWrap/>
            <w:vAlign w:val="bottom"/>
            <w:hideMark/>
          </w:tcPr>
          <w:p w14:paraId="5DD415CA" w14:textId="77777777" w:rsidR="00A36980" w:rsidRPr="005970E9" w:rsidRDefault="00A36980" w:rsidP="00216547">
            <w:pPr>
              <w:rPr>
                <w:rFonts w:eastAsia="Times New Roman" w:cs="Arial"/>
                <w:sz w:val="20"/>
                <w:szCs w:val="20"/>
              </w:rPr>
            </w:pPr>
            <w:r w:rsidRPr="005970E9">
              <w:rPr>
                <w:rFonts w:eastAsia="Times New Roman" w:cs="Arial"/>
                <w:sz w:val="20"/>
                <w:szCs w:val="20"/>
              </w:rPr>
              <w:t>Comarca Emberá</w:t>
            </w:r>
          </w:p>
        </w:tc>
        <w:tc>
          <w:tcPr>
            <w:tcW w:w="1108" w:type="dxa"/>
            <w:tcBorders>
              <w:top w:val="nil"/>
              <w:left w:val="nil"/>
              <w:bottom w:val="nil"/>
              <w:right w:val="single" w:sz="4" w:space="0" w:color="auto"/>
            </w:tcBorders>
            <w:shd w:val="clear" w:color="000000" w:fill="FFFFFF"/>
            <w:noWrap/>
            <w:vAlign w:val="bottom"/>
            <w:hideMark/>
          </w:tcPr>
          <w:p w14:paraId="2C54D341"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85.7</w:t>
            </w:r>
          </w:p>
        </w:tc>
        <w:tc>
          <w:tcPr>
            <w:tcW w:w="1161" w:type="dxa"/>
            <w:tcBorders>
              <w:top w:val="nil"/>
              <w:left w:val="nil"/>
              <w:bottom w:val="nil"/>
              <w:right w:val="single" w:sz="4" w:space="0" w:color="auto"/>
            </w:tcBorders>
            <w:shd w:val="clear" w:color="000000" w:fill="FFFFFF"/>
            <w:noWrap/>
            <w:vAlign w:val="center"/>
            <w:hideMark/>
          </w:tcPr>
          <w:p w14:paraId="4D393B88"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94.6</w:t>
            </w:r>
          </w:p>
        </w:tc>
        <w:tc>
          <w:tcPr>
            <w:tcW w:w="1170" w:type="dxa"/>
            <w:tcBorders>
              <w:top w:val="nil"/>
              <w:left w:val="nil"/>
              <w:bottom w:val="nil"/>
              <w:right w:val="single" w:sz="4" w:space="0" w:color="auto"/>
            </w:tcBorders>
            <w:shd w:val="clear" w:color="000000" w:fill="FFFFFF"/>
            <w:noWrap/>
            <w:vAlign w:val="bottom"/>
            <w:hideMark/>
          </w:tcPr>
          <w:p w14:paraId="27AD9EDC"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4.3</w:t>
            </w:r>
          </w:p>
        </w:tc>
        <w:tc>
          <w:tcPr>
            <w:tcW w:w="1220" w:type="dxa"/>
            <w:tcBorders>
              <w:top w:val="nil"/>
              <w:left w:val="nil"/>
              <w:bottom w:val="nil"/>
              <w:right w:val="nil"/>
            </w:tcBorders>
            <w:shd w:val="clear" w:color="000000" w:fill="FFFFFF"/>
            <w:noWrap/>
            <w:vAlign w:val="center"/>
            <w:hideMark/>
          </w:tcPr>
          <w:p w14:paraId="4AB41837"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2.9</w:t>
            </w:r>
          </w:p>
        </w:tc>
      </w:tr>
      <w:tr w:rsidR="00A36980" w:rsidRPr="005970E9" w14:paraId="43A68CC7" w14:textId="77777777" w:rsidTr="004C001D">
        <w:trPr>
          <w:gridAfter w:val="1"/>
          <w:wAfter w:w="6" w:type="dxa"/>
          <w:trHeight w:val="231"/>
          <w:jc w:val="center"/>
        </w:trPr>
        <w:tc>
          <w:tcPr>
            <w:tcW w:w="2861" w:type="dxa"/>
            <w:tcBorders>
              <w:top w:val="nil"/>
              <w:left w:val="nil"/>
              <w:bottom w:val="single" w:sz="4" w:space="0" w:color="auto"/>
              <w:right w:val="single" w:sz="4" w:space="0" w:color="auto"/>
            </w:tcBorders>
            <w:shd w:val="clear" w:color="000000" w:fill="FFFFFF"/>
            <w:noWrap/>
            <w:vAlign w:val="bottom"/>
            <w:hideMark/>
          </w:tcPr>
          <w:p w14:paraId="1A302803" w14:textId="77777777" w:rsidR="00A36980" w:rsidRPr="005970E9" w:rsidRDefault="00A36980" w:rsidP="00216547">
            <w:pPr>
              <w:rPr>
                <w:rFonts w:eastAsia="Times New Roman" w:cs="Arial"/>
                <w:sz w:val="20"/>
                <w:szCs w:val="20"/>
              </w:rPr>
            </w:pPr>
            <w:r w:rsidRPr="005970E9">
              <w:rPr>
                <w:rFonts w:eastAsia="Times New Roman" w:cs="Arial"/>
                <w:sz w:val="20"/>
                <w:szCs w:val="20"/>
              </w:rPr>
              <w:t>Comarca Ngäbe Buglé</w:t>
            </w:r>
          </w:p>
        </w:tc>
        <w:tc>
          <w:tcPr>
            <w:tcW w:w="1108" w:type="dxa"/>
            <w:tcBorders>
              <w:top w:val="nil"/>
              <w:left w:val="nil"/>
              <w:bottom w:val="single" w:sz="4" w:space="0" w:color="auto"/>
              <w:right w:val="single" w:sz="4" w:space="0" w:color="auto"/>
            </w:tcBorders>
            <w:shd w:val="clear" w:color="000000" w:fill="FFFFFF"/>
            <w:noWrap/>
            <w:vAlign w:val="bottom"/>
            <w:hideMark/>
          </w:tcPr>
          <w:p w14:paraId="447BC50B"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94.7</w:t>
            </w:r>
          </w:p>
        </w:tc>
        <w:tc>
          <w:tcPr>
            <w:tcW w:w="1161" w:type="dxa"/>
            <w:tcBorders>
              <w:top w:val="nil"/>
              <w:left w:val="nil"/>
              <w:bottom w:val="single" w:sz="4" w:space="0" w:color="auto"/>
              <w:right w:val="single" w:sz="4" w:space="0" w:color="auto"/>
            </w:tcBorders>
            <w:shd w:val="clear" w:color="000000" w:fill="FFFFFF"/>
            <w:noWrap/>
            <w:vAlign w:val="center"/>
            <w:hideMark/>
          </w:tcPr>
          <w:p w14:paraId="5B431B8C"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151.7</w:t>
            </w:r>
          </w:p>
        </w:tc>
        <w:tc>
          <w:tcPr>
            <w:tcW w:w="1170" w:type="dxa"/>
            <w:tcBorders>
              <w:top w:val="nil"/>
              <w:left w:val="nil"/>
              <w:bottom w:val="single" w:sz="4" w:space="0" w:color="auto"/>
              <w:right w:val="single" w:sz="4" w:space="0" w:color="auto"/>
            </w:tcBorders>
            <w:shd w:val="clear" w:color="000000" w:fill="FFFFFF"/>
            <w:noWrap/>
            <w:vAlign w:val="bottom"/>
            <w:hideMark/>
          </w:tcPr>
          <w:p w14:paraId="3884C0EC"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4.9</w:t>
            </w:r>
          </w:p>
        </w:tc>
        <w:tc>
          <w:tcPr>
            <w:tcW w:w="1220" w:type="dxa"/>
            <w:tcBorders>
              <w:top w:val="nil"/>
              <w:left w:val="nil"/>
              <w:bottom w:val="single" w:sz="4" w:space="0" w:color="auto"/>
              <w:right w:val="nil"/>
            </w:tcBorders>
            <w:shd w:val="clear" w:color="000000" w:fill="FFFFFF"/>
            <w:noWrap/>
            <w:vAlign w:val="center"/>
            <w:hideMark/>
          </w:tcPr>
          <w:p w14:paraId="57E9E943" w14:textId="77777777" w:rsidR="00A36980" w:rsidRPr="005970E9" w:rsidRDefault="00A36980" w:rsidP="00216547">
            <w:pPr>
              <w:jc w:val="center"/>
              <w:rPr>
                <w:rFonts w:eastAsia="Times New Roman" w:cs="Arial"/>
                <w:sz w:val="18"/>
                <w:szCs w:val="18"/>
              </w:rPr>
            </w:pPr>
            <w:r w:rsidRPr="005970E9">
              <w:rPr>
                <w:rFonts w:eastAsia="Times New Roman" w:cs="Arial"/>
                <w:sz w:val="18"/>
                <w:szCs w:val="18"/>
              </w:rPr>
              <w:t>4.5</w:t>
            </w:r>
          </w:p>
        </w:tc>
      </w:tr>
      <w:tr w:rsidR="00A36980" w:rsidRPr="005970E9" w14:paraId="536312BE" w14:textId="77777777" w:rsidTr="004C001D">
        <w:trPr>
          <w:trHeight w:val="231"/>
          <w:jc w:val="center"/>
        </w:trPr>
        <w:tc>
          <w:tcPr>
            <w:tcW w:w="7526" w:type="dxa"/>
            <w:gridSpan w:val="6"/>
            <w:tcBorders>
              <w:top w:val="nil"/>
              <w:left w:val="nil"/>
              <w:bottom w:val="nil"/>
              <w:right w:val="nil"/>
            </w:tcBorders>
            <w:shd w:val="clear" w:color="000000" w:fill="FFFFFF"/>
            <w:noWrap/>
            <w:vAlign w:val="center"/>
            <w:hideMark/>
          </w:tcPr>
          <w:p w14:paraId="6773752C" w14:textId="77777777" w:rsidR="00A36980" w:rsidRPr="005970E9" w:rsidRDefault="00A36980" w:rsidP="00216547">
            <w:pPr>
              <w:jc w:val="both"/>
              <w:rPr>
                <w:rFonts w:eastAsia="Times New Roman" w:cs="Arial"/>
                <w:sz w:val="16"/>
                <w:szCs w:val="16"/>
              </w:rPr>
            </w:pPr>
            <w:r w:rsidRPr="005970E9">
              <w:rPr>
                <w:rFonts w:eastAsia="Times New Roman" w:cs="Arial"/>
                <w:sz w:val="16"/>
                <w:szCs w:val="16"/>
              </w:rPr>
              <w:t>(1) Por cada mil mujeres de 15 a 49 años, con base en la estimación de la población al 1 de julio.</w:t>
            </w:r>
          </w:p>
        </w:tc>
      </w:tr>
      <w:tr w:rsidR="00A36980" w:rsidRPr="005970E9" w14:paraId="276430F7" w14:textId="77777777" w:rsidTr="004C001D">
        <w:trPr>
          <w:trHeight w:val="231"/>
          <w:jc w:val="center"/>
        </w:trPr>
        <w:tc>
          <w:tcPr>
            <w:tcW w:w="7526" w:type="dxa"/>
            <w:gridSpan w:val="6"/>
            <w:tcBorders>
              <w:top w:val="nil"/>
              <w:left w:val="nil"/>
              <w:bottom w:val="nil"/>
              <w:right w:val="nil"/>
            </w:tcBorders>
            <w:shd w:val="clear" w:color="000000" w:fill="FFFFFF"/>
            <w:noWrap/>
            <w:vAlign w:val="center"/>
            <w:hideMark/>
          </w:tcPr>
          <w:p w14:paraId="1AD2E33C" w14:textId="77777777" w:rsidR="00A36980" w:rsidRPr="005970E9" w:rsidRDefault="00A36980" w:rsidP="00216547">
            <w:pPr>
              <w:rPr>
                <w:rFonts w:eastAsia="Times New Roman" w:cs="Arial"/>
                <w:sz w:val="16"/>
                <w:szCs w:val="16"/>
              </w:rPr>
            </w:pPr>
            <w:r w:rsidRPr="005970E9">
              <w:rPr>
                <w:rFonts w:eastAsia="Times New Roman" w:cs="Arial"/>
                <w:sz w:val="16"/>
                <w:szCs w:val="16"/>
              </w:rPr>
              <w:t>(2) Hijos por mujer.</w:t>
            </w:r>
          </w:p>
        </w:tc>
      </w:tr>
      <w:tr w:rsidR="00A36980" w:rsidRPr="005970E9" w14:paraId="1755D528" w14:textId="77777777" w:rsidTr="004C001D">
        <w:trPr>
          <w:trHeight w:val="628"/>
          <w:jc w:val="center"/>
        </w:trPr>
        <w:tc>
          <w:tcPr>
            <w:tcW w:w="7526" w:type="dxa"/>
            <w:gridSpan w:val="6"/>
            <w:tcBorders>
              <w:top w:val="nil"/>
              <w:left w:val="nil"/>
              <w:bottom w:val="nil"/>
              <w:right w:val="nil"/>
            </w:tcBorders>
            <w:shd w:val="clear" w:color="000000" w:fill="F2F2F2"/>
            <w:vAlign w:val="center"/>
            <w:hideMark/>
          </w:tcPr>
          <w:p w14:paraId="49B74819" w14:textId="77777777" w:rsidR="00A36980" w:rsidRPr="005970E9" w:rsidRDefault="00A36980" w:rsidP="00216547">
            <w:pPr>
              <w:jc w:val="both"/>
              <w:rPr>
                <w:rFonts w:eastAsia="Times New Roman" w:cs="Arial"/>
                <w:sz w:val="16"/>
                <w:szCs w:val="16"/>
              </w:rPr>
            </w:pPr>
            <w:r w:rsidRPr="005970E9">
              <w:rPr>
                <w:rFonts w:eastAsia="Times New Roman" w:cs="Arial"/>
                <w:sz w:val="16"/>
                <w:szCs w:val="16"/>
              </w:rPr>
              <w:t>Fuente:  INEC, Tasa de Fecundidad, según provincia y comarca indígena de residencia: años 2010-2018. Panamá, con base en los registros administrativos de las instalaciones de salud pública (MINSA y CSS), clínicas privadas y oficinas del Registro Civil.</w:t>
            </w:r>
          </w:p>
        </w:tc>
      </w:tr>
    </w:tbl>
    <w:p w14:paraId="52DF0C7D" w14:textId="77777777" w:rsidR="00A36980" w:rsidRPr="005970E9" w:rsidRDefault="00A36980" w:rsidP="00A36980">
      <w:pPr>
        <w:jc w:val="both"/>
      </w:pPr>
    </w:p>
    <w:p w14:paraId="5692F6F5" w14:textId="27DFD16B" w:rsidR="00A36980" w:rsidRPr="005970E9" w:rsidRDefault="00A36980" w:rsidP="004C001D">
      <w:pPr>
        <w:spacing w:before="120" w:after="120" w:line="276" w:lineRule="auto"/>
        <w:jc w:val="both"/>
      </w:pPr>
      <w:r w:rsidRPr="005970E9">
        <w:t>En 2010, el 47.90% de los naci</w:t>
      </w:r>
      <w:r w:rsidR="00BD614B" w:rsidRPr="005970E9">
        <w:t xml:space="preserve">mientos </w:t>
      </w:r>
      <w:r w:rsidRPr="005970E9">
        <w:t>vivos lo fueron de madres menores de 25 años, siendo el 19% del total madres entre 15 a 19 años, estos resultados mejoraron levemente para el 2018</w:t>
      </w:r>
      <w:r w:rsidR="00BD614B" w:rsidRPr="005970E9">
        <w:t xml:space="preserve">, </w:t>
      </w:r>
      <w:r w:rsidRPr="005970E9">
        <w:t>el indicador disminuy</w:t>
      </w:r>
      <w:r w:rsidR="00BD614B" w:rsidRPr="005970E9">
        <w:t>ó</w:t>
      </w:r>
      <w:r w:rsidRPr="005970E9">
        <w:t xml:space="preserve"> a un 16.71%; al igual que disminuyeron los nacimientos en menores de 15 años, de 0.90% a un 0.68%.  Aun así, sigue siendo grave que </w:t>
      </w:r>
      <w:r w:rsidR="00BD695C" w:rsidRPr="005970E9">
        <w:t>un país exista más</w:t>
      </w:r>
      <w:r w:rsidRPr="005970E9">
        <w:t xml:space="preserve"> de 12 mil nacimientos </w:t>
      </w:r>
      <w:r w:rsidR="00BD614B" w:rsidRPr="005970E9">
        <w:t xml:space="preserve">a edades tempranas generando una responsabilidad para la que el organismo ni físico ni psicológicamente está preparado, y los riesgos para el futuro son impredecibles </w:t>
      </w:r>
      <w:r w:rsidRPr="005970E9">
        <w:t xml:space="preserve">(Ver datos en el Cuadro </w:t>
      </w:r>
      <w:r w:rsidRPr="00815D3E">
        <w:t>No.</w:t>
      </w:r>
      <w:r w:rsidR="0074337F" w:rsidRPr="00815D3E">
        <w:t xml:space="preserve"> 7</w:t>
      </w:r>
      <w:r w:rsidRPr="00815D3E">
        <w:t xml:space="preserve"> </w:t>
      </w:r>
      <w:r w:rsidRPr="00FF4DED">
        <w:t>y Gráfica No.</w:t>
      </w:r>
      <w:r w:rsidR="000A44C1" w:rsidRPr="00FF4DED">
        <w:t xml:space="preserve"> 2</w:t>
      </w:r>
      <w:r w:rsidR="0074337F">
        <w:t>4</w:t>
      </w:r>
      <w:r w:rsidRPr="005970E9">
        <w:t xml:space="preserve">).  Estos resultados develan la carencia de políticas públicas de salud en Panamá: </w:t>
      </w:r>
    </w:p>
    <w:p w14:paraId="5F18E8FF" w14:textId="77777777" w:rsidR="00A36980" w:rsidRPr="005970E9" w:rsidRDefault="00A36980" w:rsidP="004C001D">
      <w:pPr>
        <w:shd w:val="clear" w:color="auto" w:fill="FFFFFF"/>
        <w:spacing w:before="120" w:after="120" w:line="276" w:lineRule="auto"/>
        <w:ind w:left="567" w:right="616"/>
        <w:jc w:val="both"/>
      </w:pPr>
      <w:r w:rsidRPr="005970E9">
        <w:rPr>
          <w:i/>
          <w:sz w:val="20"/>
        </w:rPr>
        <w:t>“Esto es sólo una muestra de la ausencia de las necesidades de las mujeres en las políticas públicas. Podemos mencionar el problema de los embarazos adolescentes en Panamá. Este problema no resuelto (porque se considera tabú) es una de las razones por las que Panamá, a pesar de tener un Índice de Desarrollo Humano (IDH) alto (67), incluso mejor que nuestros vecinos Costa Rica (68) y Colombia (79), pierde casi la mitad de este logro en el índice de desigualdad de género (IDG), sitúa a Panamá en el lugar 108 en el mundo (igual que Namibia, que está en el lugar 130 según el IDH), mientras Costa Rica ocupa el 61 y Colombia el 94.  Aquí es importante señalar que Panamá registra 249 mil 441 jóvenes que ni estudian ni trabajan (NINIS) de 15 a 29 años (marzo 2019), y que la mayoría de ellos son mujeres. Precisamente, las chicas víctimas de embarazo precoz, que a menudo tienen otros hijos y no terminan sus estudios y tampoco tienen posibilidades de trabajar”.</w:t>
      </w:r>
      <w:sdt>
        <w:sdtPr>
          <w:rPr>
            <w:i/>
            <w:sz w:val="20"/>
          </w:rPr>
          <w:id w:val="1575540674"/>
          <w:citation/>
        </w:sdtPr>
        <w:sdtEndPr/>
        <w:sdtContent>
          <w:r w:rsidRPr="005970E9">
            <w:rPr>
              <w:i/>
              <w:sz w:val="20"/>
            </w:rPr>
            <w:fldChar w:fldCharType="begin"/>
          </w:r>
          <w:r w:rsidRPr="005970E9">
            <w:rPr>
              <w:i/>
              <w:sz w:val="20"/>
            </w:rPr>
            <w:instrText xml:space="preserve">CITATION Ara20 \t  \l 6154 </w:instrText>
          </w:r>
          <w:r w:rsidRPr="005970E9">
            <w:rPr>
              <w:i/>
              <w:sz w:val="20"/>
            </w:rPr>
            <w:fldChar w:fldCharType="separate"/>
          </w:r>
          <w:r w:rsidRPr="005970E9">
            <w:rPr>
              <w:i/>
              <w:noProof/>
              <w:sz w:val="20"/>
            </w:rPr>
            <w:t xml:space="preserve"> </w:t>
          </w:r>
          <w:r w:rsidRPr="005970E9">
            <w:rPr>
              <w:noProof/>
              <w:sz w:val="20"/>
            </w:rPr>
            <w:t>(De León, 2020)</w:t>
          </w:r>
          <w:r w:rsidRPr="005970E9">
            <w:rPr>
              <w:i/>
              <w:sz w:val="20"/>
            </w:rPr>
            <w:fldChar w:fldCharType="end"/>
          </w:r>
        </w:sdtContent>
      </w:sdt>
      <w:r w:rsidRPr="005970E9">
        <w:rPr>
          <w:sz w:val="20"/>
        </w:rPr>
        <w:t>.</w:t>
      </w:r>
    </w:p>
    <w:p w14:paraId="59AF703A" w14:textId="1CC8C26C" w:rsidR="00A36980" w:rsidRPr="005970E9" w:rsidRDefault="00A36980" w:rsidP="00A36980">
      <w:pPr>
        <w:jc w:val="both"/>
      </w:pPr>
    </w:p>
    <w:p w14:paraId="5CD776EF" w14:textId="50FA9686" w:rsidR="000A44C1" w:rsidRPr="005970E9" w:rsidRDefault="000A44C1" w:rsidP="00A36980">
      <w:pPr>
        <w:jc w:val="both"/>
      </w:pPr>
    </w:p>
    <w:p w14:paraId="386D7B81" w14:textId="3356A95E" w:rsidR="000A44C1" w:rsidRPr="005970E9" w:rsidRDefault="0049052D" w:rsidP="0049052D">
      <w:pPr>
        <w:pStyle w:val="Caption"/>
        <w:rPr>
          <w:rFonts w:ascii="Century Schoolbook" w:hAnsi="Century Schoolbook"/>
          <w:i w:val="0"/>
          <w:iCs w:val="0"/>
          <w:sz w:val="20"/>
          <w:szCs w:val="20"/>
        </w:rPr>
      </w:pPr>
      <w:bookmarkStart w:id="187" w:name="_Toc42549173"/>
      <w:r w:rsidRPr="005970E9">
        <w:rPr>
          <w:rFonts w:ascii="Century Schoolbook" w:hAnsi="Century Schoolbook"/>
          <w:i w:val="0"/>
          <w:iCs w:val="0"/>
        </w:rPr>
        <w:t xml:space="preserve">Cuadro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Cuadro \* ARABIC </w:instrText>
      </w:r>
      <w:r w:rsidRPr="005970E9">
        <w:rPr>
          <w:rFonts w:ascii="Century Schoolbook" w:hAnsi="Century Schoolbook"/>
          <w:i w:val="0"/>
          <w:iCs w:val="0"/>
        </w:rPr>
        <w:fldChar w:fldCharType="separate"/>
      </w:r>
      <w:r w:rsidR="00C5422E" w:rsidRPr="005970E9">
        <w:rPr>
          <w:rFonts w:ascii="Century Schoolbook" w:hAnsi="Century Schoolbook"/>
          <w:i w:val="0"/>
          <w:iCs w:val="0"/>
          <w:noProof/>
        </w:rPr>
        <w:t>7</w:t>
      </w:r>
      <w:r w:rsidRPr="005970E9">
        <w:rPr>
          <w:rFonts w:ascii="Century Schoolbook" w:hAnsi="Century Schoolbook"/>
          <w:i w:val="0"/>
          <w:iCs w:val="0"/>
        </w:rPr>
        <w:fldChar w:fldCharType="end"/>
      </w:r>
      <w:r w:rsidR="000A44C1" w:rsidRPr="005970E9">
        <w:rPr>
          <w:rFonts w:ascii="Century Schoolbook" w:hAnsi="Century Schoolbook"/>
          <w:i w:val="0"/>
          <w:iCs w:val="0"/>
          <w:sz w:val="20"/>
          <w:szCs w:val="20"/>
        </w:rPr>
        <w:t xml:space="preserve">. </w:t>
      </w:r>
      <w:r w:rsidR="000A44C1" w:rsidRPr="005970E9">
        <w:rPr>
          <w:rFonts w:ascii="Century Schoolbook" w:eastAsia="Times New Roman" w:hAnsi="Century Schoolbook" w:cs="Arial"/>
          <w:i w:val="0"/>
          <w:iCs w:val="0"/>
          <w:sz w:val="20"/>
          <w:szCs w:val="20"/>
        </w:rPr>
        <w:t>CANTIDAD DE NACIMIENTOS VIVOS EN LA REPÚBLICA Y PROPORCIÓN, SEGÚN EDAD DE LA MADRE: AÑOS 2010-2018</w:t>
      </w:r>
      <w:bookmarkEnd w:id="187"/>
    </w:p>
    <w:tbl>
      <w:tblPr>
        <w:tblW w:w="6337" w:type="dxa"/>
        <w:jc w:val="center"/>
        <w:tblLayout w:type="fixed"/>
        <w:tblCellMar>
          <w:left w:w="70" w:type="dxa"/>
          <w:right w:w="70" w:type="dxa"/>
        </w:tblCellMar>
        <w:tblLook w:val="04A0" w:firstRow="1" w:lastRow="0" w:firstColumn="1" w:lastColumn="0" w:noHBand="0" w:noVBand="1"/>
      </w:tblPr>
      <w:tblGrid>
        <w:gridCol w:w="1755"/>
        <w:gridCol w:w="1153"/>
        <w:gridCol w:w="1131"/>
        <w:gridCol w:w="1206"/>
        <w:gridCol w:w="1092"/>
      </w:tblGrid>
      <w:tr w:rsidR="00A36980" w:rsidRPr="005970E9" w14:paraId="0B093631" w14:textId="77777777" w:rsidTr="000A44C1">
        <w:trPr>
          <w:trHeight w:val="408"/>
          <w:jc w:val="center"/>
        </w:trPr>
        <w:tc>
          <w:tcPr>
            <w:tcW w:w="1755" w:type="dxa"/>
            <w:vMerge w:val="restart"/>
            <w:tcBorders>
              <w:top w:val="single" w:sz="4" w:space="0" w:color="auto"/>
              <w:bottom w:val="single" w:sz="4" w:space="0" w:color="auto"/>
              <w:right w:val="single" w:sz="4" w:space="0" w:color="auto"/>
            </w:tcBorders>
            <w:shd w:val="clear" w:color="auto" w:fill="CCC0D9" w:themeFill="accent4" w:themeFillTint="66"/>
            <w:vAlign w:val="center"/>
            <w:hideMark/>
          </w:tcPr>
          <w:p w14:paraId="567F5045"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 xml:space="preserve">Edad </w:t>
            </w:r>
          </w:p>
        </w:tc>
        <w:tc>
          <w:tcPr>
            <w:tcW w:w="2284"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D374F4A"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Total de nacimientos</w:t>
            </w:r>
          </w:p>
        </w:tc>
        <w:tc>
          <w:tcPr>
            <w:tcW w:w="229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DE9BD1E"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Proporción de nacimientos</w:t>
            </w:r>
          </w:p>
        </w:tc>
      </w:tr>
      <w:tr w:rsidR="00A36980" w:rsidRPr="005970E9" w14:paraId="700B1322" w14:textId="77777777" w:rsidTr="000A44C1">
        <w:trPr>
          <w:trHeight w:val="166"/>
          <w:jc w:val="center"/>
        </w:trPr>
        <w:tc>
          <w:tcPr>
            <w:tcW w:w="1755" w:type="dxa"/>
            <w:vMerge/>
            <w:tcBorders>
              <w:top w:val="single" w:sz="4" w:space="0" w:color="auto"/>
              <w:bottom w:val="single" w:sz="4" w:space="0" w:color="auto"/>
              <w:right w:val="single" w:sz="4" w:space="0" w:color="auto"/>
            </w:tcBorders>
            <w:shd w:val="clear" w:color="auto" w:fill="CCC0D9" w:themeFill="accent4" w:themeFillTint="66"/>
            <w:vAlign w:val="center"/>
            <w:hideMark/>
          </w:tcPr>
          <w:p w14:paraId="7B70A6E0" w14:textId="77777777" w:rsidR="00A36980" w:rsidRPr="005970E9" w:rsidRDefault="00A36980" w:rsidP="00216547">
            <w:pPr>
              <w:rPr>
                <w:rFonts w:eastAsia="Times New Roman" w:cs="Arial"/>
                <w:b/>
                <w:bCs/>
                <w:sz w:val="20"/>
                <w:szCs w:val="20"/>
              </w:rPr>
            </w:pPr>
          </w:p>
        </w:tc>
        <w:tc>
          <w:tcPr>
            <w:tcW w:w="1153" w:type="dxa"/>
            <w:tcBorders>
              <w:top w:val="nil"/>
              <w:left w:val="nil"/>
              <w:bottom w:val="single" w:sz="4" w:space="0" w:color="auto"/>
              <w:right w:val="single" w:sz="4" w:space="0" w:color="auto"/>
            </w:tcBorders>
            <w:shd w:val="clear" w:color="auto" w:fill="CCC0D9" w:themeFill="accent4" w:themeFillTint="66"/>
            <w:vAlign w:val="center"/>
            <w:hideMark/>
          </w:tcPr>
          <w:p w14:paraId="2BBEDE9B"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2010</w:t>
            </w:r>
          </w:p>
        </w:tc>
        <w:tc>
          <w:tcPr>
            <w:tcW w:w="1131" w:type="dxa"/>
            <w:tcBorders>
              <w:top w:val="nil"/>
              <w:left w:val="nil"/>
              <w:bottom w:val="single" w:sz="4" w:space="0" w:color="auto"/>
              <w:right w:val="single" w:sz="4" w:space="0" w:color="auto"/>
            </w:tcBorders>
            <w:shd w:val="clear" w:color="auto" w:fill="CCC0D9" w:themeFill="accent4" w:themeFillTint="66"/>
            <w:noWrap/>
            <w:vAlign w:val="center"/>
            <w:hideMark/>
          </w:tcPr>
          <w:p w14:paraId="546EA445"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2018</w:t>
            </w:r>
          </w:p>
        </w:tc>
        <w:tc>
          <w:tcPr>
            <w:tcW w:w="1206" w:type="dxa"/>
            <w:tcBorders>
              <w:top w:val="nil"/>
              <w:left w:val="nil"/>
              <w:bottom w:val="single" w:sz="4" w:space="0" w:color="auto"/>
              <w:right w:val="single" w:sz="4" w:space="0" w:color="auto"/>
            </w:tcBorders>
            <w:shd w:val="clear" w:color="auto" w:fill="CCC0D9" w:themeFill="accent4" w:themeFillTint="66"/>
            <w:noWrap/>
            <w:vAlign w:val="center"/>
            <w:hideMark/>
          </w:tcPr>
          <w:p w14:paraId="33A0BB3E"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2010</w:t>
            </w:r>
          </w:p>
        </w:tc>
        <w:tc>
          <w:tcPr>
            <w:tcW w:w="1092" w:type="dxa"/>
            <w:tcBorders>
              <w:top w:val="nil"/>
              <w:left w:val="nil"/>
              <w:bottom w:val="single" w:sz="4" w:space="0" w:color="auto"/>
            </w:tcBorders>
            <w:shd w:val="clear" w:color="auto" w:fill="CCC0D9" w:themeFill="accent4" w:themeFillTint="66"/>
            <w:noWrap/>
            <w:vAlign w:val="center"/>
            <w:hideMark/>
          </w:tcPr>
          <w:p w14:paraId="383BFAA3"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2018</w:t>
            </w:r>
          </w:p>
        </w:tc>
      </w:tr>
      <w:tr w:rsidR="00A36980" w:rsidRPr="005970E9" w14:paraId="4A58FFD2" w14:textId="77777777" w:rsidTr="00216547">
        <w:trPr>
          <w:trHeight w:val="255"/>
          <w:jc w:val="center"/>
        </w:trPr>
        <w:tc>
          <w:tcPr>
            <w:tcW w:w="1755" w:type="dxa"/>
            <w:tcBorders>
              <w:top w:val="nil"/>
              <w:left w:val="nil"/>
              <w:bottom w:val="nil"/>
              <w:right w:val="single" w:sz="4" w:space="0" w:color="auto"/>
            </w:tcBorders>
            <w:shd w:val="clear" w:color="000000" w:fill="FFFFFF"/>
            <w:noWrap/>
            <w:vAlign w:val="bottom"/>
            <w:hideMark/>
          </w:tcPr>
          <w:p w14:paraId="73E9E9F9"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TOTAL</w:t>
            </w:r>
          </w:p>
        </w:tc>
        <w:tc>
          <w:tcPr>
            <w:tcW w:w="1153" w:type="dxa"/>
            <w:tcBorders>
              <w:top w:val="nil"/>
              <w:left w:val="nil"/>
              <w:bottom w:val="nil"/>
              <w:right w:val="single" w:sz="4" w:space="0" w:color="auto"/>
            </w:tcBorders>
            <w:shd w:val="clear" w:color="000000" w:fill="FFFFFF"/>
            <w:noWrap/>
            <w:vAlign w:val="bottom"/>
            <w:hideMark/>
          </w:tcPr>
          <w:p w14:paraId="6FC1E193" w14:textId="77777777" w:rsidR="00A36980" w:rsidRPr="005970E9" w:rsidRDefault="00A36980" w:rsidP="00216547">
            <w:pPr>
              <w:jc w:val="right"/>
              <w:rPr>
                <w:rFonts w:eastAsia="Times New Roman" w:cs="Arial"/>
                <w:bCs/>
                <w:sz w:val="20"/>
                <w:szCs w:val="20"/>
              </w:rPr>
            </w:pPr>
            <w:r w:rsidRPr="005970E9">
              <w:rPr>
                <w:rFonts w:eastAsia="Times New Roman" w:cs="Arial"/>
                <w:bCs/>
                <w:sz w:val="20"/>
                <w:szCs w:val="20"/>
              </w:rPr>
              <w:t>67,955</w:t>
            </w:r>
          </w:p>
        </w:tc>
        <w:tc>
          <w:tcPr>
            <w:tcW w:w="1131" w:type="dxa"/>
            <w:tcBorders>
              <w:top w:val="nil"/>
              <w:left w:val="nil"/>
              <w:bottom w:val="nil"/>
              <w:right w:val="single" w:sz="4" w:space="0" w:color="auto"/>
            </w:tcBorders>
            <w:shd w:val="clear" w:color="000000" w:fill="FFFFFF"/>
            <w:noWrap/>
            <w:vAlign w:val="bottom"/>
            <w:hideMark/>
          </w:tcPr>
          <w:p w14:paraId="7BF7C8C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76,863</w:t>
            </w:r>
          </w:p>
        </w:tc>
        <w:tc>
          <w:tcPr>
            <w:tcW w:w="1206" w:type="dxa"/>
            <w:tcBorders>
              <w:top w:val="nil"/>
              <w:left w:val="nil"/>
              <w:bottom w:val="nil"/>
              <w:right w:val="single" w:sz="4" w:space="0" w:color="auto"/>
            </w:tcBorders>
            <w:shd w:val="clear" w:color="000000" w:fill="FFFFFF"/>
            <w:noWrap/>
            <w:vAlign w:val="bottom"/>
            <w:hideMark/>
          </w:tcPr>
          <w:p w14:paraId="6BDF38D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100.00%</w:t>
            </w:r>
          </w:p>
        </w:tc>
        <w:tc>
          <w:tcPr>
            <w:tcW w:w="1092" w:type="dxa"/>
            <w:tcBorders>
              <w:top w:val="nil"/>
              <w:left w:val="nil"/>
              <w:bottom w:val="nil"/>
            </w:tcBorders>
            <w:shd w:val="clear" w:color="000000" w:fill="FFFFFF"/>
            <w:noWrap/>
            <w:vAlign w:val="bottom"/>
            <w:hideMark/>
          </w:tcPr>
          <w:p w14:paraId="6D93636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100.00%</w:t>
            </w:r>
          </w:p>
        </w:tc>
      </w:tr>
      <w:tr w:rsidR="00A36980" w:rsidRPr="005970E9" w14:paraId="3BBAACC4" w14:textId="77777777" w:rsidTr="00216547">
        <w:trPr>
          <w:trHeight w:val="255"/>
          <w:jc w:val="center"/>
        </w:trPr>
        <w:tc>
          <w:tcPr>
            <w:tcW w:w="1755" w:type="dxa"/>
            <w:tcBorders>
              <w:top w:val="nil"/>
              <w:left w:val="nil"/>
              <w:bottom w:val="nil"/>
              <w:right w:val="single" w:sz="4" w:space="0" w:color="auto"/>
            </w:tcBorders>
            <w:shd w:val="clear" w:color="000000" w:fill="FFFFFF"/>
            <w:noWrap/>
            <w:vAlign w:val="bottom"/>
            <w:hideMark/>
          </w:tcPr>
          <w:p w14:paraId="535AE4F1" w14:textId="77777777" w:rsidR="00A36980" w:rsidRPr="005970E9" w:rsidRDefault="00A36980" w:rsidP="00216547">
            <w:pPr>
              <w:rPr>
                <w:rFonts w:eastAsia="Times New Roman" w:cs="Arial"/>
                <w:sz w:val="20"/>
                <w:szCs w:val="20"/>
              </w:rPr>
            </w:pPr>
            <w:r w:rsidRPr="005970E9">
              <w:rPr>
                <w:rFonts w:eastAsia="Times New Roman" w:cs="Arial"/>
                <w:sz w:val="20"/>
                <w:szCs w:val="20"/>
              </w:rPr>
              <w:t>Menos de 15</w:t>
            </w:r>
          </w:p>
        </w:tc>
        <w:tc>
          <w:tcPr>
            <w:tcW w:w="1153" w:type="dxa"/>
            <w:tcBorders>
              <w:top w:val="nil"/>
              <w:left w:val="nil"/>
              <w:bottom w:val="nil"/>
              <w:right w:val="single" w:sz="4" w:space="0" w:color="auto"/>
            </w:tcBorders>
            <w:shd w:val="clear" w:color="000000" w:fill="FFFFFF"/>
            <w:noWrap/>
            <w:vAlign w:val="bottom"/>
            <w:hideMark/>
          </w:tcPr>
          <w:p w14:paraId="610DE09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609</w:t>
            </w:r>
          </w:p>
        </w:tc>
        <w:tc>
          <w:tcPr>
            <w:tcW w:w="1131" w:type="dxa"/>
            <w:tcBorders>
              <w:top w:val="nil"/>
              <w:left w:val="nil"/>
              <w:bottom w:val="nil"/>
              <w:right w:val="single" w:sz="4" w:space="0" w:color="auto"/>
            </w:tcBorders>
            <w:shd w:val="clear" w:color="000000" w:fill="FFFFFF"/>
            <w:noWrap/>
            <w:vAlign w:val="bottom"/>
            <w:hideMark/>
          </w:tcPr>
          <w:p w14:paraId="6C6E086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522</w:t>
            </w:r>
          </w:p>
        </w:tc>
        <w:tc>
          <w:tcPr>
            <w:tcW w:w="1206" w:type="dxa"/>
            <w:tcBorders>
              <w:top w:val="nil"/>
              <w:left w:val="nil"/>
              <w:bottom w:val="nil"/>
              <w:right w:val="single" w:sz="4" w:space="0" w:color="auto"/>
            </w:tcBorders>
            <w:shd w:val="clear" w:color="000000" w:fill="FFFFFF"/>
            <w:noWrap/>
            <w:vAlign w:val="bottom"/>
            <w:hideMark/>
          </w:tcPr>
          <w:p w14:paraId="5445217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0.90%</w:t>
            </w:r>
          </w:p>
        </w:tc>
        <w:tc>
          <w:tcPr>
            <w:tcW w:w="1092" w:type="dxa"/>
            <w:tcBorders>
              <w:top w:val="nil"/>
              <w:left w:val="nil"/>
              <w:bottom w:val="nil"/>
            </w:tcBorders>
            <w:shd w:val="clear" w:color="000000" w:fill="FFFFFF"/>
            <w:noWrap/>
            <w:vAlign w:val="bottom"/>
            <w:hideMark/>
          </w:tcPr>
          <w:p w14:paraId="7B20FDE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0.68%</w:t>
            </w:r>
          </w:p>
        </w:tc>
      </w:tr>
      <w:tr w:rsidR="00A36980" w:rsidRPr="005970E9" w14:paraId="694B8D67" w14:textId="77777777" w:rsidTr="00216547">
        <w:trPr>
          <w:trHeight w:val="255"/>
          <w:jc w:val="center"/>
        </w:trPr>
        <w:tc>
          <w:tcPr>
            <w:tcW w:w="1755" w:type="dxa"/>
            <w:tcBorders>
              <w:top w:val="nil"/>
              <w:left w:val="nil"/>
              <w:bottom w:val="nil"/>
              <w:right w:val="single" w:sz="4" w:space="0" w:color="auto"/>
            </w:tcBorders>
            <w:shd w:val="clear" w:color="000000" w:fill="FFFFFF"/>
            <w:noWrap/>
            <w:vAlign w:val="bottom"/>
            <w:hideMark/>
          </w:tcPr>
          <w:p w14:paraId="0382A742" w14:textId="77777777" w:rsidR="00A36980" w:rsidRPr="005970E9" w:rsidRDefault="00A36980" w:rsidP="00216547">
            <w:pPr>
              <w:rPr>
                <w:rFonts w:eastAsia="Times New Roman" w:cs="Arial"/>
                <w:sz w:val="20"/>
                <w:szCs w:val="20"/>
              </w:rPr>
            </w:pPr>
            <w:r w:rsidRPr="005970E9">
              <w:rPr>
                <w:rFonts w:eastAsia="Times New Roman" w:cs="Arial"/>
                <w:sz w:val="20"/>
                <w:szCs w:val="20"/>
              </w:rPr>
              <w:lastRenderedPageBreak/>
              <w:t>De 15 a 19</w:t>
            </w:r>
          </w:p>
        </w:tc>
        <w:tc>
          <w:tcPr>
            <w:tcW w:w="1153" w:type="dxa"/>
            <w:tcBorders>
              <w:top w:val="nil"/>
              <w:left w:val="nil"/>
              <w:bottom w:val="nil"/>
              <w:right w:val="single" w:sz="4" w:space="0" w:color="auto"/>
            </w:tcBorders>
            <w:shd w:val="clear" w:color="000000" w:fill="FFFFFF"/>
            <w:noWrap/>
            <w:vAlign w:val="bottom"/>
            <w:hideMark/>
          </w:tcPr>
          <w:p w14:paraId="4657507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12,944</w:t>
            </w:r>
          </w:p>
        </w:tc>
        <w:tc>
          <w:tcPr>
            <w:tcW w:w="1131" w:type="dxa"/>
            <w:tcBorders>
              <w:top w:val="nil"/>
              <w:left w:val="nil"/>
              <w:bottom w:val="nil"/>
              <w:right w:val="single" w:sz="4" w:space="0" w:color="auto"/>
            </w:tcBorders>
            <w:shd w:val="clear" w:color="000000" w:fill="FFFFFF"/>
            <w:noWrap/>
            <w:vAlign w:val="bottom"/>
            <w:hideMark/>
          </w:tcPr>
          <w:p w14:paraId="1EB6B5A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12,840</w:t>
            </w:r>
          </w:p>
        </w:tc>
        <w:tc>
          <w:tcPr>
            <w:tcW w:w="1206" w:type="dxa"/>
            <w:tcBorders>
              <w:top w:val="nil"/>
              <w:left w:val="nil"/>
              <w:bottom w:val="nil"/>
              <w:right w:val="single" w:sz="4" w:space="0" w:color="auto"/>
            </w:tcBorders>
            <w:shd w:val="clear" w:color="000000" w:fill="FFFFFF"/>
            <w:noWrap/>
            <w:vAlign w:val="bottom"/>
            <w:hideMark/>
          </w:tcPr>
          <w:p w14:paraId="6262B78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19.05%</w:t>
            </w:r>
          </w:p>
        </w:tc>
        <w:tc>
          <w:tcPr>
            <w:tcW w:w="1092" w:type="dxa"/>
            <w:tcBorders>
              <w:top w:val="nil"/>
              <w:left w:val="nil"/>
              <w:bottom w:val="nil"/>
            </w:tcBorders>
            <w:shd w:val="clear" w:color="000000" w:fill="FFFFFF"/>
            <w:noWrap/>
            <w:vAlign w:val="bottom"/>
            <w:hideMark/>
          </w:tcPr>
          <w:p w14:paraId="0026BDC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16.71%</w:t>
            </w:r>
          </w:p>
        </w:tc>
      </w:tr>
      <w:tr w:rsidR="00A36980" w:rsidRPr="005970E9" w14:paraId="0685337D" w14:textId="77777777" w:rsidTr="00216547">
        <w:trPr>
          <w:trHeight w:val="255"/>
          <w:jc w:val="center"/>
        </w:trPr>
        <w:tc>
          <w:tcPr>
            <w:tcW w:w="1755" w:type="dxa"/>
            <w:tcBorders>
              <w:top w:val="nil"/>
              <w:left w:val="nil"/>
              <w:bottom w:val="nil"/>
              <w:right w:val="single" w:sz="4" w:space="0" w:color="auto"/>
            </w:tcBorders>
            <w:shd w:val="clear" w:color="000000" w:fill="FFFFFF"/>
            <w:noWrap/>
            <w:vAlign w:val="bottom"/>
            <w:hideMark/>
          </w:tcPr>
          <w:p w14:paraId="127C89E7" w14:textId="77777777" w:rsidR="00A36980" w:rsidRPr="005970E9" w:rsidRDefault="00A36980" w:rsidP="00216547">
            <w:pPr>
              <w:rPr>
                <w:rFonts w:eastAsia="Times New Roman" w:cs="Arial"/>
                <w:sz w:val="20"/>
                <w:szCs w:val="20"/>
              </w:rPr>
            </w:pPr>
            <w:r w:rsidRPr="005970E9">
              <w:rPr>
                <w:rFonts w:eastAsia="Times New Roman" w:cs="Arial"/>
                <w:sz w:val="20"/>
                <w:szCs w:val="20"/>
              </w:rPr>
              <w:t>De 20 a 24</w:t>
            </w:r>
          </w:p>
        </w:tc>
        <w:tc>
          <w:tcPr>
            <w:tcW w:w="1153" w:type="dxa"/>
            <w:tcBorders>
              <w:top w:val="nil"/>
              <w:left w:val="nil"/>
              <w:bottom w:val="nil"/>
              <w:right w:val="single" w:sz="4" w:space="0" w:color="auto"/>
            </w:tcBorders>
            <w:shd w:val="clear" w:color="000000" w:fill="FFFFFF"/>
            <w:noWrap/>
            <w:vAlign w:val="bottom"/>
            <w:hideMark/>
          </w:tcPr>
          <w:p w14:paraId="4EC330D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19,605</w:t>
            </w:r>
          </w:p>
        </w:tc>
        <w:tc>
          <w:tcPr>
            <w:tcW w:w="1131" w:type="dxa"/>
            <w:tcBorders>
              <w:top w:val="nil"/>
              <w:left w:val="nil"/>
              <w:bottom w:val="nil"/>
              <w:right w:val="single" w:sz="4" w:space="0" w:color="auto"/>
            </w:tcBorders>
            <w:shd w:val="clear" w:color="000000" w:fill="FFFFFF"/>
            <w:noWrap/>
            <w:vAlign w:val="bottom"/>
            <w:hideMark/>
          </w:tcPr>
          <w:p w14:paraId="3135A4B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21,903</w:t>
            </w:r>
          </w:p>
        </w:tc>
        <w:tc>
          <w:tcPr>
            <w:tcW w:w="1206" w:type="dxa"/>
            <w:tcBorders>
              <w:top w:val="nil"/>
              <w:left w:val="nil"/>
              <w:bottom w:val="nil"/>
              <w:right w:val="single" w:sz="4" w:space="0" w:color="auto"/>
            </w:tcBorders>
            <w:shd w:val="clear" w:color="000000" w:fill="FFFFFF"/>
            <w:noWrap/>
            <w:vAlign w:val="bottom"/>
            <w:hideMark/>
          </w:tcPr>
          <w:p w14:paraId="71FCB69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28.85%</w:t>
            </w:r>
          </w:p>
        </w:tc>
        <w:tc>
          <w:tcPr>
            <w:tcW w:w="1092" w:type="dxa"/>
            <w:tcBorders>
              <w:top w:val="nil"/>
              <w:left w:val="nil"/>
              <w:bottom w:val="nil"/>
            </w:tcBorders>
            <w:shd w:val="clear" w:color="000000" w:fill="FFFFFF"/>
            <w:noWrap/>
            <w:vAlign w:val="bottom"/>
            <w:hideMark/>
          </w:tcPr>
          <w:p w14:paraId="06F52B2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28.50%</w:t>
            </w:r>
          </w:p>
        </w:tc>
      </w:tr>
      <w:tr w:rsidR="00A36980" w:rsidRPr="005970E9" w14:paraId="60C3D495" w14:textId="77777777" w:rsidTr="00216547">
        <w:trPr>
          <w:trHeight w:val="255"/>
          <w:jc w:val="center"/>
        </w:trPr>
        <w:tc>
          <w:tcPr>
            <w:tcW w:w="1755" w:type="dxa"/>
            <w:tcBorders>
              <w:top w:val="nil"/>
              <w:left w:val="nil"/>
              <w:bottom w:val="nil"/>
              <w:right w:val="single" w:sz="4" w:space="0" w:color="auto"/>
            </w:tcBorders>
            <w:shd w:val="clear" w:color="000000" w:fill="FFFFFF"/>
            <w:noWrap/>
            <w:vAlign w:val="bottom"/>
            <w:hideMark/>
          </w:tcPr>
          <w:p w14:paraId="3F14FE5A" w14:textId="77777777" w:rsidR="00A36980" w:rsidRPr="005970E9" w:rsidRDefault="00A36980" w:rsidP="00216547">
            <w:pPr>
              <w:rPr>
                <w:rFonts w:eastAsia="Times New Roman" w:cs="Arial"/>
                <w:sz w:val="20"/>
                <w:szCs w:val="20"/>
              </w:rPr>
            </w:pPr>
            <w:r w:rsidRPr="005970E9">
              <w:rPr>
                <w:rFonts w:eastAsia="Times New Roman" w:cs="Arial"/>
                <w:sz w:val="20"/>
                <w:szCs w:val="20"/>
              </w:rPr>
              <w:t>De 25 a 29</w:t>
            </w:r>
          </w:p>
        </w:tc>
        <w:tc>
          <w:tcPr>
            <w:tcW w:w="1153" w:type="dxa"/>
            <w:tcBorders>
              <w:top w:val="nil"/>
              <w:left w:val="nil"/>
              <w:bottom w:val="nil"/>
              <w:right w:val="single" w:sz="4" w:space="0" w:color="auto"/>
            </w:tcBorders>
            <w:shd w:val="clear" w:color="000000" w:fill="FFFFFF"/>
            <w:noWrap/>
            <w:vAlign w:val="bottom"/>
            <w:hideMark/>
          </w:tcPr>
          <w:p w14:paraId="236EA88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16,130</w:t>
            </w:r>
          </w:p>
        </w:tc>
        <w:tc>
          <w:tcPr>
            <w:tcW w:w="1131" w:type="dxa"/>
            <w:tcBorders>
              <w:top w:val="nil"/>
              <w:left w:val="nil"/>
              <w:bottom w:val="nil"/>
              <w:right w:val="single" w:sz="4" w:space="0" w:color="auto"/>
            </w:tcBorders>
            <w:shd w:val="clear" w:color="000000" w:fill="FFFFFF"/>
            <w:noWrap/>
            <w:vAlign w:val="bottom"/>
            <w:hideMark/>
          </w:tcPr>
          <w:p w14:paraId="6743F0B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18,602</w:t>
            </w:r>
          </w:p>
        </w:tc>
        <w:tc>
          <w:tcPr>
            <w:tcW w:w="1206" w:type="dxa"/>
            <w:tcBorders>
              <w:top w:val="nil"/>
              <w:left w:val="nil"/>
              <w:bottom w:val="nil"/>
              <w:right w:val="single" w:sz="4" w:space="0" w:color="auto"/>
            </w:tcBorders>
            <w:shd w:val="clear" w:color="000000" w:fill="FFFFFF"/>
            <w:noWrap/>
            <w:vAlign w:val="bottom"/>
            <w:hideMark/>
          </w:tcPr>
          <w:p w14:paraId="3477C7F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23.74%</w:t>
            </w:r>
          </w:p>
        </w:tc>
        <w:tc>
          <w:tcPr>
            <w:tcW w:w="1092" w:type="dxa"/>
            <w:tcBorders>
              <w:top w:val="nil"/>
              <w:left w:val="nil"/>
              <w:bottom w:val="nil"/>
            </w:tcBorders>
            <w:shd w:val="clear" w:color="000000" w:fill="FFFFFF"/>
            <w:noWrap/>
            <w:vAlign w:val="bottom"/>
            <w:hideMark/>
          </w:tcPr>
          <w:p w14:paraId="723E72B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24.20%</w:t>
            </w:r>
          </w:p>
        </w:tc>
      </w:tr>
      <w:tr w:rsidR="00A36980" w:rsidRPr="005970E9" w14:paraId="7AB6B7AD" w14:textId="77777777" w:rsidTr="00216547">
        <w:trPr>
          <w:trHeight w:val="255"/>
          <w:jc w:val="center"/>
        </w:trPr>
        <w:tc>
          <w:tcPr>
            <w:tcW w:w="1755" w:type="dxa"/>
            <w:tcBorders>
              <w:top w:val="nil"/>
              <w:left w:val="nil"/>
              <w:bottom w:val="nil"/>
              <w:right w:val="single" w:sz="4" w:space="0" w:color="auto"/>
            </w:tcBorders>
            <w:shd w:val="clear" w:color="000000" w:fill="FFFFFF"/>
            <w:noWrap/>
            <w:vAlign w:val="bottom"/>
            <w:hideMark/>
          </w:tcPr>
          <w:p w14:paraId="53BF4CF1" w14:textId="77777777" w:rsidR="00A36980" w:rsidRPr="005970E9" w:rsidRDefault="00A36980" w:rsidP="00216547">
            <w:pPr>
              <w:rPr>
                <w:rFonts w:eastAsia="Times New Roman" w:cs="Arial"/>
                <w:sz w:val="20"/>
                <w:szCs w:val="20"/>
              </w:rPr>
            </w:pPr>
            <w:r w:rsidRPr="005970E9">
              <w:rPr>
                <w:rFonts w:eastAsia="Times New Roman" w:cs="Arial"/>
                <w:sz w:val="20"/>
                <w:szCs w:val="20"/>
              </w:rPr>
              <w:t>De 30 a 34</w:t>
            </w:r>
          </w:p>
        </w:tc>
        <w:tc>
          <w:tcPr>
            <w:tcW w:w="1153" w:type="dxa"/>
            <w:tcBorders>
              <w:top w:val="nil"/>
              <w:left w:val="nil"/>
              <w:bottom w:val="nil"/>
              <w:right w:val="single" w:sz="4" w:space="0" w:color="auto"/>
            </w:tcBorders>
            <w:shd w:val="clear" w:color="000000" w:fill="FFFFFF"/>
            <w:noWrap/>
            <w:vAlign w:val="bottom"/>
            <w:hideMark/>
          </w:tcPr>
          <w:p w14:paraId="6CF79A3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11,136</w:t>
            </w:r>
          </w:p>
        </w:tc>
        <w:tc>
          <w:tcPr>
            <w:tcW w:w="1131" w:type="dxa"/>
            <w:tcBorders>
              <w:top w:val="nil"/>
              <w:left w:val="nil"/>
              <w:bottom w:val="nil"/>
              <w:right w:val="single" w:sz="4" w:space="0" w:color="auto"/>
            </w:tcBorders>
            <w:shd w:val="clear" w:color="000000" w:fill="FFFFFF"/>
            <w:noWrap/>
            <w:vAlign w:val="bottom"/>
            <w:hideMark/>
          </w:tcPr>
          <w:p w14:paraId="71E3C93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13,506</w:t>
            </w:r>
          </w:p>
        </w:tc>
        <w:tc>
          <w:tcPr>
            <w:tcW w:w="1206" w:type="dxa"/>
            <w:tcBorders>
              <w:top w:val="nil"/>
              <w:left w:val="nil"/>
              <w:bottom w:val="nil"/>
              <w:right w:val="single" w:sz="4" w:space="0" w:color="auto"/>
            </w:tcBorders>
            <w:shd w:val="clear" w:color="000000" w:fill="FFFFFF"/>
            <w:noWrap/>
            <w:vAlign w:val="bottom"/>
            <w:hideMark/>
          </w:tcPr>
          <w:p w14:paraId="4AABBE84"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16.39%</w:t>
            </w:r>
          </w:p>
        </w:tc>
        <w:tc>
          <w:tcPr>
            <w:tcW w:w="1092" w:type="dxa"/>
            <w:tcBorders>
              <w:top w:val="nil"/>
              <w:left w:val="nil"/>
              <w:bottom w:val="nil"/>
            </w:tcBorders>
            <w:shd w:val="clear" w:color="000000" w:fill="FFFFFF"/>
            <w:noWrap/>
            <w:vAlign w:val="bottom"/>
            <w:hideMark/>
          </w:tcPr>
          <w:p w14:paraId="39B89EF4"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17.57%</w:t>
            </w:r>
          </w:p>
        </w:tc>
      </w:tr>
      <w:tr w:rsidR="00A36980" w:rsidRPr="005970E9" w14:paraId="67C4B880" w14:textId="77777777" w:rsidTr="00216547">
        <w:trPr>
          <w:trHeight w:val="255"/>
          <w:jc w:val="center"/>
        </w:trPr>
        <w:tc>
          <w:tcPr>
            <w:tcW w:w="1755" w:type="dxa"/>
            <w:tcBorders>
              <w:top w:val="nil"/>
              <w:left w:val="nil"/>
              <w:bottom w:val="nil"/>
              <w:right w:val="single" w:sz="4" w:space="0" w:color="auto"/>
            </w:tcBorders>
            <w:shd w:val="clear" w:color="000000" w:fill="FFFFFF"/>
            <w:noWrap/>
            <w:vAlign w:val="bottom"/>
            <w:hideMark/>
          </w:tcPr>
          <w:p w14:paraId="4EB15B29" w14:textId="77777777" w:rsidR="00A36980" w:rsidRPr="005970E9" w:rsidRDefault="00A36980" w:rsidP="00216547">
            <w:pPr>
              <w:rPr>
                <w:rFonts w:eastAsia="Times New Roman" w:cs="Arial"/>
                <w:sz w:val="20"/>
                <w:szCs w:val="20"/>
              </w:rPr>
            </w:pPr>
            <w:r w:rsidRPr="005970E9">
              <w:rPr>
                <w:rFonts w:eastAsia="Times New Roman" w:cs="Arial"/>
                <w:sz w:val="20"/>
                <w:szCs w:val="20"/>
              </w:rPr>
              <w:t>De 35 a 39</w:t>
            </w:r>
          </w:p>
        </w:tc>
        <w:tc>
          <w:tcPr>
            <w:tcW w:w="1153" w:type="dxa"/>
            <w:tcBorders>
              <w:top w:val="nil"/>
              <w:left w:val="nil"/>
              <w:bottom w:val="nil"/>
              <w:right w:val="single" w:sz="4" w:space="0" w:color="auto"/>
            </w:tcBorders>
            <w:shd w:val="clear" w:color="000000" w:fill="FFFFFF"/>
            <w:noWrap/>
            <w:vAlign w:val="bottom"/>
            <w:hideMark/>
          </w:tcPr>
          <w:p w14:paraId="050322B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5,881</w:t>
            </w:r>
          </w:p>
        </w:tc>
        <w:tc>
          <w:tcPr>
            <w:tcW w:w="1131" w:type="dxa"/>
            <w:tcBorders>
              <w:top w:val="nil"/>
              <w:left w:val="nil"/>
              <w:bottom w:val="nil"/>
              <w:right w:val="single" w:sz="4" w:space="0" w:color="auto"/>
            </w:tcBorders>
            <w:shd w:val="clear" w:color="000000" w:fill="FFFFFF"/>
            <w:noWrap/>
            <w:vAlign w:val="bottom"/>
            <w:hideMark/>
          </w:tcPr>
          <w:p w14:paraId="645792C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7,368</w:t>
            </w:r>
          </w:p>
        </w:tc>
        <w:tc>
          <w:tcPr>
            <w:tcW w:w="1206" w:type="dxa"/>
            <w:tcBorders>
              <w:top w:val="nil"/>
              <w:left w:val="nil"/>
              <w:bottom w:val="nil"/>
              <w:right w:val="single" w:sz="4" w:space="0" w:color="auto"/>
            </w:tcBorders>
            <w:shd w:val="clear" w:color="000000" w:fill="FFFFFF"/>
            <w:noWrap/>
            <w:vAlign w:val="bottom"/>
            <w:hideMark/>
          </w:tcPr>
          <w:p w14:paraId="0EA5F2D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8.65%</w:t>
            </w:r>
          </w:p>
        </w:tc>
        <w:tc>
          <w:tcPr>
            <w:tcW w:w="1092" w:type="dxa"/>
            <w:tcBorders>
              <w:top w:val="nil"/>
              <w:left w:val="nil"/>
              <w:bottom w:val="nil"/>
            </w:tcBorders>
            <w:shd w:val="clear" w:color="000000" w:fill="FFFFFF"/>
            <w:noWrap/>
            <w:vAlign w:val="bottom"/>
            <w:hideMark/>
          </w:tcPr>
          <w:p w14:paraId="0F63190D"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9.59%</w:t>
            </w:r>
          </w:p>
        </w:tc>
      </w:tr>
      <w:tr w:rsidR="00A36980" w:rsidRPr="005970E9" w14:paraId="24CC03F0" w14:textId="77777777" w:rsidTr="00216547">
        <w:trPr>
          <w:trHeight w:val="255"/>
          <w:jc w:val="center"/>
        </w:trPr>
        <w:tc>
          <w:tcPr>
            <w:tcW w:w="1755" w:type="dxa"/>
            <w:tcBorders>
              <w:top w:val="nil"/>
              <w:left w:val="nil"/>
              <w:bottom w:val="nil"/>
              <w:right w:val="single" w:sz="4" w:space="0" w:color="auto"/>
            </w:tcBorders>
            <w:shd w:val="clear" w:color="000000" w:fill="FFFFFF"/>
            <w:noWrap/>
            <w:vAlign w:val="bottom"/>
            <w:hideMark/>
          </w:tcPr>
          <w:p w14:paraId="00E6E9DC" w14:textId="77777777" w:rsidR="00A36980" w:rsidRPr="005970E9" w:rsidRDefault="00A36980" w:rsidP="00216547">
            <w:pPr>
              <w:rPr>
                <w:rFonts w:eastAsia="Times New Roman" w:cs="Arial"/>
                <w:sz w:val="20"/>
                <w:szCs w:val="20"/>
              </w:rPr>
            </w:pPr>
            <w:r w:rsidRPr="005970E9">
              <w:rPr>
                <w:rFonts w:eastAsia="Times New Roman" w:cs="Arial"/>
                <w:sz w:val="20"/>
                <w:szCs w:val="20"/>
              </w:rPr>
              <w:t>De 40 a 44</w:t>
            </w:r>
          </w:p>
        </w:tc>
        <w:tc>
          <w:tcPr>
            <w:tcW w:w="1153" w:type="dxa"/>
            <w:tcBorders>
              <w:top w:val="nil"/>
              <w:left w:val="nil"/>
              <w:bottom w:val="nil"/>
              <w:right w:val="single" w:sz="4" w:space="0" w:color="auto"/>
            </w:tcBorders>
            <w:shd w:val="clear" w:color="000000" w:fill="FFFFFF"/>
            <w:noWrap/>
            <w:vAlign w:val="bottom"/>
            <w:hideMark/>
          </w:tcPr>
          <w:p w14:paraId="35A64AD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1,414</w:t>
            </w:r>
          </w:p>
        </w:tc>
        <w:tc>
          <w:tcPr>
            <w:tcW w:w="1131" w:type="dxa"/>
            <w:tcBorders>
              <w:top w:val="nil"/>
              <w:left w:val="nil"/>
              <w:bottom w:val="nil"/>
              <w:right w:val="single" w:sz="4" w:space="0" w:color="auto"/>
            </w:tcBorders>
            <w:shd w:val="clear" w:color="000000" w:fill="FFFFFF"/>
            <w:noWrap/>
            <w:vAlign w:val="bottom"/>
            <w:hideMark/>
          </w:tcPr>
          <w:p w14:paraId="4792744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1,965</w:t>
            </w:r>
          </w:p>
        </w:tc>
        <w:tc>
          <w:tcPr>
            <w:tcW w:w="1206" w:type="dxa"/>
            <w:tcBorders>
              <w:top w:val="nil"/>
              <w:left w:val="nil"/>
              <w:bottom w:val="nil"/>
              <w:right w:val="single" w:sz="4" w:space="0" w:color="auto"/>
            </w:tcBorders>
            <w:shd w:val="clear" w:color="000000" w:fill="FFFFFF"/>
            <w:noWrap/>
            <w:vAlign w:val="bottom"/>
            <w:hideMark/>
          </w:tcPr>
          <w:p w14:paraId="58846A8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2.08%</w:t>
            </w:r>
          </w:p>
        </w:tc>
        <w:tc>
          <w:tcPr>
            <w:tcW w:w="1092" w:type="dxa"/>
            <w:tcBorders>
              <w:top w:val="nil"/>
              <w:left w:val="nil"/>
              <w:bottom w:val="nil"/>
            </w:tcBorders>
            <w:shd w:val="clear" w:color="000000" w:fill="FFFFFF"/>
            <w:noWrap/>
            <w:vAlign w:val="bottom"/>
            <w:hideMark/>
          </w:tcPr>
          <w:p w14:paraId="6AF71AC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2.56%</w:t>
            </w:r>
          </w:p>
        </w:tc>
      </w:tr>
      <w:tr w:rsidR="00A36980" w:rsidRPr="005970E9" w14:paraId="1C7BA2FE" w14:textId="77777777" w:rsidTr="00216547">
        <w:trPr>
          <w:trHeight w:val="255"/>
          <w:jc w:val="center"/>
        </w:trPr>
        <w:tc>
          <w:tcPr>
            <w:tcW w:w="1755" w:type="dxa"/>
            <w:tcBorders>
              <w:top w:val="nil"/>
              <w:left w:val="nil"/>
              <w:bottom w:val="nil"/>
              <w:right w:val="single" w:sz="4" w:space="0" w:color="auto"/>
            </w:tcBorders>
            <w:shd w:val="clear" w:color="000000" w:fill="FFFFFF"/>
            <w:noWrap/>
            <w:vAlign w:val="bottom"/>
            <w:hideMark/>
          </w:tcPr>
          <w:p w14:paraId="41BFE388" w14:textId="77777777" w:rsidR="00A36980" w:rsidRPr="005970E9" w:rsidRDefault="00A36980" w:rsidP="00216547">
            <w:pPr>
              <w:rPr>
                <w:rFonts w:eastAsia="Times New Roman" w:cs="Arial"/>
                <w:sz w:val="20"/>
                <w:szCs w:val="20"/>
              </w:rPr>
            </w:pPr>
            <w:r w:rsidRPr="005970E9">
              <w:rPr>
                <w:rFonts w:eastAsia="Times New Roman" w:cs="Arial"/>
                <w:sz w:val="20"/>
                <w:szCs w:val="20"/>
              </w:rPr>
              <w:t>De 45 a 49</w:t>
            </w:r>
          </w:p>
        </w:tc>
        <w:tc>
          <w:tcPr>
            <w:tcW w:w="1153" w:type="dxa"/>
            <w:tcBorders>
              <w:top w:val="nil"/>
              <w:left w:val="nil"/>
              <w:bottom w:val="nil"/>
              <w:right w:val="single" w:sz="4" w:space="0" w:color="auto"/>
            </w:tcBorders>
            <w:shd w:val="clear" w:color="000000" w:fill="FFFFFF"/>
            <w:noWrap/>
            <w:vAlign w:val="bottom"/>
            <w:hideMark/>
          </w:tcPr>
          <w:p w14:paraId="7988ADF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105</w:t>
            </w:r>
          </w:p>
        </w:tc>
        <w:tc>
          <w:tcPr>
            <w:tcW w:w="1131" w:type="dxa"/>
            <w:tcBorders>
              <w:top w:val="nil"/>
              <w:left w:val="nil"/>
              <w:bottom w:val="nil"/>
              <w:right w:val="single" w:sz="4" w:space="0" w:color="auto"/>
            </w:tcBorders>
            <w:shd w:val="clear" w:color="000000" w:fill="FFFFFF"/>
            <w:noWrap/>
            <w:vAlign w:val="bottom"/>
            <w:hideMark/>
          </w:tcPr>
          <w:p w14:paraId="0B8713E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137</w:t>
            </w:r>
          </w:p>
        </w:tc>
        <w:tc>
          <w:tcPr>
            <w:tcW w:w="1206" w:type="dxa"/>
            <w:tcBorders>
              <w:top w:val="nil"/>
              <w:left w:val="nil"/>
              <w:bottom w:val="nil"/>
              <w:right w:val="single" w:sz="4" w:space="0" w:color="auto"/>
            </w:tcBorders>
            <w:shd w:val="clear" w:color="000000" w:fill="FFFFFF"/>
            <w:noWrap/>
            <w:vAlign w:val="bottom"/>
            <w:hideMark/>
          </w:tcPr>
          <w:p w14:paraId="58146FA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0.15%</w:t>
            </w:r>
          </w:p>
        </w:tc>
        <w:tc>
          <w:tcPr>
            <w:tcW w:w="1092" w:type="dxa"/>
            <w:tcBorders>
              <w:top w:val="nil"/>
              <w:left w:val="nil"/>
              <w:bottom w:val="nil"/>
            </w:tcBorders>
            <w:shd w:val="clear" w:color="000000" w:fill="FFFFFF"/>
            <w:noWrap/>
            <w:vAlign w:val="bottom"/>
            <w:hideMark/>
          </w:tcPr>
          <w:p w14:paraId="230BF32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0.18%</w:t>
            </w:r>
          </w:p>
        </w:tc>
      </w:tr>
      <w:tr w:rsidR="00A36980" w:rsidRPr="005970E9" w14:paraId="333C4820" w14:textId="77777777" w:rsidTr="00216547">
        <w:trPr>
          <w:trHeight w:val="255"/>
          <w:jc w:val="center"/>
        </w:trPr>
        <w:tc>
          <w:tcPr>
            <w:tcW w:w="1755" w:type="dxa"/>
            <w:tcBorders>
              <w:top w:val="nil"/>
              <w:left w:val="nil"/>
              <w:bottom w:val="nil"/>
              <w:right w:val="single" w:sz="4" w:space="0" w:color="auto"/>
            </w:tcBorders>
            <w:shd w:val="clear" w:color="000000" w:fill="FFFFFF"/>
            <w:noWrap/>
            <w:vAlign w:val="bottom"/>
            <w:hideMark/>
          </w:tcPr>
          <w:p w14:paraId="4E28A7DD" w14:textId="77777777" w:rsidR="00A36980" w:rsidRPr="005970E9" w:rsidRDefault="00A36980" w:rsidP="00216547">
            <w:pPr>
              <w:rPr>
                <w:rFonts w:eastAsia="Times New Roman" w:cs="Arial"/>
                <w:sz w:val="20"/>
                <w:szCs w:val="20"/>
              </w:rPr>
            </w:pPr>
            <w:r w:rsidRPr="005970E9">
              <w:rPr>
                <w:rFonts w:eastAsia="Times New Roman" w:cs="Arial"/>
                <w:sz w:val="20"/>
                <w:szCs w:val="20"/>
              </w:rPr>
              <w:t>De 50 y más</w:t>
            </w:r>
          </w:p>
        </w:tc>
        <w:tc>
          <w:tcPr>
            <w:tcW w:w="1153" w:type="dxa"/>
            <w:tcBorders>
              <w:top w:val="nil"/>
              <w:left w:val="nil"/>
              <w:bottom w:val="nil"/>
              <w:right w:val="single" w:sz="4" w:space="0" w:color="auto"/>
            </w:tcBorders>
            <w:shd w:val="clear" w:color="000000" w:fill="FFFFFF"/>
            <w:noWrap/>
            <w:vAlign w:val="bottom"/>
            <w:hideMark/>
          </w:tcPr>
          <w:p w14:paraId="08BCAEF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18</w:t>
            </w:r>
          </w:p>
        </w:tc>
        <w:tc>
          <w:tcPr>
            <w:tcW w:w="1131" w:type="dxa"/>
            <w:tcBorders>
              <w:top w:val="nil"/>
              <w:left w:val="nil"/>
              <w:bottom w:val="nil"/>
              <w:right w:val="single" w:sz="4" w:space="0" w:color="auto"/>
            </w:tcBorders>
            <w:shd w:val="clear" w:color="000000" w:fill="FFFFFF"/>
            <w:noWrap/>
            <w:vAlign w:val="bottom"/>
            <w:hideMark/>
          </w:tcPr>
          <w:p w14:paraId="4990FFDD"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9</w:t>
            </w:r>
          </w:p>
        </w:tc>
        <w:tc>
          <w:tcPr>
            <w:tcW w:w="1206" w:type="dxa"/>
            <w:tcBorders>
              <w:top w:val="nil"/>
              <w:left w:val="nil"/>
              <w:bottom w:val="nil"/>
              <w:right w:val="single" w:sz="4" w:space="0" w:color="auto"/>
            </w:tcBorders>
            <w:shd w:val="clear" w:color="000000" w:fill="FFFFFF"/>
            <w:noWrap/>
            <w:vAlign w:val="bottom"/>
            <w:hideMark/>
          </w:tcPr>
          <w:p w14:paraId="5AB49BB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0.03%</w:t>
            </w:r>
          </w:p>
        </w:tc>
        <w:tc>
          <w:tcPr>
            <w:tcW w:w="1092" w:type="dxa"/>
            <w:tcBorders>
              <w:top w:val="nil"/>
              <w:left w:val="nil"/>
              <w:bottom w:val="nil"/>
            </w:tcBorders>
            <w:shd w:val="clear" w:color="000000" w:fill="FFFFFF"/>
            <w:noWrap/>
            <w:vAlign w:val="bottom"/>
            <w:hideMark/>
          </w:tcPr>
          <w:p w14:paraId="5DC6EB4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0.01%</w:t>
            </w:r>
          </w:p>
        </w:tc>
      </w:tr>
      <w:tr w:rsidR="00A36980" w:rsidRPr="005970E9" w14:paraId="6F424E24" w14:textId="77777777" w:rsidTr="00216547">
        <w:trPr>
          <w:trHeight w:val="255"/>
          <w:jc w:val="center"/>
        </w:trPr>
        <w:tc>
          <w:tcPr>
            <w:tcW w:w="1755" w:type="dxa"/>
            <w:tcBorders>
              <w:top w:val="nil"/>
              <w:left w:val="nil"/>
              <w:bottom w:val="single" w:sz="4" w:space="0" w:color="auto"/>
              <w:right w:val="single" w:sz="4" w:space="0" w:color="auto"/>
            </w:tcBorders>
            <w:shd w:val="clear" w:color="000000" w:fill="FFFFFF"/>
            <w:noWrap/>
            <w:vAlign w:val="bottom"/>
            <w:hideMark/>
          </w:tcPr>
          <w:p w14:paraId="2AA7C4D9" w14:textId="77777777" w:rsidR="00A36980" w:rsidRPr="005970E9" w:rsidRDefault="00A36980" w:rsidP="00216547">
            <w:pPr>
              <w:rPr>
                <w:rFonts w:eastAsia="Times New Roman" w:cs="Arial"/>
                <w:sz w:val="20"/>
                <w:szCs w:val="20"/>
              </w:rPr>
            </w:pPr>
            <w:r w:rsidRPr="005970E9">
              <w:rPr>
                <w:rFonts w:eastAsia="Times New Roman" w:cs="Arial"/>
                <w:sz w:val="20"/>
                <w:szCs w:val="20"/>
              </w:rPr>
              <w:t>No especificada</w:t>
            </w:r>
          </w:p>
        </w:tc>
        <w:tc>
          <w:tcPr>
            <w:tcW w:w="1153" w:type="dxa"/>
            <w:tcBorders>
              <w:top w:val="nil"/>
              <w:left w:val="nil"/>
              <w:bottom w:val="single" w:sz="4" w:space="0" w:color="auto"/>
              <w:right w:val="single" w:sz="4" w:space="0" w:color="auto"/>
            </w:tcBorders>
            <w:shd w:val="clear" w:color="000000" w:fill="FFFFFF"/>
            <w:noWrap/>
            <w:vAlign w:val="bottom"/>
            <w:hideMark/>
          </w:tcPr>
          <w:p w14:paraId="01378EC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113</w:t>
            </w:r>
          </w:p>
        </w:tc>
        <w:tc>
          <w:tcPr>
            <w:tcW w:w="1131" w:type="dxa"/>
            <w:tcBorders>
              <w:top w:val="nil"/>
              <w:left w:val="nil"/>
              <w:bottom w:val="single" w:sz="4" w:space="0" w:color="auto"/>
              <w:right w:val="single" w:sz="4" w:space="0" w:color="auto"/>
            </w:tcBorders>
            <w:shd w:val="clear" w:color="000000" w:fill="FFFFFF"/>
            <w:noWrap/>
            <w:vAlign w:val="bottom"/>
            <w:hideMark/>
          </w:tcPr>
          <w:p w14:paraId="4B6D28E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11</w:t>
            </w:r>
          </w:p>
        </w:tc>
        <w:tc>
          <w:tcPr>
            <w:tcW w:w="1206" w:type="dxa"/>
            <w:tcBorders>
              <w:top w:val="nil"/>
              <w:left w:val="nil"/>
              <w:bottom w:val="single" w:sz="4" w:space="0" w:color="auto"/>
              <w:right w:val="single" w:sz="4" w:space="0" w:color="auto"/>
            </w:tcBorders>
            <w:shd w:val="clear" w:color="000000" w:fill="FFFFFF"/>
            <w:noWrap/>
            <w:vAlign w:val="bottom"/>
            <w:hideMark/>
          </w:tcPr>
          <w:p w14:paraId="35C62F9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0.17%</w:t>
            </w:r>
          </w:p>
        </w:tc>
        <w:tc>
          <w:tcPr>
            <w:tcW w:w="1092" w:type="dxa"/>
            <w:tcBorders>
              <w:top w:val="nil"/>
              <w:left w:val="nil"/>
              <w:bottom w:val="single" w:sz="4" w:space="0" w:color="auto"/>
            </w:tcBorders>
            <w:shd w:val="clear" w:color="000000" w:fill="FFFFFF"/>
            <w:noWrap/>
            <w:vAlign w:val="bottom"/>
            <w:hideMark/>
          </w:tcPr>
          <w:p w14:paraId="0F1D39E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0.01%</w:t>
            </w:r>
          </w:p>
        </w:tc>
      </w:tr>
      <w:tr w:rsidR="00A36980" w:rsidRPr="005970E9" w14:paraId="2D2D021C" w14:textId="77777777" w:rsidTr="00216547">
        <w:trPr>
          <w:trHeight w:val="429"/>
          <w:jc w:val="center"/>
        </w:trPr>
        <w:tc>
          <w:tcPr>
            <w:tcW w:w="6337" w:type="dxa"/>
            <w:gridSpan w:val="5"/>
            <w:tcBorders>
              <w:top w:val="nil"/>
              <w:left w:val="nil"/>
              <w:bottom w:val="nil"/>
              <w:right w:val="nil"/>
            </w:tcBorders>
            <w:shd w:val="clear" w:color="000000" w:fill="F2F2F2"/>
            <w:vAlign w:val="center"/>
            <w:hideMark/>
          </w:tcPr>
          <w:p w14:paraId="5DBCC060" w14:textId="77777777" w:rsidR="00A36980" w:rsidRPr="005970E9" w:rsidRDefault="00A36980" w:rsidP="00216547">
            <w:pPr>
              <w:jc w:val="both"/>
              <w:rPr>
                <w:rFonts w:eastAsia="Times New Roman" w:cs="Arial"/>
                <w:sz w:val="20"/>
                <w:szCs w:val="20"/>
              </w:rPr>
            </w:pPr>
            <w:r w:rsidRPr="005970E9">
              <w:rPr>
                <w:rFonts w:eastAsia="Times New Roman" w:cs="Arial"/>
                <w:b/>
                <w:sz w:val="20"/>
                <w:szCs w:val="20"/>
              </w:rPr>
              <w:t>Fuente:</w:t>
            </w:r>
            <w:r w:rsidRPr="005970E9">
              <w:rPr>
                <w:rFonts w:eastAsia="Times New Roman" w:cs="Arial"/>
                <w:sz w:val="20"/>
                <w:szCs w:val="20"/>
              </w:rPr>
              <w:t xml:space="preserve"> INEC, Nacimientos Vivos, según provincia y comarca indígena de residencia: año 2010-2018. Los datos </w:t>
            </w:r>
            <w:r w:rsidR="00BD695C" w:rsidRPr="005970E9">
              <w:rPr>
                <w:rFonts w:eastAsia="Times New Roman" w:cs="Arial"/>
                <w:sz w:val="20"/>
                <w:szCs w:val="20"/>
              </w:rPr>
              <w:t>publicados corresponden</w:t>
            </w:r>
            <w:r w:rsidRPr="005970E9">
              <w:rPr>
                <w:rFonts w:eastAsia="Times New Roman" w:cs="Arial"/>
                <w:sz w:val="20"/>
                <w:szCs w:val="20"/>
              </w:rPr>
              <w:t xml:space="preserve"> a   </w:t>
            </w:r>
            <w:r w:rsidR="00BD695C" w:rsidRPr="005970E9">
              <w:rPr>
                <w:rFonts w:eastAsia="Times New Roman" w:cs="Arial"/>
                <w:sz w:val="20"/>
                <w:szCs w:val="20"/>
              </w:rPr>
              <w:t>información recopilada</w:t>
            </w:r>
            <w:r w:rsidRPr="005970E9">
              <w:rPr>
                <w:rFonts w:eastAsia="Times New Roman" w:cs="Arial"/>
                <w:sz w:val="20"/>
                <w:szCs w:val="20"/>
              </w:rPr>
              <w:t xml:space="preserve"> </w:t>
            </w:r>
            <w:r w:rsidR="00306A6C" w:rsidRPr="005970E9">
              <w:rPr>
                <w:rFonts w:eastAsia="Times New Roman" w:cs="Arial"/>
                <w:sz w:val="20"/>
                <w:szCs w:val="20"/>
              </w:rPr>
              <w:t>con base en</w:t>
            </w:r>
            <w:r w:rsidRPr="005970E9">
              <w:rPr>
                <w:rFonts w:eastAsia="Times New Roman" w:cs="Arial"/>
                <w:sz w:val="20"/>
                <w:szCs w:val="20"/>
              </w:rPr>
              <w:t xml:space="preserve"> los </w:t>
            </w:r>
            <w:r w:rsidR="00306A6C" w:rsidRPr="005970E9">
              <w:rPr>
                <w:rFonts w:eastAsia="Times New Roman" w:cs="Arial"/>
                <w:sz w:val="20"/>
                <w:szCs w:val="20"/>
              </w:rPr>
              <w:t>registros administrativos de</w:t>
            </w:r>
            <w:r w:rsidRPr="005970E9">
              <w:rPr>
                <w:rFonts w:eastAsia="Times New Roman" w:cs="Arial"/>
                <w:sz w:val="20"/>
                <w:szCs w:val="20"/>
              </w:rPr>
              <w:t xml:space="preserve"> las instalaciones de salud.</w:t>
            </w:r>
          </w:p>
        </w:tc>
      </w:tr>
    </w:tbl>
    <w:p w14:paraId="32B6C0D8" w14:textId="77777777" w:rsidR="00A36980" w:rsidRPr="005970E9" w:rsidRDefault="00A36980" w:rsidP="00A36980">
      <w:pPr>
        <w:jc w:val="both"/>
      </w:pPr>
    </w:p>
    <w:p w14:paraId="2810DBB0" w14:textId="1A59B2EE" w:rsidR="00A36980" w:rsidRPr="005970E9" w:rsidRDefault="00A36980" w:rsidP="00306A6C">
      <w:pPr>
        <w:spacing w:before="120" w:after="120" w:line="276" w:lineRule="auto"/>
        <w:jc w:val="both"/>
      </w:pPr>
      <w:r w:rsidRPr="005970E9">
        <w:t xml:space="preserve">En referencia al nivel de instrucción de las madres, a medida que tiene mayor educación, menor es el porcentaje de nacimientos, así para el 2010 el 19.33% de los nacimientos es de madres con estudios universitarios y apenas un 0.91% es de madres con estudios a nivel de postgrados.  Las proporciones aumentan a medida que se tienen menos años de estudios; ya que para el mismo periodo un 31.81% de los nacimientos son de madres con estudios de media (bachilleres), un 18.34% de premedia y un elevado 21.52% de nacimientos fue de </w:t>
      </w:r>
      <w:r w:rsidR="00D241F4" w:rsidRPr="005970E9">
        <w:t xml:space="preserve">madres con educación </w:t>
      </w:r>
      <w:r w:rsidRPr="005970E9">
        <w:t xml:space="preserve">primaria.  </w:t>
      </w:r>
    </w:p>
    <w:p w14:paraId="29C8B1C6" w14:textId="39E81650" w:rsidR="00A36980" w:rsidRPr="005970E9" w:rsidRDefault="000A44C1" w:rsidP="00500278">
      <w:pPr>
        <w:pStyle w:val="Caption"/>
        <w:jc w:val="center"/>
        <w:rPr>
          <w:rFonts w:ascii="Century Schoolbook" w:eastAsia="Times New Roman" w:hAnsi="Century Schoolbook" w:cs="Arial"/>
          <w:color w:val="222222"/>
          <w:sz w:val="20"/>
          <w:szCs w:val="20"/>
        </w:rPr>
      </w:pPr>
      <w:bookmarkStart w:id="188" w:name="_Toc42549256"/>
      <w:r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24</w:t>
      </w:r>
      <w:r w:rsidR="00F202BE" w:rsidRPr="005970E9">
        <w:rPr>
          <w:rFonts w:ascii="Century Schoolbook" w:hAnsi="Century Schoolbook"/>
          <w:sz w:val="20"/>
          <w:szCs w:val="20"/>
        </w:rPr>
        <w:fldChar w:fldCharType="end"/>
      </w:r>
      <w:r w:rsidRPr="005970E9">
        <w:rPr>
          <w:rFonts w:ascii="Century Schoolbook" w:hAnsi="Century Schoolbook"/>
          <w:sz w:val="20"/>
          <w:szCs w:val="20"/>
        </w:rPr>
        <w:t xml:space="preserve">. </w:t>
      </w:r>
      <w:r w:rsidR="00820926" w:rsidRPr="005970E9">
        <w:rPr>
          <w:rFonts w:ascii="Century Schoolbook" w:hAnsi="Century Schoolbook"/>
          <w:sz w:val="20"/>
          <w:szCs w:val="20"/>
        </w:rPr>
        <w:t xml:space="preserve">Nacimientos vivos por edad de la madre en </w:t>
      </w:r>
      <w:r w:rsidR="001949A6" w:rsidRPr="005970E9">
        <w:rPr>
          <w:rFonts w:ascii="Century Schoolbook" w:hAnsi="Century Schoolbook"/>
          <w:sz w:val="20"/>
          <w:szCs w:val="20"/>
        </w:rPr>
        <w:t>P</w:t>
      </w:r>
      <w:r w:rsidR="00820926" w:rsidRPr="005970E9">
        <w:rPr>
          <w:rFonts w:ascii="Century Schoolbook" w:hAnsi="Century Schoolbook"/>
          <w:sz w:val="20"/>
          <w:szCs w:val="20"/>
        </w:rPr>
        <w:t>anamá: años 2010- 2018</w:t>
      </w:r>
      <w:bookmarkEnd w:id="188"/>
    </w:p>
    <w:p w14:paraId="1358D3AC" w14:textId="60348C6C" w:rsidR="00A36980" w:rsidRPr="005970E9" w:rsidRDefault="00A36980" w:rsidP="00A36980">
      <w:pPr>
        <w:shd w:val="clear" w:color="auto" w:fill="FFFFFF"/>
        <w:jc w:val="center"/>
        <w:rPr>
          <w:rFonts w:eastAsia="Times New Roman" w:cs="Arial"/>
          <w:color w:val="222222"/>
          <w:sz w:val="24"/>
          <w:szCs w:val="24"/>
        </w:rPr>
      </w:pPr>
      <w:r w:rsidRPr="005970E9">
        <w:rPr>
          <w:noProof/>
        </w:rPr>
        <w:drawing>
          <wp:inline distT="0" distB="0" distL="0" distR="0" wp14:anchorId="1BE531E5" wp14:editId="5AFBF82E">
            <wp:extent cx="4643562" cy="2846567"/>
            <wp:effectExtent l="0" t="0" r="5080" b="1143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1BD1FB0" w14:textId="77777777" w:rsidR="00A36980" w:rsidRPr="005970E9" w:rsidRDefault="00A36980" w:rsidP="00A36980">
      <w:pPr>
        <w:jc w:val="both"/>
      </w:pPr>
    </w:p>
    <w:p w14:paraId="5F75713C" w14:textId="16FCCC34" w:rsidR="00A36980" w:rsidRPr="005970E9" w:rsidRDefault="00A36980" w:rsidP="00306A6C">
      <w:pPr>
        <w:spacing w:before="120" w:after="120" w:line="276" w:lineRule="auto"/>
        <w:jc w:val="both"/>
      </w:pPr>
      <w:r w:rsidRPr="005970E9">
        <w:t>El análisis de los resultados mejora para el 2018 en el que aumenta el porcentaje de nacimientos de madres con estudios de media a un 33.7% y disminuye</w:t>
      </w:r>
      <w:r w:rsidR="001949A6" w:rsidRPr="005970E9">
        <w:t>n</w:t>
      </w:r>
      <w:r w:rsidRPr="005970E9">
        <w:t xml:space="preserve"> los nacimientos de </w:t>
      </w:r>
      <w:r w:rsidR="001949A6" w:rsidRPr="005970E9">
        <w:t>madres</w:t>
      </w:r>
      <w:r w:rsidRPr="005970E9">
        <w:t xml:space="preserve"> </w:t>
      </w:r>
      <w:r w:rsidR="001949A6" w:rsidRPr="005970E9">
        <w:t>con educación P</w:t>
      </w:r>
      <w:r w:rsidRPr="005970E9">
        <w:t xml:space="preserve">remedia y primaria a un 17.61% y 14.61% respectivamente. Estos datos se presentan en el Cuadro </w:t>
      </w:r>
      <w:r w:rsidRPr="00815D3E">
        <w:t>No.</w:t>
      </w:r>
      <w:r w:rsidR="00815D3E" w:rsidRPr="00815D3E">
        <w:t>8</w:t>
      </w:r>
      <w:r w:rsidRPr="00815D3E">
        <w:t>.</w:t>
      </w:r>
      <w:r w:rsidRPr="005970E9">
        <w:t xml:space="preserve"> </w:t>
      </w:r>
    </w:p>
    <w:p w14:paraId="378603E2" w14:textId="0F6CDA99" w:rsidR="00A36980" w:rsidRPr="005970E9" w:rsidRDefault="0049052D" w:rsidP="001949A6">
      <w:pPr>
        <w:pStyle w:val="Caption"/>
        <w:jc w:val="center"/>
        <w:rPr>
          <w:rFonts w:ascii="Century Schoolbook" w:hAnsi="Century Schoolbook" w:cstheme="minorBidi"/>
          <w:i w:val="0"/>
          <w:iCs w:val="0"/>
          <w:sz w:val="20"/>
          <w:szCs w:val="20"/>
          <w:lang w:eastAsia="en-US"/>
        </w:rPr>
      </w:pPr>
      <w:bookmarkStart w:id="189" w:name="_Toc42549174"/>
      <w:r w:rsidRPr="005970E9">
        <w:rPr>
          <w:rFonts w:ascii="Century Schoolbook" w:hAnsi="Century Schoolbook"/>
          <w:i w:val="0"/>
          <w:iCs w:val="0"/>
        </w:rPr>
        <w:lastRenderedPageBreak/>
        <w:t xml:space="preserve">Cuadro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Cuadro \* ARABIC </w:instrText>
      </w:r>
      <w:r w:rsidRPr="005970E9">
        <w:rPr>
          <w:rFonts w:ascii="Century Schoolbook" w:hAnsi="Century Schoolbook"/>
          <w:i w:val="0"/>
          <w:iCs w:val="0"/>
        </w:rPr>
        <w:fldChar w:fldCharType="separate"/>
      </w:r>
      <w:r w:rsidR="00C5422E" w:rsidRPr="005970E9">
        <w:rPr>
          <w:rFonts w:ascii="Century Schoolbook" w:hAnsi="Century Schoolbook"/>
          <w:i w:val="0"/>
          <w:iCs w:val="0"/>
          <w:noProof/>
        </w:rPr>
        <w:t>8</w:t>
      </w:r>
      <w:r w:rsidRPr="005970E9">
        <w:rPr>
          <w:rFonts w:ascii="Century Schoolbook" w:hAnsi="Century Schoolbook"/>
          <w:i w:val="0"/>
          <w:iCs w:val="0"/>
        </w:rPr>
        <w:fldChar w:fldCharType="end"/>
      </w:r>
      <w:r w:rsidR="000A44C1" w:rsidRPr="005970E9">
        <w:rPr>
          <w:rFonts w:ascii="Century Schoolbook" w:hAnsi="Century Schoolbook"/>
          <w:i w:val="0"/>
          <w:iCs w:val="0"/>
          <w:sz w:val="20"/>
          <w:szCs w:val="20"/>
        </w:rPr>
        <w:t xml:space="preserve">. </w:t>
      </w:r>
      <w:r w:rsidR="000A44C1" w:rsidRPr="005970E9">
        <w:rPr>
          <w:rFonts w:ascii="Century Schoolbook" w:eastAsia="Times New Roman" w:hAnsi="Century Schoolbook" w:cs="Arial"/>
          <w:i w:val="0"/>
          <w:iCs w:val="0"/>
          <w:sz w:val="20"/>
          <w:szCs w:val="20"/>
        </w:rPr>
        <w:t>NACIMIENTOS VIVOS EN LA REPÚBLICA, SEGÚN NIVEL DE INSTRUCCIÓN DE LA MADRE:  AÑOS 2010-2018</w:t>
      </w:r>
      <w:bookmarkEnd w:id="189"/>
    </w:p>
    <w:tbl>
      <w:tblPr>
        <w:tblW w:w="6568" w:type="dxa"/>
        <w:jc w:val="center"/>
        <w:tblCellMar>
          <w:left w:w="70" w:type="dxa"/>
          <w:right w:w="70" w:type="dxa"/>
        </w:tblCellMar>
        <w:tblLook w:val="04A0" w:firstRow="1" w:lastRow="0" w:firstColumn="1" w:lastColumn="0" w:noHBand="0" w:noVBand="1"/>
      </w:tblPr>
      <w:tblGrid>
        <w:gridCol w:w="2694"/>
        <w:gridCol w:w="859"/>
        <w:gridCol w:w="940"/>
        <w:gridCol w:w="1037"/>
        <w:gridCol w:w="1038"/>
      </w:tblGrid>
      <w:tr w:rsidR="00A36980" w:rsidRPr="005970E9" w14:paraId="0B26CC93" w14:textId="77777777" w:rsidTr="000A44C1">
        <w:trPr>
          <w:trHeight w:val="212"/>
          <w:jc w:val="center"/>
        </w:trPr>
        <w:tc>
          <w:tcPr>
            <w:tcW w:w="2694" w:type="dxa"/>
            <w:vMerge w:val="restart"/>
            <w:tcBorders>
              <w:top w:val="single" w:sz="4" w:space="0" w:color="auto"/>
              <w:bottom w:val="single" w:sz="4" w:space="0" w:color="auto"/>
              <w:right w:val="single" w:sz="4" w:space="0" w:color="auto"/>
            </w:tcBorders>
            <w:shd w:val="clear" w:color="auto" w:fill="CCC0D9" w:themeFill="accent4" w:themeFillTint="66"/>
            <w:vAlign w:val="center"/>
            <w:hideMark/>
          </w:tcPr>
          <w:p w14:paraId="7C11AF56"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Nivel de instrucción</w:t>
            </w:r>
          </w:p>
        </w:tc>
        <w:tc>
          <w:tcPr>
            <w:tcW w:w="1799" w:type="dxa"/>
            <w:gridSpan w:val="2"/>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14:paraId="4D805DA5"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Nacimientos vivos</w:t>
            </w:r>
          </w:p>
        </w:tc>
        <w:tc>
          <w:tcPr>
            <w:tcW w:w="2075" w:type="dxa"/>
            <w:gridSpan w:val="2"/>
            <w:tcBorders>
              <w:top w:val="single" w:sz="4" w:space="0" w:color="auto"/>
              <w:left w:val="nil"/>
              <w:bottom w:val="single" w:sz="4" w:space="0" w:color="auto"/>
              <w:right w:val="nil"/>
            </w:tcBorders>
            <w:shd w:val="clear" w:color="auto" w:fill="CCC0D9" w:themeFill="accent4" w:themeFillTint="66"/>
            <w:noWrap/>
            <w:vAlign w:val="center"/>
            <w:hideMark/>
          </w:tcPr>
          <w:p w14:paraId="50954FE4"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Proporción</w:t>
            </w:r>
          </w:p>
        </w:tc>
      </w:tr>
      <w:tr w:rsidR="00A36980" w:rsidRPr="005970E9" w14:paraId="0B4A530B" w14:textId="77777777" w:rsidTr="000A44C1">
        <w:trPr>
          <w:trHeight w:val="244"/>
          <w:jc w:val="center"/>
        </w:trPr>
        <w:tc>
          <w:tcPr>
            <w:tcW w:w="2694" w:type="dxa"/>
            <w:vMerge/>
            <w:tcBorders>
              <w:top w:val="single" w:sz="4" w:space="0" w:color="auto"/>
              <w:bottom w:val="single" w:sz="4" w:space="0" w:color="auto"/>
              <w:right w:val="single" w:sz="4" w:space="0" w:color="auto"/>
            </w:tcBorders>
            <w:shd w:val="clear" w:color="auto" w:fill="CCC0D9" w:themeFill="accent4" w:themeFillTint="66"/>
            <w:vAlign w:val="center"/>
            <w:hideMark/>
          </w:tcPr>
          <w:p w14:paraId="6A82E8B5" w14:textId="77777777" w:rsidR="00A36980" w:rsidRPr="005970E9" w:rsidRDefault="00A36980" w:rsidP="00216547">
            <w:pPr>
              <w:rPr>
                <w:rFonts w:eastAsia="Times New Roman" w:cs="Arial"/>
                <w:b/>
                <w:bCs/>
                <w:sz w:val="20"/>
                <w:szCs w:val="20"/>
              </w:rPr>
            </w:pPr>
          </w:p>
        </w:tc>
        <w:tc>
          <w:tcPr>
            <w:tcW w:w="859" w:type="dxa"/>
            <w:tcBorders>
              <w:top w:val="nil"/>
              <w:left w:val="nil"/>
              <w:bottom w:val="single" w:sz="4" w:space="0" w:color="auto"/>
              <w:right w:val="single" w:sz="4" w:space="0" w:color="auto"/>
            </w:tcBorders>
            <w:shd w:val="clear" w:color="auto" w:fill="CCC0D9" w:themeFill="accent4" w:themeFillTint="66"/>
            <w:noWrap/>
            <w:vAlign w:val="center"/>
            <w:hideMark/>
          </w:tcPr>
          <w:p w14:paraId="3B2668A2"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2010</w:t>
            </w:r>
          </w:p>
        </w:tc>
        <w:tc>
          <w:tcPr>
            <w:tcW w:w="940" w:type="dxa"/>
            <w:tcBorders>
              <w:top w:val="nil"/>
              <w:left w:val="nil"/>
              <w:bottom w:val="single" w:sz="4" w:space="0" w:color="auto"/>
              <w:right w:val="nil"/>
            </w:tcBorders>
            <w:shd w:val="clear" w:color="auto" w:fill="CCC0D9" w:themeFill="accent4" w:themeFillTint="66"/>
            <w:noWrap/>
            <w:vAlign w:val="center"/>
            <w:hideMark/>
          </w:tcPr>
          <w:p w14:paraId="4B88D283"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2018</w:t>
            </w:r>
          </w:p>
        </w:tc>
        <w:tc>
          <w:tcPr>
            <w:tcW w:w="1037" w:type="dxa"/>
            <w:tcBorders>
              <w:top w:val="nil"/>
              <w:left w:val="single" w:sz="4" w:space="0" w:color="auto"/>
              <w:bottom w:val="single" w:sz="4" w:space="0" w:color="auto"/>
              <w:right w:val="nil"/>
            </w:tcBorders>
            <w:shd w:val="clear" w:color="auto" w:fill="CCC0D9" w:themeFill="accent4" w:themeFillTint="66"/>
            <w:noWrap/>
            <w:vAlign w:val="center"/>
            <w:hideMark/>
          </w:tcPr>
          <w:p w14:paraId="5B00C640"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2010</w:t>
            </w:r>
          </w:p>
        </w:tc>
        <w:tc>
          <w:tcPr>
            <w:tcW w:w="1038" w:type="dxa"/>
            <w:tcBorders>
              <w:top w:val="nil"/>
              <w:left w:val="single" w:sz="4" w:space="0" w:color="auto"/>
              <w:bottom w:val="single" w:sz="4" w:space="0" w:color="auto"/>
              <w:right w:val="nil"/>
            </w:tcBorders>
            <w:shd w:val="clear" w:color="auto" w:fill="CCC0D9" w:themeFill="accent4" w:themeFillTint="66"/>
            <w:noWrap/>
            <w:vAlign w:val="center"/>
            <w:hideMark/>
          </w:tcPr>
          <w:p w14:paraId="47C27D36"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2018</w:t>
            </w:r>
          </w:p>
        </w:tc>
      </w:tr>
      <w:tr w:rsidR="00A36980" w:rsidRPr="005970E9" w14:paraId="51579E61" w14:textId="77777777" w:rsidTr="00216547">
        <w:trPr>
          <w:trHeight w:val="257"/>
          <w:jc w:val="center"/>
        </w:trPr>
        <w:tc>
          <w:tcPr>
            <w:tcW w:w="2694" w:type="dxa"/>
            <w:tcBorders>
              <w:top w:val="nil"/>
              <w:left w:val="nil"/>
              <w:bottom w:val="nil"/>
              <w:right w:val="nil"/>
            </w:tcBorders>
            <w:shd w:val="clear" w:color="000000" w:fill="FFFFFF"/>
            <w:noWrap/>
            <w:vAlign w:val="bottom"/>
            <w:hideMark/>
          </w:tcPr>
          <w:p w14:paraId="3D6078FB" w14:textId="77777777" w:rsidR="00A36980" w:rsidRPr="005970E9" w:rsidRDefault="00A36980" w:rsidP="00216547">
            <w:pPr>
              <w:rPr>
                <w:rFonts w:eastAsia="Times New Roman" w:cs="Arial"/>
                <w:b/>
                <w:bCs/>
                <w:sz w:val="20"/>
                <w:szCs w:val="20"/>
              </w:rPr>
            </w:pPr>
            <w:r w:rsidRPr="005970E9">
              <w:rPr>
                <w:rFonts w:eastAsia="Times New Roman" w:cs="Arial"/>
                <w:b/>
                <w:bCs/>
                <w:sz w:val="20"/>
                <w:szCs w:val="20"/>
              </w:rPr>
              <w:t>TOTAL</w:t>
            </w:r>
          </w:p>
        </w:tc>
        <w:tc>
          <w:tcPr>
            <w:tcW w:w="859" w:type="dxa"/>
            <w:tcBorders>
              <w:top w:val="nil"/>
              <w:left w:val="single" w:sz="4" w:space="0" w:color="auto"/>
              <w:bottom w:val="nil"/>
              <w:right w:val="single" w:sz="4" w:space="0" w:color="auto"/>
            </w:tcBorders>
            <w:shd w:val="clear" w:color="000000" w:fill="FFFFFF"/>
            <w:noWrap/>
            <w:vAlign w:val="bottom"/>
            <w:hideMark/>
          </w:tcPr>
          <w:p w14:paraId="390E0090"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67955</w:t>
            </w:r>
          </w:p>
        </w:tc>
        <w:tc>
          <w:tcPr>
            <w:tcW w:w="940" w:type="dxa"/>
            <w:tcBorders>
              <w:top w:val="nil"/>
              <w:left w:val="nil"/>
              <w:bottom w:val="nil"/>
              <w:right w:val="single" w:sz="4" w:space="0" w:color="auto"/>
            </w:tcBorders>
            <w:shd w:val="clear" w:color="000000" w:fill="FFFFFF"/>
            <w:noWrap/>
            <w:vAlign w:val="bottom"/>
            <w:hideMark/>
          </w:tcPr>
          <w:p w14:paraId="693863CF"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76,863</w:t>
            </w:r>
          </w:p>
        </w:tc>
        <w:tc>
          <w:tcPr>
            <w:tcW w:w="1037" w:type="dxa"/>
            <w:tcBorders>
              <w:top w:val="nil"/>
              <w:left w:val="nil"/>
              <w:bottom w:val="nil"/>
              <w:right w:val="nil"/>
            </w:tcBorders>
            <w:shd w:val="clear" w:color="000000" w:fill="FFFFFF"/>
            <w:noWrap/>
            <w:vAlign w:val="bottom"/>
            <w:hideMark/>
          </w:tcPr>
          <w:p w14:paraId="3359F1B0" w14:textId="77777777" w:rsidR="00A36980" w:rsidRPr="005970E9" w:rsidRDefault="00A36980" w:rsidP="00216547">
            <w:pPr>
              <w:jc w:val="right"/>
              <w:rPr>
                <w:rFonts w:eastAsia="Times New Roman" w:cs="Arial"/>
                <w:b/>
                <w:sz w:val="20"/>
                <w:szCs w:val="20"/>
              </w:rPr>
            </w:pPr>
            <w:r w:rsidRPr="005970E9">
              <w:rPr>
                <w:rFonts w:eastAsia="Times New Roman" w:cs="Arial"/>
                <w:b/>
                <w:sz w:val="20"/>
                <w:szCs w:val="20"/>
              </w:rPr>
              <w:t>100%</w:t>
            </w:r>
          </w:p>
        </w:tc>
        <w:tc>
          <w:tcPr>
            <w:tcW w:w="1038" w:type="dxa"/>
            <w:tcBorders>
              <w:top w:val="nil"/>
              <w:left w:val="single" w:sz="4" w:space="0" w:color="auto"/>
              <w:bottom w:val="nil"/>
              <w:right w:val="nil"/>
            </w:tcBorders>
            <w:shd w:val="clear" w:color="000000" w:fill="FFFFFF"/>
            <w:noWrap/>
            <w:vAlign w:val="bottom"/>
            <w:hideMark/>
          </w:tcPr>
          <w:p w14:paraId="1C99BF96" w14:textId="77777777" w:rsidR="00A36980" w:rsidRPr="005970E9" w:rsidRDefault="00A36980" w:rsidP="00216547">
            <w:pPr>
              <w:jc w:val="right"/>
              <w:rPr>
                <w:rFonts w:eastAsia="Times New Roman" w:cs="Arial"/>
                <w:b/>
                <w:sz w:val="20"/>
                <w:szCs w:val="20"/>
              </w:rPr>
            </w:pPr>
            <w:r w:rsidRPr="005970E9">
              <w:rPr>
                <w:rFonts w:eastAsia="Times New Roman" w:cs="Arial"/>
                <w:b/>
                <w:sz w:val="20"/>
                <w:szCs w:val="20"/>
              </w:rPr>
              <w:t>100%</w:t>
            </w:r>
          </w:p>
        </w:tc>
      </w:tr>
      <w:tr w:rsidR="00A36980" w:rsidRPr="005970E9" w14:paraId="31CA7601" w14:textId="77777777" w:rsidTr="00216547">
        <w:trPr>
          <w:trHeight w:val="257"/>
          <w:jc w:val="center"/>
        </w:trPr>
        <w:tc>
          <w:tcPr>
            <w:tcW w:w="2694" w:type="dxa"/>
            <w:tcBorders>
              <w:top w:val="nil"/>
              <w:left w:val="nil"/>
              <w:bottom w:val="nil"/>
              <w:right w:val="single" w:sz="4" w:space="0" w:color="auto"/>
            </w:tcBorders>
            <w:shd w:val="clear" w:color="000000" w:fill="FFFFFF"/>
            <w:noWrap/>
            <w:vAlign w:val="bottom"/>
            <w:hideMark/>
          </w:tcPr>
          <w:p w14:paraId="2963D49E" w14:textId="77777777" w:rsidR="00A36980" w:rsidRPr="005970E9" w:rsidRDefault="00A36980" w:rsidP="00216547">
            <w:pPr>
              <w:rPr>
                <w:rFonts w:eastAsia="Times New Roman" w:cs="Arial"/>
                <w:sz w:val="20"/>
                <w:szCs w:val="20"/>
              </w:rPr>
            </w:pPr>
            <w:r w:rsidRPr="005970E9">
              <w:rPr>
                <w:rFonts w:eastAsia="Times New Roman" w:cs="Arial"/>
                <w:sz w:val="20"/>
                <w:szCs w:val="20"/>
              </w:rPr>
              <w:t>Ningún grado</w:t>
            </w:r>
          </w:p>
        </w:tc>
        <w:tc>
          <w:tcPr>
            <w:tcW w:w="859" w:type="dxa"/>
            <w:tcBorders>
              <w:top w:val="nil"/>
              <w:left w:val="nil"/>
              <w:bottom w:val="nil"/>
              <w:right w:val="nil"/>
            </w:tcBorders>
            <w:shd w:val="clear" w:color="000000" w:fill="FFFFFF"/>
            <w:noWrap/>
            <w:vAlign w:val="bottom"/>
            <w:hideMark/>
          </w:tcPr>
          <w:p w14:paraId="75E0820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2887</w:t>
            </w:r>
          </w:p>
        </w:tc>
        <w:tc>
          <w:tcPr>
            <w:tcW w:w="940" w:type="dxa"/>
            <w:tcBorders>
              <w:top w:val="nil"/>
              <w:left w:val="single" w:sz="4" w:space="0" w:color="auto"/>
              <w:bottom w:val="nil"/>
              <w:right w:val="single" w:sz="4" w:space="0" w:color="auto"/>
            </w:tcBorders>
            <w:shd w:val="clear" w:color="000000" w:fill="FFFFFF"/>
            <w:noWrap/>
            <w:vAlign w:val="bottom"/>
            <w:hideMark/>
          </w:tcPr>
          <w:p w14:paraId="40E8E4BD"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2,844</w:t>
            </w:r>
          </w:p>
        </w:tc>
        <w:tc>
          <w:tcPr>
            <w:tcW w:w="1037" w:type="dxa"/>
            <w:tcBorders>
              <w:top w:val="nil"/>
              <w:left w:val="nil"/>
              <w:bottom w:val="nil"/>
              <w:right w:val="nil"/>
            </w:tcBorders>
            <w:shd w:val="clear" w:color="000000" w:fill="FFFFFF"/>
            <w:noWrap/>
            <w:vAlign w:val="bottom"/>
            <w:hideMark/>
          </w:tcPr>
          <w:p w14:paraId="419C084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4.25%</w:t>
            </w:r>
          </w:p>
        </w:tc>
        <w:tc>
          <w:tcPr>
            <w:tcW w:w="1038" w:type="dxa"/>
            <w:tcBorders>
              <w:top w:val="nil"/>
              <w:left w:val="single" w:sz="4" w:space="0" w:color="auto"/>
              <w:bottom w:val="nil"/>
              <w:right w:val="nil"/>
            </w:tcBorders>
            <w:shd w:val="clear" w:color="000000" w:fill="FFFFFF"/>
            <w:noWrap/>
            <w:vAlign w:val="bottom"/>
            <w:hideMark/>
          </w:tcPr>
          <w:p w14:paraId="19F6F2B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3.70%</w:t>
            </w:r>
          </w:p>
        </w:tc>
      </w:tr>
      <w:tr w:rsidR="00A36980" w:rsidRPr="005970E9" w14:paraId="4060238D" w14:textId="77777777" w:rsidTr="00216547">
        <w:trPr>
          <w:trHeight w:val="257"/>
          <w:jc w:val="center"/>
        </w:trPr>
        <w:tc>
          <w:tcPr>
            <w:tcW w:w="2694" w:type="dxa"/>
            <w:tcBorders>
              <w:top w:val="nil"/>
              <w:left w:val="nil"/>
              <w:bottom w:val="nil"/>
              <w:right w:val="single" w:sz="4" w:space="0" w:color="auto"/>
            </w:tcBorders>
            <w:shd w:val="clear" w:color="000000" w:fill="FFFFFF"/>
            <w:noWrap/>
            <w:vAlign w:val="bottom"/>
            <w:hideMark/>
          </w:tcPr>
          <w:p w14:paraId="3F1DD330" w14:textId="77777777" w:rsidR="00A36980" w:rsidRPr="005970E9" w:rsidRDefault="00A36980" w:rsidP="00216547">
            <w:pPr>
              <w:rPr>
                <w:rFonts w:eastAsia="Times New Roman" w:cs="Arial"/>
                <w:sz w:val="20"/>
                <w:szCs w:val="20"/>
              </w:rPr>
            </w:pPr>
            <w:r w:rsidRPr="005970E9">
              <w:rPr>
                <w:rFonts w:eastAsia="Times New Roman" w:cs="Arial"/>
                <w:sz w:val="20"/>
                <w:szCs w:val="20"/>
              </w:rPr>
              <w:t>Primaria</w:t>
            </w:r>
          </w:p>
        </w:tc>
        <w:tc>
          <w:tcPr>
            <w:tcW w:w="859" w:type="dxa"/>
            <w:tcBorders>
              <w:top w:val="nil"/>
              <w:left w:val="nil"/>
              <w:bottom w:val="nil"/>
              <w:right w:val="nil"/>
            </w:tcBorders>
            <w:shd w:val="clear" w:color="000000" w:fill="FFFFFF"/>
            <w:noWrap/>
            <w:vAlign w:val="bottom"/>
            <w:hideMark/>
          </w:tcPr>
          <w:p w14:paraId="763BB59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14626</w:t>
            </w:r>
          </w:p>
        </w:tc>
        <w:tc>
          <w:tcPr>
            <w:tcW w:w="940" w:type="dxa"/>
            <w:tcBorders>
              <w:top w:val="nil"/>
              <w:left w:val="single" w:sz="4" w:space="0" w:color="auto"/>
              <w:bottom w:val="nil"/>
              <w:right w:val="single" w:sz="4" w:space="0" w:color="auto"/>
            </w:tcBorders>
            <w:shd w:val="clear" w:color="000000" w:fill="FFFFFF"/>
            <w:noWrap/>
            <w:vAlign w:val="bottom"/>
            <w:hideMark/>
          </w:tcPr>
          <w:p w14:paraId="6BB199C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11,228</w:t>
            </w:r>
          </w:p>
        </w:tc>
        <w:tc>
          <w:tcPr>
            <w:tcW w:w="1037" w:type="dxa"/>
            <w:tcBorders>
              <w:top w:val="nil"/>
              <w:left w:val="nil"/>
              <w:bottom w:val="nil"/>
              <w:right w:val="nil"/>
            </w:tcBorders>
            <w:shd w:val="clear" w:color="000000" w:fill="FFFFFF"/>
            <w:noWrap/>
            <w:vAlign w:val="bottom"/>
            <w:hideMark/>
          </w:tcPr>
          <w:p w14:paraId="176524F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21.52%</w:t>
            </w:r>
          </w:p>
        </w:tc>
        <w:tc>
          <w:tcPr>
            <w:tcW w:w="1038" w:type="dxa"/>
            <w:tcBorders>
              <w:top w:val="nil"/>
              <w:left w:val="single" w:sz="4" w:space="0" w:color="auto"/>
              <w:bottom w:val="nil"/>
              <w:right w:val="nil"/>
            </w:tcBorders>
            <w:shd w:val="clear" w:color="000000" w:fill="FFFFFF"/>
            <w:noWrap/>
            <w:vAlign w:val="bottom"/>
            <w:hideMark/>
          </w:tcPr>
          <w:p w14:paraId="1E47B7B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14.61%</w:t>
            </w:r>
          </w:p>
        </w:tc>
      </w:tr>
      <w:tr w:rsidR="00A36980" w:rsidRPr="005970E9" w14:paraId="5923537D" w14:textId="77777777" w:rsidTr="00216547">
        <w:trPr>
          <w:trHeight w:val="257"/>
          <w:jc w:val="center"/>
        </w:trPr>
        <w:tc>
          <w:tcPr>
            <w:tcW w:w="2694" w:type="dxa"/>
            <w:tcBorders>
              <w:top w:val="nil"/>
              <w:left w:val="nil"/>
              <w:bottom w:val="nil"/>
              <w:right w:val="single" w:sz="4" w:space="0" w:color="auto"/>
            </w:tcBorders>
            <w:shd w:val="clear" w:color="000000" w:fill="FFFFFF"/>
            <w:noWrap/>
            <w:vAlign w:val="bottom"/>
            <w:hideMark/>
          </w:tcPr>
          <w:p w14:paraId="4340AEEA" w14:textId="77777777" w:rsidR="00A36980" w:rsidRPr="005970E9" w:rsidRDefault="00A36980" w:rsidP="00216547">
            <w:pPr>
              <w:rPr>
                <w:rFonts w:eastAsia="Times New Roman" w:cs="Arial"/>
                <w:sz w:val="20"/>
                <w:szCs w:val="20"/>
              </w:rPr>
            </w:pPr>
            <w:r w:rsidRPr="005970E9">
              <w:rPr>
                <w:rFonts w:eastAsia="Times New Roman" w:cs="Arial"/>
                <w:sz w:val="20"/>
                <w:szCs w:val="20"/>
              </w:rPr>
              <w:t>Premedia</w:t>
            </w:r>
          </w:p>
        </w:tc>
        <w:tc>
          <w:tcPr>
            <w:tcW w:w="859" w:type="dxa"/>
            <w:tcBorders>
              <w:top w:val="nil"/>
              <w:left w:val="nil"/>
              <w:bottom w:val="nil"/>
              <w:right w:val="nil"/>
            </w:tcBorders>
            <w:shd w:val="clear" w:color="000000" w:fill="FFFFFF"/>
            <w:noWrap/>
            <w:vAlign w:val="bottom"/>
            <w:hideMark/>
          </w:tcPr>
          <w:p w14:paraId="238326E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12462</w:t>
            </w:r>
          </w:p>
        </w:tc>
        <w:tc>
          <w:tcPr>
            <w:tcW w:w="940" w:type="dxa"/>
            <w:tcBorders>
              <w:top w:val="nil"/>
              <w:left w:val="single" w:sz="4" w:space="0" w:color="auto"/>
              <w:bottom w:val="nil"/>
              <w:right w:val="single" w:sz="4" w:space="0" w:color="auto"/>
            </w:tcBorders>
            <w:shd w:val="clear" w:color="000000" w:fill="FFFFFF"/>
            <w:noWrap/>
            <w:vAlign w:val="bottom"/>
            <w:hideMark/>
          </w:tcPr>
          <w:p w14:paraId="7978CC0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13,511</w:t>
            </w:r>
          </w:p>
        </w:tc>
        <w:tc>
          <w:tcPr>
            <w:tcW w:w="1037" w:type="dxa"/>
            <w:tcBorders>
              <w:top w:val="nil"/>
              <w:left w:val="nil"/>
              <w:bottom w:val="nil"/>
              <w:right w:val="nil"/>
            </w:tcBorders>
            <w:shd w:val="clear" w:color="000000" w:fill="FFFFFF"/>
            <w:noWrap/>
            <w:vAlign w:val="bottom"/>
            <w:hideMark/>
          </w:tcPr>
          <w:p w14:paraId="2A380D6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18.34%</w:t>
            </w:r>
          </w:p>
        </w:tc>
        <w:tc>
          <w:tcPr>
            <w:tcW w:w="1038" w:type="dxa"/>
            <w:tcBorders>
              <w:top w:val="nil"/>
              <w:left w:val="single" w:sz="4" w:space="0" w:color="auto"/>
              <w:bottom w:val="nil"/>
              <w:right w:val="nil"/>
            </w:tcBorders>
            <w:shd w:val="clear" w:color="000000" w:fill="FFFFFF"/>
            <w:noWrap/>
            <w:vAlign w:val="bottom"/>
            <w:hideMark/>
          </w:tcPr>
          <w:p w14:paraId="4366C86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17.58%</w:t>
            </w:r>
          </w:p>
        </w:tc>
      </w:tr>
      <w:tr w:rsidR="00A36980" w:rsidRPr="005970E9" w14:paraId="02D04230" w14:textId="77777777" w:rsidTr="00216547">
        <w:trPr>
          <w:trHeight w:val="257"/>
          <w:jc w:val="center"/>
        </w:trPr>
        <w:tc>
          <w:tcPr>
            <w:tcW w:w="2694" w:type="dxa"/>
            <w:tcBorders>
              <w:top w:val="nil"/>
              <w:left w:val="nil"/>
              <w:bottom w:val="nil"/>
              <w:right w:val="single" w:sz="4" w:space="0" w:color="auto"/>
            </w:tcBorders>
            <w:shd w:val="clear" w:color="000000" w:fill="FFFFFF"/>
            <w:noWrap/>
            <w:vAlign w:val="bottom"/>
            <w:hideMark/>
          </w:tcPr>
          <w:p w14:paraId="3B46B91A" w14:textId="77777777" w:rsidR="00A36980" w:rsidRPr="005970E9" w:rsidRDefault="00A36980" w:rsidP="00216547">
            <w:pPr>
              <w:rPr>
                <w:rFonts w:eastAsia="Times New Roman" w:cs="Arial"/>
                <w:sz w:val="20"/>
                <w:szCs w:val="20"/>
              </w:rPr>
            </w:pPr>
            <w:r w:rsidRPr="005970E9">
              <w:rPr>
                <w:rFonts w:eastAsia="Times New Roman" w:cs="Arial"/>
                <w:sz w:val="20"/>
                <w:szCs w:val="20"/>
              </w:rPr>
              <w:t>Media</w:t>
            </w:r>
          </w:p>
        </w:tc>
        <w:tc>
          <w:tcPr>
            <w:tcW w:w="859" w:type="dxa"/>
            <w:tcBorders>
              <w:top w:val="nil"/>
              <w:left w:val="nil"/>
              <w:bottom w:val="nil"/>
              <w:right w:val="nil"/>
            </w:tcBorders>
            <w:shd w:val="clear" w:color="000000" w:fill="FFFFFF"/>
            <w:noWrap/>
            <w:vAlign w:val="bottom"/>
            <w:hideMark/>
          </w:tcPr>
          <w:p w14:paraId="2337FA5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21614</w:t>
            </w:r>
          </w:p>
        </w:tc>
        <w:tc>
          <w:tcPr>
            <w:tcW w:w="940" w:type="dxa"/>
            <w:tcBorders>
              <w:top w:val="nil"/>
              <w:left w:val="single" w:sz="4" w:space="0" w:color="auto"/>
              <w:bottom w:val="nil"/>
              <w:right w:val="single" w:sz="4" w:space="0" w:color="auto"/>
            </w:tcBorders>
            <w:shd w:val="clear" w:color="000000" w:fill="FFFFFF"/>
            <w:noWrap/>
            <w:vAlign w:val="bottom"/>
            <w:hideMark/>
          </w:tcPr>
          <w:p w14:paraId="358C3BB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25,875</w:t>
            </w:r>
          </w:p>
        </w:tc>
        <w:tc>
          <w:tcPr>
            <w:tcW w:w="1037" w:type="dxa"/>
            <w:tcBorders>
              <w:top w:val="nil"/>
              <w:left w:val="nil"/>
              <w:bottom w:val="nil"/>
              <w:right w:val="nil"/>
            </w:tcBorders>
            <w:shd w:val="clear" w:color="000000" w:fill="FFFFFF"/>
            <w:noWrap/>
            <w:vAlign w:val="bottom"/>
            <w:hideMark/>
          </w:tcPr>
          <w:p w14:paraId="5FDBC05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31.81%</w:t>
            </w:r>
          </w:p>
        </w:tc>
        <w:tc>
          <w:tcPr>
            <w:tcW w:w="1038" w:type="dxa"/>
            <w:tcBorders>
              <w:top w:val="nil"/>
              <w:left w:val="single" w:sz="4" w:space="0" w:color="auto"/>
              <w:bottom w:val="nil"/>
              <w:right w:val="nil"/>
            </w:tcBorders>
            <w:shd w:val="clear" w:color="000000" w:fill="FFFFFF"/>
            <w:noWrap/>
            <w:vAlign w:val="bottom"/>
            <w:hideMark/>
          </w:tcPr>
          <w:p w14:paraId="0C6E6974"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33.66%</w:t>
            </w:r>
          </w:p>
        </w:tc>
      </w:tr>
      <w:tr w:rsidR="00A36980" w:rsidRPr="005970E9" w14:paraId="3EF262C6" w14:textId="77777777" w:rsidTr="00216547">
        <w:trPr>
          <w:trHeight w:val="257"/>
          <w:jc w:val="center"/>
        </w:trPr>
        <w:tc>
          <w:tcPr>
            <w:tcW w:w="2694" w:type="dxa"/>
            <w:tcBorders>
              <w:top w:val="nil"/>
              <w:left w:val="nil"/>
              <w:bottom w:val="nil"/>
              <w:right w:val="single" w:sz="4" w:space="0" w:color="auto"/>
            </w:tcBorders>
            <w:shd w:val="clear" w:color="000000" w:fill="FFFFFF"/>
            <w:noWrap/>
            <w:vAlign w:val="bottom"/>
            <w:hideMark/>
          </w:tcPr>
          <w:p w14:paraId="0A87E403" w14:textId="77777777" w:rsidR="00A36980" w:rsidRPr="005970E9" w:rsidRDefault="00A36980" w:rsidP="00216547">
            <w:pPr>
              <w:rPr>
                <w:rFonts w:eastAsia="Times New Roman" w:cs="Arial"/>
                <w:sz w:val="20"/>
                <w:szCs w:val="20"/>
              </w:rPr>
            </w:pPr>
            <w:r w:rsidRPr="005970E9">
              <w:rPr>
                <w:rFonts w:eastAsia="Times New Roman" w:cs="Arial"/>
                <w:sz w:val="20"/>
                <w:szCs w:val="20"/>
              </w:rPr>
              <w:t>Universidad</w:t>
            </w:r>
          </w:p>
        </w:tc>
        <w:tc>
          <w:tcPr>
            <w:tcW w:w="859" w:type="dxa"/>
            <w:tcBorders>
              <w:top w:val="nil"/>
              <w:left w:val="nil"/>
              <w:bottom w:val="nil"/>
              <w:right w:val="nil"/>
            </w:tcBorders>
            <w:shd w:val="clear" w:color="000000" w:fill="FFFFFF"/>
            <w:noWrap/>
            <w:vAlign w:val="bottom"/>
            <w:hideMark/>
          </w:tcPr>
          <w:p w14:paraId="1A42FFE4"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13139</w:t>
            </w:r>
          </w:p>
        </w:tc>
        <w:tc>
          <w:tcPr>
            <w:tcW w:w="940" w:type="dxa"/>
            <w:tcBorders>
              <w:top w:val="nil"/>
              <w:left w:val="single" w:sz="4" w:space="0" w:color="auto"/>
              <w:bottom w:val="nil"/>
              <w:right w:val="single" w:sz="4" w:space="0" w:color="auto"/>
            </w:tcBorders>
            <w:shd w:val="clear" w:color="000000" w:fill="FFFFFF"/>
            <w:noWrap/>
            <w:vAlign w:val="bottom"/>
            <w:hideMark/>
          </w:tcPr>
          <w:p w14:paraId="175F8C2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15,321</w:t>
            </w:r>
          </w:p>
        </w:tc>
        <w:tc>
          <w:tcPr>
            <w:tcW w:w="1037" w:type="dxa"/>
            <w:tcBorders>
              <w:top w:val="nil"/>
              <w:left w:val="nil"/>
              <w:bottom w:val="nil"/>
              <w:right w:val="nil"/>
            </w:tcBorders>
            <w:shd w:val="clear" w:color="000000" w:fill="FFFFFF"/>
            <w:noWrap/>
            <w:vAlign w:val="bottom"/>
            <w:hideMark/>
          </w:tcPr>
          <w:p w14:paraId="4790D04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19.33%</w:t>
            </w:r>
          </w:p>
        </w:tc>
        <w:tc>
          <w:tcPr>
            <w:tcW w:w="1038" w:type="dxa"/>
            <w:tcBorders>
              <w:top w:val="nil"/>
              <w:left w:val="single" w:sz="4" w:space="0" w:color="auto"/>
              <w:bottom w:val="nil"/>
              <w:right w:val="nil"/>
            </w:tcBorders>
            <w:shd w:val="clear" w:color="000000" w:fill="FFFFFF"/>
            <w:noWrap/>
            <w:vAlign w:val="bottom"/>
            <w:hideMark/>
          </w:tcPr>
          <w:p w14:paraId="1993320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19.93%</w:t>
            </w:r>
          </w:p>
        </w:tc>
      </w:tr>
      <w:tr w:rsidR="00A36980" w:rsidRPr="005970E9" w14:paraId="6EFA1BF0" w14:textId="77777777" w:rsidTr="00216547">
        <w:trPr>
          <w:trHeight w:val="257"/>
          <w:jc w:val="center"/>
        </w:trPr>
        <w:tc>
          <w:tcPr>
            <w:tcW w:w="2694" w:type="dxa"/>
            <w:tcBorders>
              <w:top w:val="nil"/>
              <w:left w:val="nil"/>
              <w:bottom w:val="nil"/>
              <w:right w:val="single" w:sz="4" w:space="0" w:color="auto"/>
            </w:tcBorders>
            <w:shd w:val="clear" w:color="000000" w:fill="FFFFFF"/>
            <w:noWrap/>
            <w:vAlign w:val="bottom"/>
            <w:hideMark/>
          </w:tcPr>
          <w:p w14:paraId="73C41CEB" w14:textId="77777777" w:rsidR="00A36980" w:rsidRPr="005970E9" w:rsidRDefault="00A36980" w:rsidP="00216547">
            <w:pPr>
              <w:rPr>
                <w:rFonts w:eastAsia="Times New Roman" w:cs="Arial"/>
                <w:sz w:val="20"/>
                <w:szCs w:val="20"/>
              </w:rPr>
            </w:pPr>
            <w:r w:rsidRPr="005970E9">
              <w:rPr>
                <w:rFonts w:eastAsia="Times New Roman" w:cs="Arial"/>
                <w:sz w:val="20"/>
                <w:szCs w:val="20"/>
              </w:rPr>
              <w:t>Posgrado</w:t>
            </w:r>
          </w:p>
        </w:tc>
        <w:tc>
          <w:tcPr>
            <w:tcW w:w="859" w:type="dxa"/>
            <w:tcBorders>
              <w:top w:val="nil"/>
              <w:left w:val="nil"/>
              <w:bottom w:val="nil"/>
              <w:right w:val="nil"/>
            </w:tcBorders>
            <w:shd w:val="clear" w:color="000000" w:fill="FFFFFF"/>
            <w:noWrap/>
            <w:vAlign w:val="bottom"/>
            <w:hideMark/>
          </w:tcPr>
          <w:p w14:paraId="45965F2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618</w:t>
            </w:r>
          </w:p>
        </w:tc>
        <w:tc>
          <w:tcPr>
            <w:tcW w:w="940" w:type="dxa"/>
            <w:tcBorders>
              <w:top w:val="nil"/>
              <w:left w:val="single" w:sz="4" w:space="0" w:color="auto"/>
              <w:bottom w:val="nil"/>
              <w:right w:val="single" w:sz="4" w:space="0" w:color="auto"/>
            </w:tcBorders>
            <w:shd w:val="clear" w:color="000000" w:fill="FFFFFF"/>
            <w:noWrap/>
            <w:vAlign w:val="bottom"/>
            <w:hideMark/>
          </w:tcPr>
          <w:p w14:paraId="34CD37B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760</w:t>
            </w:r>
          </w:p>
        </w:tc>
        <w:tc>
          <w:tcPr>
            <w:tcW w:w="1037" w:type="dxa"/>
            <w:tcBorders>
              <w:top w:val="nil"/>
              <w:left w:val="nil"/>
              <w:bottom w:val="nil"/>
              <w:right w:val="nil"/>
            </w:tcBorders>
            <w:shd w:val="clear" w:color="000000" w:fill="FFFFFF"/>
            <w:noWrap/>
            <w:vAlign w:val="bottom"/>
            <w:hideMark/>
          </w:tcPr>
          <w:p w14:paraId="3FDEDAB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0.91%</w:t>
            </w:r>
          </w:p>
        </w:tc>
        <w:tc>
          <w:tcPr>
            <w:tcW w:w="1038" w:type="dxa"/>
            <w:tcBorders>
              <w:top w:val="nil"/>
              <w:left w:val="single" w:sz="4" w:space="0" w:color="auto"/>
              <w:bottom w:val="nil"/>
              <w:right w:val="nil"/>
            </w:tcBorders>
            <w:shd w:val="clear" w:color="000000" w:fill="FFFFFF"/>
            <w:noWrap/>
            <w:vAlign w:val="bottom"/>
            <w:hideMark/>
          </w:tcPr>
          <w:p w14:paraId="637A898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0.99%</w:t>
            </w:r>
          </w:p>
        </w:tc>
      </w:tr>
      <w:tr w:rsidR="00A36980" w:rsidRPr="005970E9" w14:paraId="59ECDF01" w14:textId="77777777" w:rsidTr="00216547">
        <w:trPr>
          <w:trHeight w:val="257"/>
          <w:jc w:val="center"/>
        </w:trPr>
        <w:tc>
          <w:tcPr>
            <w:tcW w:w="2694" w:type="dxa"/>
            <w:tcBorders>
              <w:top w:val="nil"/>
              <w:left w:val="nil"/>
              <w:bottom w:val="nil"/>
              <w:right w:val="single" w:sz="4" w:space="0" w:color="auto"/>
            </w:tcBorders>
            <w:shd w:val="clear" w:color="000000" w:fill="FFFFFF"/>
            <w:noWrap/>
            <w:vAlign w:val="bottom"/>
            <w:hideMark/>
          </w:tcPr>
          <w:p w14:paraId="0C0EAC9E" w14:textId="77777777" w:rsidR="00A36980" w:rsidRPr="005970E9" w:rsidRDefault="00A36980" w:rsidP="00216547">
            <w:pPr>
              <w:rPr>
                <w:rFonts w:eastAsia="Times New Roman" w:cs="Arial"/>
                <w:sz w:val="20"/>
                <w:szCs w:val="20"/>
              </w:rPr>
            </w:pPr>
            <w:r w:rsidRPr="005970E9">
              <w:rPr>
                <w:rFonts w:eastAsia="Times New Roman" w:cs="Arial"/>
                <w:sz w:val="20"/>
                <w:szCs w:val="20"/>
              </w:rPr>
              <w:t>No Universitaria</w:t>
            </w:r>
          </w:p>
        </w:tc>
        <w:tc>
          <w:tcPr>
            <w:tcW w:w="859" w:type="dxa"/>
            <w:tcBorders>
              <w:top w:val="nil"/>
              <w:left w:val="nil"/>
              <w:bottom w:val="nil"/>
              <w:right w:val="nil"/>
            </w:tcBorders>
            <w:shd w:val="clear" w:color="000000" w:fill="FFFFFF"/>
            <w:noWrap/>
            <w:vAlign w:val="bottom"/>
            <w:hideMark/>
          </w:tcPr>
          <w:p w14:paraId="2A00E89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233</w:t>
            </w:r>
          </w:p>
        </w:tc>
        <w:tc>
          <w:tcPr>
            <w:tcW w:w="940" w:type="dxa"/>
            <w:tcBorders>
              <w:top w:val="nil"/>
              <w:left w:val="single" w:sz="4" w:space="0" w:color="auto"/>
              <w:bottom w:val="nil"/>
              <w:right w:val="single" w:sz="4" w:space="0" w:color="auto"/>
            </w:tcBorders>
            <w:shd w:val="clear" w:color="000000" w:fill="FFFFFF"/>
            <w:noWrap/>
            <w:vAlign w:val="bottom"/>
            <w:hideMark/>
          </w:tcPr>
          <w:p w14:paraId="7FE6BAD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167</w:t>
            </w:r>
          </w:p>
        </w:tc>
        <w:tc>
          <w:tcPr>
            <w:tcW w:w="1037" w:type="dxa"/>
            <w:tcBorders>
              <w:top w:val="nil"/>
              <w:left w:val="nil"/>
              <w:bottom w:val="nil"/>
              <w:right w:val="nil"/>
            </w:tcBorders>
            <w:shd w:val="clear" w:color="000000" w:fill="FFFFFF"/>
            <w:noWrap/>
            <w:vAlign w:val="bottom"/>
            <w:hideMark/>
          </w:tcPr>
          <w:p w14:paraId="519BDFB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0.34%</w:t>
            </w:r>
          </w:p>
        </w:tc>
        <w:tc>
          <w:tcPr>
            <w:tcW w:w="1038" w:type="dxa"/>
            <w:tcBorders>
              <w:top w:val="nil"/>
              <w:left w:val="single" w:sz="4" w:space="0" w:color="auto"/>
              <w:bottom w:val="nil"/>
              <w:right w:val="nil"/>
            </w:tcBorders>
            <w:shd w:val="clear" w:color="000000" w:fill="FFFFFF"/>
            <w:noWrap/>
            <w:vAlign w:val="bottom"/>
            <w:hideMark/>
          </w:tcPr>
          <w:p w14:paraId="63E16BA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0.22%</w:t>
            </w:r>
          </w:p>
        </w:tc>
      </w:tr>
      <w:tr w:rsidR="00A36980" w:rsidRPr="005970E9" w14:paraId="62990CFF" w14:textId="77777777" w:rsidTr="00216547">
        <w:trPr>
          <w:trHeight w:val="257"/>
          <w:jc w:val="center"/>
        </w:trPr>
        <w:tc>
          <w:tcPr>
            <w:tcW w:w="2694" w:type="dxa"/>
            <w:tcBorders>
              <w:top w:val="nil"/>
              <w:left w:val="nil"/>
              <w:bottom w:val="nil"/>
              <w:right w:val="single" w:sz="4" w:space="0" w:color="auto"/>
            </w:tcBorders>
            <w:shd w:val="clear" w:color="000000" w:fill="FFFFFF"/>
            <w:noWrap/>
            <w:vAlign w:val="bottom"/>
            <w:hideMark/>
          </w:tcPr>
          <w:p w14:paraId="6F341FAC" w14:textId="77777777" w:rsidR="00A36980" w:rsidRPr="005970E9" w:rsidRDefault="00A36980" w:rsidP="00216547">
            <w:pPr>
              <w:rPr>
                <w:rFonts w:eastAsia="Times New Roman" w:cs="Arial"/>
                <w:sz w:val="20"/>
                <w:szCs w:val="20"/>
              </w:rPr>
            </w:pPr>
            <w:r w:rsidRPr="005970E9">
              <w:rPr>
                <w:rFonts w:eastAsia="Times New Roman" w:cs="Arial"/>
                <w:sz w:val="20"/>
                <w:szCs w:val="20"/>
              </w:rPr>
              <w:t>Vocacional</w:t>
            </w:r>
          </w:p>
        </w:tc>
        <w:tc>
          <w:tcPr>
            <w:tcW w:w="859" w:type="dxa"/>
            <w:tcBorders>
              <w:top w:val="nil"/>
              <w:left w:val="nil"/>
              <w:bottom w:val="nil"/>
              <w:right w:val="nil"/>
            </w:tcBorders>
            <w:shd w:val="clear" w:color="000000" w:fill="FFFFFF"/>
            <w:noWrap/>
            <w:vAlign w:val="bottom"/>
            <w:hideMark/>
          </w:tcPr>
          <w:p w14:paraId="3DB0026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85</w:t>
            </w:r>
          </w:p>
        </w:tc>
        <w:tc>
          <w:tcPr>
            <w:tcW w:w="940" w:type="dxa"/>
            <w:tcBorders>
              <w:top w:val="nil"/>
              <w:left w:val="single" w:sz="4" w:space="0" w:color="auto"/>
              <w:bottom w:val="nil"/>
              <w:right w:val="single" w:sz="4" w:space="0" w:color="auto"/>
            </w:tcBorders>
            <w:shd w:val="clear" w:color="000000" w:fill="FFFFFF"/>
            <w:noWrap/>
            <w:vAlign w:val="bottom"/>
            <w:hideMark/>
          </w:tcPr>
          <w:p w14:paraId="2459A34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26</w:t>
            </w:r>
          </w:p>
        </w:tc>
        <w:tc>
          <w:tcPr>
            <w:tcW w:w="1037" w:type="dxa"/>
            <w:tcBorders>
              <w:top w:val="nil"/>
              <w:left w:val="nil"/>
              <w:bottom w:val="nil"/>
              <w:right w:val="nil"/>
            </w:tcBorders>
            <w:shd w:val="clear" w:color="000000" w:fill="FFFFFF"/>
            <w:noWrap/>
            <w:vAlign w:val="bottom"/>
            <w:hideMark/>
          </w:tcPr>
          <w:p w14:paraId="1DDAB86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0.13%</w:t>
            </w:r>
          </w:p>
        </w:tc>
        <w:tc>
          <w:tcPr>
            <w:tcW w:w="1038" w:type="dxa"/>
            <w:tcBorders>
              <w:top w:val="nil"/>
              <w:left w:val="single" w:sz="4" w:space="0" w:color="auto"/>
              <w:bottom w:val="nil"/>
              <w:right w:val="nil"/>
            </w:tcBorders>
            <w:shd w:val="clear" w:color="000000" w:fill="FFFFFF"/>
            <w:noWrap/>
            <w:vAlign w:val="bottom"/>
            <w:hideMark/>
          </w:tcPr>
          <w:p w14:paraId="6AE15C2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0.03%</w:t>
            </w:r>
          </w:p>
        </w:tc>
      </w:tr>
      <w:tr w:rsidR="00A36980" w:rsidRPr="005970E9" w14:paraId="2F129D45" w14:textId="77777777" w:rsidTr="00216547">
        <w:trPr>
          <w:trHeight w:val="257"/>
          <w:jc w:val="center"/>
        </w:trPr>
        <w:tc>
          <w:tcPr>
            <w:tcW w:w="2694" w:type="dxa"/>
            <w:tcBorders>
              <w:top w:val="nil"/>
              <w:left w:val="nil"/>
              <w:bottom w:val="nil"/>
              <w:right w:val="single" w:sz="4" w:space="0" w:color="auto"/>
            </w:tcBorders>
            <w:shd w:val="clear" w:color="000000" w:fill="FFFFFF"/>
            <w:noWrap/>
            <w:vAlign w:val="bottom"/>
            <w:hideMark/>
          </w:tcPr>
          <w:p w14:paraId="249481C2" w14:textId="77777777" w:rsidR="00A36980" w:rsidRPr="005970E9" w:rsidRDefault="00A36980" w:rsidP="00216547">
            <w:pPr>
              <w:rPr>
                <w:rFonts w:eastAsia="Times New Roman" w:cs="Arial"/>
                <w:sz w:val="20"/>
                <w:szCs w:val="20"/>
              </w:rPr>
            </w:pPr>
            <w:r w:rsidRPr="005970E9">
              <w:rPr>
                <w:rFonts w:eastAsia="Times New Roman" w:cs="Arial"/>
                <w:sz w:val="20"/>
                <w:szCs w:val="20"/>
              </w:rPr>
              <w:t>Enseñanza Especial</w:t>
            </w:r>
          </w:p>
        </w:tc>
        <w:tc>
          <w:tcPr>
            <w:tcW w:w="859" w:type="dxa"/>
            <w:tcBorders>
              <w:top w:val="nil"/>
              <w:left w:val="nil"/>
              <w:bottom w:val="nil"/>
              <w:right w:val="nil"/>
            </w:tcBorders>
            <w:shd w:val="clear" w:color="000000" w:fill="FFFFFF"/>
            <w:noWrap/>
            <w:vAlign w:val="bottom"/>
            <w:hideMark/>
          </w:tcPr>
          <w:p w14:paraId="7042B14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19</w:t>
            </w:r>
          </w:p>
        </w:tc>
        <w:tc>
          <w:tcPr>
            <w:tcW w:w="940" w:type="dxa"/>
            <w:tcBorders>
              <w:top w:val="nil"/>
              <w:left w:val="single" w:sz="4" w:space="0" w:color="auto"/>
              <w:bottom w:val="nil"/>
              <w:right w:val="single" w:sz="4" w:space="0" w:color="auto"/>
            </w:tcBorders>
            <w:shd w:val="clear" w:color="000000" w:fill="FFFFFF"/>
            <w:noWrap/>
            <w:vAlign w:val="bottom"/>
            <w:hideMark/>
          </w:tcPr>
          <w:p w14:paraId="4997439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13</w:t>
            </w:r>
          </w:p>
        </w:tc>
        <w:tc>
          <w:tcPr>
            <w:tcW w:w="1037" w:type="dxa"/>
            <w:tcBorders>
              <w:top w:val="nil"/>
              <w:left w:val="nil"/>
              <w:bottom w:val="nil"/>
              <w:right w:val="nil"/>
            </w:tcBorders>
            <w:shd w:val="clear" w:color="000000" w:fill="FFFFFF"/>
            <w:noWrap/>
            <w:vAlign w:val="bottom"/>
            <w:hideMark/>
          </w:tcPr>
          <w:p w14:paraId="4B09A3A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0.03%</w:t>
            </w:r>
          </w:p>
        </w:tc>
        <w:tc>
          <w:tcPr>
            <w:tcW w:w="1038" w:type="dxa"/>
            <w:tcBorders>
              <w:top w:val="nil"/>
              <w:left w:val="single" w:sz="4" w:space="0" w:color="auto"/>
              <w:bottom w:val="nil"/>
              <w:right w:val="nil"/>
            </w:tcBorders>
            <w:shd w:val="clear" w:color="000000" w:fill="FFFFFF"/>
            <w:noWrap/>
            <w:vAlign w:val="bottom"/>
            <w:hideMark/>
          </w:tcPr>
          <w:p w14:paraId="4BD7C0F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0.02%</w:t>
            </w:r>
          </w:p>
        </w:tc>
      </w:tr>
      <w:tr w:rsidR="00A36980" w:rsidRPr="005970E9" w14:paraId="307E5B17" w14:textId="77777777" w:rsidTr="00216547">
        <w:trPr>
          <w:trHeight w:val="257"/>
          <w:jc w:val="center"/>
        </w:trPr>
        <w:tc>
          <w:tcPr>
            <w:tcW w:w="2694" w:type="dxa"/>
            <w:tcBorders>
              <w:top w:val="nil"/>
              <w:left w:val="nil"/>
              <w:bottom w:val="single" w:sz="4" w:space="0" w:color="auto"/>
              <w:right w:val="single" w:sz="4" w:space="0" w:color="auto"/>
            </w:tcBorders>
            <w:shd w:val="clear" w:color="000000" w:fill="FFFFFF"/>
            <w:noWrap/>
            <w:vAlign w:val="bottom"/>
            <w:hideMark/>
          </w:tcPr>
          <w:p w14:paraId="78283C3A" w14:textId="77777777" w:rsidR="00A36980" w:rsidRPr="005970E9" w:rsidRDefault="00A36980" w:rsidP="00216547">
            <w:pPr>
              <w:rPr>
                <w:rFonts w:eastAsia="Times New Roman" w:cs="Arial"/>
                <w:sz w:val="20"/>
                <w:szCs w:val="20"/>
              </w:rPr>
            </w:pPr>
            <w:r w:rsidRPr="005970E9">
              <w:rPr>
                <w:rFonts w:eastAsia="Times New Roman" w:cs="Arial"/>
                <w:sz w:val="20"/>
                <w:szCs w:val="20"/>
              </w:rPr>
              <w:t>No especificado</w:t>
            </w:r>
          </w:p>
        </w:tc>
        <w:tc>
          <w:tcPr>
            <w:tcW w:w="859" w:type="dxa"/>
            <w:tcBorders>
              <w:top w:val="nil"/>
              <w:left w:val="nil"/>
              <w:bottom w:val="single" w:sz="4" w:space="0" w:color="auto"/>
              <w:right w:val="single" w:sz="4" w:space="0" w:color="auto"/>
            </w:tcBorders>
            <w:shd w:val="clear" w:color="000000" w:fill="FFFFFF"/>
            <w:noWrap/>
            <w:vAlign w:val="bottom"/>
            <w:hideMark/>
          </w:tcPr>
          <w:p w14:paraId="3A9B66F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1810</w:t>
            </w:r>
          </w:p>
        </w:tc>
        <w:tc>
          <w:tcPr>
            <w:tcW w:w="940" w:type="dxa"/>
            <w:tcBorders>
              <w:top w:val="nil"/>
              <w:left w:val="nil"/>
              <w:bottom w:val="single" w:sz="4" w:space="0" w:color="auto"/>
              <w:right w:val="single" w:sz="4" w:space="0" w:color="auto"/>
            </w:tcBorders>
            <w:shd w:val="clear" w:color="000000" w:fill="FFFFFF"/>
            <w:noWrap/>
            <w:vAlign w:val="bottom"/>
            <w:hideMark/>
          </w:tcPr>
          <w:p w14:paraId="76C91EB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3,724</w:t>
            </w:r>
          </w:p>
        </w:tc>
        <w:tc>
          <w:tcPr>
            <w:tcW w:w="1037" w:type="dxa"/>
            <w:tcBorders>
              <w:top w:val="nil"/>
              <w:left w:val="nil"/>
              <w:bottom w:val="single" w:sz="4" w:space="0" w:color="auto"/>
              <w:right w:val="single" w:sz="4" w:space="0" w:color="auto"/>
            </w:tcBorders>
            <w:shd w:val="clear" w:color="000000" w:fill="FFFFFF"/>
            <w:noWrap/>
            <w:vAlign w:val="bottom"/>
            <w:hideMark/>
          </w:tcPr>
          <w:p w14:paraId="1CAC334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2.66%</w:t>
            </w:r>
          </w:p>
        </w:tc>
        <w:tc>
          <w:tcPr>
            <w:tcW w:w="1038" w:type="dxa"/>
            <w:tcBorders>
              <w:top w:val="nil"/>
              <w:left w:val="nil"/>
              <w:bottom w:val="single" w:sz="4" w:space="0" w:color="auto"/>
              <w:right w:val="nil"/>
            </w:tcBorders>
            <w:shd w:val="clear" w:color="000000" w:fill="FFFFFF"/>
            <w:noWrap/>
            <w:vAlign w:val="bottom"/>
            <w:hideMark/>
          </w:tcPr>
          <w:p w14:paraId="15386B7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4.84%</w:t>
            </w:r>
          </w:p>
        </w:tc>
      </w:tr>
      <w:tr w:rsidR="00A36980" w:rsidRPr="005970E9" w14:paraId="1A67B8F6" w14:textId="77777777" w:rsidTr="00216547">
        <w:trPr>
          <w:trHeight w:val="599"/>
          <w:jc w:val="center"/>
        </w:trPr>
        <w:tc>
          <w:tcPr>
            <w:tcW w:w="6568" w:type="dxa"/>
            <w:gridSpan w:val="5"/>
            <w:tcBorders>
              <w:top w:val="nil"/>
              <w:left w:val="nil"/>
              <w:bottom w:val="nil"/>
              <w:right w:val="nil"/>
            </w:tcBorders>
            <w:shd w:val="clear" w:color="000000" w:fill="F2F2F2"/>
            <w:vAlign w:val="center"/>
            <w:hideMark/>
          </w:tcPr>
          <w:p w14:paraId="7A794C0E" w14:textId="77777777" w:rsidR="00A36980" w:rsidRPr="005970E9" w:rsidRDefault="00A36980" w:rsidP="00216547">
            <w:pPr>
              <w:rPr>
                <w:rFonts w:eastAsia="Times New Roman" w:cs="Arial"/>
                <w:sz w:val="20"/>
                <w:szCs w:val="20"/>
              </w:rPr>
            </w:pPr>
            <w:r w:rsidRPr="005970E9">
              <w:rPr>
                <w:rFonts w:eastAsia="Times New Roman" w:cs="Arial"/>
                <w:sz w:val="20"/>
                <w:szCs w:val="20"/>
              </w:rPr>
              <w:t xml:space="preserve">Fuente: INEC, Nacimientos Vivos, según provincia y comarca indígena de residencia: año 2018. Los datos </w:t>
            </w:r>
            <w:r w:rsidR="00BD695C" w:rsidRPr="005970E9">
              <w:rPr>
                <w:rFonts w:eastAsia="Times New Roman" w:cs="Arial"/>
                <w:sz w:val="20"/>
                <w:szCs w:val="20"/>
              </w:rPr>
              <w:t>publicados corresponden</w:t>
            </w:r>
            <w:r w:rsidRPr="005970E9">
              <w:rPr>
                <w:rFonts w:eastAsia="Times New Roman" w:cs="Arial"/>
                <w:sz w:val="20"/>
                <w:szCs w:val="20"/>
              </w:rPr>
              <w:t xml:space="preserve"> a   </w:t>
            </w:r>
            <w:r w:rsidR="00BD695C" w:rsidRPr="005970E9">
              <w:rPr>
                <w:rFonts w:eastAsia="Times New Roman" w:cs="Arial"/>
                <w:sz w:val="20"/>
                <w:szCs w:val="20"/>
              </w:rPr>
              <w:t>información recopilada</w:t>
            </w:r>
            <w:r w:rsidRPr="005970E9">
              <w:rPr>
                <w:rFonts w:eastAsia="Times New Roman" w:cs="Arial"/>
                <w:sz w:val="20"/>
                <w:szCs w:val="20"/>
              </w:rPr>
              <w:t xml:space="preserve"> </w:t>
            </w:r>
            <w:r w:rsidR="00BD695C" w:rsidRPr="005970E9">
              <w:rPr>
                <w:rFonts w:eastAsia="Times New Roman" w:cs="Arial"/>
                <w:sz w:val="20"/>
                <w:szCs w:val="20"/>
              </w:rPr>
              <w:t>con base en</w:t>
            </w:r>
            <w:r w:rsidRPr="005970E9">
              <w:rPr>
                <w:rFonts w:eastAsia="Times New Roman" w:cs="Arial"/>
                <w:sz w:val="20"/>
                <w:szCs w:val="20"/>
              </w:rPr>
              <w:t xml:space="preserve"> los </w:t>
            </w:r>
            <w:r w:rsidR="00BD695C" w:rsidRPr="005970E9">
              <w:rPr>
                <w:rFonts w:eastAsia="Times New Roman" w:cs="Arial"/>
                <w:sz w:val="20"/>
                <w:szCs w:val="20"/>
              </w:rPr>
              <w:t>registros administrativos de</w:t>
            </w:r>
            <w:r w:rsidRPr="005970E9">
              <w:rPr>
                <w:rFonts w:eastAsia="Times New Roman" w:cs="Arial"/>
                <w:sz w:val="20"/>
                <w:szCs w:val="20"/>
              </w:rPr>
              <w:t xml:space="preserve"> las instalaciones de salud </w:t>
            </w:r>
          </w:p>
        </w:tc>
      </w:tr>
    </w:tbl>
    <w:p w14:paraId="182F8338" w14:textId="3016D234" w:rsidR="00A36980" w:rsidRPr="005970E9" w:rsidRDefault="00A36980" w:rsidP="00A36980">
      <w:pPr>
        <w:ind w:left="-567" w:right="-568"/>
        <w:jc w:val="center"/>
        <w:rPr>
          <w:rFonts w:cstheme="minorBidi"/>
          <w:lang w:eastAsia="en-US"/>
        </w:rPr>
      </w:pPr>
    </w:p>
    <w:p w14:paraId="656EEFFB" w14:textId="77777777" w:rsidR="00A36980" w:rsidRPr="005970E9" w:rsidRDefault="00A36980" w:rsidP="00A36980">
      <w:pPr>
        <w:jc w:val="center"/>
        <w:rPr>
          <w:rFonts w:cs="TheSans-3Light"/>
        </w:rPr>
      </w:pPr>
    </w:p>
    <w:p w14:paraId="6BF94F44" w14:textId="043C43AC" w:rsidR="00A36980" w:rsidRPr="005970E9" w:rsidRDefault="00A36980" w:rsidP="00306A6C">
      <w:pPr>
        <w:spacing w:before="120" w:after="120" w:line="276" w:lineRule="auto"/>
        <w:jc w:val="both"/>
        <w:rPr>
          <w:rFonts w:cs="TheSans-3Light"/>
        </w:rPr>
      </w:pPr>
      <w:r w:rsidRPr="005970E9">
        <w:rPr>
          <w:rFonts w:cs="TheSans-3Light"/>
        </w:rPr>
        <w:t>Un indicador muy importante de salud, referente a la cantidad de nacimientos vivos es la proporción de partos atendidos por personal sanitario especializado, el cual aumento en 498 casos de partos sin asistencia profesional en el 2018 con respecto al 2010. La mayor cantidad de casos continúa reflejándose en las áreas comarcales, donde aumentó de un 57.81% de casos a un 65.06% en el mismo periodo (Ver Cuadro</w:t>
      </w:r>
      <w:r w:rsidR="000A44C1" w:rsidRPr="005970E9">
        <w:rPr>
          <w:rFonts w:cs="TheSans-3Light"/>
        </w:rPr>
        <w:t xml:space="preserve"> </w:t>
      </w:r>
      <w:r w:rsidR="00815D3E">
        <w:rPr>
          <w:rFonts w:cs="TheSans-3Light"/>
        </w:rPr>
        <w:t>9</w:t>
      </w:r>
      <w:r w:rsidRPr="005970E9">
        <w:rPr>
          <w:rFonts w:cs="TheSans-3Light"/>
        </w:rPr>
        <w:t xml:space="preserve"> y Gráfica No.6.)</w:t>
      </w:r>
      <w:r w:rsidR="001949A6" w:rsidRPr="005970E9">
        <w:rPr>
          <w:rFonts w:cs="TheSans-3Light"/>
        </w:rPr>
        <w:t>.</w:t>
      </w:r>
    </w:p>
    <w:p w14:paraId="3FD0D8DF" w14:textId="77777777" w:rsidR="00500278" w:rsidRPr="005970E9" w:rsidRDefault="00500278" w:rsidP="00306A6C">
      <w:pPr>
        <w:spacing w:before="120" w:after="120" w:line="276" w:lineRule="auto"/>
        <w:jc w:val="both"/>
        <w:rPr>
          <w:rFonts w:cs="TheSans-3Light"/>
        </w:rPr>
      </w:pPr>
    </w:p>
    <w:p w14:paraId="7EB98526" w14:textId="2C4E32B0" w:rsidR="000A44C1" w:rsidRPr="005970E9" w:rsidRDefault="0049052D" w:rsidP="0049052D">
      <w:pPr>
        <w:pStyle w:val="Caption"/>
        <w:rPr>
          <w:rFonts w:ascii="Century Schoolbook" w:hAnsi="Century Schoolbook" w:cs="TheSans-3Light"/>
          <w:i w:val="0"/>
          <w:iCs w:val="0"/>
          <w:sz w:val="20"/>
          <w:szCs w:val="20"/>
        </w:rPr>
      </w:pPr>
      <w:bookmarkStart w:id="190" w:name="_Toc42549175"/>
      <w:r w:rsidRPr="005970E9">
        <w:rPr>
          <w:rFonts w:ascii="Century Schoolbook" w:hAnsi="Century Schoolbook"/>
          <w:i w:val="0"/>
          <w:iCs w:val="0"/>
        </w:rPr>
        <w:t xml:space="preserve">Cuadro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Cuadro \* ARABIC </w:instrText>
      </w:r>
      <w:r w:rsidRPr="005970E9">
        <w:rPr>
          <w:rFonts w:ascii="Century Schoolbook" w:hAnsi="Century Schoolbook"/>
          <w:i w:val="0"/>
          <w:iCs w:val="0"/>
        </w:rPr>
        <w:fldChar w:fldCharType="separate"/>
      </w:r>
      <w:r w:rsidR="00C5422E" w:rsidRPr="005970E9">
        <w:rPr>
          <w:rFonts w:ascii="Century Schoolbook" w:hAnsi="Century Schoolbook"/>
          <w:i w:val="0"/>
          <w:iCs w:val="0"/>
          <w:noProof/>
        </w:rPr>
        <w:t>9</w:t>
      </w:r>
      <w:r w:rsidRPr="005970E9">
        <w:rPr>
          <w:rFonts w:ascii="Century Schoolbook" w:hAnsi="Century Schoolbook"/>
          <w:i w:val="0"/>
          <w:iCs w:val="0"/>
        </w:rPr>
        <w:fldChar w:fldCharType="end"/>
      </w:r>
      <w:r w:rsidR="000A44C1" w:rsidRPr="005970E9">
        <w:rPr>
          <w:rFonts w:ascii="Century Schoolbook" w:hAnsi="Century Schoolbook"/>
          <w:i w:val="0"/>
          <w:iCs w:val="0"/>
          <w:sz w:val="20"/>
          <w:szCs w:val="20"/>
        </w:rPr>
        <w:t xml:space="preserve">. </w:t>
      </w:r>
      <w:r w:rsidR="000A44C1" w:rsidRPr="005970E9">
        <w:rPr>
          <w:rFonts w:ascii="Century Schoolbook" w:eastAsia="Times New Roman" w:hAnsi="Century Schoolbook" w:cs="Arial"/>
          <w:i w:val="0"/>
          <w:iCs w:val="0"/>
          <w:sz w:val="20"/>
          <w:szCs w:val="20"/>
        </w:rPr>
        <w:t>NACIMIENTOS VIVOS EN LA REPÚBLICA, POR ASISTENCIA PROFESIONAL, SEGÚN ÁREA, PROVINCIA Y COMARCA: AÑOS 2010-2018</w:t>
      </w:r>
      <w:bookmarkEnd w:id="190"/>
    </w:p>
    <w:tbl>
      <w:tblPr>
        <w:tblW w:w="8433" w:type="dxa"/>
        <w:jc w:val="center"/>
        <w:tblCellMar>
          <w:left w:w="70" w:type="dxa"/>
          <w:right w:w="70" w:type="dxa"/>
        </w:tblCellMar>
        <w:tblLook w:val="04A0" w:firstRow="1" w:lastRow="0" w:firstColumn="1" w:lastColumn="0" w:noHBand="0" w:noVBand="1"/>
      </w:tblPr>
      <w:tblGrid>
        <w:gridCol w:w="2320"/>
        <w:gridCol w:w="1024"/>
        <w:gridCol w:w="1120"/>
        <w:gridCol w:w="1001"/>
        <w:gridCol w:w="1074"/>
        <w:gridCol w:w="955"/>
        <w:gridCol w:w="939"/>
      </w:tblGrid>
      <w:tr w:rsidR="00A36980" w:rsidRPr="005970E9" w14:paraId="4BC4380C" w14:textId="77777777" w:rsidTr="000A44C1">
        <w:trPr>
          <w:trHeight w:val="398"/>
          <w:jc w:val="center"/>
        </w:trPr>
        <w:tc>
          <w:tcPr>
            <w:tcW w:w="2320" w:type="dxa"/>
            <w:vMerge w:val="restart"/>
            <w:tcBorders>
              <w:top w:val="single" w:sz="4" w:space="0" w:color="auto"/>
              <w:left w:val="nil"/>
              <w:bottom w:val="single" w:sz="4" w:space="0" w:color="000000"/>
              <w:right w:val="single" w:sz="4" w:space="0" w:color="auto"/>
            </w:tcBorders>
            <w:shd w:val="clear" w:color="auto" w:fill="CCC0D9" w:themeFill="accent4" w:themeFillTint="66"/>
            <w:vAlign w:val="center"/>
            <w:hideMark/>
          </w:tcPr>
          <w:p w14:paraId="375D0B6D"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 xml:space="preserve">Área, provincia y comarca </w:t>
            </w:r>
          </w:p>
        </w:tc>
        <w:tc>
          <w:tcPr>
            <w:tcW w:w="2144" w:type="dxa"/>
            <w:gridSpan w:val="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078C3004" w14:textId="77777777" w:rsidR="00A36980" w:rsidRPr="005970E9" w:rsidRDefault="00D079AB" w:rsidP="00216547">
            <w:pPr>
              <w:jc w:val="center"/>
              <w:rPr>
                <w:rFonts w:eastAsia="Times New Roman" w:cs="Arial"/>
                <w:b/>
                <w:bCs/>
                <w:sz w:val="20"/>
                <w:szCs w:val="20"/>
              </w:rPr>
            </w:pPr>
            <w:r w:rsidRPr="005970E9">
              <w:rPr>
                <w:rFonts w:eastAsia="Times New Roman" w:cs="Arial"/>
                <w:b/>
                <w:bCs/>
                <w:sz w:val="20"/>
                <w:szCs w:val="20"/>
              </w:rPr>
              <w:t>Total,</w:t>
            </w:r>
            <w:r w:rsidR="00A36980" w:rsidRPr="005970E9">
              <w:rPr>
                <w:rFonts w:eastAsia="Times New Roman" w:cs="Arial"/>
                <w:b/>
                <w:bCs/>
                <w:sz w:val="20"/>
                <w:szCs w:val="20"/>
              </w:rPr>
              <w:t xml:space="preserve"> de Nacimientos Vivos</w:t>
            </w:r>
          </w:p>
        </w:tc>
        <w:tc>
          <w:tcPr>
            <w:tcW w:w="2075" w:type="dxa"/>
            <w:gridSpan w:val="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81AADA5"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Con asistencia profesional (1)</w:t>
            </w:r>
          </w:p>
        </w:tc>
        <w:tc>
          <w:tcPr>
            <w:tcW w:w="1894" w:type="dxa"/>
            <w:gridSpan w:val="2"/>
            <w:tcBorders>
              <w:top w:val="single" w:sz="4" w:space="0" w:color="auto"/>
              <w:left w:val="nil"/>
              <w:bottom w:val="single" w:sz="4" w:space="0" w:color="auto"/>
              <w:right w:val="nil"/>
            </w:tcBorders>
            <w:shd w:val="clear" w:color="auto" w:fill="CCC0D9" w:themeFill="accent4" w:themeFillTint="66"/>
            <w:vAlign w:val="center"/>
            <w:hideMark/>
          </w:tcPr>
          <w:p w14:paraId="22846284"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Sin asistencia profesional (2)</w:t>
            </w:r>
          </w:p>
        </w:tc>
      </w:tr>
      <w:tr w:rsidR="00A36980" w:rsidRPr="005970E9" w14:paraId="4355C533" w14:textId="77777777" w:rsidTr="000A44C1">
        <w:trPr>
          <w:trHeight w:val="109"/>
          <w:jc w:val="center"/>
        </w:trPr>
        <w:tc>
          <w:tcPr>
            <w:tcW w:w="2320" w:type="dxa"/>
            <w:vMerge/>
            <w:tcBorders>
              <w:top w:val="single" w:sz="4" w:space="0" w:color="000000"/>
              <w:left w:val="nil"/>
              <w:bottom w:val="single" w:sz="4" w:space="0" w:color="000000"/>
              <w:right w:val="single" w:sz="4" w:space="0" w:color="auto"/>
            </w:tcBorders>
            <w:shd w:val="clear" w:color="auto" w:fill="CCC0D9" w:themeFill="accent4" w:themeFillTint="66"/>
            <w:vAlign w:val="center"/>
            <w:hideMark/>
          </w:tcPr>
          <w:p w14:paraId="41A6F2E2" w14:textId="77777777" w:rsidR="00A36980" w:rsidRPr="005970E9" w:rsidRDefault="00A36980" w:rsidP="00216547">
            <w:pPr>
              <w:rPr>
                <w:rFonts w:eastAsia="Times New Roman" w:cs="Arial"/>
                <w:b/>
                <w:bCs/>
                <w:sz w:val="20"/>
                <w:szCs w:val="20"/>
              </w:rPr>
            </w:pPr>
          </w:p>
        </w:tc>
        <w:tc>
          <w:tcPr>
            <w:tcW w:w="1024" w:type="dxa"/>
            <w:tcBorders>
              <w:top w:val="nil"/>
              <w:left w:val="nil"/>
              <w:bottom w:val="single" w:sz="4" w:space="0" w:color="auto"/>
              <w:right w:val="single" w:sz="4" w:space="0" w:color="auto"/>
            </w:tcBorders>
            <w:shd w:val="clear" w:color="auto" w:fill="CCC0D9" w:themeFill="accent4" w:themeFillTint="66"/>
            <w:vAlign w:val="center"/>
            <w:hideMark/>
          </w:tcPr>
          <w:p w14:paraId="3CC0AFBA"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2010</w:t>
            </w:r>
          </w:p>
        </w:tc>
        <w:tc>
          <w:tcPr>
            <w:tcW w:w="1120" w:type="dxa"/>
            <w:tcBorders>
              <w:top w:val="nil"/>
              <w:left w:val="nil"/>
              <w:bottom w:val="single" w:sz="4" w:space="0" w:color="auto"/>
              <w:right w:val="single" w:sz="4" w:space="0" w:color="auto"/>
            </w:tcBorders>
            <w:shd w:val="clear" w:color="auto" w:fill="CCC0D9" w:themeFill="accent4" w:themeFillTint="66"/>
            <w:vAlign w:val="center"/>
            <w:hideMark/>
          </w:tcPr>
          <w:p w14:paraId="4722546D"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2018</w:t>
            </w:r>
          </w:p>
        </w:tc>
        <w:tc>
          <w:tcPr>
            <w:tcW w:w="1001" w:type="dxa"/>
            <w:tcBorders>
              <w:top w:val="nil"/>
              <w:left w:val="nil"/>
              <w:bottom w:val="single" w:sz="4" w:space="0" w:color="auto"/>
              <w:right w:val="single" w:sz="4" w:space="0" w:color="auto"/>
            </w:tcBorders>
            <w:shd w:val="clear" w:color="auto" w:fill="CCC0D9" w:themeFill="accent4" w:themeFillTint="66"/>
            <w:vAlign w:val="center"/>
            <w:hideMark/>
          </w:tcPr>
          <w:p w14:paraId="0B0DBBFB"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2010</w:t>
            </w:r>
          </w:p>
        </w:tc>
        <w:tc>
          <w:tcPr>
            <w:tcW w:w="1074" w:type="dxa"/>
            <w:tcBorders>
              <w:top w:val="nil"/>
              <w:left w:val="nil"/>
              <w:bottom w:val="single" w:sz="4" w:space="0" w:color="auto"/>
              <w:right w:val="single" w:sz="4" w:space="0" w:color="auto"/>
            </w:tcBorders>
            <w:shd w:val="clear" w:color="auto" w:fill="CCC0D9" w:themeFill="accent4" w:themeFillTint="66"/>
            <w:vAlign w:val="center"/>
            <w:hideMark/>
          </w:tcPr>
          <w:p w14:paraId="28F1529E"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2018</w:t>
            </w:r>
          </w:p>
        </w:tc>
        <w:tc>
          <w:tcPr>
            <w:tcW w:w="955" w:type="dxa"/>
            <w:tcBorders>
              <w:top w:val="nil"/>
              <w:left w:val="nil"/>
              <w:bottom w:val="single" w:sz="4" w:space="0" w:color="auto"/>
              <w:right w:val="single" w:sz="4" w:space="0" w:color="auto"/>
            </w:tcBorders>
            <w:shd w:val="clear" w:color="auto" w:fill="CCC0D9" w:themeFill="accent4" w:themeFillTint="66"/>
            <w:vAlign w:val="center"/>
            <w:hideMark/>
          </w:tcPr>
          <w:p w14:paraId="4CFB4759"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2010</w:t>
            </w:r>
          </w:p>
        </w:tc>
        <w:tc>
          <w:tcPr>
            <w:tcW w:w="939" w:type="dxa"/>
            <w:tcBorders>
              <w:top w:val="nil"/>
              <w:left w:val="nil"/>
              <w:bottom w:val="single" w:sz="4" w:space="0" w:color="auto"/>
              <w:right w:val="nil"/>
            </w:tcBorders>
            <w:shd w:val="clear" w:color="auto" w:fill="CCC0D9" w:themeFill="accent4" w:themeFillTint="66"/>
            <w:vAlign w:val="center"/>
            <w:hideMark/>
          </w:tcPr>
          <w:p w14:paraId="5EECF3E7"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2018</w:t>
            </w:r>
          </w:p>
        </w:tc>
      </w:tr>
      <w:tr w:rsidR="00A36980" w:rsidRPr="005970E9" w14:paraId="1E929F33" w14:textId="77777777" w:rsidTr="00216547">
        <w:trPr>
          <w:trHeight w:val="241"/>
          <w:jc w:val="center"/>
        </w:trPr>
        <w:tc>
          <w:tcPr>
            <w:tcW w:w="2320" w:type="dxa"/>
            <w:tcBorders>
              <w:top w:val="nil"/>
              <w:left w:val="nil"/>
              <w:bottom w:val="nil"/>
              <w:right w:val="nil"/>
            </w:tcBorders>
            <w:shd w:val="clear" w:color="000000" w:fill="FFFFFF"/>
            <w:noWrap/>
            <w:vAlign w:val="center"/>
            <w:hideMark/>
          </w:tcPr>
          <w:p w14:paraId="4C7B1F07"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 xml:space="preserve"> TOTAL</w:t>
            </w:r>
          </w:p>
        </w:tc>
        <w:tc>
          <w:tcPr>
            <w:tcW w:w="1024" w:type="dxa"/>
            <w:tcBorders>
              <w:top w:val="nil"/>
              <w:left w:val="single" w:sz="4" w:space="0" w:color="auto"/>
              <w:bottom w:val="nil"/>
              <w:right w:val="single" w:sz="4" w:space="0" w:color="auto"/>
            </w:tcBorders>
            <w:shd w:val="clear" w:color="000000" w:fill="FFFFFF"/>
            <w:noWrap/>
            <w:vAlign w:val="center"/>
            <w:hideMark/>
          </w:tcPr>
          <w:p w14:paraId="2A621FCB"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67,955</w:t>
            </w:r>
          </w:p>
        </w:tc>
        <w:tc>
          <w:tcPr>
            <w:tcW w:w="1120" w:type="dxa"/>
            <w:tcBorders>
              <w:top w:val="nil"/>
              <w:left w:val="nil"/>
              <w:bottom w:val="nil"/>
              <w:right w:val="single" w:sz="4" w:space="0" w:color="auto"/>
            </w:tcBorders>
            <w:shd w:val="clear" w:color="000000" w:fill="FFFFFF"/>
            <w:noWrap/>
            <w:vAlign w:val="center"/>
            <w:hideMark/>
          </w:tcPr>
          <w:p w14:paraId="116A76D5"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76,863</w:t>
            </w:r>
          </w:p>
        </w:tc>
        <w:tc>
          <w:tcPr>
            <w:tcW w:w="1001" w:type="dxa"/>
            <w:tcBorders>
              <w:top w:val="nil"/>
              <w:left w:val="nil"/>
              <w:bottom w:val="nil"/>
              <w:right w:val="single" w:sz="4" w:space="0" w:color="auto"/>
            </w:tcBorders>
            <w:shd w:val="clear" w:color="000000" w:fill="FFFFFF"/>
            <w:noWrap/>
            <w:vAlign w:val="center"/>
            <w:hideMark/>
          </w:tcPr>
          <w:p w14:paraId="3C5D72D1"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63,015</w:t>
            </w:r>
          </w:p>
        </w:tc>
        <w:tc>
          <w:tcPr>
            <w:tcW w:w="1074" w:type="dxa"/>
            <w:tcBorders>
              <w:top w:val="nil"/>
              <w:left w:val="nil"/>
              <w:bottom w:val="nil"/>
              <w:right w:val="single" w:sz="4" w:space="0" w:color="auto"/>
            </w:tcBorders>
            <w:shd w:val="clear" w:color="000000" w:fill="FFFFFF"/>
            <w:noWrap/>
            <w:vAlign w:val="center"/>
            <w:hideMark/>
          </w:tcPr>
          <w:p w14:paraId="680A808F"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71,425</w:t>
            </w:r>
          </w:p>
        </w:tc>
        <w:tc>
          <w:tcPr>
            <w:tcW w:w="955" w:type="dxa"/>
            <w:tcBorders>
              <w:top w:val="nil"/>
              <w:left w:val="nil"/>
              <w:bottom w:val="nil"/>
              <w:right w:val="single" w:sz="4" w:space="0" w:color="auto"/>
            </w:tcBorders>
            <w:shd w:val="clear" w:color="000000" w:fill="FFFFFF"/>
            <w:noWrap/>
            <w:vAlign w:val="center"/>
            <w:hideMark/>
          </w:tcPr>
          <w:p w14:paraId="75F2D679"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4,940</w:t>
            </w:r>
          </w:p>
        </w:tc>
        <w:tc>
          <w:tcPr>
            <w:tcW w:w="939" w:type="dxa"/>
            <w:tcBorders>
              <w:top w:val="nil"/>
              <w:left w:val="nil"/>
              <w:bottom w:val="nil"/>
              <w:right w:val="nil"/>
            </w:tcBorders>
            <w:shd w:val="clear" w:color="000000" w:fill="FFFFFF"/>
            <w:noWrap/>
            <w:vAlign w:val="center"/>
            <w:hideMark/>
          </w:tcPr>
          <w:p w14:paraId="001AC8B6"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5,438</w:t>
            </w:r>
          </w:p>
        </w:tc>
      </w:tr>
      <w:tr w:rsidR="00A36980" w:rsidRPr="005970E9" w14:paraId="02CC4C21" w14:textId="77777777" w:rsidTr="00216547">
        <w:trPr>
          <w:trHeight w:val="241"/>
          <w:jc w:val="center"/>
        </w:trPr>
        <w:tc>
          <w:tcPr>
            <w:tcW w:w="2320" w:type="dxa"/>
            <w:tcBorders>
              <w:top w:val="nil"/>
              <w:left w:val="nil"/>
              <w:bottom w:val="nil"/>
              <w:right w:val="single" w:sz="4" w:space="0" w:color="auto"/>
            </w:tcBorders>
            <w:shd w:val="clear" w:color="000000" w:fill="FFFFFF"/>
            <w:noWrap/>
            <w:vAlign w:val="center"/>
            <w:hideMark/>
          </w:tcPr>
          <w:p w14:paraId="79F21A07" w14:textId="77777777" w:rsidR="00A36980" w:rsidRPr="005970E9" w:rsidRDefault="00A36980" w:rsidP="00216547">
            <w:pPr>
              <w:rPr>
                <w:rFonts w:eastAsia="Times New Roman" w:cs="Arial"/>
                <w:sz w:val="20"/>
                <w:szCs w:val="20"/>
              </w:rPr>
            </w:pPr>
            <w:r w:rsidRPr="005970E9">
              <w:rPr>
                <w:rFonts w:eastAsia="Times New Roman" w:cs="Arial"/>
                <w:sz w:val="20"/>
                <w:szCs w:val="20"/>
              </w:rPr>
              <w:t>Bocas del Toro</w:t>
            </w:r>
          </w:p>
        </w:tc>
        <w:tc>
          <w:tcPr>
            <w:tcW w:w="1024" w:type="dxa"/>
            <w:tcBorders>
              <w:top w:val="nil"/>
              <w:left w:val="nil"/>
              <w:bottom w:val="nil"/>
              <w:right w:val="single" w:sz="4" w:space="0" w:color="auto"/>
            </w:tcBorders>
            <w:shd w:val="clear" w:color="000000" w:fill="FFFFFF"/>
            <w:noWrap/>
            <w:vAlign w:val="center"/>
            <w:hideMark/>
          </w:tcPr>
          <w:p w14:paraId="57DD771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4086</w:t>
            </w:r>
          </w:p>
        </w:tc>
        <w:tc>
          <w:tcPr>
            <w:tcW w:w="1120" w:type="dxa"/>
            <w:tcBorders>
              <w:top w:val="nil"/>
              <w:left w:val="nil"/>
              <w:bottom w:val="nil"/>
              <w:right w:val="single" w:sz="4" w:space="0" w:color="auto"/>
            </w:tcBorders>
            <w:shd w:val="clear" w:color="000000" w:fill="FFFFFF"/>
            <w:noWrap/>
            <w:vAlign w:val="bottom"/>
            <w:hideMark/>
          </w:tcPr>
          <w:p w14:paraId="662F045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4,602</w:t>
            </w:r>
          </w:p>
        </w:tc>
        <w:tc>
          <w:tcPr>
            <w:tcW w:w="1001" w:type="dxa"/>
            <w:tcBorders>
              <w:top w:val="nil"/>
              <w:left w:val="nil"/>
              <w:bottom w:val="nil"/>
              <w:right w:val="single" w:sz="4" w:space="0" w:color="auto"/>
            </w:tcBorders>
            <w:shd w:val="clear" w:color="000000" w:fill="FFFFFF"/>
            <w:noWrap/>
            <w:vAlign w:val="center"/>
            <w:hideMark/>
          </w:tcPr>
          <w:p w14:paraId="34C5C2DD"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3,052</w:t>
            </w:r>
          </w:p>
        </w:tc>
        <w:tc>
          <w:tcPr>
            <w:tcW w:w="1074" w:type="dxa"/>
            <w:tcBorders>
              <w:top w:val="nil"/>
              <w:left w:val="nil"/>
              <w:bottom w:val="nil"/>
              <w:right w:val="single" w:sz="4" w:space="0" w:color="auto"/>
            </w:tcBorders>
            <w:shd w:val="clear" w:color="000000" w:fill="FFFFFF"/>
            <w:noWrap/>
            <w:vAlign w:val="center"/>
            <w:hideMark/>
          </w:tcPr>
          <w:p w14:paraId="21D1628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4,043</w:t>
            </w:r>
          </w:p>
        </w:tc>
        <w:tc>
          <w:tcPr>
            <w:tcW w:w="955" w:type="dxa"/>
            <w:tcBorders>
              <w:top w:val="nil"/>
              <w:left w:val="nil"/>
              <w:bottom w:val="nil"/>
              <w:right w:val="single" w:sz="4" w:space="0" w:color="auto"/>
            </w:tcBorders>
            <w:shd w:val="clear" w:color="000000" w:fill="FFFFFF"/>
            <w:noWrap/>
            <w:vAlign w:val="center"/>
            <w:hideMark/>
          </w:tcPr>
          <w:p w14:paraId="78BE223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526</w:t>
            </w:r>
          </w:p>
        </w:tc>
        <w:tc>
          <w:tcPr>
            <w:tcW w:w="939" w:type="dxa"/>
            <w:tcBorders>
              <w:top w:val="nil"/>
              <w:left w:val="nil"/>
              <w:bottom w:val="nil"/>
              <w:right w:val="nil"/>
            </w:tcBorders>
            <w:shd w:val="clear" w:color="000000" w:fill="FFFFFF"/>
            <w:noWrap/>
            <w:vAlign w:val="center"/>
            <w:hideMark/>
          </w:tcPr>
          <w:p w14:paraId="3132BEB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559</w:t>
            </w:r>
          </w:p>
        </w:tc>
      </w:tr>
      <w:tr w:rsidR="00A36980" w:rsidRPr="005970E9" w14:paraId="56962C19" w14:textId="77777777" w:rsidTr="00216547">
        <w:trPr>
          <w:trHeight w:val="241"/>
          <w:jc w:val="center"/>
        </w:trPr>
        <w:tc>
          <w:tcPr>
            <w:tcW w:w="2320" w:type="dxa"/>
            <w:tcBorders>
              <w:top w:val="nil"/>
              <w:left w:val="nil"/>
              <w:bottom w:val="nil"/>
              <w:right w:val="single" w:sz="4" w:space="0" w:color="auto"/>
            </w:tcBorders>
            <w:shd w:val="clear" w:color="000000" w:fill="FFFFFF"/>
            <w:noWrap/>
            <w:vAlign w:val="center"/>
            <w:hideMark/>
          </w:tcPr>
          <w:p w14:paraId="72913DF1" w14:textId="77777777" w:rsidR="00A36980" w:rsidRPr="005970E9" w:rsidRDefault="00A36980" w:rsidP="00216547">
            <w:pPr>
              <w:rPr>
                <w:rFonts w:eastAsia="Times New Roman" w:cs="Arial"/>
                <w:sz w:val="20"/>
                <w:szCs w:val="20"/>
              </w:rPr>
            </w:pPr>
            <w:r w:rsidRPr="005970E9">
              <w:rPr>
                <w:rFonts w:eastAsia="Times New Roman" w:cs="Arial"/>
                <w:sz w:val="20"/>
                <w:szCs w:val="20"/>
              </w:rPr>
              <w:t>Coclé</w:t>
            </w:r>
          </w:p>
        </w:tc>
        <w:tc>
          <w:tcPr>
            <w:tcW w:w="1024" w:type="dxa"/>
            <w:tcBorders>
              <w:top w:val="nil"/>
              <w:left w:val="nil"/>
              <w:bottom w:val="nil"/>
              <w:right w:val="single" w:sz="4" w:space="0" w:color="auto"/>
            </w:tcBorders>
            <w:shd w:val="clear" w:color="000000" w:fill="FFFFFF"/>
            <w:noWrap/>
            <w:vAlign w:val="center"/>
            <w:hideMark/>
          </w:tcPr>
          <w:p w14:paraId="490229F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3956</w:t>
            </w:r>
          </w:p>
        </w:tc>
        <w:tc>
          <w:tcPr>
            <w:tcW w:w="1120" w:type="dxa"/>
            <w:tcBorders>
              <w:top w:val="nil"/>
              <w:left w:val="nil"/>
              <w:bottom w:val="nil"/>
              <w:right w:val="single" w:sz="4" w:space="0" w:color="auto"/>
            </w:tcBorders>
            <w:shd w:val="clear" w:color="000000" w:fill="FFFFFF"/>
            <w:noWrap/>
            <w:vAlign w:val="bottom"/>
            <w:hideMark/>
          </w:tcPr>
          <w:p w14:paraId="7311747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4,221</w:t>
            </w:r>
          </w:p>
        </w:tc>
        <w:tc>
          <w:tcPr>
            <w:tcW w:w="1001" w:type="dxa"/>
            <w:tcBorders>
              <w:top w:val="nil"/>
              <w:left w:val="nil"/>
              <w:bottom w:val="nil"/>
              <w:right w:val="single" w:sz="4" w:space="0" w:color="auto"/>
            </w:tcBorders>
            <w:shd w:val="clear" w:color="000000" w:fill="FFFFFF"/>
            <w:noWrap/>
            <w:vAlign w:val="center"/>
            <w:hideMark/>
          </w:tcPr>
          <w:p w14:paraId="7FAD39B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3,530</w:t>
            </w:r>
          </w:p>
        </w:tc>
        <w:tc>
          <w:tcPr>
            <w:tcW w:w="1074" w:type="dxa"/>
            <w:tcBorders>
              <w:top w:val="nil"/>
              <w:left w:val="nil"/>
              <w:bottom w:val="nil"/>
              <w:right w:val="single" w:sz="4" w:space="0" w:color="auto"/>
            </w:tcBorders>
            <w:shd w:val="clear" w:color="000000" w:fill="FFFFFF"/>
            <w:noWrap/>
            <w:vAlign w:val="center"/>
            <w:hideMark/>
          </w:tcPr>
          <w:p w14:paraId="338B13F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3,988</w:t>
            </w:r>
          </w:p>
        </w:tc>
        <w:tc>
          <w:tcPr>
            <w:tcW w:w="955" w:type="dxa"/>
            <w:tcBorders>
              <w:top w:val="nil"/>
              <w:left w:val="nil"/>
              <w:bottom w:val="nil"/>
              <w:right w:val="single" w:sz="4" w:space="0" w:color="auto"/>
            </w:tcBorders>
            <w:shd w:val="clear" w:color="000000" w:fill="FFFFFF"/>
            <w:noWrap/>
            <w:vAlign w:val="center"/>
            <w:hideMark/>
          </w:tcPr>
          <w:p w14:paraId="7988D9E4"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426</w:t>
            </w:r>
          </w:p>
        </w:tc>
        <w:tc>
          <w:tcPr>
            <w:tcW w:w="939" w:type="dxa"/>
            <w:tcBorders>
              <w:top w:val="nil"/>
              <w:left w:val="nil"/>
              <w:bottom w:val="nil"/>
              <w:right w:val="nil"/>
            </w:tcBorders>
            <w:shd w:val="clear" w:color="000000" w:fill="FFFFFF"/>
            <w:noWrap/>
            <w:vAlign w:val="center"/>
            <w:hideMark/>
          </w:tcPr>
          <w:p w14:paraId="121BFBC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233</w:t>
            </w:r>
          </w:p>
        </w:tc>
      </w:tr>
      <w:tr w:rsidR="00A36980" w:rsidRPr="005970E9" w14:paraId="2C3CAD49" w14:textId="77777777" w:rsidTr="00216547">
        <w:trPr>
          <w:trHeight w:val="241"/>
          <w:jc w:val="center"/>
        </w:trPr>
        <w:tc>
          <w:tcPr>
            <w:tcW w:w="2320" w:type="dxa"/>
            <w:tcBorders>
              <w:top w:val="nil"/>
              <w:left w:val="nil"/>
              <w:bottom w:val="nil"/>
              <w:right w:val="single" w:sz="4" w:space="0" w:color="auto"/>
            </w:tcBorders>
            <w:shd w:val="clear" w:color="000000" w:fill="FFFFFF"/>
            <w:noWrap/>
            <w:vAlign w:val="center"/>
            <w:hideMark/>
          </w:tcPr>
          <w:p w14:paraId="5A26A721" w14:textId="77777777" w:rsidR="00A36980" w:rsidRPr="005970E9" w:rsidRDefault="00A36980" w:rsidP="00216547">
            <w:pPr>
              <w:rPr>
                <w:rFonts w:eastAsia="Times New Roman" w:cs="Arial"/>
                <w:sz w:val="20"/>
                <w:szCs w:val="20"/>
              </w:rPr>
            </w:pPr>
            <w:r w:rsidRPr="005970E9">
              <w:rPr>
                <w:rFonts w:eastAsia="Times New Roman" w:cs="Arial"/>
                <w:sz w:val="20"/>
                <w:szCs w:val="20"/>
              </w:rPr>
              <w:t>Colón</w:t>
            </w:r>
          </w:p>
        </w:tc>
        <w:tc>
          <w:tcPr>
            <w:tcW w:w="1024" w:type="dxa"/>
            <w:tcBorders>
              <w:top w:val="nil"/>
              <w:left w:val="nil"/>
              <w:bottom w:val="nil"/>
              <w:right w:val="single" w:sz="4" w:space="0" w:color="auto"/>
            </w:tcBorders>
            <w:shd w:val="clear" w:color="000000" w:fill="FFFFFF"/>
            <w:noWrap/>
            <w:vAlign w:val="center"/>
            <w:hideMark/>
          </w:tcPr>
          <w:p w14:paraId="17E673F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5238</w:t>
            </w:r>
          </w:p>
        </w:tc>
        <w:tc>
          <w:tcPr>
            <w:tcW w:w="1120" w:type="dxa"/>
            <w:tcBorders>
              <w:top w:val="nil"/>
              <w:left w:val="nil"/>
              <w:bottom w:val="nil"/>
              <w:right w:val="single" w:sz="4" w:space="0" w:color="auto"/>
            </w:tcBorders>
            <w:shd w:val="clear" w:color="000000" w:fill="FFFFFF"/>
            <w:noWrap/>
            <w:vAlign w:val="bottom"/>
            <w:hideMark/>
          </w:tcPr>
          <w:p w14:paraId="7EFC399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5,444</w:t>
            </w:r>
          </w:p>
        </w:tc>
        <w:tc>
          <w:tcPr>
            <w:tcW w:w="1001" w:type="dxa"/>
            <w:tcBorders>
              <w:top w:val="nil"/>
              <w:left w:val="nil"/>
              <w:bottom w:val="nil"/>
              <w:right w:val="single" w:sz="4" w:space="0" w:color="auto"/>
            </w:tcBorders>
            <w:shd w:val="clear" w:color="000000" w:fill="FFFFFF"/>
            <w:noWrap/>
            <w:vAlign w:val="center"/>
            <w:hideMark/>
          </w:tcPr>
          <w:p w14:paraId="2D3AA57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5,060</w:t>
            </w:r>
          </w:p>
        </w:tc>
        <w:tc>
          <w:tcPr>
            <w:tcW w:w="1074" w:type="dxa"/>
            <w:tcBorders>
              <w:top w:val="nil"/>
              <w:left w:val="nil"/>
              <w:bottom w:val="nil"/>
              <w:right w:val="single" w:sz="4" w:space="0" w:color="auto"/>
            </w:tcBorders>
            <w:shd w:val="clear" w:color="000000" w:fill="FFFFFF"/>
            <w:noWrap/>
            <w:vAlign w:val="center"/>
            <w:hideMark/>
          </w:tcPr>
          <w:p w14:paraId="3DEB461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5,254</w:t>
            </w:r>
          </w:p>
        </w:tc>
        <w:tc>
          <w:tcPr>
            <w:tcW w:w="955" w:type="dxa"/>
            <w:tcBorders>
              <w:top w:val="nil"/>
              <w:left w:val="nil"/>
              <w:bottom w:val="nil"/>
              <w:right w:val="single" w:sz="4" w:space="0" w:color="auto"/>
            </w:tcBorders>
            <w:shd w:val="clear" w:color="000000" w:fill="FFFFFF"/>
            <w:noWrap/>
            <w:vAlign w:val="center"/>
            <w:hideMark/>
          </w:tcPr>
          <w:p w14:paraId="05ED85A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178</w:t>
            </w:r>
          </w:p>
        </w:tc>
        <w:tc>
          <w:tcPr>
            <w:tcW w:w="939" w:type="dxa"/>
            <w:tcBorders>
              <w:top w:val="nil"/>
              <w:left w:val="nil"/>
              <w:bottom w:val="nil"/>
              <w:right w:val="nil"/>
            </w:tcBorders>
            <w:shd w:val="clear" w:color="000000" w:fill="FFFFFF"/>
            <w:noWrap/>
            <w:vAlign w:val="center"/>
            <w:hideMark/>
          </w:tcPr>
          <w:p w14:paraId="042C22B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190</w:t>
            </w:r>
          </w:p>
        </w:tc>
      </w:tr>
      <w:tr w:rsidR="00A36980" w:rsidRPr="005970E9" w14:paraId="0AE14239" w14:textId="77777777" w:rsidTr="00216547">
        <w:trPr>
          <w:trHeight w:val="241"/>
          <w:jc w:val="center"/>
        </w:trPr>
        <w:tc>
          <w:tcPr>
            <w:tcW w:w="2320" w:type="dxa"/>
            <w:tcBorders>
              <w:top w:val="nil"/>
              <w:left w:val="nil"/>
              <w:bottom w:val="nil"/>
              <w:right w:val="single" w:sz="4" w:space="0" w:color="auto"/>
            </w:tcBorders>
            <w:shd w:val="clear" w:color="000000" w:fill="FFFFFF"/>
            <w:noWrap/>
            <w:vAlign w:val="center"/>
            <w:hideMark/>
          </w:tcPr>
          <w:p w14:paraId="2ED08517" w14:textId="77777777" w:rsidR="00A36980" w:rsidRPr="005970E9" w:rsidRDefault="00A36980" w:rsidP="00216547">
            <w:pPr>
              <w:rPr>
                <w:rFonts w:eastAsia="Times New Roman" w:cs="Arial"/>
                <w:sz w:val="20"/>
                <w:szCs w:val="20"/>
              </w:rPr>
            </w:pPr>
            <w:r w:rsidRPr="005970E9">
              <w:rPr>
                <w:rFonts w:eastAsia="Times New Roman" w:cs="Arial"/>
                <w:sz w:val="20"/>
                <w:szCs w:val="20"/>
              </w:rPr>
              <w:t>Chiriquí</w:t>
            </w:r>
          </w:p>
        </w:tc>
        <w:tc>
          <w:tcPr>
            <w:tcW w:w="1024" w:type="dxa"/>
            <w:tcBorders>
              <w:top w:val="nil"/>
              <w:left w:val="nil"/>
              <w:bottom w:val="nil"/>
              <w:right w:val="single" w:sz="4" w:space="0" w:color="auto"/>
            </w:tcBorders>
            <w:shd w:val="clear" w:color="000000" w:fill="FFFFFF"/>
            <w:noWrap/>
            <w:vAlign w:val="center"/>
            <w:hideMark/>
          </w:tcPr>
          <w:p w14:paraId="108E865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7485</w:t>
            </w:r>
          </w:p>
        </w:tc>
        <w:tc>
          <w:tcPr>
            <w:tcW w:w="1120" w:type="dxa"/>
            <w:tcBorders>
              <w:top w:val="nil"/>
              <w:left w:val="nil"/>
              <w:bottom w:val="nil"/>
              <w:right w:val="single" w:sz="4" w:space="0" w:color="auto"/>
            </w:tcBorders>
            <w:shd w:val="clear" w:color="000000" w:fill="FFFFFF"/>
            <w:noWrap/>
            <w:vAlign w:val="bottom"/>
            <w:hideMark/>
          </w:tcPr>
          <w:p w14:paraId="46C4A04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8,551</w:t>
            </w:r>
          </w:p>
        </w:tc>
        <w:tc>
          <w:tcPr>
            <w:tcW w:w="1001" w:type="dxa"/>
            <w:tcBorders>
              <w:top w:val="nil"/>
              <w:left w:val="nil"/>
              <w:bottom w:val="nil"/>
              <w:right w:val="single" w:sz="4" w:space="0" w:color="auto"/>
            </w:tcBorders>
            <w:shd w:val="clear" w:color="000000" w:fill="FFFFFF"/>
            <w:noWrap/>
            <w:vAlign w:val="center"/>
            <w:hideMark/>
          </w:tcPr>
          <w:p w14:paraId="0045BA7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7,562</w:t>
            </w:r>
          </w:p>
        </w:tc>
        <w:tc>
          <w:tcPr>
            <w:tcW w:w="1074" w:type="dxa"/>
            <w:tcBorders>
              <w:top w:val="nil"/>
              <w:left w:val="nil"/>
              <w:bottom w:val="nil"/>
              <w:right w:val="single" w:sz="4" w:space="0" w:color="auto"/>
            </w:tcBorders>
            <w:shd w:val="clear" w:color="000000" w:fill="FFFFFF"/>
            <w:noWrap/>
            <w:vAlign w:val="center"/>
            <w:hideMark/>
          </w:tcPr>
          <w:p w14:paraId="0E0FCFB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8,457</w:t>
            </w:r>
          </w:p>
        </w:tc>
        <w:tc>
          <w:tcPr>
            <w:tcW w:w="955" w:type="dxa"/>
            <w:tcBorders>
              <w:top w:val="nil"/>
              <w:left w:val="nil"/>
              <w:bottom w:val="nil"/>
              <w:right w:val="single" w:sz="4" w:space="0" w:color="auto"/>
            </w:tcBorders>
            <w:shd w:val="clear" w:color="000000" w:fill="FFFFFF"/>
            <w:noWrap/>
            <w:vAlign w:val="center"/>
            <w:hideMark/>
          </w:tcPr>
          <w:p w14:paraId="0FA12AF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23</w:t>
            </w:r>
          </w:p>
        </w:tc>
        <w:tc>
          <w:tcPr>
            <w:tcW w:w="939" w:type="dxa"/>
            <w:tcBorders>
              <w:top w:val="nil"/>
              <w:left w:val="nil"/>
              <w:bottom w:val="nil"/>
              <w:right w:val="nil"/>
            </w:tcBorders>
            <w:shd w:val="clear" w:color="000000" w:fill="FFFFFF"/>
            <w:noWrap/>
            <w:vAlign w:val="center"/>
            <w:hideMark/>
          </w:tcPr>
          <w:p w14:paraId="34FA8C3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94</w:t>
            </w:r>
          </w:p>
        </w:tc>
      </w:tr>
      <w:tr w:rsidR="00A36980" w:rsidRPr="005970E9" w14:paraId="403ECC92" w14:textId="77777777" w:rsidTr="00216547">
        <w:trPr>
          <w:trHeight w:val="220"/>
          <w:jc w:val="center"/>
        </w:trPr>
        <w:tc>
          <w:tcPr>
            <w:tcW w:w="2320" w:type="dxa"/>
            <w:tcBorders>
              <w:top w:val="nil"/>
              <w:left w:val="nil"/>
              <w:bottom w:val="nil"/>
              <w:right w:val="single" w:sz="4" w:space="0" w:color="auto"/>
            </w:tcBorders>
            <w:shd w:val="clear" w:color="000000" w:fill="FFFFFF"/>
            <w:noWrap/>
            <w:vAlign w:val="center"/>
            <w:hideMark/>
          </w:tcPr>
          <w:p w14:paraId="7EB64B83" w14:textId="77777777" w:rsidR="00A36980" w:rsidRPr="005970E9" w:rsidRDefault="00A36980" w:rsidP="00216547">
            <w:pPr>
              <w:rPr>
                <w:rFonts w:eastAsia="Times New Roman" w:cs="Arial"/>
                <w:sz w:val="20"/>
                <w:szCs w:val="20"/>
              </w:rPr>
            </w:pPr>
            <w:r w:rsidRPr="005970E9">
              <w:rPr>
                <w:rFonts w:eastAsia="Times New Roman" w:cs="Arial"/>
                <w:sz w:val="20"/>
                <w:szCs w:val="20"/>
              </w:rPr>
              <w:t>Darién</w:t>
            </w:r>
          </w:p>
        </w:tc>
        <w:tc>
          <w:tcPr>
            <w:tcW w:w="1024" w:type="dxa"/>
            <w:tcBorders>
              <w:top w:val="nil"/>
              <w:left w:val="nil"/>
              <w:bottom w:val="nil"/>
              <w:right w:val="single" w:sz="4" w:space="0" w:color="auto"/>
            </w:tcBorders>
            <w:shd w:val="clear" w:color="000000" w:fill="FFFFFF"/>
            <w:noWrap/>
            <w:vAlign w:val="center"/>
            <w:hideMark/>
          </w:tcPr>
          <w:p w14:paraId="327BD36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1202</w:t>
            </w:r>
          </w:p>
        </w:tc>
        <w:tc>
          <w:tcPr>
            <w:tcW w:w="1120" w:type="dxa"/>
            <w:tcBorders>
              <w:top w:val="nil"/>
              <w:left w:val="nil"/>
              <w:bottom w:val="nil"/>
              <w:right w:val="single" w:sz="4" w:space="0" w:color="auto"/>
            </w:tcBorders>
            <w:shd w:val="clear" w:color="000000" w:fill="FFFFFF"/>
            <w:noWrap/>
            <w:vAlign w:val="bottom"/>
            <w:hideMark/>
          </w:tcPr>
          <w:p w14:paraId="5369149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1,241</w:t>
            </w:r>
          </w:p>
        </w:tc>
        <w:tc>
          <w:tcPr>
            <w:tcW w:w="1001" w:type="dxa"/>
            <w:tcBorders>
              <w:top w:val="nil"/>
              <w:left w:val="nil"/>
              <w:bottom w:val="nil"/>
              <w:right w:val="single" w:sz="4" w:space="0" w:color="auto"/>
            </w:tcBorders>
            <w:shd w:val="clear" w:color="000000" w:fill="FFFFFF"/>
            <w:noWrap/>
            <w:vAlign w:val="center"/>
            <w:hideMark/>
          </w:tcPr>
          <w:p w14:paraId="0146E0D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921</w:t>
            </w:r>
          </w:p>
        </w:tc>
        <w:tc>
          <w:tcPr>
            <w:tcW w:w="1074" w:type="dxa"/>
            <w:tcBorders>
              <w:top w:val="nil"/>
              <w:left w:val="nil"/>
              <w:bottom w:val="nil"/>
              <w:right w:val="single" w:sz="4" w:space="0" w:color="auto"/>
            </w:tcBorders>
            <w:shd w:val="clear" w:color="000000" w:fill="FFFFFF"/>
            <w:noWrap/>
            <w:vAlign w:val="center"/>
            <w:hideMark/>
          </w:tcPr>
          <w:p w14:paraId="172C234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1,054</w:t>
            </w:r>
          </w:p>
        </w:tc>
        <w:tc>
          <w:tcPr>
            <w:tcW w:w="955" w:type="dxa"/>
            <w:tcBorders>
              <w:top w:val="nil"/>
              <w:left w:val="nil"/>
              <w:bottom w:val="nil"/>
              <w:right w:val="single" w:sz="4" w:space="0" w:color="auto"/>
            </w:tcBorders>
            <w:shd w:val="clear" w:color="000000" w:fill="FFFFFF"/>
            <w:noWrap/>
            <w:vAlign w:val="center"/>
            <w:hideMark/>
          </w:tcPr>
          <w:p w14:paraId="1351EA6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137</w:t>
            </w:r>
          </w:p>
        </w:tc>
        <w:tc>
          <w:tcPr>
            <w:tcW w:w="939" w:type="dxa"/>
            <w:tcBorders>
              <w:top w:val="nil"/>
              <w:left w:val="nil"/>
              <w:bottom w:val="nil"/>
              <w:right w:val="nil"/>
            </w:tcBorders>
            <w:shd w:val="clear" w:color="000000" w:fill="FFFFFF"/>
            <w:noWrap/>
            <w:vAlign w:val="center"/>
            <w:hideMark/>
          </w:tcPr>
          <w:p w14:paraId="4899683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187</w:t>
            </w:r>
          </w:p>
        </w:tc>
      </w:tr>
      <w:tr w:rsidR="00A36980" w:rsidRPr="005970E9" w14:paraId="570B327D" w14:textId="77777777" w:rsidTr="00216547">
        <w:trPr>
          <w:trHeight w:val="220"/>
          <w:jc w:val="center"/>
        </w:trPr>
        <w:tc>
          <w:tcPr>
            <w:tcW w:w="2320" w:type="dxa"/>
            <w:tcBorders>
              <w:top w:val="nil"/>
              <w:left w:val="nil"/>
              <w:bottom w:val="nil"/>
              <w:right w:val="single" w:sz="4" w:space="0" w:color="auto"/>
            </w:tcBorders>
            <w:shd w:val="clear" w:color="000000" w:fill="FFFFFF"/>
            <w:noWrap/>
            <w:vAlign w:val="center"/>
            <w:hideMark/>
          </w:tcPr>
          <w:p w14:paraId="443AD801" w14:textId="77777777" w:rsidR="00A36980" w:rsidRPr="005970E9" w:rsidRDefault="00A36980" w:rsidP="00216547">
            <w:pPr>
              <w:rPr>
                <w:rFonts w:eastAsia="Times New Roman" w:cs="Arial"/>
                <w:sz w:val="20"/>
                <w:szCs w:val="20"/>
              </w:rPr>
            </w:pPr>
            <w:r w:rsidRPr="005970E9">
              <w:rPr>
                <w:rFonts w:eastAsia="Times New Roman" w:cs="Arial"/>
                <w:sz w:val="20"/>
                <w:szCs w:val="20"/>
              </w:rPr>
              <w:t>Herrera</w:t>
            </w:r>
          </w:p>
        </w:tc>
        <w:tc>
          <w:tcPr>
            <w:tcW w:w="1024" w:type="dxa"/>
            <w:tcBorders>
              <w:top w:val="nil"/>
              <w:left w:val="nil"/>
              <w:bottom w:val="nil"/>
              <w:right w:val="single" w:sz="4" w:space="0" w:color="auto"/>
            </w:tcBorders>
            <w:shd w:val="clear" w:color="000000" w:fill="FFFFFF"/>
            <w:noWrap/>
            <w:vAlign w:val="center"/>
            <w:hideMark/>
          </w:tcPr>
          <w:p w14:paraId="207D657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1362</w:t>
            </w:r>
          </w:p>
        </w:tc>
        <w:tc>
          <w:tcPr>
            <w:tcW w:w="1120" w:type="dxa"/>
            <w:tcBorders>
              <w:top w:val="nil"/>
              <w:left w:val="nil"/>
              <w:bottom w:val="nil"/>
              <w:right w:val="single" w:sz="4" w:space="0" w:color="auto"/>
            </w:tcBorders>
            <w:shd w:val="clear" w:color="000000" w:fill="FFFFFF"/>
            <w:noWrap/>
            <w:vAlign w:val="bottom"/>
            <w:hideMark/>
          </w:tcPr>
          <w:p w14:paraId="05AA94E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1,632</w:t>
            </w:r>
          </w:p>
        </w:tc>
        <w:tc>
          <w:tcPr>
            <w:tcW w:w="1001" w:type="dxa"/>
            <w:tcBorders>
              <w:top w:val="nil"/>
              <w:left w:val="nil"/>
              <w:bottom w:val="nil"/>
              <w:right w:val="single" w:sz="4" w:space="0" w:color="auto"/>
            </w:tcBorders>
            <w:shd w:val="clear" w:color="000000" w:fill="FFFFFF"/>
            <w:noWrap/>
            <w:vAlign w:val="center"/>
            <w:hideMark/>
          </w:tcPr>
          <w:p w14:paraId="7C1EE90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1,348</w:t>
            </w:r>
          </w:p>
        </w:tc>
        <w:tc>
          <w:tcPr>
            <w:tcW w:w="1074" w:type="dxa"/>
            <w:tcBorders>
              <w:top w:val="nil"/>
              <w:left w:val="nil"/>
              <w:bottom w:val="nil"/>
              <w:right w:val="single" w:sz="4" w:space="0" w:color="auto"/>
            </w:tcBorders>
            <w:shd w:val="clear" w:color="000000" w:fill="FFFFFF"/>
            <w:noWrap/>
            <w:vAlign w:val="center"/>
            <w:hideMark/>
          </w:tcPr>
          <w:p w14:paraId="48DEE1ED"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1,624</w:t>
            </w:r>
          </w:p>
        </w:tc>
        <w:tc>
          <w:tcPr>
            <w:tcW w:w="955" w:type="dxa"/>
            <w:tcBorders>
              <w:top w:val="nil"/>
              <w:left w:val="nil"/>
              <w:bottom w:val="nil"/>
              <w:right w:val="single" w:sz="4" w:space="0" w:color="auto"/>
            </w:tcBorders>
            <w:shd w:val="clear" w:color="000000" w:fill="FFFFFF"/>
            <w:noWrap/>
            <w:vAlign w:val="center"/>
            <w:hideMark/>
          </w:tcPr>
          <w:p w14:paraId="298E0B0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14</w:t>
            </w:r>
          </w:p>
        </w:tc>
        <w:tc>
          <w:tcPr>
            <w:tcW w:w="939" w:type="dxa"/>
            <w:tcBorders>
              <w:top w:val="nil"/>
              <w:left w:val="nil"/>
              <w:bottom w:val="nil"/>
              <w:right w:val="nil"/>
            </w:tcBorders>
            <w:shd w:val="clear" w:color="000000" w:fill="FFFFFF"/>
            <w:noWrap/>
            <w:vAlign w:val="center"/>
            <w:hideMark/>
          </w:tcPr>
          <w:p w14:paraId="494AD64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8</w:t>
            </w:r>
          </w:p>
        </w:tc>
      </w:tr>
      <w:tr w:rsidR="00A36980" w:rsidRPr="005970E9" w14:paraId="6A373A78" w14:textId="77777777" w:rsidTr="00216547">
        <w:trPr>
          <w:trHeight w:val="220"/>
          <w:jc w:val="center"/>
        </w:trPr>
        <w:tc>
          <w:tcPr>
            <w:tcW w:w="2320" w:type="dxa"/>
            <w:tcBorders>
              <w:top w:val="nil"/>
              <w:left w:val="nil"/>
              <w:bottom w:val="nil"/>
              <w:right w:val="single" w:sz="4" w:space="0" w:color="auto"/>
            </w:tcBorders>
            <w:shd w:val="clear" w:color="000000" w:fill="FFFFFF"/>
            <w:noWrap/>
            <w:vAlign w:val="center"/>
            <w:hideMark/>
          </w:tcPr>
          <w:p w14:paraId="639CD74D" w14:textId="77777777" w:rsidR="00A36980" w:rsidRPr="005970E9" w:rsidRDefault="00A36980" w:rsidP="00216547">
            <w:pPr>
              <w:rPr>
                <w:rFonts w:eastAsia="Times New Roman" w:cs="Arial"/>
                <w:sz w:val="20"/>
                <w:szCs w:val="20"/>
              </w:rPr>
            </w:pPr>
            <w:r w:rsidRPr="005970E9">
              <w:rPr>
                <w:rFonts w:eastAsia="Times New Roman" w:cs="Arial"/>
                <w:sz w:val="20"/>
                <w:szCs w:val="20"/>
              </w:rPr>
              <w:t>Los Santos</w:t>
            </w:r>
          </w:p>
        </w:tc>
        <w:tc>
          <w:tcPr>
            <w:tcW w:w="1024" w:type="dxa"/>
            <w:tcBorders>
              <w:top w:val="nil"/>
              <w:left w:val="nil"/>
              <w:bottom w:val="nil"/>
              <w:right w:val="single" w:sz="4" w:space="0" w:color="auto"/>
            </w:tcBorders>
            <w:shd w:val="clear" w:color="000000" w:fill="FFFFFF"/>
            <w:noWrap/>
            <w:vAlign w:val="center"/>
            <w:hideMark/>
          </w:tcPr>
          <w:p w14:paraId="12FC826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1038</w:t>
            </w:r>
          </w:p>
        </w:tc>
        <w:tc>
          <w:tcPr>
            <w:tcW w:w="1120" w:type="dxa"/>
            <w:tcBorders>
              <w:top w:val="nil"/>
              <w:left w:val="nil"/>
              <w:bottom w:val="nil"/>
              <w:right w:val="single" w:sz="4" w:space="0" w:color="auto"/>
            </w:tcBorders>
            <w:shd w:val="clear" w:color="000000" w:fill="FFFFFF"/>
            <w:noWrap/>
            <w:vAlign w:val="bottom"/>
            <w:hideMark/>
          </w:tcPr>
          <w:p w14:paraId="7C23BD0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1,085</w:t>
            </w:r>
          </w:p>
        </w:tc>
        <w:tc>
          <w:tcPr>
            <w:tcW w:w="1001" w:type="dxa"/>
            <w:tcBorders>
              <w:top w:val="nil"/>
              <w:left w:val="nil"/>
              <w:bottom w:val="nil"/>
              <w:right w:val="single" w:sz="4" w:space="0" w:color="auto"/>
            </w:tcBorders>
            <w:shd w:val="clear" w:color="000000" w:fill="FFFFFF"/>
            <w:noWrap/>
            <w:vAlign w:val="center"/>
            <w:hideMark/>
          </w:tcPr>
          <w:p w14:paraId="021788F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1,035</w:t>
            </w:r>
          </w:p>
        </w:tc>
        <w:tc>
          <w:tcPr>
            <w:tcW w:w="1074" w:type="dxa"/>
            <w:tcBorders>
              <w:top w:val="nil"/>
              <w:left w:val="nil"/>
              <w:bottom w:val="nil"/>
              <w:right w:val="single" w:sz="4" w:space="0" w:color="auto"/>
            </w:tcBorders>
            <w:shd w:val="clear" w:color="000000" w:fill="FFFFFF"/>
            <w:noWrap/>
            <w:vAlign w:val="center"/>
            <w:hideMark/>
          </w:tcPr>
          <w:p w14:paraId="5BED3F7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1,078</w:t>
            </w:r>
          </w:p>
        </w:tc>
        <w:tc>
          <w:tcPr>
            <w:tcW w:w="955" w:type="dxa"/>
            <w:tcBorders>
              <w:top w:val="nil"/>
              <w:left w:val="nil"/>
              <w:bottom w:val="nil"/>
              <w:right w:val="single" w:sz="4" w:space="0" w:color="auto"/>
            </w:tcBorders>
            <w:shd w:val="clear" w:color="000000" w:fill="FFFFFF"/>
            <w:noWrap/>
            <w:vAlign w:val="center"/>
            <w:hideMark/>
          </w:tcPr>
          <w:p w14:paraId="37A8C81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w:t>
            </w:r>
          </w:p>
        </w:tc>
        <w:tc>
          <w:tcPr>
            <w:tcW w:w="939" w:type="dxa"/>
            <w:tcBorders>
              <w:top w:val="nil"/>
              <w:left w:val="nil"/>
              <w:bottom w:val="nil"/>
              <w:right w:val="nil"/>
            </w:tcBorders>
            <w:shd w:val="clear" w:color="000000" w:fill="FFFFFF"/>
            <w:noWrap/>
            <w:vAlign w:val="center"/>
            <w:hideMark/>
          </w:tcPr>
          <w:p w14:paraId="611127F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w:t>
            </w:r>
          </w:p>
        </w:tc>
      </w:tr>
      <w:tr w:rsidR="00A36980" w:rsidRPr="005970E9" w14:paraId="4193DC56" w14:textId="77777777" w:rsidTr="00216547">
        <w:trPr>
          <w:trHeight w:val="220"/>
          <w:jc w:val="center"/>
        </w:trPr>
        <w:tc>
          <w:tcPr>
            <w:tcW w:w="2320" w:type="dxa"/>
            <w:tcBorders>
              <w:top w:val="nil"/>
              <w:left w:val="nil"/>
              <w:bottom w:val="nil"/>
              <w:right w:val="single" w:sz="4" w:space="0" w:color="auto"/>
            </w:tcBorders>
            <w:shd w:val="clear" w:color="000000" w:fill="FFFFFF"/>
            <w:noWrap/>
            <w:vAlign w:val="center"/>
            <w:hideMark/>
          </w:tcPr>
          <w:p w14:paraId="63CB0494" w14:textId="77777777" w:rsidR="00A36980" w:rsidRPr="005970E9" w:rsidRDefault="00A36980" w:rsidP="00216547">
            <w:pPr>
              <w:rPr>
                <w:rFonts w:eastAsia="Times New Roman" w:cs="Arial"/>
                <w:sz w:val="20"/>
                <w:szCs w:val="20"/>
              </w:rPr>
            </w:pPr>
            <w:r w:rsidRPr="005970E9">
              <w:rPr>
                <w:rFonts w:eastAsia="Times New Roman" w:cs="Arial"/>
                <w:sz w:val="20"/>
                <w:szCs w:val="20"/>
              </w:rPr>
              <w:t>Panamá</w:t>
            </w:r>
          </w:p>
        </w:tc>
        <w:tc>
          <w:tcPr>
            <w:tcW w:w="1024" w:type="dxa"/>
            <w:tcBorders>
              <w:top w:val="nil"/>
              <w:left w:val="nil"/>
              <w:bottom w:val="nil"/>
              <w:right w:val="single" w:sz="4" w:space="0" w:color="auto"/>
            </w:tcBorders>
            <w:shd w:val="clear" w:color="000000" w:fill="FFFFFF"/>
            <w:noWrap/>
            <w:vAlign w:val="center"/>
            <w:hideMark/>
          </w:tcPr>
          <w:p w14:paraId="7E7B8CA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33762</w:t>
            </w:r>
          </w:p>
        </w:tc>
        <w:tc>
          <w:tcPr>
            <w:tcW w:w="1120" w:type="dxa"/>
            <w:tcBorders>
              <w:top w:val="nil"/>
              <w:left w:val="nil"/>
              <w:bottom w:val="nil"/>
              <w:right w:val="single" w:sz="4" w:space="0" w:color="auto"/>
            </w:tcBorders>
            <w:shd w:val="clear" w:color="000000" w:fill="FFFFFF"/>
            <w:noWrap/>
            <w:vAlign w:val="bottom"/>
            <w:hideMark/>
          </w:tcPr>
          <w:p w14:paraId="64D11D7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25,734</w:t>
            </w:r>
          </w:p>
        </w:tc>
        <w:tc>
          <w:tcPr>
            <w:tcW w:w="1001" w:type="dxa"/>
            <w:tcBorders>
              <w:top w:val="nil"/>
              <w:left w:val="nil"/>
              <w:bottom w:val="nil"/>
              <w:right w:val="single" w:sz="4" w:space="0" w:color="auto"/>
            </w:tcBorders>
            <w:shd w:val="clear" w:color="000000" w:fill="FFFFFF"/>
            <w:noWrap/>
            <w:vAlign w:val="center"/>
            <w:hideMark/>
          </w:tcPr>
          <w:p w14:paraId="456557C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33,525</w:t>
            </w:r>
          </w:p>
        </w:tc>
        <w:tc>
          <w:tcPr>
            <w:tcW w:w="1074" w:type="dxa"/>
            <w:tcBorders>
              <w:top w:val="nil"/>
              <w:left w:val="nil"/>
              <w:bottom w:val="nil"/>
              <w:right w:val="single" w:sz="4" w:space="0" w:color="auto"/>
            </w:tcBorders>
            <w:shd w:val="clear" w:color="000000" w:fill="FFFFFF"/>
            <w:noWrap/>
            <w:vAlign w:val="center"/>
            <w:hideMark/>
          </w:tcPr>
          <w:p w14:paraId="5BE5EB9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25,518</w:t>
            </w:r>
          </w:p>
        </w:tc>
        <w:tc>
          <w:tcPr>
            <w:tcW w:w="955" w:type="dxa"/>
            <w:tcBorders>
              <w:top w:val="nil"/>
              <w:left w:val="nil"/>
              <w:bottom w:val="nil"/>
              <w:right w:val="single" w:sz="4" w:space="0" w:color="auto"/>
            </w:tcBorders>
            <w:shd w:val="clear" w:color="000000" w:fill="FFFFFF"/>
            <w:noWrap/>
            <w:vAlign w:val="center"/>
            <w:hideMark/>
          </w:tcPr>
          <w:p w14:paraId="1E8C392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118</w:t>
            </w:r>
          </w:p>
        </w:tc>
        <w:tc>
          <w:tcPr>
            <w:tcW w:w="939" w:type="dxa"/>
            <w:tcBorders>
              <w:top w:val="nil"/>
              <w:left w:val="nil"/>
              <w:bottom w:val="nil"/>
              <w:right w:val="nil"/>
            </w:tcBorders>
            <w:shd w:val="clear" w:color="000000" w:fill="FFFFFF"/>
            <w:noWrap/>
            <w:vAlign w:val="center"/>
            <w:hideMark/>
          </w:tcPr>
          <w:p w14:paraId="04796E94"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216</w:t>
            </w:r>
          </w:p>
        </w:tc>
      </w:tr>
      <w:tr w:rsidR="00A36980" w:rsidRPr="005970E9" w14:paraId="38DC7CAB" w14:textId="77777777" w:rsidTr="00216547">
        <w:trPr>
          <w:trHeight w:val="220"/>
          <w:jc w:val="center"/>
        </w:trPr>
        <w:tc>
          <w:tcPr>
            <w:tcW w:w="2320" w:type="dxa"/>
            <w:tcBorders>
              <w:top w:val="nil"/>
              <w:left w:val="nil"/>
              <w:bottom w:val="nil"/>
              <w:right w:val="single" w:sz="4" w:space="0" w:color="auto"/>
            </w:tcBorders>
            <w:shd w:val="clear" w:color="000000" w:fill="FFFFFF"/>
            <w:noWrap/>
            <w:vAlign w:val="center"/>
            <w:hideMark/>
          </w:tcPr>
          <w:p w14:paraId="6078AE66" w14:textId="77777777" w:rsidR="00A36980" w:rsidRPr="005970E9" w:rsidRDefault="00A36980" w:rsidP="00216547">
            <w:pPr>
              <w:rPr>
                <w:rFonts w:eastAsia="Times New Roman" w:cs="Arial"/>
                <w:sz w:val="20"/>
                <w:szCs w:val="20"/>
              </w:rPr>
            </w:pPr>
            <w:r w:rsidRPr="005970E9">
              <w:rPr>
                <w:rFonts w:eastAsia="Times New Roman" w:cs="Arial"/>
                <w:sz w:val="20"/>
                <w:szCs w:val="20"/>
              </w:rPr>
              <w:t>Panamá Oeste</w:t>
            </w:r>
          </w:p>
        </w:tc>
        <w:tc>
          <w:tcPr>
            <w:tcW w:w="1024" w:type="dxa"/>
            <w:tcBorders>
              <w:top w:val="nil"/>
              <w:left w:val="nil"/>
              <w:bottom w:val="nil"/>
              <w:right w:val="single" w:sz="4" w:space="0" w:color="auto"/>
            </w:tcBorders>
            <w:shd w:val="clear" w:color="000000" w:fill="FFFFFF"/>
            <w:noWrap/>
            <w:vAlign w:val="center"/>
            <w:hideMark/>
          </w:tcPr>
          <w:p w14:paraId="10C7731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w:t>
            </w:r>
          </w:p>
        </w:tc>
        <w:tc>
          <w:tcPr>
            <w:tcW w:w="1120" w:type="dxa"/>
            <w:tcBorders>
              <w:top w:val="nil"/>
              <w:left w:val="nil"/>
              <w:bottom w:val="nil"/>
              <w:right w:val="single" w:sz="4" w:space="0" w:color="auto"/>
            </w:tcBorders>
            <w:shd w:val="clear" w:color="000000" w:fill="FFFFFF"/>
            <w:noWrap/>
            <w:vAlign w:val="bottom"/>
            <w:hideMark/>
          </w:tcPr>
          <w:p w14:paraId="4E982D9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11,122</w:t>
            </w:r>
          </w:p>
        </w:tc>
        <w:tc>
          <w:tcPr>
            <w:tcW w:w="1001" w:type="dxa"/>
            <w:tcBorders>
              <w:top w:val="nil"/>
              <w:left w:val="nil"/>
              <w:bottom w:val="nil"/>
              <w:right w:val="single" w:sz="4" w:space="0" w:color="auto"/>
            </w:tcBorders>
            <w:shd w:val="clear" w:color="000000" w:fill="FFFFFF"/>
            <w:noWrap/>
            <w:vAlign w:val="center"/>
            <w:hideMark/>
          </w:tcPr>
          <w:p w14:paraId="3F1A2F6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w:t>
            </w:r>
          </w:p>
        </w:tc>
        <w:tc>
          <w:tcPr>
            <w:tcW w:w="1074" w:type="dxa"/>
            <w:tcBorders>
              <w:top w:val="nil"/>
              <w:left w:val="nil"/>
              <w:bottom w:val="nil"/>
              <w:right w:val="single" w:sz="4" w:space="0" w:color="auto"/>
            </w:tcBorders>
            <w:shd w:val="clear" w:color="000000" w:fill="FFFFFF"/>
            <w:noWrap/>
            <w:vAlign w:val="center"/>
            <w:hideMark/>
          </w:tcPr>
          <w:p w14:paraId="6A99870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10,981</w:t>
            </w:r>
          </w:p>
        </w:tc>
        <w:tc>
          <w:tcPr>
            <w:tcW w:w="955" w:type="dxa"/>
            <w:tcBorders>
              <w:top w:val="nil"/>
              <w:left w:val="nil"/>
              <w:bottom w:val="nil"/>
              <w:right w:val="single" w:sz="4" w:space="0" w:color="auto"/>
            </w:tcBorders>
            <w:shd w:val="clear" w:color="000000" w:fill="FFFFFF"/>
            <w:noWrap/>
            <w:vAlign w:val="center"/>
            <w:hideMark/>
          </w:tcPr>
          <w:p w14:paraId="1EDE77C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w:t>
            </w:r>
          </w:p>
        </w:tc>
        <w:tc>
          <w:tcPr>
            <w:tcW w:w="939" w:type="dxa"/>
            <w:tcBorders>
              <w:top w:val="nil"/>
              <w:left w:val="nil"/>
              <w:bottom w:val="nil"/>
              <w:right w:val="nil"/>
            </w:tcBorders>
            <w:shd w:val="clear" w:color="000000" w:fill="FFFFFF"/>
            <w:noWrap/>
            <w:vAlign w:val="center"/>
            <w:hideMark/>
          </w:tcPr>
          <w:p w14:paraId="57A6E64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141</w:t>
            </w:r>
          </w:p>
        </w:tc>
      </w:tr>
      <w:tr w:rsidR="00A36980" w:rsidRPr="005970E9" w14:paraId="103751F6" w14:textId="77777777" w:rsidTr="00216547">
        <w:trPr>
          <w:trHeight w:val="220"/>
          <w:jc w:val="center"/>
        </w:trPr>
        <w:tc>
          <w:tcPr>
            <w:tcW w:w="2320" w:type="dxa"/>
            <w:tcBorders>
              <w:top w:val="nil"/>
              <w:left w:val="nil"/>
              <w:bottom w:val="nil"/>
              <w:right w:val="single" w:sz="4" w:space="0" w:color="auto"/>
            </w:tcBorders>
            <w:shd w:val="clear" w:color="000000" w:fill="FFFFFF"/>
            <w:noWrap/>
            <w:vAlign w:val="center"/>
            <w:hideMark/>
          </w:tcPr>
          <w:p w14:paraId="7DA78E46" w14:textId="77777777" w:rsidR="00A36980" w:rsidRPr="005970E9" w:rsidRDefault="00A36980" w:rsidP="00216547">
            <w:pPr>
              <w:rPr>
                <w:rFonts w:eastAsia="Times New Roman" w:cs="Arial"/>
                <w:sz w:val="20"/>
                <w:szCs w:val="20"/>
              </w:rPr>
            </w:pPr>
            <w:r w:rsidRPr="005970E9">
              <w:rPr>
                <w:rFonts w:eastAsia="Times New Roman" w:cs="Arial"/>
                <w:sz w:val="20"/>
                <w:szCs w:val="20"/>
              </w:rPr>
              <w:t>Veraguas</w:t>
            </w:r>
          </w:p>
        </w:tc>
        <w:tc>
          <w:tcPr>
            <w:tcW w:w="1024" w:type="dxa"/>
            <w:tcBorders>
              <w:top w:val="nil"/>
              <w:left w:val="nil"/>
              <w:bottom w:val="nil"/>
              <w:right w:val="single" w:sz="4" w:space="0" w:color="auto"/>
            </w:tcBorders>
            <w:shd w:val="clear" w:color="000000" w:fill="FFFFFF"/>
            <w:noWrap/>
            <w:vAlign w:val="center"/>
            <w:hideMark/>
          </w:tcPr>
          <w:p w14:paraId="200A11B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3686</w:t>
            </w:r>
          </w:p>
        </w:tc>
        <w:tc>
          <w:tcPr>
            <w:tcW w:w="1120" w:type="dxa"/>
            <w:tcBorders>
              <w:top w:val="nil"/>
              <w:left w:val="nil"/>
              <w:bottom w:val="nil"/>
              <w:right w:val="single" w:sz="4" w:space="0" w:color="auto"/>
            </w:tcBorders>
            <w:shd w:val="clear" w:color="000000" w:fill="FFFFFF"/>
            <w:noWrap/>
            <w:vAlign w:val="bottom"/>
            <w:hideMark/>
          </w:tcPr>
          <w:p w14:paraId="3D5542F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4,258</w:t>
            </w:r>
          </w:p>
        </w:tc>
        <w:tc>
          <w:tcPr>
            <w:tcW w:w="1001" w:type="dxa"/>
            <w:tcBorders>
              <w:top w:val="nil"/>
              <w:left w:val="nil"/>
              <w:bottom w:val="nil"/>
              <w:right w:val="single" w:sz="4" w:space="0" w:color="auto"/>
            </w:tcBorders>
            <w:shd w:val="clear" w:color="000000" w:fill="FFFFFF"/>
            <w:noWrap/>
            <w:vAlign w:val="center"/>
            <w:hideMark/>
          </w:tcPr>
          <w:p w14:paraId="0AF6AFC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3,448</w:t>
            </w:r>
          </w:p>
        </w:tc>
        <w:tc>
          <w:tcPr>
            <w:tcW w:w="1074" w:type="dxa"/>
            <w:tcBorders>
              <w:top w:val="nil"/>
              <w:left w:val="nil"/>
              <w:bottom w:val="nil"/>
              <w:right w:val="single" w:sz="4" w:space="0" w:color="auto"/>
            </w:tcBorders>
            <w:shd w:val="clear" w:color="000000" w:fill="FFFFFF"/>
            <w:noWrap/>
            <w:vAlign w:val="center"/>
            <w:hideMark/>
          </w:tcPr>
          <w:p w14:paraId="34C2726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3,993</w:t>
            </w:r>
          </w:p>
        </w:tc>
        <w:tc>
          <w:tcPr>
            <w:tcW w:w="955" w:type="dxa"/>
            <w:tcBorders>
              <w:top w:val="nil"/>
              <w:left w:val="nil"/>
              <w:bottom w:val="nil"/>
              <w:right w:val="single" w:sz="4" w:space="0" w:color="auto"/>
            </w:tcBorders>
            <w:shd w:val="clear" w:color="000000" w:fill="FFFFFF"/>
            <w:noWrap/>
            <w:vAlign w:val="center"/>
            <w:hideMark/>
          </w:tcPr>
          <w:p w14:paraId="22AAF49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238</w:t>
            </w:r>
          </w:p>
        </w:tc>
        <w:tc>
          <w:tcPr>
            <w:tcW w:w="939" w:type="dxa"/>
            <w:tcBorders>
              <w:top w:val="nil"/>
              <w:left w:val="nil"/>
              <w:bottom w:val="nil"/>
              <w:right w:val="nil"/>
            </w:tcBorders>
            <w:shd w:val="clear" w:color="000000" w:fill="FFFFFF"/>
            <w:noWrap/>
            <w:vAlign w:val="center"/>
            <w:hideMark/>
          </w:tcPr>
          <w:p w14:paraId="137525C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265</w:t>
            </w:r>
          </w:p>
        </w:tc>
      </w:tr>
      <w:tr w:rsidR="00A36980" w:rsidRPr="005970E9" w14:paraId="77EF9E46" w14:textId="77777777" w:rsidTr="00216547">
        <w:trPr>
          <w:trHeight w:val="226"/>
          <w:jc w:val="center"/>
        </w:trPr>
        <w:tc>
          <w:tcPr>
            <w:tcW w:w="2320" w:type="dxa"/>
            <w:tcBorders>
              <w:top w:val="nil"/>
              <w:left w:val="nil"/>
              <w:bottom w:val="nil"/>
              <w:right w:val="single" w:sz="4" w:space="0" w:color="auto"/>
            </w:tcBorders>
            <w:shd w:val="clear" w:color="000000" w:fill="FFFFFF"/>
            <w:noWrap/>
            <w:vAlign w:val="center"/>
            <w:hideMark/>
          </w:tcPr>
          <w:p w14:paraId="354FF7DA" w14:textId="77777777" w:rsidR="00A36980" w:rsidRPr="005970E9" w:rsidRDefault="00A36980" w:rsidP="00216547">
            <w:pPr>
              <w:rPr>
                <w:rFonts w:eastAsia="Times New Roman" w:cs="Arial"/>
                <w:color w:val="000000"/>
                <w:sz w:val="20"/>
                <w:szCs w:val="20"/>
              </w:rPr>
            </w:pPr>
            <w:r w:rsidRPr="005970E9">
              <w:rPr>
                <w:rFonts w:eastAsia="Times New Roman" w:cs="Arial"/>
                <w:color w:val="000000"/>
                <w:sz w:val="20"/>
                <w:szCs w:val="20"/>
              </w:rPr>
              <w:t>Comarca Kuna Yala</w:t>
            </w:r>
          </w:p>
        </w:tc>
        <w:tc>
          <w:tcPr>
            <w:tcW w:w="1024" w:type="dxa"/>
            <w:tcBorders>
              <w:top w:val="nil"/>
              <w:left w:val="nil"/>
              <w:bottom w:val="nil"/>
              <w:right w:val="single" w:sz="4" w:space="0" w:color="auto"/>
            </w:tcBorders>
            <w:shd w:val="clear" w:color="000000" w:fill="FFFFFF"/>
            <w:noWrap/>
            <w:vAlign w:val="center"/>
            <w:hideMark/>
          </w:tcPr>
          <w:p w14:paraId="57E4237C"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865</w:t>
            </w:r>
          </w:p>
        </w:tc>
        <w:tc>
          <w:tcPr>
            <w:tcW w:w="1120" w:type="dxa"/>
            <w:tcBorders>
              <w:top w:val="nil"/>
              <w:left w:val="nil"/>
              <w:bottom w:val="nil"/>
              <w:right w:val="single" w:sz="4" w:space="0" w:color="auto"/>
            </w:tcBorders>
            <w:shd w:val="clear" w:color="000000" w:fill="FFFFFF"/>
            <w:noWrap/>
            <w:vAlign w:val="bottom"/>
            <w:hideMark/>
          </w:tcPr>
          <w:p w14:paraId="66323C3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759</w:t>
            </w:r>
          </w:p>
        </w:tc>
        <w:tc>
          <w:tcPr>
            <w:tcW w:w="1001" w:type="dxa"/>
            <w:tcBorders>
              <w:top w:val="nil"/>
              <w:left w:val="nil"/>
              <w:bottom w:val="nil"/>
              <w:right w:val="single" w:sz="4" w:space="0" w:color="auto"/>
            </w:tcBorders>
            <w:shd w:val="clear" w:color="000000" w:fill="FFFFFF"/>
            <w:noWrap/>
            <w:vAlign w:val="center"/>
            <w:hideMark/>
          </w:tcPr>
          <w:p w14:paraId="303CE09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771</w:t>
            </w:r>
          </w:p>
        </w:tc>
        <w:tc>
          <w:tcPr>
            <w:tcW w:w="1074" w:type="dxa"/>
            <w:tcBorders>
              <w:top w:val="nil"/>
              <w:left w:val="nil"/>
              <w:bottom w:val="nil"/>
              <w:right w:val="single" w:sz="4" w:space="0" w:color="auto"/>
            </w:tcBorders>
            <w:shd w:val="clear" w:color="000000" w:fill="FFFFFF"/>
            <w:noWrap/>
            <w:vAlign w:val="center"/>
            <w:hideMark/>
          </w:tcPr>
          <w:p w14:paraId="2A81268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662</w:t>
            </w:r>
          </w:p>
        </w:tc>
        <w:tc>
          <w:tcPr>
            <w:tcW w:w="955" w:type="dxa"/>
            <w:tcBorders>
              <w:top w:val="nil"/>
              <w:left w:val="nil"/>
              <w:bottom w:val="nil"/>
              <w:right w:val="single" w:sz="4" w:space="0" w:color="auto"/>
            </w:tcBorders>
            <w:shd w:val="clear" w:color="000000" w:fill="FFFFFF"/>
            <w:noWrap/>
            <w:vAlign w:val="center"/>
            <w:hideMark/>
          </w:tcPr>
          <w:p w14:paraId="37AFAD7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94</w:t>
            </w:r>
          </w:p>
        </w:tc>
        <w:tc>
          <w:tcPr>
            <w:tcW w:w="939" w:type="dxa"/>
            <w:tcBorders>
              <w:top w:val="nil"/>
              <w:left w:val="nil"/>
              <w:bottom w:val="nil"/>
              <w:right w:val="nil"/>
            </w:tcBorders>
            <w:shd w:val="clear" w:color="000000" w:fill="FFFFFF"/>
            <w:noWrap/>
            <w:vAlign w:val="center"/>
            <w:hideMark/>
          </w:tcPr>
          <w:p w14:paraId="699E45F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97</w:t>
            </w:r>
          </w:p>
        </w:tc>
      </w:tr>
      <w:tr w:rsidR="00A36980" w:rsidRPr="005970E9" w14:paraId="3965BA4F" w14:textId="77777777" w:rsidTr="00216547">
        <w:trPr>
          <w:trHeight w:val="226"/>
          <w:jc w:val="center"/>
        </w:trPr>
        <w:tc>
          <w:tcPr>
            <w:tcW w:w="2320" w:type="dxa"/>
            <w:tcBorders>
              <w:top w:val="nil"/>
              <w:left w:val="nil"/>
              <w:bottom w:val="nil"/>
              <w:right w:val="single" w:sz="4" w:space="0" w:color="auto"/>
            </w:tcBorders>
            <w:shd w:val="clear" w:color="000000" w:fill="FFFFFF"/>
            <w:noWrap/>
            <w:vAlign w:val="center"/>
            <w:hideMark/>
          </w:tcPr>
          <w:p w14:paraId="3E97D971" w14:textId="77777777" w:rsidR="00A36980" w:rsidRPr="005970E9" w:rsidRDefault="00A36980" w:rsidP="00216547">
            <w:pPr>
              <w:rPr>
                <w:rFonts w:eastAsia="Times New Roman" w:cs="Arial"/>
                <w:sz w:val="20"/>
                <w:szCs w:val="20"/>
              </w:rPr>
            </w:pPr>
            <w:r w:rsidRPr="005970E9">
              <w:rPr>
                <w:rFonts w:eastAsia="Times New Roman" w:cs="Arial"/>
                <w:sz w:val="20"/>
                <w:szCs w:val="20"/>
              </w:rPr>
              <w:t>Comarca Emberá</w:t>
            </w:r>
          </w:p>
        </w:tc>
        <w:tc>
          <w:tcPr>
            <w:tcW w:w="1024" w:type="dxa"/>
            <w:tcBorders>
              <w:top w:val="nil"/>
              <w:left w:val="nil"/>
              <w:bottom w:val="nil"/>
              <w:right w:val="single" w:sz="4" w:space="0" w:color="auto"/>
            </w:tcBorders>
            <w:shd w:val="clear" w:color="000000" w:fill="FFFFFF"/>
            <w:noWrap/>
            <w:vAlign w:val="center"/>
            <w:hideMark/>
          </w:tcPr>
          <w:p w14:paraId="627DA12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w:t>
            </w:r>
          </w:p>
        </w:tc>
        <w:tc>
          <w:tcPr>
            <w:tcW w:w="1120" w:type="dxa"/>
            <w:tcBorders>
              <w:top w:val="nil"/>
              <w:left w:val="nil"/>
              <w:bottom w:val="nil"/>
              <w:right w:val="single" w:sz="4" w:space="0" w:color="auto"/>
            </w:tcBorders>
            <w:shd w:val="clear" w:color="000000" w:fill="FFFFFF"/>
            <w:noWrap/>
            <w:vAlign w:val="bottom"/>
            <w:hideMark/>
          </w:tcPr>
          <w:p w14:paraId="089D7FD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268</w:t>
            </w:r>
          </w:p>
        </w:tc>
        <w:tc>
          <w:tcPr>
            <w:tcW w:w="1001" w:type="dxa"/>
            <w:tcBorders>
              <w:top w:val="nil"/>
              <w:left w:val="nil"/>
              <w:bottom w:val="nil"/>
              <w:right w:val="single" w:sz="4" w:space="0" w:color="auto"/>
            </w:tcBorders>
            <w:shd w:val="clear" w:color="000000" w:fill="FFFFFF"/>
            <w:noWrap/>
            <w:vAlign w:val="center"/>
            <w:hideMark/>
          </w:tcPr>
          <w:p w14:paraId="1D3D0C1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w:t>
            </w:r>
          </w:p>
        </w:tc>
        <w:tc>
          <w:tcPr>
            <w:tcW w:w="1074" w:type="dxa"/>
            <w:tcBorders>
              <w:top w:val="nil"/>
              <w:left w:val="nil"/>
              <w:bottom w:val="nil"/>
              <w:right w:val="single" w:sz="4" w:space="0" w:color="auto"/>
            </w:tcBorders>
            <w:shd w:val="clear" w:color="000000" w:fill="FFFFFF"/>
            <w:noWrap/>
            <w:vAlign w:val="center"/>
            <w:hideMark/>
          </w:tcPr>
          <w:p w14:paraId="4A0539F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203</w:t>
            </w:r>
          </w:p>
        </w:tc>
        <w:tc>
          <w:tcPr>
            <w:tcW w:w="955" w:type="dxa"/>
            <w:tcBorders>
              <w:top w:val="nil"/>
              <w:left w:val="nil"/>
              <w:bottom w:val="nil"/>
              <w:right w:val="single" w:sz="4" w:space="0" w:color="auto"/>
            </w:tcBorders>
            <w:shd w:val="clear" w:color="000000" w:fill="FFFFFF"/>
            <w:noWrap/>
            <w:vAlign w:val="center"/>
            <w:hideMark/>
          </w:tcPr>
          <w:p w14:paraId="458DF61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w:t>
            </w:r>
          </w:p>
        </w:tc>
        <w:tc>
          <w:tcPr>
            <w:tcW w:w="939" w:type="dxa"/>
            <w:tcBorders>
              <w:top w:val="nil"/>
              <w:left w:val="nil"/>
              <w:bottom w:val="nil"/>
              <w:right w:val="nil"/>
            </w:tcBorders>
            <w:shd w:val="clear" w:color="000000" w:fill="FFFFFF"/>
            <w:noWrap/>
            <w:vAlign w:val="center"/>
            <w:hideMark/>
          </w:tcPr>
          <w:p w14:paraId="722610F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65</w:t>
            </w:r>
          </w:p>
        </w:tc>
      </w:tr>
      <w:tr w:rsidR="00A36980" w:rsidRPr="005970E9" w14:paraId="44D16E3F" w14:textId="77777777" w:rsidTr="00216547">
        <w:trPr>
          <w:trHeight w:val="226"/>
          <w:jc w:val="center"/>
        </w:trPr>
        <w:tc>
          <w:tcPr>
            <w:tcW w:w="2320" w:type="dxa"/>
            <w:tcBorders>
              <w:top w:val="nil"/>
              <w:left w:val="nil"/>
              <w:bottom w:val="single" w:sz="4" w:space="0" w:color="auto"/>
              <w:right w:val="single" w:sz="4" w:space="0" w:color="auto"/>
            </w:tcBorders>
            <w:shd w:val="clear" w:color="000000" w:fill="FFFFFF"/>
            <w:noWrap/>
            <w:vAlign w:val="center"/>
            <w:hideMark/>
          </w:tcPr>
          <w:p w14:paraId="0EA935CE" w14:textId="77777777" w:rsidR="00A36980" w:rsidRPr="005970E9" w:rsidRDefault="00A36980" w:rsidP="00216547">
            <w:pPr>
              <w:rPr>
                <w:rFonts w:eastAsia="Times New Roman" w:cs="Arial"/>
                <w:sz w:val="20"/>
                <w:szCs w:val="20"/>
              </w:rPr>
            </w:pPr>
            <w:r w:rsidRPr="005970E9">
              <w:rPr>
                <w:rFonts w:eastAsia="Times New Roman" w:cs="Arial"/>
                <w:sz w:val="20"/>
                <w:szCs w:val="20"/>
              </w:rPr>
              <w:t>Comarca Ngäbe Buglé</w:t>
            </w:r>
          </w:p>
        </w:tc>
        <w:tc>
          <w:tcPr>
            <w:tcW w:w="1024" w:type="dxa"/>
            <w:tcBorders>
              <w:top w:val="nil"/>
              <w:left w:val="nil"/>
              <w:bottom w:val="single" w:sz="4" w:space="0" w:color="auto"/>
              <w:right w:val="single" w:sz="4" w:space="0" w:color="auto"/>
            </w:tcBorders>
            <w:shd w:val="clear" w:color="000000" w:fill="FFFFFF"/>
            <w:noWrap/>
            <w:vAlign w:val="center"/>
            <w:hideMark/>
          </w:tcPr>
          <w:p w14:paraId="0C81CFC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4924</w:t>
            </w:r>
          </w:p>
        </w:tc>
        <w:tc>
          <w:tcPr>
            <w:tcW w:w="1120" w:type="dxa"/>
            <w:tcBorders>
              <w:top w:val="nil"/>
              <w:left w:val="nil"/>
              <w:bottom w:val="single" w:sz="4" w:space="0" w:color="auto"/>
              <w:right w:val="single" w:sz="4" w:space="0" w:color="auto"/>
            </w:tcBorders>
            <w:shd w:val="clear" w:color="000000" w:fill="FFFFFF"/>
            <w:noWrap/>
            <w:vAlign w:val="bottom"/>
            <w:hideMark/>
          </w:tcPr>
          <w:p w14:paraId="6B0D5BC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7,946</w:t>
            </w:r>
          </w:p>
        </w:tc>
        <w:tc>
          <w:tcPr>
            <w:tcW w:w="1001" w:type="dxa"/>
            <w:tcBorders>
              <w:top w:val="nil"/>
              <w:left w:val="nil"/>
              <w:bottom w:val="single" w:sz="4" w:space="0" w:color="auto"/>
              <w:right w:val="single" w:sz="4" w:space="0" w:color="auto"/>
            </w:tcBorders>
            <w:shd w:val="clear" w:color="000000" w:fill="FFFFFF"/>
            <w:noWrap/>
            <w:vAlign w:val="center"/>
            <w:hideMark/>
          </w:tcPr>
          <w:p w14:paraId="7A8815D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2,162</w:t>
            </w:r>
          </w:p>
        </w:tc>
        <w:tc>
          <w:tcPr>
            <w:tcW w:w="1074" w:type="dxa"/>
            <w:tcBorders>
              <w:top w:val="nil"/>
              <w:left w:val="nil"/>
              <w:bottom w:val="single" w:sz="4" w:space="0" w:color="auto"/>
              <w:right w:val="single" w:sz="4" w:space="0" w:color="auto"/>
            </w:tcBorders>
            <w:shd w:val="clear" w:color="000000" w:fill="FFFFFF"/>
            <w:noWrap/>
            <w:vAlign w:val="center"/>
            <w:hideMark/>
          </w:tcPr>
          <w:p w14:paraId="51BA22C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4,570</w:t>
            </w:r>
          </w:p>
        </w:tc>
        <w:tc>
          <w:tcPr>
            <w:tcW w:w="955" w:type="dxa"/>
            <w:tcBorders>
              <w:top w:val="nil"/>
              <w:left w:val="nil"/>
              <w:bottom w:val="single" w:sz="4" w:space="0" w:color="auto"/>
              <w:right w:val="single" w:sz="4" w:space="0" w:color="auto"/>
            </w:tcBorders>
            <w:shd w:val="clear" w:color="000000" w:fill="FFFFFF"/>
            <w:noWrap/>
            <w:vAlign w:val="center"/>
            <w:hideMark/>
          </w:tcPr>
          <w:p w14:paraId="6CD5387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2,762</w:t>
            </w:r>
          </w:p>
        </w:tc>
        <w:tc>
          <w:tcPr>
            <w:tcW w:w="939" w:type="dxa"/>
            <w:tcBorders>
              <w:top w:val="nil"/>
              <w:left w:val="nil"/>
              <w:bottom w:val="single" w:sz="4" w:space="0" w:color="auto"/>
              <w:right w:val="nil"/>
            </w:tcBorders>
            <w:shd w:val="clear" w:color="000000" w:fill="FFFFFF"/>
            <w:noWrap/>
            <w:vAlign w:val="center"/>
            <w:hideMark/>
          </w:tcPr>
          <w:p w14:paraId="4AE4C11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3,376</w:t>
            </w:r>
          </w:p>
        </w:tc>
      </w:tr>
      <w:tr w:rsidR="00A36980" w:rsidRPr="005970E9" w14:paraId="77B82A33" w14:textId="77777777" w:rsidTr="00216547">
        <w:trPr>
          <w:trHeight w:val="205"/>
          <w:jc w:val="center"/>
        </w:trPr>
        <w:tc>
          <w:tcPr>
            <w:tcW w:w="8433" w:type="dxa"/>
            <w:gridSpan w:val="7"/>
            <w:tcBorders>
              <w:top w:val="nil"/>
              <w:left w:val="nil"/>
              <w:bottom w:val="nil"/>
              <w:right w:val="nil"/>
            </w:tcBorders>
            <w:shd w:val="clear" w:color="auto" w:fill="auto"/>
            <w:vAlign w:val="center"/>
            <w:hideMark/>
          </w:tcPr>
          <w:p w14:paraId="317F3244" w14:textId="77777777" w:rsidR="00A36980" w:rsidRPr="005970E9" w:rsidRDefault="00A36980" w:rsidP="00216547">
            <w:pPr>
              <w:jc w:val="both"/>
              <w:rPr>
                <w:rFonts w:eastAsia="Times New Roman" w:cs="Arial"/>
                <w:sz w:val="20"/>
                <w:szCs w:val="20"/>
              </w:rPr>
            </w:pPr>
            <w:r w:rsidRPr="005970E9">
              <w:rPr>
                <w:rFonts w:eastAsia="Times New Roman" w:cs="Arial"/>
                <w:sz w:val="20"/>
                <w:szCs w:val="20"/>
              </w:rPr>
              <w:lastRenderedPageBreak/>
              <w:t>(1) Comprende nacimientos ocurridos en instalaciones de salud o asistidos por un profesional de la salud, en el hogar.</w:t>
            </w:r>
          </w:p>
        </w:tc>
      </w:tr>
      <w:tr w:rsidR="00A36980" w:rsidRPr="005970E9" w14:paraId="4D005819" w14:textId="77777777" w:rsidTr="00216547">
        <w:trPr>
          <w:trHeight w:val="205"/>
          <w:jc w:val="center"/>
        </w:trPr>
        <w:tc>
          <w:tcPr>
            <w:tcW w:w="8433" w:type="dxa"/>
            <w:gridSpan w:val="7"/>
            <w:tcBorders>
              <w:top w:val="nil"/>
              <w:left w:val="nil"/>
              <w:bottom w:val="nil"/>
              <w:right w:val="nil"/>
            </w:tcBorders>
            <w:shd w:val="clear" w:color="auto" w:fill="auto"/>
            <w:vAlign w:val="center"/>
            <w:hideMark/>
          </w:tcPr>
          <w:p w14:paraId="6F37DC03" w14:textId="77777777" w:rsidR="00A36980" w:rsidRPr="005970E9" w:rsidRDefault="00A36980" w:rsidP="00216547">
            <w:pPr>
              <w:jc w:val="both"/>
              <w:rPr>
                <w:rFonts w:eastAsia="Times New Roman" w:cs="Arial"/>
                <w:sz w:val="20"/>
                <w:szCs w:val="20"/>
              </w:rPr>
            </w:pPr>
            <w:r w:rsidRPr="005970E9">
              <w:rPr>
                <w:rFonts w:eastAsia="Times New Roman" w:cs="Arial"/>
                <w:sz w:val="20"/>
                <w:szCs w:val="20"/>
              </w:rPr>
              <w:t>(2) Se refiere a los nacimientos ocurridos en el hogar, trayecto al hospital o en cualquier otro sitio, fuera de una instalación de salud, que no tuvieron asistencia de un profesional del campo de la salud. Cantidad nula o cero.</w:t>
            </w:r>
          </w:p>
        </w:tc>
      </w:tr>
      <w:tr w:rsidR="00A36980" w:rsidRPr="005970E9" w14:paraId="4709E821" w14:textId="77777777" w:rsidTr="00216547">
        <w:trPr>
          <w:trHeight w:val="205"/>
          <w:jc w:val="center"/>
        </w:trPr>
        <w:tc>
          <w:tcPr>
            <w:tcW w:w="8433" w:type="dxa"/>
            <w:gridSpan w:val="7"/>
            <w:tcBorders>
              <w:top w:val="nil"/>
              <w:left w:val="nil"/>
              <w:bottom w:val="nil"/>
              <w:right w:val="nil"/>
            </w:tcBorders>
            <w:shd w:val="clear" w:color="auto" w:fill="auto"/>
            <w:vAlign w:val="center"/>
            <w:hideMark/>
          </w:tcPr>
          <w:p w14:paraId="21409E69" w14:textId="77777777" w:rsidR="00A36980" w:rsidRPr="005970E9" w:rsidRDefault="00A36980" w:rsidP="00216547">
            <w:pPr>
              <w:jc w:val="both"/>
              <w:rPr>
                <w:rFonts w:eastAsia="Times New Roman" w:cs="Arial"/>
                <w:sz w:val="20"/>
                <w:szCs w:val="20"/>
              </w:rPr>
            </w:pPr>
            <w:r w:rsidRPr="005970E9">
              <w:rPr>
                <w:rFonts w:eastAsia="Times New Roman" w:cs="Arial"/>
                <w:sz w:val="20"/>
                <w:szCs w:val="20"/>
              </w:rPr>
              <w:t xml:space="preserve">Fuente: INEC, Estadísticas Vitales 2010-2018. Los </w:t>
            </w:r>
            <w:r w:rsidR="00A80161" w:rsidRPr="005970E9">
              <w:rPr>
                <w:rFonts w:eastAsia="Times New Roman" w:cs="Arial"/>
                <w:sz w:val="20"/>
                <w:szCs w:val="20"/>
              </w:rPr>
              <w:t>datos corresponden</w:t>
            </w:r>
            <w:r w:rsidRPr="005970E9">
              <w:rPr>
                <w:rFonts w:eastAsia="Times New Roman" w:cs="Arial"/>
                <w:sz w:val="20"/>
                <w:szCs w:val="20"/>
              </w:rPr>
              <w:t xml:space="preserve"> a datos del MINSA, CSS y Registro Civil. </w:t>
            </w:r>
          </w:p>
        </w:tc>
      </w:tr>
    </w:tbl>
    <w:p w14:paraId="621B067D" w14:textId="77777777" w:rsidR="00A36980" w:rsidRPr="005970E9" w:rsidRDefault="00A36980" w:rsidP="00A36980">
      <w:pPr>
        <w:jc w:val="both"/>
      </w:pPr>
    </w:p>
    <w:p w14:paraId="41D4D4B5" w14:textId="1DA2DEC1" w:rsidR="00A36980" w:rsidRPr="005970E9" w:rsidRDefault="00A36980" w:rsidP="00306A6C">
      <w:pPr>
        <w:spacing w:before="120" w:after="120" w:line="276" w:lineRule="auto"/>
        <w:jc w:val="both"/>
      </w:pPr>
      <w:r w:rsidRPr="005970E9">
        <w:t xml:space="preserve">Por otra </w:t>
      </w:r>
      <w:r w:rsidR="00A80161" w:rsidRPr="005970E9">
        <w:t>parte, el</w:t>
      </w:r>
      <w:r w:rsidRPr="005970E9">
        <w:t xml:space="preserve"> tipo de atención profesional que se ofrece incluye a médicos, enfermeras, enfermeras obstetras y técnicos en enfermería. La asistencia no profesional consiste</w:t>
      </w:r>
      <w:r w:rsidR="001949A6" w:rsidRPr="005970E9">
        <w:t>,</w:t>
      </w:r>
      <w:r w:rsidRPr="005970E9">
        <w:t xml:space="preserve"> en </w:t>
      </w:r>
      <w:r w:rsidR="001949A6" w:rsidRPr="005970E9">
        <w:t>menos casos,</w:t>
      </w:r>
      <w:r w:rsidRPr="005970E9">
        <w:t xml:space="preserve"> </w:t>
      </w:r>
      <w:r w:rsidR="001949A6" w:rsidRPr="005970E9">
        <w:t>al acompañamiento de</w:t>
      </w:r>
      <w:r w:rsidRPr="005970E9">
        <w:t xml:space="preserve"> comadronas con o sin adiestramiento y una gran proporción </w:t>
      </w:r>
      <w:r w:rsidR="001949A6" w:rsidRPr="005970E9">
        <w:t>de</w:t>
      </w:r>
      <w:r w:rsidRPr="005970E9">
        <w:t xml:space="preserve"> asistencia no profesional recae en parientes, amigos y vecinos sin ningún grado de experticia, lo cual agrava la condición de la madre y de los recién nacidos </w:t>
      </w:r>
      <w:r w:rsidR="00A80161" w:rsidRPr="005970E9">
        <w:t>sobre todo</w:t>
      </w:r>
      <w:r w:rsidRPr="005970E9">
        <w:t xml:space="preserve"> en el área rural y</w:t>
      </w:r>
      <w:r w:rsidR="001949A6" w:rsidRPr="005970E9">
        <w:t>,</w:t>
      </w:r>
      <w:r w:rsidRPr="005970E9">
        <w:t xml:space="preserve"> específicamente</w:t>
      </w:r>
      <w:r w:rsidR="001949A6" w:rsidRPr="005970E9">
        <w:t>,</w:t>
      </w:r>
      <w:r w:rsidRPr="005970E9">
        <w:t xml:space="preserve"> en las provincias de Bocas del Toro, Veraguas, Coclé y sobre</w:t>
      </w:r>
      <w:r w:rsidR="00A80161" w:rsidRPr="005970E9">
        <w:t xml:space="preserve"> </w:t>
      </w:r>
      <w:r w:rsidRPr="005970E9">
        <w:t>todo las Comarcas indígenas (</w:t>
      </w:r>
      <w:r w:rsidRPr="00FF4DED">
        <w:t>Ver Cuadro No.</w:t>
      </w:r>
      <w:r w:rsidR="00815D3E" w:rsidRPr="00FF4DED">
        <w:t>10 y gráfica 25</w:t>
      </w:r>
      <w:r w:rsidRPr="00FF4DED">
        <w:t>)</w:t>
      </w:r>
      <w:r w:rsidR="001949A6" w:rsidRPr="005970E9">
        <w:t>.</w:t>
      </w:r>
    </w:p>
    <w:p w14:paraId="1CF101CB" w14:textId="2C362E5E" w:rsidR="00A36980" w:rsidRPr="005970E9" w:rsidRDefault="00A36980" w:rsidP="00A36980">
      <w:pPr>
        <w:jc w:val="both"/>
      </w:pPr>
    </w:p>
    <w:p w14:paraId="32817B53" w14:textId="4B86B6D7" w:rsidR="000A44C1" w:rsidRPr="005970E9" w:rsidRDefault="000A44C1" w:rsidP="000A44C1">
      <w:pPr>
        <w:pStyle w:val="Caption"/>
        <w:rPr>
          <w:rFonts w:ascii="Century Schoolbook" w:hAnsi="Century Schoolbook"/>
          <w:sz w:val="22"/>
          <w:szCs w:val="22"/>
        </w:rPr>
      </w:pPr>
      <w:bookmarkStart w:id="191" w:name="_Toc42549257"/>
      <w:r w:rsidRPr="005970E9">
        <w:rPr>
          <w:rFonts w:ascii="Century Schoolbook" w:hAnsi="Century Schoolbook"/>
          <w:sz w:val="22"/>
          <w:szCs w:val="22"/>
        </w:rPr>
        <w:t xml:space="preserve">Gráfica </w:t>
      </w:r>
      <w:r w:rsidR="00F202BE" w:rsidRPr="005970E9">
        <w:rPr>
          <w:rFonts w:ascii="Century Schoolbook" w:hAnsi="Century Schoolbook"/>
          <w:sz w:val="22"/>
          <w:szCs w:val="22"/>
        </w:rPr>
        <w:fldChar w:fldCharType="begin"/>
      </w:r>
      <w:r w:rsidR="00F202BE" w:rsidRPr="005970E9">
        <w:rPr>
          <w:rFonts w:ascii="Century Schoolbook" w:hAnsi="Century Schoolbook"/>
          <w:sz w:val="22"/>
          <w:szCs w:val="22"/>
        </w:rPr>
        <w:instrText xml:space="preserve"> SEQ Gráfica \* ARABIC </w:instrText>
      </w:r>
      <w:r w:rsidR="00F202BE" w:rsidRPr="005970E9">
        <w:rPr>
          <w:rFonts w:ascii="Century Schoolbook" w:hAnsi="Century Schoolbook"/>
          <w:sz w:val="22"/>
          <w:szCs w:val="22"/>
        </w:rPr>
        <w:fldChar w:fldCharType="separate"/>
      </w:r>
      <w:r w:rsidR="00C5041B" w:rsidRPr="005970E9">
        <w:rPr>
          <w:rFonts w:ascii="Century Schoolbook" w:hAnsi="Century Schoolbook"/>
          <w:noProof/>
          <w:sz w:val="22"/>
          <w:szCs w:val="22"/>
        </w:rPr>
        <w:t>25</w:t>
      </w:r>
      <w:r w:rsidR="00F202BE" w:rsidRPr="005970E9">
        <w:rPr>
          <w:rFonts w:ascii="Century Schoolbook" w:hAnsi="Century Schoolbook"/>
          <w:sz w:val="22"/>
          <w:szCs w:val="22"/>
        </w:rPr>
        <w:fldChar w:fldCharType="end"/>
      </w:r>
      <w:r w:rsidRPr="005970E9">
        <w:rPr>
          <w:rFonts w:ascii="Century Schoolbook" w:hAnsi="Century Schoolbook"/>
          <w:sz w:val="22"/>
          <w:szCs w:val="22"/>
        </w:rPr>
        <w:t xml:space="preserve">. </w:t>
      </w:r>
      <w:r w:rsidR="00820926" w:rsidRPr="005970E9">
        <w:rPr>
          <w:rFonts w:ascii="Century Schoolbook" w:hAnsi="Century Schoolbook"/>
          <w:sz w:val="22"/>
          <w:szCs w:val="22"/>
        </w:rPr>
        <w:t>Proporción de nacimientos vivos en la republica sin asistencia profesional: años 2010-2018</w:t>
      </w:r>
      <w:bookmarkEnd w:id="191"/>
    </w:p>
    <w:p w14:paraId="359D950E" w14:textId="77777777" w:rsidR="000A44C1" w:rsidRPr="005970E9" w:rsidRDefault="000A44C1" w:rsidP="00A36980">
      <w:pPr>
        <w:jc w:val="both"/>
      </w:pPr>
    </w:p>
    <w:p w14:paraId="64DE7AA5" w14:textId="77777777" w:rsidR="00A36980" w:rsidRPr="005970E9" w:rsidRDefault="00A36980" w:rsidP="00A36980">
      <w:pPr>
        <w:jc w:val="center"/>
      </w:pPr>
      <w:r w:rsidRPr="005970E9">
        <w:rPr>
          <w:b/>
          <w:noProof/>
        </w:rPr>
        <w:drawing>
          <wp:inline distT="0" distB="0" distL="0" distR="0" wp14:anchorId="3FA36E64" wp14:editId="126729A9">
            <wp:extent cx="4819650" cy="3603172"/>
            <wp:effectExtent l="0" t="0" r="0" b="1651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6140B18" w14:textId="77777777" w:rsidR="00A36980" w:rsidRPr="005970E9" w:rsidRDefault="00A36980" w:rsidP="00A36980">
      <w:pPr>
        <w:jc w:val="center"/>
      </w:pPr>
    </w:p>
    <w:p w14:paraId="493D663A" w14:textId="538793E3" w:rsidR="00935AC4" w:rsidRPr="005970E9" w:rsidRDefault="00935AC4" w:rsidP="00216547">
      <w:pPr>
        <w:jc w:val="center"/>
        <w:rPr>
          <w:rFonts w:eastAsia="Times New Roman" w:cs="Arial"/>
          <w:b/>
          <w:bCs/>
          <w:sz w:val="16"/>
          <w:szCs w:val="16"/>
        </w:rPr>
      </w:pPr>
    </w:p>
    <w:p w14:paraId="13415CFC" w14:textId="62EB35CB" w:rsidR="00935AC4" w:rsidRPr="005970E9" w:rsidRDefault="0049052D" w:rsidP="0049052D">
      <w:pPr>
        <w:pStyle w:val="Caption"/>
        <w:rPr>
          <w:rFonts w:ascii="Century Schoolbook" w:eastAsia="Times New Roman" w:hAnsi="Century Schoolbook" w:cs="Arial"/>
          <w:i w:val="0"/>
          <w:iCs w:val="0"/>
          <w:sz w:val="20"/>
          <w:szCs w:val="20"/>
        </w:rPr>
      </w:pPr>
      <w:bookmarkStart w:id="192" w:name="_Toc42549176"/>
      <w:r w:rsidRPr="005970E9">
        <w:rPr>
          <w:rFonts w:ascii="Century Schoolbook" w:hAnsi="Century Schoolbook"/>
          <w:i w:val="0"/>
          <w:iCs w:val="0"/>
        </w:rPr>
        <w:t xml:space="preserve">Cuadro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Cuadro \* ARABIC </w:instrText>
      </w:r>
      <w:r w:rsidRPr="005970E9">
        <w:rPr>
          <w:rFonts w:ascii="Century Schoolbook" w:hAnsi="Century Schoolbook"/>
          <w:i w:val="0"/>
          <w:iCs w:val="0"/>
        </w:rPr>
        <w:fldChar w:fldCharType="separate"/>
      </w:r>
      <w:r w:rsidR="00C5422E" w:rsidRPr="005970E9">
        <w:rPr>
          <w:rFonts w:ascii="Century Schoolbook" w:hAnsi="Century Schoolbook"/>
          <w:i w:val="0"/>
          <w:iCs w:val="0"/>
          <w:noProof/>
        </w:rPr>
        <w:t>10</w:t>
      </w:r>
      <w:r w:rsidRPr="005970E9">
        <w:rPr>
          <w:rFonts w:ascii="Century Schoolbook" w:hAnsi="Century Schoolbook"/>
          <w:i w:val="0"/>
          <w:iCs w:val="0"/>
        </w:rPr>
        <w:fldChar w:fldCharType="end"/>
      </w:r>
      <w:r w:rsidR="00935AC4" w:rsidRPr="005970E9">
        <w:rPr>
          <w:rFonts w:ascii="Century Schoolbook" w:hAnsi="Century Schoolbook"/>
          <w:i w:val="0"/>
          <w:iCs w:val="0"/>
          <w:sz w:val="20"/>
          <w:szCs w:val="20"/>
        </w:rPr>
        <w:t xml:space="preserve">. </w:t>
      </w:r>
      <w:r w:rsidR="00935AC4" w:rsidRPr="005970E9">
        <w:rPr>
          <w:rFonts w:ascii="Century Schoolbook" w:eastAsia="Times New Roman" w:hAnsi="Century Schoolbook" w:cs="Arial"/>
          <w:i w:val="0"/>
          <w:iCs w:val="0"/>
          <w:sz w:val="20"/>
          <w:szCs w:val="20"/>
        </w:rPr>
        <w:t>NACIMIENTOS VIVOS EN LA REPÚBLICA, POR ASISTENCIA PROFESIONAL Y PERSONA QUE ATENDIÓ EL PARTO, SEGÚN ÁREA, PROVINCIA, COMARCA INDÍGENA:  AÑO 2018</w:t>
      </w:r>
      <w:bookmarkEnd w:id="192"/>
    </w:p>
    <w:tbl>
      <w:tblPr>
        <w:tblW w:w="9674" w:type="dxa"/>
        <w:jc w:val="center"/>
        <w:tblLayout w:type="fixed"/>
        <w:tblCellMar>
          <w:left w:w="70" w:type="dxa"/>
          <w:right w:w="70" w:type="dxa"/>
        </w:tblCellMar>
        <w:tblLook w:val="04A0" w:firstRow="1" w:lastRow="0" w:firstColumn="1" w:lastColumn="0" w:noHBand="0" w:noVBand="1"/>
      </w:tblPr>
      <w:tblGrid>
        <w:gridCol w:w="2006"/>
        <w:gridCol w:w="829"/>
        <w:gridCol w:w="709"/>
        <w:gridCol w:w="709"/>
        <w:gridCol w:w="992"/>
        <w:gridCol w:w="709"/>
        <w:gridCol w:w="709"/>
        <w:gridCol w:w="1282"/>
        <w:gridCol w:w="985"/>
        <w:gridCol w:w="744"/>
      </w:tblGrid>
      <w:tr w:rsidR="00A36980" w:rsidRPr="005970E9" w14:paraId="1C3F8C69" w14:textId="77777777" w:rsidTr="00815565">
        <w:trPr>
          <w:trHeight w:val="135"/>
          <w:jc w:val="center"/>
        </w:trPr>
        <w:tc>
          <w:tcPr>
            <w:tcW w:w="2006" w:type="dxa"/>
            <w:vMerge w:val="restart"/>
            <w:tcBorders>
              <w:top w:val="single" w:sz="4" w:space="0" w:color="auto"/>
              <w:left w:val="nil"/>
              <w:bottom w:val="single" w:sz="4" w:space="0" w:color="000000"/>
              <w:right w:val="single" w:sz="4" w:space="0" w:color="auto"/>
            </w:tcBorders>
            <w:shd w:val="clear" w:color="000000" w:fill="F2F2F2"/>
            <w:vAlign w:val="center"/>
            <w:hideMark/>
          </w:tcPr>
          <w:p w14:paraId="6E60FD7B"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lastRenderedPageBreak/>
              <w:t xml:space="preserve">Área, provincia y comarca </w:t>
            </w:r>
          </w:p>
        </w:tc>
        <w:tc>
          <w:tcPr>
            <w:tcW w:w="82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9E954BE"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Total</w:t>
            </w:r>
          </w:p>
        </w:tc>
        <w:tc>
          <w:tcPr>
            <w:tcW w:w="3119" w:type="dxa"/>
            <w:gridSpan w:val="4"/>
            <w:tcBorders>
              <w:top w:val="single" w:sz="4" w:space="0" w:color="auto"/>
              <w:left w:val="nil"/>
              <w:bottom w:val="single" w:sz="4" w:space="0" w:color="auto"/>
              <w:right w:val="single" w:sz="4" w:space="0" w:color="auto"/>
            </w:tcBorders>
            <w:shd w:val="clear" w:color="000000" w:fill="F2F2F2"/>
            <w:vAlign w:val="center"/>
            <w:hideMark/>
          </w:tcPr>
          <w:p w14:paraId="2764B6A5"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Con asistencia profesional (1)</w:t>
            </w:r>
          </w:p>
        </w:tc>
        <w:tc>
          <w:tcPr>
            <w:tcW w:w="3720" w:type="dxa"/>
            <w:gridSpan w:val="4"/>
            <w:tcBorders>
              <w:top w:val="single" w:sz="4" w:space="0" w:color="auto"/>
              <w:left w:val="nil"/>
              <w:bottom w:val="single" w:sz="4" w:space="0" w:color="auto"/>
              <w:right w:val="nil"/>
            </w:tcBorders>
            <w:shd w:val="clear" w:color="000000" w:fill="F2F2F2"/>
            <w:vAlign w:val="center"/>
            <w:hideMark/>
          </w:tcPr>
          <w:p w14:paraId="5DBFA591"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Sin asistencia profesional (2)</w:t>
            </w:r>
          </w:p>
        </w:tc>
      </w:tr>
      <w:tr w:rsidR="00A36980" w:rsidRPr="005970E9" w14:paraId="4994C105" w14:textId="77777777" w:rsidTr="00815565">
        <w:trPr>
          <w:trHeight w:val="88"/>
          <w:jc w:val="center"/>
        </w:trPr>
        <w:tc>
          <w:tcPr>
            <w:tcW w:w="2006" w:type="dxa"/>
            <w:vMerge/>
            <w:tcBorders>
              <w:top w:val="single" w:sz="4" w:space="0" w:color="auto"/>
              <w:left w:val="nil"/>
              <w:bottom w:val="single" w:sz="4" w:space="0" w:color="000000"/>
              <w:right w:val="single" w:sz="4" w:space="0" w:color="auto"/>
            </w:tcBorders>
            <w:vAlign w:val="center"/>
            <w:hideMark/>
          </w:tcPr>
          <w:p w14:paraId="4CFA5EBA" w14:textId="77777777" w:rsidR="00A36980" w:rsidRPr="005970E9" w:rsidRDefault="00A36980" w:rsidP="00216547">
            <w:pPr>
              <w:rPr>
                <w:rFonts w:eastAsia="Times New Roman" w:cs="Arial"/>
                <w:b/>
                <w:bCs/>
                <w:sz w:val="16"/>
                <w:szCs w:val="16"/>
              </w:rPr>
            </w:pPr>
          </w:p>
        </w:tc>
        <w:tc>
          <w:tcPr>
            <w:tcW w:w="829" w:type="dxa"/>
            <w:vMerge/>
            <w:tcBorders>
              <w:top w:val="single" w:sz="4" w:space="0" w:color="auto"/>
              <w:left w:val="single" w:sz="4" w:space="0" w:color="auto"/>
              <w:bottom w:val="single" w:sz="4" w:space="0" w:color="auto"/>
              <w:right w:val="single" w:sz="4" w:space="0" w:color="auto"/>
            </w:tcBorders>
            <w:vAlign w:val="center"/>
            <w:hideMark/>
          </w:tcPr>
          <w:p w14:paraId="3C10E375" w14:textId="77777777" w:rsidR="00A36980" w:rsidRPr="005970E9" w:rsidRDefault="00A36980" w:rsidP="00216547">
            <w:pPr>
              <w:rPr>
                <w:rFonts w:eastAsia="Times New Roman" w:cs="Arial"/>
                <w:b/>
                <w:bCs/>
                <w:sz w:val="16"/>
                <w:szCs w:val="16"/>
              </w:rPr>
            </w:pPr>
          </w:p>
        </w:tc>
        <w:tc>
          <w:tcPr>
            <w:tcW w:w="70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6EF2C9D5"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 xml:space="preserve">Total </w:t>
            </w:r>
          </w:p>
        </w:tc>
        <w:tc>
          <w:tcPr>
            <w:tcW w:w="70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7335D169"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Médico</w:t>
            </w:r>
          </w:p>
        </w:tc>
        <w:tc>
          <w:tcPr>
            <w:tcW w:w="992"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72AF8BAC" w14:textId="5DB96C8C"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Enfermera o Enf. Obstetra</w:t>
            </w:r>
          </w:p>
        </w:tc>
        <w:tc>
          <w:tcPr>
            <w:tcW w:w="70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538E404A"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 xml:space="preserve">Téc. </w:t>
            </w:r>
            <w:r w:rsidR="00A80161" w:rsidRPr="005970E9">
              <w:rPr>
                <w:rFonts w:eastAsia="Times New Roman" w:cs="Arial"/>
                <w:b/>
                <w:bCs/>
                <w:sz w:val="16"/>
                <w:szCs w:val="16"/>
              </w:rPr>
              <w:t>en Enfer</w:t>
            </w:r>
            <w:r w:rsidRPr="005970E9">
              <w:rPr>
                <w:rFonts w:eastAsia="Times New Roman" w:cs="Arial"/>
                <w:b/>
                <w:bCs/>
                <w:sz w:val="16"/>
                <w:szCs w:val="16"/>
              </w:rPr>
              <w:t>-mería</w:t>
            </w:r>
          </w:p>
        </w:tc>
        <w:tc>
          <w:tcPr>
            <w:tcW w:w="709" w:type="dxa"/>
            <w:vMerge w:val="restart"/>
            <w:tcBorders>
              <w:top w:val="nil"/>
              <w:left w:val="single" w:sz="4" w:space="0" w:color="auto"/>
              <w:bottom w:val="single" w:sz="4" w:space="0" w:color="000000"/>
              <w:right w:val="nil"/>
            </w:tcBorders>
            <w:shd w:val="clear" w:color="000000" w:fill="F2F2F2"/>
            <w:vAlign w:val="center"/>
            <w:hideMark/>
          </w:tcPr>
          <w:p w14:paraId="13454C00"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 xml:space="preserve">Total </w:t>
            </w:r>
          </w:p>
        </w:tc>
        <w:tc>
          <w:tcPr>
            <w:tcW w:w="2267"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4814BCD"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Comadronas</w:t>
            </w:r>
          </w:p>
        </w:tc>
        <w:tc>
          <w:tcPr>
            <w:tcW w:w="744" w:type="dxa"/>
            <w:vMerge w:val="restart"/>
            <w:tcBorders>
              <w:top w:val="nil"/>
              <w:left w:val="nil"/>
              <w:bottom w:val="single" w:sz="4" w:space="0" w:color="000000"/>
              <w:right w:val="nil"/>
            </w:tcBorders>
            <w:shd w:val="clear" w:color="000000" w:fill="F2F2F2"/>
            <w:vAlign w:val="center"/>
            <w:hideMark/>
          </w:tcPr>
          <w:p w14:paraId="4F45F354"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Otra (3)</w:t>
            </w:r>
          </w:p>
        </w:tc>
      </w:tr>
      <w:tr w:rsidR="00A36980" w:rsidRPr="005970E9" w14:paraId="6514E6E4" w14:textId="77777777" w:rsidTr="00815565">
        <w:trPr>
          <w:trHeight w:val="130"/>
          <w:jc w:val="center"/>
        </w:trPr>
        <w:tc>
          <w:tcPr>
            <w:tcW w:w="2006" w:type="dxa"/>
            <w:vMerge/>
            <w:tcBorders>
              <w:top w:val="single" w:sz="4" w:space="0" w:color="auto"/>
              <w:left w:val="nil"/>
              <w:bottom w:val="single" w:sz="4" w:space="0" w:color="000000"/>
              <w:right w:val="single" w:sz="4" w:space="0" w:color="auto"/>
            </w:tcBorders>
            <w:vAlign w:val="center"/>
            <w:hideMark/>
          </w:tcPr>
          <w:p w14:paraId="6ABDBF0C" w14:textId="77777777" w:rsidR="00A36980" w:rsidRPr="005970E9" w:rsidRDefault="00A36980" w:rsidP="00216547">
            <w:pPr>
              <w:rPr>
                <w:rFonts w:eastAsia="Times New Roman" w:cs="Arial"/>
                <w:b/>
                <w:bCs/>
                <w:sz w:val="16"/>
                <w:szCs w:val="16"/>
              </w:rPr>
            </w:pPr>
          </w:p>
        </w:tc>
        <w:tc>
          <w:tcPr>
            <w:tcW w:w="829" w:type="dxa"/>
            <w:vMerge/>
            <w:tcBorders>
              <w:top w:val="single" w:sz="4" w:space="0" w:color="auto"/>
              <w:left w:val="single" w:sz="4" w:space="0" w:color="auto"/>
              <w:bottom w:val="single" w:sz="4" w:space="0" w:color="auto"/>
              <w:right w:val="single" w:sz="4" w:space="0" w:color="auto"/>
            </w:tcBorders>
            <w:vAlign w:val="center"/>
            <w:hideMark/>
          </w:tcPr>
          <w:p w14:paraId="0C570E39" w14:textId="77777777" w:rsidR="00A36980" w:rsidRPr="005970E9" w:rsidRDefault="00A36980" w:rsidP="00216547">
            <w:pPr>
              <w:rPr>
                <w:rFonts w:eastAsia="Times New Roman" w:cs="Arial"/>
                <w:b/>
                <w:bCs/>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14:paraId="02C9528A" w14:textId="77777777" w:rsidR="00A36980" w:rsidRPr="005970E9" w:rsidRDefault="00A36980" w:rsidP="00216547">
            <w:pPr>
              <w:rPr>
                <w:rFonts w:eastAsia="Times New Roman" w:cs="Arial"/>
                <w:b/>
                <w:bCs/>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14:paraId="00702398" w14:textId="77777777" w:rsidR="00A36980" w:rsidRPr="005970E9" w:rsidRDefault="00A36980" w:rsidP="00216547">
            <w:pPr>
              <w:rPr>
                <w:rFonts w:eastAsia="Times New Roman" w:cs="Arial"/>
                <w:b/>
                <w:bCs/>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69123F2F" w14:textId="77777777" w:rsidR="00A36980" w:rsidRPr="005970E9" w:rsidRDefault="00A36980" w:rsidP="00216547">
            <w:pPr>
              <w:rPr>
                <w:rFonts w:eastAsia="Times New Roman" w:cs="Arial"/>
                <w:b/>
                <w:bCs/>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14:paraId="7C0ECB0D" w14:textId="77777777" w:rsidR="00A36980" w:rsidRPr="005970E9" w:rsidRDefault="00A36980" w:rsidP="00216547">
            <w:pPr>
              <w:rPr>
                <w:rFonts w:eastAsia="Times New Roman" w:cs="Arial"/>
                <w:b/>
                <w:bCs/>
                <w:sz w:val="16"/>
                <w:szCs w:val="16"/>
              </w:rPr>
            </w:pPr>
          </w:p>
        </w:tc>
        <w:tc>
          <w:tcPr>
            <w:tcW w:w="709" w:type="dxa"/>
            <w:vMerge/>
            <w:tcBorders>
              <w:top w:val="nil"/>
              <w:left w:val="single" w:sz="4" w:space="0" w:color="auto"/>
              <w:bottom w:val="single" w:sz="4" w:space="0" w:color="000000"/>
              <w:right w:val="nil"/>
            </w:tcBorders>
            <w:vAlign w:val="center"/>
            <w:hideMark/>
          </w:tcPr>
          <w:p w14:paraId="5E90AEC7" w14:textId="77777777" w:rsidR="00A36980" w:rsidRPr="005970E9" w:rsidRDefault="00A36980" w:rsidP="00216547">
            <w:pPr>
              <w:rPr>
                <w:rFonts w:eastAsia="Times New Roman" w:cs="Arial"/>
                <w:b/>
                <w:bCs/>
                <w:sz w:val="16"/>
                <w:szCs w:val="16"/>
              </w:rPr>
            </w:pPr>
          </w:p>
        </w:tc>
        <w:tc>
          <w:tcPr>
            <w:tcW w:w="1282" w:type="dxa"/>
            <w:tcBorders>
              <w:top w:val="nil"/>
              <w:left w:val="single" w:sz="4" w:space="0" w:color="auto"/>
              <w:bottom w:val="single" w:sz="4" w:space="0" w:color="auto"/>
              <w:right w:val="single" w:sz="4" w:space="0" w:color="auto"/>
            </w:tcBorders>
            <w:shd w:val="clear" w:color="000000" w:fill="F2F2F2"/>
            <w:vAlign w:val="center"/>
            <w:hideMark/>
          </w:tcPr>
          <w:p w14:paraId="6F8DE846"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Sin adies-tramiento</w:t>
            </w:r>
          </w:p>
        </w:tc>
        <w:tc>
          <w:tcPr>
            <w:tcW w:w="985" w:type="dxa"/>
            <w:tcBorders>
              <w:top w:val="nil"/>
              <w:left w:val="nil"/>
              <w:bottom w:val="single" w:sz="4" w:space="0" w:color="auto"/>
              <w:right w:val="single" w:sz="4" w:space="0" w:color="auto"/>
            </w:tcBorders>
            <w:shd w:val="clear" w:color="000000" w:fill="F2F2F2"/>
            <w:vAlign w:val="center"/>
            <w:hideMark/>
          </w:tcPr>
          <w:p w14:paraId="3214B96B" w14:textId="77777777" w:rsidR="00A36980" w:rsidRPr="005970E9" w:rsidRDefault="00A36980" w:rsidP="00216547">
            <w:pPr>
              <w:jc w:val="center"/>
              <w:rPr>
                <w:rFonts w:eastAsia="Times New Roman" w:cs="Arial"/>
                <w:b/>
                <w:bCs/>
                <w:sz w:val="16"/>
                <w:szCs w:val="16"/>
              </w:rPr>
            </w:pPr>
            <w:r w:rsidRPr="005970E9">
              <w:rPr>
                <w:rFonts w:eastAsia="Times New Roman" w:cs="Arial"/>
                <w:b/>
                <w:bCs/>
                <w:sz w:val="16"/>
                <w:szCs w:val="16"/>
              </w:rPr>
              <w:t>Con adies-tramiento</w:t>
            </w:r>
          </w:p>
        </w:tc>
        <w:tc>
          <w:tcPr>
            <w:tcW w:w="744" w:type="dxa"/>
            <w:vMerge/>
            <w:tcBorders>
              <w:top w:val="nil"/>
              <w:left w:val="nil"/>
              <w:bottom w:val="single" w:sz="4" w:space="0" w:color="000000"/>
              <w:right w:val="nil"/>
            </w:tcBorders>
            <w:vAlign w:val="center"/>
            <w:hideMark/>
          </w:tcPr>
          <w:p w14:paraId="601A1E9A" w14:textId="77777777" w:rsidR="00A36980" w:rsidRPr="005970E9" w:rsidRDefault="00A36980" w:rsidP="00216547">
            <w:pPr>
              <w:rPr>
                <w:rFonts w:eastAsia="Times New Roman" w:cs="Arial"/>
                <w:b/>
                <w:bCs/>
                <w:sz w:val="16"/>
                <w:szCs w:val="16"/>
              </w:rPr>
            </w:pPr>
          </w:p>
        </w:tc>
      </w:tr>
      <w:tr w:rsidR="00A36980" w:rsidRPr="005970E9" w14:paraId="0EFB5E17" w14:textId="77777777" w:rsidTr="00815565">
        <w:trPr>
          <w:trHeight w:val="272"/>
          <w:jc w:val="center"/>
        </w:trPr>
        <w:tc>
          <w:tcPr>
            <w:tcW w:w="2006" w:type="dxa"/>
            <w:tcBorders>
              <w:top w:val="nil"/>
              <w:left w:val="nil"/>
              <w:bottom w:val="nil"/>
              <w:right w:val="nil"/>
            </w:tcBorders>
            <w:shd w:val="clear" w:color="auto" w:fill="auto"/>
            <w:noWrap/>
            <w:vAlign w:val="bottom"/>
            <w:hideMark/>
          </w:tcPr>
          <w:p w14:paraId="6DEA96B6" w14:textId="77777777" w:rsidR="00A36980" w:rsidRPr="005970E9" w:rsidRDefault="00A36980" w:rsidP="00216547">
            <w:pPr>
              <w:rPr>
                <w:rFonts w:eastAsia="Times New Roman" w:cs="Arial"/>
                <w:b/>
                <w:bCs/>
                <w:sz w:val="16"/>
                <w:szCs w:val="16"/>
              </w:rPr>
            </w:pPr>
            <w:r w:rsidRPr="005970E9">
              <w:rPr>
                <w:rFonts w:eastAsia="Times New Roman" w:cs="Arial"/>
                <w:b/>
                <w:bCs/>
                <w:sz w:val="16"/>
                <w:szCs w:val="16"/>
              </w:rPr>
              <w:t>TOTAL</w:t>
            </w:r>
          </w:p>
        </w:tc>
        <w:tc>
          <w:tcPr>
            <w:tcW w:w="829" w:type="dxa"/>
            <w:tcBorders>
              <w:top w:val="nil"/>
              <w:left w:val="single" w:sz="4" w:space="0" w:color="auto"/>
              <w:bottom w:val="nil"/>
              <w:right w:val="single" w:sz="4" w:space="0" w:color="auto"/>
            </w:tcBorders>
            <w:shd w:val="clear" w:color="auto" w:fill="auto"/>
            <w:noWrap/>
            <w:vAlign w:val="bottom"/>
            <w:hideMark/>
          </w:tcPr>
          <w:p w14:paraId="5BA4B4CF" w14:textId="77777777" w:rsidR="00A36980" w:rsidRPr="005970E9" w:rsidRDefault="00A36980" w:rsidP="00216547">
            <w:pPr>
              <w:jc w:val="right"/>
              <w:rPr>
                <w:rFonts w:eastAsia="Times New Roman" w:cs="Arial"/>
                <w:b/>
                <w:bCs/>
                <w:sz w:val="16"/>
                <w:szCs w:val="16"/>
              </w:rPr>
            </w:pPr>
            <w:r w:rsidRPr="005970E9">
              <w:rPr>
                <w:rFonts w:eastAsia="Times New Roman" w:cs="Arial"/>
                <w:b/>
                <w:bCs/>
                <w:sz w:val="16"/>
                <w:szCs w:val="16"/>
              </w:rPr>
              <w:t>76,863</w:t>
            </w:r>
          </w:p>
        </w:tc>
        <w:tc>
          <w:tcPr>
            <w:tcW w:w="709" w:type="dxa"/>
            <w:tcBorders>
              <w:top w:val="nil"/>
              <w:left w:val="nil"/>
              <w:bottom w:val="nil"/>
              <w:right w:val="single" w:sz="4" w:space="0" w:color="auto"/>
            </w:tcBorders>
            <w:shd w:val="clear" w:color="auto" w:fill="auto"/>
            <w:noWrap/>
            <w:vAlign w:val="bottom"/>
            <w:hideMark/>
          </w:tcPr>
          <w:p w14:paraId="58B94A3B" w14:textId="77777777" w:rsidR="00A36980" w:rsidRPr="005970E9" w:rsidRDefault="00A36980" w:rsidP="00216547">
            <w:pPr>
              <w:jc w:val="right"/>
              <w:rPr>
                <w:rFonts w:eastAsia="Times New Roman" w:cs="Arial"/>
                <w:b/>
                <w:bCs/>
                <w:sz w:val="16"/>
                <w:szCs w:val="16"/>
              </w:rPr>
            </w:pPr>
            <w:r w:rsidRPr="005970E9">
              <w:rPr>
                <w:rFonts w:eastAsia="Times New Roman" w:cs="Arial"/>
                <w:b/>
                <w:bCs/>
                <w:sz w:val="16"/>
                <w:szCs w:val="16"/>
              </w:rPr>
              <w:t>71,425</w:t>
            </w:r>
          </w:p>
        </w:tc>
        <w:tc>
          <w:tcPr>
            <w:tcW w:w="709" w:type="dxa"/>
            <w:tcBorders>
              <w:top w:val="nil"/>
              <w:left w:val="nil"/>
              <w:bottom w:val="nil"/>
              <w:right w:val="single" w:sz="4" w:space="0" w:color="auto"/>
            </w:tcBorders>
            <w:shd w:val="clear" w:color="auto" w:fill="auto"/>
            <w:noWrap/>
            <w:vAlign w:val="bottom"/>
            <w:hideMark/>
          </w:tcPr>
          <w:p w14:paraId="57619BE3" w14:textId="77777777" w:rsidR="00A36980" w:rsidRPr="005970E9" w:rsidRDefault="00A36980" w:rsidP="00216547">
            <w:pPr>
              <w:jc w:val="right"/>
              <w:rPr>
                <w:rFonts w:eastAsia="Times New Roman" w:cs="Arial"/>
                <w:b/>
                <w:bCs/>
                <w:sz w:val="16"/>
                <w:szCs w:val="16"/>
              </w:rPr>
            </w:pPr>
            <w:r w:rsidRPr="005970E9">
              <w:rPr>
                <w:rFonts w:eastAsia="Times New Roman" w:cs="Arial"/>
                <w:b/>
                <w:bCs/>
                <w:sz w:val="16"/>
                <w:szCs w:val="16"/>
              </w:rPr>
              <w:t>70,270</w:t>
            </w:r>
          </w:p>
        </w:tc>
        <w:tc>
          <w:tcPr>
            <w:tcW w:w="992" w:type="dxa"/>
            <w:tcBorders>
              <w:top w:val="nil"/>
              <w:left w:val="nil"/>
              <w:bottom w:val="nil"/>
              <w:right w:val="single" w:sz="4" w:space="0" w:color="auto"/>
            </w:tcBorders>
            <w:shd w:val="clear" w:color="auto" w:fill="auto"/>
            <w:noWrap/>
            <w:vAlign w:val="bottom"/>
            <w:hideMark/>
          </w:tcPr>
          <w:p w14:paraId="56A6473A" w14:textId="77777777" w:rsidR="00A36980" w:rsidRPr="005970E9" w:rsidRDefault="00A36980" w:rsidP="00216547">
            <w:pPr>
              <w:jc w:val="right"/>
              <w:rPr>
                <w:rFonts w:eastAsia="Times New Roman" w:cs="Arial"/>
                <w:b/>
                <w:bCs/>
                <w:sz w:val="16"/>
                <w:szCs w:val="16"/>
              </w:rPr>
            </w:pPr>
            <w:r w:rsidRPr="005970E9">
              <w:rPr>
                <w:rFonts w:eastAsia="Times New Roman" w:cs="Arial"/>
                <w:b/>
                <w:bCs/>
                <w:sz w:val="16"/>
                <w:szCs w:val="16"/>
              </w:rPr>
              <w:t>1,098</w:t>
            </w:r>
          </w:p>
        </w:tc>
        <w:tc>
          <w:tcPr>
            <w:tcW w:w="709" w:type="dxa"/>
            <w:tcBorders>
              <w:top w:val="nil"/>
              <w:left w:val="nil"/>
              <w:bottom w:val="nil"/>
              <w:right w:val="single" w:sz="4" w:space="0" w:color="auto"/>
            </w:tcBorders>
            <w:shd w:val="clear" w:color="auto" w:fill="auto"/>
            <w:noWrap/>
            <w:vAlign w:val="bottom"/>
            <w:hideMark/>
          </w:tcPr>
          <w:p w14:paraId="44076E43" w14:textId="77777777" w:rsidR="00A36980" w:rsidRPr="005970E9" w:rsidRDefault="00A36980" w:rsidP="00216547">
            <w:pPr>
              <w:jc w:val="right"/>
              <w:rPr>
                <w:rFonts w:eastAsia="Times New Roman" w:cs="Arial"/>
                <w:b/>
                <w:bCs/>
                <w:sz w:val="16"/>
                <w:szCs w:val="16"/>
              </w:rPr>
            </w:pPr>
            <w:r w:rsidRPr="005970E9">
              <w:rPr>
                <w:rFonts w:eastAsia="Times New Roman" w:cs="Arial"/>
                <w:b/>
                <w:bCs/>
                <w:sz w:val="16"/>
                <w:szCs w:val="16"/>
              </w:rPr>
              <w:t>57</w:t>
            </w:r>
          </w:p>
        </w:tc>
        <w:tc>
          <w:tcPr>
            <w:tcW w:w="709" w:type="dxa"/>
            <w:tcBorders>
              <w:top w:val="nil"/>
              <w:left w:val="nil"/>
              <w:bottom w:val="nil"/>
              <w:right w:val="single" w:sz="4" w:space="0" w:color="auto"/>
            </w:tcBorders>
            <w:shd w:val="clear" w:color="auto" w:fill="auto"/>
            <w:noWrap/>
            <w:vAlign w:val="bottom"/>
            <w:hideMark/>
          </w:tcPr>
          <w:p w14:paraId="6C1DD348" w14:textId="77777777" w:rsidR="00A36980" w:rsidRPr="005970E9" w:rsidRDefault="00A36980" w:rsidP="00216547">
            <w:pPr>
              <w:jc w:val="right"/>
              <w:rPr>
                <w:rFonts w:eastAsia="Times New Roman" w:cs="Arial"/>
                <w:b/>
                <w:bCs/>
                <w:sz w:val="16"/>
                <w:szCs w:val="16"/>
              </w:rPr>
            </w:pPr>
            <w:r w:rsidRPr="005970E9">
              <w:rPr>
                <w:rFonts w:eastAsia="Times New Roman" w:cs="Arial"/>
                <w:b/>
                <w:bCs/>
                <w:sz w:val="16"/>
                <w:szCs w:val="16"/>
              </w:rPr>
              <w:t>5,438</w:t>
            </w:r>
          </w:p>
        </w:tc>
        <w:tc>
          <w:tcPr>
            <w:tcW w:w="1282" w:type="dxa"/>
            <w:tcBorders>
              <w:top w:val="nil"/>
              <w:left w:val="nil"/>
              <w:bottom w:val="nil"/>
              <w:right w:val="single" w:sz="4" w:space="0" w:color="auto"/>
            </w:tcBorders>
            <w:shd w:val="clear" w:color="auto" w:fill="auto"/>
            <w:noWrap/>
            <w:vAlign w:val="bottom"/>
            <w:hideMark/>
          </w:tcPr>
          <w:p w14:paraId="4F3F7448" w14:textId="77777777" w:rsidR="00A36980" w:rsidRPr="005970E9" w:rsidRDefault="00A36980" w:rsidP="00216547">
            <w:pPr>
              <w:jc w:val="right"/>
              <w:rPr>
                <w:rFonts w:eastAsia="Times New Roman" w:cs="Arial"/>
                <w:b/>
                <w:bCs/>
                <w:sz w:val="16"/>
                <w:szCs w:val="16"/>
              </w:rPr>
            </w:pPr>
            <w:r w:rsidRPr="005970E9">
              <w:rPr>
                <w:rFonts w:eastAsia="Times New Roman" w:cs="Arial"/>
                <w:b/>
                <w:bCs/>
                <w:sz w:val="16"/>
                <w:szCs w:val="16"/>
              </w:rPr>
              <w:t>149</w:t>
            </w:r>
          </w:p>
        </w:tc>
        <w:tc>
          <w:tcPr>
            <w:tcW w:w="985" w:type="dxa"/>
            <w:tcBorders>
              <w:top w:val="nil"/>
              <w:left w:val="nil"/>
              <w:bottom w:val="nil"/>
              <w:right w:val="single" w:sz="4" w:space="0" w:color="auto"/>
            </w:tcBorders>
            <w:shd w:val="clear" w:color="auto" w:fill="auto"/>
            <w:noWrap/>
            <w:vAlign w:val="bottom"/>
            <w:hideMark/>
          </w:tcPr>
          <w:p w14:paraId="505CC333" w14:textId="77777777" w:rsidR="00A36980" w:rsidRPr="005970E9" w:rsidRDefault="00A36980" w:rsidP="00216547">
            <w:pPr>
              <w:jc w:val="right"/>
              <w:rPr>
                <w:rFonts w:eastAsia="Times New Roman" w:cs="Arial"/>
                <w:b/>
                <w:bCs/>
                <w:sz w:val="16"/>
                <w:szCs w:val="16"/>
              </w:rPr>
            </w:pPr>
            <w:r w:rsidRPr="005970E9">
              <w:rPr>
                <w:rFonts w:eastAsia="Times New Roman" w:cs="Arial"/>
                <w:b/>
                <w:bCs/>
                <w:sz w:val="16"/>
                <w:szCs w:val="16"/>
              </w:rPr>
              <w:t>873</w:t>
            </w:r>
          </w:p>
        </w:tc>
        <w:tc>
          <w:tcPr>
            <w:tcW w:w="744" w:type="dxa"/>
            <w:tcBorders>
              <w:top w:val="nil"/>
              <w:left w:val="nil"/>
              <w:bottom w:val="nil"/>
              <w:right w:val="nil"/>
            </w:tcBorders>
            <w:shd w:val="clear" w:color="auto" w:fill="auto"/>
            <w:noWrap/>
            <w:vAlign w:val="bottom"/>
            <w:hideMark/>
          </w:tcPr>
          <w:p w14:paraId="11B95B97" w14:textId="77777777" w:rsidR="00A36980" w:rsidRPr="005970E9" w:rsidRDefault="00A36980" w:rsidP="00216547">
            <w:pPr>
              <w:jc w:val="right"/>
              <w:rPr>
                <w:rFonts w:eastAsia="Times New Roman" w:cs="Arial"/>
                <w:b/>
                <w:bCs/>
                <w:sz w:val="16"/>
                <w:szCs w:val="16"/>
              </w:rPr>
            </w:pPr>
            <w:r w:rsidRPr="005970E9">
              <w:rPr>
                <w:rFonts w:eastAsia="Times New Roman" w:cs="Arial"/>
                <w:b/>
                <w:bCs/>
                <w:sz w:val="16"/>
                <w:szCs w:val="16"/>
              </w:rPr>
              <w:t>4,416</w:t>
            </w:r>
          </w:p>
        </w:tc>
      </w:tr>
      <w:tr w:rsidR="00A36980" w:rsidRPr="005970E9" w14:paraId="21933195" w14:textId="77777777" w:rsidTr="00815565">
        <w:trPr>
          <w:trHeight w:val="272"/>
          <w:jc w:val="center"/>
        </w:trPr>
        <w:tc>
          <w:tcPr>
            <w:tcW w:w="2006" w:type="dxa"/>
            <w:tcBorders>
              <w:top w:val="nil"/>
              <w:left w:val="nil"/>
              <w:bottom w:val="nil"/>
              <w:right w:val="nil"/>
            </w:tcBorders>
            <w:shd w:val="clear" w:color="auto" w:fill="auto"/>
            <w:noWrap/>
            <w:vAlign w:val="center"/>
            <w:hideMark/>
          </w:tcPr>
          <w:p w14:paraId="5C554E9A" w14:textId="77777777" w:rsidR="00A36980" w:rsidRPr="005970E9" w:rsidRDefault="00A36980" w:rsidP="00216547">
            <w:pPr>
              <w:ind w:firstLineChars="178" w:firstLine="285"/>
              <w:rPr>
                <w:rFonts w:eastAsia="Times New Roman" w:cs="Arial"/>
                <w:sz w:val="16"/>
                <w:szCs w:val="16"/>
              </w:rPr>
            </w:pPr>
            <w:r w:rsidRPr="005970E9">
              <w:rPr>
                <w:rFonts w:eastAsia="Times New Roman" w:cs="Arial"/>
                <w:sz w:val="16"/>
                <w:szCs w:val="16"/>
              </w:rPr>
              <w:t>Área urbana</w:t>
            </w:r>
          </w:p>
        </w:tc>
        <w:tc>
          <w:tcPr>
            <w:tcW w:w="829" w:type="dxa"/>
            <w:tcBorders>
              <w:top w:val="nil"/>
              <w:left w:val="single" w:sz="4" w:space="0" w:color="auto"/>
              <w:bottom w:val="nil"/>
              <w:right w:val="single" w:sz="4" w:space="0" w:color="auto"/>
            </w:tcBorders>
            <w:shd w:val="clear" w:color="auto" w:fill="auto"/>
            <w:noWrap/>
            <w:vAlign w:val="bottom"/>
            <w:hideMark/>
          </w:tcPr>
          <w:p w14:paraId="4FB55744"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47,859</w:t>
            </w:r>
          </w:p>
        </w:tc>
        <w:tc>
          <w:tcPr>
            <w:tcW w:w="709" w:type="dxa"/>
            <w:tcBorders>
              <w:top w:val="nil"/>
              <w:left w:val="nil"/>
              <w:bottom w:val="nil"/>
              <w:right w:val="single" w:sz="4" w:space="0" w:color="auto"/>
            </w:tcBorders>
            <w:shd w:val="clear" w:color="auto" w:fill="auto"/>
            <w:noWrap/>
            <w:vAlign w:val="bottom"/>
            <w:hideMark/>
          </w:tcPr>
          <w:p w14:paraId="7AE1A610"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47,774</w:t>
            </w:r>
          </w:p>
        </w:tc>
        <w:tc>
          <w:tcPr>
            <w:tcW w:w="709" w:type="dxa"/>
            <w:tcBorders>
              <w:top w:val="nil"/>
              <w:left w:val="nil"/>
              <w:bottom w:val="nil"/>
              <w:right w:val="nil"/>
            </w:tcBorders>
            <w:shd w:val="clear" w:color="auto" w:fill="auto"/>
            <w:noWrap/>
            <w:vAlign w:val="bottom"/>
            <w:hideMark/>
          </w:tcPr>
          <w:p w14:paraId="3DACB643" w14:textId="77777777" w:rsidR="00A36980" w:rsidRPr="005970E9" w:rsidRDefault="00A36980" w:rsidP="00216547">
            <w:pPr>
              <w:jc w:val="right"/>
              <w:rPr>
                <w:rFonts w:eastAsia="Times New Roman"/>
                <w:color w:val="000000"/>
                <w:sz w:val="16"/>
                <w:szCs w:val="16"/>
              </w:rPr>
            </w:pPr>
            <w:r w:rsidRPr="005970E9">
              <w:rPr>
                <w:rFonts w:eastAsia="Times New Roman"/>
                <w:color w:val="000000"/>
                <w:sz w:val="16"/>
                <w:szCs w:val="16"/>
              </w:rPr>
              <w:t>47,224</w:t>
            </w:r>
          </w:p>
        </w:tc>
        <w:tc>
          <w:tcPr>
            <w:tcW w:w="992" w:type="dxa"/>
            <w:tcBorders>
              <w:top w:val="nil"/>
              <w:left w:val="single" w:sz="4" w:space="0" w:color="auto"/>
              <w:bottom w:val="nil"/>
              <w:right w:val="single" w:sz="4" w:space="0" w:color="auto"/>
            </w:tcBorders>
            <w:shd w:val="clear" w:color="auto" w:fill="auto"/>
            <w:noWrap/>
            <w:vAlign w:val="bottom"/>
            <w:hideMark/>
          </w:tcPr>
          <w:p w14:paraId="25D90B52" w14:textId="77777777" w:rsidR="00A36980" w:rsidRPr="005970E9" w:rsidRDefault="00A36980" w:rsidP="00216547">
            <w:pPr>
              <w:jc w:val="right"/>
              <w:rPr>
                <w:rFonts w:eastAsia="Times New Roman"/>
                <w:color w:val="000000"/>
                <w:sz w:val="16"/>
                <w:szCs w:val="16"/>
              </w:rPr>
            </w:pPr>
            <w:r w:rsidRPr="005970E9">
              <w:rPr>
                <w:rFonts w:eastAsia="Times New Roman"/>
                <w:color w:val="000000"/>
                <w:sz w:val="16"/>
                <w:szCs w:val="16"/>
              </w:rPr>
              <w:t>545</w:t>
            </w:r>
          </w:p>
        </w:tc>
        <w:tc>
          <w:tcPr>
            <w:tcW w:w="709" w:type="dxa"/>
            <w:tcBorders>
              <w:top w:val="nil"/>
              <w:left w:val="nil"/>
              <w:bottom w:val="nil"/>
              <w:right w:val="nil"/>
            </w:tcBorders>
            <w:shd w:val="clear" w:color="auto" w:fill="auto"/>
            <w:noWrap/>
            <w:vAlign w:val="bottom"/>
            <w:hideMark/>
          </w:tcPr>
          <w:p w14:paraId="1294209C" w14:textId="77777777" w:rsidR="00A36980" w:rsidRPr="005970E9" w:rsidRDefault="00A36980" w:rsidP="00216547">
            <w:pPr>
              <w:jc w:val="right"/>
              <w:rPr>
                <w:rFonts w:eastAsia="Times New Roman"/>
                <w:color w:val="000000"/>
                <w:sz w:val="16"/>
                <w:szCs w:val="16"/>
              </w:rPr>
            </w:pPr>
            <w:r w:rsidRPr="005970E9">
              <w:rPr>
                <w:rFonts w:eastAsia="Times New Roman"/>
                <w:color w:val="000000"/>
                <w:sz w:val="16"/>
                <w:szCs w:val="16"/>
              </w:rPr>
              <w:t>5</w:t>
            </w:r>
          </w:p>
        </w:tc>
        <w:tc>
          <w:tcPr>
            <w:tcW w:w="709" w:type="dxa"/>
            <w:tcBorders>
              <w:top w:val="nil"/>
              <w:left w:val="single" w:sz="4" w:space="0" w:color="auto"/>
              <w:bottom w:val="nil"/>
              <w:right w:val="single" w:sz="4" w:space="0" w:color="auto"/>
            </w:tcBorders>
            <w:shd w:val="clear" w:color="auto" w:fill="auto"/>
            <w:noWrap/>
            <w:vAlign w:val="bottom"/>
            <w:hideMark/>
          </w:tcPr>
          <w:p w14:paraId="57B3AFA7"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85</w:t>
            </w:r>
          </w:p>
        </w:tc>
        <w:tc>
          <w:tcPr>
            <w:tcW w:w="1282" w:type="dxa"/>
            <w:tcBorders>
              <w:top w:val="nil"/>
              <w:left w:val="nil"/>
              <w:bottom w:val="nil"/>
              <w:right w:val="nil"/>
            </w:tcBorders>
            <w:shd w:val="clear" w:color="auto" w:fill="auto"/>
            <w:noWrap/>
            <w:vAlign w:val="bottom"/>
            <w:hideMark/>
          </w:tcPr>
          <w:p w14:paraId="23666F3D"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w:t>
            </w:r>
          </w:p>
        </w:tc>
        <w:tc>
          <w:tcPr>
            <w:tcW w:w="985" w:type="dxa"/>
            <w:tcBorders>
              <w:top w:val="nil"/>
              <w:left w:val="single" w:sz="4" w:space="0" w:color="auto"/>
              <w:bottom w:val="nil"/>
              <w:right w:val="single" w:sz="4" w:space="0" w:color="auto"/>
            </w:tcBorders>
            <w:shd w:val="clear" w:color="auto" w:fill="auto"/>
            <w:noWrap/>
            <w:vAlign w:val="bottom"/>
            <w:hideMark/>
          </w:tcPr>
          <w:p w14:paraId="2BC63B46" w14:textId="77777777" w:rsidR="00A36980" w:rsidRPr="005970E9" w:rsidRDefault="00A36980" w:rsidP="00216547">
            <w:pPr>
              <w:jc w:val="right"/>
              <w:rPr>
                <w:rFonts w:eastAsia="Times New Roman"/>
                <w:color w:val="000000"/>
                <w:sz w:val="16"/>
                <w:szCs w:val="16"/>
              </w:rPr>
            </w:pPr>
            <w:r w:rsidRPr="005970E9">
              <w:rPr>
                <w:rFonts w:eastAsia="Times New Roman"/>
                <w:color w:val="000000"/>
                <w:sz w:val="16"/>
                <w:szCs w:val="16"/>
              </w:rPr>
              <w:t>2</w:t>
            </w:r>
          </w:p>
        </w:tc>
        <w:tc>
          <w:tcPr>
            <w:tcW w:w="744" w:type="dxa"/>
            <w:tcBorders>
              <w:top w:val="nil"/>
              <w:left w:val="nil"/>
              <w:bottom w:val="nil"/>
              <w:right w:val="nil"/>
            </w:tcBorders>
            <w:shd w:val="clear" w:color="auto" w:fill="auto"/>
            <w:noWrap/>
            <w:vAlign w:val="bottom"/>
            <w:hideMark/>
          </w:tcPr>
          <w:p w14:paraId="6EDCA42C" w14:textId="77777777" w:rsidR="00A36980" w:rsidRPr="005970E9" w:rsidRDefault="00A36980" w:rsidP="00216547">
            <w:pPr>
              <w:jc w:val="right"/>
              <w:rPr>
                <w:rFonts w:eastAsia="Times New Roman"/>
                <w:color w:val="000000"/>
                <w:sz w:val="16"/>
                <w:szCs w:val="16"/>
              </w:rPr>
            </w:pPr>
            <w:r w:rsidRPr="005970E9">
              <w:rPr>
                <w:rFonts w:eastAsia="Times New Roman"/>
                <w:color w:val="000000"/>
                <w:sz w:val="16"/>
                <w:szCs w:val="16"/>
              </w:rPr>
              <w:t>83</w:t>
            </w:r>
          </w:p>
        </w:tc>
      </w:tr>
      <w:tr w:rsidR="00A36980" w:rsidRPr="005970E9" w14:paraId="3228FE24" w14:textId="77777777" w:rsidTr="00815565">
        <w:trPr>
          <w:trHeight w:val="272"/>
          <w:jc w:val="center"/>
        </w:trPr>
        <w:tc>
          <w:tcPr>
            <w:tcW w:w="2006" w:type="dxa"/>
            <w:tcBorders>
              <w:top w:val="nil"/>
              <w:left w:val="nil"/>
              <w:bottom w:val="nil"/>
              <w:right w:val="nil"/>
            </w:tcBorders>
            <w:shd w:val="clear" w:color="auto" w:fill="auto"/>
            <w:noWrap/>
            <w:vAlign w:val="center"/>
            <w:hideMark/>
          </w:tcPr>
          <w:p w14:paraId="26E1F5E0" w14:textId="77777777" w:rsidR="00A36980" w:rsidRPr="005970E9" w:rsidRDefault="00A36980" w:rsidP="00216547">
            <w:pPr>
              <w:ind w:firstLineChars="178" w:firstLine="285"/>
              <w:rPr>
                <w:rFonts w:eastAsia="Times New Roman" w:cs="Arial"/>
                <w:sz w:val="16"/>
                <w:szCs w:val="16"/>
              </w:rPr>
            </w:pPr>
            <w:r w:rsidRPr="005970E9">
              <w:rPr>
                <w:rFonts w:eastAsia="Times New Roman" w:cs="Arial"/>
                <w:sz w:val="16"/>
                <w:szCs w:val="16"/>
              </w:rPr>
              <w:t>Área rural</w:t>
            </w:r>
          </w:p>
        </w:tc>
        <w:tc>
          <w:tcPr>
            <w:tcW w:w="829" w:type="dxa"/>
            <w:tcBorders>
              <w:top w:val="nil"/>
              <w:left w:val="single" w:sz="4" w:space="0" w:color="auto"/>
              <w:bottom w:val="nil"/>
              <w:right w:val="single" w:sz="4" w:space="0" w:color="auto"/>
            </w:tcBorders>
            <w:shd w:val="clear" w:color="auto" w:fill="auto"/>
            <w:noWrap/>
            <w:vAlign w:val="bottom"/>
            <w:hideMark/>
          </w:tcPr>
          <w:p w14:paraId="45A2568F"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29,004</w:t>
            </w:r>
          </w:p>
        </w:tc>
        <w:tc>
          <w:tcPr>
            <w:tcW w:w="709" w:type="dxa"/>
            <w:tcBorders>
              <w:top w:val="nil"/>
              <w:left w:val="nil"/>
              <w:bottom w:val="nil"/>
              <w:right w:val="single" w:sz="4" w:space="0" w:color="auto"/>
            </w:tcBorders>
            <w:shd w:val="clear" w:color="auto" w:fill="auto"/>
            <w:noWrap/>
            <w:vAlign w:val="bottom"/>
            <w:hideMark/>
          </w:tcPr>
          <w:p w14:paraId="7FDF9106"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23,651</w:t>
            </w:r>
          </w:p>
        </w:tc>
        <w:tc>
          <w:tcPr>
            <w:tcW w:w="709" w:type="dxa"/>
            <w:tcBorders>
              <w:top w:val="nil"/>
              <w:left w:val="nil"/>
              <w:bottom w:val="nil"/>
              <w:right w:val="nil"/>
            </w:tcBorders>
            <w:shd w:val="clear" w:color="auto" w:fill="auto"/>
            <w:noWrap/>
            <w:vAlign w:val="bottom"/>
            <w:hideMark/>
          </w:tcPr>
          <w:p w14:paraId="3ECB94A8" w14:textId="77777777" w:rsidR="00A36980" w:rsidRPr="005970E9" w:rsidRDefault="00A36980" w:rsidP="00216547">
            <w:pPr>
              <w:jc w:val="right"/>
              <w:rPr>
                <w:rFonts w:eastAsia="Times New Roman"/>
                <w:color w:val="000000"/>
                <w:sz w:val="16"/>
                <w:szCs w:val="16"/>
              </w:rPr>
            </w:pPr>
            <w:r w:rsidRPr="005970E9">
              <w:rPr>
                <w:rFonts w:eastAsia="Times New Roman"/>
                <w:color w:val="000000"/>
                <w:sz w:val="16"/>
                <w:szCs w:val="16"/>
              </w:rPr>
              <w:t>23,046</w:t>
            </w:r>
          </w:p>
        </w:tc>
        <w:tc>
          <w:tcPr>
            <w:tcW w:w="992" w:type="dxa"/>
            <w:tcBorders>
              <w:top w:val="nil"/>
              <w:left w:val="single" w:sz="4" w:space="0" w:color="auto"/>
              <w:bottom w:val="nil"/>
              <w:right w:val="single" w:sz="4" w:space="0" w:color="auto"/>
            </w:tcBorders>
            <w:shd w:val="clear" w:color="auto" w:fill="auto"/>
            <w:noWrap/>
            <w:vAlign w:val="bottom"/>
            <w:hideMark/>
          </w:tcPr>
          <w:p w14:paraId="2312C614" w14:textId="77777777" w:rsidR="00A36980" w:rsidRPr="005970E9" w:rsidRDefault="00A36980" w:rsidP="00216547">
            <w:pPr>
              <w:jc w:val="right"/>
              <w:rPr>
                <w:rFonts w:eastAsia="Times New Roman"/>
                <w:color w:val="000000"/>
                <w:sz w:val="16"/>
                <w:szCs w:val="16"/>
              </w:rPr>
            </w:pPr>
            <w:r w:rsidRPr="005970E9">
              <w:rPr>
                <w:rFonts w:eastAsia="Times New Roman"/>
                <w:color w:val="000000"/>
                <w:sz w:val="16"/>
                <w:szCs w:val="16"/>
              </w:rPr>
              <w:t>553</w:t>
            </w:r>
          </w:p>
        </w:tc>
        <w:tc>
          <w:tcPr>
            <w:tcW w:w="709" w:type="dxa"/>
            <w:tcBorders>
              <w:top w:val="nil"/>
              <w:left w:val="nil"/>
              <w:bottom w:val="nil"/>
              <w:right w:val="nil"/>
            </w:tcBorders>
            <w:shd w:val="clear" w:color="auto" w:fill="auto"/>
            <w:noWrap/>
            <w:vAlign w:val="bottom"/>
            <w:hideMark/>
          </w:tcPr>
          <w:p w14:paraId="2245A6F6" w14:textId="77777777" w:rsidR="00A36980" w:rsidRPr="005970E9" w:rsidRDefault="00A36980" w:rsidP="00216547">
            <w:pPr>
              <w:jc w:val="right"/>
              <w:rPr>
                <w:rFonts w:eastAsia="Times New Roman"/>
                <w:color w:val="000000"/>
                <w:sz w:val="16"/>
                <w:szCs w:val="16"/>
              </w:rPr>
            </w:pPr>
            <w:r w:rsidRPr="005970E9">
              <w:rPr>
                <w:rFonts w:eastAsia="Times New Roman"/>
                <w:color w:val="000000"/>
                <w:sz w:val="16"/>
                <w:szCs w:val="16"/>
              </w:rPr>
              <w:t>52</w:t>
            </w:r>
          </w:p>
        </w:tc>
        <w:tc>
          <w:tcPr>
            <w:tcW w:w="709" w:type="dxa"/>
            <w:tcBorders>
              <w:top w:val="nil"/>
              <w:left w:val="single" w:sz="4" w:space="0" w:color="auto"/>
              <w:bottom w:val="nil"/>
              <w:right w:val="single" w:sz="4" w:space="0" w:color="auto"/>
            </w:tcBorders>
            <w:shd w:val="clear" w:color="auto" w:fill="auto"/>
            <w:noWrap/>
            <w:vAlign w:val="bottom"/>
            <w:hideMark/>
          </w:tcPr>
          <w:p w14:paraId="6522FFF6"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5,353</w:t>
            </w:r>
          </w:p>
        </w:tc>
        <w:tc>
          <w:tcPr>
            <w:tcW w:w="1282" w:type="dxa"/>
            <w:tcBorders>
              <w:top w:val="nil"/>
              <w:left w:val="nil"/>
              <w:bottom w:val="nil"/>
              <w:right w:val="nil"/>
            </w:tcBorders>
            <w:shd w:val="clear" w:color="auto" w:fill="auto"/>
            <w:noWrap/>
            <w:vAlign w:val="bottom"/>
            <w:hideMark/>
          </w:tcPr>
          <w:p w14:paraId="0AC25CFB" w14:textId="77777777" w:rsidR="00A36980" w:rsidRPr="005970E9" w:rsidRDefault="00A36980" w:rsidP="00216547">
            <w:pPr>
              <w:jc w:val="right"/>
              <w:rPr>
                <w:rFonts w:eastAsia="Times New Roman"/>
                <w:color w:val="000000"/>
                <w:sz w:val="16"/>
                <w:szCs w:val="16"/>
              </w:rPr>
            </w:pPr>
            <w:r w:rsidRPr="005970E9">
              <w:rPr>
                <w:rFonts w:eastAsia="Times New Roman"/>
                <w:color w:val="000000"/>
                <w:sz w:val="16"/>
                <w:szCs w:val="16"/>
              </w:rPr>
              <w:t>149</w:t>
            </w:r>
          </w:p>
        </w:tc>
        <w:tc>
          <w:tcPr>
            <w:tcW w:w="985" w:type="dxa"/>
            <w:tcBorders>
              <w:top w:val="nil"/>
              <w:left w:val="single" w:sz="4" w:space="0" w:color="auto"/>
              <w:bottom w:val="nil"/>
              <w:right w:val="single" w:sz="4" w:space="0" w:color="auto"/>
            </w:tcBorders>
            <w:shd w:val="clear" w:color="auto" w:fill="auto"/>
            <w:noWrap/>
            <w:vAlign w:val="bottom"/>
            <w:hideMark/>
          </w:tcPr>
          <w:p w14:paraId="5D75D024" w14:textId="77777777" w:rsidR="00A36980" w:rsidRPr="005970E9" w:rsidRDefault="00A36980" w:rsidP="00216547">
            <w:pPr>
              <w:jc w:val="right"/>
              <w:rPr>
                <w:rFonts w:eastAsia="Times New Roman"/>
                <w:color w:val="000000"/>
                <w:sz w:val="16"/>
                <w:szCs w:val="16"/>
              </w:rPr>
            </w:pPr>
            <w:r w:rsidRPr="005970E9">
              <w:rPr>
                <w:rFonts w:eastAsia="Times New Roman"/>
                <w:color w:val="000000"/>
                <w:sz w:val="16"/>
                <w:szCs w:val="16"/>
              </w:rPr>
              <w:t>871</w:t>
            </w:r>
          </w:p>
        </w:tc>
        <w:tc>
          <w:tcPr>
            <w:tcW w:w="744" w:type="dxa"/>
            <w:tcBorders>
              <w:top w:val="nil"/>
              <w:left w:val="nil"/>
              <w:bottom w:val="nil"/>
              <w:right w:val="nil"/>
            </w:tcBorders>
            <w:shd w:val="clear" w:color="auto" w:fill="auto"/>
            <w:noWrap/>
            <w:vAlign w:val="bottom"/>
            <w:hideMark/>
          </w:tcPr>
          <w:p w14:paraId="0BBECF72" w14:textId="77777777" w:rsidR="00A36980" w:rsidRPr="005970E9" w:rsidRDefault="00A36980" w:rsidP="00216547">
            <w:pPr>
              <w:jc w:val="right"/>
              <w:rPr>
                <w:rFonts w:eastAsia="Times New Roman"/>
                <w:color w:val="000000"/>
                <w:sz w:val="16"/>
                <w:szCs w:val="16"/>
              </w:rPr>
            </w:pPr>
            <w:r w:rsidRPr="005970E9">
              <w:rPr>
                <w:rFonts w:eastAsia="Times New Roman"/>
                <w:color w:val="000000"/>
                <w:sz w:val="16"/>
                <w:szCs w:val="16"/>
              </w:rPr>
              <w:t>4,333</w:t>
            </w:r>
          </w:p>
        </w:tc>
      </w:tr>
      <w:tr w:rsidR="00A36980" w:rsidRPr="005970E9" w14:paraId="1F7AC631" w14:textId="77777777" w:rsidTr="00815565">
        <w:trPr>
          <w:trHeight w:val="272"/>
          <w:jc w:val="center"/>
        </w:trPr>
        <w:tc>
          <w:tcPr>
            <w:tcW w:w="2006" w:type="dxa"/>
            <w:tcBorders>
              <w:top w:val="nil"/>
              <w:left w:val="nil"/>
              <w:bottom w:val="nil"/>
              <w:right w:val="single" w:sz="4" w:space="0" w:color="auto"/>
            </w:tcBorders>
            <w:shd w:val="clear" w:color="auto" w:fill="auto"/>
            <w:noWrap/>
            <w:vAlign w:val="bottom"/>
            <w:hideMark/>
          </w:tcPr>
          <w:p w14:paraId="69AA679E" w14:textId="77777777" w:rsidR="00A36980" w:rsidRPr="005970E9" w:rsidRDefault="00A36980" w:rsidP="00216547">
            <w:pPr>
              <w:rPr>
                <w:rFonts w:eastAsia="Times New Roman" w:cs="Arial"/>
                <w:sz w:val="16"/>
                <w:szCs w:val="16"/>
              </w:rPr>
            </w:pPr>
            <w:r w:rsidRPr="005970E9">
              <w:rPr>
                <w:rFonts w:eastAsia="Times New Roman" w:cs="Arial"/>
                <w:sz w:val="16"/>
                <w:szCs w:val="16"/>
              </w:rPr>
              <w:t>Bocas del Toro</w:t>
            </w:r>
          </w:p>
        </w:tc>
        <w:tc>
          <w:tcPr>
            <w:tcW w:w="829" w:type="dxa"/>
            <w:tcBorders>
              <w:top w:val="nil"/>
              <w:left w:val="nil"/>
              <w:bottom w:val="nil"/>
              <w:right w:val="single" w:sz="4" w:space="0" w:color="auto"/>
            </w:tcBorders>
            <w:shd w:val="clear" w:color="auto" w:fill="auto"/>
            <w:noWrap/>
            <w:vAlign w:val="bottom"/>
            <w:hideMark/>
          </w:tcPr>
          <w:p w14:paraId="49560F9C"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4,602</w:t>
            </w:r>
          </w:p>
        </w:tc>
        <w:tc>
          <w:tcPr>
            <w:tcW w:w="709" w:type="dxa"/>
            <w:tcBorders>
              <w:top w:val="nil"/>
              <w:left w:val="nil"/>
              <w:bottom w:val="nil"/>
              <w:right w:val="single" w:sz="4" w:space="0" w:color="auto"/>
            </w:tcBorders>
            <w:shd w:val="clear" w:color="auto" w:fill="auto"/>
            <w:noWrap/>
            <w:vAlign w:val="bottom"/>
            <w:hideMark/>
          </w:tcPr>
          <w:p w14:paraId="05A1AD24"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4,043</w:t>
            </w:r>
          </w:p>
        </w:tc>
        <w:tc>
          <w:tcPr>
            <w:tcW w:w="709" w:type="dxa"/>
            <w:tcBorders>
              <w:top w:val="nil"/>
              <w:left w:val="nil"/>
              <w:bottom w:val="nil"/>
              <w:right w:val="single" w:sz="4" w:space="0" w:color="auto"/>
            </w:tcBorders>
            <w:shd w:val="clear" w:color="auto" w:fill="auto"/>
            <w:noWrap/>
            <w:vAlign w:val="bottom"/>
            <w:hideMark/>
          </w:tcPr>
          <w:p w14:paraId="267BECE9"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3,896</w:t>
            </w:r>
          </w:p>
        </w:tc>
        <w:tc>
          <w:tcPr>
            <w:tcW w:w="992" w:type="dxa"/>
            <w:tcBorders>
              <w:top w:val="nil"/>
              <w:left w:val="nil"/>
              <w:bottom w:val="nil"/>
              <w:right w:val="single" w:sz="4" w:space="0" w:color="auto"/>
            </w:tcBorders>
            <w:shd w:val="clear" w:color="auto" w:fill="auto"/>
            <w:noWrap/>
            <w:vAlign w:val="bottom"/>
            <w:hideMark/>
          </w:tcPr>
          <w:p w14:paraId="7B3C6E46"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147</w:t>
            </w:r>
          </w:p>
        </w:tc>
        <w:tc>
          <w:tcPr>
            <w:tcW w:w="709" w:type="dxa"/>
            <w:tcBorders>
              <w:top w:val="nil"/>
              <w:left w:val="nil"/>
              <w:bottom w:val="nil"/>
              <w:right w:val="single" w:sz="4" w:space="0" w:color="auto"/>
            </w:tcBorders>
            <w:shd w:val="clear" w:color="auto" w:fill="auto"/>
            <w:noWrap/>
            <w:vAlign w:val="bottom"/>
            <w:hideMark/>
          </w:tcPr>
          <w:p w14:paraId="585F6625"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w:t>
            </w:r>
          </w:p>
        </w:tc>
        <w:tc>
          <w:tcPr>
            <w:tcW w:w="709" w:type="dxa"/>
            <w:tcBorders>
              <w:top w:val="nil"/>
              <w:left w:val="nil"/>
              <w:bottom w:val="nil"/>
              <w:right w:val="single" w:sz="4" w:space="0" w:color="auto"/>
            </w:tcBorders>
            <w:shd w:val="clear" w:color="auto" w:fill="auto"/>
            <w:noWrap/>
            <w:vAlign w:val="bottom"/>
            <w:hideMark/>
          </w:tcPr>
          <w:p w14:paraId="5EDE76E0"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559</w:t>
            </w:r>
          </w:p>
        </w:tc>
        <w:tc>
          <w:tcPr>
            <w:tcW w:w="1282" w:type="dxa"/>
            <w:tcBorders>
              <w:top w:val="nil"/>
              <w:left w:val="nil"/>
              <w:bottom w:val="nil"/>
              <w:right w:val="single" w:sz="4" w:space="0" w:color="auto"/>
            </w:tcBorders>
            <w:shd w:val="clear" w:color="auto" w:fill="auto"/>
            <w:noWrap/>
            <w:vAlign w:val="bottom"/>
            <w:hideMark/>
          </w:tcPr>
          <w:p w14:paraId="17835CA0"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16</w:t>
            </w:r>
          </w:p>
        </w:tc>
        <w:tc>
          <w:tcPr>
            <w:tcW w:w="985" w:type="dxa"/>
            <w:tcBorders>
              <w:top w:val="nil"/>
              <w:left w:val="nil"/>
              <w:bottom w:val="nil"/>
              <w:right w:val="single" w:sz="4" w:space="0" w:color="auto"/>
            </w:tcBorders>
            <w:shd w:val="clear" w:color="auto" w:fill="auto"/>
            <w:noWrap/>
            <w:vAlign w:val="bottom"/>
            <w:hideMark/>
          </w:tcPr>
          <w:p w14:paraId="25851329"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96</w:t>
            </w:r>
          </w:p>
        </w:tc>
        <w:tc>
          <w:tcPr>
            <w:tcW w:w="744" w:type="dxa"/>
            <w:tcBorders>
              <w:top w:val="nil"/>
              <w:left w:val="nil"/>
              <w:bottom w:val="nil"/>
              <w:right w:val="nil"/>
            </w:tcBorders>
            <w:shd w:val="clear" w:color="auto" w:fill="auto"/>
            <w:noWrap/>
            <w:vAlign w:val="bottom"/>
            <w:hideMark/>
          </w:tcPr>
          <w:p w14:paraId="7D3CC5BC"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447</w:t>
            </w:r>
          </w:p>
        </w:tc>
      </w:tr>
      <w:tr w:rsidR="00A36980" w:rsidRPr="005970E9" w14:paraId="7E56445C" w14:textId="77777777" w:rsidTr="00815565">
        <w:trPr>
          <w:trHeight w:val="272"/>
          <w:jc w:val="center"/>
        </w:trPr>
        <w:tc>
          <w:tcPr>
            <w:tcW w:w="2006" w:type="dxa"/>
            <w:tcBorders>
              <w:top w:val="nil"/>
              <w:left w:val="nil"/>
              <w:bottom w:val="nil"/>
              <w:right w:val="single" w:sz="4" w:space="0" w:color="auto"/>
            </w:tcBorders>
            <w:shd w:val="clear" w:color="auto" w:fill="auto"/>
            <w:noWrap/>
            <w:vAlign w:val="bottom"/>
            <w:hideMark/>
          </w:tcPr>
          <w:p w14:paraId="44121A3F" w14:textId="77777777" w:rsidR="00A36980" w:rsidRPr="005970E9" w:rsidRDefault="00A36980" w:rsidP="00216547">
            <w:pPr>
              <w:rPr>
                <w:rFonts w:eastAsia="Times New Roman" w:cs="Arial"/>
                <w:sz w:val="16"/>
                <w:szCs w:val="16"/>
              </w:rPr>
            </w:pPr>
            <w:r w:rsidRPr="005970E9">
              <w:rPr>
                <w:rFonts w:eastAsia="Times New Roman" w:cs="Arial"/>
                <w:sz w:val="16"/>
                <w:szCs w:val="16"/>
              </w:rPr>
              <w:t>Coclé</w:t>
            </w:r>
          </w:p>
        </w:tc>
        <w:tc>
          <w:tcPr>
            <w:tcW w:w="829" w:type="dxa"/>
            <w:tcBorders>
              <w:top w:val="nil"/>
              <w:left w:val="nil"/>
              <w:bottom w:val="nil"/>
              <w:right w:val="single" w:sz="4" w:space="0" w:color="auto"/>
            </w:tcBorders>
            <w:shd w:val="clear" w:color="auto" w:fill="auto"/>
            <w:noWrap/>
            <w:vAlign w:val="bottom"/>
            <w:hideMark/>
          </w:tcPr>
          <w:p w14:paraId="0585B191"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4,221</w:t>
            </w:r>
          </w:p>
        </w:tc>
        <w:tc>
          <w:tcPr>
            <w:tcW w:w="709" w:type="dxa"/>
            <w:tcBorders>
              <w:top w:val="nil"/>
              <w:left w:val="nil"/>
              <w:bottom w:val="nil"/>
              <w:right w:val="single" w:sz="4" w:space="0" w:color="auto"/>
            </w:tcBorders>
            <w:shd w:val="clear" w:color="auto" w:fill="auto"/>
            <w:noWrap/>
            <w:vAlign w:val="bottom"/>
            <w:hideMark/>
          </w:tcPr>
          <w:p w14:paraId="74F9B082"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3,988</w:t>
            </w:r>
          </w:p>
        </w:tc>
        <w:tc>
          <w:tcPr>
            <w:tcW w:w="709" w:type="dxa"/>
            <w:tcBorders>
              <w:top w:val="nil"/>
              <w:left w:val="nil"/>
              <w:bottom w:val="nil"/>
              <w:right w:val="single" w:sz="4" w:space="0" w:color="auto"/>
            </w:tcBorders>
            <w:shd w:val="clear" w:color="auto" w:fill="auto"/>
            <w:noWrap/>
            <w:vAlign w:val="bottom"/>
            <w:hideMark/>
          </w:tcPr>
          <w:p w14:paraId="29F56B35"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3,834</w:t>
            </w:r>
          </w:p>
        </w:tc>
        <w:tc>
          <w:tcPr>
            <w:tcW w:w="992" w:type="dxa"/>
            <w:tcBorders>
              <w:top w:val="nil"/>
              <w:left w:val="nil"/>
              <w:bottom w:val="nil"/>
              <w:right w:val="single" w:sz="4" w:space="0" w:color="auto"/>
            </w:tcBorders>
            <w:shd w:val="clear" w:color="auto" w:fill="auto"/>
            <w:noWrap/>
            <w:vAlign w:val="bottom"/>
            <w:hideMark/>
          </w:tcPr>
          <w:p w14:paraId="471E8D05"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153</w:t>
            </w:r>
          </w:p>
        </w:tc>
        <w:tc>
          <w:tcPr>
            <w:tcW w:w="709" w:type="dxa"/>
            <w:tcBorders>
              <w:top w:val="nil"/>
              <w:left w:val="nil"/>
              <w:bottom w:val="nil"/>
              <w:right w:val="single" w:sz="4" w:space="0" w:color="auto"/>
            </w:tcBorders>
            <w:shd w:val="clear" w:color="auto" w:fill="auto"/>
            <w:noWrap/>
            <w:vAlign w:val="bottom"/>
            <w:hideMark/>
          </w:tcPr>
          <w:p w14:paraId="7A14DE91"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w:t>
            </w:r>
          </w:p>
        </w:tc>
        <w:tc>
          <w:tcPr>
            <w:tcW w:w="709" w:type="dxa"/>
            <w:tcBorders>
              <w:top w:val="nil"/>
              <w:left w:val="nil"/>
              <w:bottom w:val="nil"/>
              <w:right w:val="single" w:sz="4" w:space="0" w:color="auto"/>
            </w:tcBorders>
            <w:shd w:val="clear" w:color="auto" w:fill="auto"/>
            <w:noWrap/>
            <w:vAlign w:val="bottom"/>
            <w:hideMark/>
          </w:tcPr>
          <w:p w14:paraId="0DAB5425"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233</w:t>
            </w:r>
          </w:p>
        </w:tc>
        <w:tc>
          <w:tcPr>
            <w:tcW w:w="1282" w:type="dxa"/>
            <w:tcBorders>
              <w:top w:val="nil"/>
              <w:left w:val="nil"/>
              <w:bottom w:val="nil"/>
              <w:right w:val="single" w:sz="4" w:space="0" w:color="auto"/>
            </w:tcBorders>
            <w:shd w:val="clear" w:color="auto" w:fill="auto"/>
            <w:noWrap/>
            <w:vAlign w:val="bottom"/>
            <w:hideMark/>
          </w:tcPr>
          <w:p w14:paraId="00C7BF7A"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13</w:t>
            </w:r>
          </w:p>
        </w:tc>
        <w:tc>
          <w:tcPr>
            <w:tcW w:w="985" w:type="dxa"/>
            <w:tcBorders>
              <w:top w:val="nil"/>
              <w:left w:val="nil"/>
              <w:bottom w:val="nil"/>
              <w:right w:val="single" w:sz="4" w:space="0" w:color="auto"/>
            </w:tcBorders>
            <w:shd w:val="clear" w:color="auto" w:fill="auto"/>
            <w:noWrap/>
            <w:vAlign w:val="bottom"/>
            <w:hideMark/>
          </w:tcPr>
          <w:p w14:paraId="0A0948FF"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8</w:t>
            </w:r>
          </w:p>
        </w:tc>
        <w:tc>
          <w:tcPr>
            <w:tcW w:w="744" w:type="dxa"/>
            <w:tcBorders>
              <w:top w:val="nil"/>
              <w:left w:val="nil"/>
              <w:bottom w:val="nil"/>
              <w:right w:val="nil"/>
            </w:tcBorders>
            <w:shd w:val="clear" w:color="auto" w:fill="auto"/>
            <w:noWrap/>
            <w:vAlign w:val="bottom"/>
            <w:hideMark/>
          </w:tcPr>
          <w:p w14:paraId="21420F6B"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212</w:t>
            </w:r>
          </w:p>
        </w:tc>
      </w:tr>
      <w:tr w:rsidR="00A36980" w:rsidRPr="005970E9" w14:paraId="26DC49FF" w14:textId="77777777" w:rsidTr="00815565">
        <w:trPr>
          <w:trHeight w:val="272"/>
          <w:jc w:val="center"/>
        </w:trPr>
        <w:tc>
          <w:tcPr>
            <w:tcW w:w="2006" w:type="dxa"/>
            <w:tcBorders>
              <w:top w:val="nil"/>
              <w:left w:val="nil"/>
              <w:bottom w:val="nil"/>
              <w:right w:val="single" w:sz="4" w:space="0" w:color="auto"/>
            </w:tcBorders>
            <w:shd w:val="clear" w:color="auto" w:fill="auto"/>
            <w:noWrap/>
            <w:vAlign w:val="bottom"/>
            <w:hideMark/>
          </w:tcPr>
          <w:p w14:paraId="4E8986BA" w14:textId="77777777" w:rsidR="00A36980" w:rsidRPr="005970E9" w:rsidRDefault="00A36980" w:rsidP="00216547">
            <w:pPr>
              <w:rPr>
                <w:rFonts w:eastAsia="Times New Roman" w:cs="Arial"/>
                <w:sz w:val="16"/>
                <w:szCs w:val="16"/>
              </w:rPr>
            </w:pPr>
            <w:r w:rsidRPr="005970E9">
              <w:rPr>
                <w:rFonts w:eastAsia="Times New Roman" w:cs="Arial"/>
                <w:sz w:val="16"/>
                <w:szCs w:val="16"/>
              </w:rPr>
              <w:t>Colón</w:t>
            </w:r>
          </w:p>
        </w:tc>
        <w:tc>
          <w:tcPr>
            <w:tcW w:w="829" w:type="dxa"/>
            <w:tcBorders>
              <w:top w:val="nil"/>
              <w:left w:val="nil"/>
              <w:bottom w:val="nil"/>
              <w:right w:val="single" w:sz="4" w:space="0" w:color="auto"/>
            </w:tcBorders>
            <w:shd w:val="clear" w:color="auto" w:fill="auto"/>
            <w:noWrap/>
            <w:vAlign w:val="bottom"/>
            <w:hideMark/>
          </w:tcPr>
          <w:p w14:paraId="0D027533"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5,444</w:t>
            </w:r>
          </w:p>
        </w:tc>
        <w:tc>
          <w:tcPr>
            <w:tcW w:w="709" w:type="dxa"/>
            <w:tcBorders>
              <w:top w:val="nil"/>
              <w:left w:val="nil"/>
              <w:bottom w:val="nil"/>
              <w:right w:val="single" w:sz="4" w:space="0" w:color="auto"/>
            </w:tcBorders>
            <w:shd w:val="clear" w:color="auto" w:fill="auto"/>
            <w:noWrap/>
            <w:vAlign w:val="bottom"/>
            <w:hideMark/>
          </w:tcPr>
          <w:p w14:paraId="3256E106"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5,254</w:t>
            </w:r>
          </w:p>
        </w:tc>
        <w:tc>
          <w:tcPr>
            <w:tcW w:w="709" w:type="dxa"/>
            <w:tcBorders>
              <w:top w:val="nil"/>
              <w:left w:val="nil"/>
              <w:bottom w:val="nil"/>
              <w:right w:val="single" w:sz="4" w:space="0" w:color="auto"/>
            </w:tcBorders>
            <w:shd w:val="clear" w:color="auto" w:fill="auto"/>
            <w:noWrap/>
            <w:vAlign w:val="bottom"/>
            <w:hideMark/>
          </w:tcPr>
          <w:p w14:paraId="4A035F32"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5,235</w:t>
            </w:r>
          </w:p>
        </w:tc>
        <w:tc>
          <w:tcPr>
            <w:tcW w:w="992" w:type="dxa"/>
            <w:tcBorders>
              <w:top w:val="nil"/>
              <w:left w:val="nil"/>
              <w:bottom w:val="nil"/>
              <w:right w:val="single" w:sz="4" w:space="0" w:color="auto"/>
            </w:tcBorders>
            <w:shd w:val="clear" w:color="auto" w:fill="auto"/>
            <w:noWrap/>
            <w:vAlign w:val="bottom"/>
            <w:hideMark/>
          </w:tcPr>
          <w:p w14:paraId="7E67EDF5"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18</w:t>
            </w:r>
          </w:p>
        </w:tc>
        <w:tc>
          <w:tcPr>
            <w:tcW w:w="709" w:type="dxa"/>
            <w:tcBorders>
              <w:top w:val="nil"/>
              <w:left w:val="nil"/>
              <w:bottom w:val="nil"/>
              <w:right w:val="single" w:sz="4" w:space="0" w:color="auto"/>
            </w:tcBorders>
            <w:shd w:val="clear" w:color="auto" w:fill="auto"/>
            <w:noWrap/>
            <w:vAlign w:val="bottom"/>
            <w:hideMark/>
          </w:tcPr>
          <w:p w14:paraId="7420C650"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w:t>
            </w:r>
          </w:p>
        </w:tc>
        <w:tc>
          <w:tcPr>
            <w:tcW w:w="709" w:type="dxa"/>
            <w:tcBorders>
              <w:top w:val="nil"/>
              <w:left w:val="nil"/>
              <w:bottom w:val="nil"/>
              <w:right w:val="single" w:sz="4" w:space="0" w:color="auto"/>
            </w:tcBorders>
            <w:shd w:val="clear" w:color="auto" w:fill="auto"/>
            <w:noWrap/>
            <w:vAlign w:val="bottom"/>
            <w:hideMark/>
          </w:tcPr>
          <w:p w14:paraId="2864E413"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190</w:t>
            </w:r>
          </w:p>
        </w:tc>
        <w:tc>
          <w:tcPr>
            <w:tcW w:w="1282" w:type="dxa"/>
            <w:tcBorders>
              <w:top w:val="nil"/>
              <w:left w:val="nil"/>
              <w:bottom w:val="nil"/>
              <w:right w:val="single" w:sz="4" w:space="0" w:color="auto"/>
            </w:tcBorders>
            <w:shd w:val="clear" w:color="auto" w:fill="auto"/>
            <w:noWrap/>
            <w:vAlign w:val="bottom"/>
            <w:hideMark/>
          </w:tcPr>
          <w:p w14:paraId="418E6DDE"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4</w:t>
            </w:r>
          </w:p>
        </w:tc>
        <w:tc>
          <w:tcPr>
            <w:tcW w:w="985" w:type="dxa"/>
            <w:tcBorders>
              <w:top w:val="nil"/>
              <w:left w:val="nil"/>
              <w:bottom w:val="nil"/>
              <w:right w:val="single" w:sz="4" w:space="0" w:color="auto"/>
            </w:tcBorders>
            <w:shd w:val="clear" w:color="auto" w:fill="auto"/>
            <w:noWrap/>
            <w:vAlign w:val="bottom"/>
            <w:hideMark/>
          </w:tcPr>
          <w:p w14:paraId="1019A3A2"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7</w:t>
            </w:r>
          </w:p>
        </w:tc>
        <w:tc>
          <w:tcPr>
            <w:tcW w:w="744" w:type="dxa"/>
            <w:tcBorders>
              <w:top w:val="nil"/>
              <w:left w:val="nil"/>
              <w:bottom w:val="nil"/>
              <w:right w:val="nil"/>
            </w:tcBorders>
            <w:shd w:val="clear" w:color="auto" w:fill="auto"/>
            <w:noWrap/>
            <w:vAlign w:val="bottom"/>
            <w:hideMark/>
          </w:tcPr>
          <w:p w14:paraId="42A74A5A"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179</w:t>
            </w:r>
          </w:p>
        </w:tc>
      </w:tr>
      <w:tr w:rsidR="00A36980" w:rsidRPr="005970E9" w14:paraId="50E9F8DF" w14:textId="77777777" w:rsidTr="00815565">
        <w:trPr>
          <w:trHeight w:val="272"/>
          <w:jc w:val="center"/>
        </w:trPr>
        <w:tc>
          <w:tcPr>
            <w:tcW w:w="2006" w:type="dxa"/>
            <w:tcBorders>
              <w:top w:val="nil"/>
              <w:left w:val="nil"/>
              <w:bottom w:val="nil"/>
              <w:right w:val="single" w:sz="4" w:space="0" w:color="auto"/>
            </w:tcBorders>
            <w:shd w:val="clear" w:color="auto" w:fill="auto"/>
            <w:noWrap/>
            <w:vAlign w:val="bottom"/>
            <w:hideMark/>
          </w:tcPr>
          <w:p w14:paraId="6C0F734E" w14:textId="77777777" w:rsidR="00A36980" w:rsidRPr="005970E9" w:rsidRDefault="00A36980" w:rsidP="00216547">
            <w:pPr>
              <w:rPr>
                <w:rFonts w:eastAsia="Times New Roman" w:cs="Arial"/>
                <w:sz w:val="16"/>
                <w:szCs w:val="16"/>
              </w:rPr>
            </w:pPr>
            <w:r w:rsidRPr="005970E9">
              <w:rPr>
                <w:rFonts w:eastAsia="Times New Roman" w:cs="Arial"/>
                <w:sz w:val="16"/>
                <w:szCs w:val="16"/>
              </w:rPr>
              <w:t>Chiriquí</w:t>
            </w:r>
          </w:p>
        </w:tc>
        <w:tc>
          <w:tcPr>
            <w:tcW w:w="829" w:type="dxa"/>
            <w:tcBorders>
              <w:top w:val="nil"/>
              <w:left w:val="nil"/>
              <w:bottom w:val="nil"/>
              <w:right w:val="single" w:sz="4" w:space="0" w:color="auto"/>
            </w:tcBorders>
            <w:shd w:val="clear" w:color="auto" w:fill="auto"/>
            <w:noWrap/>
            <w:vAlign w:val="bottom"/>
            <w:hideMark/>
          </w:tcPr>
          <w:p w14:paraId="27C775F7"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8,551</w:t>
            </w:r>
          </w:p>
        </w:tc>
        <w:tc>
          <w:tcPr>
            <w:tcW w:w="709" w:type="dxa"/>
            <w:tcBorders>
              <w:top w:val="nil"/>
              <w:left w:val="nil"/>
              <w:bottom w:val="nil"/>
              <w:right w:val="single" w:sz="4" w:space="0" w:color="auto"/>
            </w:tcBorders>
            <w:shd w:val="clear" w:color="auto" w:fill="auto"/>
            <w:noWrap/>
            <w:vAlign w:val="bottom"/>
            <w:hideMark/>
          </w:tcPr>
          <w:p w14:paraId="2A055DAC"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8,457</w:t>
            </w:r>
          </w:p>
        </w:tc>
        <w:tc>
          <w:tcPr>
            <w:tcW w:w="709" w:type="dxa"/>
            <w:tcBorders>
              <w:top w:val="nil"/>
              <w:left w:val="nil"/>
              <w:bottom w:val="nil"/>
              <w:right w:val="single" w:sz="4" w:space="0" w:color="auto"/>
            </w:tcBorders>
            <w:shd w:val="clear" w:color="auto" w:fill="auto"/>
            <w:noWrap/>
            <w:vAlign w:val="bottom"/>
            <w:hideMark/>
          </w:tcPr>
          <w:p w14:paraId="2AE75A44"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8,314</w:t>
            </w:r>
          </w:p>
        </w:tc>
        <w:tc>
          <w:tcPr>
            <w:tcW w:w="992" w:type="dxa"/>
            <w:tcBorders>
              <w:top w:val="nil"/>
              <w:left w:val="nil"/>
              <w:bottom w:val="nil"/>
              <w:right w:val="single" w:sz="4" w:space="0" w:color="auto"/>
            </w:tcBorders>
            <w:shd w:val="clear" w:color="auto" w:fill="auto"/>
            <w:noWrap/>
            <w:vAlign w:val="bottom"/>
            <w:hideMark/>
          </w:tcPr>
          <w:p w14:paraId="087EA0D3"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134</w:t>
            </w:r>
          </w:p>
        </w:tc>
        <w:tc>
          <w:tcPr>
            <w:tcW w:w="709" w:type="dxa"/>
            <w:tcBorders>
              <w:top w:val="nil"/>
              <w:left w:val="nil"/>
              <w:bottom w:val="nil"/>
              <w:right w:val="single" w:sz="4" w:space="0" w:color="auto"/>
            </w:tcBorders>
            <w:shd w:val="clear" w:color="auto" w:fill="auto"/>
            <w:noWrap/>
            <w:vAlign w:val="bottom"/>
            <w:hideMark/>
          </w:tcPr>
          <w:p w14:paraId="7CEC6204"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9</w:t>
            </w:r>
          </w:p>
        </w:tc>
        <w:tc>
          <w:tcPr>
            <w:tcW w:w="709" w:type="dxa"/>
            <w:tcBorders>
              <w:top w:val="nil"/>
              <w:left w:val="nil"/>
              <w:bottom w:val="nil"/>
              <w:right w:val="single" w:sz="4" w:space="0" w:color="auto"/>
            </w:tcBorders>
            <w:shd w:val="clear" w:color="auto" w:fill="auto"/>
            <w:noWrap/>
            <w:vAlign w:val="bottom"/>
            <w:hideMark/>
          </w:tcPr>
          <w:p w14:paraId="13792978"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94</w:t>
            </w:r>
          </w:p>
        </w:tc>
        <w:tc>
          <w:tcPr>
            <w:tcW w:w="1282" w:type="dxa"/>
            <w:tcBorders>
              <w:top w:val="nil"/>
              <w:left w:val="nil"/>
              <w:bottom w:val="nil"/>
              <w:right w:val="single" w:sz="4" w:space="0" w:color="auto"/>
            </w:tcBorders>
            <w:shd w:val="clear" w:color="auto" w:fill="auto"/>
            <w:noWrap/>
            <w:vAlign w:val="bottom"/>
            <w:hideMark/>
          </w:tcPr>
          <w:p w14:paraId="2A38975E"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6</w:t>
            </w:r>
          </w:p>
        </w:tc>
        <w:tc>
          <w:tcPr>
            <w:tcW w:w="985" w:type="dxa"/>
            <w:tcBorders>
              <w:top w:val="nil"/>
              <w:left w:val="nil"/>
              <w:bottom w:val="nil"/>
              <w:right w:val="single" w:sz="4" w:space="0" w:color="auto"/>
            </w:tcBorders>
            <w:shd w:val="clear" w:color="auto" w:fill="auto"/>
            <w:noWrap/>
            <w:vAlign w:val="bottom"/>
            <w:hideMark/>
          </w:tcPr>
          <w:p w14:paraId="5813C285"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3</w:t>
            </w:r>
          </w:p>
        </w:tc>
        <w:tc>
          <w:tcPr>
            <w:tcW w:w="744" w:type="dxa"/>
            <w:tcBorders>
              <w:top w:val="nil"/>
              <w:left w:val="nil"/>
              <w:bottom w:val="nil"/>
              <w:right w:val="nil"/>
            </w:tcBorders>
            <w:shd w:val="clear" w:color="auto" w:fill="auto"/>
            <w:noWrap/>
            <w:vAlign w:val="bottom"/>
            <w:hideMark/>
          </w:tcPr>
          <w:p w14:paraId="091A4C33"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85</w:t>
            </w:r>
          </w:p>
        </w:tc>
      </w:tr>
      <w:tr w:rsidR="00A36980" w:rsidRPr="005970E9" w14:paraId="15675053" w14:textId="77777777" w:rsidTr="00815565">
        <w:trPr>
          <w:trHeight w:val="248"/>
          <w:jc w:val="center"/>
        </w:trPr>
        <w:tc>
          <w:tcPr>
            <w:tcW w:w="2006" w:type="dxa"/>
            <w:tcBorders>
              <w:top w:val="nil"/>
              <w:left w:val="nil"/>
              <w:bottom w:val="nil"/>
              <w:right w:val="single" w:sz="4" w:space="0" w:color="auto"/>
            </w:tcBorders>
            <w:shd w:val="clear" w:color="auto" w:fill="auto"/>
            <w:noWrap/>
            <w:vAlign w:val="bottom"/>
            <w:hideMark/>
          </w:tcPr>
          <w:p w14:paraId="3AFD73A1" w14:textId="77777777" w:rsidR="00A36980" w:rsidRPr="005970E9" w:rsidRDefault="00A36980" w:rsidP="00216547">
            <w:pPr>
              <w:rPr>
                <w:rFonts w:eastAsia="Times New Roman" w:cs="Arial"/>
                <w:sz w:val="16"/>
                <w:szCs w:val="16"/>
              </w:rPr>
            </w:pPr>
            <w:r w:rsidRPr="005970E9">
              <w:rPr>
                <w:rFonts w:eastAsia="Times New Roman" w:cs="Arial"/>
                <w:sz w:val="16"/>
                <w:szCs w:val="16"/>
              </w:rPr>
              <w:t>Darién</w:t>
            </w:r>
          </w:p>
        </w:tc>
        <w:tc>
          <w:tcPr>
            <w:tcW w:w="829" w:type="dxa"/>
            <w:tcBorders>
              <w:top w:val="nil"/>
              <w:left w:val="nil"/>
              <w:bottom w:val="nil"/>
              <w:right w:val="single" w:sz="4" w:space="0" w:color="auto"/>
            </w:tcBorders>
            <w:shd w:val="clear" w:color="auto" w:fill="auto"/>
            <w:noWrap/>
            <w:vAlign w:val="bottom"/>
            <w:hideMark/>
          </w:tcPr>
          <w:p w14:paraId="2849C18E"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1,241</w:t>
            </w:r>
          </w:p>
        </w:tc>
        <w:tc>
          <w:tcPr>
            <w:tcW w:w="709" w:type="dxa"/>
            <w:tcBorders>
              <w:top w:val="nil"/>
              <w:left w:val="nil"/>
              <w:bottom w:val="nil"/>
              <w:right w:val="single" w:sz="4" w:space="0" w:color="auto"/>
            </w:tcBorders>
            <w:shd w:val="clear" w:color="auto" w:fill="auto"/>
            <w:noWrap/>
            <w:vAlign w:val="bottom"/>
            <w:hideMark/>
          </w:tcPr>
          <w:p w14:paraId="309324CD"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1,054</w:t>
            </w:r>
          </w:p>
        </w:tc>
        <w:tc>
          <w:tcPr>
            <w:tcW w:w="709" w:type="dxa"/>
            <w:tcBorders>
              <w:top w:val="nil"/>
              <w:left w:val="nil"/>
              <w:bottom w:val="nil"/>
              <w:right w:val="single" w:sz="4" w:space="0" w:color="auto"/>
            </w:tcBorders>
            <w:shd w:val="clear" w:color="auto" w:fill="auto"/>
            <w:noWrap/>
            <w:vAlign w:val="bottom"/>
            <w:hideMark/>
          </w:tcPr>
          <w:p w14:paraId="17F79980"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1,038</w:t>
            </w:r>
          </w:p>
        </w:tc>
        <w:tc>
          <w:tcPr>
            <w:tcW w:w="992" w:type="dxa"/>
            <w:tcBorders>
              <w:top w:val="nil"/>
              <w:left w:val="nil"/>
              <w:bottom w:val="nil"/>
              <w:right w:val="single" w:sz="4" w:space="0" w:color="auto"/>
            </w:tcBorders>
            <w:shd w:val="clear" w:color="auto" w:fill="auto"/>
            <w:noWrap/>
            <w:vAlign w:val="bottom"/>
            <w:hideMark/>
          </w:tcPr>
          <w:p w14:paraId="10C892DA"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14</w:t>
            </w:r>
          </w:p>
        </w:tc>
        <w:tc>
          <w:tcPr>
            <w:tcW w:w="709" w:type="dxa"/>
            <w:tcBorders>
              <w:top w:val="nil"/>
              <w:left w:val="nil"/>
              <w:bottom w:val="nil"/>
              <w:right w:val="single" w:sz="4" w:space="0" w:color="auto"/>
            </w:tcBorders>
            <w:shd w:val="clear" w:color="auto" w:fill="auto"/>
            <w:noWrap/>
            <w:vAlign w:val="bottom"/>
            <w:hideMark/>
          </w:tcPr>
          <w:p w14:paraId="79B67661"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w:t>
            </w:r>
          </w:p>
        </w:tc>
        <w:tc>
          <w:tcPr>
            <w:tcW w:w="709" w:type="dxa"/>
            <w:tcBorders>
              <w:top w:val="nil"/>
              <w:left w:val="nil"/>
              <w:bottom w:val="nil"/>
              <w:right w:val="single" w:sz="4" w:space="0" w:color="auto"/>
            </w:tcBorders>
            <w:shd w:val="clear" w:color="auto" w:fill="auto"/>
            <w:noWrap/>
            <w:vAlign w:val="bottom"/>
            <w:hideMark/>
          </w:tcPr>
          <w:p w14:paraId="67E8687D"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187</w:t>
            </w:r>
          </w:p>
        </w:tc>
        <w:tc>
          <w:tcPr>
            <w:tcW w:w="1282" w:type="dxa"/>
            <w:tcBorders>
              <w:top w:val="nil"/>
              <w:left w:val="nil"/>
              <w:bottom w:val="nil"/>
              <w:right w:val="single" w:sz="4" w:space="0" w:color="auto"/>
            </w:tcBorders>
            <w:shd w:val="clear" w:color="auto" w:fill="auto"/>
            <w:noWrap/>
            <w:vAlign w:val="bottom"/>
            <w:hideMark/>
          </w:tcPr>
          <w:p w14:paraId="59FD69FC"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10</w:t>
            </w:r>
          </w:p>
        </w:tc>
        <w:tc>
          <w:tcPr>
            <w:tcW w:w="985" w:type="dxa"/>
            <w:tcBorders>
              <w:top w:val="nil"/>
              <w:left w:val="nil"/>
              <w:bottom w:val="nil"/>
              <w:right w:val="single" w:sz="4" w:space="0" w:color="auto"/>
            </w:tcBorders>
            <w:shd w:val="clear" w:color="auto" w:fill="auto"/>
            <w:noWrap/>
            <w:vAlign w:val="bottom"/>
            <w:hideMark/>
          </w:tcPr>
          <w:p w14:paraId="69D7DBEF"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11</w:t>
            </w:r>
          </w:p>
        </w:tc>
        <w:tc>
          <w:tcPr>
            <w:tcW w:w="744" w:type="dxa"/>
            <w:tcBorders>
              <w:top w:val="nil"/>
              <w:left w:val="nil"/>
              <w:bottom w:val="nil"/>
              <w:right w:val="nil"/>
            </w:tcBorders>
            <w:shd w:val="clear" w:color="auto" w:fill="auto"/>
            <w:noWrap/>
            <w:vAlign w:val="bottom"/>
            <w:hideMark/>
          </w:tcPr>
          <w:p w14:paraId="191D558A"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166</w:t>
            </w:r>
          </w:p>
        </w:tc>
      </w:tr>
      <w:tr w:rsidR="00A36980" w:rsidRPr="005970E9" w14:paraId="717AE64F" w14:textId="77777777" w:rsidTr="00815565">
        <w:trPr>
          <w:trHeight w:val="248"/>
          <w:jc w:val="center"/>
        </w:trPr>
        <w:tc>
          <w:tcPr>
            <w:tcW w:w="2006" w:type="dxa"/>
            <w:tcBorders>
              <w:top w:val="nil"/>
              <w:left w:val="nil"/>
              <w:bottom w:val="nil"/>
              <w:right w:val="single" w:sz="4" w:space="0" w:color="auto"/>
            </w:tcBorders>
            <w:shd w:val="clear" w:color="auto" w:fill="auto"/>
            <w:noWrap/>
            <w:vAlign w:val="bottom"/>
            <w:hideMark/>
          </w:tcPr>
          <w:p w14:paraId="378134AE" w14:textId="77777777" w:rsidR="00A36980" w:rsidRPr="005970E9" w:rsidRDefault="00A36980" w:rsidP="00216547">
            <w:pPr>
              <w:rPr>
                <w:rFonts w:eastAsia="Times New Roman" w:cs="Arial"/>
                <w:sz w:val="16"/>
                <w:szCs w:val="16"/>
              </w:rPr>
            </w:pPr>
            <w:r w:rsidRPr="005970E9">
              <w:rPr>
                <w:rFonts w:eastAsia="Times New Roman" w:cs="Arial"/>
                <w:sz w:val="16"/>
                <w:szCs w:val="16"/>
              </w:rPr>
              <w:t>Herrera</w:t>
            </w:r>
          </w:p>
        </w:tc>
        <w:tc>
          <w:tcPr>
            <w:tcW w:w="829" w:type="dxa"/>
            <w:tcBorders>
              <w:top w:val="nil"/>
              <w:left w:val="nil"/>
              <w:bottom w:val="nil"/>
              <w:right w:val="single" w:sz="4" w:space="0" w:color="auto"/>
            </w:tcBorders>
            <w:shd w:val="clear" w:color="auto" w:fill="auto"/>
            <w:noWrap/>
            <w:vAlign w:val="bottom"/>
            <w:hideMark/>
          </w:tcPr>
          <w:p w14:paraId="72CEB759"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1,632</w:t>
            </w:r>
          </w:p>
        </w:tc>
        <w:tc>
          <w:tcPr>
            <w:tcW w:w="709" w:type="dxa"/>
            <w:tcBorders>
              <w:top w:val="nil"/>
              <w:left w:val="nil"/>
              <w:bottom w:val="nil"/>
              <w:right w:val="single" w:sz="4" w:space="0" w:color="auto"/>
            </w:tcBorders>
            <w:shd w:val="clear" w:color="auto" w:fill="auto"/>
            <w:noWrap/>
            <w:vAlign w:val="bottom"/>
            <w:hideMark/>
          </w:tcPr>
          <w:p w14:paraId="7F5CBDC0"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1,624</w:t>
            </w:r>
          </w:p>
        </w:tc>
        <w:tc>
          <w:tcPr>
            <w:tcW w:w="709" w:type="dxa"/>
            <w:tcBorders>
              <w:top w:val="nil"/>
              <w:left w:val="nil"/>
              <w:bottom w:val="nil"/>
              <w:right w:val="single" w:sz="4" w:space="0" w:color="auto"/>
            </w:tcBorders>
            <w:shd w:val="clear" w:color="auto" w:fill="auto"/>
            <w:noWrap/>
            <w:vAlign w:val="bottom"/>
            <w:hideMark/>
          </w:tcPr>
          <w:p w14:paraId="23E868A9"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1,600</w:t>
            </w:r>
          </w:p>
        </w:tc>
        <w:tc>
          <w:tcPr>
            <w:tcW w:w="992" w:type="dxa"/>
            <w:tcBorders>
              <w:top w:val="nil"/>
              <w:left w:val="nil"/>
              <w:bottom w:val="nil"/>
              <w:right w:val="single" w:sz="4" w:space="0" w:color="auto"/>
            </w:tcBorders>
            <w:shd w:val="clear" w:color="auto" w:fill="auto"/>
            <w:noWrap/>
            <w:vAlign w:val="bottom"/>
            <w:hideMark/>
          </w:tcPr>
          <w:p w14:paraId="2603E341"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24</w:t>
            </w:r>
          </w:p>
        </w:tc>
        <w:tc>
          <w:tcPr>
            <w:tcW w:w="709" w:type="dxa"/>
            <w:tcBorders>
              <w:top w:val="nil"/>
              <w:left w:val="nil"/>
              <w:bottom w:val="nil"/>
              <w:right w:val="single" w:sz="4" w:space="0" w:color="auto"/>
            </w:tcBorders>
            <w:shd w:val="clear" w:color="auto" w:fill="auto"/>
            <w:noWrap/>
            <w:vAlign w:val="bottom"/>
            <w:hideMark/>
          </w:tcPr>
          <w:p w14:paraId="7E31EF81"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w:t>
            </w:r>
          </w:p>
        </w:tc>
        <w:tc>
          <w:tcPr>
            <w:tcW w:w="709" w:type="dxa"/>
            <w:tcBorders>
              <w:top w:val="nil"/>
              <w:left w:val="nil"/>
              <w:bottom w:val="nil"/>
              <w:right w:val="single" w:sz="4" w:space="0" w:color="auto"/>
            </w:tcBorders>
            <w:shd w:val="clear" w:color="auto" w:fill="auto"/>
            <w:noWrap/>
            <w:vAlign w:val="bottom"/>
            <w:hideMark/>
          </w:tcPr>
          <w:p w14:paraId="5CBE1F39"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8</w:t>
            </w:r>
          </w:p>
        </w:tc>
        <w:tc>
          <w:tcPr>
            <w:tcW w:w="1282" w:type="dxa"/>
            <w:tcBorders>
              <w:top w:val="nil"/>
              <w:left w:val="nil"/>
              <w:bottom w:val="nil"/>
              <w:right w:val="single" w:sz="4" w:space="0" w:color="auto"/>
            </w:tcBorders>
            <w:shd w:val="clear" w:color="auto" w:fill="auto"/>
            <w:noWrap/>
            <w:vAlign w:val="bottom"/>
            <w:hideMark/>
          </w:tcPr>
          <w:p w14:paraId="04C0B530"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w:t>
            </w:r>
          </w:p>
        </w:tc>
        <w:tc>
          <w:tcPr>
            <w:tcW w:w="985" w:type="dxa"/>
            <w:tcBorders>
              <w:top w:val="nil"/>
              <w:left w:val="nil"/>
              <w:bottom w:val="nil"/>
              <w:right w:val="single" w:sz="4" w:space="0" w:color="auto"/>
            </w:tcBorders>
            <w:shd w:val="clear" w:color="auto" w:fill="auto"/>
            <w:noWrap/>
            <w:vAlign w:val="bottom"/>
            <w:hideMark/>
          </w:tcPr>
          <w:p w14:paraId="6FF39FFE"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w:t>
            </w:r>
          </w:p>
        </w:tc>
        <w:tc>
          <w:tcPr>
            <w:tcW w:w="744" w:type="dxa"/>
            <w:tcBorders>
              <w:top w:val="nil"/>
              <w:left w:val="nil"/>
              <w:bottom w:val="nil"/>
              <w:right w:val="nil"/>
            </w:tcBorders>
            <w:shd w:val="clear" w:color="auto" w:fill="auto"/>
            <w:noWrap/>
            <w:vAlign w:val="bottom"/>
            <w:hideMark/>
          </w:tcPr>
          <w:p w14:paraId="704DBDE5"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8</w:t>
            </w:r>
          </w:p>
        </w:tc>
      </w:tr>
      <w:tr w:rsidR="00A36980" w:rsidRPr="005970E9" w14:paraId="42853767" w14:textId="77777777" w:rsidTr="00815565">
        <w:trPr>
          <w:trHeight w:val="248"/>
          <w:jc w:val="center"/>
        </w:trPr>
        <w:tc>
          <w:tcPr>
            <w:tcW w:w="2006" w:type="dxa"/>
            <w:tcBorders>
              <w:top w:val="nil"/>
              <w:left w:val="nil"/>
              <w:bottom w:val="nil"/>
              <w:right w:val="single" w:sz="4" w:space="0" w:color="auto"/>
            </w:tcBorders>
            <w:shd w:val="clear" w:color="auto" w:fill="auto"/>
            <w:noWrap/>
            <w:vAlign w:val="bottom"/>
            <w:hideMark/>
          </w:tcPr>
          <w:p w14:paraId="12E2691A" w14:textId="77777777" w:rsidR="00A36980" w:rsidRPr="005970E9" w:rsidRDefault="00A36980" w:rsidP="00216547">
            <w:pPr>
              <w:rPr>
                <w:rFonts w:eastAsia="Times New Roman" w:cs="Arial"/>
                <w:sz w:val="16"/>
                <w:szCs w:val="16"/>
              </w:rPr>
            </w:pPr>
            <w:r w:rsidRPr="005970E9">
              <w:rPr>
                <w:rFonts w:eastAsia="Times New Roman" w:cs="Arial"/>
                <w:sz w:val="16"/>
                <w:szCs w:val="16"/>
              </w:rPr>
              <w:t>Los Santos</w:t>
            </w:r>
          </w:p>
        </w:tc>
        <w:tc>
          <w:tcPr>
            <w:tcW w:w="829" w:type="dxa"/>
            <w:tcBorders>
              <w:top w:val="nil"/>
              <w:left w:val="nil"/>
              <w:bottom w:val="nil"/>
              <w:right w:val="single" w:sz="4" w:space="0" w:color="auto"/>
            </w:tcBorders>
            <w:shd w:val="clear" w:color="auto" w:fill="auto"/>
            <w:noWrap/>
            <w:vAlign w:val="bottom"/>
            <w:hideMark/>
          </w:tcPr>
          <w:p w14:paraId="12E6BC6D"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1,085</w:t>
            </w:r>
          </w:p>
        </w:tc>
        <w:tc>
          <w:tcPr>
            <w:tcW w:w="709" w:type="dxa"/>
            <w:tcBorders>
              <w:top w:val="nil"/>
              <w:left w:val="nil"/>
              <w:bottom w:val="nil"/>
              <w:right w:val="single" w:sz="4" w:space="0" w:color="auto"/>
            </w:tcBorders>
            <w:shd w:val="clear" w:color="auto" w:fill="auto"/>
            <w:noWrap/>
            <w:vAlign w:val="bottom"/>
            <w:hideMark/>
          </w:tcPr>
          <w:p w14:paraId="38D75AFE"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1,078</w:t>
            </w:r>
          </w:p>
        </w:tc>
        <w:tc>
          <w:tcPr>
            <w:tcW w:w="709" w:type="dxa"/>
            <w:tcBorders>
              <w:top w:val="nil"/>
              <w:left w:val="nil"/>
              <w:bottom w:val="nil"/>
              <w:right w:val="single" w:sz="4" w:space="0" w:color="auto"/>
            </w:tcBorders>
            <w:shd w:val="clear" w:color="auto" w:fill="auto"/>
            <w:noWrap/>
            <w:vAlign w:val="bottom"/>
            <w:hideMark/>
          </w:tcPr>
          <w:p w14:paraId="38CAA15C"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1,076</w:t>
            </w:r>
          </w:p>
        </w:tc>
        <w:tc>
          <w:tcPr>
            <w:tcW w:w="992" w:type="dxa"/>
            <w:tcBorders>
              <w:top w:val="nil"/>
              <w:left w:val="nil"/>
              <w:bottom w:val="nil"/>
              <w:right w:val="single" w:sz="4" w:space="0" w:color="auto"/>
            </w:tcBorders>
            <w:shd w:val="clear" w:color="auto" w:fill="auto"/>
            <w:noWrap/>
            <w:vAlign w:val="bottom"/>
            <w:hideMark/>
          </w:tcPr>
          <w:p w14:paraId="509D0D27"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w:t>
            </w:r>
          </w:p>
        </w:tc>
        <w:tc>
          <w:tcPr>
            <w:tcW w:w="709" w:type="dxa"/>
            <w:tcBorders>
              <w:top w:val="nil"/>
              <w:left w:val="nil"/>
              <w:bottom w:val="nil"/>
              <w:right w:val="single" w:sz="4" w:space="0" w:color="auto"/>
            </w:tcBorders>
            <w:shd w:val="clear" w:color="auto" w:fill="auto"/>
            <w:noWrap/>
            <w:vAlign w:val="bottom"/>
            <w:hideMark/>
          </w:tcPr>
          <w:p w14:paraId="340E7CFE"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w:t>
            </w:r>
          </w:p>
        </w:tc>
        <w:tc>
          <w:tcPr>
            <w:tcW w:w="709" w:type="dxa"/>
            <w:tcBorders>
              <w:top w:val="nil"/>
              <w:left w:val="nil"/>
              <w:bottom w:val="nil"/>
              <w:right w:val="single" w:sz="4" w:space="0" w:color="auto"/>
            </w:tcBorders>
            <w:shd w:val="clear" w:color="auto" w:fill="auto"/>
            <w:noWrap/>
            <w:vAlign w:val="bottom"/>
            <w:hideMark/>
          </w:tcPr>
          <w:p w14:paraId="2ADDDE5D"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7</w:t>
            </w:r>
          </w:p>
        </w:tc>
        <w:tc>
          <w:tcPr>
            <w:tcW w:w="1282" w:type="dxa"/>
            <w:tcBorders>
              <w:top w:val="nil"/>
              <w:left w:val="nil"/>
              <w:bottom w:val="nil"/>
              <w:right w:val="single" w:sz="4" w:space="0" w:color="auto"/>
            </w:tcBorders>
            <w:shd w:val="clear" w:color="auto" w:fill="auto"/>
            <w:noWrap/>
            <w:vAlign w:val="bottom"/>
            <w:hideMark/>
          </w:tcPr>
          <w:p w14:paraId="1CA85135"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w:t>
            </w:r>
          </w:p>
        </w:tc>
        <w:tc>
          <w:tcPr>
            <w:tcW w:w="985" w:type="dxa"/>
            <w:tcBorders>
              <w:top w:val="nil"/>
              <w:left w:val="nil"/>
              <w:bottom w:val="nil"/>
              <w:right w:val="single" w:sz="4" w:space="0" w:color="auto"/>
            </w:tcBorders>
            <w:shd w:val="clear" w:color="auto" w:fill="auto"/>
            <w:noWrap/>
            <w:vAlign w:val="bottom"/>
            <w:hideMark/>
          </w:tcPr>
          <w:p w14:paraId="0040134F"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w:t>
            </w:r>
          </w:p>
        </w:tc>
        <w:tc>
          <w:tcPr>
            <w:tcW w:w="744" w:type="dxa"/>
            <w:tcBorders>
              <w:top w:val="nil"/>
              <w:left w:val="nil"/>
              <w:bottom w:val="nil"/>
              <w:right w:val="nil"/>
            </w:tcBorders>
            <w:shd w:val="clear" w:color="auto" w:fill="auto"/>
            <w:noWrap/>
            <w:vAlign w:val="bottom"/>
            <w:hideMark/>
          </w:tcPr>
          <w:p w14:paraId="353161E4"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7</w:t>
            </w:r>
          </w:p>
        </w:tc>
      </w:tr>
      <w:tr w:rsidR="00A36980" w:rsidRPr="005970E9" w14:paraId="2B5B2EA7" w14:textId="77777777" w:rsidTr="00815565">
        <w:trPr>
          <w:trHeight w:val="248"/>
          <w:jc w:val="center"/>
        </w:trPr>
        <w:tc>
          <w:tcPr>
            <w:tcW w:w="2006" w:type="dxa"/>
            <w:tcBorders>
              <w:top w:val="nil"/>
              <w:left w:val="nil"/>
              <w:bottom w:val="nil"/>
              <w:right w:val="single" w:sz="4" w:space="0" w:color="auto"/>
            </w:tcBorders>
            <w:shd w:val="clear" w:color="auto" w:fill="auto"/>
            <w:noWrap/>
            <w:vAlign w:val="bottom"/>
            <w:hideMark/>
          </w:tcPr>
          <w:p w14:paraId="0BAB4EE6" w14:textId="77777777" w:rsidR="00A36980" w:rsidRPr="005970E9" w:rsidRDefault="00A36980" w:rsidP="00216547">
            <w:pPr>
              <w:rPr>
                <w:rFonts w:eastAsia="Times New Roman" w:cs="Arial"/>
                <w:sz w:val="16"/>
                <w:szCs w:val="16"/>
              </w:rPr>
            </w:pPr>
            <w:r w:rsidRPr="005970E9">
              <w:rPr>
                <w:rFonts w:eastAsia="Times New Roman" w:cs="Arial"/>
                <w:sz w:val="16"/>
                <w:szCs w:val="16"/>
              </w:rPr>
              <w:t>Panamá</w:t>
            </w:r>
          </w:p>
        </w:tc>
        <w:tc>
          <w:tcPr>
            <w:tcW w:w="829" w:type="dxa"/>
            <w:tcBorders>
              <w:top w:val="nil"/>
              <w:left w:val="nil"/>
              <w:bottom w:val="nil"/>
              <w:right w:val="single" w:sz="4" w:space="0" w:color="auto"/>
            </w:tcBorders>
            <w:shd w:val="clear" w:color="auto" w:fill="auto"/>
            <w:noWrap/>
            <w:vAlign w:val="bottom"/>
            <w:hideMark/>
          </w:tcPr>
          <w:p w14:paraId="45FE9749"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25,734</w:t>
            </w:r>
          </w:p>
        </w:tc>
        <w:tc>
          <w:tcPr>
            <w:tcW w:w="709" w:type="dxa"/>
            <w:tcBorders>
              <w:top w:val="nil"/>
              <w:left w:val="nil"/>
              <w:bottom w:val="nil"/>
              <w:right w:val="single" w:sz="4" w:space="0" w:color="auto"/>
            </w:tcBorders>
            <w:shd w:val="clear" w:color="auto" w:fill="auto"/>
            <w:noWrap/>
            <w:vAlign w:val="bottom"/>
            <w:hideMark/>
          </w:tcPr>
          <w:p w14:paraId="52FE9B2B"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25,518</w:t>
            </w:r>
          </w:p>
        </w:tc>
        <w:tc>
          <w:tcPr>
            <w:tcW w:w="709" w:type="dxa"/>
            <w:tcBorders>
              <w:top w:val="nil"/>
              <w:left w:val="nil"/>
              <w:bottom w:val="nil"/>
              <w:right w:val="single" w:sz="4" w:space="0" w:color="auto"/>
            </w:tcBorders>
            <w:shd w:val="clear" w:color="auto" w:fill="auto"/>
            <w:noWrap/>
            <w:vAlign w:val="bottom"/>
            <w:hideMark/>
          </w:tcPr>
          <w:p w14:paraId="0C939DAF"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25,203</w:t>
            </w:r>
          </w:p>
        </w:tc>
        <w:tc>
          <w:tcPr>
            <w:tcW w:w="992" w:type="dxa"/>
            <w:tcBorders>
              <w:top w:val="nil"/>
              <w:left w:val="nil"/>
              <w:bottom w:val="nil"/>
              <w:right w:val="single" w:sz="4" w:space="0" w:color="auto"/>
            </w:tcBorders>
            <w:shd w:val="clear" w:color="auto" w:fill="auto"/>
            <w:noWrap/>
            <w:vAlign w:val="bottom"/>
            <w:hideMark/>
          </w:tcPr>
          <w:p w14:paraId="16150CFB"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310</w:t>
            </w:r>
          </w:p>
        </w:tc>
        <w:tc>
          <w:tcPr>
            <w:tcW w:w="709" w:type="dxa"/>
            <w:tcBorders>
              <w:top w:val="nil"/>
              <w:left w:val="nil"/>
              <w:bottom w:val="nil"/>
              <w:right w:val="single" w:sz="4" w:space="0" w:color="auto"/>
            </w:tcBorders>
            <w:shd w:val="clear" w:color="auto" w:fill="auto"/>
            <w:noWrap/>
            <w:vAlign w:val="bottom"/>
            <w:hideMark/>
          </w:tcPr>
          <w:p w14:paraId="409FBAD2"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5</w:t>
            </w:r>
          </w:p>
        </w:tc>
        <w:tc>
          <w:tcPr>
            <w:tcW w:w="709" w:type="dxa"/>
            <w:tcBorders>
              <w:top w:val="nil"/>
              <w:left w:val="nil"/>
              <w:bottom w:val="nil"/>
              <w:right w:val="single" w:sz="4" w:space="0" w:color="auto"/>
            </w:tcBorders>
            <w:shd w:val="clear" w:color="auto" w:fill="auto"/>
            <w:noWrap/>
            <w:vAlign w:val="bottom"/>
            <w:hideMark/>
          </w:tcPr>
          <w:p w14:paraId="4ACEE8A0"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216</w:t>
            </w:r>
          </w:p>
        </w:tc>
        <w:tc>
          <w:tcPr>
            <w:tcW w:w="1282" w:type="dxa"/>
            <w:tcBorders>
              <w:top w:val="nil"/>
              <w:left w:val="nil"/>
              <w:bottom w:val="nil"/>
              <w:right w:val="single" w:sz="4" w:space="0" w:color="auto"/>
            </w:tcBorders>
            <w:shd w:val="clear" w:color="auto" w:fill="auto"/>
            <w:noWrap/>
            <w:vAlign w:val="bottom"/>
            <w:hideMark/>
          </w:tcPr>
          <w:p w14:paraId="7EBF0FE6"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7</w:t>
            </w:r>
          </w:p>
        </w:tc>
        <w:tc>
          <w:tcPr>
            <w:tcW w:w="985" w:type="dxa"/>
            <w:tcBorders>
              <w:top w:val="nil"/>
              <w:left w:val="nil"/>
              <w:bottom w:val="nil"/>
              <w:right w:val="single" w:sz="4" w:space="0" w:color="auto"/>
            </w:tcBorders>
            <w:shd w:val="clear" w:color="auto" w:fill="auto"/>
            <w:noWrap/>
            <w:vAlign w:val="bottom"/>
            <w:hideMark/>
          </w:tcPr>
          <w:p w14:paraId="02D1D93A"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32</w:t>
            </w:r>
          </w:p>
        </w:tc>
        <w:tc>
          <w:tcPr>
            <w:tcW w:w="744" w:type="dxa"/>
            <w:tcBorders>
              <w:top w:val="nil"/>
              <w:left w:val="nil"/>
              <w:bottom w:val="nil"/>
              <w:right w:val="nil"/>
            </w:tcBorders>
            <w:shd w:val="clear" w:color="auto" w:fill="auto"/>
            <w:noWrap/>
            <w:vAlign w:val="bottom"/>
            <w:hideMark/>
          </w:tcPr>
          <w:p w14:paraId="4787447C"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177</w:t>
            </w:r>
          </w:p>
        </w:tc>
      </w:tr>
      <w:tr w:rsidR="00A36980" w:rsidRPr="005970E9" w14:paraId="6DA1CCBE" w14:textId="77777777" w:rsidTr="00815565">
        <w:trPr>
          <w:trHeight w:val="248"/>
          <w:jc w:val="center"/>
        </w:trPr>
        <w:tc>
          <w:tcPr>
            <w:tcW w:w="2006" w:type="dxa"/>
            <w:tcBorders>
              <w:top w:val="nil"/>
              <w:left w:val="nil"/>
              <w:bottom w:val="nil"/>
              <w:right w:val="single" w:sz="4" w:space="0" w:color="auto"/>
            </w:tcBorders>
            <w:shd w:val="clear" w:color="auto" w:fill="auto"/>
            <w:noWrap/>
            <w:vAlign w:val="bottom"/>
            <w:hideMark/>
          </w:tcPr>
          <w:p w14:paraId="641992D5" w14:textId="77777777" w:rsidR="00A36980" w:rsidRPr="005970E9" w:rsidRDefault="00A36980" w:rsidP="00216547">
            <w:pPr>
              <w:rPr>
                <w:rFonts w:eastAsia="Times New Roman" w:cs="Arial"/>
                <w:sz w:val="16"/>
                <w:szCs w:val="16"/>
              </w:rPr>
            </w:pPr>
            <w:r w:rsidRPr="005970E9">
              <w:rPr>
                <w:rFonts w:eastAsia="Times New Roman" w:cs="Arial"/>
                <w:sz w:val="16"/>
                <w:szCs w:val="16"/>
              </w:rPr>
              <w:t>Panamá Oeste</w:t>
            </w:r>
          </w:p>
        </w:tc>
        <w:tc>
          <w:tcPr>
            <w:tcW w:w="829" w:type="dxa"/>
            <w:tcBorders>
              <w:top w:val="nil"/>
              <w:left w:val="nil"/>
              <w:bottom w:val="nil"/>
              <w:right w:val="single" w:sz="4" w:space="0" w:color="auto"/>
            </w:tcBorders>
            <w:shd w:val="clear" w:color="auto" w:fill="auto"/>
            <w:noWrap/>
            <w:vAlign w:val="bottom"/>
            <w:hideMark/>
          </w:tcPr>
          <w:p w14:paraId="4422F13C"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11,122</w:t>
            </w:r>
          </w:p>
        </w:tc>
        <w:tc>
          <w:tcPr>
            <w:tcW w:w="709" w:type="dxa"/>
            <w:tcBorders>
              <w:top w:val="nil"/>
              <w:left w:val="nil"/>
              <w:bottom w:val="nil"/>
              <w:right w:val="single" w:sz="4" w:space="0" w:color="auto"/>
            </w:tcBorders>
            <w:shd w:val="clear" w:color="auto" w:fill="auto"/>
            <w:noWrap/>
            <w:vAlign w:val="bottom"/>
            <w:hideMark/>
          </w:tcPr>
          <w:p w14:paraId="0B8D6E4E"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10,981</w:t>
            </w:r>
          </w:p>
        </w:tc>
        <w:tc>
          <w:tcPr>
            <w:tcW w:w="709" w:type="dxa"/>
            <w:tcBorders>
              <w:top w:val="nil"/>
              <w:left w:val="nil"/>
              <w:bottom w:val="nil"/>
              <w:right w:val="single" w:sz="4" w:space="0" w:color="auto"/>
            </w:tcBorders>
            <w:shd w:val="clear" w:color="auto" w:fill="auto"/>
            <w:noWrap/>
            <w:vAlign w:val="bottom"/>
            <w:hideMark/>
          </w:tcPr>
          <w:p w14:paraId="4BCD6234"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10,902</w:t>
            </w:r>
          </w:p>
        </w:tc>
        <w:tc>
          <w:tcPr>
            <w:tcW w:w="992" w:type="dxa"/>
            <w:tcBorders>
              <w:top w:val="nil"/>
              <w:left w:val="nil"/>
              <w:bottom w:val="nil"/>
              <w:right w:val="single" w:sz="4" w:space="0" w:color="auto"/>
            </w:tcBorders>
            <w:shd w:val="clear" w:color="auto" w:fill="auto"/>
            <w:noWrap/>
            <w:vAlign w:val="bottom"/>
            <w:hideMark/>
          </w:tcPr>
          <w:p w14:paraId="213D43C1"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79</w:t>
            </w:r>
          </w:p>
        </w:tc>
        <w:tc>
          <w:tcPr>
            <w:tcW w:w="709" w:type="dxa"/>
            <w:tcBorders>
              <w:top w:val="nil"/>
              <w:left w:val="nil"/>
              <w:bottom w:val="nil"/>
              <w:right w:val="single" w:sz="4" w:space="0" w:color="auto"/>
            </w:tcBorders>
            <w:shd w:val="clear" w:color="auto" w:fill="auto"/>
            <w:noWrap/>
            <w:vAlign w:val="bottom"/>
            <w:hideMark/>
          </w:tcPr>
          <w:p w14:paraId="465CF4F1"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w:t>
            </w:r>
          </w:p>
        </w:tc>
        <w:tc>
          <w:tcPr>
            <w:tcW w:w="709" w:type="dxa"/>
            <w:tcBorders>
              <w:top w:val="nil"/>
              <w:left w:val="nil"/>
              <w:bottom w:val="nil"/>
              <w:right w:val="single" w:sz="4" w:space="0" w:color="auto"/>
            </w:tcBorders>
            <w:shd w:val="clear" w:color="auto" w:fill="auto"/>
            <w:noWrap/>
            <w:vAlign w:val="bottom"/>
            <w:hideMark/>
          </w:tcPr>
          <w:p w14:paraId="772D935F"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141</w:t>
            </w:r>
          </w:p>
        </w:tc>
        <w:tc>
          <w:tcPr>
            <w:tcW w:w="1282" w:type="dxa"/>
            <w:tcBorders>
              <w:top w:val="nil"/>
              <w:left w:val="nil"/>
              <w:bottom w:val="nil"/>
              <w:right w:val="single" w:sz="4" w:space="0" w:color="auto"/>
            </w:tcBorders>
            <w:shd w:val="clear" w:color="auto" w:fill="auto"/>
            <w:noWrap/>
            <w:vAlign w:val="bottom"/>
            <w:hideMark/>
          </w:tcPr>
          <w:p w14:paraId="2A7B8AD7"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w:t>
            </w:r>
          </w:p>
        </w:tc>
        <w:tc>
          <w:tcPr>
            <w:tcW w:w="985" w:type="dxa"/>
            <w:tcBorders>
              <w:top w:val="nil"/>
              <w:left w:val="nil"/>
              <w:bottom w:val="nil"/>
              <w:right w:val="single" w:sz="4" w:space="0" w:color="auto"/>
            </w:tcBorders>
            <w:shd w:val="clear" w:color="auto" w:fill="auto"/>
            <w:noWrap/>
            <w:vAlign w:val="bottom"/>
            <w:hideMark/>
          </w:tcPr>
          <w:p w14:paraId="608A2029"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w:t>
            </w:r>
          </w:p>
        </w:tc>
        <w:tc>
          <w:tcPr>
            <w:tcW w:w="744" w:type="dxa"/>
            <w:tcBorders>
              <w:top w:val="nil"/>
              <w:left w:val="nil"/>
              <w:bottom w:val="nil"/>
              <w:right w:val="nil"/>
            </w:tcBorders>
            <w:shd w:val="clear" w:color="auto" w:fill="auto"/>
            <w:noWrap/>
            <w:vAlign w:val="bottom"/>
            <w:hideMark/>
          </w:tcPr>
          <w:p w14:paraId="2E00BEBB"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139</w:t>
            </w:r>
          </w:p>
        </w:tc>
      </w:tr>
      <w:tr w:rsidR="00A36980" w:rsidRPr="005970E9" w14:paraId="2AE35BF6" w14:textId="77777777" w:rsidTr="00815565">
        <w:trPr>
          <w:trHeight w:val="248"/>
          <w:jc w:val="center"/>
        </w:trPr>
        <w:tc>
          <w:tcPr>
            <w:tcW w:w="2006" w:type="dxa"/>
            <w:tcBorders>
              <w:top w:val="nil"/>
              <w:left w:val="nil"/>
              <w:bottom w:val="nil"/>
              <w:right w:val="single" w:sz="4" w:space="0" w:color="auto"/>
            </w:tcBorders>
            <w:shd w:val="clear" w:color="auto" w:fill="auto"/>
            <w:noWrap/>
            <w:vAlign w:val="bottom"/>
            <w:hideMark/>
          </w:tcPr>
          <w:p w14:paraId="733899CB" w14:textId="77777777" w:rsidR="00A36980" w:rsidRPr="005970E9" w:rsidRDefault="00A36980" w:rsidP="00216547">
            <w:pPr>
              <w:rPr>
                <w:rFonts w:eastAsia="Times New Roman" w:cs="Arial"/>
                <w:sz w:val="16"/>
                <w:szCs w:val="16"/>
              </w:rPr>
            </w:pPr>
            <w:r w:rsidRPr="005970E9">
              <w:rPr>
                <w:rFonts w:eastAsia="Times New Roman" w:cs="Arial"/>
                <w:sz w:val="16"/>
                <w:szCs w:val="16"/>
              </w:rPr>
              <w:t>Veraguas</w:t>
            </w:r>
          </w:p>
        </w:tc>
        <w:tc>
          <w:tcPr>
            <w:tcW w:w="829" w:type="dxa"/>
            <w:tcBorders>
              <w:top w:val="nil"/>
              <w:left w:val="nil"/>
              <w:bottom w:val="nil"/>
              <w:right w:val="single" w:sz="4" w:space="0" w:color="auto"/>
            </w:tcBorders>
            <w:shd w:val="clear" w:color="auto" w:fill="auto"/>
            <w:noWrap/>
            <w:vAlign w:val="bottom"/>
            <w:hideMark/>
          </w:tcPr>
          <w:p w14:paraId="5D70FBDA"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4,258</w:t>
            </w:r>
          </w:p>
        </w:tc>
        <w:tc>
          <w:tcPr>
            <w:tcW w:w="709" w:type="dxa"/>
            <w:tcBorders>
              <w:top w:val="nil"/>
              <w:left w:val="nil"/>
              <w:bottom w:val="nil"/>
              <w:right w:val="single" w:sz="4" w:space="0" w:color="auto"/>
            </w:tcBorders>
            <w:shd w:val="clear" w:color="auto" w:fill="auto"/>
            <w:noWrap/>
            <w:vAlign w:val="bottom"/>
            <w:hideMark/>
          </w:tcPr>
          <w:p w14:paraId="527AC4D1"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3,993</w:t>
            </w:r>
          </w:p>
        </w:tc>
        <w:tc>
          <w:tcPr>
            <w:tcW w:w="709" w:type="dxa"/>
            <w:tcBorders>
              <w:top w:val="nil"/>
              <w:left w:val="nil"/>
              <w:bottom w:val="nil"/>
              <w:right w:val="single" w:sz="4" w:space="0" w:color="auto"/>
            </w:tcBorders>
            <w:shd w:val="clear" w:color="auto" w:fill="auto"/>
            <w:noWrap/>
            <w:vAlign w:val="bottom"/>
            <w:hideMark/>
          </w:tcPr>
          <w:p w14:paraId="4ADD71F9"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3,963</w:t>
            </w:r>
          </w:p>
        </w:tc>
        <w:tc>
          <w:tcPr>
            <w:tcW w:w="992" w:type="dxa"/>
            <w:tcBorders>
              <w:top w:val="nil"/>
              <w:left w:val="nil"/>
              <w:bottom w:val="nil"/>
              <w:right w:val="single" w:sz="4" w:space="0" w:color="auto"/>
            </w:tcBorders>
            <w:shd w:val="clear" w:color="auto" w:fill="auto"/>
            <w:noWrap/>
            <w:vAlign w:val="bottom"/>
            <w:hideMark/>
          </w:tcPr>
          <w:p w14:paraId="2C6A3473"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24</w:t>
            </w:r>
          </w:p>
        </w:tc>
        <w:tc>
          <w:tcPr>
            <w:tcW w:w="709" w:type="dxa"/>
            <w:tcBorders>
              <w:top w:val="nil"/>
              <w:left w:val="nil"/>
              <w:bottom w:val="nil"/>
              <w:right w:val="single" w:sz="4" w:space="0" w:color="auto"/>
            </w:tcBorders>
            <w:shd w:val="clear" w:color="auto" w:fill="auto"/>
            <w:noWrap/>
            <w:vAlign w:val="bottom"/>
            <w:hideMark/>
          </w:tcPr>
          <w:p w14:paraId="016AF533"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6</w:t>
            </w:r>
          </w:p>
        </w:tc>
        <w:tc>
          <w:tcPr>
            <w:tcW w:w="709" w:type="dxa"/>
            <w:tcBorders>
              <w:top w:val="nil"/>
              <w:left w:val="nil"/>
              <w:bottom w:val="nil"/>
              <w:right w:val="single" w:sz="4" w:space="0" w:color="auto"/>
            </w:tcBorders>
            <w:shd w:val="clear" w:color="auto" w:fill="auto"/>
            <w:noWrap/>
            <w:vAlign w:val="bottom"/>
            <w:hideMark/>
          </w:tcPr>
          <w:p w14:paraId="7F4D5BB2"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265</w:t>
            </w:r>
          </w:p>
        </w:tc>
        <w:tc>
          <w:tcPr>
            <w:tcW w:w="1282" w:type="dxa"/>
            <w:tcBorders>
              <w:top w:val="nil"/>
              <w:left w:val="nil"/>
              <w:bottom w:val="nil"/>
              <w:right w:val="single" w:sz="4" w:space="0" w:color="auto"/>
            </w:tcBorders>
            <w:shd w:val="clear" w:color="auto" w:fill="auto"/>
            <w:noWrap/>
            <w:vAlign w:val="bottom"/>
            <w:hideMark/>
          </w:tcPr>
          <w:p w14:paraId="55C3C861"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14</w:t>
            </w:r>
          </w:p>
        </w:tc>
        <w:tc>
          <w:tcPr>
            <w:tcW w:w="985" w:type="dxa"/>
            <w:tcBorders>
              <w:top w:val="nil"/>
              <w:left w:val="nil"/>
              <w:bottom w:val="nil"/>
              <w:right w:val="single" w:sz="4" w:space="0" w:color="auto"/>
            </w:tcBorders>
            <w:shd w:val="clear" w:color="auto" w:fill="auto"/>
            <w:noWrap/>
            <w:vAlign w:val="bottom"/>
            <w:hideMark/>
          </w:tcPr>
          <w:p w14:paraId="52EB1B43"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22</w:t>
            </w:r>
          </w:p>
        </w:tc>
        <w:tc>
          <w:tcPr>
            <w:tcW w:w="744" w:type="dxa"/>
            <w:tcBorders>
              <w:top w:val="nil"/>
              <w:left w:val="nil"/>
              <w:bottom w:val="nil"/>
              <w:right w:val="nil"/>
            </w:tcBorders>
            <w:shd w:val="clear" w:color="auto" w:fill="auto"/>
            <w:noWrap/>
            <w:vAlign w:val="bottom"/>
            <w:hideMark/>
          </w:tcPr>
          <w:p w14:paraId="2081B401"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229</w:t>
            </w:r>
          </w:p>
        </w:tc>
      </w:tr>
      <w:tr w:rsidR="00A36980" w:rsidRPr="005970E9" w14:paraId="67FEE012" w14:textId="77777777" w:rsidTr="00815565">
        <w:trPr>
          <w:trHeight w:val="256"/>
          <w:jc w:val="center"/>
        </w:trPr>
        <w:tc>
          <w:tcPr>
            <w:tcW w:w="2006" w:type="dxa"/>
            <w:tcBorders>
              <w:top w:val="nil"/>
              <w:left w:val="nil"/>
              <w:bottom w:val="nil"/>
              <w:right w:val="single" w:sz="4" w:space="0" w:color="auto"/>
            </w:tcBorders>
            <w:shd w:val="clear" w:color="auto" w:fill="auto"/>
            <w:noWrap/>
            <w:vAlign w:val="bottom"/>
            <w:hideMark/>
          </w:tcPr>
          <w:p w14:paraId="6F4BBEC9" w14:textId="77777777" w:rsidR="00A36980" w:rsidRPr="005970E9" w:rsidRDefault="00A36980" w:rsidP="00216547">
            <w:pPr>
              <w:rPr>
                <w:rFonts w:eastAsia="Times New Roman" w:cs="Arial"/>
                <w:color w:val="000000"/>
                <w:sz w:val="16"/>
                <w:szCs w:val="16"/>
              </w:rPr>
            </w:pPr>
            <w:r w:rsidRPr="005970E9">
              <w:rPr>
                <w:rFonts w:eastAsia="Times New Roman" w:cs="Arial"/>
                <w:color w:val="000000"/>
                <w:sz w:val="16"/>
                <w:szCs w:val="16"/>
              </w:rPr>
              <w:t>Comarca Kuna Yala</w:t>
            </w:r>
          </w:p>
        </w:tc>
        <w:tc>
          <w:tcPr>
            <w:tcW w:w="829" w:type="dxa"/>
            <w:tcBorders>
              <w:top w:val="nil"/>
              <w:left w:val="nil"/>
              <w:bottom w:val="nil"/>
              <w:right w:val="single" w:sz="4" w:space="0" w:color="auto"/>
            </w:tcBorders>
            <w:shd w:val="clear" w:color="auto" w:fill="auto"/>
            <w:noWrap/>
            <w:vAlign w:val="bottom"/>
            <w:hideMark/>
          </w:tcPr>
          <w:p w14:paraId="47E31DBB"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759</w:t>
            </w:r>
          </w:p>
        </w:tc>
        <w:tc>
          <w:tcPr>
            <w:tcW w:w="709" w:type="dxa"/>
            <w:tcBorders>
              <w:top w:val="nil"/>
              <w:left w:val="nil"/>
              <w:bottom w:val="nil"/>
              <w:right w:val="single" w:sz="4" w:space="0" w:color="auto"/>
            </w:tcBorders>
            <w:shd w:val="clear" w:color="auto" w:fill="auto"/>
            <w:noWrap/>
            <w:vAlign w:val="bottom"/>
            <w:hideMark/>
          </w:tcPr>
          <w:p w14:paraId="6EF85A62"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662</w:t>
            </w:r>
          </w:p>
        </w:tc>
        <w:tc>
          <w:tcPr>
            <w:tcW w:w="709" w:type="dxa"/>
            <w:tcBorders>
              <w:top w:val="nil"/>
              <w:left w:val="nil"/>
              <w:bottom w:val="nil"/>
              <w:right w:val="single" w:sz="4" w:space="0" w:color="auto"/>
            </w:tcBorders>
            <w:shd w:val="clear" w:color="auto" w:fill="auto"/>
            <w:noWrap/>
            <w:vAlign w:val="bottom"/>
            <w:hideMark/>
          </w:tcPr>
          <w:p w14:paraId="48B05E6F"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612</w:t>
            </w:r>
          </w:p>
        </w:tc>
        <w:tc>
          <w:tcPr>
            <w:tcW w:w="992" w:type="dxa"/>
            <w:tcBorders>
              <w:top w:val="nil"/>
              <w:left w:val="nil"/>
              <w:bottom w:val="nil"/>
              <w:right w:val="single" w:sz="4" w:space="0" w:color="auto"/>
            </w:tcBorders>
            <w:shd w:val="clear" w:color="auto" w:fill="auto"/>
            <w:noWrap/>
            <w:vAlign w:val="bottom"/>
            <w:hideMark/>
          </w:tcPr>
          <w:p w14:paraId="3123937B"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32</w:t>
            </w:r>
          </w:p>
        </w:tc>
        <w:tc>
          <w:tcPr>
            <w:tcW w:w="709" w:type="dxa"/>
            <w:tcBorders>
              <w:top w:val="nil"/>
              <w:left w:val="nil"/>
              <w:bottom w:val="nil"/>
              <w:right w:val="single" w:sz="4" w:space="0" w:color="auto"/>
            </w:tcBorders>
            <w:shd w:val="clear" w:color="auto" w:fill="auto"/>
            <w:noWrap/>
            <w:vAlign w:val="bottom"/>
            <w:hideMark/>
          </w:tcPr>
          <w:p w14:paraId="3CDD9047"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18</w:t>
            </w:r>
          </w:p>
        </w:tc>
        <w:tc>
          <w:tcPr>
            <w:tcW w:w="709" w:type="dxa"/>
            <w:tcBorders>
              <w:top w:val="nil"/>
              <w:left w:val="nil"/>
              <w:bottom w:val="nil"/>
              <w:right w:val="single" w:sz="4" w:space="0" w:color="auto"/>
            </w:tcBorders>
            <w:shd w:val="clear" w:color="auto" w:fill="auto"/>
            <w:noWrap/>
            <w:vAlign w:val="bottom"/>
            <w:hideMark/>
          </w:tcPr>
          <w:p w14:paraId="1AF4CF48"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97</w:t>
            </w:r>
          </w:p>
        </w:tc>
        <w:tc>
          <w:tcPr>
            <w:tcW w:w="1282" w:type="dxa"/>
            <w:tcBorders>
              <w:top w:val="nil"/>
              <w:left w:val="nil"/>
              <w:bottom w:val="nil"/>
              <w:right w:val="single" w:sz="4" w:space="0" w:color="auto"/>
            </w:tcBorders>
            <w:shd w:val="clear" w:color="auto" w:fill="auto"/>
            <w:noWrap/>
            <w:vAlign w:val="bottom"/>
            <w:hideMark/>
          </w:tcPr>
          <w:p w14:paraId="3CC0CEAE"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20</w:t>
            </w:r>
          </w:p>
        </w:tc>
        <w:tc>
          <w:tcPr>
            <w:tcW w:w="985" w:type="dxa"/>
            <w:tcBorders>
              <w:top w:val="nil"/>
              <w:left w:val="nil"/>
              <w:bottom w:val="nil"/>
              <w:right w:val="single" w:sz="4" w:space="0" w:color="auto"/>
            </w:tcBorders>
            <w:shd w:val="clear" w:color="auto" w:fill="auto"/>
            <w:noWrap/>
            <w:vAlign w:val="bottom"/>
            <w:hideMark/>
          </w:tcPr>
          <w:p w14:paraId="4BC5B4AA"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30</w:t>
            </w:r>
          </w:p>
        </w:tc>
        <w:tc>
          <w:tcPr>
            <w:tcW w:w="744" w:type="dxa"/>
            <w:tcBorders>
              <w:top w:val="nil"/>
              <w:left w:val="nil"/>
              <w:bottom w:val="nil"/>
              <w:right w:val="nil"/>
            </w:tcBorders>
            <w:shd w:val="clear" w:color="auto" w:fill="auto"/>
            <w:noWrap/>
            <w:vAlign w:val="bottom"/>
            <w:hideMark/>
          </w:tcPr>
          <w:p w14:paraId="7AB0B439"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47</w:t>
            </w:r>
          </w:p>
        </w:tc>
      </w:tr>
      <w:tr w:rsidR="00A36980" w:rsidRPr="005970E9" w14:paraId="4BF70A37" w14:textId="77777777" w:rsidTr="00815565">
        <w:trPr>
          <w:trHeight w:val="256"/>
          <w:jc w:val="center"/>
        </w:trPr>
        <w:tc>
          <w:tcPr>
            <w:tcW w:w="2006" w:type="dxa"/>
            <w:tcBorders>
              <w:top w:val="nil"/>
              <w:left w:val="nil"/>
              <w:bottom w:val="nil"/>
              <w:right w:val="single" w:sz="4" w:space="0" w:color="auto"/>
            </w:tcBorders>
            <w:shd w:val="clear" w:color="auto" w:fill="auto"/>
            <w:noWrap/>
            <w:vAlign w:val="bottom"/>
            <w:hideMark/>
          </w:tcPr>
          <w:p w14:paraId="37E70C00" w14:textId="77777777" w:rsidR="00A36980" w:rsidRPr="005970E9" w:rsidRDefault="00A36980" w:rsidP="00216547">
            <w:pPr>
              <w:rPr>
                <w:rFonts w:eastAsia="Times New Roman" w:cs="Arial"/>
                <w:sz w:val="16"/>
                <w:szCs w:val="16"/>
              </w:rPr>
            </w:pPr>
            <w:r w:rsidRPr="005970E9">
              <w:rPr>
                <w:rFonts w:eastAsia="Times New Roman" w:cs="Arial"/>
                <w:sz w:val="16"/>
                <w:szCs w:val="16"/>
              </w:rPr>
              <w:t>Comarca Emberá</w:t>
            </w:r>
          </w:p>
        </w:tc>
        <w:tc>
          <w:tcPr>
            <w:tcW w:w="829" w:type="dxa"/>
            <w:tcBorders>
              <w:top w:val="nil"/>
              <w:left w:val="nil"/>
              <w:bottom w:val="nil"/>
              <w:right w:val="single" w:sz="4" w:space="0" w:color="auto"/>
            </w:tcBorders>
            <w:shd w:val="clear" w:color="auto" w:fill="auto"/>
            <w:noWrap/>
            <w:vAlign w:val="bottom"/>
            <w:hideMark/>
          </w:tcPr>
          <w:p w14:paraId="35C42056"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268</w:t>
            </w:r>
          </w:p>
        </w:tc>
        <w:tc>
          <w:tcPr>
            <w:tcW w:w="709" w:type="dxa"/>
            <w:tcBorders>
              <w:top w:val="nil"/>
              <w:left w:val="nil"/>
              <w:bottom w:val="nil"/>
              <w:right w:val="single" w:sz="4" w:space="0" w:color="auto"/>
            </w:tcBorders>
            <w:shd w:val="clear" w:color="auto" w:fill="auto"/>
            <w:noWrap/>
            <w:vAlign w:val="bottom"/>
            <w:hideMark/>
          </w:tcPr>
          <w:p w14:paraId="40194FE5"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203</w:t>
            </w:r>
          </w:p>
        </w:tc>
        <w:tc>
          <w:tcPr>
            <w:tcW w:w="709" w:type="dxa"/>
            <w:tcBorders>
              <w:top w:val="nil"/>
              <w:left w:val="nil"/>
              <w:bottom w:val="nil"/>
              <w:right w:val="single" w:sz="4" w:space="0" w:color="auto"/>
            </w:tcBorders>
            <w:shd w:val="clear" w:color="auto" w:fill="auto"/>
            <w:noWrap/>
            <w:vAlign w:val="bottom"/>
            <w:hideMark/>
          </w:tcPr>
          <w:p w14:paraId="261AD710"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201</w:t>
            </w:r>
          </w:p>
        </w:tc>
        <w:tc>
          <w:tcPr>
            <w:tcW w:w="992" w:type="dxa"/>
            <w:tcBorders>
              <w:top w:val="nil"/>
              <w:left w:val="nil"/>
              <w:bottom w:val="nil"/>
              <w:right w:val="single" w:sz="4" w:space="0" w:color="auto"/>
            </w:tcBorders>
            <w:shd w:val="clear" w:color="auto" w:fill="auto"/>
            <w:noWrap/>
            <w:vAlign w:val="bottom"/>
            <w:hideMark/>
          </w:tcPr>
          <w:p w14:paraId="6EB9569A"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w:t>
            </w:r>
          </w:p>
        </w:tc>
        <w:tc>
          <w:tcPr>
            <w:tcW w:w="709" w:type="dxa"/>
            <w:tcBorders>
              <w:top w:val="nil"/>
              <w:left w:val="nil"/>
              <w:bottom w:val="nil"/>
              <w:right w:val="single" w:sz="4" w:space="0" w:color="auto"/>
            </w:tcBorders>
            <w:shd w:val="clear" w:color="auto" w:fill="auto"/>
            <w:noWrap/>
            <w:vAlign w:val="bottom"/>
            <w:hideMark/>
          </w:tcPr>
          <w:p w14:paraId="573C5153"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w:t>
            </w:r>
          </w:p>
        </w:tc>
        <w:tc>
          <w:tcPr>
            <w:tcW w:w="709" w:type="dxa"/>
            <w:tcBorders>
              <w:top w:val="nil"/>
              <w:left w:val="nil"/>
              <w:bottom w:val="nil"/>
              <w:right w:val="single" w:sz="4" w:space="0" w:color="auto"/>
            </w:tcBorders>
            <w:shd w:val="clear" w:color="auto" w:fill="auto"/>
            <w:noWrap/>
            <w:vAlign w:val="bottom"/>
            <w:hideMark/>
          </w:tcPr>
          <w:p w14:paraId="4008AEE6"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65</w:t>
            </w:r>
          </w:p>
        </w:tc>
        <w:tc>
          <w:tcPr>
            <w:tcW w:w="1282" w:type="dxa"/>
            <w:tcBorders>
              <w:top w:val="nil"/>
              <w:left w:val="nil"/>
              <w:bottom w:val="nil"/>
              <w:right w:val="single" w:sz="4" w:space="0" w:color="auto"/>
            </w:tcBorders>
            <w:shd w:val="clear" w:color="auto" w:fill="auto"/>
            <w:noWrap/>
            <w:vAlign w:val="bottom"/>
            <w:hideMark/>
          </w:tcPr>
          <w:p w14:paraId="282A8DEA"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w:t>
            </w:r>
          </w:p>
        </w:tc>
        <w:tc>
          <w:tcPr>
            <w:tcW w:w="985" w:type="dxa"/>
            <w:tcBorders>
              <w:top w:val="nil"/>
              <w:left w:val="nil"/>
              <w:bottom w:val="nil"/>
              <w:right w:val="single" w:sz="4" w:space="0" w:color="auto"/>
            </w:tcBorders>
            <w:shd w:val="clear" w:color="auto" w:fill="auto"/>
            <w:noWrap/>
            <w:vAlign w:val="bottom"/>
            <w:hideMark/>
          </w:tcPr>
          <w:p w14:paraId="0393141E"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28</w:t>
            </w:r>
          </w:p>
        </w:tc>
        <w:tc>
          <w:tcPr>
            <w:tcW w:w="744" w:type="dxa"/>
            <w:tcBorders>
              <w:top w:val="nil"/>
              <w:left w:val="nil"/>
              <w:bottom w:val="nil"/>
              <w:right w:val="nil"/>
            </w:tcBorders>
            <w:shd w:val="clear" w:color="auto" w:fill="auto"/>
            <w:noWrap/>
            <w:vAlign w:val="bottom"/>
            <w:hideMark/>
          </w:tcPr>
          <w:p w14:paraId="3C7768AA"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35</w:t>
            </w:r>
          </w:p>
        </w:tc>
      </w:tr>
      <w:tr w:rsidR="00A36980" w:rsidRPr="005970E9" w14:paraId="5D1AE9EE" w14:textId="77777777" w:rsidTr="00815565">
        <w:trPr>
          <w:trHeight w:val="256"/>
          <w:jc w:val="center"/>
        </w:trPr>
        <w:tc>
          <w:tcPr>
            <w:tcW w:w="2006" w:type="dxa"/>
            <w:tcBorders>
              <w:top w:val="nil"/>
              <w:left w:val="nil"/>
              <w:bottom w:val="single" w:sz="4" w:space="0" w:color="auto"/>
              <w:right w:val="single" w:sz="4" w:space="0" w:color="auto"/>
            </w:tcBorders>
            <w:shd w:val="clear" w:color="auto" w:fill="auto"/>
            <w:noWrap/>
            <w:vAlign w:val="bottom"/>
            <w:hideMark/>
          </w:tcPr>
          <w:p w14:paraId="5F4FAC42" w14:textId="77777777" w:rsidR="00A36980" w:rsidRPr="005970E9" w:rsidRDefault="00A36980" w:rsidP="00216547">
            <w:pPr>
              <w:rPr>
                <w:rFonts w:eastAsia="Times New Roman" w:cs="Arial"/>
                <w:sz w:val="16"/>
                <w:szCs w:val="16"/>
              </w:rPr>
            </w:pPr>
            <w:r w:rsidRPr="005970E9">
              <w:rPr>
                <w:rFonts w:eastAsia="Times New Roman" w:cs="Arial"/>
                <w:sz w:val="16"/>
                <w:szCs w:val="16"/>
              </w:rPr>
              <w:t>Com. Ngäbe Buglé</w:t>
            </w:r>
          </w:p>
        </w:tc>
        <w:tc>
          <w:tcPr>
            <w:tcW w:w="829" w:type="dxa"/>
            <w:tcBorders>
              <w:top w:val="nil"/>
              <w:left w:val="nil"/>
              <w:bottom w:val="single" w:sz="4" w:space="0" w:color="auto"/>
              <w:right w:val="single" w:sz="4" w:space="0" w:color="auto"/>
            </w:tcBorders>
            <w:shd w:val="clear" w:color="auto" w:fill="auto"/>
            <w:noWrap/>
            <w:vAlign w:val="bottom"/>
            <w:hideMark/>
          </w:tcPr>
          <w:p w14:paraId="0E90365F"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7,946</w:t>
            </w:r>
          </w:p>
        </w:tc>
        <w:tc>
          <w:tcPr>
            <w:tcW w:w="709" w:type="dxa"/>
            <w:tcBorders>
              <w:top w:val="nil"/>
              <w:left w:val="nil"/>
              <w:bottom w:val="single" w:sz="4" w:space="0" w:color="auto"/>
              <w:right w:val="single" w:sz="4" w:space="0" w:color="auto"/>
            </w:tcBorders>
            <w:shd w:val="clear" w:color="auto" w:fill="auto"/>
            <w:noWrap/>
            <w:vAlign w:val="bottom"/>
            <w:hideMark/>
          </w:tcPr>
          <w:p w14:paraId="4D829E8C"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4,570</w:t>
            </w:r>
          </w:p>
        </w:tc>
        <w:tc>
          <w:tcPr>
            <w:tcW w:w="709" w:type="dxa"/>
            <w:tcBorders>
              <w:top w:val="nil"/>
              <w:left w:val="nil"/>
              <w:bottom w:val="single" w:sz="4" w:space="0" w:color="auto"/>
              <w:right w:val="single" w:sz="4" w:space="0" w:color="auto"/>
            </w:tcBorders>
            <w:shd w:val="clear" w:color="auto" w:fill="auto"/>
            <w:noWrap/>
            <w:vAlign w:val="bottom"/>
            <w:hideMark/>
          </w:tcPr>
          <w:p w14:paraId="27093801"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4,396</w:t>
            </w:r>
          </w:p>
        </w:tc>
        <w:tc>
          <w:tcPr>
            <w:tcW w:w="992" w:type="dxa"/>
            <w:tcBorders>
              <w:top w:val="nil"/>
              <w:left w:val="nil"/>
              <w:bottom w:val="single" w:sz="4" w:space="0" w:color="auto"/>
              <w:right w:val="single" w:sz="4" w:space="0" w:color="auto"/>
            </w:tcBorders>
            <w:shd w:val="clear" w:color="auto" w:fill="auto"/>
            <w:noWrap/>
            <w:vAlign w:val="bottom"/>
            <w:hideMark/>
          </w:tcPr>
          <w:p w14:paraId="27B63B5B"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159</w:t>
            </w:r>
          </w:p>
        </w:tc>
        <w:tc>
          <w:tcPr>
            <w:tcW w:w="709" w:type="dxa"/>
            <w:tcBorders>
              <w:top w:val="nil"/>
              <w:left w:val="nil"/>
              <w:bottom w:val="single" w:sz="4" w:space="0" w:color="auto"/>
              <w:right w:val="single" w:sz="4" w:space="0" w:color="auto"/>
            </w:tcBorders>
            <w:shd w:val="clear" w:color="auto" w:fill="auto"/>
            <w:noWrap/>
            <w:vAlign w:val="bottom"/>
            <w:hideMark/>
          </w:tcPr>
          <w:p w14:paraId="150FE65B"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15</w:t>
            </w:r>
          </w:p>
        </w:tc>
        <w:tc>
          <w:tcPr>
            <w:tcW w:w="709" w:type="dxa"/>
            <w:tcBorders>
              <w:top w:val="nil"/>
              <w:left w:val="nil"/>
              <w:bottom w:val="single" w:sz="4" w:space="0" w:color="auto"/>
              <w:right w:val="single" w:sz="4" w:space="0" w:color="auto"/>
            </w:tcBorders>
            <w:shd w:val="clear" w:color="auto" w:fill="auto"/>
            <w:noWrap/>
            <w:vAlign w:val="bottom"/>
            <w:hideMark/>
          </w:tcPr>
          <w:p w14:paraId="1E04F1CD"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3,376</w:t>
            </w:r>
          </w:p>
        </w:tc>
        <w:tc>
          <w:tcPr>
            <w:tcW w:w="1282" w:type="dxa"/>
            <w:tcBorders>
              <w:top w:val="nil"/>
              <w:left w:val="nil"/>
              <w:bottom w:val="single" w:sz="4" w:space="0" w:color="auto"/>
              <w:right w:val="single" w:sz="4" w:space="0" w:color="auto"/>
            </w:tcBorders>
            <w:shd w:val="clear" w:color="auto" w:fill="auto"/>
            <w:noWrap/>
            <w:vAlign w:val="bottom"/>
            <w:hideMark/>
          </w:tcPr>
          <w:p w14:paraId="3EBCF68D"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56</w:t>
            </w:r>
          </w:p>
        </w:tc>
        <w:tc>
          <w:tcPr>
            <w:tcW w:w="985" w:type="dxa"/>
            <w:tcBorders>
              <w:top w:val="nil"/>
              <w:left w:val="nil"/>
              <w:bottom w:val="single" w:sz="4" w:space="0" w:color="auto"/>
              <w:right w:val="single" w:sz="4" w:space="0" w:color="auto"/>
            </w:tcBorders>
            <w:shd w:val="clear" w:color="auto" w:fill="auto"/>
            <w:noWrap/>
            <w:vAlign w:val="bottom"/>
            <w:hideMark/>
          </w:tcPr>
          <w:p w14:paraId="724B5816"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635</w:t>
            </w:r>
          </w:p>
        </w:tc>
        <w:tc>
          <w:tcPr>
            <w:tcW w:w="744" w:type="dxa"/>
            <w:tcBorders>
              <w:top w:val="nil"/>
              <w:left w:val="nil"/>
              <w:bottom w:val="single" w:sz="4" w:space="0" w:color="auto"/>
              <w:right w:val="nil"/>
            </w:tcBorders>
            <w:shd w:val="clear" w:color="auto" w:fill="auto"/>
            <w:noWrap/>
            <w:vAlign w:val="bottom"/>
            <w:hideMark/>
          </w:tcPr>
          <w:p w14:paraId="4F7F2E2A" w14:textId="77777777" w:rsidR="00A36980" w:rsidRPr="005970E9" w:rsidRDefault="00A36980" w:rsidP="00216547">
            <w:pPr>
              <w:jc w:val="right"/>
              <w:rPr>
                <w:rFonts w:eastAsia="Times New Roman" w:cs="Arial"/>
                <w:sz w:val="16"/>
                <w:szCs w:val="16"/>
              </w:rPr>
            </w:pPr>
            <w:r w:rsidRPr="005970E9">
              <w:rPr>
                <w:rFonts w:eastAsia="Times New Roman" w:cs="Arial"/>
                <w:sz w:val="16"/>
                <w:szCs w:val="16"/>
              </w:rPr>
              <w:t>2,685</w:t>
            </w:r>
          </w:p>
        </w:tc>
      </w:tr>
      <w:tr w:rsidR="00A36980" w:rsidRPr="005970E9" w14:paraId="02C8EEDC" w14:textId="77777777" w:rsidTr="00216547">
        <w:trPr>
          <w:trHeight w:val="231"/>
          <w:jc w:val="center"/>
        </w:trPr>
        <w:tc>
          <w:tcPr>
            <w:tcW w:w="9674" w:type="dxa"/>
            <w:gridSpan w:val="10"/>
            <w:tcBorders>
              <w:top w:val="nil"/>
              <w:left w:val="nil"/>
              <w:bottom w:val="nil"/>
              <w:right w:val="nil"/>
            </w:tcBorders>
            <w:shd w:val="clear" w:color="auto" w:fill="auto"/>
            <w:vAlign w:val="center"/>
            <w:hideMark/>
          </w:tcPr>
          <w:p w14:paraId="6C8D4625" w14:textId="77777777" w:rsidR="00A36980" w:rsidRPr="005970E9" w:rsidRDefault="00A36980" w:rsidP="00216547">
            <w:pPr>
              <w:rPr>
                <w:rFonts w:eastAsia="Times New Roman" w:cs="Arial"/>
                <w:sz w:val="16"/>
                <w:szCs w:val="16"/>
              </w:rPr>
            </w:pPr>
            <w:r w:rsidRPr="005970E9">
              <w:rPr>
                <w:rFonts w:eastAsia="Times New Roman" w:cs="Arial"/>
                <w:sz w:val="16"/>
                <w:szCs w:val="16"/>
              </w:rPr>
              <w:t>(1) Comprende los nacimientos ocurridos en instalaciones de salud y los asistidos por un profesional de la salud, en el hogar.</w:t>
            </w:r>
          </w:p>
        </w:tc>
      </w:tr>
      <w:tr w:rsidR="00A36980" w:rsidRPr="005970E9" w14:paraId="5971B00A" w14:textId="77777777" w:rsidTr="00216547">
        <w:trPr>
          <w:trHeight w:val="231"/>
          <w:jc w:val="center"/>
        </w:trPr>
        <w:tc>
          <w:tcPr>
            <w:tcW w:w="9674" w:type="dxa"/>
            <w:gridSpan w:val="10"/>
            <w:tcBorders>
              <w:top w:val="nil"/>
              <w:left w:val="nil"/>
              <w:bottom w:val="nil"/>
              <w:right w:val="nil"/>
            </w:tcBorders>
            <w:shd w:val="clear" w:color="auto" w:fill="auto"/>
            <w:vAlign w:val="center"/>
            <w:hideMark/>
          </w:tcPr>
          <w:p w14:paraId="7180134F" w14:textId="77777777" w:rsidR="00A36980" w:rsidRPr="005970E9" w:rsidRDefault="00A36980" w:rsidP="00216547">
            <w:pPr>
              <w:rPr>
                <w:rFonts w:eastAsia="Times New Roman" w:cs="Arial"/>
                <w:sz w:val="16"/>
                <w:szCs w:val="16"/>
              </w:rPr>
            </w:pPr>
            <w:r w:rsidRPr="005970E9">
              <w:rPr>
                <w:rFonts w:eastAsia="Times New Roman" w:cs="Arial"/>
                <w:sz w:val="16"/>
                <w:szCs w:val="16"/>
              </w:rPr>
              <w:t>(2) Se refiere a los nacimientos ocurridos en el hogar u otro sitio que no tuvieron asistencia de un profesional del campo de la salud.</w:t>
            </w:r>
          </w:p>
        </w:tc>
      </w:tr>
      <w:tr w:rsidR="00A36980" w:rsidRPr="005970E9" w14:paraId="0E4204A5" w14:textId="77777777" w:rsidTr="00216547">
        <w:trPr>
          <w:trHeight w:val="231"/>
          <w:jc w:val="center"/>
        </w:trPr>
        <w:tc>
          <w:tcPr>
            <w:tcW w:w="9674" w:type="dxa"/>
            <w:gridSpan w:val="10"/>
            <w:tcBorders>
              <w:top w:val="nil"/>
              <w:left w:val="nil"/>
              <w:bottom w:val="nil"/>
              <w:right w:val="nil"/>
            </w:tcBorders>
            <w:shd w:val="clear" w:color="auto" w:fill="auto"/>
            <w:vAlign w:val="center"/>
            <w:hideMark/>
          </w:tcPr>
          <w:p w14:paraId="797B6797" w14:textId="77777777" w:rsidR="00A36980" w:rsidRPr="005970E9" w:rsidRDefault="00A36980" w:rsidP="00216547">
            <w:pPr>
              <w:rPr>
                <w:rFonts w:eastAsia="Times New Roman" w:cs="Arial"/>
                <w:sz w:val="16"/>
                <w:szCs w:val="16"/>
              </w:rPr>
            </w:pPr>
            <w:r w:rsidRPr="005970E9">
              <w:rPr>
                <w:rFonts w:eastAsia="Times New Roman" w:cs="Arial"/>
                <w:sz w:val="16"/>
                <w:szCs w:val="16"/>
              </w:rPr>
              <w:t>(3) Partos atendidos fuera de instalaciones de salud, por la madre, amiga, vecina, paramédico, entre otros. -Cantidad nula o cero.</w:t>
            </w:r>
          </w:p>
        </w:tc>
      </w:tr>
      <w:tr w:rsidR="00A36980" w:rsidRPr="005970E9" w14:paraId="6F8D2479" w14:textId="77777777" w:rsidTr="00216547">
        <w:trPr>
          <w:trHeight w:val="231"/>
          <w:jc w:val="center"/>
        </w:trPr>
        <w:tc>
          <w:tcPr>
            <w:tcW w:w="9674" w:type="dxa"/>
            <w:gridSpan w:val="10"/>
            <w:tcBorders>
              <w:top w:val="nil"/>
              <w:left w:val="nil"/>
              <w:bottom w:val="nil"/>
              <w:right w:val="nil"/>
            </w:tcBorders>
            <w:shd w:val="clear" w:color="auto" w:fill="auto"/>
            <w:vAlign w:val="center"/>
            <w:hideMark/>
          </w:tcPr>
          <w:p w14:paraId="15B8D9ED" w14:textId="77777777" w:rsidR="00A36980" w:rsidRPr="005970E9" w:rsidRDefault="00A36980" w:rsidP="00216547">
            <w:pPr>
              <w:jc w:val="both"/>
              <w:rPr>
                <w:rFonts w:eastAsia="Times New Roman" w:cs="Arial"/>
                <w:sz w:val="16"/>
                <w:szCs w:val="16"/>
              </w:rPr>
            </w:pPr>
            <w:r w:rsidRPr="005970E9">
              <w:rPr>
                <w:rFonts w:eastAsia="Times New Roman" w:cs="Arial"/>
                <w:sz w:val="16"/>
                <w:szCs w:val="16"/>
              </w:rPr>
              <w:t xml:space="preserve">Fuente: INEC, Estadísticas Vitales 2010-2018. Los datos corresponden </w:t>
            </w:r>
            <w:r w:rsidR="00215FD3" w:rsidRPr="005970E9">
              <w:rPr>
                <w:rFonts w:eastAsia="Times New Roman" w:cs="Arial"/>
                <w:sz w:val="16"/>
                <w:szCs w:val="16"/>
              </w:rPr>
              <w:t>a información</w:t>
            </w:r>
            <w:r w:rsidRPr="005970E9">
              <w:rPr>
                <w:rFonts w:eastAsia="Times New Roman" w:cs="Arial"/>
                <w:sz w:val="16"/>
                <w:szCs w:val="16"/>
              </w:rPr>
              <w:t xml:space="preserve"> recopilada del MINSA y CSS y Registro Civil. </w:t>
            </w:r>
          </w:p>
        </w:tc>
      </w:tr>
    </w:tbl>
    <w:p w14:paraId="25AC87C8" w14:textId="2CEAAE67" w:rsidR="00F4181E" w:rsidRPr="005970E9" w:rsidRDefault="00F4181E" w:rsidP="00D478B6">
      <w:pPr>
        <w:pStyle w:val="Heading3"/>
        <w:numPr>
          <w:ilvl w:val="2"/>
          <w:numId w:val="56"/>
        </w:numPr>
      </w:pPr>
      <w:bookmarkStart w:id="193" w:name="_Toc42159229"/>
      <w:bookmarkStart w:id="194" w:name="_Toc42549460"/>
      <w:r w:rsidRPr="005970E9">
        <w:t>Mortalidad</w:t>
      </w:r>
      <w:bookmarkEnd w:id="193"/>
      <w:bookmarkEnd w:id="194"/>
    </w:p>
    <w:p w14:paraId="14BD2BD2" w14:textId="500950D5" w:rsidR="00A36980" w:rsidRPr="005970E9" w:rsidRDefault="00A36980" w:rsidP="00306A6C">
      <w:pPr>
        <w:spacing w:before="240" w:after="120" w:line="276" w:lineRule="auto"/>
        <w:jc w:val="both"/>
      </w:pPr>
      <w:r w:rsidRPr="005970E9">
        <w:t>Con el desarrollo social y económico del país se han logrado importantes cambios en el comportamiento de la mortalidad en Panamá, desde una perspectiva cualitativa y cuantitativa. La tasa de mortalidad general en 2010 fue de 449.22 muertes por cien mil habitantes, 529.1 en hombres y 391.2 en mujeres, estos resultados aumentaron para el 2018, en el cual la tasa general sube a 474.2 muertes, siendo 544.5 en hombres y 403.4 en mujeres (</w:t>
      </w:r>
      <w:r w:rsidRPr="00FF4DED">
        <w:t xml:space="preserve">Cuadro No. </w:t>
      </w:r>
      <w:r w:rsidR="00935AC4" w:rsidRPr="00FF4DED">
        <w:t>1</w:t>
      </w:r>
      <w:r w:rsidR="00815D3E" w:rsidRPr="00FF4DED">
        <w:t>1</w:t>
      </w:r>
      <w:r w:rsidRPr="00FF4DED">
        <w:t xml:space="preserve">). </w:t>
      </w:r>
    </w:p>
    <w:p w14:paraId="3846E67D" w14:textId="4F27D183" w:rsidR="00A36980" w:rsidRPr="005970E9" w:rsidRDefault="00A36980" w:rsidP="00306A6C">
      <w:pPr>
        <w:spacing w:before="120" w:after="120" w:line="276" w:lineRule="auto"/>
        <w:jc w:val="both"/>
      </w:pPr>
      <w:r w:rsidRPr="005970E9">
        <w:t>Las principales causas de muerte en hombre</w:t>
      </w:r>
      <w:r w:rsidR="002E6A96" w:rsidRPr="005970E9">
        <w:t>s</w:t>
      </w:r>
      <w:r w:rsidRPr="005970E9">
        <w:t xml:space="preserve"> son neoplasias, accidentes y violencia, enfermedades cerebrovasculares, enfermedades isquémicas del corazón y el VIH. El VIH avanzado se mantiene como octava causa de muerte. En mujeres, las principales c</w:t>
      </w:r>
      <w:r w:rsidR="00944534" w:rsidRPr="005970E9">
        <w:t>a</w:t>
      </w:r>
      <w:r w:rsidRPr="005970E9">
        <w:t>usas son neoplasias, enfermedades cerebrovasculares, diabetes mellitus y enfermedades isquémicas del corazón. En tod</w:t>
      </w:r>
      <w:r w:rsidR="00215FD3" w:rsidRPr="005970E9">
        <w:t>a</w:t>
      </w:r>
      <w:r w:rsidRPr="005970E9">
        <w:t xml:space="preserve">s las causas de muertes los hombres tienen tasas más elevadas, sobre todo en los accidentes, lesiones </w:t>
      </w:r>
      <w:r w:rsidR="00215FD3" w:rsidRPr="005970E9">
        <w:t>autoinfligidas</w:t>
      </w:r>
      <w:r w:rsidRPr="005970E9">
        <w:t>, agresiones y otro tipo de violencia, en la cual la tasa es de 60.2 y la de las mujeres es de 12.5 muertes por cada cien mil habitantes (</w:t>
      </w:r>
      <w:r w:rsidRPr="00FF4DED">
        <w:t xml:space="preserve">Gráfica No. </w:t>
      </w:r>
      <w:r w:rsidR="00935AC4" w:rsidRPr="00FF4DED">
        <w:t>26</w:t>
      </w:r>
      <w:r w:rsidRPr="00FF4DED">
        <w:t xml:space="preserve">).  </w:t>
      </w:r>
    </w:p>
    <w:p w14:paraId="09365381" w14:textId="2D263A6C" w:rsidR="00935AC4" w:rsidRPr="005970E9" w:rsidRDefault="0049052D" w:rsidP="0049052D">
      <w:pPr>
        <w:pStyle w:val="Caption"/>
        <w:rPr>
          <w:rFonts w:ascii="Century Schoolbook" w:eastAsia="Times New Roman" w:hAnsi="Century Schoolbook" w:cs="Arial"/>
          <w:i w:val="0"/>
          <w:iCs w:val="0"/>
          <w:sz w:val="20"/>
          <w:szCs w:val="20"/>
        </w:rPr>
      </w:pPr>
      <w:bookmarkStart w:id="195" w:name="_Toc42549177"/>
      <w:r w:rsidRPr="005970E9">
        <w:rPr>
          <w:rFonts w:ascii="Century Schoolbook" w:hAnsi="Century Schoolbook"/>
          <w:i w:val="0"/>
          <w:iCs w:val="0"/>
        </w:rPr>
        <w:t xml:space="preserve">Cuadro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Cuadro \* ARABIC </w:instrText>
      </w:r>
      <w:r w:rsidRPr="005970E9">
        <w:rPr>
          <w:rFonts w:ascii="Century Schoolbook" w:hAnsi="Century Schoolbook"/>
          <w:i w:val="0"/>
          <w:iCs w:val="0"/>
        </w:rPr>
        <w:fldChar w:fldCharType="separate"/>
      </w:r>
      <w:r w:rsidR="00C5422E" w:rsidRPr="005970E9">
        <w:rPr>
          <w:rFonts w:ascii="Century Schoolbook" w:hAnsi="Century Schoolbook"/>
          <w:i w:val="0"/>
          <w:iCs w:val="0"/>
          <w:noProof/>
        </w:rPr>
        <w:t>11</w:t>
      </w:r>
      <w:r w:rsidRPr="005970E9">
        <w:rPr>
          <w:rFonts w:ascii="Century Schoolbook" w:hAnsi="Century Schoolbook"/>
          <w:i w:val="0"/>
          <w:iCs w:val="0"/>
        </w:rPr>
        <w:fldChar w:fldCharType="end"/>
      </w:r>
      <w:r w:rsidR="00935AC4" w:rsidRPr="005970E9">
        <w:rPr>
          <w:rFonts w:ascii="Century Schoolbook" w:hAnsi="Century Schoolbook"/>
          <w:i w:val="0"/>
          <w:iCs w:val="0"/>
          <w:sz w:val="20"/>
          <w:szCs w:val="20"/>
        </w:rPr>
        <w:t xml:space="preserve">. </w:t>
      </w:r>
      <w:r w:rsidR="00935AC4" w:rsidRPr="005970E9">
        <w:rPr>
          <w:rFonts w:ascii="Century Schoolbook" w:eastAsia="Times New Roman" w:hAnsi="Century Schoolbook" w:cs="Arial"/>
          <w:i w:val="0"/>
          <w:iCs w:val="0"/>
          <w:sz w:val="20"/>
          <w:szCs w:val="20"/>
        </w:rPr>
        <w:t>TASA DE MORTALIDAD SEGÚN LAS PRINCIPALES CAUSAS DE MUERTE EN LA REPÚBLICA</w:t>
      </w:r>
      <w:r w:rsidR="002E6A96" w:rsidRPr="005970E9">
        <w:rPr>
          <w:rFonts w:ascii="Century Schoolbook" w:eastAsia="Times New Roman" w:hAnsi="Century Schoolbook" w:cs="Arial"/>
          <w:i w:val="0"/>
          <w:iCs w:val="0"/>
          <w:sz w:val="20"/>
          <w:szCs w:val="20"/>
        </w:rPr>
        <w:t xml:space="preserve"> DE PANAMA</w:t>
      </w:r>
      <w:r w:rsidR="00935AC4" w:rsidRPr="005970E9">
        <w:rPr>
          <w:rFonts w:ascii="Century Schoolbook" w:eastAsia="Times New Roman" w:hAnsi="Century Schoolbook" w:cs="Arial"/>
          <w:i w:val="0"/>
          <w:iCs w:val="0"/>
          <w:sz w:val="20"/>
          <w:szCs w:val="20"/>
        </w:rPr>
        <w:t>, POR SEXO:  AÑOS 2010-2018</w:t>
      </w:r>
      <w:bookmarkEnd w:id="195"/>
    </w:p>
    <w:tbl>
      <w:tblPr>
        <w:tblW w:w="9288" w:type="dxa"/>
        <w:jc w:val="center"/>
        <w:tblCellMar>
          <w:left w:w="70" w:type="dxa"/>
          <w:right w:w="70" w:type="dxa"/>
        </w:tblCellMar>
        <w:tblLook w:val="04A0" w:firstRow="1" w:lastRow="0" w:firstColumn="1" w:lastColumn="0" w:noHBand="0" w:noVBand="1"/>
      </w:tblPr>
      <w:tblGrid>
        <w:gridCol w:w="4935"/>
        <w:gridCol w:w="725"/>
        <w:gridCol w:w="725"/>
        <w:gridCol w:w="725"/>
        <w:gridCol w:w="725"/>
        <w:gridCol w:w="725"/>
        <w:gridCol w:w="728"/>
      </w:tblGrid>
      <w:tr w:rsidR="00A36980" w:rsidRPr="005970E9" w14:paraId="1B4DCE8A" w14:textId="77777777" w:rsidTr="00935AC4">
        <w:trPr>
          <w:trHeight w:val="224"/>
          <w:jc w:val="center"/>
        </w:trPr>
        <w:tc>
          <w:tcPr>
            <w:tcW w:w="4935" w:type="dxa"/>
            <w:vMerge w:val="restart"/>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3CABFB3E"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Causas</w:t>
            </w:r>
          </w:p>
        </w:tc>
        <w:tc>
          <w:tcPr>
            <w:tcW w:w="4353" w:type="dxa"/>
            <w:gridSpan w:val="6"/>
            <w:tcBorders>
              <w:top w:val="single" w:sz="4" w:space="0" w:color="auto"/>
              <w:left w:val="nil"/>
              <w:bottom w:val="single" w:sz="4" w:space="0" w:color="auto"/>
              <w:right w:val="nil"/>
            </w:tcBorders>
            <w:shd w:val="clear" w:color="auto" w:fill="CCC0D9" w:themeFill="accent4" w:themeFillTint="66"/>
            <w:vAlign w:val="center"/>
            <w:hideMark/>
          </w:tcPr>
          <w:p w14:paraId="2CD24FD8"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Tasas de Defunciones (1)</w:t>
            </w:r>
          </w:p>
        </w:tc>
      </w:tr>
      <w:tr w:rsidR="00A36980" w:rsidRPr="005970E9" w14:paraId="429A7525" w14:textId="77777777" w:rsidTr="00935AC4">
        <w:trPr>
          <w:trHeight w:val="181"/>
          <w:jc w:val="center"/>
        </w:trPr>
        <w:tc>
          <w:tcPr>
            <w:tcW w:w="4935" w:type="dxa"/>
            <w:vMerge/>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2F93909" w14:textId="77777777" w:rsidR="00A36980" w:rsidRPr="005970E9" w:rsidRDefault="00A36980" w:rsidP="00216547">
            <w:pPr>
              <w:rPr>
                <w:rFonts w:eastAsia="Times New Roman" w:cs="Arial"/>
                <w:b/>
                <w:bCs/>
                <w:sz w:val="20"/>
                <w:szCs w:val="20"/>
              </w:rPr>
            </w:pPr>
          </w:p>
        </w:tc>
        <w:tc>
          <w:tcPr>
            <w:tcW w:w="1450" w:type="dxa"/>
            <w:gridSpan w:val="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E0DCAE2"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Total</w:t>
            </w:r>
          </w:p>
        </w:tc>
        <w:tc>
          <w:tcPr>
            <w:tcW w:w="14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22D3E47"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Hombres</w:t>
            </w:r>
          </w:p>
        </w:tc>
        <w:tc>
          <w:tcPr>
            <w:tcW w:w="1453" w:type="dxa"/>
            <w:gridSpan w:val="2"/>
            <w:tcBorders>
              <w:top w:val="single" w:sz="4" w:space="0" w:color="auto"/>
              <w:left w:val="single" w:sz="4" w:space="0" w:color="auto"/>
              <w:bottom w:val="single" w:sz="4" w:space="0" w:color="auto"/>
              <w:right w:val="nil"/>
            </w:tcBorders>
            <w:shd w:val="clear" w:color="auto" w:fill="CCC0D9" w:themeFill="accent4" w:themeFillTint="66"/>
            <w:vAlign w:val="center"/>
            <w:hideMark/>
          </w:tcPr>
          <w:p w14:paraId="4CBB2580"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Mujeres</w:t>
            </w:r>
          </w:p>
        </w:tc>
      </w:tr>
      <w:tr w:rsidR="00A36980" w:rsidRPr="005970E9" w14:paraId="0B7F3777" w14:textId="77777777" w:rsidTr="00935AC4">
        <w:trPr>
          <w:trHeight w:val="220"/>
          <w:jc w:val="center"/>
        </w:trPr>
        <w:tc>
          <w:tcPr>
            <w:tcW w:w="4935" w:type="dxa"/>
            <w:vMerge/>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3A8CD785" w14:textId="77777777" w:rsidR="00A36980" w:rsidRPr="005970E9" w:rsidRDefault="00A36980" w:rsidP="00216547">
            <w:pPr>
              <w:rPr>
                <w:rFonts w:eastAsia="Times New Roman" w:cs="Arial"/>
                <w:b/>
                <w:bCs/>
                <w:sz w:val="20"/>
                <w:szCs w:val="20"/>
              </w:rPr>
            </w:pPr>
          </w:p>
        </w:tc>
        <w:tc>
          <w:tcPr>
            <w:tcW w:w="725" w:type="dxa"/>
            <w:tcBorders>
              <w:top w:val="nil"/>
              <w:left w:val="nil"/>
              <w:bottom w:val="single" w:sz="4" w:space="0" w:color="auto"/>
              <w:right w:val="single" w:sz="4" w:space="0" w:color="auto"/>
            </w:tcBorders>
            <w:shd w:val="clear" w:color="auto" w:fill="CCC0D9" w:themeFill="accent4" w:themeFillTint="66"/>
            <w:vAlign w:val="center"/>
            <w:hideMark/>
          </w:tcPr>
          <w:p w14:paraId="4834E34E"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2010</w:t>
            </w:r>
          </w:p>
        </w:tc>
        <w:tc>
          <w:tcPr>
            <w:tcW w:w="725" w:type="dxa"/>
            <w:tcBorders>
              <w:top w:val="nil"/>
              <w:left w:val="nil"/>
              <w:bottom w:val="single" w:sz="4" w:space="0" w:color="auto"/>
              <w:right w:val="single" w:sz="4" w:space="0" w:color="auto"/>
            </w:tcBorders>
            <w:shd w:val="clear" w:color="auto" w:fill="CCC0D9" w:themeFill="accent4" w:themeFillTint="66"/>
            <w:vAlign w:val="center"/>
            <w:hideMark/>
          </w:tcPr>
          <w:p w14:paraId="300106F2"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2018</w:t>
            </w:r>
          </w:p>
        </w:tc>
        <w:tc>
          <w:tcPr>
            <w:tcW w:w="725" w:type="dxa"/>
            <w:tcBorders>
              <w:top w:val="nil"/>
              <w:left w:val="nil"/>
              <w:bottom w:val="single" w:sz="4" w:space="0" w:color="auto"/>
              <w:right w:val="single" w:sz="4" w:space="0" w:color="auto"/>
            </w:tcBorders>
            <w:shd w:val="clear" w:color="auto" w:fill="CCC0D9" w:themeFill="accent4" w:themeFillTint="66"/>
            <w:vAlign w:val="center"/>
            <w:hideMark/>
          </w:tcPr>
          <w:p w14:paraId="32744310"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2010</w:t>
            </w:r>
          </w:p>
        </w:tc>
        <w:tc>
          <w:tcPr>
            <w:tcW w:w="725" w:type="dxa"/>
            <w:tcBorders>
              <w:top w:val="nil"/>
              <w:left w:val="nil"/>
              <w:bottom w:val="single" w:sz="4" w:space="0" w:color="auto"/>
              <w:right w:val="single" w:sz="4" w:space="0" w:color="auto"/>
            </w:tcBorders>
            <w:shd w:val="clear" w:color="auto" w:fill="CCC0D9" w:themeFill="accent4" w:themeFillTint="66"/>
            <w:vAlign w:val="center"/>
            <w:hideMark/>
          </w:tcPr>
          <w:p w14:paraId="313D8BCA"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2018</w:t>
            </w:r>
          </w:p>
        </w:tc>
        <w:tc>
          <w:tcPr>
            <w:tcW w:w="725" w:type="dxa"/>
            <w:tcBorders>
              <w:top w:val="nil"/>
              <w:left w:val="nil"/>
              <w:bottom w:val="single" w:sz="4" w:space="0" w:color="auto"/>
              <w:right w:val="nil"/>
            </w:tcBorders>
            <w:shd w:val="clear" w:color="auto" w:fill="CCC0D9" w:themeFill="accent4" w:themeFillTint="66"/>
            <w:vAlign w:val="center"/>
            <w:hideMark/>
          </w:tcPr>
          <w:p w14:paraId="21288918"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2010</w:t>
            </w:r>
          </w:p>
        </w:tc>
        <w:tc>
          <w:tcPr>
            <w:tcW w:w="728" w:type="dxa"/>
            <w:tcBorders>
              <w:top w:val="nil"/>
              <w:left w:val="single" w:sz="4" w:space="0" w:color="auto"/>
              <w:bottom w:val="single" w:sz="4" w:space="0" w:color="auto"/>
              <w:right w:val="nil"/>
            </w:tcBorders>
            <w:shd w:val="clear" w:color="auto" w:fill="CCC0D9" w:themeFill="accent4" w:themeFillTint="66"/>
            <w:vAlign w:val="center"/>
            <w:hideMark/>
          </w:tcPr>
          <w:p w14:paraId="2B2026DA"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2018</w:t>
            </w:r>
          </w:p>
        </w:tc>
      </w:tr>
      <w:tr w:rsidR="00A36980" w:rsidRPr="005970E9" w14:paraId="63511343" w14:textId="77777777" w:rsidTr="00216547">
        <w:trPr>
          <w:trHeight w:val="224"/>
          <w:jc w:val="center"/>
        </w:trPr>
        <w:tc>
          <w:tcPr>
            <w:tcW w:w="4935" w:type="dxa"/>
            <w:tcBorders>
              <w:top w:val="single" w:sz="4" w:space="0" w:color="auto"/>
              <w:left w:val="nil"/>
              <w:bottom w:val="nil"/>
              <w:right w:val="single" w:sz="4" w:space="0" w:color="auto"/>
            </w:tcBorders>
            <w:shd w:val="clear" w:color="000000" w:fill="FFFFFF"/>
            <w:noWrap/>
            <w:vAlign w:val="center"/>
            <w:hideMark/>
          </w:tcPr>
          <w:p w14:paraId="2A7F8189"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TOTAL</w:t>
            </w:r>
          </w:p>
        </w:tc>
        <w:tc>
          <w:tcPr>
            <w:tcW w:w="725" w:type="dxa"/>
            <w:tcBorders>
              <w:top w:val="nil"/>
              <w:left w:val="single" w:sz="4" w:space="0" w:color="auto"/>
              <w:bottom w:val="nil"/>
              <w:right w:val="single" w:sz="4" w:space="0" w:color="auto"/>
            </w:tcBorders>
            <w:shd w:val="clear" w:color="000000" w:fill="FFFFFF"/>
            <w:noWrap/>
            <w:vAlign w:val="center"/>
            <w:hideMark/>
          </w:tcPr>
          <w:p w14:paraId="78992C2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449.2</w:t>
            </w:r>
          </w:p>
        </w:tc>
        <w:tc>
          <w:tcPr>
            <w:tcW w:w="725" w:type="dxa"/>
            <w:tcBorders>
              <w:top w:val="nil"/>
              <w:left w:val="nil"/>
              <w:bottom w:val="nil"/>
              <w:right w:val="single" w:sz="4" w:space="0" w:color="auto"/>
            </w:tcBorders>
            <w:shd w:val="clear" w:color="000000" w:fill="FFFFFF"/>
            <w:noWrap/>
            <w:vAlign w:val="center"/>
            <w:hideMark/>
          </w:tcPr>
          <w:p w14:paraId="2740982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474.2</w:t>
            </w:r>
          </w:p>
        </w:tc>
        <w:tc>
          <w:tcPr>
            <w:tcW w:w="725" w:type="dxa"/>
            <w:tcBorders>
              <w:top w:val="nil"/>
              <w:left w:val="nil"/>
              <w:bottom w:val="nil"/>
              <w:right w:val="single" w:sz="4" w:space="0" w:color="auto"/>
            </w:tcBorders>
            <w:shd w:val="clear" w:color="000000" w:fill="FFFFFF"/>
            <w:noWrap/>
            <w:vAlign w:val="center"/>
            <w:hideMark/>
          </w:tcPr>
          <w:p w14:paraId="741A204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529.1</w:t>
            </w:r>
          </w:p>
        </w:tc>
        <w:tc>
          <w:tcPr>
            <w:tcW w:w="725" w:type="dxa"/>
            <w:tcBorders>
              <w:top w:val="nil"/>
              <w:left w:val="nil"/>
              <w:bottom w:val="nil"/>
              <w:right w:val="single" w:sz="4" w:space="0" w:color="auto"/>
            </w:tcBorders>
            <w:shd w:val="clear" w:color="000000" w:fill="FFFFFF"/>
            <w:noWrap/>
            <w:vAlign w:val="center"/>
            <w:hideMark/>
          </w:tcPr>
          <w:p w14:paraId="295442C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544.5</w:t>
            </w:r>
          </w:p>
        </w:tc>
        <w:tc>
          <w:tcPr>
            <w:tcW w:w="725" w:type="dxa"/>
            <w:tcBorders>
              <w:top w:val="nil"/>
              <w:left w:val="nil"/>
              <w:bottom w:val="nil"/>
              <w:right w:val="nil"/>
            </w:tcBorders>
            <w:shd w:val="clear" w:color="000000" w:fill="FFFFFF"/>
            <w:noWrap/>
            <w:vAlign w:val="center"/>
            <w:hideMark/>
          </w:tcPr>
          <w:p w14:paraId="20923B7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391.2</w:t>
            </w:r>
          </w:p>
        </w:tc>
        <w:tc>
          <w:tcPr>
            <w:tcW w:w="728" w:type="dxa"/>
            <w:tcBorders>
              <w:top w:val="nil"/>
              <w:left w:val="single" w:sz="4" w:space="0" w:color="auto"/>
              <w:bottom w:val="nil"/>
              <w:right w:val="nil"/>
            </w:tcBorders>
            <w:shd w:val="clear" w:color="000000" w:fill="FFFFFF"/>
            <w:noWrap/>
            <w:vAlign w:val="center"/>
            <w:hideMark/>
          </w:tcPr>
          <w:p w14:paraId="24FEF02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403.4</w:t>
            </w:r>
          </w:p>
        </w:tc>
      </w:tr>
      <w:tr w:rsidR="00A36980" w:rsidRPr="005970E9" w14:paraId="510C9C09" w14:textId="77777777" w:rsidTr="00216547">
        <w:trPr>
          <w:trHeight w:val="341"/>
          <w:jc w:val="center"/>
        </w:trPr>
        <w:tc>
          <w:tcPr>
            <w:tcW w:w="4935" w:type="dxa"/>
            <w:tcBorders>
              <w:top w:val="nil"/>
              <w:left w:val="nil"/>
              <w:bottom w:val="nil"/>
              <w:right w:val="single" w:sz="4" w:space="0" w:color="auto"/>
            </w:tcBorders>
            <w:shd w:val="clear" w:color="000000" w:fill="FFFFFF"/>
            <w:vAlign w:val="center"/>
            <w:hideMark/>
          </w:tcPr>
          <w:p w14:paraId="385CE987" w14:textId="77777777" w:rsidR="00A36980" w:rsidRPr="005970E9" w:rsidRDefault="00A36980" w:rsidP="00216547">
            <w:pPr>
              <w:rPr>
                <w:rFonts w:eastAsia="Times New Roman" w:cs="Arial"/>
                <w:sz w:val="20"/>
                <w:szCs w:val="20"/>
              </w:rPr>
            </w:pPr>
            <w:r w:rsidRPr="005970E9">
              <w:rPr>
                <w:rFonts w:eastAsia="Times New Roman" w:cs="Arial"/>
                <w:sz w:val="20"/>
                <w:szCs w:val="20"/>
              </w:rPr>
              <w:t>Tumores (neoplasias) malignos</w:t>
            </w:r>
          </w:p>
        </w:tc>
        <w:tc>
          <w:tcPr>
            <w:tcW w:w="725" w:type="dxa"/>
            <w:tcBorders>
              <w:top w:val="nil"/>
              <w:left w:val="single" w:sz="4" w:space="0" w:color="auto"/>
              <w:bottom w:val="nil"/>
              <w:right w:val="single" w:sz="4" w:space="0" w:color="auto"/>
            </w:tcBorders>
            <w:shd w:val="clear" w:color="000000" w:fill="FFFFFF"/>
            <w:noWrap/>
            <w:vAlign w:val="center"/>
            <w:hideMark/>
          </w:tcPr>
          <w:p w14:paraId="5F77A10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72.1</w:t>
            </w:r>
          </w:p>
        </w:tc>
        <w:tc>
          <w:tcPr>
            <w:tcW w:w="725" w:type="dxa"/>
            <w:tcBorders>
              <w:top w:val="nil"/>
              <w:left w:val="nil"/>
              <w:bottom w:val="nil"/>
              <w:right w:val="single" w:sz="4" w:space="0" w:color="auto"/>
            </w:tcBorders>
            <w:shd w:val="clear" w:color="000000" w:fill="FFFFFF"/>
            <w:noWrap/>
            <w:vAlign w:val="center"/>
            <w:hideMark/>
          </w:tcPr>
          <w:p w14:paraId="0B688FB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75.5</w:t>
            </w:r>
          </w:p>
        </w:tc>
        <w:tc>
          <w:tcPr>
            <w:tcW w:w="725" w:type="dxa"/>
            <w:tcBorders>
              <w:top w:val="nil"/>
              <w:left w:val="nil"/>
              <w:bottom w:val="nil"/>
              <w:right w:val="nil"/>
            </w:tcBorders>
            <w:shd w:val="clear" w:color="000000" w:fill="FFFFFF"/>
            <w:noWrap/>
            <w:vAlign w:val="center"/>
            <w:hideMark/>
          </w:tcPr>
          <w:p w14:paraId="455E059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77.2</w:t>
            </w:r>
          </w:p>
        </w:tc>
        <w:tc>
          <w:tcPr>
            <w:tcW w:w="725" w:type="dxa"/>
            <w:tcBorders>
              <w:top w:val="nil"/>
              <w:left w:val="single" w:sz="4" w:space="0" w:color="auto"/>
              <w:bottom w:val="nil"/>
              <w:right w:val="single" w:sz="4" w:space="0" w:color="auto"/>
            </w:tcBorders>
            <w:shd w:val="clear" w:color="000000" w:fill="FFFFFF"/>
            <w:noWrap/>
            <w:vAlign w:val="center"/>
            <w:hideMark/>
          </w:tcPr>
          <w:p w14:paraId="430A69B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79.0</w:t>
            </w:r>
          </w:p>
        </w:tc>
        <w:tc>
          <w:tcPr>
            <w:tcW w:w="725" w:type="dxa"/>
            <w:tcBorders>
              <w:top w:val="nil"/>
              <w:left w:val="nil"/>
              <w:bottom w:val="nil"/>
              <w:right w:val="nil"/>
            </w:tcBorders>
            <w:shd w:val="clear" w:color="000000" w:fill="FFFFFF"/>
            <w:noWrap/>
            <w:vAlign w:val="center"/>
            <w:hideMark/>
          </w:tcPr>
          <w:p w14:paraId="0185AFB4"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66.8</w:t>
            </w:r>
          </w:p>
        </w:tc>
        <w:tc>
          <w:tcPr>
            <w:tcW w:w="728" w:type="dxa"/>
            <w:tcBorders>
              <w:top w:val="nil"/>
              <w:left w:val="single" w:sz="4" w:space="0" w:color="auto"/>
              <w:bottom w:val="nil"/>
              <w:right w:val="nil"/>
            </w:tcBorders>
            <w:shd w:val="clear" w:color="000000" w:fill="FFFFFF"/>
            <w:noWrap/>
            <w:vAlign w:val="center"/>
            <w:hideMark/>
          </w:tcPr>
          <w:p w14:paraId="00B23E4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71.9</w:t>
            </w:r>
          </w:p>
        </w:tc>
      </w:tr>
      <w:tr w:rsidR="00A36980" w:rsidRPr="005970E9" w14:paraId="50EA1856" w14:textId="77777777" w:rsidTr="00216547">
        <w:trPr>
          <w:trHeight w:val="286"/>
          <w:jc w:val="center"/>
        </w:trPr>
        <w:tc>
          <w:tcPr>
            <w:tcW w:w="4935" w:type="dxa"/>
            <w:tcBorders>
              <w:top w:val="nil"/>
              <w:left w:val="nil"/>
              <w:bottom w:val="nil"/>
              <w:right w:val="single" w:sz="4" w:space="0" w:color="auto"/>
            </w:tcBorders>
            <w:shd w:val="clear" w:color="000000" w:fill="FFFFFF"/>
            <w:vAlign w:val="center"/>
            <w:hideMark/>
          </w:tcPr>
          <w:p w14:paraId="6BCAF3F9" w14:textId="77777777" w:rsidR="00A36980" w:rsidRPr="005970E9" w:rsidRDefault="00A36980" w:rsidP="00216547">
            <w:pPr>
              <w:rPr>
                <w:rFonts w:eastAsia="Times New Roman" w:cs="Arial"/>
                <w:sz w:val="20"/>
                <w:szCs w:val="20"/>
              </w:rPr>
            </w:pPr>
            <w:r w:rsidRPr="005970E9">
              <w:rPr>
                <w:rFonts w:eastAsia="Times New Roman" w:cs="Arial"/>
                <w:sz w:val="20"/>
                <w:szCs w:val="20"/>
              </w:rPr>
              <w:t>Enfermedades isquémicas del corazón</w:t>
            </w:r>
          </w:p>
        </w:tc>
        <w:tc>
          <w:tcPr>
            <w:tcW w:w="725" w:type="dxa"/>
            <w:tcBorders>
              <w:top w:val="nil"/>
              <w:left w:val="single" w:sz="4" w:space="0" w:color="auto"/>
              <w:bottom w:val="nil"/>
              <w:right w:val="single" w:sz="4" w:space="0" w:color="auto"/>
            </w:tcBorders>
            <w:shd w:val="clear" w:color="000000" w:fill="FFFFFF"/>
            <w:noWrap/>
            <w:vAlign w:val="center"/>
            <w:hideMark/>
          </w:tcPr>
          <w:p w14:paraId="63FE7BD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55.9</w:t>
            </w:r>
          </w:p>
        </w:tc>
        <w:tc>
          <w:tcPr>
            <w:tcW w:w="725" w:type="dxa"/>
            <w:tcBorders>
              <w:top w:val="nil"/>
              <w:left w:val="nil"/>
              <w:bottom w:val="nil"/>
              <w:right w:val="single" w:sz="4" w:space="0" w:color="auto"/>
            </w:tcBorders>
            <w:shd w:val="clear" w:color="000000" w:fill="FFFFFF"/>
            <w:noWrap/>
            <w:vAlign w:val="center"/>
            <w:hideMark/>
          </w:tcPr>
          <w:p w14:paraId="34E2900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43.2</w:t>
            </w:r>
          </w:p>
        </w:tc>
        <w:tc>
          <w:tcPr>
            <w:tcW w:w="725" w:type="dxa"/>
            <w:tcBorders>
              <w:top w:val="nil"/>
              <w:left w:val="nil"/>
              <w:bottom w:val="nil"/>
              <w:right w:val="nil"/>
            </w:tcBorders>
            <w:shd w:val="clear" w:color="000000" w:fill="FFFFFF"/>
            <w:noWrap/>
            <w:vAlign w:val="center"/>
            <w:hideMark/>
          </w:tcPr>
          <w:p w14:paraId="72BCF02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94.6</w:t>
            </w:r>
          </w:p>
        </w:tc>
        <w:tc>
          <w:tcPr>
            <w:tcW w:w="725" w:type="dxa"/>
            <w:tcBorders>
              <w:top w:val="nil"/>
              <w:left w:val="single" w:sz="4" w:space="0" w:color="auto"/>
              <w:bottom w:val="nil"/>
              <w:right w:val="single" w:sz="4" w:space="0" w:color="auto"/>
            </w:tcBorders>
            <w:shd w:val="clear" w:color="000000" w:fill="FFFFFF"/>
            <w:noWrap/>
            <w:vAlign w:val="center"/>
            <w:hideMark/>
          </w:tcPr>
          <w:p w14:paraId="5554FEA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50.2</w:t>
            </w:r>
          </w:p>
        </w:tc>
        <w:tc>
          <w:tcPr>
            <w:tcW w:w="725" w:type="dxa"/>
            <w:tcBorders>
              <w:top w:val="nil"/>
              <w:left w:val="nil"/>
              <w:bottom w:val="nil"/>
              <w:right w:val="nil"/>
            </w:tcBorders>
            <w:shd w:val="clear" w:color="000000" w:fill="FFFFFF"/>
            <w:noWrap/>
            <w:vAlign w:val="center"/>
            <w:hideMark/>
          </w:tcPr>
          <w:p w14:paraId="38BB00D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16.6</w:t>
            </w:r>
          </w:p>
        </w:tc>
        <w:tc>
          <w:tcPr>
            <w:tcW w:w="728" w:type="dxa"/>
            <w:tcBorders>
              <w:top w:val="nil"/>
              <w:left w:val="single" w:sz="4" w:space="0" w:color="auto"/>
              <w:bottom w:val="nil"/>
              <w:right w:val="nil"/>
            </w:tcBorders>
            <w:shd w:val="clear" w:color="000000" w:fill="FFFFFF"/>
            <w:noWrap/>
            <w:vAlign w:val="center"/>
            <w:hideMark/>
          </w:tcPr>
          <w:p w14:paraId="791C620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36.2</w:t>
            </w:r>
          </w:p>
        </w:tc>
      </w:tr>
      <w:tr w:rsidR="00A36980" w:rsidRPr="005970E9" w14:paraId="204B0CB8" w14:textId="77777777" w:rsidTr="00216547">
        <w:trPr>
          <w:trHeight w:val="286"/>
          <w:jc w:val="center"/>
        </w:trPr>
        <w:tc>
          <w:tcPr>
            <w:tcW w:w="4935" w:type="dxa"/>
            <w:tcBorders>
              <w:top w:val="nil"/>
              <w:left w:val="nil"/>
              <w:bottom w:val="nil"/>
              <w:right w:val="single" w:sz="4" w:space="0" w:color="auto"/>
            </w:tcBorders>
            <w:shd w:val="clear" w:color="000000" w:fill="FFFFFF"/>
            <w:vAlign w:val="center"/>
            <w:hideMark/>
          </w:tcPr>
          <w:p w14:paraId="3FB47B13" w14:textId="77777777" w:rsidR="00A36980" w:rsidRPr="005970E9" w:rsidRDefault="00A36980" w:rsidP="00216547">
            <w:pPr>
              <w:rPr>
                <w:rFonts w:eastAsia="Times New Roman" w:cs="Arial"/>
                <w:sz w:val="20"/>
                <w:szCs w:val="20"/>
              </w:rPr>
            </w:pPr>
            <w:r w:rsidRPr="005970E9">
              <w:rPr>
                <w:rFonts w:eastAsia="Times New Roman" w:cs="Arial"/>
                <w:sz w:val="20"/>
                <w:szCs w:val="20"/>
              </w:rPr>
              <w:t>Enfermedades cerebrovasculares</w:t>
            </w:r>
          </w:p>
        </w:tc>
        <w:tc>
          <w:tcPr>
            <w:tcW w:w="725" w:type="dxa"/>
            <w:tcBorders>
              <w:top w:val="nil"/>
              <w:left w:val="single" w:sz="4" w:space="0" w:color="auto"/>
              <w:bottom w:val="nil"/>
              <w:right w:val="single" w:sz="4" w:space="0" w:color="auto"/>
            </w:tcBorders>
            <w:shd w:val="clear" w:color="000000" w:fill="FFFFFF"/>
            <w:noWrap/>
            <w:vAlign w:val="center"/>
            <w:hideMark/>
          </w:tcPr>
          <w:p w14:paraId="09E26DF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36.4</w:t>
            </w:r>
          </w:p>
        </w:tc>
        <w:tc>
          <w:tcPr>
            <w:tcW w:w="725" w:type="dxa"/>
            <w:tcBorders>
              <w:top w:val="nil"/>
              <w:left w:val="nil"/>
              <w:bottom w:val="nil"/>
              <w:right w:val="single" w:sz="4" w:space="0" w:color="auto"/>
            </w:tcBorders>
            <w:shd w:val="clear" w:color="000000" w:fill="FFFFFF"/>
            <w:noWrap/>
            <w:vAlign w:val="center"/>
            <w:hideMark/>
          </w:tcPr>
          <w:p w14:paraId="4EA1129D"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43.1</w:t>
            </w:r>
          </w:p>
        </w:tc>
        <w:tc>
          <w:tcPr>
            <w:tcW w:w="725" w:type="dxa"/>
            <w:tcBorders>
              <w:top w:val="nil"/>
              <w:left w:val="nil"/>
              <w:bottom w:val="nil"/>
              <w:right w:val="nil"/>
            </w:tcBorders>
            <w:shd w:val="clear" w:color="000000" w:fill="FFFFFF"/>
            <w:noWrap/>
            <w:vAlign w:val="center"/>
            <w:hideMark/>
          </w:tcPr>
          <w:p w14:paraId="1453FD3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38.4</w:t>
            </w:r>
          </w:p>
        </w:tc>
        <w:tc>
          <w:tcPr>
            <w:tcW w:w="725" w:type="dxa"/>
            <w:tcBorders>
              <w:top w:val="nil"/>
              <w:left w:val="single" w:sz="4" w:space="0" w:color="auto"/>
              <w:bottom w:val="nil"/>
              <w:right w:val="single" w:sz="4" w:space="0" w:color="auto"/>
            </w:tcBorders>
            <w:shd w:val="clear" w:color="000000" w:fill="FFFFFF"/>
            <w:noWrap/>
            <w:vAlign w:val="center"/>
            <w:hideMark/>
          </w:tcPr>
          <w:p w14:paraId="7526A55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48.9</w:t>
            </w:r>
          </w:p>
        </w:tc>
        <w:tc>
          <w:tcPr>
            <w:tcW w:w="725" w:type="dxa"/>
            <w:tcBorders>
              <w:top w:val="nil"/>
              <w:left w:val="nil"/>
              <w:bottom w:val="nil"/>
              <w:right w:val="nil"/>
            </w:tcBorders>
            <w:shd w:val="clear" w:color="000000" w:fill="FFFFFF"/>
            <w:noWrap/>
            <w:vAlign w:val="center"/>
            <w:hideMark/>
          </w:tcPr>
          <w:p w14:paraId="66A2ADF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34.4</w:t>
            </w:r>
          </w:p>
        </w:tc>
        <w:tc>
          <w:tcPr>
            <w:tcW w:w="728" w:type="dxa"/>
            <w:tcBorders>
              <w:top w:val="nil"/>
              <w:left w:val="single" w:sz="4" w:space="0" w:color="auto"/>
              <w:bottom w:val="nil"/>
              <w:right w:val="nil"/>
            </w:tcBorders>
            <w:shd w:val="clear" w:color="000000" w:fill="FFFFFF"/>
            <w:noWrap/>
            <w:vAlign w:val="center"/>
            <w:hideMark/>
          </w:tcPr>
          <w:p w14:paraId="09F893C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37.3</w:t>
            </w:r>
          </w:p>
        </w:tc>
      </w:tr>
      <w:tr w:rsidR="00A36980" w:rsidRPr="005970E9" w14:paraId="02598D61" w14:textId="77777777" w:rsidTr="00216547">
        <w:trPr>
          <w:trHeight w:val="416"/>
          <w:jc w:val="center"/>
        </w:trPr>
        <w:tc>
          <w:tcPr>
            <w:tcW w:w="4935" w:type="dxa"/>
            <w:tcBorders>
              <w:top w:val="nil"/>
              <w:left w:val="nil"/>
              <w:bottom w:val="nil"/>
              <w:right w:val="single" w:sz="4" w:space="0" w:color="auto"/>
            </w:tcBorders>
            <w:shd w:val="clear" w:color="000000" w:fill="FFFFFF"/>
            <w:vAlign w:val="center"/>
            <w:hideMark/>
          </w:tcPr>
          <w:p w14:paraId="7A33C23C" w14:textId="77777777" w:rsidR="00A36980" w:rsidRPr="005970E9" w:rsidRDefault="00A36980" w:rsidP="00216547">
            <w:pPr>
              <w:rPr>
                <w:rFonts w:eastAsia="Times New Roman" w:cs="Arial"/>
                <w:sz w:val="20"/>
                <w:szCs w:val="20"/>
              </w:rPr>
            </w:pPr>
            <w:r w:rsidRPr="005970E9">
              <w:rPr>
                <w:rFonts w:eastAsia="Times New Roman" w:cs="Arial"/>
                <w:sz w:val="20"/>
                <w:szCs w:val="20"/>
              </w:rPr>
              <w:t>Accidentes, lesiones autoinfligidas, agresiones y otra violencia</w:t>
            </w:r>
          </w:p>
        </w:tc>
        <w:tc>
          <w:tcPr>
            <w:tcW w:w="725" w:type="dxa"/>
            <w:tcBorders>
              <w:top w:val="nil"/>
              <w:left w:val="single" w:sz="4" w:space="0" w:color="auto"/>
              <w:bottom w:val="nil"/>
              <w:right w:val="single" w:sz="4" w:space="0" w:color="auto"/>
            </w:tcBorders>
            <w:shd w:val="clear" w:color="000000" w:fill="FFFFFF"/>
            <w:noWrap/>
            <w:vAlign w:val="center"/>
            <w:hideMark/>
          </w:tcPr>
          <w:p w14:paraId="2EAF7E5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52.8</w:t>
            </w:r>
          </w:p>
        </w:tc>
        <w:tc>
          <w:tcPr>
            <w:tcW w:w="725" w:type="dxa"/>
            <w:tcBorders>
              <w:top w:val="nil"/>
              <w:left w:val="nil"/>
              <w:bottom w:val="nil"/>
              <w:right w:val="single" w:sz="4" w:space="0" w:color="auto"/>
            </w:tcBorders>
            <w:shd w:val="clear" w:color="000000" w:fill="FFFFFF"/>
            <w:noWrap/>
            <w:vAlign w:val="center"/>
            <w:hideMark/>
          </w:tcPr>
          <w:p w14:paraId="1D8FBEA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36.4</w:t>
            </w:r>
          </w:p>
        </w:tc>
        <w:tc>
          <w:tcPr>
            <w:tcW w:w="725" w:type="dxa"/>
            <w:tcBorders>
              <w:top w:val="nil"/>
              <w:left w:val="nil"/>
              <w:bottom w:val="nil"/>
              <w:right w:val="nil"/>
            </w:tcBorders>
            <w:shd w:val="clear" w:color="000000" w:fill="FFFFFF"/>
            <w:noWrap/>
            <w:vAlign w:val="center"/>
            <w:hideMark/>
          </w:tcPr>
          <w:p w14:paraId="2E92ED9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62.4</w:t>
            </w:r>
          </w:p>
        </w:tc>
        <w:tc>
          <w:tcPr>
            <w:tcW w:w="725" w:type="dxa"/>
            <w:tcBorders>
              <w:top w:val="nil"/>
              <w:left w:val="single" w:sz="4" w:space="0" w:color="auto"/>
              <w:bottom w:val="nil"/>
              <w:right w:val="single" w:sz="4" w:space="0" w:color="auto"/>
            </w:tcBorders>
            <w:shd w:val="clear" w:color="000000" w:fill="FFFFFF"/>
            <w:noWrap/>
            <w:vAlign w:val="center"/>
            <w:hideMark/>
          </w:tcPr>
          <w:p w14:paraId="55B134D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60.2</w:t>
            </w:r>
          </w:p>
        </w:tc>
        <w:tc>
          <w:tcPr>
            <w:tcW w:w="725" w:type="dxa"/>
            <w:tcBorders>
              <w:top w:val="nil"/>
              <w:left w:val="nil"/>
              <w:bottom w:val="nil"/>
              <w:right w:val="nil"/>
            </w:tcBorders>
            <w:shd w:val="clear" w:color="000000" w:fill="FFFFFF"/>
            <w:noWrap/>
            <w:vAlign w:val="center"/>
            <w:hideMark/>
          </w:tcPr>
          <w:p w14:paraId="0A44C91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43.1</w:t>
            </w:r>
          </w:p>
        </w:tc>
        <w:tc>
          <w:tcPr>
            <w:tcW w:w="728" w:type="dxa"/>
            <w:tcBorders>
              <w:top w:val="nil"/>
              <w:left w:val="single" w:sz="4" w:space="0" w:color="auto"/>
              <w:bottom w:val="nil"/>
              <w:right w:val="nil"/>
            </w:tcBorders>
            <w:shd w:val="clear" w:color="000000" w:fill="FFFFFF"/>
            <w:noWrap/>
            <w:vAlign w:val="center"/>
            <w:hideMark/>
          </w:tcPr>
          <w:p w14:paraId="0BE2440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12.5</w:t>
            </w:r>
          </w:p>
        </w:tc>
      </w:tr>
      <w:tr w:rsidR="00A36980" w:rsidRPr="005970E9" w14:paraId="278DDAB2" w14:textId="77777777" w:rsidTr="00216547">
        <w:trPr>
          <w:trHeight w:val="286"/>
          <w:jc w:val="center"/>
        </w:trPr>
        <w:tc>
          <w:tcPr>
            <w:tcW w:w="4935" w:type="dxa"/>
            <w:tcBorders>
              <w:top w:val="nil"/>
              <w:left w:val="nil"/>
              <w:bottom w:val="nil"/>
              <w:right w:val="single" w:sz="4" w:space="0" w:color="auto"/>
            </w:tcBorders>
            <w:shd w:val="clear" w:color="000000" w:fill="FFFFFF"/>
            <w:vAlign w:val="center"/>
            <w:hideMark/>
          </w:tcPr>
          <w:p w14:paraId="40916FDF" w14:textId="77777777" w:rsidR="00A36980" w:rsidRPr="005970E9" w:rsidRDefault="00A36980" w:rsidP="00216547">
            <w:pPr>
              <w:rPr>
                <w:rFonts w:eastAsia="Times New Roman" w:cs="Arial"/>
                <w:sz w:val="20"/>
                <w:szCs w:val="20"/>
              </w:rPr>
            </w:pPr>
            <w:r w:rsidRPr="005970E9">
              <w:rPr>
                <w:rFonts w:eastAsia="Times New Roman" w:cs="Arial"/>
                <w:sz w:val="20"/>
                <w:szCs w:val="20"/>
              </w:rPr>
              <w:t>Diabetes mellitus</w:t>
            </w:r>
          </w:p>
        </w:tc>
        <w:tc>
          <w:tcPr>
            <w:tcW w:w="725" w:type="dxa"/>
            <w:tcBorders>
              <w:top w:val="nil"/>
              <w:left w:val="single" w:sz="4" w:space="0" w:color="auto"/>
              <w:bottom w:val="nil"/>
              <w:right w:val="single" w:sz="4" w:space="0" w:color="auto"/>
            </w:tcBorders>
            <w:shd w:val="clear" w:color="000000" w:fill="FFFFFF"/>
            <w:noWrap/>
            <w:vAlign w:val="center"/>
            <w:hideMark/>
          </w:tcPr>
          <w:p w14:paraId="267D893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24.9</w:t>
            </w:r>
          </w:p>
        </w:tc>
        <w:tc>
          <w:tcPr>
            <w:tcW w:w="725" w:type="dxa"/>
            <w:tcBorders>
              <w:top w:val="nil"/>
              <w:left w:val="nil"/>
              <w:bottom w:val="nil"/>
              <w:right w:val="single" w:sz="4" w:space="0" w:color="auto"/>
            </w:tcBorders>
            <w:shd w:val="clear" w:color="000000" w:fill="FFFFFF"/>
            <w:noWrap/>
            <w:vAlign w:val="center"/>
            <w:hideMark/>
          </w:tcPr>
          <w:p w14:paraId="3906E81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32.8</w:t>
            </w:r>
          </w:p>
        </w:tc>
        <w:tc>
          <w:tcPr>
            <w:tcW w:w="725" w:type="dxa"/>
            <w:tcBorders>
              <w:top w:val="nil"/>
              <w:left w:val="nil"/>
              <w:bottom w:val="nil"/>
              <w:right w:val="nil"/>
            </w:tcBorders>
            <w:shd w:val="clear" w:color="000000" w:fill="FFFFFF"/>
            <w:noWrap/>
            <w:vAlign w:val="center"/>
            <w:hideMark/>
          </w:tcPr>
          <w:p w14:paraId="590288A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21.9</w:t>
            </w:r>
          </w:p>
        </w:tc>
        <w:tc>
          <w:tcPr>
            <w:tcW w:w="725" w:type="dxa"/>
            <w:tcBorders>
              <w:top w:val="nil"/>
              <w:left w:val="single" w:sz="4" w:space="0" w:color="auto"/>
              <w:bottom w:val="nil"/>
              <w:right w:val="single" w:sz="4" w:space="0" w:color="auto"/>
            </w:tcBorders>
            <w:shd w:val="clear" w:color="000000" w:fill="FFFFFF"/>
            <w:noWrap/>
            <w:vAlign w:val="center"/>
            <w:hideMark/>
          </w:tcPr>
          <w:p w14:paraId="514167C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32.0</w:t>
            </w:r>
          </w:p>
        </w:tc>
        <w:tc>
          <w:tcPr>
            <w:tcW w:w="725" w:type="dxa"/>
            <w:tcBorders>
              <w:top w:val="nil"/>
              <w:left w:val="nil"/>
              <w:bottom w:val="nil"/>
              <w:right w:val="nil"/>
            </w:tcBorders>
            <w:shd w:val="clear" w:color="000000" w:fill="FFFFFF"/>
            <w:noWrap/>
            <w:vAlign w:val="center"/>
            <w:hideMark/>
          </w:tcPr>
          <w:p w14:paraId="55361EF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28.1</w:t>
            </w:r>
          </w:p>
        </w:tc>
        <w:tc>
          <w:tcPr>
            <w:tcW w:w="728" w:type="dxa"/>
            <w:tcBorders>
              <w:top w:val="nil"/>
              <w:left w:val="single" w:sz="4" w:space="0" w:color="auto"/>
              <w:bottom w:val="nil"/>
              <w:right w:val="nil"/>
            </w:tcBorders>
            <w:shd w:val="clear" w:color="000000" w:fill="FFFFFF"/>
            <w:noWrap/>
            <w:vAlign w:val="center"/>
            <w:hideMark/>
          </w:tcPr>
          <w:p w14:paraId="184EF15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33.6</w:t>
            </w:r>
          </w:p>
        </w:tc>
      </w:tr>
      <w:tr w:rsidR="00A36980" w:rsidRPr="005970E9" w14:paraId="7EC955BA" w14:textId="77777777" w:rsidTr="00216547">
        <w:trPr>
          <w:trHeight w:val="286"/>
          <w:jc w:val="center"/>
        </w:trPr>
        <w:tc>
          <w:tcPr>
            <w:tcW w:w="4935" w:type="dxa"/>
            <w:tcBorders>
              <w:top w:val="nil"/>
              <w:left w:val="nil"/>
              <w:bottom w:val="nil"/>
              <w:right w:val="single" w:sz="4" w:space="0" w:color="auto"/>
            </w:tcBorders>
            <w:shd w:val="clear" w:color="000000" w:fill="FFFFFF"/>
            <w:vAlign w:val="center"/>
            <w:hideMark/>
          </w:tcPr>
          <w:p w14:paraId="080B9FB5" w14:textId="77777777" w:rsidR="00A36980" w:rsidRPr="005970E9" w:rsidRDefault="00A36980" w:rsidP="00216547">
            <w:pPr>
              <w:rPr>
                <w:rFonts w:eastAsia="Times New Roman" w:cs="Arial"/>
                <w:sz w:val="20"/>
                <w:szCs w:val="20"/>
              </w:rPr>
            </w:pPr>
            <w:r w:rsidRPr="005970E9">
              <w:rPr>
                <w:rFonts w:eastAsia="Times New Roman" w:cs="Arial"/>
                <w:sz w:val="20"/>
                <w:szCs w:val="20"/>
              </w:rPr>
              <w:t>Otras enfermedades del corazón</w:t>
            </w:r>
          </w:p>
        </w:tc>
        <w:tc>
          <w:tcPr>
            <w:tcW w:w="725" w:type="dxa"/>
            <w:tcBorders>
              <w:top w:val="nil"/>
              <w:left w:val="single" w:sz="4" w:space="0" w:color="auto"/>
              <w:bottom w:val="nil"/>
              <w:right w:val="single" w:sz="4" w:space="0" w:color="auto"/>
            </w:tcBorders>
            <w:shd w:val="clear" w:color="000000" w:fill="FFFFFF"/>
            <w:noWrap/>
            <w:vAlign w:val="center"/>
            <w:hideMark/>
          </w:tcPr>
          <w:p w14:paraId="40FA895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15.7</w:t>
            </w:r>
          </w:p>
        </w:tc>
        <w:tc>
          <w:tcPr>
            <w:tcW w:w="725" w:type="dxa"/>
            <w:tcBorders>
              <w:top w:val="nil"/>
              <w:left w:val="nil"/>
              <w:bottom w:val="nil"/>
              <w:right w:val="single" w:sz="4" w:space="0" w:color="auto"/>
            </w:tcBorders>
            <w:shd w:val="clear" w:color="000000" w:fill="FFFFFF"/>
            <w:noWrap/>
            <w:vAlign w:val="center"/>
            <w:hideMark/>
          </w:tcPr>
          <w:p w14:paraId="6673BD5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30.8</w:t>
            </w:r>
          </w:p>
        </w:tc>
        <w:tc>
          <w:tcPr>
            <w:tcW w:w="725" w:type="dxa"/>
            <w:tcBorders>
              <w:top w:val="nil"/>
              <w:left w:val="nil"/>
              <w:bottom w:val="nil"/>
              <w:right w:val="nil"/>
            </w:tcBorders>
            <w:shd w:val="clear" w:color="000000" w:fill="FFFFFF"/>
            <w:noWrap/>
            <w:vAlign w:val="center"/>
            <w:hideMark/>
          </w:tcPr>
          <w:p w14:paraId="0133EB0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16.3</w:t>
            </w:r>
          </w:p>
        </w:tc>
        <w:tc>
          <w:tcPr>
            <w:tcW w:w="725" w:type="dxa"/>
            <w:tcBorders>
              <w:top w:val="nil"/>
              <w:left w:val="single" w:sz="4" w:space="0" w:color="auto"/>
              <w:bottom w:val="nil"/>
              <w:right w:val="single" w:sz="4" w:space="0" w:color="auto"/>
            </w:tcBorders>
            <w:shd w:val="clear" w:color="000000" w:fill="FFFFFF"/>
            <w:noWrap/>
            <w:vAlign w:val="center"/>
            <w:hideMark/>
          </w:tcPr>
          <w:p w14:paraId="3FCB5FE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33.4</w:t>
            </w:r>
          </w:p>
        </w:tc>
        <w:tc>
          <w:tcPr>
            <w:tcW w:w="725" w:type="dxa"/>
            <w:tcBorders>
              <w:top w:val="nil"/>
              <w:left w:val="nil"/>
              <w:bottom w:val="nil"/>
              <w:right w:val="nil"/>
            </w:tcBorders>
            <w:shd w:val="clear" w:color="000000" w:fill="FFFFFF"/>
            <w:noWrap/>
            <w:vAlign w:val="center"/>
            <w:hideMark/>
          </w:tcPr>
          <w:p w14:paraId="7829FE6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15.2</w:t>
            </w:r>
          </w:p>
        </w:tc>
        <w:tc>
          <w:tcPr>
            <w:tcW w:w="728" w:type="dxa"/>
            <w:tcBorders>
              <w:top w:val="nil"/>
              <w:left w:val="single" w:sz="4" w:space="0" w:color="auto"/>
              <w:bottom w:val="nil"/>
              <w:right w:val="nil"/>
            </w:tcBorders>
            <w:shd w:val="clear" w:color="000000" w:fill="FFFFFF"/>
            <w:noWrap/>
            <w:vAlign w:val="center"/>
            <w:hideMark/>
          </w:tcPr>
          <w:p w14:paraId="7E11752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28.2</w:t>
            </w:r>
          </w:p>
        </w:tc>
      </w:tr>
      <w:tr w:rsidR="00A36980" w:rsidRPr="005970E9" w14:paraId="14CDD556" w14:textId="77777777" w:rsidTr="00216547">
        <w:trPr>
          <w:trHeight w:val="286"/>
          <w:jc w:val="center"/>
        </w:trPr>
        <w:tc>
          <w:tcPr>
            <w:tcW w:w="4935" w:type="dxa"/>
            <w:tcBorders>
              <w:top w:val="nil"/>
              <w:left w:val="nil"/>
              <w:bottom w:val="nil"/>
              <w:right w:val="single" w:sz="4" w:space="0" w:color="auto"/>
            </w:tcBorders>
            <w:shd w:val="clear" w:color="000000" w:fill="FFFFFF"/>
            <w:vAlign w:val="center"/>
            <w:hideMark/>
          </w:tcPr>
          <w:p w14:paraId="0CEAAFB1" w14:textId="77777777" w:rsidR="00A36980" w:rsidRPr="005970E9" w:rsidRDefault="00A36980" w:rsidP="00216547">
            <w:pPr>
              <w:rPr>
                <w:rFonts w:eastAsia="Times New Roman" w:cs="Arial"/>
                <w:sz w:val="20"/>
                <w:szCs w:val="20"/>
              </w:rPr>
            </w:pPr>
            <w:r w:rsidRPr="005970E9">
              <w:rPr>
                <w:rFonts w:eastAsia="Times New Roman" w:cs="Arial"/>
                <w:sz w:val="20"/>
                <w:szCs w:val="20"/>
              </w:rPr>
              <w:t>Enfermedades hipertensivas</w:t>
            </w:r>
          </w:p>
        </w:tc>
        <w:tc>
          <w:tcPr>
            <w:tcW w:w="725" w:type="dxa"/>
            <w:tcBorders>
              <w:top w:val="nil"/>
              <w:left w:val="single" w:sz="4" w:space="0" w:color="auto"/>
              <w:bottom w:val="nil"/>
              <w:right w:val="single" w:sz="4" w:space="0" w:color="auto"/>
            </w:tcBorders>
            <w:shd w:val="clear" w:color="000000" w:fill="FFFFFF"/>
            <w:noWrap/>
            <w:vAlign w:val="center"/>
            <w:hideMark/>
          </w:tcPr>
          <w:p w14:paraId="2262DB2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27.5</w:t>
            </w:r>
          </w:p>
        </w:tc>
        <w:tc>
          <w:tcPr>
            <w:tcW w:w="725" w:type="dxa"/>
            <w:tcBorders>
              <w:top w:val="nil"/>
              <w:left w:val="nil"/>
              <w:bottom w:val="nil"/>
              <w:right w:val="single" w:sz="4" w:space="0" w:color="auto"/>
            </w:tcBorders>
            <w:shd w:val="clear" w:color="000000" w:fill="FFFFFF"/>
            <w:noWrap/>
            <w:vAlign w:val="center"/>
            <w:hideMark/>
          </w:tcPr>
          <w:p w14:paraId="457EA72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20.1</w:t>
            </w:r>
          </w:p>
        </w:tc>
        <w:tc>
          <w:tcPr>
            <w:tcW w:w="725" w:type="dxa"/>
            <w:tcBorders>
              <w:top w:val="nil"/>
              <w:left w:val="nil"/>
              <w:bottom w:val="nil"/>
              <w:right w:val="nil"/>
            </w:tcBorders>
            <w:shd w:val="clear" w:color="000000" w:fill="FFFFFF"/>
            <w:noWrap/>
            <w:vAlign w:val="center"/>
            <w:hideMark/>
          </w:tcPr>
          <w:p w14:paraId="26DEAB2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28.1</w:t>
            </w:r>
          </w:p>
        </w:tc>
        <w:tc>
          <w:tcPr>
            <w:tcW w:w="725" w:type="dxa"/>
            <w:tcBorders>
              <w:top w:val="nil"/>
              <w:left w:val="single" w:sz="4" w:space="0" w:color="auto"/>
              <w:bottom w:val="nil"/>
              <w:right w:val="single" w:sz="4" w:space="0" w:color="auto"/>
            </w:tcBorders>
            <w:shd w:val="clear" w:color="000000" w:fill="FFFFFF"/>
            <w:noWrap/>
            <w:vAlign w:val="center"/>
            <w:hideMark/>
          </w:tcPr>
          <w:p w14:paraId="4757DA6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21.1</w:t>
            </w:r>
          </w:p>
        </w:tc>
        <w:tc>
          <w:tcPr>
            <w:tcW w:w="725" w:type="dxa"/>
            <w:tcBorders>
              <w:top w:val="nil"/>
              <w:left w:val="nil"/>
              <w:bottom w:val="nil"/>
              <w:right w:val="nil"/>
            </w:tcBorders>
            <w:shd w:val="clear" w:color="000000" w:fill="FFFFFF"/>
            <w:noWrap/>
            <w:vAlign w:val="center"/>
            <w:hideMark/>
          </w:tcPr>
          <w:p w14:paraId="1063150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27.0</w:t>
            </w:r>
          </w:p>
        </w:tc>
        <w:tc>
          <w:tcPr>
            <w:tcW w:w="728" w:type="dxa"/>
            <w:tcBorders>
              <w:top w:val="nil"/>
              <w:left w:val="single" w:sz="4" w:space="0" w:color="auto"/>
              <w:bottom w:val="nil"/>
              <w:right w:val="nil"/>
            </w:tcBorders>
            <w:shd w:val="clear" w:color="000000" w:fill="FFFFFF"/>
            <w:noWrap/>
            <w:vAlign w:val="center"/>
            <w:hideMark/>
          </w:tcPr>
          <w:p w14:paraId="4429DB4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19.0</w:t>
            </w:r>
          </w:p>
        </w:tc>
      </w:tr>
      <w:tr w:rsidR="00A36980" w:rsidRPr="005970E9" w14:paraId="0E9E51E7" w14:textId="77777777" w:rsidTr="00216547">
        <w:trPr>
          <w:trHeight w:val="341"/>
          <w:jc w:val="center"/>
        </w:trPr>
        <w:tc>
          <w:tcPr>
            <w:tcW w:w="4935" w:type="dxa"/>
            <w:tcBorders>
              <w:top w:val="nil"/>
              <w:left w:val="nil"/>
              <w:bottom w:val="nil"/>
              <w:right w:val="single" w:sz="4" w:space="0" w:color="auto"/>
            </w:tcBorders>
            <w:shd w:val="clear" w:color="000000" w:fill="FFFFFF"/>
            <w:vAlign w:val="center"/>
            <w:hideMark/>
          </w:tcPr>
          <w:p w14:paraId="377E13F7" w14:textId="77777777" w:rsidR="00A36980" w:rsidRPr="005970E9" w:rsidRDefault="00A36980" w:rsidP="00216547">
            <w:pPr>
              <w:rPr>
                <w:rFonts w:eastAsia="Times New Roman" w:cs="Arial"/>
                <w:sz w:val="20"/>
                <w:szCs w:val="20"/>
              </w:rPr>
            </w:pPr>
            <w:r w:rsidRPr="005970E9">
              <w:rPr>
                <w:rFonts w:eastAsia="Times New Roman" w:cs="Arial"/>
                <w:sz w:val="20"/>
                <w:szCs w:val="20"/>
              </w:rPr>
              <w:t>Enfermedades crónicas de las vías   respiratorias inferiores</w:t>
            </w:r>
          </w:p>
        </w:tc>
        <w:tc>
          <w:tcPr>
            <w:tcW w:w="725" w:type="dxa"/>
            <w:tcBorders>
              <w:top w:val="nil"/>
              <w:left w:val="single" w:sz="4" w:space="0" w:color="auto"/>
              <w:bottom w:val="nil"/>
              <w:right w:val="single" w:sz="4" w:space="0" w:color="auto"/>
            </w:tcBorders>
            <w:shd w:val="clear" w:color="000000" w:fill="FFFFFF"/>
            <w:noWrap/>
            <w:vAlign w:val="center"/>
            <w:hideMark/>
          </w:tcPr>
          <w:p w14:paraId="7AD0CEC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15.2</w:t>
            </w:r>
          </w:p>
        </w:tc>
        <w:tc>
          <w:tcPr>
            <w:tcW w:w="725" w:type="dxa"/>
            <w:tcBorders>
              <w:top w:val="nil"/>
              <w:left w:val="nil"/>
              <w:bottom w:val="nil"/>
              <w:right w:val="single" w:sz="4" w:space="0" w:color="auto"/>
            </w:tcBorders>
            <w:shd w:val="clear" w:color="000000" w:fill="FFFFFF"/>
            <w:noWrap/>
            <w:vAlign w:val="center"/>
            <w:hideMark/>
          </w:tcPr>
          <w:p w14:paraId="3798D52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13.9</w:t>
            </w:r>
          </w:p>
        </w:tc>
        <w:tc>
          <w:tcPr>
            <w:tcW w:w="725" w:type="dxa"/>
            <w:tcBorders>
              <w:top w:val="nil"/>
              <w:left w:val="nil"/>
              <w:bottom w:val="nil"/>
              <w:right w:val="nil"/>
            </w:tcBorders>
            <w:shd w:val="clear" w:color="000000" w:fill="FFFFFF"/>
            <w:noWrap/>
            <w:vAlign w:val="center"/>
            <w:hideMark/>
          </w:tcPr>
          <w:p w14:paraId="7D34EEC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22.9</w:t>
            </w:r>
          </w:p>
        </w:tc>
        <w:tc>
          <w:tcPr>
            <w:tcW w:w="725" w:type="dxa"/>
            <w:tcBorders>
              <w:top w:val="nil"/>
              <w:left w:val="single" w:sz="4" w:space="0" w:color="auto"/>
              <w:bottom w:val="nil"/>
              <w:right w:val="single" w:sz="4" w:space="0" w:color="auto"/>
            </w:tcBorders>
            <w:shd w:val="clear" w:color="000000" w:fill="FFFFFF"/>
            <w:noWrap/>
            <w:vAlign w:val="center"/>
            <w:hideMark/>
          </w:tcPr>
          <w:p w14:paraId="72B97DC4"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15.2</w:t>
            </w:r>
          </w:p>
        </w:tc>
        <w:tc>
          <w:tcPr>
            <w:tcW w:w="725" w:type="dxa"/>
            <w:tcBorders>
              <w:top w:val="nil"/>
              <w:left w:val="nil"/>
              <w:bottom w:val="nil"/>
              <w:right w:val="nil"/>
            </w:tcBorders>
            <w:shd w:val="clear" w:color="000000" w:fill="FFFFFF"/>
            <w:noWrap/>
            <w:vAlign w:val="center"/>
            <w:hideMark/>
          </w:tcPr>
          <w:p w14:paraId="511AC60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7.4</w:t>
            </w:r>
          </w:p>
        </w:tc>
        <w:tc>
          <w:tcPr>
            <w:tcW w:w="728" w:type="dxa"/>
            <w:tcBorders>
              <w:top w:val="nil"/>
              <w:left w:val="single" w:sz="4" w:space="0" w:color="auto"/>
              <w:bottom w:val="nil"/>
              <w:right w:val="nil"/>
            </w:tcBorders>
            <w:shd w:val="clear" w:color="000000" w:fill="FFFFFF"/>
            <w:noWrap/>
            <w:vAlign w:val="center"/>
            <w:hideMark/>
          </w:tcPr>
          <w:p w14:paraId="0B2B13A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12.6</w:t>
            </w:r>
          </w:p>
        </w:tc>
      </w:tr>
      <w:tr w:rsidR="00A36980" w:rsidRPr="005970E9" w14:paraId="200AE1C6" w14:textId="77777777" w:rsidTr="00216547">
        <w:trPr>
          <w:trHeight w:val="395"/>
          <w:jc w:val="center"/>
        </w:trPr>
        <w:tc>
          <w:tcPr>
            <w:tcW w:w="4935" w:type="dxa"/>
            <w:tcBorders>
              <w:top w:val="nil"/>
              <w:left w:val="nil"/>
              <w:bottom w:val="nil"/>
              <w:right w:val="single" w:sz="4" w:space="0" w:color="auto"/>
            </w:tcBorders>
            <w:shd w:val="clear" w:color="000000" w:fill="FFFFFF"/>
            <w:vAlign w:val="center"/>
            <w:hideMark/>
          </w:tcPr>
          <w:p w14:paraId="6AB8C908" w14:textId="77777777" w:rsidR="00A36980" w:rsidRPr="005970E9" w:rsidRDefault="00A36980" w:rsidP="00216547">
            <w:pPr>
              <w:rPr>
                <w:rFonts w:eastAsia="Times New Roman" w:cs="Arial"/>
                <w:sz w:val="20"/>
                <w:szCs w:val="20"/>
              </w:rPr>
            </w:pPr>
            <w:r w:rsidRPr="005970E9">
              <w:rPr>
                <w:rFonts w:eastAsia="Times New Roman" w:cs="Arial"/>
                <w:sz w:val="20"/>
                <w:szCs w:val="20"/>
              </w:rPr>
              <w:t>Enfermedad por virus de la inmunodeficiencia   humana (VIH)</w:t>
            </w:r>
          </w:p>
        </w:tc>
        <w:tc>
          <w:tcPr>
            <w:tcW w:w="725" w:type="dxa"/>
            <w:tcBorders>
              <w:top w:val="nil"/>
              <w:left w:val="single" w:sz="4" w:space="0" w:color="auto"/>
              <w:bottom w:val="nil"/>
              <w:right w:val="single" w:sz="4" w:space="0" w:color="auto"/>
            </w:tcBorders>
            <w:shd w:val="clear" w:color="000000" w:fill="FFFFFF"/>
            <w:noWrap/>
            <w:vAlign w:val="center"/>
            <w:hideMark/>
          </w:tcPr>
          <w:p w14:paraId="4E05280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20.6</w:t>
            </w:r>
          </w:p>
        </w:tc>
        <w:tc>
          <w:tcPr>
            <w:tcW w:w="725" w:type="dxa"/>
            <w:tcBorders>
              <w:top w:val="nil"/>
              <w:left w:val="nil"/>
              <w:bottom w:val="nil"/>
              <w:right w:val="single" w:sz="4" w:space="0" w:color="auto"/>
            </w:tcBorders>
            <w:shd w:val="clear" w:color="000000" w:fill="FFFFFF"/>
            <w:noWrap/>
            <w:vAlign w:val="center"/>
            <w:hideMark/>
          </w:tcPr>
          <w:p w14:paraId="36DC57A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13.3</w:t>
            </w:r>
          </w:p>
        </w:tc>
        <w:tc>
          <w:tcPr>
            <w:tcW w:w="725" w:type="dxa"/>
            <w:tcBorders>
              <w:top w:val="nil"/>
              <w:left w:val="nil"/>
              <w:bottom w:val="nil"/>
              <w:right w:val="nil"/>
            </w:tcBorders>
            <w:shd w:val="clear" w:color="000000" w:fill="FFFFFF"/>
            <w:noWrap/>
            <w:vAlign w:val="center"/>
            <w:hideMark/>
          </w:tcPr>
          <w:p w14:paraId="3E1B585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23.2</w:t>
            </w:r>
          </w:p>
        </w:tc>
        <w:tc>
          <w:tcPr>
            <w:tcW w:w="725" w:type="dxa"/>
            <w:tcBorders>
              <w:top w:val="nil"/>
              <w:left w:val="single" w:sz="4" w:space="0" w:color="auto"/>
              <w:bottom w:val="nil"/>
              <w:right w:val="single" w:sz="4" w:space="0" w:color="auto"/>
            </w:tcBorders>
            <w:shd w:val="clear" w:color="000000" w:fill="FFFFFF"/>
            <w:noWrap/>
            <w:vAlign w:val="center"/>
            <w:hideMark/>
          </w:tcPr>
          <w:p w14:paraId="3A19D88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20.9</w:t>
            </w:r>
          </w:p>
        </w:tc>
        <w:tc>
          <w:tcPr>
            <w:tcW w:w="725" w:type="dxa"/>
            <w:tcBorders>
              <w:top w:val="nil"/>
              <w:left w:val="nil"/>
              <w:bottom w:val="nil"/>
              <w:right w:val="nil"/>
            </w:tcBorders>
            <w:shd w:val="clear" w:color="000000" w:fill="FFFFFF"/>
            <w:noWrap/>
            <w:vAlign w:val="center"/>
            <w:hideMark/>
          </w:tcPr>
          <w:p w14:paraId="0C95813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17.9</w:t>
            </w:r>
          </w:p>
        </w:tc>
        <w:tc>
          <w:tcPr>
            <w:tcW w:w="728" w:type="dxa"/>
            <w:tcBorders>
              <w:top w:val="nil"/>
              <w:left w:val="single" w:sz="4" w:space="0" w:color="auto"/>
              <w:bottom w:val="nil"/>
              <w:right w:val="nil"/>
            </w:tcBorders>
            <w:shd w:val="clear" w:color="000000" w:fill="FFFFFF"/>
            <w:noWrap/>
            <w:vAlign w:val="center"/>
            <w:hideMark/>
          </w:tcPr>
          <w:p w14:paraId="5E8B460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5.6</w:t>
            </w:r>
          </w:p>
        </w:tc>
      </w:tr>
      <w:tr w:rsidR="00A36980" w:rsidRPr="005970E9" w14:paraId="1B2919F9" w14:textId="77777777" w:rsidTr="00216547">
        <w:trPr>
          <w:trHeight w:val="286"/>
          <w:jc w:val="center"/>
        </w:trPr>
        <w:tc>
          <w:tcPr>
            <w:tcW w:w="4935" w:type="dxa"/>
            <w:tcBorders>
              <w:top w:val="nil"/>
              <w:left w:val="nil"/>
              <w:bottom w:val="nil"/>
              <w:right w:val="single" w:sz="4" w:space="0" w:color="auto"/>
            </w:tcBorders>
            <w:shd w:val="clear" w:color="000000" w:fill="FFFFFF"/>
            <w:vAlign w:val="center"/>
            <w:hideMark/>
          </w:tcPr>
          <w:p w14:paraId="5C84313C" w14:textId="77777777" w:rsidR="00A36980" w:rsidRPr="005970E9" w:rsidRDefault="00A36980" w:rsidP="00216547">
            <w:pPr>
              <w:rPr>
                <w:rFonts w:eastAsia="Times New Roman" w:cs="Arial"/>
                <w:sz w:val="20"/>
                <w:szCs w:val="20"/>
              </w:rPr>
            </w:pPr>
            <w:r w:rsidRPr="005970E9">
              <w:rPr>
                <w:rFonts w:eastAsia="Times New Roman" w:cs="Arial"/>
                <w:sz w:val="20"/>
                <w:szCs w:val="20"/>
              </w:rPr>
              <w:t>Ciertas afecciones originadas en el período perinatal</w:t>
            </w:r>
          </w:p>
        </w:tc>
        <w:tc>
          <w:tcPr>
            <w:tcW w:w="725" w:type="dxa"/>
            <w:tcBorders>
              <w:top w:val="nil"/>
              <w:left w:val="single" w:sz="4" w:space="0" w:color="auto"/>
              <w:bottom w:val="nil"/>
              <w:right w:val="single" w:sz="4" w:space="0" w:color="auto"/>
            </w:tcBorders>
            <w:shd w:val="clear" w:color="000000" w:fill="FFFFFF"/>
            <w:noWrap/>
            <w:vAlign w:val="center"/>
            <w:hideMark/>
          </w:tcPr>
          <w:p w14:paraId="5661AF8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8.1</w:t>
            </w:r>
          </w:p>
        </w:tc>
        <w:tc>
          <w:tcPr>
            <w:tcW w:w="725" w:type="dxa"/>
            <w:tcBorders>
              <w:top w:val="nil"/>
              <w:left w:val="nil"/>
              <w:bottom w:val="nil"/>
              <w:right w:val="single" w:sz="4" w:space="0" w:color="auto"/>
            </w:tcBorders>
            <w:shd w:val="clear" w:color="000000" w:fill="FFFFFF"/>
            <w:noWrap/>
            <w:vAlign w:val="center"/>
            <w:hideMark/>
          </w:tcPr>
          <w:p w14:paraId="7C96A02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12.5</w:t>
            </w:r>
          </w:p>
        </w:tc>
        <w:tc>
          <w:tcPr>
            <w:tcW w:w="725" w:type="dxa"/>
            <w:tcBorders>
              <w:top w:val="nil"/>
              <w:left w:val="nil"/>
              <w:bottom w:val="nil"/>
              <w:right w:val="nil"/>
            </w:tcBorders>
            <w:shd w:val="clear" w:color="000000" w:fill="FFFFFF"/>
            <w:noWrap/>
            <w:vAlign w:val="center"/>
            <w:hideMark/>
          </w:tcPr>
          <w:p w14:paraId="398A220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9.2</w:t>
            </w:r>
          </w:p>
        </w:tc>
        <w:tc>
          <w:tcPr>
            <w:tcW w:w="725" w:type="dxa"/>
            <w:tcBorders>
              <w:top w:val="nil"/>
              <w:left w:val="single" w:sz="4" w:space="0" w:color="auto"/>
              <w:bottom w:val="nil"/>
              <w:right w:val="single" w:sz="4" w:space="0" w:color="auto"/>
            </w:tcBorders>
            <w:shd w:val="clear" w:color="000000" w:fill="FFFFFF"/>
            <w:noWrap/>
            <w:vAlign w:val="center"/>
            <w:hideMark/>
          </w:tcPr>
          <w:p w14:paraId="0347385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14.2</w:t>
            </w:r>
          </w:p>
        </w:tc>
        <w:tc>
          <w:tcPr>
            <w:tcW w:w="725" w:type="dxa"/>
            <w:tcBorders>
              <w:top w:val="nil"/>
              <w:left w:val="nil"/>
              <w:bottom w:val="nil"/>
              <w:right w:val="nil"/>
            </w:tcBorders>
            <w:shd w:val="clear" w:color="000000" w:fill="FFFFFF"/>
            <w:noWrap/>
            <w:vAlign w:val="center"/>
            <w:hideMark/>
          </w:tcPr>
          <w:p w14:paraId="5E490904"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7.1</w:t>
            </w:r>
          </w:p>
        </w:tc>
        <w:tc>
          <w:tcPr>
            <w:tcW w:w="728" w:type="dxa"/>
            <w:tcBorders>
              <w:top w:val="nil"/>
              <w:left w:val="single" w:sz="4" w:space="0" w:color="auto"/>
              <w:bottom w:val="nil"/>
              <w:right w:val="nil"/>
            </w:tcBorders>
            <w:shd w:val="clear" w:color="000000" w:fill="FFFFFF"/>
            <w:noWrap/>
            <w:vAlign w:val="center"/>
            <w:hideMark/>
          </w:tcPr>
          <w:p w14:paraId="32EBCD2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10.8</w:t>
            </w:r>
          </w:p>
        </w:tc>
      </w:tr>
      <w:tr w:rsidR="00A36980" w:rsidRPr="005970E9" w14:paraId="5BC14D2D" w14:textId="77777777" w:rsidTr="00216547">
        <w:trPr>
          <w:trHeight w:val="286"/>
          <w:jc w:val="center"/>
        </w:trPr>
        <w:tc>
          <w:tcPr>
            <w:tcW w:w="4935" w:type="dxa"/>
            <w:tcBorders>
              <w:top w:val="nil"/>
              <w:left w:val="nil"/>
              <w:bottom w:val="nil"/>
              <w:right w:val="single" w:sz="4" w:space="0" w:color="auto"/>
            </w:tcBorders>
            <w:shd w:val="clear" w:color="000000" w:fill="FFFFFF"/>
            <w:vAlign w:val="center"/>
            <w:hideMark/>
          </w:tcPr>
          <w:p w14:paraId="12D614AA" w14:textId="77777777" w:rsidR="00A36980" w:rsidRPr="005970E9" w:rsidRDefault="00A36980" w:rsidP="00216547">
            <w:pPr>
              <w:rPr>
                <w:rFonts w:eastAsia="Times New Roman" w:cs="Arial"/>
                <w:sz w:val="20"/>
                <w:szCs w:val="20"/>
              </w:rPr>
            </w:pPr>
            <w:r w:rsidRPr="005970E9">
              <w:rPr>
                <w:rFonts w:eastAsia="Times New Roman" w:cs="Arial"/>
                <w:sz w:val="20"/>
                <w:szCs w:val="20"/>
              </w:rPr>
              <w:t>Las demás causas</w:t>
            </w:r>
          </w:p>
        </w:tc>
        <w:tc>
          <w:tcPr>
            <w:tcW w:w="725" w:type="dxa"/>
            <w:tcBorders>
              <w:top w:val="nil"/>
              <w:left w:val="single" w:sz="4" w:space="0" w:color="auto"/>
              <w:bottom w:val="nil"/>
              <w:right w:val="single" w:sz="4" w:space="0" w:color="auto"/>
            </w:tcBorders>
            <w:shd w:val="clear" w:color="000000" w:fill="FFFFFF"/>
            <w:noWrap/>
            <w:vAlign w:val="center"/>
            <w:hideMark/>
          </w:tcPr>
          <w:p w14:paraId="39E381D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140.6</w:t>
            </w:r>
          </w:p>
        </w:tc>
        <w:tc>
          <w:tcPr>
            <w:tcW w:w="725" w:type="dxa"/>
            <w:tcBorders>
              <w:top w:val="nil"/>
              <w:left w:val="nil"/>
              <w:bottom w:val="nil"/>
              <w:right w:val="single" w:sz="4" w:space="0" w:color="auto"/>
            </w:tcBorders>
            <w:shd w:val="clear" w:color="000000" w:fill="FFFFFF"/>
            <w:noWrap/>
            <w:vAlign w:val="center"/>
            <w:hideMark/>
          </w:tcPr>
          <w:p w14:paraId="67F9FFC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152.5</w:t>
            </w:r>
          </w:p>
        </w:tc>
        <w:tc>
          <w:tcPr>
            <w:tcW w:w="725" w:type="dxa"/>
            <w:tcBorders>
              <w:top w:val="nil"/>
              <w:left w:val="nil"/>
              <w:bottom w:val="nil"/>
              <w:right w:val="nil"/>
            </w:tcBorders>
            <w:shd w:val="clear" w:color="000000" w:fill="FFFFFF"/>
            <w:noWrap/>
            <w:vAlign w:val="center"/>
            <w:hideMark/>
          </w:tcPr>
          <w:p w14:paraId="7CD594B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156.1</w:t>
            </w:r>
          </w:p>
        </w:tc>
        <w:tc>
          <w:tcPr>
            <w:tcW w:w="725" w:type="dxa"/>
            <w:tcBorders>
              <w:top w:val="nil"/>
              <w:left w:val="single" w:sz="4" w:space="0" w:color="auto"/>
              <w:bottom w:val="nil"/>
              <w:right w:val="single" w:sz="4" w:space="0" w:color="auto"/>
            </w:tcBorders>
            <w:shd w:val="clear" w:color="000000" w:fill="FFFFFF"/>
            <w:noWrap/>
            <w:vAlign w:val="center"/>
            <w:hideMark/>
          </w:tcPr>
          <w:p w14:paraId="28B6DEC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169.4</w:t>
            </w:r>
          </w:p>
        </w:tc>
        <w:tc>
          <w:tcPr>
            <w:tcW w:w="725" w:type="dxa"/>
            <w:tcBorders>
              <w:top w:val="nil"/>
              <w:left w:val="nil"/>
              <w:bottom w:val="nil"/>
              <w:right w:val="nil"/>
            </w:tcBorders>
            <w:shd w:val="clear" w:color="000000" w:fill="FFFFFF"/>
            <w:noWrap/>
            <w:vAlign w:val="center"/>
            <w:hideMark/>
          </w:tcPr>
          <w:p w14:paraId="0A8DA8C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124.8</w:t>
            </w:r>
          </w:p>
        </w:tc>
        <w:tc>
          <w:tcPr>
            <w:tcW w:w="728" w:type="dxa"/>
            <w:tcBorders>
              <w:top w:val="nil"/>
              <w:left w:val="single" w:sz="4" w:space="0" w:color="auto"/>
              <w:bottom w:val="nil"/>
              <w:right w:val="nil"/>
            </w:tcBorders>
            <w:shd w:val="clear" w:color="000000" w:fill="FFFFFF"/>
            <w:noWrap/>
            <w:vAlign w:val="center"/>
            <w:hideMark/>
          </w:tcPr>
          <w:p w14:paraId="778F9E8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135.6</w:t>
            </w:r>
          </w:p>
        </w:tc>
      </w:tr>
      <w:tr w:rsidR="00A36980" w:rsidRPr="005970E9" w14:paraId="0D4F70E4" w14:textId="77777777" w:rsidTr="00216547">
        <w:trPr>
          <w:trHeight w:val="256"/>
          <w:jc w:val="center"/>
        </w:trPr>
        <w:tc>
          <w:tcPr>
            <w:tcW w:w="9288" w:type="dxa"/>
            <w:gridSpan w:val="7"/>
            <w:tcBorders>
              <w:top w:val="single" w:sz="4" w:space="0" w:color="auto"/>
              <w:left w:val="nil"/>
              <w:bottom w:val="nil"/>
              <w:right w:val="nil"/>
            </w:tcBorders>
            <w:shd w:val="clear" w:color="auto" w:fill="auto"/>
            <w:vAlign w:val="center"/>
            <w:hideMark/>
          </w:tcPr>
          <w:p w14:paraId="21BA90BD" w14:textId="77777777" w:rsidR="00A36980" w:rsidRPr="005970E9" w:rsidRDefault="00A36980" w:rsidP="00216547">
            <w:pPr>
              <w:rPr>
                <w:rFonts w:eastAsia="Times New Roman" w:cs="Arial"/>
                <w:sz w:val="20"/>
                <w:szCs w:val="20"/>
              </w:rPr>
            </w:pPr>
            <w:r w:rsidRPr="005970E9">
              <w:rPr>
                <w:rFonts w:eastAsia="Times New Roman" w:cs="Arial"/>
                <w:sz w:val="20"/>
                <w:szCs w:val="20"/>
              </w:rPr>
              <w:t>(1) Por cien mil habitantes, con base en la estimación de la población total y sexo, al 1 de julio.</w:t>
            </w:r>
          </w:p>
        </w:tc>
      </w:tr>
      <w:tr w:rsidR="00A36980" w:rsidRPr="005970E9" w14:paraId="1705B053" w14:textId="77777777" w:rsidTr="00216547">
        <w:trPr>
          <w:trHeight w:val="502"/>
          <w:jc w:val="center"/>
        </w:trPr>
        <w:tc>
          <w:tcPr>
            <w:tcW w:w="9288" w:type="dxa"/>
            <w:gridSpan w:val="7"/>
            <w:tcBorders>
              <w:top w:val="single" w:sz="4" w:space="0" w:color="auto"/>
              <w:left w:val="nil"/>
              <w:bottom w:val="nil"/>
              <w:right w:val="nil"/>
            </w:tcBorders>
            <w:shd w:val="clear" w:color="000000" w:fill="F2F2F2"/>
            <w:vAlign w:val="center"/>
            <w:hideMark/>
          </w:tcPr>
          <w:p w14:paraId="3BAA8038" w14:textId="77777777" w:rsidR="00A36980" w:rsidRPr="005970E9" w:rsidRDefault="00A36980" w:rsidP="00216547">
            <w:pPr>
              <w:jc w:val="both"/>
              <w:rPr>
                <w:rFonts w:eastAsia="Times New Roman" w:cs="Arial"/>
                <w:sz w:val="20"/>
                <w:szCs w:val="20"/>
              </w:rPr>
            </w:pPr>
            <w:r w:rsidRPr="005970E9">
              <w:rPr>
                <w:rFonts w:eastAsia="Times New Roman" w:cs="Arial"/>
                <w:sz w:val="20"/>
                <w:szCs w:val="20"/>
              </w:rPr>
              <w:t>Fuente: INEC, Estadísticas Vitales 2018, Datos publicados corresponden a información recopilada con base en los registros administrativos de las instalaciones de salud pública (MINSA y CSS), clínicas privadas y oficinas del Registro Civil (Tribunal Electoral).</w:t>
            </w:r>
          </w:p>
        </w:tc>
      </w:tr>
    </w:tbl>
    <w:p w14:paraId="504A1AAC" w14:textId="05E19614" w:rsidR="00A36980" w:rsidRPr="005970E9" w:rsidRDefault="00A36980" w:rsidP="00A36980">
      <w:pPr>
        <w:jc w:val="both"/>
      </w:pPr>
    </w:p>
    <w:p w14:paraId="53969736" w14:textId="73B95D5A" w:rsidR="00935AC4" w:rsidRPr="005970E9" w:rsidRDefault="00935AC4" w:rsidP="00935AC4">
      <w:pPr>
        <w:pStyle w:val="Caption"/>
        <w:jc w:val="center"/>
        <w:rPr>
          <w:rFonts w:ascii="Century Schoolbook" w:hAnsi="Century Schoolbook"/>
        </w:rPr>
      </w:pPr>
      <w:bookmarkStart w:id="196" w:name="_Toc42549258"/>
      <w:r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26</w:t>
      </w:r>
      <w:r w:rsidR="00F202BE" w:rsidRPr="005970E9">
        <w:rPr>
          <w:rFonts w:ascii="Century Schoolbook" w:hAnsi="Century Schoolbook"/>
          <w:sz w:val="20"/>
          <w:szCs w:val="20"/>
        </w:rPr>
        <w:fldChar w:fldCharType="end"/>
      </w:r>
      <w:r w:rsidRPr="005970E9">
        <w:rPr>
          <w:rFonts w:ascii="Century Schoolbook" w:hAnsi="Century Schoolbook"/>
          <w:sz w:val="20"/>
          <w:szCs w:val="20"/>
        </w:rPr>
        <w:t xml:space="preserve">. </w:t>
      </w:r>
      <w:r w:rsidR="00820926" w:rsidRPr="005970E9">
        <w:rPr>
          <w:rFonts w:ascii="Century Schoolbook" w:hAnsi="Century Schoolbook"/>
          <w:sz w:val="20"/>
          <w:szCs w:val="20"/>
        </w:rPr>
        <w:t xml:space="preserve">Principales causas de mortalidad en </w:t>
      </w:r>
      <w:r w:rsidR="002E6A96" w:rsidRPr="005970E9">
        <w:rPr>
          <w:rFonts w:ascii="Century Schoolbook" w:hAnsi="Century Schoolbook"/>
          <w:sz w:val="20"/>
          <w:szCs w:val="20"/>
        </w:rPr>
        <w:t>P</w:t>
      </w:r>
      <w:r w:rsidR="00820926" w:rsidRPr="005970E9">
        <w:rPr>
          <w:rFonts w:ascii="Century Schoolbook" w:hAnsi="Century Schoolbook"/>
          <w:sz w:val="20"/>
          <w:szCs w:val="20"/>
        </w:rPr>
        <w:t>anamá, por sexo: año 2018 (en tasas</w:t>
      </w:r>
      <w:r w:rsidR="002E6A96" w:rsidRPr="005970E9">
        <w:rPr>
          <w:rFonts w:ascii="Century Schoolbook" w:hAnsi="Century Schoolbook"/>
          <w:sz w:val="20"/>
          <w:szCs w:val="20"/>
        </w:rPr>
        <w:t xml:space="preserve"> por cada 100,000 habitantes</w:t>
      </w:r>
      <w:r w:rsidR="00820926" w:rsidRPr="005970E9">
        <w:rPr>
          <w:rFonts w:ascii="Century Schoolbook" w:hAnsi="Century Schoolbook"/>
          <w:sz w:val="20"/>
          <w:szCs w:val="20"/>
        </w:rPr>
        <w:t>)</w:t>
      </w:r>
      <w:bookmarkEnd w:id="196"/>
    </w:p>
    <w:p w14:paraId="45EE0D01" w14:textId="77777777" w:rsidR="00A36980" w:rsidRPr="005970E9" w:rsidRDefault="00A36980" w:rsidP="00A36980">
      <w:pPr>
        <w:jc w:val="center"/>
      </w:pPr>
      <w:r w:rsidRPr="005970E9">
        <w:rPr>
          <w:noProof/>
        </w:rPr>
        <w:drawing>
          <wp:inline distT="0" distB="0" distL="0" distR="0" wp14:anchorId="49166CCD" wp14:editId="38CA2E12">
            <wp:extent cx="4792828" cy="2743200"/>
            <wp:effectExtent l="0" t="0" r="8255"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875B501" w14:textId="77777777" w:rsidR="00A36980" w:rsidRPr="005970E9" w:rsidRDefault="00A36980" w:rsidP="00A36980">
      <w:pPr>
        <w:jc w:val="both"/>
      </w:pPr>
    </w:p>
    <w:p w14:paraId="5B766286" w14:textId="30EF8768" w:rsidR="00F4181E" w:rsidRPr="005970E9" w:rsidRDefault="00F4181E" w:rsidP="00D478B6">
      <w:pPr>
        <w:pStyle w:val="Heading3"/>
        <w:numPr>
          <w:ilvl w:val="2"/>
          <w:numId w:val="56"/>
        </w:numPr>
      </w:pPr>
      <w:bookmarkStart w:id="197" w:name="_Toc42159230"/>
      <w:bookmarkStart w:id="198" w:name="_Toc42549461"/>
      <w:r w:rsidRPr="005970E9">
        <w:t>Mortalidad materna</w:t>
      </w:r>
      <w:bookmarkEnd w:id="197"/>
      <w:bookmarkEnd w:id="198"/>
    </w:p>
    <w:p w14:paraId="4626A28D" w14:textId="6AF4D123" w:rsidR="00F93F10" w:rsidRPr="005970E9" w:rsidRDefault="00F93F10" w:rsidP="00F93F10">
      <w:pPr>
        <w:spacing w:before="120" w:after="120" w:line="276" w:lineRule="auto"/>
        <w:jc w:val="both"/>
      </w:pPr>
      <w:r w:rsidRPr="005970E9">
        <w:t>La mortalidad materna del 2000 al 2018 no marcó un avance significativo. En casi dos décadas la brecha fue de 5, sin embargo, para la comarca Ngäbe Buglé la situación sigue igual o más grave con una muerte más para el 2018. (</w:t>
      </w:r>
      <w:r w:rsidRPr="00815D3E">
        <w:t xml:space="preserve">Gráfica </w:t>
      </w:r>
      <w:r w:rsidR="00815D3E" w:rsidRPr="00815D3E">
        <w:t>27</w:t>
      </w:r>
      <w:r w:rsidRPr="00815D3E">
        <w:t xml:space="preserve"> y </w:t>
      </w:r>
      <w:r w:rsidR="00815D3E" w:rsidRPr="00815D3E">
        <w:t>28</w:t>
      </w:r>
      <w:r w:rsidRPr="00815D3E">
        <w:t>)</w:t>
      </w:r>
    </w:p>
    <w:p w14:paraId="36ADD8CE" w14:textId="5336CD91" w:rsidR="00A36980" w:rsidRPr="005970E9" w:rsidRDefault="00F93F10" w:rsidP="00F93F10">
      <w:pPr>
        <w:spacing w:before="120" w:after="120" w:line="276" w:lineRule="auto"/>
        <w:jc w:val="both"/>
      </w:pPr>
      <w:r w:rsidRPr="005970E9">
        <w:lastRenderedPageBreak/>
        <w:t>Para el 2010 se registraron 41 muertes maternas que disminuyeron paulatinamente hasta 35 muertes en el 2018, reportadas producto de complicaciones del embarazo, donde la de mayor frecuencia fue el sangrado en el tercer trimestre, seguido de la ruptura uterina y la sepsis puerperal (</w:t>
      </w:r>
      <w:r w:rsidRPr="00815D3E">
        <w:t>Cuadro 12).</w:t>
      </w:r>
      <w:r w:rsidRPr="005970E9">
        <w:t xml:space="preserve"> La brecha entre las áreas con mayor mortalidad materna son las áreas comarcales y regiones rurales de la provincia de Panamá, aunque se redujo en 6 muertes en casi una década (2010 -2018). </w:t>
      </w:r>
      <w:r w:rsidR="00A36980" w:rsidRPr="005970E9">
        <w:t xml:space="preserve"> </w:t>
      </w:r>
    </w:p>
    <w:p w14:paraId="466330D3" w14:textId="3FF5159E" w:rsidR="00A36980" w:rsidRPr="005970E9" w:rsidRDefault="00884E23" w:rsidP="00884E23">
      <w:pPr>
        <w:pStyle w:val="Caption"/>
        <w:rPr>
          <w:rFonts w:ascii="Century Schoolbook" w:hAnsi="Century Schoolbook"/>
          <w:i w:val="0"/>
          <w:iCs w:val="0"/>
          <w:sz w:val="20"/>
          <w:szCs w:val="20"/>
        </w:rPr>
      </w:pPr>
      <w:bookmarkStart w:id="199" w:name="_Toc42549178"/>
      <w:r w:rsidRPr="005970E9">
        <w:rPr>
          <w:rFonts w:ascii="Century Schoolbook" w:hAnsi="Century Schoolbook"/>
          <w:i w:val="0"/>
          <w:iCs w:val="0"/>
        </w:rPr>
        <w:t xml:space="preserve">Cuadro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Cuadro \* ARABIC </w:instrText>
      </w:r>
      <w:r w:rsidRPr="005970E9">
        <w:rPr>
          <w:rFonts w:ascii="Century Schoolbook" w:hAnsi="Century Schoolbook"/>
          <w:i w:val="0"/>
          <w:iCs w:val="0"/>
        </w:rPr>
        <w:fldChar w:fldCharType="separate"/>
      </w:r>
      <w:r w:rsidR="00C5422E" w:rsidRPr="005970E9">
        <w:rPr>
          <w:rFonts w:ascii="Century Schoolbook" w:hAnsi="Century Schoolbook"/>
          <w:i w:val="0"/>
          <w:iCs w:val="0"/>
          <w:noProof/>
        </w:rPr>
        <w:t>12</w:t>
      </w:r>
      <w:r w:rsidRPr="005970E9">
        <w:rPr>
          <w:rFonts w:ascii="Century Schoolbook" w:hAnsi="Century Schoolbook"/>
          <w:i w:val="0"/>
          <w:iCs w:val="0"/>
        </w:rPr>
        <w:fldChar w:fldCharType="end"/>
      </w:r>
      <w:r w:rsidR="00935AC4" w:rsidRPr="005970E9">
        <w:rPr>
          <w:rFonts w:ascii="Century Schoolbook" w:hAnsi="Century Schoolbook"/>
          <w:i w:val="0"/>
          <w:iCs w:val="0"/>
          <w:sz w:val="20"/>
          <w:szCs w:val="20"/>
        </w:rPr>
        <w:t xml:space="preserve">. </w:t>
      </w:r>
      <w:r w:rsidR="00935AC4" w:rsidRPr="005970E9">
        <w:rPr>
          <w:rFonts w:ascii="Century Schoolbook" w:eastAsia="Times New Roman" w:hAnsi="Century Schoolbook" w:cs="Arial"/>
          <w:i w:val="0"/>
          <w:iCs w:val="0"/>
          <w:sz w:val="20"/>
          <w:szCs w:val="20"/>
        </w:rPr>
        <w:t>DEFUNCIONES MATERNAS EN LA REPÚBLICA, SEGÚN CAUSA:  AÑO 2018 EN COMPARACIÓN CON LOS AÑOS 2000, 2005, 2010, 2015 Y 2018</w:t>
      </w:r>
      <w:bookmarkEnd w:id="199"/>
    </w:p>
    <w:tbl>
      <w:tblPr>
        <w:tblW w:w="7514" w:type="dxa"/>
        <w:jc w:val="center"/>
        <w:tblLayout w:type="fixed"/>
        <w:tblCellMar>
          <w:left w:w="70" w:type="dxa"/>
          <w:right w:w="70" w:type="dxa"/>
        </w:tblCellMar>
        <w:tblLook w:val="04A0" w:firstRow="1" w:lastRow="0" w:firstColumn="1" w:lastColumn="0" w:noHBand="0" w:noVBand="1"/>
      </w:tblPr>
      <w:tblGrid>
        <w:gridCol w:w="3545"/>
        <w:gridCol w:w="603"/>
        <w:gridCol w:w="672"/>
        <w:gridCol w:w="709"/>
        <w:gridCol w:w="709"/>
        <w:gridCol w:w="603"/>
        <w:gridCol w:w="673"/>
      </w:tblGrid>
      <w:tr w:rsidR="00A36980" w:rsidRPr="005970E9" w14:paraId="7251970D" w14:textId="77777777" w:rsidTr="00935AC4">
        <w:trPr>
          <w:trHeight w:val="209"/>
          <w:jc w:val="center"/>
        </w:trPr>
        <w:tc>
          <w:tcPr>
            <w:tcW w:w="3545" w:type="dxa"/>
            <w:vMerge w:val="restart"/>
            <w:tcBorders>
              <w:top w:val="single" w:sz="4" w:space="0" w:color="auto"/>
              <w:left w:val="nil"/>
              <w:bottom w:val="single" w:sz="4" w:space="0" w:color="000000"/>
              <w:right w:val="nil"/>
            </w:tcBorders>
            <w:shd w:val="clear" w:color="auto" w:fill="CCC0D9" w:themeFill="accent4" w:themeFillTint="66"/>
            <w:vAlign w:val="center"/>
            <w:hideMark/>
          </w:tcPr>
          <w:p w14:paraId="7553F762"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 xml:space="preserve">Causa (1) </w:t>
            </w:r>
          </w:p>
        </w:tc>
        <w:tc>
          <w:tcPr>
            <w:tcW w:w="3969" w:type="dxa"/>
            <w:gridSpan w:val="6"/>
            <w:tcBorders>
              <w:top w:val="single" w:sz="4" w:space="0" w:color="auto"/>
              <w:left w:val="single" w:sz="4" w:space="0" w:color="auto"/>
              <w:bottom w:val="single" w:sz="4" w:space="0" w:color="auto"/>
              <w:right w:val="nil"/>
            </w:tcBorders>
            <w:shd w:val="clear" w:color="auto" w:fill="CCC0D9" w:themeFill="accent4" w:themeFillTint="66"/>
            <w:vAlign w:val="center"/>
            <w:hideMark/>
          </w:tcPr>
          <w:p w14:paraId="314655AD"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 xml:space="preserve">Defunciones maternas </w:t>
            </w:r>
          </w:p>
        </w:tc>
      </w:tr>
      <w:tr w:rsidR="00A36980" w:rsidRPr="005970E9" w14:paraId="37CEC333" w14:textId="77777777" w:rsidTr="00935AC4">
        <w:trPr>
          <w:trHeight w:val="201"/>
          <w:jc w:val="center"/>
        </w:trPr>
        <w:tc>
          <w:tcPr>
            <w:tcW w:w="3545" w:type="dxa"/>
            <w:vMerge/>
            <w:tcBorders>
              <w:top w:val="single" w:sz="4" w:space="0" w:color="000000"/>
              <w:left w:val="nil"/>
              <w:bottom w:val="single" w:sz="4" w:space="0" w:color="000000"/>
              <w:right w:val="nil"/>
            </w:tcBorders>
            <w:shd w:val="clear" w:color="auto" w:fill="CCC0D9" w:themeFill="accent4" w:themeFillTint="66"/>
            <w:vAlign w:val="center"/>
            <w:hideMark/>
          </w:tcPr>
          <w:p w14:paraId="3F1CB952" w14:textId="77777777" w:rsidR="00A36980" w:rsidRPr="005970E9" w:rsidRDefault="00A36980" w:rsidP="00216547">
            <w:pPr>
              <w:rPr>
                <w:rFonts w:eastAsia="Times New Roman" w:cs="Arial"/>
                <w:b/>
                <w:bCs/>
                <w:sz w:val="20"/>
                <w:szCs w:val="20"/>
              </w:rPr>
            </w:pPr>
          </w:p>
        </w:tc>
        <w:tc>
          <w:tcPr>
            <w:tcW w:w="603"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14:paraId="4BFE5255"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2000</w:t>
            </w:r>
          </w:p>
        </w:tc>
        <w:tc>
          <w:tcPr>
            <w:tcW w:w="672" w:type="dxa"/>
            <w:tcBorders>
              <w:top w:val="nil"/>
              <w:left w:val="nil"/>
              <w:bottom w:val="single" w:sz="4" w:space="0" w:color="auto"/>
              <w:right w:val="single" w:sz="4" w:space="0" w:color="auto"/>
            </w:tcBorders>
            <w:shd w:val="clear" w:color="auto" w:fill="CCC0D9" w:themeFill="accent4" w:themeFillTint="66"/>
            <w:vAlign w:val="center"/>
            <w:hideMark/>
          </w:tcPr>
          <w:p w14:paraId="76A97505"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2005</w:t>
            </w:r>
          </w:p>
        </w:tc>
        <w:tc>
          <w:tcPr>
            <w:tcW w:w="709" w:type="dxa"/>
            <w:tcBorders>
              <w:top w:val="nil"/>
              <w:left w:val="nil"/>
              <w:bottom w:val="single" w:sz="4" w:space="0" w:color="auto"/>
              <w:right w:val="nil"/>
            </w:tcBorders>
            <w:shd w:val="clear" w:color="auto" w:fill="CCC0D9" w:themeFill="accent4" w:themeFillTint="66"/>
            <w:vAlign w:val="center"/>
            <w:hideMark/>
          </w:tcPr>
          <w:p w14:paraId="5DFB4177"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2010</w:t>
            </w:r>
          </w:p>
        </w:tc>
        <w:tc>
          <w:tcPr>
            <w:tcW w:w="709" w:type="dxa"/>
            <w:tcBorders>
              <w:top w:val="nil"/>
              <w:left w:val="single" w:sz="4" w:space="0" w:color="auto"/>
              <w:bottom w:val="single" w:sz="4" w:space="0" w:color="auto"/>
              <w:right w:val="nil"/>
            </w:tcBorders>
            <w:shd w:val="clear" w:color="auto" w:fill="CCC0D9" w:themeFill="accent4" w:themeFillTint="66"/>
            <w:vAlign w:val="center"/>
            <w:hideMark/>
          </w:tcPr>
          <w:p w14:paraId="0B0B6DCA"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2015</w:t>
            </w:r>
          </w:p>
        </w:tc>
        <w:tc>
          <w:tcPr>
            <w:tcW w:w="603" w:type="dxa"/>
            <w:tcBorders>
              <w:top w:val="nil"/>
              <w:left w:val="single" w:sz="4" w:space="0" w:color="auto"/>
              <w:bottom w:val="single" w:sz="4" w:space="0" w:color="auto"/>
              <w:right w:val="nil"/>
            </w:tcBorders>
            <w:shd w:val="clear" w:color="auto" w:fill="CCC0D9" w:themeFill="accent4" w:themeFillTint="66"/>
            <w:noWrap/>
            <w:vAlign w:val="center"/>
            <w:hideMark/>
          </w:tcPr>
          <w:p w14:paraId="507FA603"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2017</w:t>
            </w:r>
          </w:p>
        </w:tc>
        <w:tc>
          <w:tcPr>
            <w:tcW w:w="673" w:type="dxa"/>
            <w:tcBorders>
              <w:top w:val="nil"/>
              <w:left w:val="single" w:sz="4" w:space="0" w:color="auto"/>
              <w:bottom w:val="single" w:sz="4" w:space="0" w:color="auto"/>
              <w:right w:val="nil"/>
            </w:tcBorders>
            <w:shd w:val="clear" w:color="auto" w:fill="CCC0D9" w:themeFill="accent4" w:themeFillTint="66"/>
            <w:noWrap/>
            <w:vAlign w:val="center"/>
            <w:hideMark/>
          </w:tcPr>
          <w:p w14:paraId="4C10B3CE"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2018</w:t>
            </w:r>
          </w:p>
        </w:tc>
      </w:tr>
      <w:tr w:rsidR="00A36980" w:rsidRPr="005970E9" w14:paraId="0E9F5018" w14:textId="77777777" w:rsidTr="000D3955">
        <w:trPr>
          <w:trHeight w:val="264"/>
          <w:jc w:val="center"/>
        </w:trPr>
        <w:tc>
          <w:tcPr>
            <w:tcW w:w="3545" w:type="dxa"/>
            <w:tcBorders>
              <w:top w:val="nil"/>
              <w:left w:val="nil"/>
              <w:bottom w:val="nil"/>
              <w:right w:val="single" w:sz="4" w:space="0" w:color="auto"/>
            </w:tcBorders>
            <w:shd w:val="clear" w:color="000000" w:fill="FFFFFF"/>
            <w:noWrap/>
            <w:vAlign w:val="center"/>
            <w:hideMark/>
          </w:tcPr>
          <w:p w14:paraId="12233B72"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TOTAL</w:t>
            </w:r>
          </w:p>
        </w:tc>
        <w:tc>
          <w:tcPr>
            <w:tcW w:w="603" w:type="dxa"/>
            <w:tcBorders>
              <w:top w:val="nil"/>
              <w:left w:val="nil"/>
              <w:bottom w:val="nil"/>
              <w:right w:val="single" w:sz="4" w:space="0" w:color="auto"/>
            </w:tcBorders>
            <w:shd w:val="clear" w:color="000000" w:fill="FFFFFF"/>
            <w:noWrap/>
            <w:vAlign w:val="center"/>
            <w:hideMark/>
          </w:tcPr>
          <w:p w14:paraId="6CAC3591"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40</w:t>
            </w:r>
          </w:p>
        </w:tc>
        <w:tc>
          <w:tcPr>
            <w:tcW w:w="672" w:type="dxa"/>
            <w:tcBorders>
              <w:top w:val="nil"/>
              <w:left w:val="nil"/>
              <w:bottom w:val="nil"/>
              <w:right w:val="single" w:sz="4" w:space="0" w:color="auto"/>
            </w:tcBorders>
            <w:shd w:val="clear" w:color="000000" w:fill="FFFFFF"/>
            <w:noWrap/>
            <w:vAlign w:val="center"/>
            <w:hideMark/>
          </w:tcPr>
          <w:p w14:paraId="258FDB83"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42</w:t>
            </w:r>
          </w:p>
        </w:tc>
        <w:tc>
          <w:tcPr>
            <w:tcW w:w="709" w:type="dxa"/>
            <w:tcBorders>
              <w:top w:val="nil"/>
              <w:left w:val="nil"/>
              <w:bottom w:val="nil"/>
              <w:right w:val="single" w:sz="4" w:space="0" w:color="auto"/>
            </w:tcBorders>
            <w:shd w:val="clear" w:color="000000" w:fill="FFFFFF"/>
            <w:noWrap/>
            <w:vAlign w:val="center"/>
            <w:hideMark/>
          </w:tcPr>
          <w:p w14:paraId="1AE4F05B"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41</w:t>
            </w:r>
          </w:p>
        </w:tc>
        <w:tc>
          <w:tcPr>
            <w:tcW w:w="709" w:type="dxa"/>
            <w:tcBorders>
              <w:top w:val="nil"/>
              <w:left w:val="nil"/>
              <w:bottom w:val="nil"/>
              <w:right w:val="single" w:sz="4" w:space="0" w:color="auto"/>
            </w:tcBorders>
            <w:shd w:val="clear" w:color="000000" w:fill="FFFFFF"/>
            <w:noWrap/>
            <w:vAlign w:val="center"/>
            <w:hideMark/>
          </w:tcPr>
          <w:p w14:paraId="5BE59CA3"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40</w:t>
            </w:r>
          </w:p>
        </w:tc>
        <w:tc>
          <w:tcPr>
            <w:tcW w:w="603" w:type="dxa"/>
            <w:tcBorders>
              <w:top w:val="nil"/>
              <w:left w:val="nil"/>
              <w:bottom w:val="nil"/>
              <w:right w:val="single" w:sz="4" w:space="0" w:color="auto"/>
            </w:tcBorders>
            <w:shd w:val="clear" w:color="000000" w:fill="FFFFFF"/>
            <w:noWrap/>
            <w:vAlign w:val="center"/>
            <w:hideMark/>
          </w:tcPr>
          <w:p w14:paraId="12B7014B"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27</w:t>
            </w:r>
          </w:p>
        </w:tc>
        <w:tc>
          <w:tcPr>
            <w:tcW w:w="673" w:type="dxa"/>
            <w:tcBorders>
              <w:top w:val="nil"/>
              <w:left w:val="nil"/>
              <w:bottom w:val="nil"/>
              <w:right w:val="nil"/>
            </w:tcBorders>
            <w:shd w:val="clear" w:color="000000" w:fill="FFFFFF"/>
            <w:vAlign w:val="center"/>
            <w:hideMark/>
          </w:tcPr>
          <w:p w14:paraId="11B95930"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35</w:t>
            </w:r>
          </w:p>
        </w:tc>
      </w:tr>
      <w:tr w:rsidR="00A36980" w:rsidRPr="005970E9" w14:paraId="795C2886" w14:textId="77777777" w:rsidTr="000D3955">
        <w:trPr>
          <w:trHeight w:val="365"/>
          <w:jc w:val="center"/>
        </w:trPr>
        <w:tc>
          <w:tcPr>
            <w:tcW w:w="3545" w:type="dxa"/>
            <w:tcBorders>
              <w:top w:val="nil"/>
              <w:left w:val="nil"/>
              <w:bottom w:val="nil"/>
              <w:right w:val="single" w:sz="4" w:space="0" w:color="auto"/>
            </w:tcBorders>
            <w:shd w:val="clear" w:color="000000" w:fill="FFFFFF"/>
            <w:vAlign w:val="center"/>
            <w:hideMark/>
          </w:tcPr>
          <w:p w14:paraId="10D07167" w14:textId="77777777" w:rsidR="00A36980" w:rsidRPr="005970E9" w:rsidRDefault="00A36980" w:rsidP="00216547">
            <w:pPr>
              <w:rPr>
                <w:rFonts w:eastAsia="Times New Roman" w:cs="Arial"/>
                <w:sz w:val="20"/>
                <w:szCs w:val="20"/>
              </w:rPr>
            </w:pPr>
            <w:r w:rsidRPr="005970E9">
              <w:rPr>
                <w:rFonts w:eastAsia="Times New Roman" w:cs="Arial"/>
                <w:sz w:val="20"/>
                <w:szCs w:val="20"/>
              </w:rPr>
              <w:t>Complicaciones principalmente relacionadas con el puerperio</w:t>
            </w:r>
          </w:p>
        </w:tc>
        <w:tc>
          <w:tcPr>
            <w:tcW w:w="603" w:type="dxa"/>
            <w:tcBorders>
              <w:top w:val="nil"/>
              <w:left w:val="nil"/>
              <w:bottom w:val="nil"/>
              <w:right w:val="single" w:sz="4" w:space="0" w:color="auto"/>
            </w:tcBorders>
            <w:shd w:val="clear" w:color="000000" w:fill="FFFFFF"/>
            <w:noWrap/>
            <w:vAlign w:val="center"/>
            <w:hideMark/>
          </w:tcPr>
          <w:p w14:paraId="279B373D"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8</w:t>
            </w:r>
          </w:p>
        </w:tc>
        <w:tc>
          <w:tcPr>
            <w:tcW w:w="672" w:type="dxa"/>
            <w:tcBorders>
              <w:top w:val="nil"/>
              <w:left w:val="nil"/>
              <w:bottom w:val="nil"/>
              <w:right w:val="single" w:sz="4" w:space="0" w:color="auto"/>
            </w:tcBorders>
            <w:shd w:val="clear" w:color="000000" w:fill="FFFFFF"/>
            <w:noWrap/>
            <w:vAlign w:val="center"/>
            <w:hideMark/>
          </w:tcPr>
          <w:p w14:paraId="08A2E931"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6</w:t>
            </w:r>
          </w:p>
        </w:tc>
        <w:tc>
          <w:tcPr>
            <w:tcW w:w="709" w:type="dxa"/>
            <w:tcBorders>
              <w:top w:val="nil"/>
              <w:left w:val="nil"/>
              <w:bottom w:val="nil"/>
              <w:right w:val="single" w:sz="4" w:space="0" w:color="auto"/>
            </w:tcBorders>
            <w:shd w:val="clear" w:color="000000" w:fill="FFFFFF"/>
            <w:noWrap/>
            <w:vAlign w:val="center"/>
            <w:hideMark/>
          </w:tcPr>
          <w:p w14:paraId="6CD8C1F5"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6</w:t>
            </w:r>
          </w:p>
        </w:tc>
        <w:tc>
          <w:tcPr>
            <w:tcW w:w="709" w:type="dxa"/>
            <w:tcBorders>
              <w:top w:val="nil"/>
              <w:left w:val="nil"/>
              <w:bottom w:val="nil"/>
              <w:right w:val="single" w:sz="4" w:space="0" w:color="auto"/>
            </w:tcBorders>
            <w:shd w:val="clear" w:color="000000" w:fill="FFFFFF"/>
            <w:noWrap/>
            <w:vAlign w:val="center"/>
            <w:hideMark/>
          </w:tcPr>
          <w:p w14:paraId="5295C6F1"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6</w:t>
            </w:r>
          </w:p>
        </w:tc>
        <w:tc>
          <w:tcPr>
            <w:tcW w:w="603" w:type="dxa"/>
            <w:tcBorders>
              <w:top w:val="nil"/>
              <w:left w:val="nil"/>
              <w:bottom w:val="nil"/>
              <w:right w:val="single" w:sz="4" w:space="0" w:color="auto"/>
            </w:tcBorders>
            <w:shd w:val="clear" w:color="000000" w:fill="FFFFFF"/>
            <w:noWrap/>
            <w:vAlign w:val="center"/>
            <w:hideMark/>
          </w:tcPr>
          <w:p w14:paraId="56FDFDF7"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3</w:t>
            </w:r>
          </w:p>
        </w:tc>
        <w:tc>
          <w:tcPr>
            <w:tcW w:w="673" w:type="dxa"/>
            <w:tcBorders>
              <w:top w:val="nil"/>
              <w:left w:val="nil"/>
              <w:bottom w:val="nil"/>
              <w:right w:val="nil"/>
            </w:tcBorders>
            <w:shd w:val="clear" w:color="000000" w:fill="FFFFFF"/>
            <w:vAlign w:val="center"/>
            <w:hideMark/>
          </w:tcPr>
          <w:p w14:paraId="6904D494"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9</w:t>
            </w:r>
          </w:p>
        </w:tc>
      </w:tr>
      <w:tr w:rsidR="00A36980" w:rsidRPr="005970E9" w14:paraId="77FAA724" w14:textId="77777777" w:rsidTr="000D3955">
        <w:trPr>
          <w:trHeight w:val="387"/>
          <w:jc w:val="center"/>
        </w:trPr>
        <w:tc>
          <w:tcPr>
            <w:tcW w:w="3545" w:type="dxa"/>
            <w:tcBorders>
              <w:top w:val="nil"/>
              <w:left w:val="nil"/>
              <w:bottom w:val="nil"/>
              <w:right w:val="single" w:sz="4" w:space="0" w:color="auto"/>
            </w:tcBorders>
            <w:shd w:val="clear" w:color="000000" w:fill="FFFFFF"/>
            <w:noWrap/>
            <w:vAlign w:val="center"/>
            <w:hideMark/>
          </w:tcPr>
          <w:p w14:paraId="5F8B990F" w14:textId="77777777" w:rsidR="00A36980" w:rsidRPr="005970E9" w:rsidRDefault="00A36980" w:rsidP="00216547">
            <w:pPr>
              <w:rPr>
                <w:rFonts w:eastAsia="Times New Roman" w:cs="Arial"/>
                <w:sz w:val="20"/>
                <w:szCs w:val="20"/>
              </w:rPr>
            </w:pPr>
            <w:r w:rsidRPr="005970E9">
              <w:rPr>
                <w:rFonts w:eastAsia="Times New Roman" w:cs="Arial"/>
                <w:sz w:val="20"/>
                <w:szCs w:val="20"/>
              </w:rPr>
              <w:t>Complicaciones del trabajo de parto y del parto</w:t>
            </w:r>
          </w:p>
        </w:tc>
        <w:tc>
          <w:tcPr>
            <w:tcW w:w="603" w:type="dxa"/>
            <w:tcBorders>
              <w:top w:val="nil"/>
              <w:left w:val="nil"/>
              <w:bottom w:val="nil"/>
              <w:right w:val="single" w:sz="4" w:space="0" w:color="auto"/>
            </w:tcBorders>
            <w:shd w:val="clear" w:color="000000" w:fill="FFFFFF"/>
            <w:noWrap/>
            <w:vAlign w:val="center"/>
            <w:hideMark/>
          </w:tcPr>
          <w:p w14:paraId="097BC25F"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12</w:t>
            </w:r>
          </w:p>
        </w:tc>
        <w:tc>
          <w:tcPr>
            <w:tcW w:w="672" w:type="dxa"/>
            <w:tcBorders>
              <w:top w:val="nil"/>
              <w:left w:val="nil"/>
              <w:bottom w:val="nil"/>
              <w:right w:val="single" w:sz="4" w:space="0" w:color="auto"/>
            </w:tcBorders>
            <w:shd w:val="clear" w:color="000000" w:fill="FFFFFF"/>
            <w:noWrap/>
            <w:vAlign w:val="center"/>
            <w:hideMark/>
          </w:tcPr>
          <w:p w14:paraId="6BDC7BE5"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10</w:t>
            </w:r>
          </w:p>
        </w:tc>
        <w:tc>
          <w:tcPr>
            <w:tcW w:w="709" w:type="dxa"/>
            <w:tcBorders>
              <w:top w:val="nil"/>
              <w:left w:val="nil"/>
              <w:bottom w:val="nil"/>
              <w:right w:val="single" w:sz="4" w:space="0" w:color="auto"/>
            </w:tcBorders>
            <w:shd w:val="clear" w:color="000000" w:fill="FFFFFF"/>
            <w:noWrap/>
            <w:vAlign w:val="center"/>
            <w:hideMark/>
          </w:tcPr>
          <w:p w14:paraId="0489E1AD"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12</w:t>
            </w:r>
          </w:p>
        </w:tc>
        <w:tc>
          <w:tcPr>
            <w:tcW w:w="709" w:type="dxa"/>
            <w:tcBorders>
              <w:top w:val="nil"/>
              <w:left w:val="nil"/>
              <w:bottom w:val="nil"/>
              <w:right w:val="single" w:sz="4" w:space="0" w:color="auto"/>
            </w:tcBorders>
            <w:shd w:val="clear" w:color="000000" w:fill="FFFFFF"/>
            <w:noWrap/>
            <w:vAlign w:val="center"/>
            <w:hideMark/>
          </w:tcPr>
          <w:p w14:paraId="38A36976"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10</w:t>
            </w:r>
          </w:p>
        </w:tc>
        <w:tc>
          <w:tcPr>
            <w:tcW w:w="603" w:type="dxa"/>
            <w:tcBorders>
              <w:top w:val="nil"/>
              <w:left w:val="nil"/>
              <w:bottom w:val="nil"/>
              <w:right w:val="single" w:sz="4" w:space="0" w:color="auto"/>
            </w:tcBorders>
            <w:shd w:val="clear" w:color="000000" w:fill="FFFFFF"/>
            <w:noWrap/>
            <w:vAlign w:val="center"/>
            <w:hideMark/>
          </w:tcPr>
          <w:p w14:paraId="7011B5DF"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8</w:t>
            </w:r>
          </w:p>
        </w:tc>
        <w:tc>
          <w:tcPr>
            <w:tcW w:w="673" w:type="dxa"/>
            <w:tcBorders>
              <w:top w:val="nil"/>
              <w:left w:val="nil"/>
              <w:bottom w:val="nil"/>
              <w:right w:val="nil"/>
            </w:tcBorders>
            <w:shd w:val="clear" w:color="000000" w:fill="FFFFFF"/>
            <w:vAlign w:val="center"/>
            <w:hideMark/>
          </w:tcPr>
          <w:p w14:paraId="727B1C54"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7</w:t>
            </w:r>
          </w:p>
        </w:tc>
      </w:tr>
      <w:tr w:rsidR="00A36980" w:rsidRPr="005970E9" w14:paraId="319C919F" w14:textId="77777777" w:rsidTr="000D3955">
        <w:trPr>
          <w:trHeight w:val="516"/>
          <w:jc w:val="center"/>
        </w:trPr>
        <w:tc>
          <w:tcPr>
            <w:tcW w:w="3545" w:type="dxa"/>
            <w:tcBorders>
              <w:top w:val="nil"/>
              <w:left w:val="nil"/>
              <w:bottom w:val="nil"/>
              <w:right w:val="single" w:sz="4" w:space="0" w:color="auto"/>
            </w:tcBorders>
            <w:shd w:val="clear" w:color="000000" w:fill="FFFFFF"/>
            <w:vAlign w:val="center"/>
            <w:hideMark/>
          </w:tcPr>
          <w:p w14:paraId="65EB0E2E" w14:textId="77777777" w:rsidR="00A36980" w:rsidRPr="005970E9" w:rsidRDefault="00A36980" w:rsidP="00216547">
            <w:pPr>
              <w:rPr>
                <w:rFonts w:eastAsia="Times New Roman" w:cs="Arial"/>
                <w:sz w:val="20"/>
                <w:szCs w:val="20"/>
              </w:rPr>
            </w:pPr>
            <w:r w:rsidRPr="005970E9">
              <w:rPr>
                <w:rFonts w:eastAsia="Times New Roman" w:cs="Arial"/>
                <w:sz w:val="20"/>
                <w:szCs w:val="20"/>
              </w:rPr>
              <w:t>Edema, proteinuria y trastornos hipertensivos en el embarazo, el parto y el puerperio</w:t>
            </w:r>
          </w:p>
        </w:tc>
        <w:tc>
          <w:tcPr>
            <w:tcW w:w="603" w:type="dxa"/>
            <w:tcBorders>
              <w:top w:val="nil"/>
              <w:left w:val="nil"/>
              <w:bottom w:val="nil"/>
              <w:right w:val="single" w:sz="4" w:space="0" w:color="auto"/>
            </w:tcBorders>
            <w:shd w:val="clear" w:color="000000" w:fill="FFFFFF"/>
            <w:noWrap/>
            <w:vAlign w:val="center"/>
            <w:hideMark/>
          </w:tcPr>
          <w:p w14:paraId="058BEF87"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7</w:t>
            </w:r>
          </w:p>
        </w:tc>
        <w:tc>
          <w:tcPr>
            <w:tcW w:w="672" w:type="dxa"/>
            <w:tcBorders>
              <w:top w:val="nil"/>
              <w:left w:val="nil"/>
              <w:bottom w:val="nil"/>
              <w:right w:val="single" w:sz="4" w:space="0" w:color="auto"/>
            </w:tcBorders>
            <w:shd w:val="clear" w:color="000000" w:fill="FFFFFF"/>
            <w:noWrap/>
            <w:vAlign w:val="center"/>
            <w:hideMark/>
          </w:tcPr>
          <w:p w14:paraId="6470C856"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8</w:t>
            </w:r>
          </w:p>
        </w:tc>
        <w:tc>
          <w:tcPr>
            <w:tcW w:w="709" w:type="dxa"/>
            <w:tcBorders>
              <w:top w:val="nil"/>
              <w:left w:val="nil"/>
              <w:bottom w:val="nil"/>
              <w:right w:val="single" w:sz="4" w:space="0" w:color="auto"/>
            </w:tcBorders>
            <w:shd w:val="clear" w:color="000000" w:fill="FFFFFF"/>
            <w:noWrap/>
            <w:vAlign w:val="center"/>
            <w:hideMark/>
          </w:tcPr>
          <w:p w14:paraId="55C27138"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6</w:t>
            </w:r>
          </w:p>
        </w:tc>
        <w:tc>
          <w:tcPr>
            <w:tcW w:w="709" w:type="dxa"/>
            <w:tcBorders>
              <w:top w:val="nil"/>
              <w:left w:val="nil"/>
              <w:bottom w:val="nil"/>
              <w:right w:val="single" w:sz="4" w:space="0" w:color="auto"/>
            </w:tcBorders>
            <w:shd w:val="clear" w:color="000000" w:fill="FFFFFF"/>
            <w:noWrap/>
            <w:vAlign w:val="center"/>
            <w:hideMark/>
          </w:tcPr>
          <w:p w14:paraId="1F7E535A"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11</w:t>
            </w:r>
          </w:p>
        </w:tc>
        <w:tc>
          <w:tcPr>
            <w:tcW w:w="603" w:type="dxa"/>
            <w:tcBorders>
              <w:top w:val="nil"/>
              <w:left w:val="nil"/>
              <w:bottom w:val="nil"/>
              <w:right w:val="single" w:sz="4" w:space="0" w:color="auto"/>
            </w:tcBorders>
            <w:shd w:val="clear" w:color="000000" w:fill="FFFFFF"/>
            <w:noWrap/>
            <w:vAlign w:val="center"/>
            <w:hideMark/>
          </w:tcPr>
          <w:p w14:paraId="4C506DA6"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6</w:t>
            </w:r>
          </w:p>
        </w:tc>
        <w:tc>
          <w:tcPr>
            <w:tcW w:w="673" w:type="dxa"/>
            <w:tcBorders>
              <w:top w:val="nil"/>
              <w:left w:val="nil"/>
              <w:bottom w:val="nil"/>
              <w:right w:val="nil"/>
            </w:tcBorders>
            <w:shd w:val="clear" w:color="000000" w:fill="FFFFFF"/>
            <w:vAlign w:val="center"/>
            <w:hideMark/>
          </w:tcPr>
          <w:p w14:paraId="448B5DDC"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7</w:t>
            </w:r>
          </w:p>
        </w:tc>
      </w:tr>
      <w:tr w:rsidR="00A36980" w:rsidRPr="005970E9" w14:paraId="12A4FD9A" w14:textId="77777777" w:rsidTr="000D3955">
        <w:trPr>
          <w:trHeight w:val="387"/>
          <w:jc w:val="center"/>
        </w:trPr>
        <w:tc>
          <w:tcPr>
            <w:tcW w:w="3545" w:type="dxa"/>
            <w:tcBorders>
              <w:top w:val="nil"/>
              <w:left w:val="nil"/>
              <w:bottom w:val="nil"/>
              <w:right w:val="single" w:sz="4" w:space="0" w:color="auto"/>
            </w:tcBorders>
            <w:shd w:val="clear" w:color="000000" w:fill="FFFFFF"/>
            <w:noWrap/>
            <w:vAlign w:val="center"/>
            <w:hideMark/>
          </w:tcPr>
          <w:p w14:paraId="5E8B4C4A" w14:textId="77777777" w:rsidR="00A36980" w:rsidRPr="005970E9" w:rsidRDefault="00A36980" w:rsidP="00216547">
            <w:pPr>
              <w:rPr>
                <w:rFonts w:eastAsia="Times New Roman" w:cs="Arial"/>
                <w:sz w:val="20"/>
                <w:szCs w:val="20"/>
              </w:rPr>
            </w:pPr>
            <w:r w:rsidRPr="005970E9">
              <w:rPr>
                <w:rFonts w:eastAsia="Times New Roman" w:cs="Arial"/>
                <w:sz w:val="20"/>
                <w:szCs w:val="20"/>
              </w:rPr>
              <w:t>Embarazo terminado en aborto</w:t>
            </w:r>
          </w:p>
        </w:tc>
        <w:tc>
          <w:tcPr>
            <w:tcW w:w="603" w:type="dxa"/>
            <w:tcBorders>
              <w:top w:val="nil"/>
              <w:left w:val="nil"/>
              <w:bottom w:val="nil"/>
              <w:right w:val="single" w:sz="4" w:space="0" w:color="auto"/>
            </w:tcBorders>
            <w:shd w:val="clear" w:color="000000" w:fill="FFFFFF"/>
            <w:noWrap/>
            <w:vAlign w:val="center"/>
            <w:hideMark/>
          </w:tcPr>
          <w:p w14:paraId="20FA9052"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5</w:t>
            </w:r>
          </w:p>
        </w:tc>
        <w:tc>
          <w:tcPr>
            <w:tcW w:w="672" w:type="dxa"/>
            <w:tcBorders>
              <w:top w:val="nil"/>
              <w:left w:val="nil"/>
              <w:bottom w:val="nil"/>
              <w:right w:val="single" w:sz="4" w:space="0" w:color="auto"/>
            </w:tcBorders>
            <w:shd w:val="clear" w:color="000000" w:fill="FFFFFF"/>
            <w:noWrap/>
            <w:vAlign w:val="center"/>
            <w:hideMark/>
          </w:tcPr>
          <w:p w14:paraId="477F60AC"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1</w:t>
            </w:r>
          </w:p>
        </w:tc>
        <w:tc>
          <w:tcPr>
            <w:tcW w:w="709" w:type="dxa"/>
            <w:tcBorders>
              <w:top w:val="nil"/>
              <w:left w:val="nil"/>
              <w:bottom w:val="nil"/>
              <w:right w:val="single" w:sz="4" w:space="0" w:color="auto"/>
            </w:tcBorders>
            <w:shd w:val="clear" w:color="000000" w:fill="FFFFFF"/>
            <w:noWrap/>
            <w:vAlign w:val="center"/>
            <w:hideMark/>
          </w:tcPr>
          <w:p w14:paraId="7CAC79E0"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6</w:t>
            </w:r>
          </w:p>
        </w:tc>
        <w:tc>
          <w:tcPr>
            <w:tcW w:w="709" w:type="dxa"/>
            <w:tcBorders>
              <w:top w:val="nil"/>
              <w:left w:val="nil"/>
              <w:bottom w:val="nil"/>
              <w:right w:val="single" w:sz="4" w:space="0" w:color="auto"/>
            </w:tcBorders>
            <w:shd w:val="clear" w:color="000000" w:fill="FFFFFF"/>
            <w:noWrap/>
            <w:vAlign w:val="center"/>
            <w:hideMark/>
          </w:tcPr>
          <w:p w14:paraId="7FCC8CF1"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3</w:t>
            </w:r>
          </w:p>
        </w:tc>
        <w:tc>
          <w:tcPr>
            <w:tcW w:w="603" w:type="dxa"/>
            <w:tcBorders>
              <w:top w:val="nil"/>
              <w:left w:val="nil"/>
              <w:bottom w:val="nil"/>
              <w:right w:val="single" w:sz="4" w:space="0" w:color="auto"/>
            </w:tcBorders>
            <w:shd w:val="clear" w:color="000000" w:fill="FFFFFF"/>
            <w:noWrap/>
            <w:vAlign w:val="center"/>
            <w:hideMark/>
          </w:tcPr>
          <w:p w14:paraId="65480271"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7</w:t>
            </w:r>
          </w:p>
        </w:tc>
        <w:tc>
          <w:tcPr>
            <w:tcW w:w="673" w:type="dxa"/>
            <w:tcBorders>
              <w:top w:val="nil"/>
              <w:left w:val="nil"/>
              <w:bottom w:val="nil"/>
              <w:right w:val="nil"/>
            </w:tcBorders>
            <w:shd w:val="clear" w:color="000000" w:fill="FFFFFF"/>
            <w:vAlign w:val="center"/>
            <w:hideMark/>
          </w:tcPr>
          <w:p w14:paraId="1692A3DC"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5</w:t>
            </w:r>
          </w:p>
        </w:tc>
      </w:tr>
      <w:tr w:rsidR="00A36980" w:rsidRPr="005970E9" w14:paraId="6893E68D" w14:textId="77777777" w:rsidTr="000D3955">
        <w:trPr>
          <w:trHeight w:val="466"/>
          <w:jc w:val="center"/>
        </w:trPr>
        <w:tc>
          <w:tcPr>
            <w:tcW w:w="3545" w:type="dxa"/>
            <w:tcBorders>
              <w:top w:val="nil"/>
              <w:left w:val="nil"/>
              <w:bottom w:val="nil"/>
              <w:right w:val="single" w:sz="4" w:space="0" w:color="auto"/>
            </w:tcBorders>
            <w:shd w:val="clear" w:color="000000" w:fill="FFFFFF"/>
            <w:vAlign w:val="center"/>
            <w:hideMark/>
          </w:tcPr>
          <w:p w14:paraId="5EA1A5C8" w14:textId="77777777" w:rsidR="00A36980" w:rsidRPr="005970E9" w:rsidRDefault="00A36980" w:rsidP="00216547">
            <w:pPr>
              <w:rPr>
                <w:rFonts w:eastAsia="Times New Roman" w:cs="Arial"/>
                <w:sz w:val="20"/>
                <w:szCs w:val="20"/>
              </w:rPr>
            </w:pPr>
            <w:r w:rsidRPr="005970E9">
              <w:rPr>
                <w:rFonts w:eastAsia="Times New Roman" w:cs="Arial"/>
                <w:sz w:val="20"/>
                <w:szCs w:val="20"/>
              </w:rPr>
              <w:t>Otras afecciones obstétricas, no clasificadas en otra parte</w:t>
            </w:r>
          </w:p>
        </w:tc>
        <w:tc>
          <w:tcPr>
            <w:tcW w:w="603" w:type="dxa"/>
            <w:tcBorders>
              <w:top w:val="nil"/>
              <w:left w:val="nil"/>
              <w:bottom w:val="nil"/>
              <w:right w:val="single" w:sz="4" w:space="0" w:color="auto"/>
            </w:tcBorders>
            <w:shd w:val="clear" w:color="000000" w:fill="FFFFFF"/>
            <w:noWrap/>
            <w:vAlign w:val="center"/>
            <w:hideMark/>
          </w:tcPr>
          <w:p w14:paraId="7A61C344"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6</w:t>
            </w:r>
          </w:p>
        </w:tc>
        <w:tc>
          <w:tcPr>
            <w:tcW w:w="672" w:type="dxa"/>
            <w:tcBorders>
              <w:top w:val="nil"/>
              <w:left w:val="nil"/>
              <w:bottom w:val="nil"/>
              <w:right w:val="single" w:sz="4" w:space="0" w:color="auto"/>
            </w:tcBorders>
            <w:shd w:val="clear" w:color="000000" w:fill="FFFFFF"/>
            <w:noWrap/>
            <w:vAlign w:val="center"/>
            <w:hideMark/>
          </w:tcPr>
          <w:p w14:paraId="138D1133"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11</w:t>
            </w:r>
          </w:p>
        </w:tc>
        <w:tc>
          <w:tcPr>
            <w:tcW w:w="709" w:type="dxa"/>
            <w:tcBorders>
              <w:top w:val="nil"/>
              <w:left w:val="nil"/>
              <w:bottom w:val="nil"/>
              <w:right w:val="single" w:sz="4" w:space="0" w:color="auto"/>
            </w:tcBorders>
            <w:shd w:val="clear" w:color="000000" w:fill="FFFFFF"/>
            <w:noWrap/>
            <w:vAlign w:val="center"/>
            <w:hideMark/>
          </w:tcPr>
          <w:p w14:paraId="25D990FE"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8</w:t>
            </w:r>
          </w:p>
        </w:tc>
        <w:tc>
          <w:tcPr>
            <w:tcW w:w="709" w:type="dxa"/>
            <w:tcBorders>
              <w:top w:val="nil"/>
              <w:left w:val="nil"/>
              <w:bottom w:val="nil"/>
              <w:right w:val="single" w:sz="4" w:space="0" w:color="auto"/>
            </w:tcBorders>
            <w:shd w:val="clear" w:color="000000" w:fill="FFFFFF"/>
            <w:noWrap/>
            <w:vAlign w:val="center"/>
            <w:hideMark/>
          </w:tcPr>
          <w:p w14:paraId="269C3458"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5</w:t>
            </w:r>
          </w:p>
        </w:tc>
        <w:tc>
          <w:tcPr>
            <w:tcW w:w="603" w:type="dxa"/>
            <w:tcBorders>
              <w:top w:val="nil"/>
              <w:left w:val="nil"/>
              <w:bottom w:val="nil"/>
              <w:right w:val="single" w:sz="4" w:space="0" w:color="auto"/>
            </w:tcBorders>
            <w:shd w:val="clear" w:color="000000" w:fill="FFFFFF"/>
            <w:noWrap/>
            <w:vAlign w:val="center"/>
            <w:hideMark/>
          </w:tcPr>
          <w:p w14:paraId="5190E62A"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1</w:t>
            </w:r>
          </w:p>
        </w:tc>
        <w:tc>
          <w:tcPr>
            <w:tcW w:w="673" w:type="dxa"/>
            <w:tcBorders>
              <w:top w:val="nil"/>
              <w:left w:val="nil"/>
              <w:bottom w:val="nil"/>
              <w:right w:val="nil"/>
            </w:tcBorders>
            <w:shd w:val="clear" w:color="000000" w:fill="FFFFFF"/>
            <w:vAlign w:val="center"/>
            <w:hideMark/>
          </w:tcPr>
          <w:p w14:paraId="3EDABD10"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4</w:t>
            </w:r>
          </w:p>
        </w:tc>
      </w:tr>
      <w:tr w:rsidR="00A36980" w:rsidRPr="005970E9" w14:paraId="7042DB1C" w14:textId="77777777" w:rsidTr="000D3955">
        <w:trPr>
          <w:trHeight w:val="440"/>
          <w:jc w:val="center"/>
        </w:trPr>
        <w:tc>
          <w:tcPr>
            <w:tcW w:w="3545" w:type="dxa"/>
            <w:tcBorders>
              <w:top w:val="nil"/>
              <w:left w:val="nil"/>
              <w:bottom w:val="nil"/>
              <w:right w:val="single" w:sz="4" w:space="0" w:color="auto"/>
            </w:tcBorders>
            <w:shd w:val="clear" w:color="000000" w:fill="FFFFFF"/>
            <w:vAlign w:val="center"/>
            <w:hideMark/>
          </w:tcPr>
          <w:p w14:paraId="0D00A3F7" w14:textId="77777777" w:rsidR="00A36980" w:rsidRPr="005970E9" w:rsidRDefault="00A36980" w:rsidP="00216547">
            <w:pPr>
              <w:rPr>
                <w:rFonts w:eastAsia="Times New Roman" w:cs="Arial"/>
                <w:sz w:val="20"/>
                <w:szCs w:val="20"/>
              </w:rPr>
            </w:pPr>
            <w:r w:rsidRPr="005970E9">
              <w:rPr>
                <w:rFonts w:eastAsia="Times New Roman" w:cs="Arial"/>
                <w:sz w:val="20"/>
                <w:szCs w:val="20"/>
              </w:rPr>
              <w:t xml:space="preserve">Otros trastornos maternos relacionados principalmente con el embarazo         </w:t>
            </w:r>
          </w:p>
        </w:tc>
        <w:tc>
          <w:tcPr>
            <w:tcW w:w="603" w:type="dxa"/>
            <w:tcBorders>
              <w:top w:val="nil"/>
              <w:left w:val="nil"/>
              <w:bottom w:val="nil"/>
              <w:right w:val="single" w:sz="4" w:space="0" w:color="auto"/>
            </w:tcBorders>
            <w:shd w:val="clear" w:color="000000" w:fill="FFFFFF"/>
            <w:noWrap/>
            <w:vAlign w:val="center"/>
            <w:hideMark/>
          </w:tcPr>
          <w:p w14:paraId="6C9EEE0E"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0</w:t>
            </w:r>
          </w:p>
        </w:tc>
        <w:tc>
          <w:tcPr>
            <w:tcW w:w="672" w:type="dxa"/>
            <w:tcBorders>
              <w:top w:val="nil"/>
              <w:left w:val="nil"/>
              <w:bottom w:val="nil"/>
              <w:right w:val="single" w:sz="4" w:space="0" w:color="auto"/>
            </w:tcBorders>
            <w:shd w:val="clear" w:color="000000" w:fill="FFFFFF"/>
            <w:noWrap/>
            <w:vAlign w:val="center"/>
            <w:hideMark/>
          </w:tcPr>
          <w:p w14:paraId="281F7930"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3</w:t>
            </w:r>
          </w:p>
        </w:tc>
        <w:tc>
          <w:tcPr>
            <w:tcW w:w="709" w:type="dxa"/>
            <w:tcBorders>
              <w:top w:val="nil"/>
              <w:left w:val="nil"/>
              <w:bottom w:val="nil"/>
              <w:right w:val="single" w:sz="4" w:space="0" w:color="auto"/>
            </w:tcBorders>
            <w:shd w:val="clear" w:color="000000" w:fill="FFFFFF"/>
            <w:noWrap/>
            <w:vAlign w:val="center"/>
            <w:hideMark/>
          </w:tcPr>
          <w:p w14:paraId="5A78E1B4"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1</w:t>
            </w:r>
          </w:p>
        </w:tc>
        <w:tc>
          <w:tcPr>
            <w:tcW w:w="709" w:type="dxa"/>
            <w:tcBorders>
              <w:top w:val="nil"/>
              <w:left w:val="nil"/>
              <w:bottom w:val="nil"/>
              <w:right w:val="single" w:sz="4" w:space="0" w:color="auto"/>
            </w:tcBorders>
            <w:shd w:val="clear" w:color="000000" w:fill="FFFFFF"/>
            <w:noWrap/>
            <w:vAlign w:val="center"/>
            <w:hideMark/>
          </w:tcPr>
          <w:p w14:paraId="6A77AA3A"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3</w:t>
            </w:r>
          </w:p>
        </w:tc>
        <w:tc>
          <w:tcPr>
            <w:tcW w:w="603" w:type="dxa"/>
            <w:tcBorders>
              <w:top w:val="nil"/>
              <w:left w:val="nil"/>
              <w:bottom w:val="nil"/>
              <w:right w:val="single" w:sz="4" w:space="0" w:color="auto"/>
            </w:tcBorders>
            <w:shd w:val="clear" w:color="000000" w:fill="FFFFFF"/>
            <w:noWrap/>
            <w:vAlign w:val="center"/>
            <w:hideMark/>
          </w:tcPr>
          <w:p w14:paraId="0BCA6C3C"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0</w:t>
            </w:r>
          </w:p>
        </w:tc>
        <w:tc>
          <w:tcPr>
            <w:tcW w:w="673" w:type="dxa"/>
            <w:tcBorders>
              <w:top w:val="nil"/>
              <w:left w:val="nil"/>
              <w:bottom w:val="nil"/>
              <w:right w:val="nil"/>
            </w:tcBorders>
            <w:shd w:val="clear" w:color="000000" w:fill="FFFFFF"/>
            <w:noWrap/>
            <w:vAlign w:val="center"/>
            <w:hideMark/>
          </w:tcPr>
          <w:p w14:paraId="6FA6E241"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2</w:t>
            </w:r>
          </w:p>
        </w:tc>
      </w:tr>
      <w:tr w:rsidR="00A36980" w:rsidRPr="005970E9" w14:paraId="3E3E1340" w14:textId="77777777" w:rsidTr="000D3955">
        <w:trPr>
          <w:trHeight w:val="718"/>
          <w:jc w:val="center"/>
        </w:trPr>
        <w:tc>
          <w:tcPr>
            <w:tcW w:w="3545" w:type="dxa"/>
            <w:tcBorders>
              <w:top w:val="nil"/>
              <w:left w:val="nil"/>
              <w:bottom w:val="single" w:sz="4" w:space="0" w:color="auto"/>
              <w:right w:val="single" w:sz="4" w:space="0" w:color="auto"/>
            </w:tcBorders>
            <w:shd w:val="clear" w:color="000000" w:fill="FFFFFF"/>
            <w:vAlign w:val="center"/>
            <w:hideMark/>
          </w:tcPr>
          <w:p w14:paraId="4FDCB8FB" w14:textId="77777777" w:rsidR="00A36980" w:rsidRPr="005970E9" w:rsidRDefault="00A36980" w:rsidP="00216547">
            <w:pPr>
              <w:rPr>
                <w:rFonts w:eastAsia="Times New Roman" w:cs="Arial"/>
                <w:sz w:val="20"/>
                <w:szCs w:val="20"/>
              </w:rPr>
            </w:pPr>
            <w:r w:rsidRPr="005970E9">
              <w:rPr>
                <w:rFonts w:eastAsia="Times New Roman" w:cs="Arial"/>
                <w:sz w:val="20"/>
                <w:szCs w:val="20"/>
              </w:rPr>
              <w:t>Atención materna relacionada con el feto y la cavidad amniótica y con posibles problemas del parto</w:t>
            </w:r>
          </w:p>
        </w:tc>
        <w:tc>
          <w:tcPr>
            <w:tcW w:w="603" w:type="dxa"/>
            <w:tcBorders>
              <w:top w:val="nil"/>
              <w:left w:val="nil"/>
              <w:bottom w:val="single" w:sz="4" w:space="0" w:color="auto"/>
              <w:right w:val="single" w:sz="4" w:space="0" w:color="auto"/>
            </w:tcBorders>
            <w:shd w:val="clear" w:color="000000" w:fill="FFFFFF"/>
            <w:noWrap/>
            <w:vAlign w:val="center"/>
            <w:hideMark/>
          </w:tcPr>
          <w:p w14:paraId="61B1601B"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2</w:t>
            </w:r>
          </w:p>
        </w:tc>
        <w:tc>
          <w:tcPr>
            <w:tcW w:w="672" w:type="dxa"/>
            <w:tcBorders>
              <w:top w:val="nil"/>
              <w:left w:val="nil"/>
              <w:bottom w:val="single" w:sz="4" w:space="0" w:color="auto"/>
              <w:right w:val="single" w:sz="4" w:space="0" w:color="auto"/>
            </w:tcBorders>
            <w:shd w:val="clear" w:color="000000" w:fill="FFFFFF"/>
            <w:noWrap/>
            <w:vAlign w:val="center"/>
            <w:hideMark/>
          </w:tcPr>
          <w:p w14:paraId="6CC0CD5D"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B9355A8"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14:paraId="1E49E506"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2</w:t>
            </w:r>
          </w:p>
        </w:tc>
        <w:tc>
          <w:tcPr>
            <w:tcW w:w="603" w:type="dxa"/>
            <w:tcBorders>
              <w:top w:val="nil"/>
              <w:left w:val="nil"/>
              <w:bottom w:val="single" w:sz="4" w:space="0" w:color="auto"/>
              <w:right w:val="single" w:sz="4" w:space="0" w:color="auto"/>
            </w:tcBorders>
            <w:shd w:val="clear" w:color="000000" w:fill="FFFFFF"/>
            <w:noWrap/>
            <w:vAlign w:val="center"/>
            <w:hideMark/>
          </w:tcPr>
          <w:p w14:paraId="13E3EC9A"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2</w:t>
            </w:r>
          </w:p>
        </w:tc>
        <w:tc>
          <w:tcPr>
            <w:tcW w:w="673" w:type="dxa"/>
            <w:tcBorders>
              <w:top w:val="nil"/>
              <w:left w:val="nil"/>
              <w:bottom w:val="single" w:sz="4" w:space="0" w:color="auto"/>
              <w:right w:val="nil"/>
            </w:tcBorders>
            <w:shd w:val="clear" w:color="000000" w:fill="FFFFFF"/>
            <w:noWrap/>
            <w:vAlign w:val="center"/>
            <w:hideMark/>
          </w:tcPr>
          <w:p w14:paraId="29F8861F" w14:textId="77777777" w:rsidR="00A36980" w:rsidRPr="005970E9" w:rsidRDefault="00A36980" w:rsidP="00216547">
            <w:pPr>
              <w:jc w:val="center"/>
              <w:rPr>
                <w:rFonts w:eastAsia="Times New Roman" w:cs="Arial"/>
                <w:bCs/>
                <w:sz w:val="20"/>
                <w:szCs w:val="20"/>
              </w:rPr>
            </w:pPr>
            <w:r w:rsidRPr="005970E9">
              <w:rPr>
                <w:rFonts w:eastAsia="Times New Roman" w:cs="Arial"/>
                <w:bCs/>
                <w:sz w:val="20"/>
                <w:szCs w:val="20"/>
              </w:rPr>
              <w:t>1</w:t>
            </w:r>
          </w:p>
        </w:tc>
      </w:tr>
      <w:tr w:rsidR="00A36980" w:rsidRPr="005970E9" w14:paraId="27737403" w14:textId="77777777" w:rsidTr="000D3955">
        <w:trPr>
          <w:trHeight w:val="368"/>
          <w:jc w:val="center"/>
        </w:trPr>
        <w:tc>
          <w:tcPr>
            <w:tcW w:w="7514" w:type="dxa"/>
            <w:gridSpan w:val="7"/>
            <w:tcBorders>
              <w:top w:val="nil"/>
              <w:left w:val="nil"/>
              <w:bottom w:val="nil"/>
              <w:right w:val="nil"/>
            </w:tcBorders>
            <w:shd w:val="clear" w:color="auto" w:fill="auto"/>
            <w:vAlign w:val="center"/>
            <w:hideMark/>
          </w:tcPr>
          <w:p w14:paraId="6E755CBB" w14:textId="77777777" w:rsidR="00A36980" w:rsidRPr="005970E9" w:rsidRDefault="00A36980" w:rsidP="00216547">
            <w:pPr>
              <w:rPr>
                <w:rFonts w:eastAsia="Times New Roman" w:cs="Arial"/>
                <w:sz w:val="20"/>
                <w:szCs w:val="20"/>
              </w:rPr>
            </w:pPr>
            <w:r w:rsidRPr="005970E9">
              <w:rPr>
                <w:rFonts w:eastAsia="Times New Roman" w:cs="Arial"/>
                <w:sz w:val="20"/>
                <w:szCs w:val="20"/>
              </w:rPr>
              <w:t xml:space="preserve">(1)  Con base en la Clasificación estadística internacional de </w:t>
            </w:r>
            <w:r w:rsidR="000D3955" w:rsidRPr="005970E9">
              <w:rPr>
                <w:rFonts w:eastAsia="Times New Roman" w:cs="Arial"/>
                <w:sz w:val="20"/>
                <w:szCs w:val="20"/>
              </w:rPr>
              <w:t>enfermedades y</w:t>
            </w:r>
            <w:r w:rsidRPr="005970E9">
              <w:rPr>
                <w:rFonts w:eastAsia="Times New Roman" w:cs="Arial"/>
                <w:sz w:val="20"/>
                <w:szCs w:val="20"/>
              </w:rPr>
              <w:t xml:space="preserve"> </w:t>
            </w:r>
            <w:r w:rsidR="000D3955" w:rsidRPr="005970E9">
              <w:rPr>
                <w:rFonts w:eastAsia="Times New Roman" w:cs="Arial"/>
                <w:sz w:val="20"/>
                <w:szCs w:val="20"/>
              </w:rPr>
              <w:t>problemas relacionados con la</w:t>
            </w:r>
            <w:r w:rsidRPr="005970E9">
              <w:rPr>
                <w:rFonts w:eastAsia="Times New Roman" w:cs="Arial"/>
                <w:sz w:val="20"/>
                <w:szCs w:val="20"/>
              </w:rPr>
              <w:t xml:space="preserve"> salud (Décima revisión).</w:t>
            </w:r>
          </w:p>
        </w:tc>
      </w:tr>
      <w:tr w:rsidR="00A36980" w:rsidRPr="005970E9" w14:paraId="26BA589F" w14:textId="77777777" w:rsidTr="000D3955">
        <w:trPr>
          <w:trHeight w:val="371"/>
          <w:jc w:val="center"/>
        </w:trPr>
        <w:tc>
          <w:tcPr>
            <w:tcW w:w="7514" w:type="dxa"/>
            <w:gridSpan w:val="7"/>
            <w:tcBorders>
              <w:top w:val="nil"/>
              <w:left w:val="nil"/>
              <w:bottom w:val="nil"/>
              <w:right w:val="nil"/>
            </w:tcBorders>
            <w:shd w:val="clear" w:color="auto" w:fill="auto"/>
            <w:vAlign w:val="center"/>
            <w:hideMark/>
          </w:tcPr>
          <w:p w14:paraId="13365728" w14:textId="27329622" w:rsidR="00935AC4" w:rsidRPr="005970E9" w:rsidRDefault="00A36980" w:rsidP="00C83DFE">
            <w:pPr>
              <w:rPr>
                <w:rFonts w:eastAsia="Times New Roman" w:cs="Arial"/>
                <w:sz w:val="20"/>
                <w:szCs w:val="20"/>
              </w:rPr>
            </w:pPr>
            <w:r w:rsidRPr="005970E9">
              <w:rPr>
                <w:rFonts w:eastAsia="Times New Roman" w:cs="Arial"/>
                <w:sz w:val="20"/>
                <w:szCs w:val="20"/>
              </w:rPr>
              <w:t>Fuente:   INEC, Estadísticas Vitales 2018. Los datos publicados corresponden a información de salud pública del MINSA y CSS, clínicas privadas y oficinas del Registro Civil (Tribunal Electoral).</w:t>
            </w:r>
          </w:p>
        </w:tc>
      </w:tr>
    </w:tbl>
    <w:p w14:paraId="209F6025" w14:textId="77777777" w:rsidR="00C83DFE" w:rsidRPr="005970E9" w:rsidRDefault="00C83DFE" w:rsidP="00C83DFE">
      <w:pPr>
        <w:pStyle w:val="Caption"/>
        <w:keepNext/>
        <w:rPr>
          <w:rFonts w:ascii="Century Schoolbook" w:hAnsi="Century Schoolbook"/>
        </w:rPr>
      </w:pPr>
    </w:p>
    <w:p w14:paraId="7416711C" w14:textId="54C780AA" w:rsidR="00F93F10" w:rsidRPr="005970E9" w:rsidRDefault="00F93F10" w:rsidP="008B5061">
      <w:pPr>
        <w:shd w:val="clear" w:color="auto" w:fill="FFFFFF"/>
        <w:spacing w:before="120" w:after="120" w:line="276" w:lineRule="auto"/>
        <w:ind w:left="567" w:right="616"/>
        <w:jc w:val="both"/>
      </w:pPr>
      <w:r w:rsidRPr="005970E9">
        <w:t>En 2018 la mortalidad materna (</w:t>
      </w:r>
      <w:r w:rsidR="00815D3E" w:rsidRPr="005970E9">
        <w:t>Gráfica</w:t>
      </w:r>
      <w:r w:rsidR="00815D3E">
        <w:t xml:space="preserve"> </w:t>
      </w:r>
      <w:r w:rsidR="00815D3E" w:rsidRPr="00815D3E">
        <w:t>27</w:t>
      </w:r>
      <w:r w:rsidRPr="00815D3E">
        <w:t xml:space="preserve"> y </w:t>
      </w:r>
      <w:r w:rsidR="00815D3E" w:rsidRPr="00815D3E">
        <w:t>28</w:t>
      </w:r>
      <w:r w:rsidRPr="00815D3E">
        <w:t>)</w:t>
      </w:r>
      <w:r w:rsidRPr="005970E9">
        <w:t xml:space="preserve"> </w:t>
      </w:r>
      <w:r w:rsidR="008B5061" w:rsidRPr="005970E9">
        <w:t xml:space="preserve">en la Comarca Ngäbe Buglé </w:t>
      </w:r>
      <w:r w:rsidRPr="005970E9">
        <w:t>fue de 11 mujeres</w:t>
      </w:r>
      <w:r w:rsidR="008B5061" w:rsidRPr="005970E9">
        <w:t>,</w:t>
      </w:r>
      <w:r w:rsidRPr="005970E9">
        <w:t xml:space="preserve"> lo que representó el 32% de todas las muertes a nivel nacional, seguido de la provincia de Panamá con 8 muertes para un 23%; seguido del 9% en Bocas del Toro, Panamá Oeste y Coclé respectivamente; Chiriquí y Kuna Yala con 6% cada uno; y por último 3% en Herrera y Los Santos individualmente. Estos indicadores demuestran profundas desigualdades en el desarrollo humano a nivel nacional, como se plantea a continuación:</w:t>
      </w:r>
    </w:p>
    <w:p w14:paraId="1BFE26CD" w14:textId="77777777" w:rsidR="00F93F10" w:rsidRPr="005970E9" w:rsidRDefault="00F93F10" w:rsidP="00F93F10">
      <w:pPr>
        <w:shd w:val="clear" w:color="auto" w:fill="FFFFFF"/>
        <w:spacing w:line="276" w:lineRule="auto"/>
        <w:ind w:left="1440" w:right="616"/>
        <w:jc w:val="both"/>
        <w:rPr>
          <w:i/>
          <w:iCs/>
        </w:rPr>
      </w:pPr>
      <w:r w:rsidRPr="005970E9">
        <w:rPr>
          <w:i/>
          <w:iCs/>
        </w:rPr>
        <w:t xml:space="preserve">Según el Programa de Desarrollo de Naciones Unidas (PNUD), el Índice de Desigualdad de Género es un indicador de la desigualdad. Mide las desigualdades de género en tres aspectos importantes del desarrollo humano: la salud reproductiva (que se mide por la tasa </w:t>
      </w:r>
      <w:r w:rsidRPr="005970E9">
        <w:rPr>
          <w:i/>
          <w:iCs/>
        </w:rPr>
        <w:lastRenderedPageBreak/>
        <w:t xml:space="preserve">de mortalidad materna y la tasa de fecundidad entre las adolescentes); el empoderamiento (que se mide por la proporción de escaños parlamentarios ocupados por mujeres y la proporción de mujeres y hombres adultos de 25 años o más que han cursado como mínimo la enseñanza secundaria), y la situación económica (expresada como la participación en el mercado laboral y medida según la tasa de participación en la fuerza de trabajo de mujeres y hombres de 15 años o más). (De León, 2020) </w:t>
      </w:r>
    </w:p>
    <w:p w14:paraId="209F903F" w14:textId="6C346F62" w:rsidR="00C83DFE" w:rsidRPr="005970E9" w:rsidRDefault="00C83DFE" w:rsidP="00C83DFE">
      <w:pPr>
        <w:shd w:val="clear" w:color="auto" w:fill="FFFFFF"/>
        <w:spacing w:line="276" w:lineRule="auto"/>
        <w:ind w:left="567" w:right="616"/>
        <w:jc w:val="both"/>
        <w:rPr>
          <w:rFonts w:eastAsia="Times New Roman" w:cs="Arial"/>
          <w:sz w:val="24"/>
          <w:szCs w:val="24"/>
        </w:rPr>
      </w:pPr>
    </w:p>
    <w:p w14:paraId="189F883B" w14:textId="0457F562" w:rsidR="00C83DFE" w:rsidRPr="005970E9" w:rsidRDefault="00C83DFE" w:rsidP="00880177">
      <w:pPr>
        <w:pStyle w:val="Caption"/>
        <w:jc w:val="center"/>
        <w:rPr>
          <w:rFonts w:ascii="Century Schoolbook" w:eastAsia="Times New Roman" w:hAnsi="Century Schoolbook" w:cs="Arial"/>
          <w:sz w:val="20"/>
          <w:szCs w:val="20"/>
        </w:rPr>
      </w:pPr>
      <w:bookmarkStart w:id="200" w:name="_Toc42549259"/>
      <w:r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C5041B" w:rsidRPr="005970E9">
        <w:rPr>
          <w:rFonts w:ascii="Century Schoolbook" w:hAnsi="Century Schoolbook"/>
          <w:noProof/>
          <w:sz w:val="20"/>
          <w:szCs w:val="20"/>
        </w:rPr>
        <w:t>27</w:t>
      </w:r>
      <w:r w:rsidR="00F202BE" w:rsidRPr="005970E9">
        <w:rPr>
          <w:rFonts w:ascii="Century Schoolbook" w:hAnsi="Century Schoolbook"/>
          <w:sz w:val="20"/>
          <w:szCs w:val="20"/>
        </w:rPr>
        <w:fldChar w:fldCharType="end"/>
      </w:r>
      <w:r w:rsidRPr="005970E9">
        <w:rPr>
          <w:rFonts w:ascii="Century Schoolbook" w:hAnsi="Century Schoolbook"/>
          <w:sz w:val="20"/>
          <w:szCs w:val="20"/>
        </w:rPr>
        <w:t xml:space="preserve">. </w:t>
      </w:r>
      <w:r w:rsidR="00820926" w:rsidRPr="005970E9">
        <w:rPr>
          <w:rFonts w:ascii="Century Schoolbook" w:hAnsi="Century Schoolbook"/>
          <w:sz w:val="20"/>
          <w:szCs w:val="20"/>
        </w:rPr>
        <w:t>M</w:t>
      </w:r>
      <w:r w:rsidR="00820926" w:rsidRPr="005970E9">
        <w:rPr>
          <w:rFonts w:ascii="Century Schoolbook" w:eastAsia="Times New Roman" w:hAnsi="Century Schoolbook" w:cs="Arial"/>
          <w:sz w:val="20"/>
          <w:szCs w:val="20"/>
        </w:rPr>
        <w:t xml:space="preserve">uertes maternas en </w:t>
      </w:r>
      <w:r w:rsidR="00F93F10" w:rsidRPr="005970E9">
        <w:rPr>
          <w:rFonts w:ascii="Century Schoolbook" w:eastAsia="Times New Roman" w:hAnsi="Century Schoolbook" w:cs="Arial"/>
          <w:sz w:val="20"/>
          <w:szCs w:val="20"/>
        </w:rPr>
        <w:t>P</w:t>
      </w:r>
      <w:r w:rsidR="00820926" w:rsidRPr="005970E9">
        <w:rPr>
          <w:rFonts w:ascii="Century Schoolbook" w:eastAsia="Times New Roman" w:hAnsi="Century Schoolbook" w:cs="Arial"/>
          <w:sz w:val="20"/>
          <w:szCs w:val="20"/>
        </w:rPr>
        <w:t>anamá, por provincia de ocurrencia: años 2010- 2018</w:t>
      </w:r>
      <w:bookmarkEnd w:id="200"/>
    </w:p>
    <w:p w14:paraId="080B6187" w14:textId="77777777" w:rsidR="00A36980" w:rsidRPr="005970E9" w:rsidRDefault="00A36980" w:rsidP="00A36980">
      <w:pPr>
        <w:spacing w:before="240" w:after="120"/>
        <w:jc w:val="center"/>
      </w:pPr>
      <w:r w:rsidRPr="005970E9">
        <w:rPr>
          <w:noProof/>
        </w:rPr>
        <w:drawing>
          <wp:inline distT="0" distB="0" distL="0" distR="0" wp14:anchorId="7E643CB5" wp14:editId="36C4C866">
            <wp:extent cx="4876800" cy="3114675"/>
            <wp:effectExtent l="0" t="0" r="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7A93A5B" w14:textId="77777777" w:rsidR="00A36980" w:rsidRPr="005970E9" w:rsidRDefault="00A36980" w:rsidP="00880177">
      <w:pPr>
        <w:spacing w:after="120"/>
        <w:jc w:val="center"/>
        <w:rPr>
          <w:lang w:val="es-US"/>
        </w:rPr>
      </w:pPr>
      <w:r w:rsidRPr="005970E9">
        <w:t xml:space="preserve">Fuente:  INEC, Estadísticas Vitales 2018. </w:t>
      </w:r>
    </w:p>
    <w:p w14:paraId="57922AE1" w14:textId="484FD7EA" w:rsidR="00C5041B" w:rsidRPr="005970E9" w:rsidRDefault="008B5061" w:rsidP="00C5041B">
      <w:pPr>
        <w:keepNext/>
        <w:spacing w:before="240" w:after="120" w:line="276" w:lineRule="auto"/>
        <w:jc w:val="both"/>
      </w:pPr>
      <w:bookmarkStart w:id="201" w:name="_Toc42549260"/>
      <w:r w:rsidRPr="005970E9">
        <w:rPr>
          <w:noProof/>
        </w:rPr>
        <w:lastRenderedPageBreak/>
        <w:drawing>
          <wp:anchor distT="0" distB="0" distL="114300" distR="114300" simplePos="0" relativeHeight="251790377" behindDoc="1" locked="0" layoutInCell="1" allowOverlap="1" wp14:anchorId="7942411B" wp14:editId="380EBCEF">
            <wp:simplePos x="0" y="0"/>
            <wp:positionH relativeFrom="column">
              <wp:posOffset>13335</wp:posOffset>
            </wp:positionH>
            <wp:positionV relativeFrom="paragraph">
              <wp:posOffset>581025</wp:posOffset>
            </wp:positionV>
            <wp:extent cx="5589270" cy="3124200"/>
            <wp:effectExtent l="0" t="0" r="0" b="0"/>
            <wp:wrapTight wrapText="bothSides">
              <wp:wrapPolygon edited="0">
                <wp:start x="0" y="0"/>
                <wp:lineTo x="0" y="21468"/>
                <wp:lineTo x="21497" y="21468"/>
                <wp:lineTo x="2149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9270" cy="3124200"/>
                    </a:xfrm>
                    <a:prstGeom prst="rect">
                      <a:avLst/>
                    </a:prstGeom>
                    <a:noFill/>
                  </pic:spPr>
                </pic:pic>
              </a:graphicData>
            </a:graphic>
            <wp14:sizeRelH relativeFrom="page">
              <wp14:pctWidth>0</wp14:pctWidth>
            </wp14:sizeRelH>
            <wp14:sizeRelV relativeFrom="page">
              <wp14:pctHeight>0</wp14:pctHeight>
            </wp14:sizeRelV>
          </wp:anchor>
        </w:drawing>
      </w:r>
      <w:r w:rsidR="00C5041B" w:rsidRPr="005970E9">
        <w:t xml:space="preserve">Gráfica </w:t>
      </w:r>
      <w:r w:rsidR="00062ABE">
        <w:fldChar w:fldCharType="begin"/>
      </w:r>
      <w:r w:rsidR="00062ABE">
        <w:instrText xml:space="preserve"> SEQ Gráfica \* ARABIC </w:instrText>
      </w:r>
      <w:r w:rsidR="00062ABE">
        <w:fldChar w:fldCharType="separate"/>
      </w:r>
      <w:r w:rsidR="00641ABD">
        <w:rPr>
          <w:noProof/>
        </w:rPr>
        <w:t>28</w:t>
      </w:r>
      <w:r w:rsidR="00062ABE">
        <w:rPr>
          <w:noProof/>
        </w:rPr>
        <w:fldChar w:fldCharType="end"/>
      </w:r>
      <w:r w:rsidR="00C5041B" w:rsidRPr="005970E9">
        <w:t>. Porcentaje de muertes maternas en Panamá, por provincia de ocurrencia: año 2018</w:t>
      </w:r>
      <w:bookmarkEnd w:id="201"/>
    </w:p>
    <w:p w14:paraId="34BFDDA6" w14:textId="366D1B1B" w:rsidR="00F93F10" w:rsidRPr="005970E9" w:rsidRDefault="00F93F10" w:rsidP="00F93F10">
      <w:pPr>
        <w:spacing w:before="240" w:after="120" w:line="276" w:lineRule="auto"/>
        <w:jc w:val="both"/>
      </w:pPr>
      <w:r w:rsidRPr="005970E9">
        <w:t xml:space="preserve"> </w:t>
      </w:r>
    </w:p>
    <w:p w14:paraId="72308561" w14:textId="015A73B5" w:rsidR="00A36980" w:rsidRPr="005970E9" w:rsidRDefault="00F93F10" w:rsidP="00857971">
      <w:pPr>
        <w:spacing w:before="240" w:after="120" w:line="276" w:lineRule="auto"/>
        <w:jc w:val="both"/>
      </w:pPr>
      <w:r w:rsidRPr="005970E9">
        <w:t xml:space="preserve"> </w:t>
      </w:r>
      <w:r w:rsidR="00A36980" w:rsidRPr="005970E9">
        <w:t xml:space="preserve">Otro indicador relevante es la cantidad de defunciones por el Virus de Inmunodeficiencia Humana o </w:t>
      </w:r>
      <w:r w:rsidR="008B5061" w:rsidRPr="005970E9">
        <w:t>vih</w:t>
      </w:r>
      <w:r w:rsidR="00A36980" w:rsidRPr="005970E9">
        <w:t xml:space="preserve"> diferenciada por sexo.  En Panamá</w:t>
      </w:r>
      <w:r w:rsidR="008B5061" w:rsidRPr="005970E9">
        <w:t>,</w:t>
      </w:r>
      <w:r w:rsidR="00A36980" w:rsidRPr="005970E9">
        <w:t xml:space="preserve"> para el 2018, fallecieron 553 personas de las cuales el 21,15% (117) fueron mujeres y el 78.84% hombres (436); la mayoría de ellos en la provincia de Panamá, Colón y en Panamá Oeste, como se presenta en el siguiente Cuadro </w:t>
      </w:r>
      <w:r w:rsidR="00A36980" w:rsidRPr="00815D3E">
        <w:t>No.1</w:t>
      </w:r>
      <w:r w:rsidR="00815D3E" w:rsidRPr="00815D3E">
        <w:t>3</w:t>
      </w:r>
      <w:r w:rsidR="00A36980" w:rsidRPr="00815D3E">
        <w:t>.</w:t>
      </w:r>
      <w:r w:rsidR="00A36980" w:rsidRPr="005970E9">
        <w:t xml:space="preserve">  </w:t>
      </w:r>
    </w:p>
    <w:p w14:paraId="795CFFBE" w14:textId="77777777" w:rsidR="00F93F10" w:rsidRPr="005970E9" w:rsidRDefault="00F93F10" w:rsidP="00884E23">
      <w:pPr>
        <w:pStyle w:val="Caption"/>
        <w:rPr>
          <w:rFonts w:ascii="Century Schoolbook" w:hAnsi="Century Schoolbook"/>
          <w:i w:val="0"/>
          <w:iCs w:val="0"/>
        </w:rPr>
      </w:pPr>
    </w:p>
    <w:p w14:paraId="4A79CFA7" w14:textId="15766067" w:rsidR="00A36980" w:rsidRPr="005970E9" w:rsidRDefault="00884E23" w:rsidP="00884E23">
      <w:pPr>
        <w:pStyle w:val="Caption"/>
        <w:rPr>
          <w:rFonts w:ascii="Century Schoolbook" w:hAnsi="Century Schoolbook"/>
          <w:i w:val="0"/>
          <w:iCs w:val="0"/>
          <w:sz w:val="20"/>
          <w:szCs w:val="20"/>
        </w:rPr>
      </w:pPr>
      <w:bookmarkStart w:id="202" w:name="_Toc42549179"/>
      <w:r w:rsidRPr="005970E9">
        <w:rPr>
          <w:rFonts w:ascii="Century Schoolbook" w:hAnsi="Century Schoolbook"/>
          <w:i w:val="0"/>
          <w:iCs w:val="0"/>
        </w:rPr>
        <w:t xml:space="preserve">Cuadro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Cuadro \* ARABIC </w:instrText>
      </w:r>
      <w:r w:rsidRPr="005970E9">
        <w:rPr>
          <w:rFonts w:ascii="Century Schoolbook" w:hAnsi="Century Schoolbook"/>
          <w:i w:val="0"/>
          <w:iCs w:val="0"/>
        </w:rPr>
        <w:fldChar w:fldCharType="separate"/>
      </w:r>
      <w:r w:rsidR="00C5422E" w:rsidRPr="005970E9">
        <w:rPr>
          <w:rFonts w:ascii="Century Schoolbook" w:hAnsi="Century Schoolbook"/>
          <w:i w:val="0"/>
          <w:iCs w:val="0"/>
          <w:noProof/>
        </w:rPr>
        <w:t>13</w:t>
      </w:r>
      <w:r w:rsidRPr="005970E9">
        <w:rPr>
          <w:rFonts w:ascii="Century Schoolbook" w:hAnsi="Century Schoolbook"/>
          <w:i w:val="0"/>
          <w:iCs w:val="0"/>
        </w:rPr>
        <w:fldChar w:fldCharType="end"/>
      </w:r>
      <w:r w:rsidR="00C83DFE" w:rsidRPr="005970E9">
        <w:rPr>
          <w:rFonts w:ascii="Century Schoolbook" w:hAnsi="Century Schoolbook"/>
          <w:i w:val="0"/>
          <w:iCs w:val="0"/>
          <w:sz w:val="20"/>
          <w:szCs w:val="20"/>
        </w:rPr>
        <w:t>.</w:t>
      </w:r>
      <w:r w:rsidR="00C83DFE" w:rsidRPr="005970E9">
        <w:rPr>
          <w:rFonts w:ascii="Century Schoolbook" w:eastAsia="Times New Roman" w:hAnsi="Century Schoolbook" w:cs="Arial"/>
          <w:i w:val="0"/>
          <w:iCs w:val="0"/>
          <w:sz w:val="20"/>
          <w:szCs w:val="20"/>
        </w:rPr>
        <w:t xml:space="preserve"> DEFUNCIONES Y PORCENTAJE POR ENFERMEDAD POR VIH EN LA REPÚBLICA, POR SEXO, SEGÚN PROVINCIA Y COMARCA INDÍGENA: AÑO 2018</w:t>
      </w:r>
      <w:bookmarkEnd w:id="202"/>
    </w:p>
    <w:tbl>
      <w:tblPr>
        <w:tblW w:w="7797" w:type="dxa"/>
        <w:jc w:val="center"/>
        <w:tblLayout w:type="fixed"/>
        <w:tblCellMar>
          <w:left w:w="70" w:type="dxa"/>
          <w:right w:w="70" w:type="dxa"/>
        </w:tblCellMar>
        <w:tblLook w:val="04A0" w:firstRow="1" w:lastRow="0" w:firstColumn="1" w:lastColumn="0" w:noHBand="0" w:noVBand="1"/>
      </w:tblPr>
      <w:tblGrid>
        <w:gridCol w:w="2126"/>
        <w:gridCol w:w="763"/>
        <w:gridCol w:w="795"/>
        <w:gridCol w:w="1133"/>
        <w:gridCol w:w="841"/>
        <w:gridCol w:w="1141"/>
        <w:gridCol w:w="998"/>
      </w:tblGrid>
      <w:tr w:rsidR="00A36980" w:rsidRPr="005970E9" w14:paraId="52B4BF0B" w14:textId="77777777" w:rsidTr="00C83DFE">
        <w:trPr>
          <w:trHeight w:val="223"/>
          <w:jc w:val="center"/>
        </w:trPr>
        <w:tc>
          <w:tcPr>
            <w:tcW w:w="2126" w:type="dxa"/>
            <w:vMerge w:val="restart"/>
            <w:tcBorders>
              <w:top w:val="single" w:sz="4" w:space="0" w:color="auto"/>
              <w:left w:val="nil"/>
              <w:bottom w:val="single" w:sz="4" w:space="0" w:color="000000"/>
              <w:right w:val="single" w:sz="4" w:space="0" w:color="auto"/>
            </w:tcBorders>
            <w:shd w:val="clear" w:color="auto" w:fill="CCC0D9" w:themeFill="accent4" w:themeFillTint="66"/>
            <w:vAlign w:val="center"/>
            <w:hideMark/>
          </w:tcPr>
          <w:p w14:paraId="67B3147F"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Provincia y comarca                 indígena de residencia</w:t>
            </w:r>
          </w:p>
        </w:tc>
        <w:tc>
          <w:tcPr>
            <w:tcW w:w="763"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14:paraId="5C264718"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Total</w:t>
            </w:r>
          </w:p>
        </w:tc>
        <w:tc>
          <w:tcPr>
            <w:tcW w:w="795"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14:paraId="43824055"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w:t>
            </w:r>
          </w:p>
        </w:tc>
        <w:tc>
          <w:tcPr>
            <w:tcW w:w="1974" w:type="dxa"/>
            <w:gridSpan w:val="2"/>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14:paraId="76EAC3D5"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Hombres</w:t>
            </w:r>
          </w:p>
        </w:tc>
        <w:tc>
          <w:tcPr>
            <w:tcW w:w="2139" w:type="dxa"/>
            <w:gridSpan w:val="2"/>
            <w:tcBorders>
              <w:top w:val="single" w:sz="4" w:space="0" w:color="auto"/>
              <w:left w:val="nil"/>
              <w:bottom w:val="single" w:sz="4" w:space="0" w:color="auto"/>
            </w:tcBorders>
            <w:shd w:val="clear" w:color="auto" w:fill="CCC0D9" w:themeFill="accent4" w:themeFillTint="66"/>
            <w:noWrap/>
            <w:vAlign w:val="center"/>
            <w:hideMark/>
          </w:tcPr>
          <w:p w14:paraId="2767C31C"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Mujeres</w:t>
            </w:r>
          </w:p>
        </w:tc>
      </w:tr>
      <w:tr w:rsidR="00A36980" w:rsidRPr="005970E9" w14:paraId="7B3B63A1" w14:textId="77777777" w:rsidTr="00C83DFE">
        <w:trPr>
          <w:trHeight w:val="250"/>
          <w:jc w:val="center"/>
        </w:trPr>
        <w:tc>
          <w:tcPr>
            <w:tcW w:w="2126" w:type="dxa"/>
            <w:vMerge/>
            <w:tcBorders>
              <w:top w:val="single" w:sz="4" w:space="0" w:color="000000"/>
              <w:left w:val="nil"/>
              <w:bottom w:val="single" w:sz="4" w:space="0" w:color="000000"/>
              <w:right w:val="single" w:sz="4" w:space="0" w:color="auto"/>
            </w:tcBorders>
            <w:shd w:val="clear" w:color="auto" w:fill="CCC0D9" w:themeFill="accent4" w:themeFillTint="66"/>
            <w:vAlign w:val="center"/>
            <w:hideMark/>
          </w:tcPr>
          <w:p w14:paraId="7B11F9D6" w14:textId="77777777" w:rsidR="00A36980" w:rsidRPr="005970E9" w:rsidRDefault="00A36980" w:rsidP="00216547">
            <w:pPr>
              <w:rPr>
                <w:rFonts w:eastAsia="Times New Roman" w:cs="Arial"/>
                <w:b/>
                <w:bCs/>
                <w:sz w:val="20"/>
                <w:szCs w:val="20"/>
              </w:rPr>
            </w:pPr>
          </w:p>
        </w:tc>
        <w:tc>
          <w:tcPr>
            <w:tcW w:w="763"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14:paraId="7BAA75B5" w14:textId="77777777" w:rsidR="00A36980" w:rsidRPr="005970E9" w:rsidRDefault="00A36980" w:rsidP="00216547">
            <w:pPr>
              <w:rPr>
                <w:rFonts w:eastAsia="Times New Roman" w:cs="Arial"/>
                <w:b/>
                <w:bCs/>
                <w:sz w:val="20"/>
                <w:szCs w:val="20"/>
              </w:rPr>
            </w:pPr>
          </w:p>
        </w:tc>
        <w:tc>
          <w:tcPr>
            <w:tcW w:w="795"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14:paraId="5572A168" w14:textId="77777777" w:rsidR="00A36980" w:rsidRPr="005970E9" w:rsidRDefault="00A36980" w:rsidP="00216547">
            <w:pPr>
              <w:rPr>
                <w:rFonts w:eastAsia="Times New Roman" w:cs="Arial"/>
                <w:b/>
                <w:bCs/>
                <w:sz w:val="20"/>
                <w:szCs w:val="20"/>
              </w:rPr>
            </w:pPr>
          </w:p>
        </w:tc>
        <w:tc>
          <w:tcPr>
            <w:tcW w:w="1133" w:type="dxa"/>
            <w:tcBorders>
              <w:top w:val="nil"/>
              <w:left w:val="nil"/>
              <w:bottom w:val="single" w:sz="4" w:space="0" w:color="auto"/>
              <w:right w:val="single" w:sz="4" w:space="0" w:color="auto"/>
            </w:tcBorders>
            <w:shd w:val="clear" w:color="auto" w:fill="CCC0D9" w:themeFill="accent4" w:themeFillTint="66"/>
            <w:noWrap/>
            <w:vAlign w:val="center"/>
            <w:hideMark/>
          </w:tcPr>
          <w:p w14:paraId="29A6E7FA"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Número</w:t>
            </w:r>
          </w:p>
        </w:tc>
        <w:tc>
          <w:tcPr>
            <w:tcW w:w="841" w:type="dxa"/>
            <w:tcBorders>
              <w:top w:val="nil"/>
              <w:left w:val="nil"/>
              <w:bottom w:val="single" w:sz="4" w:space="0" w:color="auto"/>
              <w:right w:val="single" w:sz="4" w:space="0" w:color="auto"/>
            </w:tcBorders>
            <w:shd w:val="clear" w:color="auto" w:fill="CCC0D9" w:themeFill="accent4" w:themeFillTint="66"/>
            <w:noWrap/>
            <w:vAlign w:val="center"/>
            <w:hideMark/>
          </w:tcPr>
          <w:p w14:paraId="031E2975"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w:t>
            </w:r>
          </w:p>
        </w:tc>
        <w:tc>
          <w:tcPr>
            <w:tcW w:w="1141" w:type="dxa"/>
            <w:tcBorders>
              <w:top w:val="nil"/>
              <w:left w:val="nil"/>
              <w:bottom w:val="single" w:sz="4" w:space="0" w:color="auto"/>
              <w:right w:val="single" w:sz="4" w:space="0" w:color="auto"/>
            </w:tcBorders>
            <w:shd w:val="clear" w:color="auto" w:fill="CCC0D9" w:themeFill="accent4" w:themeFillTint="66"/>
            <w:noWrap/>
            <w:vAlign w:val="center"/>
            <w:hideMark/>
          </w:tcPr>
          <w:p w14:paraId="3729137E"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Número</w:t>
            </w:r>
          </w:p>
        </w:tc>
        <w:tc>
          <w:tcPr>
            <w:tcW w:w="998" w:type="dxa"/>
            <w:tcBorders>
              <w:top w:val="nil"/>
              <w:left w:val="nil"/>
              <w:bottom w:val="single" w:sz="4" w:space="0" w:color="auto"/>
              <w:right w:val="nil"/>
            </w:tcBorders>
            <w:shd w:val="clear" w:color="auto" w:fill="CCC0D9" w:themeFill="accent4" w:themeFillTint="66"/>
            <w:noWrap/>
            <w:vAlign w:val="center"/>
            <w:hideMark/>
          </w:tcPr>
          <w:p w14:paraId="3DDDA623"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w:t>
            </w:r>
          </w:p>
        </w:tc>
      </w:tr>
      <w:tr w:rsidR="00A36980" w:rsidRPr="005970E9" w14:paraId="1508544A" w14:textId="77777777" w:rsidTr="00D635DD">
        <w:trPr>
          <w:trHeight w:val="212"/>
          <w:jc w:val="center"/>
        </w:trPr>
        <w:tc>
          <w:tcPr>
            <w:tcW w:w="2126" w:type="dxa"/>
            <w:tcBorders>
              <w:top w:val="nil"/>
              <w:left w:val="nil"/>
              <w:bottom w:val="nil"/>
              <w:right w:val="single" w:sz="4" w:space="0" w:color="auto"/>
            </w:tcBorders>
            <w:shd w:val="clear" w:color="auto" w:fill="auto"/>
            <w:noWrap/>
            <w:vAlign w:val="center"/>
            <w:hideMark/>
          </w:tcPr>
          <w:p w14:paraId="306A0C4E" w14:textId="77777777" w:rsidR="00A36980" w:rsidRPr="005970E9" w:rsidRDefault="00A36980" w:rsidP="00216547">
            <w:pPr>
              <w:jc w:val="center"/>
              <w:rPr>
                <w:rFonts w:eastAsia="Times New Roman" w:cs="Arial"/>
                <w:b/>
                <w:bCs/>
                <w:sz w:val="20"/>
                <w:szCs w:val="20"/>
              </w:rPr>
            </w:pPr>
            <w:r w:rsidRPr="005970E9">
              <w:rPr>
                <w:rFonts w:eastAsia="Times New Roman" w:cs="Arial"/>
                <w:b/>
                <w:bCs/>
                <w:sz w:val="20"/>
                <w:szCs w:val="20"/>
              </w:rPr>
              <w:t>TOTAL</w:t>
            </w:r>
          </w:p>
        </w:tc>
        <w:tc>
          <w:tcPr>
            <w:tcW w:w="763" w:type="dxa"/>
            <w:tcBorders>
              <w:top w:val="nil"/>
              <w:left w:val="nil"/>
              <w:bottom w:val="nil"/>
              <w:right w:val="single" w:sz="4" w:space="0" w:color="auto"/>
            </w:tcBorders>
            <w:shd w:val="clear" w:color="auto" w:fill="auto"/>
            <w:noWrap/>
            <w:vAlign w:val="bottom"/>
            <w:hideMark/>
          </w:tcPr>
          <w:p w14:paraId="6F66C6B4"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553</w:t>
            </w:r>
          </w:p>
        </w:tc>
        <w:tc>
          <w:tcPr>
            <w:tcW w:w="795" w:type="dxa"/>
            <w:tcBorders>
              <w:top w:val="nil"/>
              <w:left w:val="nil"/>
              <w:bottom w:val="nil"/>
              <w:right w:val="single" w:sz="4" w:space="0" w:color="auto"/>
            </w:tcBorders>
            <w:shd w:val="clear" w:color="auto" w:fill="auto"/>
            <w:noWrap/>
            <w:vAlign w:val="bottom"/>
            <w:hideMark/>
          </w:tcPr>
          <w:p w14:paraId="54E1D456"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100.0</w:t>
            </w:r>
          </w:p>
        </w:tc>
        <w:tc>
          <w:tcPr>
            <w:tcW w:w="1133" w:type="dxa"/>
            <w:tcBorders>
              <w:top w:val="nil"/>
              <w:left w:val="nil"/>
              <w:bottom w:val="nil"/>
              <w:right w:val="single" w:sz="4" w:space="0" w:color="auto"/>
            </w:tcBorders>
            <w:shd w:val="clear" w:color="auto" w:fill="auto"/>
            <w:noWrap/>
            <w:vAlign w:val="bottom"/>
            <w:hideMark/>
          </w:tcPr>
          <w:p w14:paraId="769BC546"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436</w:t>
            </w:r>
          </w:p>
        </w:tc>
        <w:tc>
          <w:tcPr>
            <w:tcW w:w="841" w:type="dxa"/>
            <w:tcBorders>
              <w:top w:val="nil"/>
              <w:left w:val="nil"/>
              <w:bottom w:val="nil"/>
              <w:right w:val="nil"/>
            </w:tcBorders>
            <w:shd w:val="clear" w:color="auto" w:fill="auto"/>
            <w:noWrap/>
            <w:vAlign w:val="bottom"/>
            <w:hideMark/>
          </w:tcPr>
          <w:p w14:paraId="50EC0D0F"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100.0</w:t>
            </w:r>
          </w:p>
        </w:tc>
        <w:tc>
          <w:tcPr>
            <w:tcW w:w="1141" w:type="dxa"/>
            <w:tcBorders>
              <w:top w:val="nil"/>
              <w:left w:val="single" w:sz="4" w:space="0" w:color="auto"/>
              <w:bottom w:val="nil"/>
              <w:right w:val="single" w:sz="4" w:space="0" w:color="auto"/>
            </w:tcBorders>
            <w:shd w:val="clear" w:color="auto" w:fill="auto"/>
            <w:noWrap/>
            <w:vAlign w:val="bottom"/>
            <w:hideMark/>
          </w:tcPr>
          <w:p w14:paraId="0ABDD165"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117</w:t>
            </w:r>
          </w:p>
        </w:tc>
        <w:tc>
          <w:tcPr>
            <w:tcW w:w="998" w:type="dxa"/>
            <w:tcBorders>
              <w:top w:val="nil"/>
              <w:left w:val="nil"/>
              <w:bottom w:val="nil"/>
              <w:right w:val="nil"/>
            </w:tcBorders>
            <w:shd w:val="clear" w:color="auto" w:fill="auto"/>
            <w:noWrap/>
            <w:vAlign w:val="bottom"/>
            <w:hideMark/>
          </w:tcPr>
          <w:p w14:paraId="2F16B41C" w14:textId="77777777" w:rsidR="00A36980" w:rsidRPr="005970E9" w:rsidRDefault="00A36980" w:rsidP="00216547">
            <w:pPr>
              <w:jc w:val="right"/>
              <w:rPr>
                <w:rFonts w:eastAsia="Times New Roman" w:cs="Arial"/>
                <w:b/>
                <w:bCs/>
                <w:sz w:val="20"/>
                <w:szCs w:val="20"/>
              </w:rPr>
            </w:pPr>
            <w:r w:rsidRPr="005970E9">
              <w:rPr>
                <w:rFonts w:eastAsia="Times New Roman" w:cs="Arial"/>
                <w:b/>
                <w:bCs/>
                <w:sz w:val="20"/>
                <w:szCs w:val="20"/>
              </w:rPr>
              <w:t>100.0</w:t>
            </w:r>
          </w:p>
        </w:tc>
      </w:tr>
      <w:tr w:rsidR="00A36980" w:rsidRPr="005970E9" w14:paraId="2708E006" w14:textId="77777777" w:rsidTr="00D635DD">
        <w:trPr>
          <w:trHeight w:val="250"/>
          <w:jc w:val="center"/>
        </w:trPr>
        <w:tc>
          <w:tcPr>
            <w:tcW w:w="2126" w:type="dxa"/>
            <w:tcBorders>
              <w:top w:val="nil"/>
              <w:left w:val="nil"/>
              <w:bottom w:val="nil"/>
              <w:right w:val="single" w:sz="4" w:space="0" w:color="auto"/>
            </w:tcBorders>
            <w:shd w:val="clear" w:color="auto" w:fill="auto"/>
            <w:noWrap/>
            <w:vAlign w:val="bottom"/>
            <w:hideMark/>
          </w:tcPr>
          <w:p w14:paraId="7B96649C" w14:textId="77777777" w:rsidR="00A36980" w:rsidRPr="005970E9" w:rsidRDefault="00A36980" w:rsidP="00216547">
            <w:pPr>
              <w:rPr>
                <w:rFonts w:eastAsia="Times New Roman" w:cs="Arial"/>
                <w:sz w:val="20"/>
                <w:szCs w:val="20"/>
              </w:rPr>
            </w:pPr>
            <w:r w:rsidRPr="005970E9">
              <w:rPr>
                <w:rFonts w:eastAsia="Times New Roman" w:cs="Arial"/>
                <w:sz w:val="20"/>
                <w:szCs w:val="20"/>
              </w:rPr>
              <w:t>Bocas del Toro</w:t>
            </w:r>
          </w:p>
        </w:tc>
        <w:tc>
          <w:tcPr>
            <w:tcW w:w="763" w:type="dxa"/>
            <w:tcBorders>
              <w:top w:val="nil"/>
              <w:left w:val="nil"/>
              <w:bottom w:val="nil"/>
              <w:right w:val="single" w:sz="4" w:space="0" w:color="auto"/>
            </w:tcBorders>
            <w:shd w:val="clear" w:color="auto" w:fill="auto"/>
            <w:noWrap/>
            <w:vAlign w:val="bottom"/>
            <w:hideMark/>
          </w:tcPr>
          <w:p w14:paraId="539EAAA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43</w:t>
            </w:r>
          </w:p>
        </w:tc>
        <w:tc>
          <w:tcPr>
            <w:tcW w:w="795" w:type="dxa"/>
            <w:tcBorders>
              <w:top w:val="nil"/>
              <w:left w:val="nil"/>
              <w:bottom w:val="nil"/>
              <w:right w:val="single" w:sz="4" w:space="0" w:color="auto"/>
            </w:tcBorders>
            <w:shd w:val="clear" w:color="auto" w:fill="auto"/>
            <w:noWrap/>
            <w:vAlign w:val="bottom"/>
            <w:hideMark/>
          </w:tcPr>
          <w:p w14:paraId="0906D8B7"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7.8</w:t>
            </w:r>
          </w:p>
        </w:tc>
        <w:tc>
          <w:tcPr>
            <w:tcW w:w="1133" w:type="dxa"/>
            <w:tcBorders>
              <w:top w:val="nil"/>
              <w:left w:val="nil"/>
              <w:bottom w:val="nil"/>
              <w:right w:val="single" w:sz="4" w:space="0" w:color="auto"/>
            </w:tcBorders>
            <w:shd w:val="clear" w:color="auto" w:fill="auto"/>
            <w:noWrap/>
            <w:vAlign w:val="bottom"/>
            <w:hideMark/>
          </w:tcPr>
          <w:p w14:paraId="66B48F7D"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39</w:t>
            </w:r>
          </w:p>
        </w:tc>
        <w:tc>
          <w:tcPr>
            <w:tcW w:w="841" w:type="dxa"/>
            <w:tcBorders>
              <w:top w:val="nil"/>
              <w:left w:val="nil"/>
              <w:bottom w:val="nil"/>
              <w:right w:val="nil"/>
            </w:tcBorders>
            <w:shd w:val="clear" w:color="auto" w:fill="auto"/>
            <w:noWrap/>
            <w:vAlign w:val="bottom"/>
            <w:hideMark/>
          </w:tcPr>
          <w:p w14:paraId="37F1924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8.9</w:t>
            </w:r>
          </w:p>
        </w:tc>
        <w:tc>
          <w:tcPr>
            <w:tcW w:w="1141" w:type="dxa"/>
            <w:tcBorders>
              <w:top w:val="nil"/>
              <w:left w:val="single" w:sz="4" w:space="0" w:color="auto"/>
              <w:bottom w:val="nil"/>
              <w:right w:val="single" w:sz="4" w:space="0" w:color="auto"/>
            </w:tcBorders>
            <w:shd w:val="clear" w:color="auto" w:fill="auto"/>
            <w:noWrap/>
            <w:vAlign w:val="bottom"/>
            <w:hideMark/>
          </w:tcPr>
          <w:p w14:paraId="4985FF98"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4</w:t>
            </w:r>
          </w:p>
        </w:tc>
        <w:tc>
          <w:tcPr>
            <w:tcW w:w="998" w:type="dxa"/>
            <w:tcBorders>
              <w:top w:val="nil"/>
              <w:left w:val="nil"/>
              <w:bottom w:val="nil"/>
              <w:right w:val="nil"/>
            </w:tcBorders>
            <w:shd w:val="clear" w:color="auto" w:fill="auto"/>
            <w:noWrap/>
            <w:vAlign w:val="bottom"/>
            <w:hideMark/>
          </w:tcPr>
          <w:p w14:paraId="34AB347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3.4</w:t>
            </w:r>
          </w:p>
        </w:tc>
      </w:tr>
      <w:tr w:rsidR="00A36980" w:rsidRPr="005970E9" w14:paraId="42765531" w14:textId="77777777" w:rsidTr="00D635DD">
        <w:trPr>
          <w:trHeight w:val="250"/>
          <w:jc w:val="center"/>
        </w:trPr>
        <w:tc>
          <w:tcPr>
            <w:tcW w:w="2126" w:type="dxa"/>
            <w:tcBorders>
              <w:top w:val="nil"/>
              <w:left w:val="nil"/>
              <w:bottom w:val="nil"/>
              <w:right w:val="single" w:sz="4" w:space="0" w:color="auto"/>
            </w:tcBorders>
            <w:shd w:val="clear" w:color="auto" w:fill="auto"/>
            <w:noWrap/>
            <w:vAlign w:val="bottom"/>
            <w:hideMark/>
          </w:tcPr>
          <w:p w14:paraId="1A870665" w14:textId="77777777" w:rsidR="00A36980" w:rsidRPr="005970E9" w:rsidRDefault="00A36980" w:rsidP="00216547">
            <w:pPr>
              <w:rPr>
                <w:rFonts w:eastAsia="Times New Roman" w:cs="Arial"/>
                <w:sz w:val="20"/>
                <w:szCs w:val="20"/>
              </w:rPr>
            </w:pPr>
            <w:r w:rsidRPr="005970E9">
              <w:rPr>
                <w:rFonts w:eastAsia="Times New Roman" w:cs="Arial"/>
                <w:sz w:val="20"/>
                <w:szCs w:val="20"/>
              </w:rPr>
              <w:t>Coclé</w:t>
            </w:r>
          </w:p>
        </w:tc>
        <w:tc>
          <w:tcPr>
            <w:tcW w:w="763" w:type="dxa"/>
            <w:tcBorders>
              <w:top w:val="nil"/>
              <w:left w:val="nil"/>
              <w:bottom w:val="nil"/>
              <w:right w:val="single" w:sz="4" w:space="0" w:color="auto"/>
            </w:tcBorders>
            <w:shd w:val="clear" w:color="auto" w:fill="auto"/>
            <w:noWrap/>
            <w:vAlign w:val="bottom"/>
            <w:hideMark/>
          </w:tcPr>
          <w:p w14:paraId="490D1DB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10</w:t>
            </w:r>
          </w:p>
        </w:tc>
        <w:tc>
          <w:tcPr>
            <w:tcW w:w="795" w:type="dxa"/>
            <w:tcBorders>
              <w:top w:val="nil"/>
              <w:left w:val="nil"/>
              <w:bottom w:val="nil"/>
              <w:right w:val="single" w:sz="4" w:space="0" w:color="auto"/>
            </w:tcBorders>
            <w:shd w:val="clear" w:color="auto" w:fill="auto"/>
            <w:noWrap/>
            <w:vAlign w:val="bottom"/>
            <w:hideMark/>
          </w:tcPr>
          <w:p w14:paraId="1739EB32"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1.8</w:t>
            </w:r>
          </w:p>
        </w:tc>
        <w:tc>
          <w:tcPr>
            <w:tcW w:w="1133" w:type="dxa"/>
            <w:tcBorders>
              <w:top w:val="nil"/>
              <w:left w:val="nil"/>
              <w:bottom w:val="nil"/>
              <w:right w:val="single" w:sz="4" w:space="0" w:color="auto"/>
            </w:tcBorders>
            <w:shd w:val="clear" w:color="auto" w:fill="auto"/>
            <w:noWrap/>
            <w:vAlign w:val="bottom"/>
            <w:hideMark/>
          </w:tcPr>
          <w:p w14:paraId="24009E5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8</w:t>
            </w:r>
          </w:p>
        </w:tc>
        <w:tc>
          <w:tcPr>
            <w:tcW w:w="841" w:type="dxa"/>
            <w:tcBorders>
              <w:top w:val="nil"/>
              <w:left w:val="nil"/>
              <w:bottom w:val="nil"/>
              <w:right w:val="nil"/>
            </w:tcBorders>
            <w:shd w:val="clear" w:color="auto" w:fill="auto"/>
            <w:noWrap/>
            <w:vAlign w:val="bottom"/>
            <w:hideMark/>
          </w:tcPr>
          <w:p w14:paraId="46C7BD9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1.8</w:t>
            </w:r>
          </w:p>
        </w:tc>
        <w:tc>
          <w:tcPr>
            <w:tcW w:w="1141" w:type="dxa"/>
            <w:tcBorders>
              <w:top w:val="nil"/>
              <w:left w:val="single" w:sz="4" w:space="0" w:color="auto"/>
              <w:bottom w:val="nil"/>
              <w:right w:val="single" w:sz="4" w:space="0" w:color="auto"/>
            </w:tcBorders>
            <w:shd w:val="clear" w:color="auto" w:fill="auto"/>
            <w:noWrap/>
            <w:vAlign w:val="bottom"/>
            <w:hideMark/>
          </w:tcPr>
          <w:p w14:paraId="77C0E3A1"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2</w:t>
            </w:r>
          </w:p>
        </w:tc>
        <w:tc>
          <w:tcPr>
            <w:tcW w:w="998" w:type="dxa"/>
            <w:tcBorders>
              <w:top w:val="nil"/>
              <w:left w:val="nil"/>
              <w:bottom w:val="nil"/>
              <w:right w:val="nil"/>
            </w:tcBorders>
            <w:shd w:val="clear" w:color="auto" w:fill="auto"/>
            <w:noWrap/>
            <w:vAlign w:val="bottom"/>
            <w:hideMark/>
          </w:tcPr>
          <w:p w14:paraId="3DE983E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1.7</w:t>
            </w:r>
          </w:p>
        </w:tc>
      </w:tr>
      <w:tr w:rsidR="00A36980" w:rsidRPr="005970E9" w14:paraId="6B4B8664" w14:textId="77777777" w:rsidTr="00D635DD">
        <w:trPr>
          <w:trHeight w:val="250"/>
          <w:jc w:val="center"/>
        </w:trPr>
        <w:tc>
          <w:tcPr>
            <w:tcW w:w="2126" w:type="dxa"/>
            <w:tcBorders>
              <w:top w:val="nil"/>
              <w:left w:val="nil"/>
              <w:bottom w:val="nil"/>
              <w:right w:val="single" w:sz="4" w:space="0" w:color="auto"/>
            </w:tcBorders>
            <w:shd w:val="clear" w:color="auto" w:fill="auto"/>
            <w:noWrap/>
            <w:vAlign w:val="bottom"/>
            <w:hideMark/>
          </w:tcPr>
          <w:p w14:paraId="50AF0095" w14:textId="77777777" w:rsidR="00A36980" w:rsidRPr="005970E9" w:rsidRDefault="00A36980" w:rsidP="00216547">
            <w:pPr>
              <w:rPr>
                <w:rFonts w:eastAsia="Times New Roman" w:cs="Arial"/>
                <w:sz w:val="20"/>
                <w:szCs w:val="20"/>
              </w:rPr>
            </w:pPr>
            <w:r w:rsidRPr="005970E9">
              <w:rPr>
                <w:rFonts w:eastAsia="Times New Roman" w:cs="Arial"/>
                <w:sz w:val="20"/>
                <w:szCs w:val="20"/>
              </w:rPr>
              <w:t>Colón</w:t>
            </w:r>
          </w:p>
        </w:tc>
        <w:tc>
          <w:tcPr>
            <w:tcW w:w="763" w:type="dxa"/>
            <w:tcBorders>
              <w:top w:val="nil"/>
              <w:left w:val="nil"/>
              <w:bottom w:val="nil"/>
              <w:right w:val="single" w:sz="4" w:space="0" w:color="auto"/>
            </w:tcBorders>
            <w:shd w:val="clear" w:color="auto" w:fill="auto"/>
            <w:noWrap/>
            <w:vAlign w:val="bottom"/>
            <w:hideMark/>
          </w:tcPr>
          <w:p w14:paraId="64B62E6A"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57</w:t>
            </w:r>
          </w:p>
        </w:tc>
        <w:tc>
          <w:tcPr>
            <w:tcW w:w="795" w:type="dxa"/>
            <w:tcBorders>
              <w:top w:val="nil"/>
              <w:left w:val="nil"/>
              <w:bottom w:val="nil"/>
              <w:right w:val="single" w:sz="4" w:space="0" w:color="auto"/>
            </w:tcBorders>
            <w:shd w:val="clear" w:color="auto" w:fill="auto"/>
            <w:noWrap/>
            <w:vAlign w:val="bottom"/>
            <w:hideMark/>
          </w:tcPr>
          <w:p w14:paraId="3C1F93FD"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10.3</w:t>
            </w:r>
          </w:p>
        </w:tc>
        <w:tc>
          <w:tcPr>
            <w:tcW w:w="1133" w:type="dxa"/>
            <w:tcBorders>
              <w:top w:val="nil"/>
              <w:left w:val="nil"/>
              <w:bottom w:val="nil"/>
              <w:right w:val="single" w:sz="4" w:space="0" w:color="auto"/>
            </w:tcBorders>
            <w:shd w:val="clear" w:color="auto" w:fill="auto"/>
            <w:noWrap/>
            <w:vAlign w:val="bottom"/>
            <w:hideMark/>
          </w:tcPr>
          <w:p w14:paraId="227D37F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33</w:t>
            </w:r>
          </w:p>
        </w:tc>
        <w:tc>
          <w:tcPr>
            <w:tcW w:w="841" w:type="dxa"/>
            <w:tcBorders>
              <w:top w:val="nil"/>
              <w:left w:val="nil"/>
              <w:bottom w:val="nil"/>
              <w:right w:val="nil"/>
            </w:tcBorders>
            <w:shd w:val="clear" w:color="auto" w:fill="auto"/>
            <w:noWrap/>
            <w:vAlign w:val="bottom"/>
            <w:hideMark/>
          </w:tcPr>
          <w:p w14:paraId="38D7C2A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7.6</w:t>
            </w:r>
          </w:p>
        </w:tc>
        <w:tc>
          <w:tcPr>
            <w:tcW w:w="1141" w:type="dxa"/>
            <w:tcBorders>
              <w:top w:val="nil"/>
              <w:left w:val="single" w:sz="4" w:space="0" w:color="auto"/>
              <w:bottom w:val="nil"/>
              <w:right w:val="single" w:sz="4" w:space="0" w:color="auto"/>
            </w:tcBorders>
            <w:shd w:val="clear" w:color="auto" w:fill="auto"/>
            <w:noWrap/>
            <w:vAlign w:val="bottom"/>
            <w:hideMark/>
          </w:tcPr>
          <w:p w14:paraId="4853AA61"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24</w:t>
            </w:r>
          </w:p>
        </w:tc>
        <w:tc>
          <w:tcPr>
            <w:tcW w:w="998" w:type="dxa"/>
            <w:tcBorders>
              <w:top w:val="nil"/>
              <w:left w:val="nil"/>
              <w:bottom w:val="nil"/>
              <w:right w:val="nil"/>
            </w:tcBorders>
            <w:shd w:val="clear" w:color="auto" w:fill="auto"/>
            <w:noWrap/>
            <w:vAlign w:val="bottom"/>
            <w:hideMark/>
          </w:tcPr>
          <w:p w14:paraId="4CBC3509"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20.5</w:t>
            </w:r>
          </w:p>
        </w:tc>
      </w:tr>
      <w:tr w:rsidR="00A36980" w:rsidRPr="005970E9" w14:paraId="02E6F12B" w14:textId="77777777" w:rsidTr="00D635DD">
        <w:trPr>
          <w:trHeight w:val="250"/>
          <w:jc w:val="center"/>
        </w:trPr>
        <w:tc>
          <w:tcPr>
            <w:tcW w:w="2126" w:type="dxa"/>
            <w:tcBorders>
              <w:top w:val="nil"/>
              <w:left w:val="nil"/>
              <w:bottom w:val="nil"/>
              <w:right w:val="single" w:sz="4" w:space="0" w:color="auto"/>
            </w:tcBorders>
            <w:shd w:val="clear" w:color="auto" w:fill="auto"/>
            <w:noWrap/>
            <w:vAlign w:val="bottom"/>
            <w:hideMark/>
          </w:tcPr>
          <w:p w14:paraId="4B6F884A" w14:textId="77777777" w:rsidR="00A36980" w:rsidRPr="005970E9" w:rsidRDefault="00A36980" w:rsidP="00216547">
            <w:pPr>
              <w:rPr>
                <w:rFonts w:eastAsia="Times New Roman" w:cs="Arial"/>
                <w:sz w:val="20"/>
                <w:szCs w:val="20"/>
              </w:rPr>
            </w:pPr>
            <w:r w:rsidRPr="005970E9">
              <w:rPr>
                <w:rFonts w:eastAsia="Times New Roman" w:cs="Arial"/>
                <w:sz w:val="20"/>
                <w:szCs w:val="20"/>
              </w:rPr>
              <w:t>Chiriquí</w:t>
            </w:r>
          </w:p>
        </w:tc>
        <w:tc>
          <w:tcPr>
            <w:tcW w:w="763" w:type="dxa"/>
            <w:tcBorders>
              <w:top w:val="nil"/>
              <w:left w:val="nil"/>
              <w:bottom w:val="nil"/>
              <w:right w:val="single" w:sz="4" w:space="0" w:color="auto"/>
            </w:tcBorders>
            <w:shd w:val="clear" w:color="auto" w:fill="auto"/>
            <w:noWrap/>
            <w:vAlign w:val="bottom"/>
            <w:hideMark/>
          </w:tcPr>
          <w:p w14:paraId="10CC505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53</w:t>
            </w:r>
          </w:p>
        </w:tc>
        <w:tc>
          <w:tcPr>
            <w:tcW w:w="795" w:type="dxa"/>
            <w:tcBorders>
              <w:top w:val="nil"/>
              <w:left w:val="nil"/>
              <w:bottom w:val="nil"/>
              <w:right w:val="single" w:sz="4" w:space="0" w:color="auto"/>
            </w:tcBorders>
            <w:shd w:val="clear" w:color="auto" w:fill="auto"/>
            <w:noWrap/>
            <w:vAlign w:val="bottom"/>
            <w:hideMark/>
          </w:tcPr>
          <w:p w14:paraId="0932915E"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9.6</w:t>
            </w:r>
          </w:p>
        </w:tc>
        <w:tc>
          <w:tcPr>
            <w:tcW w:w="1133" w:type="dxa"/>
            <w:tcBorders>
              <w:top w:val="nil"/>
              <w:left w:val="nil"/>
              <w:bottom w:val="nil"/>
              <w:right w:val="single" w:sz="4" w:space="0" w:color="auto"/>
            </w:tcBorders>
            <w:shd w:val="clear" w:color="auto" w:fill="auto"/>
            <w:noWrap/>
            <w:vAlign w:val="bottom"/>
            <w:hideMark/>
          </w:tcPr>
          <w:p w14:paraId="73FF775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43</w:t>
            </w:r>
          </w:p>
        </w:tc>
        <w:tc>
          <w:tcPr>
            <w:tcW w:w="841" w:type="dxa"/>
            <w:tcBorders>
              <w:top w:val="nil"/>
              <w:left w:val="nil"/>
              <w:bottom w:val="nil"/>
              <w:right w:val="nil"/>
            </w:tcBorders>
            <w:shd w:val="clear" w:color="auto" w:fill="auto"/>
            <w:noWrap/>
            <w:vAlign w:val="bottom"/>
            <w:hideMark/>
          </w:tcPr>
          <w:p w14:paraId="2A93688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9.9</w:t>
            </w:r>
          </w:p>
        </w:tc>
        <w:tc>
          <w:tcPr>
            <w:tcW w:w="1141" w:type="dxa"/>
            <w:tcBorders>
              <w:top w:val="nil"/>
              <w:left w:val="single" w:sz="4" w:space="0" w:color="auto"/>
              <w:bottom w:val="nil"/>
              <w:right w:val="single" w:sz="4" w:space="0" w:color="auto"/>
            </w:tcBorders>
            <w:shd w:val="clear" w:color="auto" w:fill="auto"/>
            <w:noWrap/>
            <w:vAlign w:val="bottom"/>
            <w:hideMark/>
          </w:tcPr>
          <w:p w14:paraId="741CF367"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10</w:t>
            </w:r>
          </w:p>
        </w:tc>
        <w:tc>
          <w:tcPr>
            <w:tcW w:w="998" w:type="dxa"/>
            <w:tcBorders>
              <w:top w:val="nil"/>
              <w:left w:val="nil"/>
              <w:bottom w:val="nil"/>
              <w:right w:val="nil"/>
            </w:tcBorders>
            <w:shd w:val="clear" w:color="auto" w:fill="auto"/>
            <w:noWrap/>
            <w:vAlign w:val="bottom"/>
            <w:hideMark/>
          </w:tcPr>
          <w:p w14:paraId="15B2AEC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8.5</w:t>
            </w:r>
          </w:p>
        </w:tc>
      </w:tr>
      <w:tr w:rsidR="00A36980" w:rsidRPr="005970E9" w14:paraId="681A1244" w14:textId="77777777" w:rsidTr="00D635DD">
        <w:trPr>
          <w:trHeight w:val="250"/>
          <w:jc w:val="center"/>
        </w:trPr>
        <w:tc>
          <w:tcPr>
            <w:tcW w:w="2126" w:type="dxa"/>
            <w:tcBorders>
              <w:top w:val="nil"/>
              <w:left w:val="nil"/>
              <w:bottom w:val="nil"/>
              <w:right w:val="single" w:sz="4" w:space="0" w:color="auto"/>
            </w:tcBorders>
            <w:shd w:val="clear" w:color="auto" w:fill="auto"/>
            <w:noWrap/>
            <w:vAlign w:val="bottom"/>
            <w:hideMark/>
          </w:tcPr>
          <w:p w14:paraId="70BEA3EF" w14:textId="77777777" w:rsidR="00A36980" w:rsidRPr="005970E9" w:rsidRDefault="00A36980" w:rsidP="00216547">
            <w:pPr>
              <w:rPr>
                <w:rFonts w:eastAsia="Times New Roman" w:cs="Arial"/>
                <w:sz w:val="20"/>
                <w:szCs w:val="20"/>
              </w:rPr>
            </w:pPr>
            <w:r w:rsidRPr="005970E9">
              <w:rPr>
                <w:rFonts w:eastAsia="Times New Roman" w:cs="Arial"/>
                <w:sz w:val="20"/>
                <w:szCs w:val="20"/>
              </w:rPr>
              <w:t>Herrera</w:t>
            </w:r>
          </w:p>
        </w:tc>
        <w:tc>
          <w:tcPr>
            <w:tcW w:w="763" w:type="dxa"/>
            <w:tcBorders>
              <w:top w:val="nil"/>
              <w:left w:val="nil"/>
              <w:bottom w:val="nil"/>
              <w:right w:val="single" w:sz="4" w:space="0" w:color="auto"/>
            </w:tcBorders>
            <w:shd w:val="clear" w:color="auto" w:fill="auto"/>
            <w:noWrap/>
            <w:vAlign w:val="bottom"/>
            <w:hideMark/>
          </w:tcPr>
          <w:p w14:paraId="5CA3F33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w:t>
            </w:r>
          </w:p>
        </w:tc>
        <w:tc>
          <w:tcPr>
            <w:tcW w:w="795" w:type="dxa"/>
            <w:tcBorders>
              <w:top w:val="nil"/>
              <w:left w:val="nil"/>
              <w:bottom w:val="nil"/>
              <w:right w:val="single" w:sz="4" w:space="0" w:color="auto"/>
            </w:tcBorders>
            <w:shd w:val="clear" w:color="auto" w:fill="auto"/>
            <w:noWrap/>
            <w:vAlign w:val="bottom"/>
            <w:hideMark/>
          </w:tcPr>
          <w:p w14:paraId="18B5C12C"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0.5</w:t>
            </w:r>
          </w:p>
        </w:tc>
        <w:tc>
          <w:tcPr>
            <w:tcW w:w="1133" w:type="dxa"/>
            <w:tcBorders>
              <w:top w:val="nil"/>
              <w:left w:val="nil"/>
              <w:bottom w:val="nil"/>
              <w:right w:val="single" w:sz="4" w:space="0" w:color="auto"/>
            </w:tcBorders>
            <w:shd w:val="clear" w:color="auto" w:fill="auto"/>
            <w:noWrap/>
            <w:vAlign w:val="bottom"/>
            <w:hideMark/>
          </w:tcPr>
          <w:p w14:paraId="0FC0801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w:t>
            </w:r>
          </w:p>
        </w:tc>
        <w:tc>
          <w:tcPr>
            <w:tcW w:w="841" w:type="dxa"/>
            <w:tcBorders>
              <w:top w:val="nil"/>
              <w:left w:val="nil"/>
              <w:bottom w:val="nil"/>
              <w:right w:val="nil"/>
            </w:tcBorders>
            <w:shd w:val="clear" w:color="auto" w:fill="auto"/>
            <w:noWrap/>
            <w:vAlign w:val="bottom"/>
            <w:hideMark/>
          </w:tcPr>
          <w:p w14:paraId="66FDBFCD"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0.5</w:t>
            </w:r>
          </w:p>
        </w:tc>
        <w:tc>
          <w:tcPr>
            <w:tcW w:w="1141" w:type="dxa"/>
            <w:tcBorders>
              <w:top w:val="nil"/>
              <w:left w:val="single" w:sz="4" w:space="0" w:color="auto"/>
              <w:bottom w:val="nil"/>
              <w:right w:val="single" w:sz="4" w:space="0" w:color="auto"/>
            </w:tcBorders>
            <w:shd w:val="clear" w:color="auto" w:fill="auto"/>
            <w:noWrap/>
            <w:vAlign w:val="bottom"/>
            <w:hideMark/>
          </w:tcPr>
          <w:p w14:paraId="2FB3FB1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w:t>
            </w:r>
          </w:p>
        </w:tc>
        <w:tc>
          <w:tcPr>
            <w:tcW w:w="998" w:type="dxa"/>
            <w:tcBorders>
              <w:top w:val="nil"/>
              <w:left w:val="nil"/>
              <w:bottom w:val="nil"/>
              <w:right w:val="nil"/>
            </w:tcBorders>
            <w:shd w:val="clear" w:color="auto" w:fill="auto"/>
            <w:noWrap/>
            <w:vAlign w:val="bottom"/>
            <w:hideMark/>
          </w:tcPr>
          <w:p w14:paraId="26B425C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0.9</w:t>
            </w:r>
          </w:p>
        </w:tc>
      </w:tr>
      <w:tr w:rsidR="00A36980" w:rsidRPr="005970E9" w14:paraId="1FB09A8F" w14:textId="77777777" w:rsidTr="00D635DD">
        <w:trPr>
          <w:trHeight w:val="250"/>
          <w:jc w:val="center"/>
        </w:trPr>
        <w:tc>
          <w:tcPr>
            <w:tcW w:w="2126" w:type="dxa"/>
            <w:tcBorders>
              <w:top w:val="nil"/>
              <w:left w:val="nil"/>
              <w:bottom w:val="nil"/>
              <w:right w:val="single" w:sz="4" w:space="0" w:color="auto"/>
            </w:tcBorders>
            <w:shd w:val="clear" w:color="auto" w:fill="auto"/>
            <w:noWrap/>
            <w:vAlign w:val="bottom"/>
            <w:hideMark/>
          </w:tcPr>
          <w:p w14:paraId="4B3BA5C6" w14:textId="77777777" w:rsidR="00A36980" w:rsidRPr="005970E9" w:rsidRDefault="00A36980" w:rsidP="00216547">
            <w:pPr>
              <w:rPr>
                <w:rFonts w:eastAsia="Times New Roman" w:cs="Arial"/>
                <w:sz w:val="20"/>
                <w:szCs w:val="20"/>
              </w:rPr>
            </w:pPr>
            <w:r w:rsidRPr="005970E9">
              <w:rPr>
                <w:rFonts w:eastAsia="Times New Roman" w:cs="Arial"/>
                <w:sz w:val="20"/>
                <w:szCs w:val="20"/>
              </w:rPr>
              <w:t>Los Santos</w:t>
            </w:r>
          </w:p>
        </w:tc>
        <w:tc>
          <w:tcPr>
            <w:tcW w:w="763" w:type="dxa"/>
            <w:tcBorders>
              <w:top w:val="nil"/>
              <w:left w:val="nil"/>
              <w:bottom w:val="nil"/>
              <w:right w:val="single" w:sz="4" w:space="0" w:color="auto"/>
            </w:tcBorders>
            <w:shd w:val="clear" w:color="auto" w:fill="auto"/>
            <w:noWrap/>
            <w:vAlign w:val="bottom"/>
            <w:hideMark/>
          </w:tcPr>
          <w:p w14:paraId="4A538C6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w:t>
            </w:r>
          </w:p>
        </w:tc>
        <w:tc>
          <w:tcPr>
            <w:tcW w:w="795" w:type="dxa"/>
            <w:tcBorders>
              <w:top w:val="nil"/>
              <w:left w:val="nil"/>
              <w:bottom w:val="nil"/>
              <w:right w:val="single" w:sz="4" w:space="0" w:color="auto"/>
            </w:tcBorders>
            <w:shd w:val="clear" w:color="auto" w:fill="auto"/>
            <w:noWrap/>
            <w:vAlign w:val="bottom"/>
            <w:hideMark/>
          </w:tcPr>
          <w:p w14:paraId="023EEFDE"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0.5</w:t>
            </w:r>
          </w:p>
        </w:tc>
        <w:tc>
          <w:tcPr>
            <w:tcW w:w="1133" w:type="dxa"/>
            <w:tcBorders>
              <w:top w:val="nil"/>
              <w:left w:val="nil"/>
              <w:bottom w:val="nil"/>
              <w:right w:val="single" w:sz="4" w:space="0" w:color="auto"/>
            </w:tcBorders>
            <w:shd w:val="clear" w:color="auto" w:fill="auto"/>
            <w:noWrap/>
            <w:vAlign w:val="bottom"/>
            <w:hideMark/>
          </w:tcPr>
          <w:p w14:paraId="4384C8F4"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w:t>
            </w:r>
          </w:p>
        </w:tc>
        <w:tc>
          <w:tcPr>
            <w:tcW w:w="841" w:type="dxa"/>
            <w:tcBorders>
              <w:top w:val="nil"/>
              <w:left w:val="nil"/>
              <w:bottom w:val="nil"/>
              <w:right w:val="nil"/>
            </w:tcBorders>
            <w:shd w:val="clear" w:color="auto" w:fill="auto"/>
            <w:noWrap/>
            <w:vAlign w:val="bottom"/>
            <w:hideMark/>
          </w:tcPr>
          <w:p w14:paraId="581E000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0.7</w:t>
            </w:r>
          </w:p>
        </w:tc>
        <w:tc>
          <w:tcPr>
            <w:tcW w:w="1141" w:type="dxa"/>
            <w:tcBorders>
              <w:top w:val="nil"/>
              <w:left w:val="single" w:sz="4" w:space="0" w:color="auto"/>
              <w:bottom w:val="nil"/>
              <w:right w:val="single" w:sz="4" w:space="0" w:color="auto"/>
            </w:tcBorders>
            <w:shd w:val="clear" w:color="auto" w:fill="auto"/>
            <w:noWrap/>
            <w:vAlign w:val="bottom"/>
            <w:hideMark/>
          </w:tcPr>
          <w:p w14:paraId="11F4C12D"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w:t>
            </w:r>
          </w:p>
        </w:tc>
        <w:tc>
          <w:tcPr>
            <w:tcW w:w="998" w:type="dxa"/>
            <w:tcBorders>
              <w:top w:val="nil"/>
              <w:left w:val="nil"/>
              <w:bottom w:val="nil"/>
              <w:right w:val="nil"/>
            </w:tcBorders>
            <w:shd w:val="clear" w:color="auto" w:fill="auto"/>
            <w:noWrap/>
            <w:vAlign w:val="bottom"/>
            <w:hideMark/>
          </w:tcPr>
          <w:p w14:paraId="75A395A4"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w:t>
            </w:r>
          </w:p>
        </w:tc>
      </w:tr>
      <w:tr w:rsidR="00A36980" w:rsidRPr="005970E9" w14:paraId="024AB5E5" w14:textId="77777777" w:rsidTr="00D635DD">
        <w:trPr>
          <w:trHeight w:val="250"/>
          <w:jc w:val="center"/>
        </w:trPr>
        <w:tc>
          <w:tcPr>
            <w:tcW w:w="2126" w:type="dxa"/>
            <w:tcBorders>
              <w:top w:val="nil"/>
              <w:left w:val="nil"/>
              <w:bottom w:val="nil"/>
              <w:right w:val="single" w:sz="4" w:space="0" w:color="auto"/>
            </w:tcBorders>
            <w:shd w:val="clear" w:color="auto" w:fill="auto"/>
            <w:noWrap/>
            <w:vAlign w:val="bottom"/>
            <w:hideMark/>
          </w:tcPr>
          <w:p w14:paraId="55261BAB" w14:textId="77777777" w:rsidR="00A36980" w:rsidRPr="005970E9" w:rsidRDefault="00A36980" w:rsidP="00216547">
            <w:pPr>
              <w:rPr>
                <w:rFonts w:eastAsia="Times New Roman" w:cs="Arial"/>
                <w:sz w:val="20"/>
                <w:szCs w:val="20"/>
              </w:rPr>
            </w:pPr>
            <w:r w:rsidRPr="005970E9">
              <w:rPr>
                <w:rFonts w:eastAsia="Times New Roman" w:cs="Arial"/>
                <w:sz w:val="20"/>
                <w:szCs w:val="20"/>
              </w:rPr>
              <w:t>Panamá</w:t>
            </w:r>
          </w:p>
        </w:tc>
        <w:tc>
          <w:tcPr>
            <w:tcW w:w="763" w:type="dxa"/>
            <w:tcBorders>
              <w:top w:val="nil"/>
              <w:left w:val="nil"/>
              <w:bottom w:val="nil"/>
              <w:right w:val="single" w:sz="4" w:space="0" w:color="auto"/>
            </w:tcBorders>
            <w:shd w:val="clear" w:color="auto" w:fill="auto"/>
            <w:noWrap/>
            <w:vAlign w:val="bottom"/>
            <w:hideMark/>
          </w:tcPr>
          <w:p w14:paraId="3200400B"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225</w:t>
            </w:r>
          </w:p>
        </w:tc>
        <w:tc>
          <w:tcPr>
            <w:tcW w:w="795" w:type="dxa"/>
            <w:tcBorders>
              <w:top w:val="nil"/>
              <w:left w:val="nil"/>
              <w:bottom w:val="nil"/>
              <w:right w:val="single" w:sz="4" w:space="0" w:color="auto"/>
            </w:tcBorders>
            <w:shd w:val="clear" w:color="auto" w:fill="auto"/>
            <w:noWrap/>
            <w:vAlign w:val="bottom"/>
            <w:hideMark/>
          </w:tcPr>
          <w:p w14:paraId="4EA5C66E"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40.7</w:t>
            </w:r>
          </w:p>
        </w:tc>
        <w:tc>
          <w:tcPr>
            <w:tcW w:w="1133" w:type="dxa"/>
            <w:tcBorders>
              <w:top w:val="nil"/>
              <w:left w:val="nil"/>
              <w:bottom w:val="nil"/>
              <w:right w:val="single" w:sz="4" w:space="0" w:color="auto"/>
            </w:tcBorders>
            <w:shd w:val="clear" w:color="auto" w:fill="auto"/>
            <w:noWrap/>
            <w:vAlign w:val="bottom"/>
            <w:hideMark/>
          </w:tcPr>
          <w:p w14:paraId="48BA3B0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187</w:t>
            </w:r>
          </w:p>
        </w:tc>
        <w:tc>
          <w:tcPr>
            <w:tcW w:w="841" w:type="dxa"/>
            <w:tcBorders>
              <w:top w:val="nil"/>
              <w:left w:val="nil"/>
              <w:bottom w:val="nil"/>
              <w:right w:val="nil"/>
            </w:tcBorders>
            <w:shd w:val="clear" w:color="auto" w:fill="auto"/>
            <w:noWrap/>
            <w:vAlign w:val="bottom"/>
            <w:hideMark/>
          </w:tcPr>
          <w:p w14:paraId="2B77904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42.9</w:t>
            </w:r>
          </w:p>
        </w:tc>
        <w:tc>
          <w:tcPr>
            <w:tcW w:w="1141" w:type="dxa"/>
            <w:tcBorders>
              <w:top w:val="nil"/>
              <w:left w:val="single" w:sz="4" w:space="0" w:color="auto"/>
              <w:bottom w:val="nil"/>
              <w:right w:val="single" w:sz="4" w:space="0" w:color="auto"/>
            </w:tcBorders>
            <w:shd w:val="clear" w:color="auto" w:fill="auto"/>
            <w:noWrap/>
            <w:vAlign w:val="bottom"/>
            <w:hideMark/>
          </w:tcPr>
          <w:p w14:paraId="24E6BCA0"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38</w:t>
            </w:r>
          </w:p>
        </w:tc>
        <w:tc>
          <w:tcPr>
            <w:tcW w:w="998" w:type="dxa"/>
            <w:tcBorders>
              <w:top w:val="nil"/>
              <w:left w:val="nil"/>
              <w:bottom w:val="nil"/>
              <w:right w:val="nil"/>
            </w:tcBorders>
            <w:shd w:val="clear" w:color="auto" w:fill="auto"/>
            <w:noWrap/>
            <w:vAlign w:val="bottom"/>
            <w:hideMark/>
          </w:tcPr>
          <w:p w14:paraId="42DF0EE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32.5</w:t>
            </w:r>
          </w:p>
        </w:tc>
      </w:tr>
      <w:tr w:rsidR="00A36980" w:rsidRPr="005970E9" w14:paraId="4C842DA6" w14:textId="77777777" w:rsidTr="00D635DD">
        <w:trPr>
          <w:trHeight w:val="250"/>
          <w:jc w:val="center"/>
        </w:trPr>
        <w:tc>
          <w:tcPr>
            <w:tcW w:w="2126" w:type="dxa"/>
            <w:tcBorders>
              <w:top w:val="nil"/>
              <w:left w:val="nil"/>
              <w:bottom w:val="nil"/>
              <w:right w:val="single" w:sz="4" w:space="0" w:color="auto"/>
            </w:tcBorders>
            <w:shd w:val="clear" w:color="auto" w:fill="auto"/>
            <w:noWrap/>
            <w:vAlign w:val="bottom"/>
            <w:hideMark/>
          </w:tcPr>
          <w:p w14:paraId="0730B1BD" w14:textId="77777777" w:rsidR="00A36980" w:rsidRPr="005970E9" w:rsidRDefault="00A36980" w:rsidP="00216547">
            <w:pPr>
              <w:rPr>
                <w:rFonts w:eastAsia="Times New Roman" w:cs="Arial"/>
                <w:sz w:val="20"/>
                <w:szCs w:val="20"/>
              </w:rPr>
            </w:pPr>
            <w:r w:rsidRPr="005970E9">
              <w:rPr>
                <w:rFonts w:eastAsia="Times New Roman" w:cs="Arial"/>
                <w:sz w:val="20"/>
                <w:szCs w:val="20"/>
              </w:rPr>
              <w:t>Panamá Oeste</w:t>
            </w:r>
          </w:p>
        </w:tc>
        <w:tc>
          <w:tcPr>
            <w:tcW w:w="763" w:type="dxa"/>
            <w:tcBorders>
              <w:top w:val="nil"/>
              <w:left w:val="nil"/>
              <w:bottom w:val="nil"/>
              <w:right w:val="single" w:sz="4" w:space="0" w:color="auto"/>
            </w:tcBorders>
            <w:shd w:val="clear" w:color="auto" w:fill="auto"/>
            <w:noWrap/>
            <w:vAlign w:val="bottom"/>
            <w:hideMark/>
          </w:tcPr>
          <w:p w14:paraId="721F653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63</w:t>
            </w:r>
          </w:p>
        </w:tc>
        <w:tc>
          <w:tcPr>
            <w:tcW w:w="795" w:type="dxa"/>
            <w:tcBorders>
              <w:top w:val="nil"/>
              <w:left w:val="nil"/>
              <w:bottom w:val="nil"/>
              <w:right w:val="single" w:sz="4" w:space="0" w:color="auto"/>
            </w:tcBorders>
            <w:shd w:val="clear" w:color="auto" w:fill="auto"/>
            <w:noWrap/>
            <w:vAlign w:val="bottom"/>
            <w:hideMark/>
          </w:tcPr>
          <w:p w14:paraId="397A0F3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11.4</w:t>
            </w:r>
          </w:p>
        </w:tc>
        <w:tc>
          <w:tcPr>
            <w:tcW w:w="1133" w:type="dxa"/>
            <w:tcBorders>
              <w:top w:val="nil"/>
              <w:left w:val="nil"/>
              <w:bottom w:val="nil"/>
              <w:right w:val="single" w:sz="4" w:space="0" w:color="auto"/>
            </w:tcBorders>
            <w:shd w:val="clear" w:color="auto" w:fill="auto"/>
            <w:noWrap/>
            <w:vAlign w:val="bottom"/>
            <w:hideMark/>
          </w:tcPr>
          <w:p w14:paraId="1AA6767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45</w:t>
            </w:r>
          </w:p>
        </w:tc>
        <w:tc>
          <w:tcPr>
            <w:tcW w:w="841" w:type="dxa"/>
            <w:tcBorders>
              <w:top w:val="nil"/>
              <w:left w:val="nil"/>
              <w:bottom w:val="nil"/>
              <w:right w:val="nil"/>
            </w:tcBorders>
            <w:shd w:val="clear" w:color="auto" w:fill="auto"/>
            <w:noWrap/>
            <w:vAlign w:val="bottom"/>
            <w:hideMark/>
          </w:tcPr>
          <w:p w14:paraId="7F1A8F2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10.3</w:t>
            </w:r>
          </w:p>
        </w:tc>
        <w:tc>
          <w:tcPr>
            <w:tcW w:w="1141" w:type="dxa"/>
            <w:tcBorders>
              <w:top w:val="nil"/>
              <w:left w:val="single" w:sz="4" w:space="0" w:color="auto"/>
              <w:bottom w:val="nil"/>
              <w:right w:val="single" w:sz="4" w:space="0" w:color="auto"/>
            </w:tcBorders>
            <w:shd w:val="clear" w:color="auto" w:fill="auto"/>
            <w:noWrap/>
            <w:vAlign w:val="bottom"/>
            <w:hideMark/>
          </w:tcPr>
          <w:p w14:paraId="38F2137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18</w:t>
            </w:r>
          </w:p>
        </w:tc>
        <w:tc>
          <w:tcPr>
            <w:tcW w:w="998" w:type="dxa"/>
            <w:tcBorders>
              <w:top w:val="nil"/>
              <w:left w:val="nil"/>
              <w:bottom w:val="nil"/>
              <w:right w:val="nil"/>
            </w:tcBorders>
            <w:shd w:val="clear" w:color="auto" w:fill="auto"/>
            <w:noWrap/>
            <w:vAlign w:val="bottom"/>
            <w:hideMark/>
          </w:tcPr>
          <w:p w14:paraId="39E2CAA0"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15.4</w:t>
            </w:r>
          </w:p>
        </w:tc>
      </w:tr>
      <w:tr w:rsidR="00A36980" w:rsidRPr="005970E9" w14:paraId="36507935" w14:textId="77777777" w:rsidTr="00D635DD">
        <w:trPr>
          <w:trHeight w:val="250"/>
          <w:jc w:val="center"/>
        </w:trPr>
        <w:tc>
          <w:tcPr>
            <w:tcW w:w="2126" w:type="dxa"/>
            <w:tcBorders>
              <w:top w:val="nil"/>
              <w:left w:val="nil"/>
              <w:bottom w:val="nil"/>
              <w:right w:val="single" w:sz="4" w:space="0" w:color="auto"/>
            </w:tcBorders>
            <w:shd w:val="clear" w:color="auto" w:fill="auto"/>
            <w:noWrap/>
            <w:vAlign w:val="bottom"/>
            <w:hideMark/>
          </w:tcPr>
          <w:p w14:paraId="05D804C3" w14:textId="77777777" w:rsidR="00A36980" w:rsidRPr="005970E9" w:rsidRDefault="00A36980" w:rsidP="00216547">
            <w:pPr>
              <w:rPr>
                <w:rFonts w:eastAsia="Times New Roman" w:cs="Arial"/>
                <w:sz w:val="20"/>
                <w:szCs w:val="20"/>
              </w:rPr>
            </w:pPr>
            <w:r w:rsidRPr="005970E9">
              <w:rPr>
                <w:rFonts w:eastAsia="Times New Roman" w:cs="Arial"/>
                <w:sz w:val="20"/>
                <w:szCs w:val="20"/>
              </w:rPr>
              <w:t>Veraguas</w:t>
            </w:r>
          </w:p>
        </w:tc>
        <w:tc>
          <w:tcPr>
            <w:tcW w:w="763" w:type="dxa"/>
            <w:tcBorders>
              <w:top w:val="nil"/>
              <w:left w:val="nil"/>
              <w:bottom w:val="nil"/>
              <w:right w:val="single" w:sz="4" w:space="0" w:color="auto"/>
            </w:tcBorders>
            <w:shd w:val="clear" w:color="auto" w:fill="auto"/>
            <w:noWrap/>
            <w:vAlign w:val="bottom"/>
            <w:hideMark/>
          </w:tcPr>
          <w:p w14:paraId="4B3B5CF2"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14</w:t>
            </w:r>
          </w:p>
        </w:tc>
        <w:tc>
          <w:tcPr>
            <w:tcW w:w="795" w:type="dxa"/>
            <w:tcBorders>
              <w:top w:val="nil"/>
              <w:left w:val="nil"/>
              <w:bottom w:val="nil"/>
              <w:right w:val="single" w:sz="4" w:space="0" w:color="auto"/>
            </w:tcBorders>
            <w:shd w:val="clear" w:color="auto" w:fill="auto"/>
            <w:noWrap/>
            <w:vAlign w:val="bottom"/>
            <w:hideMark/>
          </w:tcPr>
          <w:p w14:paraId="3F697AEB"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2.5</w:t>
            </w:r>
          </w:p>
        </w:tc>
        <w:tc>
          <w:tcPr>
            <w:tcW w:w="1133" w:type="dxa"/>
            <w:tcBorders>
              <w:top w:val="nil"/>
              <w:left w:val="nil"/>
              <w:bottom w:val="nil"/>
              <w:right w:val="single" w:sz="4" w:space="0" w:color="auto"/>
            </w:tcBorders>
            <w:shd w:val="clear" w:color="auto" w:fill="auto"/>
            <w:noWrap/>
            <w:vAlign w:val="bottom"/>
            <w:hideMark/>
          </w:tcPr>
          <w:p w14:paraId="4C9D5C64"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13</w:t>
            </w:r>
          </w:p>
        </w:tc>
        <w:tc>
          <w:tcPr>
            <w:tcW w:w="841" w:type="dxa"/>
            <w:tcBorders>
              <w:top w:val="nil"/>
              <w:left w:val="nil"/>
              <w:bottom w:val="nil"/>
              <w:right w:val="nil"/>
            </w:tcBorders>
            <w:shd w:val="clear" w:color="auto" w:fill="auto"/>
            <w:noWrap/>
            <w:vAlign w:val="bottom"/>
            <w:hideMark/>
          </w:tcPr>
          <w:p w14:paraId="4BEE4C0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3.0</w:t>
            </w:r>
          </w:p>
        </w:tc>
        <w:tc>
          <w:tcPr>
            <w:tcW w:w="1141" w:type="dxa"/>
            <w:tcBorders>
              <w:top w:val="nil"/>
              <w:left w:val="single" w:sz="4" w:space="0" w:color="auto"/>
              <w:bottom w:val="nil"/>
              <w:right w:val="single" w:sz="4" w:space="0" w:color="auto"/>
            </w:tcBorders>
            <w:shd w:val="clear" w:color="auto" w:fill="auto"/>
            <w:noWrap/>
            <w:vAlign w:val="bottom"/>
            <w:hideMark/>
          </w:tcPr>
          <w:p w14:paraId="0FE8AC3A"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1</w:t>
            </w:r>
          </w:p>
        </w:tc>
        <w:tc>
          <w:tcPr>
            <w:tcW w:w="998" w:type="dxa"/>
            <w:tcBorders>
              <w:top w:val="nil"/>
              <w:left w:val="nil"/>
              <w:bottom w:val="nil"/>
              <w:right w:val="nil"/>
            </w:tcBorders>
            <w:shd w:val="clear" w:color="auto" w:fill="auto"/>
            <w:noWrap/>
            <w:vAlign w:val="bottom"/>
            <w:hideMark/>
          </w:tcPr>
          <w:p w14:paraId="6C23D933"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0.9</w:t>
            </w:r>
          </w:p>
        </w:tc>
      </w:tr>
      <w:tr w:rsidR="00A36980" w:rsidRPr="005970E9" w14:paraId="49DB9230" w14:textId="77777777" w:rsidTr="00D635DD">
        <w:trPr>
          <w:trHeight w:val="250"/>
          <w:jc w:val="center"/>
        </w:trPr>
        <w:tc>
          <w:tcPr>
            <w:tcW w:w="2126" w:type="dxa"/>
            <w:tcBorders>
              <w:top w:val="nil"/>
              <w:left w:val="nil"/>
              <w:bottom w:val="nil"/>
              <w:right w:val="single" w:sz="4" w:space="0" w:color="auto"/>
            </w:tcBorders>
            <w:shd w:val="clear" w:color="auto" w:fill="auto"/>
            <w:noWrap/>
            <w:vAlign w:val="bottom"/>
            <w:hideMark/>
          </w:tcPr>
          <w:p w14:paraId="4846AD83" w14:textId="77777777" w:rsidR="00A36980" w:rsidRPr="005970E9" w:rsidRDefault="00A36980" w:rsidP="00216547">
            <w:pPr>
              <w:rPr>
                <w:rFonts w:eastAsia="Times New Roman" w:cs="Arial"/>
                <w:sz w:val="20"/>
                <w:szCs w:val="20"/>
              </w:rPr>
            </w:pPr>
            <w:r w:rsidRPr="005970E9">
              <w:rPr>
                <w:rFonts w:eastAsia="Times New Roman" w:cs="Arial"/>
                <w:sz w:val="20"/>
                <w:szCs w:val="20"/>
              </w:rPr>
              <w:lastRenderedPageBreak/>
              <w:t>Comarca Kuna Yala</w:t>
            </w:r>
          </w:p>
        </w:tc>
        <w:tc>
          <w:tcPr>
            <w:tcW w:w="763" w:type="dxa"/>
            <w:tcBorders>
              <w:top w:val="nil"/>
              <w:left w:val="nil"/>
              <w:bottom w:val="nil"/>
              <w:right w:val="single" w:sz="4" w:space="0" w:color="auto"/>
            </w:tcBorders>
            <w:shd w:val="clear" w:color="auto" w:fill="auto"/>
            <w:noWrap/>
            <w:vAlign w:val="bottom"/>
            <w:hideMark/>
          </w:tcPr>
          <w:p w14:paraId="5A7B4A76"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w:t>
            </w:r>
          </w:p>
        </w:tc>
        <w:tc>
          <w:tcPr>
            <w:tcW w:w="795" w:type="dxa"/>
            <w:tcBorders>
              <w:top w:val="nil"/>
              <w:left w:val="nil"/>
              <w:bottom w:val="nil"/>
              <w:right w:val="single" w:sz="4" w:space="0" w:color="auto"/>
            </w:tcBorders>
            <w:shd w:val="clear" w:color="auto" w:fill="auto"/>
            <w:noWrap/>
            <w:vAlign w:val="bottom"/>
            <w:hideMark/>
          </w:tcPr>
          <w:p w14:paraId="46E482D5"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1.3</w:t>
            </w:r>
          </w:p>
        </w:tc>
        <w:tc>
          <w:tcPr>
            <w:tcW w:w="1133" w:type="dxa"/>
            <w:tcBorders>
              <w:top w:val="nil"/>
              <w:left w:val="nil"/>
              <w:bottom w:val="nil"/>
              <w:right w:val="single" w:sz="4" w:space="0" w:color="auto"/>
            </w:tcBorders>
            <w:shd w:val="clear" w:color="auto" w:fill="auto"/>
            <w:noWrap/>
            <w:vAlign w:val="bottom"/>
            <w:hideMark/>
          </w:tcPr>
          <w:p w14:paraId="477C09C8"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6</w:t>
            </w:r>
          </w:p>
        </w:tc>
        <w:tc>
          <w:tcPr>
            <w:tcW w:w="841" w:type="dxa"/>
            <w:tcBorders>
              <w:top w:val="nil"/>
              <w:left w:val="nil"/>
              <w:bottom w:val="nil"/>
              <w:right w:val="nil"/>
            </w:tcBorders>
            <w:shd w:val="clear" w:color="auto" w:fill="auto"/>
            <w:noWrap/>
            <w:vAlign w:val="bottom"/>
            <w:hideMark/>
          </w:tcPr>
          <w:p w14:paraId="7C9026C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1.4</w:t>
            </w:r>
          </w:p>
        </w:tc>
        <w:tc>
          <w:tcPr>
            <w:tcW w:w="1141" w:type="dxa"/>
            <w:tcBorders>
              <w:top w:val="nil"/>
              <w:left w:val="single" w:sz="4" w:space="0" w:color="auto"/>
              <w:bottom w:val="nil"/>
              <w:right w:val="single" w:sz="4" w:space="0" w:color="auto"/>
            </w:tcBorders>
            <w:shd w:val="clear" w:color="auto" w:fill="auto"/>
            <w:noWrap/>
            <w:vAlign w:val="bottom"/>
            <w:hideMark/>
          </w:tcPr>
          <w:p w14:paraId="412C9A6D"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1</w:t>
            </w:r>
          </w:p>
        </w:tc>
        <w:tc>
          <w:tcPr>
            <w:tcW w:w="998" w:type="dxa"/>
            <w:tcBorders>
              <w:top w:val="nil"/>
              <w:left w:val="nil"/>
              <w:bottom w:val="nil"/>
              <w:right w:val="nil"/>
            </w:tcBorders>
            <w:shd w:val="clear" w:color="auto" w:fill="auto"/>
            <w:noWrap/>
            <w:vAlign w:val="bottom"/>
            <w:hideMark/>
          </w:tcPr>
          <w:p w14:paraId="672D246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0.9</w:t>
            </w:r>
          </w:p>
        </w:tc>
      </w:tr>
      <w:tr w:rsidR="00A36980" w:rsidRPr="005970E9" w14:paraId="74CF0F29" w14:textId="77777777" w:rsidTr="00D635DD">
        <w:trPr>
          <w:trHeight w:val="250"/>
          <w:jc w:val="center"/>
        </w:trPr>
        <w:tc>
          <w:tcPr>
            <w:tcW w:w="2126" w:type="dxa"/>
            <w:tcBorders>
              <w:top w:val="nil"/>
              <w:left w:val="nil"/>
              <w:bottom w:val="nil"/>
              <w:right w:val="single" w:sz="4" w:space="0" w:color="auto"/>
            </w:tcBorders>
            <w:shd w:val="clear" w:color="auto" w:fill="auto"/>
            <w:noWrap/>
            <w:vAlign w:val="bottom"/>
            <w:hideMark/>
          </w:tcPr>
          <w:p w14:paraId="07840971" w14:textId="77777777" w:rsidR="00A36980" w:rsidRPr="005970E9" w:rsidRDefault="00A36980" w:rsidP="00216547">
            <w:pPr>
              <w:rPr>
                <w:rFonts w:eastAsia="Times New Roman" w:cs="Arial"/>
                <w:sz w:val="20"/>
                <w:szCs w:val="20"/>
              </w:rPr>
            </w:pPr>
            <w:r w:rsidRPr="005970E9">
              <w:rPr>
                <w:rFonts w:eastAsia="Times New Roman" w:cs="Arial"/>
                <w:sz w:val="20"/>
                <w:szCs w:val="20"/>
              </w:rPr>
              <w:t>Comarca Emberá</w:t>
            </w:r>
          </w:p>
        </w:tc>
        <w:tc>
          <w:tcPr>
            <w:tcW w:w="763" w:type="dxa"/>
            <w:tcBorders>
              <w:top w:val="nil"/>
              <w:left w:val="nil"/>
              <w:bottom w:val="nil"/>
              <w:right w:val="single" w:sz="4" w:space="0" w:color="auto"/>
            </w:tcBorders>
            <w:shd w:val="clear" w:color="auto" w:fill="auto"/>
            <w:noWrap/>
            <w:vAlign w:val="bottom"/>
            <w:hideMark/>
          </w:tcPr>
          <w:p w14:paraId="6F6AEAE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2</w:t>
            </w:r>
          </w:p>
        </w:tc>
        <w:tc>
          <w:tcPr>
            <w:tcW w:w="795" w:type="dxa"/>
            <w:tcBorders>
              <w:top w:val="nil"/>
              <w:left w:val="nil"/>
              <w:bottom w:val="nil"/>
              <w:right w:val="single" w:sz="4" w:space="0" w:color="auto"/>
            </w:tcBorders>
            <w:shd w:val="clear" w:color="auto" w:fill="auto"/>
            <w:noWrap/>
            <w:vAlign w:val="bottom"/>
            <w:hideMark/>
          </w:tcPr>
          <w:p w14:paraId="73C251E4"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0.4</w:t>
            </w:r>
          </w:p>
        </w:tc>
        <w:tc>
          <w:tcPr>
            <w:tcW w:w="1133" w:type="dxa"/>
            <w:tcBorders>
              <w:top w:val="nil"/>
              <w:left w:val="nil"/>
              <w:bottom w:val="nil"/>
              <w:right w:val="single" w:sz="4" w:space="0" w:color="auto"/>
            </w:tcBorders>
            <w:shd w:val="clear" w:color="auto" w:fill="auto"/>
            <w:noWrap/>
            <w:vAlign w:val="bottom"/>
            <w:hideMark/>
          </w:tcPr>
          <w:p w14:paraId="00CC9E0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w:t>
            </w:r>
          </w:p>
        </w:tc>
        <w:tc>
          <w:tcPr>
            <w:tcW w:w="841" w:type="dxa"/>
            <w:tcBorders>
              <w:top w:val="nil"/>
              <w:left w:val="nil"/>
              <w:bottom w:val="nil"/>
              <w:right w:val="nil"/>
            </w:tcBorders>
            <w:shd w:val="clear" w:color="auto" w:fill="auto"/>
            <w:noWrap/>
            <w:vAlign w:val="bottom"/>
            <w:hideMark/>
          </w:tcPr>
          <w:p w14:paraId="44D7324F"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0.2</w:t>
            </w:r>
          </w:p>
        </w:tc>
        <w:tc>
          <w:tcPr>
            <w:tcW w:w="1141" w:type="dxa"/>
            <w:tcBorders>
              <w:top w:val="nil"/>
              <w:left w:val="single" w:sz="4" w:space="0" w:color="auto"/>
              <w:bottom w:val="nil"/>
              <w:right w:val="single" w:sz="4" w:space="0" w:color="auto"/>
            </w:tcBorders>
            <w:shd w:val="clear" w:color="auto" w:fill="auto"/>
            <w:noWrap/>
            <w:vAlign w:val="bottom"/>
            <w:hideMark/>
          </w:tcPr>
          <w:p w14:paraId="0EB1CA49"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1</w:t>
            </w:r>
          </w:p>
        </w:tc>
        <w:tc>
          <w:tcPr>
            <w:tcW w:w="998" w:type="dxa"/>
            <w:tcBorders>
              <w:top w:val="nil"/>
              <w:left w:val="nil"/>
              <w:bottom w:val="nil"/>
              <w:right w:val="nil"/>
            </w:tcBorders>
            <w:shd w:val="clear" w:color="auto" w:fill="auto"/>
            <w:noWrap/>
            <w:vAlign w:val="bottom"/>
            <w:hideMark/>
          </w:tcPr>
          <w:p w14:paraId="55A9F95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0.9</w:t>
            </w:r>
          </w:p>
        </w:tc>
      </w:tr>
      <w:tr w:rsidR="00A36980" w:rsidRPr="005970E9" w14:paraId="51CDADD8" w14:textId="77777777" w:rsidTr="00D635DD">
        <w:trPr>
          <w:trHeight w:val="250"/>
          <w:jc w:val="center"/>
        </w:trPr>
        <w:tc>
          <w:tcPr>
            <w:tcW w:w="2126" w:type="dxa"/>
            <w:tcBorders>
              <w:top w:val="nil"/>
              <w:left w:val="nil"/>
              <w:bottom w:val="single" w:sz="4" w:space="0" w:color="auto"/>
              <w:right w:val="nil"/>
            </w:tcBorders>
            <w:shd w:val="clear" w:color="auto" w:fill="auto"/>
            <w:noWrap/>
            <w:vAlign w:val="bottom"/>
            <w:hideMark/>
          </w:tcPr>
          <w:p w14:paraId="46859D91" w14:textId="77777777" w:rsidR="00A36980" w:rsidRPr="005970E9" w:rsidRDefault="00A36980" w:rsidP="00216547">
            <w:pPr>
              <w:rPr>
                <w:rFonts w:eastAsia="Times New Roman" w:cs="Arial"/>
                <w:color w:val="000000"/>
                <w:sz w:val="20"/>
                <w:szCs w:val="20"/>
              </w:rPr>
            </w:pPr>
            <w:r w:rsidRPr="005970E9">
              <w:rPr>
                <w:rFonts w:eastAsia="Times New Roman" w:cs="Arial"/>
                <w:color w:val="000000"/>
                <w:sz w:val="20"/>
                <w:szCs w:val="20"/>
              </w:rPr>
              <w:t>Comarca Ngäbe Buglé</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0EFA9F51"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73</w:t>
            </w:r>
          </w:p>
        </w:tc>
        <w:tc>
          <w:tcPr>
            <w:tcW w:w="795" w:type="dxa"/>
            <w:tcBorders>
              <w:top w:val="nil"/>
              <w:left w:val="nil"/>
              <w:bottom w:val="single" w:sz="4" w:space="0" w:color="auto"/>
              <w:right w:val="nil"/>
            </w:tcBorders>
            <w:shd w:val="clear" w:color="auto" w:fill="auto"/>
            <w:noWrap/>
            <w:vAlign w:val="bottom"/>
            <w:hideMark/>
          </w:tcPr>
          <w:p w14:paraId="3FBE9F86"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13.2</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0EFA9AE5"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56</w:t>
            </w:r>
          </w:p>
        </w:tc>
        <w:tc>
          <w:tcPr>
            <w:tcW w:w="841" w:type="dxa"/>
            <w:tcBorders>
              <w:top w:val="nil"/>
              <w:left w:val="nil"/>
              <w:bottom w:val="single" w:sz="4" w:space="0" w:color="auto"/>
              <w:right w:val="nil"/>
            </w:tcBorders>
            <w:shd w:val="clear" w:color="auto" w:fill="auto"/>
            <w:noWrap/>
            <w:vAlign w:val="bottom"/>
            <w:hideMark/>
          </w:tcPr>
          <w:p w14:paraId="3F14F40C"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12.8</w:t>
            </w:r>
          </w:p>
        </w:tc>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21E33452" w14:textId="77777777" w:rsidR="00A36980" w:rsidRPr="005970E9" w:rsidRDefault="00A36980" w:rsidP="00216547">
            <w:pPr>
              <w:jc w:val="right"/>
              <w:rPr>
                <w:rFonts w:eastAsia="Times New Roman" w:cs="Arial"/>
                <w:color w:val="000000"/>
                <w:sz w:val="20"/>
                <w:szCs w:val="20"/>
              </w:rPr>
            </w:pPr>
            <w:r w:rsidRPr="005970E9">
              <w:rPr>
                <w:rFonts w:eastAsia="Times New Roman" w:cs="Arial"/>
                <w:color w:val="000000"/>
                <w:sz w:val="20"/>
                <w:szCs w:val="20"/>
              </w:rPr>
              <w:t>17</w:t>
            </w:r>
          </w:p>
        </w:tc>
        <w:tc>
          <w:tcPr>
            <w:tcW w:w="998" w:type="dxa"/>
            <w:tcBorders>
              <w:top w:val="nil"/>
              <w:left w:val="nil"/>
              <w:bottom w:val="single" w:sz="4" w:space="0" w:color="auto"/>
              <w:right w:val="nil"/>
            </w:tcBorders>
            <w:shd w:val="clear" w:color="auto" w:fill="auto"/>
            <w:noWrap/>
            <w:vAlign w:val="bottom"/>
            <w:hideMark/>
          </w:tcPr>
          <w:p w14:paraId="245AFDF7" w14:textId="77777777" w:rsidR="00A36980" w:rsidRPr="005970E9" w:rsidRDefault="00A36980" w:rsidP="00216547">
            <w:pPr>
              <w:jc w:val="right"/>
              <w:rPr>
                <w:rFonts w:eastAsia="Times New Roman" w:cs="Arial"/>
                <w:sz w:val="20"/>
                <w:szCs w:val="20"/>
              </w:rPr>
            </w:pPr>
            <w:r w:rsidRPr="005970E9">
              <w:rPr>
                <w:rFonts w:eastAsia="Times New Roman" w:cs="Arial"/>
                <w:sz w:val="20"/>
                <w:szCs w:val="20"/>
              </w:rPr>
              <w:t>14.5</w:t>
            </w:r>
          </w:p>
        </w:tc>
      </w:tr>
      <w:tr w:rsidR="00A36980" w:rsidRPr="005970E9" w14:paraId="5628BF96" w14:textId="77777777" w:rsidTr="00D635DD">
        <w:trPr>
          <w:trHeight w:val="250"/>
          <w:jc w:val="center"/>
        </w:trPr>
        <w:tc>
          <w:tcPr>
            <w:tcW w:w="7797" w:type="dxa"/>
            <w:gridSpan w:val="7"/>
            <w:tcBorders>
              <w:top w:val="nil"/>
              <w:left w:val="nil"/>
              <w:bottom w:val="nil"/>
              <w:right w:val="nil"/>
            </w:tcBorders>
            <w:shd w:val="clear" w:color="auto" w:fill="auto"/>
            <w:noWrap/>
            <w:vAlign w:val="center"/>
            <w:hideMark/>
          </w:tcPr>
          <w:p w14:paraId="5A930B63" w14:textId="77777777" w:rsidR="00A36980" w:rsidRPr="005970E9" w:rsidRDefault="00A36980" w:rsidP="00216547">
            <w:pPr>
              <w:jc w:val="both"/>
              <w:rPr>
                <w:rFonts w:eastAsia="Times New Roman" w:cs="Arial"/>
                <w:sz w:val="20"/>
                <w:szCs w:val="20"/>
              </w:rPr>
            </w:pPr>
            <w:r w:rsidRPr="005970E9">
              <w:rPr>
                <w:rFonts w:eastAsia="Times New Roman" w:cs="Arial"/>
                <w:sz w:val="20"/>
                <w:szCs w:val="20"/>
              </w:rPr>
              <w:t>NOTA: Se excluye la provincia de Darién, donde no se registraron defunciones por enfermedad por virus de la inmunodeficiencia humana (VIH).</w:t>
            </w:r>
          </w:p>
        </w:tc>
      </w:tr>
      <w:tr w:rsidR="00A36980" w:rsidRPr="005970E9" w14:paraId="74228A1F" w14:textId="77777777" w:rsidTr="00D635DD">
        <w:trPr>
          <w:trHeight w:val="250"/>
          <w:jc w:val="center"/>
        </w:trPr>
        <w:tc>
          <w:tcPr>
            <w:tcW w:w="7797" w:type="dxa"/>
            <w:gridSpan w:val="7"/>
            <w:tcBorders>
              <w:top w:val="nil"/>
              <w:left w:val="nil"/>
              <w:bottom w:val="nil"/>
              <w:right w:val="nil"/>
            </w:tcBorders>
            <w:shd w:val="clear" w:color="auto" w:fill="auto"/>
            <w:vAlign w:val="center"/>
            <w:hideMark/>
          </w:tcPr>
          <w:p w14:paraId="744AC989" w14:textId="77777777" w:rsidR="00A36980" w:rsidRPr="005970E9" w:rsidRDefault="00A36980" w:rsidP="00216547">
            <w:pPr>
              <w:jc w:val="both"/>
              <w:rPr>
                <w:rFonts w:eastAsia="Times New Roman" w:cs="Arial"/>
                <w:sz w:val="20"/>
                <w:szCs w:val="20"/>
              </w:rPr>
            </w:pPr>
            <w:r w:rsidRPr="005970E9">
              <w:rPr>
                <w:rFonts w:eastAsia="Times New Roman" w:cs="Arial"/>
                <w:sz w:val="20"/>
                <w:szCs w:val="20"/>
              </w:rPr>
              <w:t>(1)  Con base en la Clasificación estadística internacional de enfermedades y problemas relacionados con la salud (Décima revisión)</w:t>
            </w:r>
          </w:p>
        </w:tc>
      </w:tr>
      <w:tr w:rsidR="00A36980" w:rsidRPr="005970E9" w14:paraId="335F397B" w14:textId="77777777" w:rsidTr="00D635DD">
        <w:trPr>
          <w:trHeight w:val="250"/>
          <w:jc w:val="center"/>
        </w:trPr>
        <w:tc>
          <w:tcPr>
            <w:tcW w:w="7797" w:type="dxa"/>
            <w:gridSpan w:val="7"/>
            <w:tcBorders>
              <w:top w:val="nil"/>
              <w:left w:val="nil"/>
              <w:bottom w:val="nil"/>
              <w:right w:val="nil"/>
            </w:tcBorders>
            <w:shd w:val="clear" w:color="auto" w:fill="auto"/>
            <w:noWrap/>
            <w:vAlign w:val="center"/>
            <w:hideMark/>
          </w:tcPr>
          <w:p w14:paraId="6C19C31E" w14:textId="77777777" w:rsidR="00A36980" w:rsidRPr="005970E9" w:rsidRDefault="00A36980" w:rsidP="00216547">
            <w:pPr>
              <w:jc w:val="both"/>
              <w:rPr>
                <w:rFonts w:eastAsia="Times New Roman" w:cs="Arial"/>
                <w:sz w:val="20"/>
                <w:szCs w:val="20"/>
              </w:rPr>
            </w:pPr>
            <w:r w:rsidRPr="005970E9">
              <w:rPr>
                <w:rFonts w:eastAsia="Times New Roman" w:cs="Arial"/>
                <w:sz w:val="20"/>
                <w:szCs w:val="20"/>
              </w:rPr>
              <w:t>-  Cantidad nula o cero.</w:t>
            </w:r>
          </w:p>
        </w:tc>
      </w:tr>
      <w:tr w:rsidR="00A36980" w:rsidRPr="005970E9" w14:paraId="409736ED" w14:textId="77777777" w:rsidTr="00D635DD">
        <w:trPr>
          <w:trHeight w:val="250"/>
          <w:jc w:val="center"/>
        </w:trPr>
        <w:tc>
          <w:tcPr>
            <w:tcW w:w="7797" w:type="dxa"/>
            <w:gridSpan w:val="7"/>
            <w:tcBorders>
              <w:top w:val="nil"/>
              <w:left w:val="nil"/>
              <w:bottom w:val="nil"/>
              <w:right w:val="nil"/>
            </w:tcBorders>
            <w:shd w:val="clear" w:color="auto" w:fill="auto"/>
            <w:vAlign w:val="center"/>
            <w:hideMark/>
          </w:tcPr>
          <w:p w14:paraId="672CE698" w14:textId="77777777" w:rsidR="00A36980" w:rsidRPr="005970E9" w:rsidRDefault="00A36980" w:rsidP="00216547">
            <w:pPr>
              <w:jc w:val="both"/>
              <w:rPr>
                <w:rFonts w:eastAsia="Times New Roman" w:cs="Arial"/>
                <w:color w:val="000000"/>
                <w:sz w:val="20"/>
                <w:szCs w:val="20"/>
              </w:rPr>
            </w:pPr>
            <w:r w:rsidRPr="005970E9">
              <w:rPr>
                <w:rFonts w:eastAsia="Times New Roman" w:cs="Arial"/>
                <w:color w:val="000000"/>
                <w:sz w:val="20"/>
                <w:szCs w:val="20"/>
              </w:rPr>
              <w:t>Fuente: INEC, Estadísticas Vitales 2018. Los datos publicados corresponden a información del MINSA y CSS y oficinas del Registro Civil.</w:t>
            </w:r>
          </w:p>
        </w:tc>
      </w:tr>
    </w:tbl>
    <w:p w14:paraId="0422F68C" w14:textId="77777777" w:rsidR="00A36980" w:rsidRPr="005970E9" w:rsidRDefault="00A36980" w:rsidP="00A36980">
      <w:pPr>
        <w:jc w:val="both"/>
      </w:pPr>
      <w:bookmarkStart w:id="203" w:name="_wtifcd8gq1sz" w:colFirst="0" w:colLast="0"/>
      <w:bookmarkEnd w:id="203"/>
    </w:p>
    <w:p w14:paraId="4C59012C" w14:textId="77777777" w:rsidR="00D079AB" w:rsidRPr="005970E9" w:rsidRDefault="00A36980" w:rsidP="00D079AB">
      <w:pPr>
        <w:spacing w:line="276" w:lineRule="auto"/>
        <w:jc w:val="both"/>
      </w:pPr>
      <w:r w:rsidRPr="005970E9">
        <w:t>En la esfera de la salud es necesario profundizar en herramientas o técnicas para derribar las barreras relacionadas con el género, todo esto para la adquisición de la protección universal en salud desde una perspectiva integral. Es fundamental la comprensión de características adicionales al género, entre ellas la etnia, afiliación religiosa, orientación sexual e identidad de género, además de las limitantes actuales del sistema en sus servicios de atención, equipamiento e infraestructura y atención de salud, para lograr mitigar las brechas de desigualdad en la salud de la mujer en Panamá. También es importante la revisión de las normativas respecto al aborto y eliminar prejuicios y estereotipos culturales y religiosos.</w:t>
      </w:r>
    </w:p>
    <w:p w14:paraId="06B65081" w14:textId="77777777" w:rsidR="00815D3E" w:rsidRDefault="00815D3E"/>
    <w:p w14:paraId="47E3158A" w14:textId="77777777" w:rsidR="00815D3E" w:rsidRDefault="00815D3E"/>
    <w:p w14:paraId="1722F653" w14:textId="3255A7D3" w:rsidR="00665481" w:rsidRPr="005970E9" w:rsidRDefault="00665481" w:rsidP="00D478B6">
      <w:pPr>
        <w:pStyle w:val="Heading2"/>
        <w:numPr>
          <w:ilvl w:val="1"/>
          <w:numId w:val="56"/>
        </w:numPr>
      </w:pPr>
      <w:bookmarkStart w:id="204" w:name="_Toc42159231"/>
      <w:bookmarkStart w:id="205" w:name="_Toc42549462"/>
      <w:r w:rsidRPr="005970E9">
        <w:t>Seguridad alimentaria</w:t>
      </w:r>
      <w:bookmarkEnd w:id="204"/>
      <w:bookmarkEnd w:id="205"/>
    </w:p>
    <w:p w14:paraId="33509662" w14:textId="77777777" w:rsidR="00665481" w:rsidRPr="005970E9" w:rsidRDefault="00665481" w:rsidP="00665481">
      <w:pPr>
        <w:pBdr>
          <w:top w:val="nil"/>
          <w:left w:val="nil"/>
          <w:bottom w:val="nil"/>
          <w:right w:val="nil"/>
          <w:between w:val="nil"/>
        </w:pBdr>
        <w:spacing w:before="120"/>
        <w:jc w:val="center"/>
        <w:rPr>
          <w:rFonts w:eastAsia="Asap" w:cs="Asap"/>
          <w:color w:val="000000"/>
          <w:sz w:val="20"/>
          <w:szCs w:val="20"/>
        </w:rPr>
      </w:pPr>
      <w:r w:rsidRPr="005970E9">
        <w:rPr>
          <w:rFonts w:eastAsia="Asap" w:cs="Asap"/>
          <w:color w:val="E36C0A" w:themeColor="accent6" w:themeShade="BF"/>
          <w:sz w:val="20"/>
          <w:szCs w:val="20"/>
        </w:rPr>
        <w:t>“Un estado en el cual todas las personas gozan, en forma oportuna y permanente, de acceso físico, económico y social a los alimentos que necesitan, en cantidad y calidad, para su adecuado consumo y utilización biológica, garantizándoles un estado de bienestar general que coadyuve al logro de su desarrollo”. Instituto de Nutrición Centroamérica y Panamá (INCAP), 1993.</w:t>
      </w:r>
      <w:r w:rsidRPr="005970E9">
        <w:rPr>
          <w:rFonts w:eastAsia="Century Schoolbook" w:cs="Century Schoolbook"/>
          <w:color w:val="000000"/>
          <w:sz w:val="20"/>
          <w:szCs w:val="20"/>
          <w:vertAlign w:val="superscript"/>
        </w:rPr>
        <w:footnoteReference w:id="43"/>
      </w:r>
    </w:p>
    <w:p w14:paraId="35A60B56" w14:textId="0A66F858" w:rsidR="00665481" w:rsidRPr="005970E9" w:rsidRDefault="00665481" w:rsidP="00665481">
      <w:pPr>
        <w:spacing w:before="120" w:after="120" w:line="276" w:lineRule="auto"/>
        <w:jc w:val="both"/>
        <w:rPr>
          <w:rFonts w:eastAsia="Century Schoolbook" w:cs="Century Schoolbook"/>
        </w:rPr>
      </w:pPr>
      <w:r w:rsidRPr="005970E9">
        <w:rPr>
          <w:rFonts w:eastAsia="Century Schoolbook" w:cs="Century Schoolbook"/>
        </w:rPr>
        <w:t>La Agenda 2030 para el desarrollo sostenible plantea poner fin al hambre. El ODS 2. Identifica que para lograrlo debe haber seguridad alimentaria, mejorar la nutrición de la población y hacer de la agricultura sostenible una realidad. En ese sentido, la economía de subsistencia no contribuye a hacerlo posible, ya que tiene menor productividad, la capacidad de intercambio en el mercado resulta precario, no cuentan con créditos y la capacitación especializada en cultivos es magra. Como en otro capítulo se ha planteado las mujeres tienen poco acceso a</w:t>
      </w:r>
      <w:r w:rsidR="00955BB7" w:rsidRPr="005970E9">
        <w:rPr>
          <w:rFonts w:eastAsia="Century Schoolbook" w:cs="Century Schoolbook"/>
        </w:rPr>
        <w:t xml:space="preserve"> la</w:t>
      </w:r>
      <w:r w:rsidRPr="005970E9">
        <w:rPr>
          <w:rFonts w:eastAsia="Century Schoolbook" w:cs="Century Schoolbook"/>
        </w:rPr>
        <w:t xml:space="preserve"> tierra y su producción está limitada por los bajos rendimientos. Las productoras igual que pasa con las mujeres trabajadoras deben hacer trabajo de producción agrícola y realizar toda la actividad de cuidado familiar, no pocas veces con grandes sacrificios para la subsistencia.</w:t>
      </w:r>
    </w:p>
    <w:p w14:paraId="3E0DC500" w14:textId="77777777" w:rsidR="00665481" w:rsidRPr="005970E9" w:rsidRDefault="00665481" w:rsidP="00665481">
      <w:pPr>
        <w:spacing w:before="120" w:after="120" w:line="276" w:lineRule="auto"/>
        <w:jc w:val="both"/>
        <w:rPr>
          <w:rFonts w:eastAsia="Century Schoolbook" w:cs="Century Schoolbook"/>
        </w:rPr>
      </w:pPr>
      <w:r w:rsidRPr="005970E9">
        <w:rPr>
          <w:rFonts w:eastAsia="Century Schoolbook" w:cs="Century Schoolbook"/>
        </w:rPr>
        <w:t xml:space="preserve">Las mujeres para el proceso reproductivo requieren de micronutrientes, hierro vitaminas, calcio, ácido fólico para su calidad de vida y de sus hijos e hijas, durante la </w:t>
      </w:r>
      <w:r w:rsidRPr="005970E9">
        <w:rPr>
          <w:rFonts w:eastAsia="Century Schoolbook" w:cs="Century Schoolbook"/>
        </w:rPr>
        <w:lastRenderedPageBreak/>
        <w:t xml:space="preserve">maternidad la nutrición intrauterina marca las características metabólicas que predispone al feto para el sobrepeso y enfermedades no transmisibles (FAO, 2018a). </w:t>
      </w:r>
    </w:p>
    <w:p w14:paraId="314B53EA" w14:textId="77777777" w:rsidR="00665481" w:rsidRPr="005970E9" w:rsidRDefault="00665481" w:rsidP="00665481">
      <w:pPr>
        <w:spacing w:before="120" w:after="120" w:line="276" w:lineRule="auto"/>
        <w:jc w:val="both"/>
        <w:rPr>
          <w:rFonts w:eastAsia="Century Schoolbook" w:cs="Century Schoolbook"/>
          <w:color w:val="000000"/>
        </w:rPr>
      </w:pPr>
      <w:r w:rsidRPr="005970E9">
        <w:rPr>
          <w:rFonts w:eastAsia="Century Schoolbook" w:cs="Century Schoolbook"/>
        </w:rPr>
        <w:t>El hambre cero también guarda relación con la meta de reducir la mortalidad materna, “</w:t>
      </w:r>
      <w:r w:rsidRPr="005970E9">
        <w:rPr>
          <w:rFonts w:eastAsia="Century Schoolbook" w:cs="Century Schoolbook"/>
          <w:color w:val="000000"/>
        </w:rPr>
        <w:t>una mujer con anemia presenta más del doble de probabilidades de fallecer durante el parto o en los días posteriores en comparación con las mujeres sin anemia (Daru, J. y otros, 2018)” (FAO, 2018a, p. 13)</w:t>
      </w:r>
      <w:r w:rsidRPr="005970E9">
        <w:rPr>
          <w:rFonts w:eastAsia="Century Schoolbook" w:cs="Century Schoolbook"/>
          <w:color w:val="000000"/>
          <w:vertAlign w:val="superscript"/>
        </w:rPr>
        <w:footnoteReference w:id="44"/>
      </w:r>
      <w:r w:rsidRPr="005970E9">
        <w:rPr>
          <w:rFonts w:eastAsia="Century Schoolbook" w:cs="Century Schoolbook"/>
          <w:color w:val="000000"/>
        </w:rPr>
        <w:t>.</w:t>
      </w:r>
    </w:p>
    <w:p w14:paraId="31DEF35A" w14:textId="6C30E952" w:rsidR="00665481" w:rsidRPr="005970E9" w:rsidRDefault="00955BB7" w:rsidP="00665481">
      <w:pPr>
        <w:spacing w:before="120" w:after="120" w:line="276" w:lineRule="auto"/>
        <w:jc w:val="both"/>
        <w:rPr>
          <w:rFonts w:eastAsia="Century Schoolbook" w:cs="Century Schoolbook"/>
        </w:rPr>
      </w:pPr>
      <w:r w:rsidRPr="005970E9">
        <w:rPr>
          <w:rFonts w:eastAsia="Century Schoolbook" w:cs="Century Schoolbook"/>
        </w:rPr>
        <w:t>El h</w:t>
      </w:r>
      <w:r w:rsidR="00665481" w:rsidRPr="005970E9">
        <w:rPr>
          <w:rFonts w:eastAsia="Century Schoolbook" w:cs="Century Schoolbook"/>
        </w:rPr>
        <w:t xml:space="preserve">ambre cero está relacionada con la pobreza. Actuar sobre ésta impacta la seguridad alimentaria. Urge la seguridad alimentaria para hacer posible el desarrollo integral -físico, psicológico, emocional- de las personas. Para el desarrollo de los niños, niñas y adolescentes la alimentación adecuada y la calidad es indispensable para su crecimiento, el aprendizaje y el aprovechamiento escolar; para evitar sobrepeso, obesidad y el bullying que le acompaña. </w:t>
      </w:r>
    </w:p>
    <w:p w14:paraId="512A9824" w14:textId="77777777" w:rsidR="00665481" w:rsidRPr="005970E9" w:rsidRDefault="00665481" w:rsidP="00665481">
      <w:pPr>
        <w:spacing w:before="120" w:after="120" w:line="276" w:lineRule="auto"/>
        <w:jc w:val="both"/>
        <w:rPr>
          <w:rFonts w:eastAsia="Century Schoolbook" w:cs="Century Schoolbook"/>
          <w:color w:val="000000"/>
        </w:rPr>
      </w:pPr>
      <w:r w:rsidRPr="005970E9">
        <w:rPr>
          <w:rFonts w:eastAsia="Century Schoolbook" w:cs="Century Schoolbook"/>
        </w:rPr>
        <w:t xml:space="preserve">En 2008 la proporción de niños/as menores de 5 años con peso inferior al adecuado en Panamá fue de 3.9%. Para el periodo 2014-16, “la proporción de la población por debajo del nivel mínimo de consumo de energía alimentaria (prevalencia de subalimentación) fue de 9.5%” (PNSANP, 2017, p. 11). La desnutrición es elevada en las comarcas indígenas cónsono con la situación de pobreza. </w:t>
      </w:r>
      <w:r w:rsidRPr="005970E9">
        <w:rPr>
          <w:rFonts w:eastAsia="Century Schoolbook" w:cs="Century Schoolbook"/>
          <w:color w:val="000000"/>
        </w:rPr>
        <w:t xml:space="preserve">El Monitoreo Nutricional en las Instalaciones de Salud del MINSA (MONINUT) en 2014 registró que la prevalencia de anemia en </w:t>
      </w:r>
      <w:r w:rsidRPr="005970E9">
        <w:rPr>
          <w:rFonts w:eastAsia="Century Schoolbook" w:cs="Century Schoolbook"/>
        </w:rPr>
        <w:t xml:space="preserve">menores de 5 años fue 33.8% y en embarazadas es el 23.2%. </w:t>
      </w:r>
      <w:r w:rsidRPr="005970E9">
        <w:rPr>
          <w:rFonts w:eastAsia="Century Schoolbook" w:cs="Century Schoolbook"/>
          <w:color w:val="000000"/>
        </w:rPr>
        <w:t xml:space="preserve">Para las mujeres embarazadas la prevalencia de anemia es mayor en Bocas del Toro (45.8%); Colón (45.1%); comarca Guna Yala (28.6%); y Darién (29.1%) </w:t>
      </w:r>
      <w:r w:rsidRPr="005970E9">
        <w:rPr>
          <w:rFonts w:eastAsia="Century Schoolbook" w:cs="Century Schoolbook"/>
        </w:rPr>
        <w:t>(PNSANP, 2017, p. 17 y ss.)</w:t>
      </w:r>
      <w:r w:rsidRPr="005970E9">
        <w:rPr>
          <w:rFonts w:eastAsia="Century Schoolbook" w:cs="Century Schoolbook"/>
          <w:color w:val="000000"/>
        </w:rPr>
        <w:t>.</w:t>
      </w:r>
    </w:p>
    <w:p w14:paraId="6A1B6BC0" w14:textId="1B140B11" w:rsidR="00665481" w:rsidRPr="005970E9" w:rsidRDefault="00665481" w:rsidP="00665481">
      <w:pPr>
        <w:spacing w:before="120" w:after="120" w:line="276" w:lineRule="auto"/>
        <w:jc w:val="both"/>
        <w:rPr>
          <w:rFonts w:eastAsia="Century Schoolbook" w:cs="Century Schoolbook"/>
          <w:strike/>
          <w:color w:val="000000"/>
          <w:highlight w:val="white"/>
        </w:rPr>
      </w:pPr>
      <w:r w:rsidRPr="005970E9">
        <w:rPr>
          <w:rFonts w:eastAsia="Century Schoolbook" w:cs="Century Schoolbook"/>
          <w:color w:val="000000"/>
        </w:rPr>
        <w:t xml:space="preserve">El MINSA mediante su sistema de vigilancia identificó que </w:t>
      </w:r>
      <w:r w:rsidRPr="005970E9">
        <w:rPr>
          <w:rFonts w:eastAsia="Century Schoolbook" w:cs="Century Schoolbook"/>
          <w:color w:val="333333"/>
        </w:rPr>
        <w:t>tres de cada diez niños tienen exceso de peso, es decir, que un 30% de la población entre cinco y nueve años de edad padecen de esta enfermedad</w:t>
      </w:r>
      <w:r w:rsidRPr="005970E9">
        <w:rPr>
          <w:rFonts w:eastAsia="Century Schoolbook" w:cs="Century Schoolbook"/>
          <w:color w:val="333333"/>
          <w:vertAlign w:val="superscript"/>
        </w:rPr>
        <w:footnoteReference w:id="45"/>
      </w:r>
      <w:r w:rsidRPr="005970E9">
        <w:rPr>
          <w:rFonts w:eastAsia="Century Schoolbook" w:cs="Century Schoolbook"/>
          <w:color w:val="333333"/>
        </w:rPr>
        <w:t>.</w:t>
      </w:r>
      <w:r w:rsidRPr="005970E9">
        <w:rPr>
          <w:rFonts w:eastAsia="Century Schoolbook" w:cs="Century Schoolbook"/>
          <w:color w:val="000000"/>
          <w:highlight w:val="white"/>
        </w:rPr>
        <w:t xml:space="preserve"> El Censo de Salud Preventiva identificó que un 46% por ciento de la población panameña, mayor de 40 años, tiene sobrepeso u obesidad. </w:t>
      </w:r>
    </w:p>
    <w:p w14:paraId="39019A50" w14:textId="37B301E8" w:rsidR="00665481" w:rsidRPr="005970E9" w:rsidRDefault="00665481" w:rsidP="00665481">
      <w:pPr>
        <w:spacing w:before="120" w:after="120" w:line="276" w:lineRule="auto"/>
        <w:jc w:val="both"/>
        <w:rPr>
          <w:rFonts w:eastAsia="Century Schoolbook" w:cs="Century Schoolbook"/>
          <w:color w:val="000000"/>
        </w:rPr>
      </w:pPr>
      <w:r w:rsidRPr="005970E9">
        <w:rPr>
          <w:rFonts w:eastAsia="Century Schoolbook" w:cs="Century Schoolbook"/>
          <w:color w:val="000000"/>
          <w:highlight w:val="white"/>
        </w:rPr>
        <w:t>En mujeres, se habla de obesidad abdominal cuando la cintura es mayor a 88 cm. En los hombres se habla de obesidad abdominal cuando la cintura es mayor de 102 cm.</w:t>
      </w:r>
      <w:r w:rsidR="0061298A" w:rsidRPr="005970E9">
        <w:rPr>
          <w:rStyle w:val="FootnoteReference"/>
          <w:rFonts w:eastAsia="Century Schoolbook" w:cs="Century Schoolbook"/>
          <w:color w:val="000000"/>
          <w:highlight w:val="white"/>
        </w:rPr>
        <w:footnoteReference w:id="46"/>
      </w:r>
      <w:r w:rsidRPr="005970E9">
        <w:rPr>
          <w:rFonts w:eastAsia="Century Schoolbook" w:cs="Century Schoolbook"/>
          <w:color w:val="000000"/>
          <w:highlight w:val="white"/>
        </w:rPr>
        <w:t xml:space="preserve"> El MINSA en su campaña de prevención de la obesidad sostiene que el riesgo de obesidad en una familia con este problema es de 27.5% para los hombres y 21.2% para las mujeres</w:t>
      </w:r>
      <w:r w:rsidRPr="005970E9">
        <w:rPr>
          <w:rFonts w:eastAsia="Century Schoolbook" w:cs="Century Schoolbook"/>
          <w:color w:val="000000"/>
          <w:highlight w:val="white"/>
          <w:vertAlign w:val="superscript"/>
        </w:rPr>
        <w:footnoteReference w:id="47"/>
      </w:r>
      <w:r w:rsidRPr="005970E9">
        <w:rPr>
          <w:rFonts w:eastAsia="Century Schoolbook" w:cs="Century Schoolbook"/>
          <w:color w:val="000000"/>
          <w:highlight w:val="white"/>
        </w:rPr>
        <w:t>. En 2013 hubo 8,728 muertes relacionadas con la obesidad.</w:t>
      </w:r>
      <w:r w:rsidRPr="005970E9">
        <w:rPr>
          <w:rFonts w:eastAsia="Century Schoolbook" w:cs="Century Schoolbook"/>
        </w:rPr>
        <w:t xml:space="preserve"> </w:t>
      </w:r>
      <w:r w:rsidRPr="005970E9">
        <w:rPr>
          <w:rFonts w:eastAsia="Century Schoolbook" w:cs="Century Schoolbook"/>
          <w:color w:val="000000"/>
        </w:rPr>
        <w:t>Voces autorizadas como Miguel Mayo, considera que las enfermedades crónicas no transmisibles (ENT), tienen en la obesidad un factor que influye directa o indirectamente en el 60% de las muertes en la población panameña</w:t>
      </w:r>
      <w:r w:rsidRPr="005970E9">
        <w:rPr>
          <w:rFonts w:eastAsia="Century Schoolbook" w:cs="Century Schoolbook"/>
          <w:color w:val="000000"/>
          <w:vertAlign w:val="superscript"/>
        </w:rPr>
        <w:footnoteReference w:id="48"/>
      </w:r>
      <w:r w:rsidRPr="005970E9">
        <w:rPr>
          <w:rFonts w:eastAsia="Century Schoolbook" w:cs="Century Schoolbook"/>
          <w:color w:val="000000"/>
        </w:rPr>
        <w:t>.</w:t>
      </w:r>
    </w:p>
    <w:p w14:paraId="0D89C8AE" w14:textId="77777777" w:rsidR="00665481" w:rsidRPr="005970E9" w:rsidRDefault="00665481" w:rsidP="00665481">
      <w:pPr>
        <w:pBdr>
          <w:top w:val="nil"/>
          <w:left w:val="nil"/>
          <w:bottom w:val="nil"/>
          <w:right w:val="nil"/>
          <w:between w:val="nil"/>
        </w:pBdr>
        <w:spacing w:before="120" w:after="120" w:line="276" w:lineRule="auto"/>
        <w:jc w:val="both"/>
        <w:rPr>
          <w:rFonts w:eastAsia="Century Schoolbook" w:cs="Century Schoolbook"/>
          <w:color w:val="000000"/>
        </w:rPr>
      </w:pPr>
      <w:r w:rsidRPr="005970E9">
        <w:rPr>
          <w:rFonts w:eastAsia="Century Schoolbook" w:cs="Century Schoolbook"/>
          <w:color w:val="000000"/>
        </w:rPr>
        <w:lastRenderedPageBreak/>
        <w:t xml:space="preserve">El Plan Nacional de Seguridad Alimentaria y Nutricional de Panamá 2017-2021 (PNSANP) entre las metas a alcanzar para lograr al 2021 el bienestar nutricional tiene contemplado lo siguiente: 1) Disminución en 5% la prevalencia nacional de la baja talla para la edad en niños de 6 a 59 meses. 2) Disminución en 5% la prevalencia nacional de la baja talla para la edad en niños de edad escolar de primer ingreso. Punto de partida (Censo 2014). 3) Comprobar el mantenimiento por debajo del 1% de la prevalencia nacional de emaciación (peso/talla) en niños menores de cinco años, especialmente en zonas rurales e indígenas, áreas de mayor vulnerabilidad social y económica en el país. 4) Dar seguimiento en áreas indígenas comarcales, a los programas de suplementación en mega dosis de Vitamina A, para la mujer puérpera y niños a partir del sexto mes de edad; y 5) Comprobación de la disminución en 7% de la prevalencia nacional de anemia. </w:t>
      </w:r>
    </w:p>
    <w:p w14:paraId="4617B90D" w14:textId="77777777" w:rsidR="00665481" w:rsidRPr="005970E9" w:rsidRDefault="00665481"/>
    <w:p w14:paraId="390918B0" w14:textId="2A355B04" w:rsidR="00B76B0C" w:rsidRPr="005970E9" w:rsidRDefault="003B5C05" w:rsidP="00165AC7">
      <w:pPr>
        <w:pStyle w:val="Heading2"/>
        <w:numPr>
          <w:ilvl w:val="1"/>
          <w:numId w:val="56"/>
        </w:numPr>
        <w:spacing w:after="240"/>
      </w:pPr>
      <w:bookmarkStart w:id="206" w:name="_Toc42159232"/>
      <w:bookmarkStart w:id="207" w:name="_Toc42549463"/>
      <w:r w:rsidRPr="005970E9">
        <w:t>Seguridad ciudadana y violencia contra las mujeres</w:t>
      </w:r>
      <w:bookmarkEnd w:id="206"/>
      <w:bookmarkEnd w:id="207"/>
      <w:r w:rsidRPr="005970E9">
        <w:t xml:space="preserve"> </w:t>
      </w:r>
    </w:p>
    <w:p w14:paraId="25638F20" w14:textId="7FD6F2F6" w:rsidR="009F7DD0" w:rsidRPr="005970E9" w:rsidRDefault="009F7DD0" w:rsidP="009F7DD0">
      <w:pPr>
        <w:spacing w:before="120" w:after="120" w:line="276" w:lineRule="auto"/>
        <w:jc w:val="both"/>
        <w:rPr>
          <w:rFonts w:cs="Tahoma"/>
          <w:bCs/>
        </w:rPr>
      </w:pPr>
      <w:bookmarkStart w:id="208" w:name="_Hlk42527338"/>
      <w:r w:rsidRPr="00793874">
        <w:rPr>
          <w:rFonts w:cs="Tahoma"/>
          <w:b/>
          <w:bCs/>
          <w:noProof/>
        </w:rPr>
        <mc:AlternateContent>
          <mc:Choice Requires="wps">
            <w:drawing>
              <wp:anchor distT="45720" distB="45720" distL="114300" distR="114300" simplePos="0" relativeHeight="251803689" behindDoc="0" locked="0" layoutInCell="1" allowOverlap="1" wp14:anchorId="3B820042" wp14:editId="0550AFF5">
                <wp:simplePos x="0" y="0"/>
                <wp:positionH relativeFrom="margin">
                  <wp:posOffset>3545840</wp:posOffset>
                </wp:positionH>
                <wp:positionV relativeFrom="paragraph">
                  <wp:posOffset>113665</wp:posOffset>
                </wp:positionV>
                <wp:extent cx="2149475" cy="3559175"/>
                <wp:effectExtent l="0" t="0" r="22225" b="22225"/>
                <wp:wrapSquare wrapText="bothSides"/>
                <wp:docPr id="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3559175"/>
                        </a:xfrm>
                        <a:prstGeom prst="rect">
                          <a:avLst/>
                        </a:prstGeom>
                        <a:solidFill>
                          <a:srgbClr val="FFFFFF"/>
                        </a:solidFill>
                        <a:ln w="9525">
                          <a:solidFill>
                            <a:srgbClr val="000000"/>
                          </a:solidFill>
                          <a:miter lim="800000"/>
                          <a:headEnd/>
                          <a:tailEnd/>
                        </a:ln>
                      </wps:spPr>
                      <wps:txbx>
                        <w:txbxContent>
                          <w:p w14:paraId="6A5ABC55" w14:textId="77777777" w:rsidR="00DC0EAB" w:rsidRPr="006D2E82" w:rsidRDefault="00DC0EAB" w:rsidP="009F7DD0">
                            <w:pPr>
                              <w:pStyle w:val="NormalWeb"/>
                              <w:shd w:val="clear" w:color="auto" w:fill="CCC0D9" w:themeFill="accent4" w:themeFillTint="66"/>
                              <w:jc w:val="both"/>
                              <w:rPr>
                                <w:rFonts w:ascii="Century Schoolbook" w:hAnsi="Century Schoolbook" w:cstheme="minorHAnsi"/>
                                <w:color w:val="333537"/>
                                <w:sz w:val="20"/>
                                <w:szCs w:val="20"/>
                              </w:rPr>
                            </w:pPr>
                            <w:r w:rsidRPr="006D2E82">
                              <w:rPr>
                                <w:rFonts w:ascii="Century Schoolbook" w:hAnsi="Century Schoolbook" w:cstheme="minorHAnsi"/>
                                <w:color w:val="333537"/>
                                <w:sz w:val="20"/>
                                <w:szCs w:val="20"/>
                              </w:rPr>
                              <w:t>Según datos del observatorio de igualdad de género de América Latina y el Caribe de la CEPAL, en la mayoría de los países de América Latina dos (2) de cada tres (3) femicidios se producen en el contexto de la pareja, con excepción de los países del triángulo norte de Centroamérica Honduras, El Salvador y Guatemala que esta proporción es menor. Los países con mayor incidencia de feminicidios íntimos en América Latina en el 2018 son: la República Dominicana (1.5 casos por cada 100.000 mujeres), Uruguay (1.4) y Puerto Rico (1.2). En el Caribe, las mayores tasas al año 2018 se registraron en Barbados (3.4 por cada 100.000 mujeres), Belice (2.6) y Suriname (1.8).</w:t>
                            </w:r>
                          </w:p>
                          <w:p w14:paraId="35F7EC03" w14:textId="77777777" w:rsidR="00DC0EAB" w:rsidRDefault="00DC0EAB" w:rsidP="009F7DD0">
                            <w:pPr>
                              <w:pStyle w:val="NormalWeb"/>
                              <w:shd w:val="clear" w:color="auto" w:fill="FFFFFF"/>
                              <w:rPr>
                                <w:rFonts w:ascii="Century Schoolbook" w:hAnsi="Century Schoolbook" w:cstheme="minorHAnsi"/>
                                <w:color w:val="333537"/>
                                <w:sz w:val="22"/>
                                <w:szCs w:val="22"/>
                              </w:rPr>
                            </w:pPr>
                          </w:p>
                          <w:p w14:paraId="0325EE7C" w14:textId="77777777" w:rsidR="00DC0EAB" w:rsidRDefault="00DC0EAB" w:rsidP="009F7DD0">
                            <w:pPr>
                              <w:pStyle w:val="NormalWeb"/>
                              <w:shd w:val="clear" w:color="auto" w:fill="FFFFFF"/>
                              <w:rPr>
                                <w:rFonts w:ascii="Century Schoolbook" w:hAnsi="Century Schoolbook" w:cstheme="minorHAnsi"/>
                                <w:color w:val="333537"/>
                                <w:sz w:val="22"/>
                                <w:szCs w:val="22"/>
                              </w:rPr>
                            </w:pPr>
                          </w:p>
                          <w:p w14:paraId="613AB1C8" w14:textId="77777777" w:rsidR="00DC0EAB" w:rsidRPr="0016687E" w:rsidRDefault="00DC0EAB" w:rsidP="009F7DD0">
                            <w:pPr>
                              <w:pStyle w:val="NormalWeb"/>
                              <w:shd w:val="clear" w:color="auto" w:fill="FFFFFF"/>
                              <w:rPr>
                                <w:rFonts w:ascii="Century Schoolbook" w:hAnsi="Century Schoolbook" w:cstheme="minorHAnsi"/>
                                <w:color w:val="333537"/>
                                <w:sz w:val="22"/>
                                <w:szCs w:val="22"/>
                              </w:rPr>
                            </w:pPr>
                          </w:p>
                          <w:p w14:paraId="23C34257" w14:textId="77777777" w:rsidR="00DC0EAB" w:rsidRPr="0016687E" w:rsidRDefault="00DC0EAB" w:rsidP="009F7D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20042" id="Cuadro de texto 2" o:spid="_x0000_s1032" type="#_x0000_t202" style="position:absolute;left:0;text-align:left;margin-left:279.2pt;margin-top:8.95pt;width:169.25pt;height:280.25pt;z-index:2518036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">
                <v:textbox>
                  <w:txbxContent>
                    <w:p w14:paraId="6A5ABC55" w14:textId="77777777" w:rsidR="00DC0EAB" w:rsidRPr="006D2E82" w:rsidRDefault="00DC0EAB" w:rsidP="009F7DD0">
                      <w:pPr>
                        <w:pStyle w:val="NormalWeb"/>
                        <w:shd w:val="clear" w:color="auto" w:fill="CCC0D9" w:themeFill="accent4" w:themeFillTint="66"/>
                        <w:jc w:val="both"/>
                        <w:rPr>
                          <w:rFonts w:ascii="Century Schoolbook" w:hAnsi="Century Schoolbook" w:cstheme="minorHAnsi"/>
                          <w:color w:val="333537"/>
                          <w:sz w:val="20"/>
                          <w:szCs w:val="20"/>
                        </w:rPr>
                      </w:pPr>
                      <w:r w:rsidRPr="006D2E82">
                        <w:rPr>
                          <w:rFonts w:ascii="Century Schoolbook" w:hAnsi="Century Schoolbook" w:cstheme="minorHAnsi"/>
                          <w:color w:val="333537"/>
                          <w:sz w:val="20"/>
                          <w:szCs w:val="20"/>
                        </w:rPr>
                        <w:t>Según datos del observatorio de igualdad de género de América Latina y el Caribe de la CEPAL, en la mayoría de los países de América Latina dos (2) de cada tres (3) femicidios se producen en el contexto de la pareja, con excepción de los países del triángulo norte de Centroamérica Honduras, El Salvador y Guatemala que esta proporción es menor. Los países con mayor incidencia de feminicidios íntimos en América Latina en el 2018 son: la República Dominicana (1.5 casos por cada 100.000 mujeres), Uruguay (1.4) y Puerto Rico (1.2). En el Caribe, las mayores tasas al año 2018 se registraron en Barbados (3.4 por cada 100.000 mujeres), Belice (2.6) y Suriname (1.8).</w:t>
                      </w:r>
                    </w:p>
                    <w:p w14:paraId="35F7EC03" w14:textId="77777777" w:rsidR="00DC0EAB" w:rsidRDefault="00DC0EAB" w:rsidP="009F7DD0">
                      <w:pPr>
                        <w:pStyle w:val="NormalWeb"/>
                        <w:shd w:val="clear" w:color="auto" w:fill="FFFFFF"/>
                        <w:rPr>
                          <w:rFonts w:ascii="Century Schoolbook" w:hAnsi="Century Schoolbook" w:cstheme="minorHAnsi"/>
                          <w:color w:val="333537"/>
                          <w:sz w:val="22"/>
                          <w:szCs w:val="22"/>
                        </w:rPr>
                      </w:pPr>
                    </w:p>
                    <w:p w14:paraId="0325EE7C" w14:textId="77777777" w:rsidR="00DC0EAB" w:rsidRDefault="00DC0EAB" w:rsidP="009F7DD0">
                      <w:pPr>
                        <w:pStyle w:val="NormalWeb"/>
                        <w:shd w:val="clear" w:color="auto" w:fill="FFFFFF"/>
                        <w:rPr>
                          <w:rFonts w:ascii="Century Schoolbook" w:hAnsi="Century Schoolbook" w:cstheme="minorHAnsi"/>
                          <w:color w:val="333537"/>
                          <w:sz w:val="22"/>
                          <w:szCs w:val="22"/>
                        </w:rPr>
                      </w:pPr>
                    </w:p>
                    <w:p w14:paraId="613AB1C8" w14:textId="77777777" w:rsidR="00DC0EAB" w:rsidRPr="0016687E" w:rsidRDefault="00DC0EAB" w:rsidP="009F7DD0">
                      <w:pPr>
                        <w:pStyle w:val="NormalWeb"/>
                        <w:shd w:val="clear" w:color="auto" w:fill="FFFFFF"/>
                        <w:rPr>
                          <w:rFonts w:ascii="Century Schoolbook" w:hAnsi="Century Schoolbook" w:cstheme="minorHAnsi"/>
                          <w:color w:val="333537"/>
                          <w:sz w:val="22"/>
                          <w:szCs w:val="22"/>
                        </w:rPr>
                      </w:pPr>
                    </w:p>
                    <w:p w14:paraId="23C34257" w14:textId="77777777" w:rsidR="00DC0EAB" w:rsidRPr="0016687E" w:rsidRDefault="00DC0EAB" w:rsidP="009F7DD0"/>
                  </w:txbxContent>
                </v:textbox>
                <w10:wrap type="square" anchorx="margin"/>
              </v:shape>
            </w:pict>
          </mc:Fallback>
        </mc:AlternateContent>
      </w:r>
      <w:r w:rsidRPr="00793874">
        <w:rPr>
          <w:rFonts w:cs="Tahoma"/>
          <w:b/>
          <w:bCs/>
          <w:noProof/>
        </w:rPr>
        <mc:AlternateContent>
          <mc:Choice Requires="wps">
            <w:drawing>
              <wp:anchor distT="45720" distB="45720" distL="114300" distR="114300" simplePos="0" relativeHeight="251799593" behindDoc="0" locked="0" layoutInCell="1" allowOverlap="1" wp14:anchorId="6229432B" wp14:editId="6402BA10">
                <wp:simplePos x="0" y="0"/>
                <wp:positionH relativeFrom="margin">
                  <wp:posOffset>3545840</wp:posOffset>
                </wp:positionH>
                <wp:positionV relativeFrom="paragraph">
                  <wp:posOffset>113665</wp:posOffset>
                </wp:positionV>
                <wp:extent cx="2149475" cy="3559175"/>
                <wp:effectExtent l="0" t="0" r="22225" b="22225"/>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3559175"/>
                        </a:xfrm>
                        <a:prstGeom prst="rect">
                          <a:avLst/>
                        </a:prstGeom>
                        <a:solidFill>
                          <a:srgbClr val="FFFFFF"/>
                        </a:solidFill>
                        <a:ln w="9525">
                          <a:solidFill>
                            <a:srgbClr val="000000"/>
                          </a:solidFill>
                          <a:miter lim="800000"/>
                          <a:headEnd/>
                          <a:tailEnd/>
                        </a:ln>
                      </wps:spPr>
                      <wps:txbx>
                        <w:txbxContent>
                          <w:p w14:paraId="27C68FC0" w14:textId="77777777" w:rsidR="00DC0EAB" w:rsidRPr="006D2E82" w:rsidRDefault="00DC0EAB" w:rsidP="009F7DD0">
                            <w:pPr>
                              <w:pStyle w:val="NormalWeb"/>
                              <w:shd w:val="clear" w:color="auto" w:fill="CCC0D9" w:themeFill="accent4" w:themeFillTint="66"/>
                              <w:jc w:val="both"/>
                              <w:rPr>
                                <w:rFonts w:ascii="Century Schoolbook" w:hAnsi="Century Schoolbook" w:cstheme="minorHAnsi"/>
                                <w:color w:val="333537"/>
                                <w:sz w:val="20"/>
                                <w:szCs w:val="20"/>
                              </w:rPr>
                            </w:pPr>
                            <w:r w:rsidRPr="006D2E82">
                              <w:rPr>
                                <w:rFonts w:ascii="Century Schoolbook" w:hAnsi="Century Schoolbook" w:cstheme="minorHAnsi"/>
                                <w:color w:val="333537"/>
                                <w:sz w:val="20"/>
                                <w:szCs w:val="20"/>
                              </w:rPr>
                              <w:t>Según datos del observatorio de igualdad de género de América Latina y el Caribe de la CEPAL, en la mayoría de los países de América Latina dos (2) de cada tres (3) femicidios se producen en el contexto de la pareja, con excepción de los países del triángulo norte de Centroamérica Honduras, El Salvador y Guatemala que esta proporción es menor. Los países con mayor incidencia de feminicidios íntimos en América Latina en el 2018 son: la República Dominicana (1.5 casos por cada 100.000 mujeres), Uruguay (1.4) y Puerto Rico (1.2). En el Caribe, las mayores tasas al año 2018 se registraron en Barbados (3.4 por cada 100.000 mujeres), Belice (2.6) y Suriname (1.8).</w:t>
                            </w:r>
                          </w:p>
                          <w:p w14:paraId="07857C7D" w14:textId="77777777" w:rsidR="00DC0EAB" w:rsidRDefault="00DC0EAB" w:rsidP="009F7DD0">
                            <w:pPr>
                              <w:pStyle w:val="NormalWeb"/>
                              <w:shd w:val="clear" w:color="auto" w:fill="FFFFFF"/>
                              <w:rPr>
                                <w:rFonts w:ascii="Century Schoolbook" w:hAnsi="Century Schoolbook" w:cstheme="minorHAnsi"/>
                                <w:color w:val="333537"/>
                                <w:sz w:val="22"/>
                                <w:szCs w:val="22"/>
                              </w:rPr>
                            </w:pPr>
                          </w:p>
                          <w:p w14:paraId="270582AE" w14:textId="77777777" w:rsidR="00DC0EAB" w:rsidRDefault="00DC0EAB" w:rsidP="009F7DD0">
                            <w:pPr>
                              <w:pStyle w:val="NormalWeb"/>
                              <w:shd w:val="clear" w:color="auto" w:fill="FFFFFF"/>
                              <w:rPr>
                                <w:rFonts w:ascii="Century Schoolbook" w:hAnsi="Century Schoolbook" w:cstheme="minorHAnsi"/>
                                <w:color w:val="333537"/>
                                <w:sz w:val="22"/>
                                <w:szCs w:val="22"/>
                              </w:rPr>
                            </w:pPr>
                          </w:p>
                          <w:p w14:paraId="19731AB1" w14:textId="77777777" w:rsidR="00DC0EAB" w:rsidRPr="0016687E" w:rsidRDefault="00DC0EAB" w:rsidP="009F7DD0">
                            <w:pPr>
                              <w:pStyle w:val="NormalWeb"/>
                              <w:shd w:val="clear" w:color="auto" w:fill="FFFFFF"/>
                              <w:rPr>
                                <w:rFonts w:ascii="Century Schoolbook" w:hAnsi="Century Schoolbook" w:cstheme="minorHAnsi"/>
                                <w:color w:val="333537"/>
                                <w:sz w:val="22"/>
                                <w:szCs w:val="22"/>
                              </w:rPr>
                            </w:pPr>
                          </w:p>
                          <w:p w14:paraId="6FD3A4BB" w14:textId="77777777" w:rsidR="00DC0EAB" w:rsidRPr="0016687E" w:rsidRDefault="00DC0EAB" w:rsidP="009F7D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432B" id="_x0000_s1033" type="#_x0000_t202" style="position:absolute;left:0;text-align:left;margin-left:279.2pt;margin-top:8.95pt;width:169.25pt;height:280.25pt;z-index:2517995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">
                <v:textbox>
                  <w:txbxContent>
                    <w:p w14:paraId="27C68FC0" w14:textId="77777777" w:rsidR="00DC0EAB" w:rsidRPr="006D2E82" w:rsidRDefault="00DC0EAB" w:rsidP="009F7DD0">
                      <w:pPr>
                        <w:pStyle w:val="NormalWeb"/>
                        <w:shd w:val="clear" w:color="auto" w:fill="CCC0D9" w:themeFill="accent4" w:themeFillTint="66"/>
                        <w:jc w:val="both"/>
                        <w:rPr>
                          <w:rFonts w:ascii="Century Schoolbook" w:hAnsi="Century Schoolbook" w:cstheme="minorHAnsi"/>
                          <w:color w:val="333537"/>
                          <w:sz w:val="20"/>
                          <w:szCs w:val="20"/>
                        </w:rPr>
                      </w:pPr>
                      <w:r w:rsidRPr="006D2E82">
                        <w:rPr>
                          <w:rFonts w:ascii="Century Schoolbook" w:hAnsi="Century Schoolbook" w:cstheme="minorHAnsi"/>
                          <w:color w:val="333537"/>
                          <w:sz w:val="20"/>
                          <w:szCs w:val="20"/>
                        </w:rPr>
                        <w:t>Según datos del observatorio de igualdad de género de América Latina y el Caribe de la CEPAL, en la mayoría de los países de América Latina dos (2) de cada tres (3) femicidios se producen en el contexto de la pareja, con excepción de los países del triángulo norte de Centroamérica Honduras, El Salvador y Guatemala que esta proporción es menor. Los países con mayor incidencia de feminicidios íntimos en América Latina en el 2018 son: la República Dominicana (1.5 casos por cada 100.000 mujeres), Uruguay (1.4) y Puerto Rico (1.2). En el Caribe, las mayores tasas al año 2018 se registraron en Barbados (3.4 por cada 100.000 mujeres), Belice (2.6) y Suriname (1.8).</w:t>
                      </w:r>
                    </w:p>
                    <w:p w14:paraId="07857C7D" w14:textId="77777777" w:rsidR="00DC0EAB" w:rsidRDefault="00DC0EAB" w:rsidP="009F7DD0">
                      <w:pPr>
                        <w:pStyle w:val="NormalWeb"/>
                        <w:shd w:val="clear" w:color="auto" w:fill="FFFFFF"/>
                        <w:rPr>
                          <w:rFonts w:ascii="Century Schoolbook" w:hAnsi="Century Schoolbook" w:cstheme="minorHAnsi"/>
                          <w:color w:val="333537"/>
                          <w:sz w:val="22"/>
                          <w:szCs w:val="22"/>
                        </w:rPr>
                      </w:pPr>
                    </w:p>
                    <w:p w14:paraId="270582AE" w14:textId="77777777" w:rsidR="00DC0EAB" w:rsidRDefault="00DC0EAB" w:rsidP="009F7DD0">
                      <w:pPr>
                        <w:pStyle w:val="NormalWeb"/>
                        <w:shd w:val="clear" w:color="auto" w:fill="FFFFFF"/>
                        <w:rPr>
                          <w:rFonts w:ascii="Century Schoolbook" w:hAnsi="Century Schoolbook" w:cstheme="minorHAnsi"/>
                          <w:color w:val="333537"/>
                          <w:sz w:val="22"/>
                          <w:szCs w:val="22"/>
                        </w:rPr>
                      </w:pPr>
                    </w:p>
                    <w:p w14:paraId="19731AB1" w14:textId="77777777" w:rsidR="00DC0EAB" w:rsidRPr="0016687E" w:rsidRDefault="00DC0EAB" w:rsidP="009F7DD0">
                      <w:pPr>
                        <w:pStyle w:val="NormalWeb"/>
                        <w:shd w:val="clear" w:color="auto" w:fill="FFFFFF"/>
                        <w:rPr>
                          <w:rFonts w:ascii="Century Schoolbook" w:hAnsi="Century Schoolbook" w:cstheme="minorHAnsi"/>
                          <w:color w:val="333537"/>
                          <w:sz w:val="22"/>
                          <w:szCs w:val="22"/>
                        </w:rPr>
                      </w:pPr>
                    </w:p>
                    <w:p w14:paraId="6FD3A4BB" w14:textId="77777777" w:rsidR="00DC0EAB" w:rsidRPr="0016687E" w:rsidRDefault="00DC0EAB" w:rsidP="009F7DD0"/>
                  </w:txbxContent>
                </v:textbox>
                <w10:wrap type="square" anchorx="margin"/>
              </v:shape>
            </w:pict>
          </mc:Fallback>
        </mc:AlternateContent>
      </w:r>
      <w:r w:rsidRPr="005970E9">
        <w:rPr>
          <w:rFonts w:cs="Tahoma"/>
          <w:bCs/>
        </w:rPr>
        <w:t>En Panamá el concepto de violencia de - género se institucionaliza con la Ley Nº 4 de 29 de enero de 1999, por la cual se instituye la Igualdad de Oportunidades en Panamá, en el Título I, Capítulo I, Artículo 3, define Violencia de Género como las “formas que perpetúan la dicotomía entre las mujeres y los hombres y que aseguran la inferioridad de un género sobre otro. Tales formas violan derechos humanos como el derecho a la vida, a la libertad, a la integridad física, mental y moral, así como la seguridad de la persona y su dignidad. Esta forma de discriminación inhibe seriamente las habilidades de las mujeres para disfrutar de los derechos y libertades sobre la base de la igualdad con los hombres”. (Ley 4)</w:t>
      </w:r>
    </w:p>
    <w:p w14:paraId="77767565" w14:textId="77777777" w:rsidR="009F7DD0" w:rsidRPr="005970E9" w:rsidRDefault="009F7DD0" w:rsidP="009F7DD0">
      <w:pPr>
        <w:spacing w:before="120" w:after="120" w:line="276" w:lineRule="auto"/>
        <w:jc w:val="both"/>
        <w:rPr>
          <w:rFonts w:cs="Tahoma"/>
          <w:bCs/>
        </w:rPr>
      </w:pPr>
      <w:r w:rsidRPr="005970E9">
        <w:rPr>
          <w:rFonts w:cs="Tahoma"/>
          <w:bCs/>
        </w:rPr>
        <w:t>Posteriormente el 10 de julio de 2001 se aprueba la ley Nº 38 que reforma y adiciona artículos al Código Penal y Judicial, sobre Violencia Doméstica y Maltrato al Niño, Niña, y Adolescente, se derogan artículos de la Ley Nº 27 de 1995 y dicta otras disposiciones que tipifica la Violencia Doméstica y el Maltrato a Niños, Niñas y Adolescentes.  La ley Nº 14 de 18 de mayo de 2007 adopta el Código Penal e incluye las modificaciones referentes al tema de Violencia Doméstica y los tipos contemplados en la Ley Nº 38.</w:t>
      </w:r>
    </w:p>
    <w:p w14:paraId="16829B6E" w14:textId="77777777" w:rsidR="009F7DD0" w:rsidRPr="005970E9" w:rsidRDefault="009F7DD0" w:rsidP="009F7DD0">
      <w:pPr>
        <w:spacing w:before="120" w:after="120" w:line="276" w:lineRule="auto"/>
        <w:jc w:val="both"/>
        <w:rPr>
          <w:rFonts w:cs="Tahoma"/>
          <w:bCs/>
        </w:rPr>
      </w:pPr>
      <w:r w:rsidRPr="005970E9">
        <w:rPr>
          <w:rFonts w:cs="Tahoma"/>
          <w:bCs/>
        </w:rPr>
        <w:t xml:space="preserve">El Estado panameño se propone con la Ley Nº 38 erradicar la violencia doméstica porque “…viola los derechos humanos fundamentales y menoscaba las posibilidades de ejercer el derecho a tener una vida plena”. Las cifras, aunque insuficientes, muestran que son </w:t>
      </w:r>
      <w:r w:rsidRPr="005970E9">
        <w:rPr>
          <w:rFonts w:cs="Tahoma"/>
          <w:bCs/>
        </w:rPr>
        <w:lastRenderedPageBreak/>
        <w:t>las mujeres las que más sufren este tipo de violencia, al igual que los niños, niñas, las personas adultas mayores y las personas con discapacidad.</w:t>
      </w:r>
    </w:p>
    <w:p w14:paraId="2B9188A1" w14:textId="77777777" w:rsidR="009F7DD0" w:rsidRPr="005970E9" w:rsidRDefault="009F7DD0" w:rsidP="009F7DD0">
      <w:pPr>
        <w:spacing w:before="120" w:after="120" w:line="276" w:lineRule="auto"/>
        <w:jc w:val="both"/>
        <w:rPr>
          <w:rFonts w:cs="Tahoma"/>
          <w:bCs/>
        </w:rPr>
      </w:pPr>
      <w:r w:rsidRPr="005970E9">
        <w:rPr>
          <w:rFonts w:cs="Tahoma"/>
          <w:bCs/>
        </w:rPr>
        <w:t>La Ley 38 se enmarca en el cumplimiento de los objetivos del Plan Nacional contra la Violencia Doméstica y las Políticas de Convivencia Ciudadana. Este Plan en el Eje de atención planteó, la necesidad de implementar procedimientos técnicos y conceptos legales para que la aplicación de la Ley 38 lograra una atención eficaz, integral oportuna, cálida y equitativa a las víctimas; definir las funciones y responsabilidades de las autoridades administrativas, policiales y judiciales; y desarrollar métodos y estrategias para que las víctimas de la violencia doméstica no sean re-victimizadas por las personas que atienden estos casos.</w:t>
      </w:r>
    </w:p>
    <w:p w14:paraId="09334EC6" w14:textId="77777777" w:rsidR="009F7DD0" w:rsidRPr="005970E9" w:rsidRDefault="009F7DD0" w:rsidP="009F7DD0">
      <w:pPr>
        <w:spacing w:before="120" w:after="120" w:line="276" w:lineRule="auto"/>
        <w:jc w:val="both"/>
        <w:rPr>
          <w:rFonts w:cs="Tahoma"/>
          <w:bCs/>
        </w:rPr>
      </w:pPr>
      <w:r w:rsidRPr="005970E9">
        <w:rPr>
          <w:rFonts w:cs="Tahoma"/>
          <w:bCs/>
        </w:rPr>
        <w:t>La Ley 38 define los términos de agresor, agresora, maltrato, víctima sobreviviente, violencia, violencia doméstica, violencia física, violencia patrimonial, violencia sexual, y violencia psicológica, entre otros conceptos, sin embargo, no define, ni contempla la violencia social o violencia pública.</w:t>
      </w:r>
    </w:p>
    <w:p w14:paraId="1061C3F2" w14:textId="77777777" w:rsidR="009F7DD0" w:rsidRPr="005970E9" w:rsidRDefault="009F7DD0" w:rsidP="009F7DD0">
      <w:pPr>
        <w:spacing w:before="120" w:after="120" w:line="276" w:lineRule="auto"/>
        <w:jc w:val="both"/>
        <w:rPr>
          <w:rFonts w:cs="Tahoma"/>
        </w:rPr>
      </w:pPr>
      <w:r w:rsidRPr="005970E9">
        <w:rPr>
          <w:rFonts w:cs="Tahoma"/>
        </w:rPr>
        <w:t>La Ley 38 define Violencia Doméstica como: “</w:t>
      </w:r>
      <w:r w:rsidRPr="005970E9">
        <w:t>Patrón de conducta</w:t>
      </w:r>
      <w:r w:rsidRPr="005970E9">
        <w:rPr>
          <w:rFonts w:cs="Tahoma"/>
        </w:rPr>
        <w:t xml:space="preserve"> en la cual se emplea la fuerza física o la violencia sexual o sicológica, la intimidación o la persuasión contra una persona por parte de su cónyuge, ex cónyuge, familiares o parientes con quien cohabita o haya cohabitado, viva o haya vivido bajo el mismo techo o sostenga o haya sostenido una relación legalmente reconocida, o con quien sostiene una relación consensual, o con una persona con quien se haya procreado un hijo o hija como mínimo, para causarle daño físico a su persona o a la persona de otro para causarle daño emocional”.  </w:t>
      </w:r>
      <w:r w:rsidRPr="005970E9">
        <w:t>Esta definición limitaba el accionar de las autoridades judiciales, debido al patrón de conducta que exigía la ocurrencia de actos continuos contra la víctima.</w:t>
      </w:r>
      <w:r w:rsidRPr="005970E9">
        <w:rPr>
          <w:rFonts w:cs="Tahoma"/>
        </w:rPr>
        <w:t xml:space="preserve">     </w:t>
      </w:r>
    </w:p>
    <w:p w14:paraId="11A6CF5E" w14:textId="77777777" w:rsidR="009F7DD0" w:rsidRPr="005970E9" w:rsidRDefault="009F7DD0" w:rsidP="009F7DD0">
      <w:pPr>
        <w:spacing w:before="120" w:after="120" w:line="276" w:lineRule="auto"/>
        <w:jc w:val="both"/>
        <w:rPr>
          <w:rFonts w:cs="Tahoma"/>
          <w:bCs/>
        </w:rPr>
      </w:pPr>
      <w:r w:rsidRPr="005970E9">
        <w:rPr>
          <w:rFonts w:cs="Tahoma"/>
          <w:bCs/>
        </w:rPr>
        <w:t>Teniendo en cuenta como se ha definido el concepto de Violencia de Género en Panamá en  la Ley 4 de 1999, como todas las formas de violencia contra la mujer y que la Ley 38 de 2001 define el término de Violencia Doméstica, como las formas de violencia entre las personas que cohabitan dentro del mismo hogar o que tienen o han tenido alguna relación de pareja,  es que en el presente trabajo en algunos momentos se hace referencia a la violencia de género, como por ejemplo, en la tabla general sobre los distintos tipos de violencia de género  y en otros se refiere a la violencia doméstica cuando ocurre dentro del mismo hogar o entre personas que cohabitan. La ruta crítica y las recomendaciones se plantean para los casos de Violencia doméstica contra las mujeres, los niños, las niñas y los adolescentes.</w:t>
      </w:r>
    </w:p>
    <w:p w14:paraId="476E0252" w14:textId="77777777" w:rsidR="009F7DD0" w:rsidRPr="005970E9" w:rsidRDefault="009F7DD0" w:rsidP="009F7DD0">
      <w:pPr>
        <w:spacing w:before="120" w:after="120" w:line="276" w:lineRule="auto"/>
        <w:jc w:val="both"/>
        <w:rPr>
          <w:rFonts w:cs="Tahoma"/>
          <w:b/>
          <w:color w:val="000000"/>
          <w:lang w:eastAsia="en-US"/>
        </w:rPr>
      </w:pPr>
      <w:r w:rsidRPr="005970E9">
        <w:rPr>
          <w:rFonts w:cs="Tahoma"/>
          <w:bCs/>
        </w:rPr>
        <w:t xml:space="preserve">La violencia contra las mujeres es un grave problema que existe en el país la cual es definida por  la Ley </w:t>
      </w:r>
      <w:r w:rsidRPr="005970E9">
        <w:rPr>
          <w:rFonts w:cs="Tahoma"/>
          <w:color w:val="000000"/>
          <w:lang w:eastAsia="en-US"/>
        </w:rPr>
        <w:t xml:space="preserve"> 82 del 24 de octubre de 2013, como </w:t>
      </w:r>
      <w:r w:rsidRPr="005970E9">
        <w:rPr>
          <w:rFonts w:cs="Tahoma"/>
          <w:b/>
          <w:i/>
          <w:iCs/>
          <w:color w:val="000000"/>
          <w:lang w:eastAsia="en-US"/>
        </w:rPr>
        <w:t>“</w:t>
      </w:r>
      <w:r w:rsidRPr="005970E9">
        <w:rPr>
          <w:rFonts w:cs="Tahoma"/>
          <w:bCs/>
          <w:i/>
          <w:iCs/>
          <w:color w:val="000000"/>
          <w:lang w:eastAsia="en-US"/>
        </w:rPr>
        <w:t>cualquier acción, omisión o práctica discriminatoria basada en la pertenencia al sexo femenino en el ámbito público o privado, que ponga a las mujeres en desventaja con respecto a los hombres, les cause muerte, daño o sufrimiento físico, sexual, psicológico, económico o patrimonial, así como las amenazas de tales actos, la coacción o la privación arbitraria de la libertad, que incluye las perpetradas desde el Estado o por sus agentes”</w:t>
      </w:r>
      <w:r w:rsidRPr="005970E9">
        <w:rPr>
          <w:rFonts w:cs="Tahoma"/>
          <w:b/>
          <w:color w:val="000000"/>
          <w:lang w:eastAsia="en-US"/>
        </w:rPr>
        <w:t>.</w:t>
      </w:r>
    </w:p>
    <w:p w14:paraId="625BCDF7" w14:textId="77777777" w:rsidR="009F7DD0" w:rsidRPr="005970E9" w:rsidRDefault="009F7DD0" w:rsidP="009F7DD0">
      <w:pPr>
        <w:pStyle w:val="Heading3"/>
        <w:numPr>
          <w:ilvl w:val="2"/>
          <w:numId w:val="18"/>
        </w:numPr>
        <w:rPr>
          <w:lang w:eastAsia="en-US"/>
        </w:rPr>
      </w:pPr>
      <w:bookmarkStart w:id="209" w:name="_Toc42159233"/>
      <w:bookmarkStart w:id="210" w:name="_Toc42293367"/>
      <w:bookmarkStart w:id="211" w:name="_Toc42549464"/>
      <w:r w:rsidRPr="005970E9">
        <w:rPr>
          <w:lang w:eastAsia="en-US"/>
        </w:rPr>
        <w:lastRenderedPageBreak/>
        <w:t>Femicidios</w:t>
      </w:r>
      <w:bookmarkEnd w:id="209"/>
      <w:bookmarkEnd w:id="210"/>
      <w:bookmarkEnd w:id="211"/>
    </w:p>
    <w:p w14:paraId="76F97630" w14:textId="77777777" w:rsidR="009F7DD0" w:rsidRPr="005970E9" w:rsidRDefault="009F7DD0" w:rsidP="009F7DD0">
      <w:pPr>
        <w:spacing w:before="120" w:after="120" w:line="276" w:lineRule="auto"/>
        <w:jc w:val="both"/>
        <w:rPr>
          <w:rFonts w:cs="Tahoma"/>
          <w:b/>
          <w:color w:val="000000"/>
          <w:lang w:eastAsia="en-US"/>
        </w:rPr>
      </w:pPr>
      <w:r w:rsidRPr="005970E9">
        <w:rPr>
          <w:rFonts w:cs="Tahoma"/>
          <w:bCs/>
          <w:color w:val="000000"/>
          <w:lang w:eastAsia="en-US"/>
        </w:rPr>
        <w:t>El femicidio es el asesinato de mujeres como resultado extremo de la violencia de género que ocurre tanto en el ámbito privado como en el espacio público.</w:t>
      </w:r>
      <w:r w:rsidRPr="005970E9">
        <w:rPr>
          <w:rFonts w:cs="Tahoma"/>
          <w:b/>
          <w:color w:val="000000"/>
          <w:lang w:eastAsia="en-US"/>
        </w:rPr>
        <w:t xml:space="preserve"> </w:t>
      </w:r>
      <w:r w:rsidRPr="005970E9">
        <w:rPr>
          <w:rFonts w:cs="Tahoma"/>
          <w:bCs/>
          <w:color w:val="000000"/>
          <w:lang w:eastAsia="en-US"/>
        </w:rPr>
        <w:t>(ONU)</w:t>
      </w:r>
    </w:p>
    <w:p w14:paraId="5B37FA22" w14:textId="77777777" w:rsidR="009F7DD0" w:rsidRPr="005970E9" w:rsidRDefault="009F7DD0" w:rsidP="009F7DD0">
      <w:pPr>
        <w:spacing w:before="120" w:after="120" w:line="276" w:lineRule="auto"/>
        <w:jc w:val="both"/>
        <w:rPr>
          <w:rFonts w:cs="Tahoma"/>
          <w:color w:val="000000"/>
          <w:lang w:eastAsia="en-US"/>
        </w:rPr>
      </w:pPr>
      <w:r w:rsidRPr="005970E9">
        <w:rPr>
          <w:color w:val="000000" w:themeColor="text1"/>
        </w:rPr>
        <w:t>Según cifras del Ministerio Público se cometieron en Panamá catorce (14) femicidios hasta el 30 de abril de 2020. Según la misma fuente se registra (1) femicidio en grado de tentativa</w:t>
      </w:r>
      <w:r w:rsidRPr="005970E9">
        <w:rPr>
          <w:rStyle w:val="FootnoteReference"/>
          <w:color w:val="000000" w:themeColor="text1"/>
        </w:rPr>
        <w:footnoteReference w:id="49"/>
      </w:r>
      <w:r w:rsidRPr="005970E9">
        <w:rPr>
          <w:color w:val="000000" w:themeColor="text1"/>
        </w:rPr>
        <w:t xml:space="preserve"> y seis (6) muertes violentas. </w:t>
      </w:r>
    </w:p>
    <w:p w14:paraId="0D83DD5F" w14:textId="77777777" w:rsidR="009F7DD0" w:rsidRPr="005970E9" w:rsidRDefault="009F7DD0" w:rsidP="009F7DD0">
      <w:pPr>
        <w:spacing w:before="120" w:after="120" w:line="276" w:lineRule="auto"/>
        <w:jc w:val="both"/>
        <w:rPr>
          <w:rFonts w:cs="Tahoma"/>
          <w:color w:val="000000"/>
          <w:lang w:eastAsia="en-US"/>
        </w:rPr>
      </w:pPr>
      <w:r w:rsidRPr="005970E9">
        <w:rPr>
          <w:rFonts w:cs="Tahoma"/>
          <w:color w:val="000000"/>
          <w:lang w:eastAsia="en-US"/>
        </w:rPr>
        <w:t xml:space="preserve">Los datos hasta ahora demuestran que se ha dado un aumento de un 75% en el delito de femicidios entre enero y abril de 2020, si se compara con el mismo periodo del 2019 que registró ocho (8) femicidios. Cabe destacar que en la Comarca Ngäbe Buglé se dio un aumento del 500% y en las provincias de Coclé y Chiriquí un acrecentamiento del 100 % respectivamente de femicidios en el mismo periodo del 2020. </w:t>
      </w:r>
    </w:p>
    <w:p w14:paraId="16D03206" w14:textId="6528177D" w:rsidR="009F7DD0" w:rsidRPr="005970E9" w:rsidRDefault="009F7DD0" w:rsidP="009F7DD0">
      <w:pPr>
        <w:pStyle w:val="Caption"/>
        <w:keepNext/>
        <w:jc w:val="both"/>
        <w:rPr>
          <w:rFonts w:ascii="Century Schoolbook" w:hAnsi="Century Schoolbook"/>
          <w:i w:val="0"/>
          <w:iCs w:val="0"/>
          <w:sz w:val="20"/>
          <w:szCs w:val="20"/>
        </w:rPr>
      </w:pPr>
      <w:bookmarkStart w:id="212" w:name="_Toc42293588"/>
      <w:bookmarkStart w:id="213" w:name="_Toc42549210"/>
      <w:r w:rsidRPr="005970E9">
        <w:rPr>
          <w:rFonts w:ascii="Century Schoolbook" w:hAnsi="Century Schoolbook"/>
          <w:i w:val="0"/>
          <w:iCs w:val="0"/>
          <w:sz w:val="20"/>
          <w:szCs w:val="20"/>
        </w:rPr>
        <w:t xml:space="preserve">Tabla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9D1829" w:rsidRPr="005970E9">
        <w:rPr>
          <w:rFonts w:ascii="Century Schoolbook" w:hAnsi="Century Schoolbook"/>
          <w:i w:val="0"/>
          <w:iCs w:val="0"/>
          <w:noProof/>
          <w:sz w:val="20"/>
          <w:szCs w:val="20"/>
        </w:rPr>
        <w:t>16</w:t>
      </w:r>
      <w:r w:rsidRPr="005970E9">
        <w:rPr>
          <w:rFonts w:ascii="Century Schoolbook" w:hAnsi="Century Schoolbook"/>
          <w:i w:val="0"/>
          <w:iCs w:val="0"/>
          <w:sz w:val="20"/>
          <w:szCs w:val="20"/>
        </w:rPr>
        <w:fldChar w:fldCharType="end"/>
      </w:r>
      <w:r w:rsidRPr="005970E9">
        <w:rPr>
          <w:rFonts w:ascii="Century Schoolbook" w:hAnsi="Century Schoolbook"/>
          <w:i w:val="0"/>
          <w:iCs w:val="0"/>
          <w:sz w:val="20"/>
          <w:szCs w:val="20"/>
        </w:rPr>
        <w:t xml:space="preserve">. </w:t>
      </w:r>
      <w:r w:rsidRPr="005970E9">
        <w:rPr>
          <w:rFonts w:ascii="Century Schoolbook" w:hAnsi="Century Schoolbook"/>
          <w:bCs/>
          <w:i w:val="0"/>
          <w:iCs w:val="0"/>
          <w:sz w:val="20"/>
          <w:szCs w:val="20"/>
        </w:rPr>
        <w:t xml:space="preserve">Variación porcentual de las víctimas de femicidios, tentativas y muertes violentas a nivel nacional, del 1 de enero al 30 de abril 2019 y 2020 </w:t>
      </w:r>
      <w:bookmarkEnd w:id="212"/>
      <w:bookmarkEnd w:id="213"/>
    </w:p>
    <w:tbl>
      <w:tblPr>
        <w:tblStyle w:val="TableGrid"/>
        <w:tblW w:w="10060" w:type="dxa"/>
        <w:tblLayout w:type="fixed"/>
        <w:tblLook w:val="04A0" w:firstRow="1" w:lastRow="0" w:firstColumn="1" w:lastColumn="0" w:noHBand="0" w:noVBand="1"/>
      </w:tblPr>
      <w:tblGrid>
        <w:gridCol w:w="1271"/>
        <w:gridCol w:w="851"/>
        <w:gridCol w:w="850"/>
        <w:gridCol w:w="709"/>
        <w:gridCol w:w="709"/>
        <w:gridCol w:w="708"/>
        <w:gridCol w:w="709"/>
        <w:gridCol w:w="709"/>
        <w:gridCol w:w="709"/>
        <w:gridCol w:w="850"/>
        <w:gridCol w:w="709"/>
        <w:gridCol w:w="1276"/>
      </w:tblGrid>
      <w:tr w:rsidR="009F7DD0" w:rsidRPr="005970E9" w14:paraId="5CA98623" w14:textId="77777777" w:rsidTr="009F7DD0">
        <w:trPr>
          <w:trHeight w:val="158"/>
        </w:trPr>
        <w:tc>
          <w:tcPr>
            <w:tcW w:w="1271" w:type="dxa"/>
            <w:shd w:val="clear" w:color="auto" w:fill="CCC0D9" w:themeFill="accent4" w:themeFillTint="66"/>
          </w:tcPr>
          <w:p w14:paraId="4C1BBF9C" w14:textId="77777777" w:rsidR="009F7DD0" w:rsidRPr="005970E9" w:rsidRDefault="009F7DD0" w:rsidP="009F7DD0">
            <w:pPr>
              <w:jc w:val="both"/>
              <w:rPr>
                <w:rFonts w:cs="Tahoma"/>
                <w:color w:val="000000"/>
                <w:sz w:val="16"/>
                <w:szCs w:val="16"/>
              </w:rPr>
            </w:pPr>
            <w:r w:rsidRPr="005970E9">
              <w:rPr>
                <w:rFonts w:cs="Tahoma"/>
                <w:color w:val="000000"/>
                <w:sz w:val="16"/>
                <w:szCs w:val="16"/>
              </w:rPr>
              <w:t>Delito</w:t>
            </w:r>
          </w:p>
        </w:tc>
        <w:tc>
          <w:tcPr>
            <w:tcW w:w="851" w:type="dxa"/>
            <w:shd w:val="clear" w:color="auto" w:fill="CCC0D9" w:themeFill="accent4" w:themeFillTint="66"/>
          </w:tcPr>
          <w:p w14:paraId="5F929CAF" w14:textId="77777777" w:rsidR="009F7DD0" w:rsidRPr="005970E9" w:rsidRDefault="009F7DD0" w:rsidP="009F7DD0">
            <w:pPr>
              <w:jc w:val="both"/>
              <w:rPr>
                <w:rFonts w:cs="Tahoma"/>
                <w:color w:val="000000"/>
                <w:sz w:val="16"/>
                <w:szCs w:val="16"/>
              </w:rPr>
            </w:pPr>
            <w:r w:rsidRPr="005970E9">
              <w:rPr>
                <w:rFonts w:cs="Tahoma"/>
                <w:color w:val="000000"/>
                <w:sz w:val="16"/>
                <w:szCs w:val="16"/>
              </w:rPr>
              <w:t>Ene-19</w:t>
            </w:r>
          </w:p>
        </w:tc>
        <w:tc>
          <w:tcPr>
            <w:tcW w:w="850" w:type="dxa"/>
            <w:shd w:val="clear" w:color="auto" w:fill="CCC0D9" w:themeFill="accent4" w:themeFillTint="66"/>
          </w:tcPr>
          <w:p w14:paraId="1691DDB0" w14:textId="77777777" w:rsidR="009F7DD0" w:rsidRPr="005970E9" w:rsidRDefault="009F7DD0" w:rsidP="009F7DD0">
            <w:pPr>
              <w:jc w:val="both"/>
              <w:rPr>
                <w:rFonts w:cs="Tahoma"/>
                <w:color w:val="000000"/>
                <w:sz w:val="16"/>
                <w:szCs w:val="16"/>
              </w:rPr>
            </w:pPr>
            <w:r w:rsidRPr="005970E9">
              <w:rPr>
                <w:rFonts w:cs="Tahoma"/>
                <w:color w:val="000000"/>
                <w:sz w:val="16"/>
                <w:szCs w:val="16"/>
              </w:rPr>
              <w:t>Ene-20</w:t>
            </w:r>
          </w:p>
        </w:tc>
        <w:tc>
          <w:tcPr>
            <w:tcW w:w="709" w:type="dxa"/>
            <w:shd w:val="clear" w:color="auto" w:fill="CCC0D9" w:themeFill="accent4" w:themeFillTint="66"/>
          </w:tcPr>
          <w:p w14:paraId="74F262EE" w14:textId="77777777" w:rsidR="009F7DD0" w:rsidRPr="005970E9" w:rsidRDefault="009F7DD0" w:rsidP="009F7DD0">
            <w:pPr>
              <w:jc w:val="both"/>
              <w:rPr>
                <w:rFonts w:cs="Tahoma"/>
                <w:color w:val="000000"/>
                <w:sz w:val="16"/>
                <w:szCs w:val="16"/>
              </w:rPr>
            </w:pPr>
            <w:r w:rsidRPr="005970E9">
              <w:rPr>
                <w:rFonts w:cs="Tahoma"/>
                <w:color w:val="000000"/>
                <w:sz w:val="16"/>
                <w:szCs w:val="16"/>
              </w:rPr>
              <w:t>Feb-19</w:t>
            </w:r>
          </w:p>
        </w:tc>
        <w:tc>
          <w:tcPr>
            <w:tcW w:w="709" w:type="dxa"/>
            <w:shd w:val="clear" w:color="auto" w:fill="CCC0D9" w:themeFill="accent4" w:themeFillTint="66"/>
          </w:tcPr>
          <w:p w14:paraId="11CA34EE" w14:textId="77777777" w:rsidR="009F7DD0" w:rsidRPr="005970E9" w:rsidRDefault="009F7DD0" w:rsidP="009F7DD0">
            <w:pPr>
              <w:jc w:val="both"/>
              <w:rPr>
                <w:rFonts w:cs="Tahoma"/>
                <w:color w:val="000000"/>
                <w:sz w:val="16"/>
                <w:szCs w:val="16"/>
              </w:rPr>
            </w:pPr>
            <w:r w:rsidRPr="005970E9">
              <w:rPr>
                <w:rFonts w:cs="Tahoma"/>
                <w:color w:val="000000"/>
                <w:sz w:val="16"/>
                <w:szCs w:val="16"/>
              </w:rPr>
              <w:t>Feb-</w:t>
            </w:r>
          </w:p>
          <w:p w14:paraId="155D5AAA" w14:textId="77777777" w:rsidR="009F7DD0" w:rsidRPr="005970E9" w:rsidRDefault="009F7DD0" w:rsidP="009F7DD0">
            <w:pPr>
              <w:jc w:val="both"/>
              <w:rPr>
                <w:rFonts w:cs="Tahoma"/>
                <w:color w:val="000000"/>
                <w:sz w:val="16"/>
                <w:szCs w:val="16"/>
              </w:rPr>
            </w:pPr>
            <w:r w:rsidRPr="005970E9">
              <w:rPr>
                <w:rFonts w:cs="Tahoma"/>
                <w:color w:val="000000"/>
                <w:sz w:val="16"/>
                <w:szCs w:val="16"/>
              </w:rPr>
              <w:t>20</w:t>
            </w:r>
          </w:p>
        </w:tc>
        <w:tc>
          <w:tcPr>
            <w:tcW w:w="708" w:type="dxa"/>
            <w:shd w:val="clear" w:color="auto" w:fill="CCC0D9" w:themeFill="accent4" w:themeFillTint="66"/>
          </w:tcPr>
          <w:p w14:paraId="396BFB2F" w14:textId="77777777" w:rsidR="009F7DD0" w:rsidRPr="005970E9" w:rsidRDefault="009F7DD0" w:rsidP="009F7DD0">
            <w:pPr>
              <w:jc w:val="both"/>
              <w:rPr>
                <w:rFonts w:cs="Tahoma"/>
                <w:color w:val="000000"/>
                <w:sz w:val="16"/>
                <w:szCs w:val="16"/>
              </w:rPr>
            </w:pPr>
            <w:r w:rsidRPr="005970E9">
              <w:rPr>
                <w:rFonts w:cs="Tahoma"/>
                <w:color w:val="000000"/>
                <w:sz w:val="16"/>
                <w:szCs w:val="16"/>
              </w:rPr>
              <w:t>Mar</w:t>
            </w:r>
          </w:p>
          <w:p w14:paraId="7E90023A" w14:textId="77777777" w:rsidR="009F7DD0" w:rsidRPr="005970E9" w:rsidRDefault="009F7DD0" w:rsidP="009F7DD0">
            <w:pPr>
              <w:jc w:val="both"/>
              <w:rPr>
                <w:rFonts w:cs="Tahoma"/>
                <w:color w:val="000000"/>
                <w:sz w:val="16"/>
                <w:szCs w:val="16"/>
              </w:rPr>
            </w:pPr>
            <w:r w:rsidRPr="005970E9">
              <w:rPr>
                <w:rFonts w:cs="Tahoma"/>
                <w:color w:val="000000"/>
                <w:sz w:val="16"/>
                <w:szCs w:val="16"/>
              </w:rPr>
              <w:t>19</w:t>
            </w:r>
          </w:p>
        </w:tc>
        <w:tc>
          <w:tcPr>
            <w:tcW w:w="709" w:type="dxa"/>
            <w:shd w:val="clear" w:color="auto" w:fill="CCC0D9" w:themeFill="accent4" w:themeFillTint="66"/>
          </w:tcPr>
          <w:p w14:paraId="75B26833" w14:textId="77777777" w:rsidR="009F7DD0" w:rsidRPr="005970E9" w:rsidRDefault="009F7DD0" w:rsidP="009F7DD0">
            <w:pPr>
              <w:jc w:val="both"/>
              <w:rPr>
                <w:rFonts w:cs="Tahoma"/>
                <w:color w:val="000000"/>
                <w:sz w:val="16"/>
                <w:szCs w:val="16"/>
              </w:rPr>
            </w:pPr>
            <w:r w:rsidRPr="005970E9">
              <w:rPr>
                <w:rFonts w:cs="Tahoma"/>
                <w:color w:val="000000"/>
                <w:sz w:val="16"/>
                <w:szCs w:val="16"/>
              </w:rPr>
              <w:t>Mar</w:t>
            </w:r>
          </w:p>
          <w:p w14:paraId="5854538D" w14:textId="77777777" w:rsidR="009F7DD0" w:rsidRPr="005970E9" w:rsidRDefault="009F7DD0" w:rsidP="009F7DD0">
            <w:pPr>
              <w:jc w:val="both"/>
              <w:rPr>
                <w:rFonts w:cs="Tahoma"/>
                <w:color w:val="000000"/>
                <w:sz w:val="16"/>
                <w:szCs w:val="16"/>
              </w:rPr>
            </w:pPr>
            <w:r w:rsidRPr="005970E9">
              <w:rPr>
                <w:rFonts w:cs="Tahoma"/>
                <w:color w:val="000000"/>
                <w:sz w:val="16"/>
                <w:szCs w:val="16"/>
              </w:rPr>
              <w:t>20</w:t>
            </w:r>
          </w:p>
        </w:tc>
        <w:tc>
          <w:tcPr>
            <w:tcW w:w="709" w:type="dxa"/>
            <w:shd w:val="clear" w:color="auto" w:fill="CCC0D9" w:themeFill="accent4" w:themeFillTint="66"/>
          </w:tcPr>
          <w:p w14:paraId="36163F23" w14:textId="77777777" w:rsidR="009F7DD0" w:rsidRPr="005970E9" w:rsidRDefault="009F7DD0" w:rsidP="009F7DD0">
            <w:pPr>
              <w:jc w:val="both"/>
              <w:rPr>
                <w:rFonts w:cs="Tahoma"/>
                <w:color w:val="000000"/>
                <w:sz w:val="16"/>
                <w:szCs w:val="16"/>
              </w:rPr>
            </w:pPr>
            <w:r w:rsidRPr="005970E9">
              <w:rPr>
                <w:rFonts w:cs="Tahoma"/>
                <w:color w:val="000000"/>
                <w:sz w:val="16"/>
                <w:szCs w:val="16"/>
              </w:rPr>
              <w:t>Abril</w:t>
            </w:r>
          </w:p>
          <w:p w14:paraId="0E80DF4F" w14:textId="77777777" w:rsidR="009F7DD0" w:rsidRPr="005970E9" w:rsidRDefault="009F7DD0" w:rsidP="009F7DD0">
            <w:pPr>
              <w:jc w:val="both"/>
              <w:rPr>
                <w:rFonts w:cs="Tahoma"/>
                <w:color w:val="000000"/>
                <w:sz w:val="16"/>
                <w:szCs w:val="16"/>
              </w:rPr>
            </w:pPr>
            <w:r w:rsidRPr="005970E9">
              <w:rPr>
                <w:rFonts w:cs="Tahoma"/>
                <w:color w:val="000000"/>
                <w:sz w:val="16"/>
                <w:szCs w:val="16"/>
              </w:rPr>
              <w:t>19</w:t>
            </w:r>
          </w:p>
        </w:tc>
        <w:tc>
          <w:tcPr>
            <w:tcW w:w="709" w:type="dxa"/>
            <w:shd w:val="clear" w:color="auto" w:fill="CCC0D9" w:themeFill="accent4" w:themeFillTint="66"/>
          </w:tcPr>
          <w:p w14:paraId="01039905" w14:textId="77777777" w:rsidR="009F7DD0" w:rsidRPr="005970E9" w:rsidRDefault="009F7DD0" w:rsidP="009F7DD0">
            <w:pPr>
              <w:jc w:val="both"/>
              <w:rPr>
                <w:rFonts w:cs="Tahoma"/>
                <w:color w:val="000000"/>
                <w:sz w:val="16"/>
                <w:szCs w:val="16"/>
              </w:rPr>
            </w:pPr>
            <w:r w:rsidRPr="005970E9">
              <w:rPr>
                <w:rFonts w:cs="Tahoma"/>
                <w:color w:val="000000"/>
                <w:sz w:val="16"/>
                <w:szCs w:val="16"/>
              </w:rPr>
              <w:t xml:space="preserve">Abril </w:t>
            </w:r>
          </w:p>
          <w:p w14:paraId="0211F497" w14:textId="77777777" w:rsidR="009F7DD0" w:rsidRPr="005970E9" w:rsidRDefault="009F7DD0" w:rsidP="009F7DD0">
            <w:pPr>
              <w:jc w:val="both"/>
              <w:rPr>
                <w:rFonts w:cs="Tahoma"/>
                <w:color w:val="000000"/>
                <w:sz w:val="16"/>
                <w:szCs w:val="16"/>
              </w:rPr>
            </w:pPr>
            <w:r w:rsidRPr="005970E9">
              <w:rPr>
                <w:rFonts w:cs="Tahoma"/>
                <w:color w:val="000000"/>
                <w:sz w:val="16"/>
                <w:szCs w:val="16"/>
              </w:rPr>
              <w:t>20</w:t>
            </w:r>
          </w:p>
        </w:tc>
        <w:tc>
          <w:tcPr>
            <w:tcW w:w="850" w:type="dxa"/>
            <w:shd w:val="clear" w:color="auto" w:fill="CCC0D9" w:themeFill="accent4" w:themeFillTint="66"/>
          </w:tcPr>
          <w:p w14:paraId="05E0F8F0" w14:textId="77777777" w:rsidR="009F7DD0" w:rsidRPr="005970E9" w:rsidRDefault="009F7DD0" w:rsidP="009F7DD0">
            <w:pPr>
              <w:jc w:val="both"/>
              <w:rPr>
                <w:rFonts w:cs="Tahoma"/>
                <w:color w:val="000000"/>
                <w:sz w:val="16"/>
                <w:szCs w:val="16"/>
              </w:rPr>
            </w:pPr>
            <w:r w:rsidRPr="005970E9">
              <w:rPr>
                <w:rFonts w:cs="Tahoma"/>
                <w:color w:val="000000"/>
                <w:sz w:val="16"/>
                <w:szCs w:val="16"/>
              </w:rPr>
              <w:t>Total-</w:t>
            </w:r>
          </w:p>
          <w:p w14:paraId="22BAB104" w14:textId="77777777" w:rsidR="009F7DD0" w:rsidRPr="005970E9" w:rsidRDefault="009F7DD0" w:rsidP="009F7DD0">
            <w:pPr>
              <w:jc w:val="both"/>
              <w:rPr>
                <w:rFonts w:cs="Tahoma"/>
                <w:color w:val="000000"/>
                <w:sz w:val="16"/>
                <w:szCs w:val="16"/>
              </w:rPr>
            </w:pPr>
            <w:r w:rsidRPr="005970E9">
              <w:rPr>
                <w:rFonts w:cs="Tahoma"/>
                <w:color w:val="000000"/>
                <w:sz w:val="16"/>
                <w:szCs w:val="16"/>
              </w:rPr>
              <w:t>19</w:t>
            </w:r>
          </w:p>
        </w:tc>
        <w:tc>
          <w:tcPr>
            <w:tcW w:w="709" w:type="dxa"/>
            <w:shd w:val="clear" w:color="auto" w:fill="CCC0D9" w:themeFill="accent4" w:themeFillTint="66"/>
          </w:tcPr>
          <w:p w14:paraId="6F25BCE4" w14:textId="77777777" w:rsidR="009F7DD0" w:rsidRPr="005970E9" w:rsidRDefault="009F7DD0" w:rsidP="009F7DD0">
            <w:pPr>
              <w:jc w:val="both"/>
              <w:rPr>
                <w:rFonts w:cs="Tahoma"/>
                <w:color w:val="000000"/>
                <w:sz w:val="16"/>
                <w:szCs w:val="16"/>
              </w:rPr>
            </w:pPr>
            <w:r w:rsidRPr="005970E9">
              <w:rPr>
                <w:rFonts w:cs="Tahoma"/>
                <w:color w:val="000000"/>
                <w:sz w:val="16"/>
                <w:szCs w:val="16"/>
              </w:rPr>
              <w:t>Total-20</w:t>
            </w:r>
          </w:p>
        </w:tc>
        <w:tc>
          <w:tcPr>
            <w:tcW w:w="1276" w:type="dxa"/>
            <w:shd w:val="clear" w:color="auto" w:fill="CCC0D9" w:themeFill="accent4" w:themeFillTint="66"/>
          </w:tcPr>
          <w:p w14:paraId="15CC60C8" w14:textId="77777777" w:rsidR="009F7DD0" w:rsidRPr="005970E9" w:rsidRDefault="009F7DD0" w:rsidP="009F7DD0">
            <w:pPr>
              <w:jc w:val="both"/>
              <w:rPr>
                <w:rFonts w:cs="Tahoma"/>
                <w:color w:val="000000"/>
                <w:sz w:val="16"/>
                <w:szCs w:val="16"/>
              </w:rPr>
            </w:pPr>
            <w:r w:rsidRPr="005970E9">
              <w:rPr>
                <w:rFonts w:cs="Tahoma"/>
                <w:color w:val="000000"/>
                <w:sz w:val="16"/>
                <w:szCs w:val="16"/>
              </w:rPr>
              <w:t xml:space="preserve">Variación Porcentual 2019-2020 </w:t>
            </w:r>
          </w:p>
        </w:tc>
      </w:tr>
      <w:tr w:rsidR="009F7DD0" w:rsidRPr="005970E9" w14:paraId="55F50E73" w14:textId="77777777" w:rsidTr="009F7DD0">
        <w:trPr>
          <w:trHeight w:val="158"/>
        </w:trPr>
        <w:tc>
          <w:tcPr>
            <w:tcW w:w="1271" w:type="dxa"/>
          </w:tcPr>
          <w:p w14:paraId="6E8BD05E" w14:textId="77777777" w:rsidR="009F7DD0" w:rsidRPr="005970E9" w:rsidRDefault="009F7DD0" w:rsidP="009F7DD0">
            <w:pPr>
              <w:spacing w:after="120" w:line="276" w:lineRule="auto"/>
              <w:jc w:val="both"/>
              <w:rPr>
                <w:rFonts w:cs="Tahoma"/>
                <w:color w:val="000000"/>
                <w:sz w:val="16"/>
                <w:szCs w:val="16"/>
              </w:rPr>
            </w:pPr>
            <w:r w:rsidRPr="005970E9">
              <w:rPr>
                <w:rFonts w:cs="Tahoma"/>
                <w:color w:val="000000"/>
                <w:sz w:val="16"/>
                <w:szCs w:val="16"/>
              </w:rPr>
              <w:t>Femicidio</w:t>
            </w:r>
          </w:p>
        </w:tc>
        <w:tc>
          <w:tcPr>
            <w:tcW w:w="851" w:type="dxa"/>
          </w:tcPr>
          <w:p w14:paraId="04C59652" w14:textId="77777777" w:rsidR="009F7DD0" w:rsidRPr="005970E9" w:rsidRDefault="009F7DD0" w:rsidP="009F7DD0">
            <w:pPr>
              <w:spacing w:after="120" w:line="276" w:lineRule="auto"/>
              <w:jc w:val="right"/>
              <w:rPr>
                <w:rFonts w:cs="Tahoma"/>
                <w:color w:val="000000"/>
                <w:sz w:val="16"/>
                <w:szCs w:val="16"/>
              </w:rPr>
            </w:pPr>
            <w:r w:rsidRPr="005970E9">
              <w:rPr>
                <w:rFonts w:cs="Tahoma"/>
                <w:color w:val="000000"/>
                <w:sz w:val="16"/>
                <w:szCs w:val="16"/>
              </w:rPr>
              <w:t>2</w:t>
            </w:r>
          </w:p>
        </w:tc>
        <w:tc>
          <w:tcPr>
            <w:tcW w:w="850" w:type="dxa"/>
          </w:tcPr>
          <w:p w14:paraId="2B24781F" w14:textId="77777777" w:rsidR="009F7DD0" w:rsidRPr="005970E9" w:rsidRDefault="009F7DD0" w:rsidP="009F7DD0">
            <w:pPr>
              <w:spacing w:after="120" w:line="276" w:lineRule="auto"/>
              <w:jc w:val="right"/>
              <w:rPr>
                <w:rFonts w:cs="Tahoma"/>
                <w:color w:val="000000"/>
                <w:sz w:val="16"/>
                <w:szCs w:val="16"/>
              </w:rPr>
            </w:pPr>
            <w:r w:rsidRPr="005970E9">
              <w:rPr>
                <w:rFonts w:cs="Tahoma"/>
                <w:color w:val="000000"/>
                <w:sz w:val="16"/>
                <w:szCs w:val="16"/>
              </w:rPr>
              <w:t>9</w:t>
            </w:r>
          </w:p>
        </w:tc>
        <w:tc>
          <w:tcPr>
            <w:tcW w:w="709" w:type="dxa"/>
          </w:tcPr>
          <w:p w14:paraId="3120F6CF" w14:textId="77777777" w:rsidR="009F7DD0" w:rsidRPr="005970E9" w:rsidRDefault="009F7DD0" w:rsidP="009F7DD0">
            <w:pPr>
              <w:spacing w:after="120" w:line="276" w:lineRule="auto"/>
              <w:jc w:val="right"/>
              <w:rPr>
                <w:rFonts w:cs="Tahoma"/>
                <w:color w:val="000000"/>
                <w:sz w:val="16"/>
                <w:szCs w:val="16"/>
              </w:rPr>
            </w:pPr>
            <w:r w:rsidRPr="005970E9">
              <w:rPr>
                <w:rFonts w:cs="Tahoma"/>
                <w:color w:val="000000"/>
                <w:sz w:val="16"/>
                <w:szCs w:val="16"/>
              </w:rPr>
              <w:t>3</w:t>
            </w:r>
          </w:p>
        </w:tc>
        <w:tc>
          <w:tcPr>
            <w:tcW w:w="709" w:type="dxa"/>
          </w:tcPr>
          <w:p w14:paraId="58A929DB" w14:textId="77777777" w:rsidR="009F7DD0" w:rsidRPr="005970E9" w:rsidRDefault="009F7DD0" w:rsidP="009F7DD0">
            <w:pPr>
              <w:spacing w:after="120" w:line="276" w:lineRule="auto"/>
              <w:jc w:val="right"/>
              <w:rPr>
                <w:rFonts w:cs="Tahoma"/>
                <w:color w:val="000000"/>
                <w:sz w:val="16"/>
                <w:szCs w:val="16"/>
              </w:rPr>
            </w:pPr>
            <w:r w:rsidRPr="005970E9">
              <w:rPr>
                <w:rFonts w:cs="Tahoma"/>
                <w:color w:val="000000"/>
                <w:sz w:val="16"/>
                <w:szCs w:val="16"/>
              </w:rPr>
              <w:t>1</w:t>
            </w:r>
          </w:p>
        </w:tc>
        <w:tc>
          <w:tcPr>
            <w:tcW w:w="708" w:type="dxa"/>
          </w:tcPr>
          <w:p w14:paraId="6CB79B69" w14:textId="77777777" w:rsidR="009F7DD0" w:rsidRPr="005970E9" w:rsidRDefault="009F7DD0" w:rsidP="009F7DD0">
            <w:pPr>
              <w:spacing w:after="120" w:line="276" w:lineRule="auto"/>
              <w:jc w:val="right"/>
              <w:rPr>
                <w:rFonts w:cs="Tahoma"/>
                <w:color w:val="000000"/>
                <w:sz w:val="16"/>
                <w:szCs w:val="16"/>
              </w:rPr>
            </w:pPr>
            <w:r w:rsidRPr="005970E9">
              <w:rPr>
                <w:rFonts w:cs="Tahoma"/>
                <w:color w:val="000000"/>
                <w:sz w:val="16"/>
                <w:szCs w:val="16"/>
              </w:rPr>
              <w:t>2</w:t>
            </w:r>
          </w:p>
        </w:tc>
        <w:tc>
          <w:tcPr>
            <w:tcW w:w="709" w:type="dxa"/>
          </w:tcPr>
          <w:p w14:paraId="5AD1F7B7" w14:textId="77777777" w:rsidR="009F7DD0" w:rsidRPr="005970E9" w:rsidRDefault="009F7DD0" w:rsidP="009F7DD0">
            <w:pPr>
              <w:spacing w:after="120" w:line="276" w:lineRule="auto"/>
              <w:jc w:val="right"/>
              <w:rPr>
                <w:rFonts w:cs="Tahoma"/>
                <w:color w:val="000000"/>
                <w:sz w:val="16"/>
                <w:szCs w:val="16"/>
              </w:rPr>
            </w:pPr>
            <w:r w:rsidRPr="005970E9">
              <w:rPr>
                <w:rFonts w:cs="Tahoma"/>
                <w:color w:val="000000"/>
                <w:sz w:val="16"/>
                <w:szCs w:val="16"/>
              </w:rPr>
              <w:t>2</w:t>
            </w:r>
          </w:p>
        </w:tc>
        <w:tc>
          <w:tcPr>
            <w:tcW w:w="709" w:type="dxa"/>
          </w:tcPr>
          <w:p w14:paraId="441908F6" w14:textId="77777777" w:rsidR="009F7DD0" w:rsidRPr="005970E9" w:rsidRDefault="009F7DD0" w:rsidP="009F7DD0">
            <w:pPr>
              <w:spacing w:after="120" w:line="276" w:lineRule="auto"/>
              <w:jc w:val="right"/>
              <w:rPr>
                <w:rFonts w:cs="Tahoma"/>
                <w:color w:val="000000"/>
                <w:sz w:val="16"/>
                <w:szCs w:val="16"/>
              </w:rPr>
            </w:pPr>
            <w:r w:rsidRPr="005970E9">
              <w:rPr>
                <w:rFonts w:cs="Tahoma"/>
                <w:color w:val="000000"/>
                <w:sz w:val="16"/>
                <w:szCs w:val="16"/>
              </w:rPr>
              <w:t>1</w:t>
            </w:r>
          </w:p>
        </w:tc>
        <w:tc>
          <w:tcPr>
            <w:tcW w:w="709" w:type="dxa"/>
          </w:tcPr>
          <w:p w14:paraId="0F79AB46" w14:textId="77777777" w:rsidR="009F7DD0" w:rsidRPr="005970E9" w:rsidRDefault="009F7DD0" w:rsidP="009F7DD0">
            <w:pPr>
              <w:spacing w:after="120" w:line="276" w:lineRule="auto"/>
              <w:jc w:val="right"/>
              <w:rPr>
                <w:rFonts w:cs="Tahoma"/>
                <w:color w:val="000000"/>
                <w:sz w:val="16"/>
                <w:szCs w:val="16"/>
              </w:rPr>
            </w:pPr>
            <w:r w:rsidRPr="005970E9">
              <w:rPr>
                <w:rFonts w:cs="Tahoma"/>
                <w:color w:val="000000"/>
                <w:sz w:val="16"/>
                <w:szCs w:val="16"/>
              </w:rPr>
              <w:t>2</w:t>
            </w:r>
          </w:p>
        </w:tc>
        <w:tc>
          <w:tcPr>
            <w:tcW w:w="850" w:type="dxa"/>
          </w:tcPr>
          <w:p w14:paraId="49AC511B" w14:textId="77777777" w:rsidR="009F7DD0" w:rsidRPr="005970E9" w:rsidRDefault="009F7DD0" w:rsidP="009F7DD0">
            <w:pPr>
              <w:spacing w:after="120" w:line="276" w:lineRule="auto"/>
              <w:jc w:val="right"/>
              <w:rPr>
                <w:rFonts w:cs="Tahoma"/>
                <w:color w:val="000000"/>
                <w:sz w:val="16"/>
                <w:szCs w:val="16"/>
              </w:rPr>
            </w:pPr>
            <w:r w:rsidRPr="005970E9">
              <w:rPr>
                <w:rFonts w:cs="Tahoma"/>
                <w:color w:val="000000"/>
                <w:sz w:val="16"/>
                <w:szCs w:val="16"/>
              </w:rPr>
              <w:t>8</w:t>
            </w:r>
          </w:p>
        </w:tc>
        <w:tc>
          <w:tcPr>
            <w:tcW w:w="709" w:type="dxa"/>
          </w:tcPr>
          <w:p w14:paraId="72B046E2" w14:textId="77777777" w:rsidR="009F7DD0" w:rsidRPr="005970E9" w:rsidRDefault="009F7DD0" w:rsidP="009F7DD0">
            <w:pPr>
              <w:spacing w:after="120" w:line="276" w:lineRule="auto"/>
              <w:jc w:val="right"/>
              <w:rPr>
                <w:rFonts w:cs="Tahoma"/>
                <w:color w:val="000000"/>
                <w:sz w:val="16"/>
                <w:szCs w:val="16"/>
              </w:rPr>
            </w:pPr>
            <w:r w:rsidRPr="005970E9">
              <w:rPr>
                <w:rFonts w:cs="Tahoma"/>
                <w:color w:val="000000"/>
                <w:sz w:val="16"/>
                <w:szCs w:val="16"/>
              </w:rPr>
              <w:t>14</w:t>
            </w:r>
          </w:p>
        </w:tc>
        <w:tc>
          <w:tcPr>
            <w:tcW w:w="1276" w:type="dxa"/>
          </w:tcPr>
          <w:p w14:paraId="6F9C3047" w14:textId="77777777" w:rsidR="009F7DD0" w:rsidRPr="005970E9" w:rsidRDefault="009F7DD0" w:rsidP="009F7DD0">
            <w:pPr>
              <w:spacing w:after="120" w:line="276" w:lineRule="auto"/>
              <w:jc w:val="right"/>
              <w:rPr>
                <w:rFonts w:cs="Tahoma"/>
                <w:color w:val="000000"/>
                <w:sz w:val="16"/>
                <w:szCs w:val="16"/>
              </w:rPr>
            </w:pPr>
            <w:r w:rsidRPr="005970E9">
              <w:rPr>
                <w:rFonts w:cs="Tahoma"/>
                <w:color w:val="000000"/>
                <w:sz w:val="16"/>
                <w:szCs w:val="16"/>
              </w:rPr>
              <w:t>75%</w:t>
            </w:r>
          </w:p>
        </w:tc>
      </w:tr>
      <w:tr w:rsidR="009F7DD0" w:rsidRPr="005970E9" w14:paraId="77D74362" w14:textId="77777777" w:rsidTr="009F7DD0">
        <w:trPr>
          <w:trHeight w:val="159"/>
        </w:trPr>
        <w:tc>
          <w:tcPr>
            <w:tcW w:w="1271" w:type="dxa"/>
          </w:tcPr>
          <w:p w14:paraId="353838F4" w14:textId="77777777" w:rsidR="009F7DD0" w:rsidRPr="005970E9" w:rsidRDefault="009F7DD0" w:rsidP="009F7DD0">
            <w:pPr>
              <w:spacing w:before="120" w:after="120" w:line="276" w:lineRule="auto"/>
              <w:jc w:val="both"/>
              <w:rPr>
                <w:rFonts w:cs="Tahoma"/>
                <w:color w:val="000000"/>
                <w:sz w:val="16"/>
                <w:szCs w:val="16"/>
              </w:rPr>
            </w:pPr>
            <w:r w:rsidRPr="005970E9">
              <w:rPr>
                <w:rFonts w:cs="Tahoma"/>
                <w:color w:val="000000"/>
                <w:sz w:val="16"/>
                <w:szCs w:val="16"/>
              </w:rPr>
              <w:t>Tentativa</w:t>
            </w:r>
          </w:p>
        </w:tc>
        <w:tc>
          <w:tcPr>
            <w:tcW w:w="851" w:type="dxa"/>
          </w:tcPr>
          <w:p w14:paraId="48EDC70D"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0</w:t>
            </w:r>
          </w:p>
        </w:tc>
        <w:tc>
          <w:tcPr>
            <w:tcW w:w="850" w:type="dxa"/>
          </w:tcPr>
          <w:p w14:paraId="64FA1277"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0</w:t>
            </w:r>
          </w:p>
        </w:tc>
        <w:tc>
          <w:tcPr>
            <w:tcW w:w="709" w:type="dxa"/>
          </w:tcPr>
          <w:p w14:paraId="68A349C7"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1</w:t>
            </w:r>
          </w:p>
        </w:tc>
        <w:tc>
          <w:tcPr>
            <w:tcW w:w="709" w:type="dxa"/>
          </w:tcPr>
          <w:p w14:paraId="5B523C5F"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0</w:t>
            </w:r>
          </w:p>
        </w:tc>
        <w:tc>
          <w:tcPr>
            <w:tcW w:w="708" w:type="dxa"/>
          </w:tcPr>
          <w:p w14:paraId="7CE2E39F"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1</w:t>
            </w:r>
          </w:p>
        </w:tc>
        <w:tc>
          <w:tcPr>
            <w:tcW w:w="709" w:type="dxa"/>
          </w:tcPr>
          <w:p w14:paraId="2743462C"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0</w:t>
            </w:r>
          </w:p>
        </w:tc>
        <w:tc>
          <w:tcPr>
            <w:tcW w:w="709" w:type="dxa"/>
          </w:tcPr>
          <w:p w14:paraId="5AE7BFC1"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1</w:t>
            </w:r>
          </w:p>
        </w:tc>
        <w:tc>
          <w:tcPr>
            <w:tcW w:w="709" w:type="dxa"/>
          </w:tcPr>
          <w:p w14:paraId="07B42AAE"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1</w:t>
            </w:r>
          </w:p>
        </w:tc>
        <w:tc>
          <w:tcPr>
            <w:tcW w:w="850" w:type="dxa"/>
          </w:tcPr>
          <w:p w14:paraId="25D60757" w14:textId="77777777" w:rsidR="009F7DD0" w:rsidRPr="005970E9" w:rsidRDefault="009F7DD0" w:rsidP="009F7DD0">
            <w:pPr>
              <w:spacing w:before="120" w:after="120" w:line="276" w:lineRule="auto"/>
              <w:jc w:val="right"/>
              <w:rPr>
                <w:rFonts w:cs="Tahoma"/>
                <w:color w:val="000000"/>
                <w:sz w:val="16"/>
                <w:szCs w:val="16"/>
              </w:rPr>
            </w:pPr>
          </w:p>
        </w:tc>
        <w:tc>
          <w:tcPr>
            <w:tcW w:w="709" w:type="dxa"/>
          </w:tcPr>
          <w:p w14:paraId="1EE45BF1"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1</w:t>
            </w:r>
          </w:p>
        </w:tc>
        <w:tc>
          <w:tcPr>
            <w:tcW w:w="1276" w:type="dxa"/>
          </w:tcPr>
          <w:p w14:paraId="39A7DD08"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-67%</w:t>
            </w:r>
          </w:p>
        </w:tc>
      </w:tr>
      <w:tr w:rsidR="009F7DD0" w:rsidRPr="005970E9" w14:paraId="5FF5093A" w14:textId="77777777" w:rsidTr="009F7DD0">
        <w:trPr>
          <w:trHeight w:val="159"/>
        </w:trPr>
        <w:tc>
          <w:tcPr>
            <w:tcW w:w="1271" w:type="dxa"/>
          </w:tcPr>
          <w:p w14:paraId="184111BF" w14:textId="77777777" w:rsidR="009F7DD0" w:rsidRPr="005970E9" w:rsidRDefault="009F7DD0" w:rsidP="009F7DD0">
            <w:pPr>
              <w:spacing w:before="120" w:after="120" w:line="276" w:lineRule="auto"/>
              <w:jc w:val="both"/>
              <w:rPr>
                <w:rFonts w:cs="Tahoma"/>
                <w:color w:val="000000"/>
                <w:sz w:val="16"/>
                <w:szCs w:val="16"/>
              </w:rPr>
            </w:pPr>
            <w:r w:rsidRPr="005970E9">
              <w:rPr>
                <w:rFonts w:cs="Tahoma"/>
                <w:color w:val="000000"/>
                <w:sz w:val="16"/>
                <w:szCs w:val="16"/>
              </w:rPr>
              <w:t>Muerte violenta</w:t>
            </w:r>
          </w:p>
        </w:tc>
        <w:tc>
          <w:tcPr>
            <w:tcW w:w="851" w:type="dxa"/>
          </w:tcPr>
          <w:p w14:paraId="13528BB4"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1</w:t>
            </w:r>
          </w:p>
        </w:tc>
        <w:tc>
          <w:tcPr>
            <w:tcW w:w="850" w:type="dxa"/>
          </w:tcPr>
          <w:p w14:paraId="60C63E86"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2</w:t>
            </w:r>
          </w:p>
        </w:tc>
        <w:tc>
          <w:tcPr>
            <w:tcW w:w="709" w:type="dxa"/>
          </w:tcPr>
          <w:p w14:paraId="3059751F"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3</w:t>
            </w:r>
          </w:p>
        </w:tc>
        <w:tc>
          <w:tcPr>
            <w:tcW w:w="709" w:type="dxa"/>
          </w:tcPr>
          <w:p w14:paraId="72EEE2F3"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2</w:t>
            </w:r>
          </w:p>
        </w:tc>
        <w:tc>
          <w:tcPr>
            <w:tcW w:w="708" w:type="dxa"/>
          </w:tcPr>
          <w:p w14:paraId="5185896D"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3</w:t>
            </w:r>
          </w:p>
        </w:tc>
        <w:tc>
          <w:tcPr>
            <w:tcW w:w="709" w:type="dxa"/>
          </w:tcPr>
          <w:p w14:paraId="0AF5EBE6"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0</w:t>
            </w:r>
          </w:p>
        </w:tc>
        <w:tc>
          <w:tcPr>
            <w:tcW w:w="709" w:type="dxa"/>
          </w:tcPr>
          <w:p w14:paraId="17678D1B"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2</w:t>
            </w:r>
          </w:p>
        </w:tc>
        <w:tc>
          <w:tcPr>
            <w:tcW w:w="709" w:type="dxa"/>
          </w:tcPr>
          <w:p w14:paraId="7A9D0146"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2</w:t>
            </w:r>
          </w:p>
        </w:tc>
        <w:tc>
          <w:tcPr>
            <w:tcW w:w="850" w:type="dxa"/>
          </w:tcPr>
          <w:p w14:paraId="7446CAAB"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0</w:t>
            </w:r>
          </w:p>
        </w:tc>
        <w:tc>
          <w:tcPr>
            <w:tcW w:w="709" w:type="dxa"/>
          </w:tcPr>
          <w:p w14:paraId="5ADA0638"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0</w:t>
            </w:r>
          </w:p>
        </w:tc>
        <w:tc>
          <w:tcPr>
            <w:tcW w:w="1276" w:type="dxa"/>
          </w:tcPr>
          <w:p w14:paraId="792D752C" w14:textId="77777777" w:rsidR="009F7DD0" w:rsidRPr="005970E9" w:rsidRDefault="009F7DD0" w:rsidP="009F7DD0">
            <w:pPr>
              <w:spacing w:before="120" w:after="120" w:line="276" w:lineRule="auto"/>
              <w:jc w:val="right"/>
              <w:rPr>
                <w:rFonts w:cs="Tahoma"/>
                <w:color w:val="000000"/>
                <w:sz w:val="16"/>
                <w:szCs w:val="16"/>
              </w:rPr>
            </w:pPr>
            <w:r w:rsidRPr="005970E9">
              <w:rPr>
                <w:rFonts w:cs="Tahoma"/>
                <w:color w:val="000000"/>
                <w:sz w:val="16"/>
                <w:szCs w:val="16"/>
              </w:rPr>
              <w:t>-33%</w:t>
            </w:r>
          </w:p>
        </w:tc>
      </w:tr>
    </w:tbl>
    <w:p w14:paraId="566FD3CE" w14:textId="77777777" w:rsidR="009F7DD0" w:rsidRPr="005970E9" w:rsidRDefault="009F7DD0" w:rsidP="009F7DD0">
      <w:pPr>
        <w:spacing w:before="120" w:after="120" w:line="276" w:lineRule="auto"/>
        <w:jc w:val="both"/>
        <w:rPr>
          <w:rFonts w:cs="Tahoma"/>
          <w:color w:val="000000"/>
          <w:sz w:val="20"/>
          <w:szCs w:val="20"/>
          <w:lang w:eastAsia="en-US"/>
        </w:rPr>
      </w:pPr>
      <w:r w:rsidRPr="005970E9">
        <w:rPr>
          <w:rFonts w:cs="Tahoma"/>
          <w:color w:val="000000"/>
          <w:sz w:val="20"/>
          <w:szCs w:val="20"/>
          <w:lang w:eastAsia="en-US"/>
        </w:rPr>
        <w:t xml:space="preserve">Fuente: Centro de Estadísticas, Ministerio Público/Unidades de Homicidios, Ministerio Público. Este cuadro contiene datos preliminares que pueden variar con el tiempo y por proceso utilizados por los fiscales del Ministerio Público.  </w:t>
      </w:r>
    </w:p>
    <w:p w14:paraId="1B1D6898" w14:textId="79429980" w:rsidR="009F7DD0" w:rsidRPr="005970E9" w:rsidRDefault="009F7DD0" w:rsidP="009F7DD0">
      <w:pPr>
        <w:spacing w:before="120" w:after="120" w:line="276" w:lineRule="auto"/>
        <w:jc w:val="both"/>
        <w:rPr>
          <w:rFonts w:cs="Tahoma"/>
          <w:color w:val="000000"/>
          <w:lang w:eastAsia="en-US"/>
        </w:rPr>
      </w:pPr>
      <w:bookmarkStart w:id="214" w:name="_Hlk42521000"/>
      <w:r w:rsidRPr="005970E9">
        <w:rPr>
          <w:rFonts w:cs="Tahoma"/>
          <w:color w:val="000000"/>
          <w:lang w:eastAsia="en-US"/>
        </w:rPr>
        <w:t xml:space="preserve">En la investigación llevada a cabo por el Instituto Conmemorativo Gorgas, INAMU y SENACYT, “Violencia contra la Mujer. </w:t>
      </w:r>
      <w:r w:rsidRPr="005970E9">
        <w:t>Prevalencia, factores de riesgo asociados y femicidio”,</w:t>
      </w:r>
      <w:r w:rsidRPr="005970E9">
        <w:rPr>
          <w:rFonts w:cs="Tahoma"/>
          <w:color w:val="000000"/>
          <w:lang w:eastAsia="en-US"/>
        </w:rPr>
        <w:t xml:space="preserve"> se afirma que “Las tasas de femicidio disminuyeron del 2015 al 2017 (1.5 a 0.85 x 100,000 habitantes). Las provincias que presentaron las tasas específicas mayores, en orden descendente, fueron: Darién, Colón y Los Santos (2015), Darién, Chiriquí y Colón (2016) y Veraguas, Herrera y Chiriquí (2016).” Todo parece indicar que en los últimos dos años 2018 y 2019 y lo que va de este 2020, los casos de femicidios en el país van en aumento, el cuadro comparativo del párrafo anterior así lo demuestra. Resulta preocupante que las cifras de casos de femicidios vayan en aumento aun cuando se hayan desarrollado políticas públicas en el país encaminadas a velar por la seguridad y la vida de las mujeres, como lo es la Ley 82 del 24 de octubre del 2013 y la creación de los Centros Nacionales de Atención a la Mujer, (CINAMUS).</w:t>
      </w:r>
    </w:p>
    <w:bookmarkEnd w:id="214"/>
    <w:p w14:paraId="52425221" w14:textId="77777777" w:rsidR="009F7DD0" w:rsidRPr="005970E9" w:rsidRDefault="009F7DD0" w:rsidP="009F7DD0">
      <w:pPr>
        <w:spacing w:before="120" w:after="120" w:line="276" w:lineRule="auto"/>
        <w:jc w:val="both"/>
      </w:pPr>
      <w:r w:rsidRPr="005970E9">
        <w:t xml:space="preserve">De 2014 – 2019, se registraron 199 femicidios, de los cuales 133 fueron consumados y 66, en grado de tentativa.  El año que reflejó las cifras más altas fue en el año 2015 que se elevó a 46 femicidio entre consumados y tentativas de femicidios.  Es necesario </w:t>
      </w:r>
      <w:r w:rsidRPr="005970E9">
        <w:lastRenderedPageBreak/>
        <w:t xml:space="preserve">realizar una investigación a profundidad que permita conocer el comportamiento de este delito en al país, desde que se aprobó la Ley 82 en términos generales parece registrar una disminución si se compara con los años 2014 y 2015 que sobrepasaron los 35 casos.  Es necesario conocer a qué se debe este cambio en las cifras si se están desarrollando estrategias institucionales que estén impactando en los datos o si es la aplicación o no del tipo legal de femicidio que se reflejan en los registros de femicidio en el país. </w:t>
      </w:r>
    </w:p>
    <w:p w14:paraId="55559DB2" w14:textId="148C8952" w:rsidR="009F7DD0" w:rsidRPr="005970E9" w:rsidRDefault="009F7DD0" w:rsidP="009F7DD0">
      <w:pPr>
        <w:pStyle w:val="Caption"/>
        <w:spacing w:after="0"/>
        <w:rPr>
          <w:rFonts w:ascii="Century Schoolbook" w:hAnsi="Century Schoolbook"/>
          <w:sz w:val="20"/>
          <w:szCs w:val="20"/>
        </w:rPr>
      </w:pPr>
      <w:bookmarkStart w:id="215" w:name="_Toc42366642"/>
      <w:bookmarkStart w:id="216" w:name="_Toc42549261"/>
      <w:r w:rsidRPr="005970E9">
        <w:rPr>
          <w:rFonts w:ascii="Century Schoolbook" w:hAnsi="Century Schoolbook"/>
          <w:noProof/>
          <w:sz w:val="20"/>
          <w:szCs w:val="20"/>
        </w:rPr>
        <w:drawing>
          <wp:anchor distT="0" distB="0" distL="114300" distR="114300" simplePos="0" relativeHeight="251800617" behindDoc="0" locked="0" layoutInCell="1" allowOverlap="1" wp14:anchorId="57A8D1CD" wp14:editId="02858516">
            <wp:simplePos x="0" y="0"/>
            <wp:positionH relativeFrom="column">
              <wp:posOffset>83820</wp:posOffset>
            </wp:positionH>
            <wp:positionV relativeFrom="paragraph">
              <wp:posOffset>372382</wp:posOffset>
            </wp:positionV>
            <wp:extent cx="5597525" cy="2926080"/>
            <wp:effectExtent l="0" t="0" r="3175" b="7620"/>
            <wp:wrapTopAndBottom/>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5970E9">
        <w:rPr>
          <w:rFonts w:ascii="Century Schoolbook" w:hAnsi="Century Schoolbook"/>
          <w:sz w:val="20"/>
          <w:szCs w:val="20"/>
        </w:rPr>
        <w:t xml:space="preserve">Gráfica </w:t>
      </w:r>
      <w:r w:rsidRPr="005970E9">
        <w:rPr>
          <w:rFonts w:ascii="Century Schoolbook" w:hAnsi="Century Schoolbook"/>
          <w:sz w:val="20"/>
          <w:szCs w:val="20"/>
        </w:rPr>
        <w:fldChar w:fldCharType="begin"/>
      </w:r>
      <w:r w:rsidRPr="005970E9">
        <w:rPr>
          <w:rFonts w:ascii="Century Schoolbook" w:hAnsi="Century Schoolbook"/>
          <w:sz w:val="20"/>
          <w:szCs w:val="20"/>
        </w:rPr>
        <w:instrText xml:space="preserve"> SEQ Gráfica \* ARABIC </w:instrText>
      </w:r>
      <w:r w:rsidRPr="005970E9">
        <w:rPr>
          <w:rFonts w:ascii="Century Schoolbook" w:hAnsi="Century Schoolbook"/>
          <w:sz w:val="20"/>
          <w:szCs w:val="20"/>
        </w:rPr>
        <w:fldChar w:fldCharType="separate"/>
      </w:r>
      <w:r w:rsidR="00641ABD">
        <w:rPr>
          <w:rFonts w:ascii="Century Schoolbook" w:hAnsi="Century Schoolbook"/>
          <w:noProof/>
          <w:sz w:val="20"/>
          <w:szCs w:val="20"/>
        </w:rPr>
        <w:t>29</w:t>
      </w:r>
      <w:r w:rsidRPr="005970E9">
        <w:rPr>
          <w:rFonts w:ascii="Century Schoolbook" w:hAnsi="Century Schoolbook"/>
          <w:sz w:val="20"/>
          <w:szCs w:val="20"/>
        </w:rPr>
        <w:fldChar w:fldCharType="end"/>
      </w:r>
      <w:r w:rsidRPr="005970E9">
        <w:rPr>
          <w:rFonts w:ascii="Century Schoolbook" w:hAnsi="Century Schoolbook"/>
          <w:sz w:val="20"/>
          <w:szCs w:val="20"/>
        </w:rPr>
        <w:t xml:space="preserve">. </w:t>
      </w:r>
      <w:r w:rsidRPr="005970E9">
        <w:rPr>
          <w:rFonts w:ascii="Century Schoolbook" w:hAnsi="Century Schoolbook"/>
          <w:sz w:val="20"/>
          <w:szCs w:val="20"/>
          <w:lang w:val="es-ES"/>
        </w:rPr>
        <w:t>Femicidios consumados y en grado de tentativa en la República de Panamá 2014-2019</w:t>
      </w:r>
      <w:bookmarkEnd w:id="215"/>
      <w:bookmarkEnd w:id="216"/>
    </w:p>
    <w:p w14:paraId="508F8A1C" w14:textId="77777777" w:rsidR="009F7DD0" w:rsidRPr="005970E9" w:rsidRDefault="009F7DD0" w:rsidP="009F7DD0">
      <w:pPr>
        <w:spacing w:after="120" w:line="276" w:lineRule="auto"/>
      </w:pPr>
      <w:r w:rsidRPr="005970E9">
        <w:t>Fuente: Estadística de Ministerio Público, Defensoría del Pueblo, OPVG. Año 2019</w:t>
      </w:r>
    </w:p>
    <w:p w14:paraId="2DB222D9" w14:textId="77777777" w:rsidR="009F7DD0" w:rsidRPr="005970E9" w:rsidRDefault="009F7DD0" w:rsidP="009F7DD0">
      <w:pPr>
        <w:spacing w:before="120" w:after="120" w:line="276" w:lineRule="auto"/>
        <w:jc w:val="both"/>
      </w:pPr>
      <w:r w:rsidRPr="005970E9">
        <w:rPr>
          <w:b/>
        </w:rPr>
        <w:t>Edad de la víctima de femicidio</w:t>
      </w:r>
      <w:r w:rsidRPr="005970E9">
        <w:t>.</w:t>
      </w:r>
    </w:p>
    <w:p w14:paraId="25EFAE08" w14:textId="77777777" w:rsidR="009F7DD0" w:rsidRPr="005970E9" w:rsidRDefault="009F7DD0" w:rsidP="009F7DD0">
      <w:pPr>
        <w:spacing w:before="120" w:after="120" w:line="276" w:lineRule="auto"/>
        <w:jc w:val="both"/>
      </w:pPr>
      <w:r w:rsidRPr="005970E9">
        <w:t xml:space="preserve">En cuanto a la edad de la víctima del total de femicidios consumado y en grado de tentativa que se cometieron entre el 2014-2019, en 112 femicidios la mujer tenía entre 18 y 49 años de edad, lo que refleja que la mayoría de los victimarios acabaron con la vida de mujeres que se encuentran el plena edad productiva y reproductiva y 18 víctimas eran menores de edad entre 0 y 17 años. </w:t>
      </w:r>
    </w:p>
    <w:p w14:paraId="76F44284" w14:textId="77777777" w:rsidR="009F7DD0" w:rsidRPr="005970E9" w:rsidRDefault="009F7DD0" w:rsidP="009F7DD0">
      <w:pPr>
        <w:spacing w:before="120" w:after="120" w:line="276" w:lineRule="auto"/>
        <w:jc w:val="both"/>
        <w:rPr>
          <w:rFonts w:cs="Tahoma"/>
          <w:color w:val="000000"/>
          <w:lang w:eastAsia="en-US"/>
        </w:rPr>
      </w:pPr>
    </w:p>
    <w:p w14:paraId="13A8CB73" w14:textId="1F6103DF" w:rsidR="009F7DD0" w:rsidRPr="005970E9" w:rsidRDefault="009F7DD0" w:rsidP="009F7DD0">
      <w:pPr>
        <w:pStyle w:val="Caption"/>
        <w:jc w:val="both"/>
        <w:rPr>
          <w:rFonts w:ascii="Century Schoolbook" w:hAnsi="Century Schoolbook" w:cs="Tahoma"/>
          <w:bCs/>
          <w:color w:val="000000"/>
          <w:lang w:val="es-ES" w:eastAsia="en-US"/>
        </w:rPr>
      </w:pPr>
      <w:bookmarkStart w:id="217" w:name="_Toc42366643"/>
      <w:bookmarkStart w:id="218" w:name="_Toc42549262"/>
      <w:r w:rsidRPr="005970E9">
        <w:rPr>
          <w:rFonts w:ascii="Century Schoolbook" w:hAnsi="Century Schoolbook"/>
        </w:rPr>
        <w:t xml:space="preserve">Gráfica </w:t>
      </w:r>
      <w:r w:rsidRPr="005970E9">
        <w:rPr>
          <w:rFonts w:ascii="Century Schoolbook" w:hAnsi="Century Schoolbook"/>
        </w:rPr>
        <w:fldChar w:fldCharType="begin"/>
      </w:r>
      <w:r w:rsidRPr="005970E9">
        <w:rPr>
          <w:rFonts w:ascii="Century Schoolbook" w:hAnsi="Century Schoolbook"/>
        </w:rPr>
        <w:instrText>SEQ Gráfica \* ARABIC</w:instrText>
      </w:r>
      <w:r w:rsidRPr="005970E9">
        <w:rPr>
          <w:rFonts w:ascii="Century Schoolbook" w:hAnsi="Century Schoolbook"/>
        </w:rPr>
        <w:fldChar w:fldCharType="separate"/>
      </w:r>
      <w:r w:rsidR="00641ABD">
        <w:rPr>
          <w:rFonts w:ascii="Century Schoolbook" w:hAnsi="Century Schoolbook"/>
          <w:noProof/>
        </w:rPr>
        <w:t>30</w:t>
      </w:r>
      <w:r w:rsidRPr="005970E9">
        <w:rPr>
          <w:rFonts w:ascii="Century Schoolbook" w:hAnsi="Century Schoolbook"/>
        </w:rPr>
        <w:fldChar w:fldCharType="end"/>
      </w:r>
      <w:r w:rsidRPr="005970E9">
        <w:rPr>
          <w:rFonts w:ascii="Century Schoolbook" w:hAnsi="Century Schoolbook"/>
        </w:rPr>
        <w:t xml:space="preserve">. </w:t>
      </w:r>
      <w:r w:rsidRPr="005970E9">
        <w:rPr>
          <w:rFonts w:ascii="Century Schoolbook" w:hAnsi="Century Schoolbook" w:cs="Tahoma"/>
          <w:bCs/>
          <w:color w:val="000000"/>
          <w:lang w:val="es-ES" w:eastAsia="en-US"/>
        </w:rPr>
        <w:t>Femicidios consumados y en grado de tentativa,</w:t>
      </w:r>
      <w:r w:rsidRPr="005970E9">
        <w:rPr>
          <w:rFonts w:ascii="Century Schoolbook" w:hAnsi="Century Schoolbook" w:cs="Tahoma"/>
          <w:bCs/>
          <w:color w:val="000000"/>
          <w:lang w:eastAsia="en-US"/>
        </w:rPr>
        <w:t xml:space="preserve"> </w:t>
      </w:r>
      <w:r w:rsidRPr="005970E9">
        <w:rPr>
          <w:rFonts w:ascii="Century Schoolbook" w:hAnsi="Century Schoolbook" w:cs="Tahoma"/>
          <w:bCs/>
          <w:color w:val="000000"/>
          <w:lang w:val="es-ES" w:eastAsia="en-US"/>
        </w:rPr>
        <w:t>en la república de panamá, según edad de la víctima</w:t>
      </w:r>
      <w:r w:rsidRPr="005970E9">
        <w:rPr>
          <w:rFonts w:ascii="Century Schoolbook" w:hAnsi="Century Schoolbook" w:cs="Tahoma"/>
          <w:bCs/>
          <w:color w:val="000000"/>
          <w:lang w:eastAsia="en-US"/>
        </w:rPr>
        <w:t xml:space="preserve"> </w:t>
      </w:r>
      <w:r w:rsidRPr="005970E9">
        <w:rPr>
          <w:rFonts w:ascii="Century Schoolbook" w:hAnsi="Century Schoolbook" w:cs="Tahoma"/>
          <w:bCs/>
          <w:color w:val="000000"/>
          <w:lang w:val="es-ES" w:eastAsia="en-US"/>
        </w:rPr>
        <w:t>y año de ocurrencia</w:t>
      </w:r>
      <w:r w:rsidRPr="005970E9">
        <w:rPr>
          <w:rFonts w:ascii="Century Schoolbook" w:hAnsi="Century Schoolbook" w:cs="Tahoma"/>
          <w:bCs/>
          <w:color w:val="000000"/>
          <w:lang w:eastAsia="en-US"/>
        </w:rPr>
        <w:t xml:space="preserve"> </w:t>
      </w:r>
      <w:r w:rsidRPr="005970E9">
        <w:rPr>
          <w:rFonts w:ascii="Century Schoolbook" w:hAnsi="Century Schoolbook" w:cs="Tahoma"/>
          <w:bCs/>
          <w:color w:val="000000"/>
          <w:lang w:val="es-ES" w:eastAsia="en-US"/>
        </w:rPr>
        <w:t>2014-2019</w:t>
      </w:r>
      <w:bookmarkEnd w:id="217"/>
      <w:bookmarkEnd w:id="218"/>
    </w:p>
    <w:p w14:paraId="4D91BA3E" w14:textId="77777777" w:rsidR="009F7DD0" w:rsidRPr="005970E9" w:rsidRDefault="009F7DD0" w:rsidP="009F7DD0">
      <w:pPr>
        <w:spacing w:before="120" w:line="276" w:lineRule="auto"/>
        <w:jc w:val="center"/>
      </w:pPr>
      <w:r w:rsidRPr="005970E9">
        <w:rPr>
          <w:noProof/>
        </w:rPr>
        <w:lastRenderedPageBreak/>
        <w:drawing>
          <wp:inline distT="0" distB="0" distL="0" distR="0" wp14:anchorId="574F47C6" wp14:editId="17816C46">
            <wp:extent cx="5740400" cy="2770415"/>
            <wp:effectExtent l="0" t="0" r="12700" b="1143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AA2B097" w14:textId="77777777" w:rsidR="009F7DD0" w:rsidRPr="005970E9" w:rsidRDefault="009F7DD0" w:rsidP="009F7DD0">
      <w:pPr>
        <w:spacing w:after="120" w:line="276" w:lineRule="auto"/>
      </w:pPr>
      <w:r w:rsidRPr="005970E9">
        <w:t>Fuente: Ministerio Público-Defensoría del Pueblo, OPVG. Año 2019</w:t>
      </w:r>
    </w:p>
    <w:p w14:paraId="7E5D8969" w14:textId="77777777" w:rsidR="009F7DD0" w:rsidRPr="005970E9" w:rsidRDefault="009F7DD0" w:rsidP="009F7DD0">
      <w:pPr>
        <w:spacing w:before="120" w:after="120" w:line="276" w:lineRule="auto"/>
        <w:jc w:val="both"/>
        <w:rPr>
          <w:b/>
        </w:rPr>
      </w:pPr>
      <w:r w:rsidRPr="005970E9">
        <w:rPr>
          <w:b/>
        </w:rPr>
        <w:t xml:space="preserve">Tipo de arma usada para cometer el femicidio. </w:t>
      </w:r>
    </w:p>
    <w:p w14:paraId="656D8B4F" w14:textId="77777777" w:rsidR="009F7DD0" w:rsidRPr="005970E9" w:rsidRDefault="009F7DD0" w:rsidP="009F7DD0">
      <w:pPr>
        <w:spacing w:before="120" w:after="120" w:line="276" w:lineRule="auto"/>
        <w:jc w:val="both"/>
        <w:rPr>
          <w:rFonts w:cs="Tahoma"/>
          <w:color w:val="000000"/>
        </w:rPr>
      </w:pPr>
      <w:r w:rsidRPr="005970E9">
        <w:rPr>
          <w:color w:val="000000" w:themeColor="text1"/>
        </w:rPr>
        <w:t xml:space="preserve">En los casos del delito de femicidio parece ser que ha aumentado la saña en este tipo de delito. De </w:t>
      </w:r>
      <w:r w:rsidRPr="005970E9">
        <w:rPr>
          <w:rFonts w:cs="Tahoma"/>
          <w:color w:val="000000" w:themeColor="text1"/>
        </w:rPr>
        <w:t>los 133</w:t>
      </w:r>
      <w:r w:rsidRPr="005970E9">
        <w:rPr>
          <w:color w:val="000000" w:themeColor="text1"/>
        </w:rPr>
        <w:t xml:space="preserve"> femicidios consumados entre los años 2014-2019, en 114, el victimario tuvo una participación activa y más cercana con la víctima. En 82 de los casos el victimario </w:t>
      </w:r>
      <w:r w:rsidRPr="005970E9">
        <w:rPr>
          <w:rFonts w:cs="Tahoma"/>
          <w:color w:val="000000" w:themeColor="text1"/>
        </w:rPr>
        <w:t>usó</w:t>
      </w:r>
      <w:r w:rsidRPr="005970E9">
        <w:rPr>
          <w:color w:val="000000" w:themeColor="text1"/>
        </w:rPr>
        <w:t xml:space="preserve"> un arma blanca, en 20 la asfixia mecánica y en 12 un objeto contundente, asegurándose con sus propias manos de acabar con la vida de la víctima. Este comportamiento ha variado en los últimos cinco años ya que para el año 2011 según el Observatorio Panameño contra la Violencia de Género (OPVG), de la Defensoría del Pueblo el 46% de las muertes violentas de mujeres eran </w:t>
      </w:r>
      <w:r w:rsidRPr="005970E9">
        <w:rPr>
          <w:rFonts w:cs="Tahoma"/>
          <w:color w:val="000000" w:themeColor="text1"/>
        </w:rPr>
        <w:t>cometidas</w:t>
      </w:r>
      <w:r w:rsidRPr="005970E9">
        <w:rPr>
          <w:color w:val="000000" w:themeColor="text1"/>
        </w:rPr>
        <w:t xml:space="preserve"> con armas de fuego. </w:t>
      </w:r>
    </w:p>
    <w:p w14:paraId="368653CE" w14:textId="40558421" w:rsidR="009F7DD0" w:rsidRPr="005970E9" w:rsidRDefault="009F7DD0" w:rsidP="009F7DD0">
      <w:pPr>
        <w:pStyle w:val="Caption"/>
        <w:jc w:val="both"/>
        <w:rPr>
          <w:rFonts w:ascii="Century Schoolbook" w:hAnsi="Century Schoolbook" w:cs="Tahoma"/>
          <w:color w:val="000000"/>
        </w:rPr>
      </w:pPr>
      <w:bookmarkStart w:id="219" w:name="_Toc42366644"/>
      <w:bookmarkStart w:id="220" w:name="_Toc42549263"/>
      <w:r w:rsidRPr="005970E9">
        <w:rPr>
          <w:rFonts w:ascii="Century Schoolbook" w:hAnsi="Century Schoolbook"/>
        </w:rPr>
        <w:t xml:space="preserve">Gráfica </w:t>
      </w:r>
      <w:r w:rsidRPr="005970E9">
        <w:rPr>
          <w:rFonts w:ascii="Century Schoolbook" w:hAnsi="Century Schoolbook"/>
        </w:rPr>
        <w:fldChar w:fldCharType="begin"/>
      </w:r>
      <w:r w:rsidRPr="005970E9">
        <w:rPr>
          <w:rFonts w:ascii="Century Schoolbook" w:hAnsi="Century Schoolbook"/>
        </w:rPr>
        <w:instrText>SEQ Gráfica \* ARABIC</w:instrText>
      </w:r>
      <w:r w:rsidRPr="005970E9">
        <w:rPr>
          <w:rFonts w:ascii="Century Schoolbook" w:hAnsi="Century Schoolbook"/>
        </w:rPr>
        <w:fldChar w:fldCharType="separate"/>
      </w:r>
      <w:r w:rsidR="00641ABD">
        <w:rPr>
          <w:rFonts w:ascii="Century Schoolbook" w:hAnsi="Century Schoolbook"/>
          <w:noProof/>
        </w:rPr>
        <w:t>31</w:t>
      </w:r>
      <w:r w:rsidRPr="005970E9">
        <w:rPr>
          <w:rFonts w:ascii="Century Schoolbook" w:hAnsi="Century Schoolbook"/>
        </w:rPr>
        <w:fldChar w:fldCharType="end"/>
      </w:r>
      <w:r w:rsidRPr="005970E9">
        <w:rPr>
          <w:rFonts w:ascii="Century Schoolbook" w:hAnsi="Century Schoolbook"/>
          <w:noProof/>
        </w:rPr>
        <w:drawing>
          <wp:anchor distT="0" distB="0" distL="114300" distR="114300" simplePos="0" relativeHeight="251801641" behindDoc="0" locked="0" layoutInCell="1" allowOverlap="1" wp14:anchorId="5B236EC7" wp14:editId="795DAEB7">
            <wp:simplePos x="0" y="0"/>
            <wp:positionH relativeFrom="column">
              <wp:posOffset>88265</wp:posOffset>
            </wp:positionH>
            <wp:positionV relativeFrom="paragraph">
              <wp:posOffset>539005</wp:posOffset>
            </wp:positionV>
            <wp:extent cx="5828030" cy="2694940"/>
            <wp:effectExtent l="0" t="0" r="1270" b="10160"/>
            <wp:wrapTopAndBottom/>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5970E9">
        <w:rPr>
          <w:rFonts w:ascii="Century Schoolbook" w:hAnsi="Century Schoolbook"/>
        </w:rPr>
        <w:t xml:space="preserve">. </w:t>
      </w:r>
      <w:r w:rsidRPr="005970E9">
        <w:rPr>
          <w:rFonts w:ascii="Century Schoolbook" w:hAnsi="Century Schoolbook" w:cs="Tahoma"/>
          <w:color w:val="000000"/>
          <w:lang w:val="es-ES"/>
        </w:rPr>
        <w:t>Femicidios consumados y en grado de tentativa,</w:t>
      </w:r>
      <w:r w:rsidRPr="005970E9">
        <w:rPr>
          <w:rFonts w:ascii="Century Schoolbook" w:hAnsi="Century Schoolbook" w:cs="Tahoma"/>
          <w:color w:val="000000"/>
        </w:rPr>
        <w:t xml:space="preserve"> </w:t>
      </w:r>
      <w:r w:rsidRPr="005970E9">
        <w:rPr>
          <w:rFonts w:ascii="Century Schoolbook" w:hAnsi="Century Schoolbook" w:cs="Tahoma"/>
          <w:color w:val="000000"/>
          <w:lang w:val="es-ES"/>
        </w:rPr>
        <w:t xml:space="preserve">en la república de panamá, según arma </w:t>
      </w:r>
      <w:r w:rsidRPr="005970E9">
        <w:rPr>
          <w:rFonts w:ascii="Century Schoolbook" w:hAnsi="Century Schoolbook" w:cs="Tahoma"/>
          <w:color w:val="000000"/>
        </w:rPr>
        <w:t>y</w:t>
      </w:r>
      <w:r w:rsidRPr="005970E9">
        <w:rPr>
          <w:rFonts w:ascii="Century Schoolbook" w:hAnsi="Century Schoolbook" w:cs="Tahoma"/>
          <w:color w:val="000000"/>
          <w:lang w:val="es-ES"/>
        </w:rPr>
        <w:t xml:space="preserve"> año de ocurrencia</w:t>
      </w:r>
      <w:r w:rsidRPr="005970E9">
        <w:rPr>
          <w:rFonts w:ascii="Century Schoolbook" w:hAnsi="Century Schoolbook" w:cs="Tahoma"/>
          <w:color w:val="000000"/>
        </w:rPr>
        <w:t xml:space="preserve"> </w:t>
      </w:r>
      <w:r w:rsidRPr="005970E9">
        <w:rPr>
          <w:rFonts w:ascii="Century Schoolbook" w:hAnsi="Century Schoolbook" w:cs="Tahoma"/>
          <w:color w:val="000000"/>
          <w:lang w:val="es-ES"/>
        </w:rPr>
        <w:t>2014-2019</w:t>
      </w:r>
      <w:bookmarkEnd w:id="219"/>
      <w:bookmarkEnd w:id="220"/>
    </w:p>
    <w:p w14:paraId="5A49D436" w14:textId="77777777" w:rsidR="009F7DD0" w:rsidRPr="005970E9" w:rsidRDefault="009F7DD0" w:rsidP="009F7DD0">
      <w:pPr>
        <w:spacing w:after="120" w:line="276" w:lineRule="auto"/>
        <w:jc w:val="center"/>
      </w:pPr>
      <w:r w:rsidRPr="005970E9">
        <w:lastRenderedPageBreak/>
        <w:t>Fuente: Ministerio Público-Defensoría del Pueblo, OPVG. Año 2019</w:t>
      </w:r>
    </w:p>
    <w:p w14:paraId="5D5EF54E" w14:textId="77777777" w:rsidR="009F7DD0" w:rsidRPr="005970E9" w:rsidRDefault="009F7DD0" w:rsidP="009F7DD0">
      <w:pPr>
        <w:spacing w:before="240" w:after="120" w:line="276" w:lineRule="auto"/>
        <w:jc w:val="both"/>
        <w:rPr>
          <w:rFonts w:eastAsia="Times New Roman"/>
          <w:iCs/>
          <w:lang w:val="es-ES"/>
        </w:rPr>
      </w:pPr>
    </w:p>
    <w:p w14:paraId="1EF59B70" w14:textId="77777777" w:rsidR="009F7DD0" w:rsidRPr="005970E9" w:rsidRDefault="009F7DD0" w:rsidP="009F7DD0">
      <w:pPr>
        <w:spacing w:before="240" w:after="120" w:line="276" w:lineRule="auto"/>
        <w:jc w:val="both"/>
        <w:rPr>
          <w:rFonts w:eastAsia="Times New Roman"/>
          <w:iCs/>
          <w:lang w:val="es-ES"/>
        </w:rPr>
      </w:pPr>
      <w:r w:rsidRPr="005970E9">
        <w:rPr>
          <w:rFonts w:eastAsia="Times New Roman"/>
          <w:iCs/>
          <w:lang w:val="es-ES"/>
        </w:rPr>
        <w:t xml:space="preserve">En el período 2015 a 2019, las provincias de Panamá, Chiriquí y Panamá Oeste, son las que más cantidad de femicidios, se comete con 63 (39%), 27 (17%) y 26 (16%) casos, respectivamente. </w:t>
      </w:r>
    </w:p>
    <w:p w14:paraId="4F58D2F5" w14:textId="6747E15B" w:rsidR="009F7DD0" w:rsidRPr="005970E9" w:rsidRDefault="009D1829" w:rsidP="009D1829">
      <w:pPr>
        <w:pStyle w:val="Caption"/>
        <w:rPr>
          <w:rFonts w:ascii="Century Schoolbook" w:hAnsi="Century Schoolbook" w:cs="Tahoma"/>
          <w:i w:val="0"/>
          <w:iCs w:val="0"/>
        </w:rPr>
      </w:pPr>
      <w:bookmarkStart w:id="221" w:name="_Toc42366645"/>
      <w:bookmarkStart w:id="222" w:name="_Toc42549211"/>
      <w:r w:rsidRPr="005970E9">
        <w:rPr>
          <w:rFonts w:ascii="Century Schoolbook" w:hAnsi="Century Schoolbook"/>
          <w:i w:val="0"/>
          <w:iCs w:val="0"/>
        </w:rPr>
        <w:t xml:space="preserve">Tabla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Tabla \* ARABIC </w:instrText>
      </w:r>
      <w:r w:rsidRPr="005970E9">
        <w:rPr>
          <w:rFonts w:ascii="Century Schoolbook" w:hAnsi="Century Schoolbook"/>
          <w:i w:val="0"/>
          <w:iCs w:val="0"/>
        </w:rPr>
        <w:fldChar w:fldCharType="separate"/>
      </w:r>
      <w:r w:rsidRPr="005970E9">
        <w:rPr>
          <w:rFonts w:ascii="Century Schoolbook" w:hAnsi="Century Schoolbook"/>
          <w:i w:val="0"/>
          <w:iCs w:val="0"/>
          <w:noProof/>
        </w:rPr>
        <w:t>17</w:t>
      </w:r>
      <w:r w:rsidRPr="005970E9">
        <w:rPr>
          <w:rFonts w:ascii="Century Schoolbook" w:hAnsi="Century Schoolbook"/>
          <w:i w:val="0"/>
          <w:iCs w:val="0"/>
        </w:rPr>
        <w:fldChar w:fldCharType="end"/>
      </w:r>
      <w:r w:rsidRPr="005970E9">
        <w:rPr>
          <w:rFonts w:ascii="Century Schoolbook" w:hAnsi="Century Schoolbook"/>
          <w:i w:val="0"/>
          <w:iCs w:val="0"/>
        </w:rPr>
        <w:t xml:space="preserve">. </w:t>
      </w:r>
      <w:r w:rsidR="009F7DD0" w:rsidRPr="005970E9">
        <w:rPr>
          <w:rFonts w:ascii="Century Schoolbook" w:hAnsi="Century Schoolbook" w:cs="Tahoma"/>
          <w:bCs/>
          <w:i w:val="0"/>
          <w:iCs w:val="0"/>
          <w:lang w:val="es-ES"/>
        </w:rPr>
        <w:t>Femicidios consumados y en grado de tentativa,</w:t>
      </w:r>
      <w:r w:rsidR="009F7DD0" w:rsidRPr="005970E9">
        <w:rPr>
          <w:rFonts w:ascii="Century Schoolbook" w:hAnsi="Century Schoolbook" w:cs="Tahoma"/>
          <w:i w:val="0"/>
          <w:iCs w:val="0"/>
        </w:rPr>
        <w:t xml:space="preserve"> </w:t>
      </w:r>
      <w:r w:rsidR="009F7DD0" w:rsidRPr="005970E9">
        <w:rPr>
          <w:rFonts w:ascii="Century Schoolbook" w:hAnsi="Century Schoolbook" w:cs="Tahoma"/>
          <w:bCs/>
          <w:i w:val="0"/>
          <w:iCs w:val="0"/>
          <w:lang w:val="es-ES"/>
        </w:rPr>
        <w:t>en la república de Panamá, según provincia y año de ocurrencia</w:t>
      </w:r>
      <w:r w:rsidR="009F7DD0" w:rsidRPr="005970E9">
        <w:rPr>
          <w:rFonts w:ascii="Century Schoolbook" w:hAnsi="Century Schoolbook" w:cs="Tahoma"/>
          <w:i w:val="0"/>
          <w:iCs w:val="0"/>
        </w:rPr>
        <w:t xml:space="preserve"> </w:t>
      </w:r>
      <w:r w:rsidR="009F7DD0" w:rsidRPr="005970E9">
        <w:rPr>
          <w:rFonts w:ascii="Century Schoolbook" w:hAnsi="Century Schoolbook" w:cs="Tahoma"/>
          <w:bCs/>
          <w:i w:val="0"/>
          <w:iCs w:val="0"/>
          <w:lang w:val="es-ES"/>
        </w:rPr>
        <w:t>2015-2019.</w:t>
      </w:r>
      <w:bookmarkEnd w:id="221"/>
      <w:bookmarkEnd w:id="222"/>
    </w:p>
    <w:tbl>
      <w:tblPr>
        <w:tblW w:w="10975" w:type="dxa"/>
        <w:tblInd w:w="-833" w:type="dxa"/>
        <w:tblCellMar>
          <w:left w:w="70" w:type="dxa"/>
          <w:right w:w="70" w:type="dxa"/>
        </w:tblCellMar>
        <w:tblLook w:val="04A0" w:firstRow="1" w:lastRow="0" w:firstColumn="1" w:lastColumn="0" w:noHBand="0" w:noVBand="1"/>
      </w:tblPr>
      <w:tblGrid>
        <w:gridCol w:w="1082"/>
        <w:gridCol w:w="674"/>
        <w:gridCol w:w="1021"/>
        <w:gridCol w:w="984"/>
        <w:gridCol w:w="837"/>
        <w:gridCol w:w="996"/>
        <w:gridCol w:w="776"/>
        <w:gridCol w:w="959"/>
        <w:gridCol w:w="1106"/>
        <w:gridCol w:w="845"/>
        <w:gridCol w:w="960"/>
        <w:gridCol w:w="735"/>
      </w:tblGrid>
      <w:tr w:rsidR="009F7DD0" w:rsidRPr="005970E9" w14:paraId="557272E5" w14:textId="77777777" w:rsidTr="009D1829">
        <w:trPr>
          <w:trHeight w:val="576"/>
        </w:trPr>
        <w:tc>
          <w:tcPr>
            <w:tcW w:w="1082"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hideMark/>
          </w:tcPr>
          <w:p w14:paraId="1DA1CE7B" w14:textId="57B3AB04" w:rsidR="009F7DD0" w:rsidRPr="005970E9" w:rsidRDefault="009F7DD0" w:rsidP="009F7DD0">
            <w:pPr>
              <w:rPr>
                <w:rFonts w:eastAsia="Times New Roman"/>
                <w:color w:val="000000"/>
              </w:rPr>
            </w:pPr>
          </w:p>
        </w:tc>
        <w:tc>
          <w:tcPr>
            <w:tcW w:w="674" w:type="dxa"/>
            <w:tcBorders>
              <w:top w:val="single" w:sz="4" w:space="0" w:color="auto"/>
              <w:left w:val="nil"/>
              <w:bottom w:val="single" w:sz="4" w:space="0" w:color="auto"/>
              <w:right w:val="single" w:sz="4" w:space="0" w:color="auto"/>
            </w:tcBorders>
            <w:shd w:val="clear" w:color="auto" w:fill="B2A1C7" w:themeFill="accent4" w:themeFillTint="99"/>
            <w:noWrap/>
            <w:hideMark/>
          </w:tcPr>
          <w:p w14:paraId="637B177A" w14:textId="77777777" w:rsidR="009F7DD0" w:rsidRPr="005970E9" w:rsidRDefault="009F7DD0" w:rsidP="009F7DD0">
            <w:pPr>
              <w:rPr>
                <w:rFonts w:eastAsia="Times New Roman"/>
                <w:color w:val="000000"/>
              </w:rPr>
            </w:pPr>
            <w:r w:rsidRPr="005970E9">
              <w:rPr>
                <w:rFonts w:eastAsia="Times New Roman"/>
                <w:color w:val="000000"/>
              </w:rPr>
              <w:t>Total</w:t>
            </w:r>
          </w:p>
        </w:tc>
        <w:tc>
          <w:tcPr>
            <w:tcW w:w="1021" w:type="dxa"/>
            <w:tcBorders>
              <w:top w:val="single" w:sz="4" w:space="0" w:color="auto"/>
              <w:left w:val="nil"/>
              <w:bottom w:val="single" w:sz="4" w:space="0" w:color="auto"/>
              <w:right w:val="single" w:sz="4" w:space="0" w:color="auto"/>
            </w:tcBorders>
            <w:shd w:val="clear" w:color="auto" w:fill="B2A1C7" w:themeFill="accent4" w:themeFillTint="99"/>
            <w:noWrap/>
            <w:hideMark/>
          </w:tcPr>
          <w:p w14:paraId="04409883" w14:textId="77777777" w:rsidR="009F7DD0" w:rsidRPr="005970E9" w:rsidRDefault="009F7DD0" w:rsidP="009F7DD0">
            <w:pPr>
              <w:rPr>
                <w:rFonts w:eastAsia="Times New Roman"/>
                <w:color w:val="000000"/>
              </w:rPr>
            </w:pPr>
            <w:r w:rsidRPr="005970E9">
              <w:rPr>
                <w:rFonts w:eastAsia="Times New Roman"/>
                <w:color w:val="000000"/>
              </w:rPr>
              <w:t>Panamá</w:t>
            </w:r>
          </w:p>
        </w:tc>
        <w:tc>
          <w:tcPr>
            <w:tcW w:w="984" w:type="dxa"/>
            <w:tcBorders>
              <w:top w:val="single" w:sz="4" w:space="0" w:color="auto"/>
              <w:left w:val="nil"/>
              <w:bottom w:val="single" w:sz="4" w:space="0" w:color="auto"/>
              <w:right w:val="single" w:sz="4" w:space="0" w:color="auto"/>
            </w:tcBorders>
            <w:shd w:val="clear" w:color="auto" w:fill="B2A1C7" w:themeFill="accent4" w:themeFillTint="99"/>
            <w:hideMark/>
          </w:tcPr>
          <w:p w14:paraId="3D27905D" w14:textId="77777777" w:rsidR="009F7DD0" w:rsidRPr="005970E9" w:rsidRDefault="009F7DD0" w:rsidP="009F7DD0">
            <w:pPr>
              <w:rPr>
                <w:rFonts w:eastAsia="Times New Roman"/>
                <w:color w:val="000000"/>
              </w:rPr>
            </w:pPr>
            <w:r w:rsidRPr="005970E9">
              <w:rPr>
                <w:rFonts w:eastAsia="Times New Roman"/>
                <w:color w:val="000000"/>
              </w:rPr>
              <w:t>Panamá Oeste</w:t>
            </w:r>
          </w:p>
        </w:tc>
        <w:tc>
          <w:tcPr>
            <w:tcW w:w="837" w:type="dxa"/>
            <w:tcBorders>
              <w:top w:val="single" w:sz="4" w:space="0" w:color="auto"/>
              <w:left w:val="nil"/>
              <w:bottom w:val="single" w:sz="4" w:space="0" w:color="auto"/>
              <w:right w:val="single" w:sz="4" w:space="0" w:color="auto"/>
            </w:tcBorders>
            <w:shd w:val="clear" w:color="auto" w:fill="B2A1C7" w:themeFill="accent4" w:themeFillTint="99"/>
            <w:hideMark/>
          </w:tcPr>
          <w:p w14:paraId="31DA1129" w14:textId="77777777" w:rsidR="009F7DD0" w:rsidRPr="005970E9" w:rsidRDefault="009F7DD0" w:rsidP="009F7DD0">
            <w:pPr>
              <w:rPr>
                <w:rFonts w:eastAsia="Times New Roman"/>
                <w:color w:val="000000"/>
              </w:rPr>
            </w:pPr>
            <w:r w:rsidRPr="005970E9">
              <w:rPr>
                <w:rFonts w:eastAsia="Times New Roman"/>
                <w:color w:val="000000"/>
              </w:rPr>
              <w:t>Colón</w:t>
            </w:r>
          </w:p>
        </w:tc>
        <w:tc>
          <w:tcPr>
            <w:tcW w:w="996" w:type="dxa"/>
            <w:tcBorders>
              <w:top w:val="single" w:sz="4" w:space="0" w:color="auto"/>
              <w:left w:val="nil"/>
              <w:bottom w:val="single" w:sz="4" w:space="0" w:color="auto"/>
              <w:right w:val="single" w:sz="4" w:space="0" w:color="auto"/>
            </w:tcBorders>
            <w:shd w:val="clear" w:color="auto" w:fill="B2A1C7" w:themeFill="accent4" w:themeFillTint="99"/>
            <w:hideMark/>
          </w:tcPr>
          <w:p w14:paraId="15D10F6A" w14:textId="77777777" w:rsidR="009F7DD0" w:rsidRPr="005970E9" w:rsidRDefault="009F7DD0" w:rsidP="009F7DD0">
            <w:pPr>
              <w:rPr>
                <w:rFonts w:eastAsia="Times New Roman"/>
                <w:color w:val="000000"/>
              </w:rPr>
            </w:pPr>
            <w:r w:rsidRPr="005970E9">
              <w:rPr>
                <w:rFonts w:eastAsia="Times New Roman"/>
                <w:color w:val="000000"/>
              </w:rPr>
              <w:t>Chiriquí</w:t>
            </w:r>
          </w:p>
        </w:tc>
        <w:tc>
          <w:tcPr>
            <w:tcW w:w="776" w:type="dxa"/>
            <w:tcBorders>
              <w:top w:val="single" w:sz="4" w:space="0" w:color="auto"/>
              <w:left w:val="nil"/>
              <w:bottom w:val="single" w:sz="4" w:space="0" w:color="auto"/>
              <w:right w:val="single" w:sz="4" w:space="0" w:color="auto"/>
            </w:tcBorders>
            <w:shd w:val="clear" w:color="auto" w:fill="B2A1C7" w:themeFill="accent4" w:themeFillTint="99"/>
            <w:noWrap/>
            <w:hideMark/>
          </w:tcPr>
          <w:p w14:paraId="10490DDB" w14:textId="77777777" w:rsidR="009F7DD0" w:rsidRPr="005970E9" w:rsidRDefault="009F7DD0" w:rsidP="009F7DD0">
            <w:pPr>
              <w:rPr>
                <w:rFonts w:eastAsia="Times New Roman"/>
                <w:color w:val="000000"/>
              </w:rPr>
            </w:pPr>
            <w:r w:rsidRPr="005970E9">
              <w:rPr>
                <w:rFonts w:eastAsia="Times New Roman"/>
                <w:color w:val="000000"/>
              </w:rPr>
              <w:t>Coclé</w:t>
            </w:r>
          </w:p>
        </w:tc>
        <w:tc>
          <w:tcPr>
            <w:tcW w:w="959" w:type="dxa"/>
            <w:tcBorders>
              <w:top w:val="single" w:sz="4" w:space="0" w:color="auto"/>
              <w:left w:val="nil"/>
              <w:bottom w:val="single" w:sz="4" w:space="0" w:color="auto"/>
              <w:right w:val="single" w:sz="4" w:space="0" w:color="auto"/>
            </w:tcBorders>
            <w:shd w:val="clear" w:color="auto" w:fill="B2A1C7" w:themeFill="accent4" w:themeFillTint="99"/>
            <w:noWrap/>
            <w:hideMark/>
          </w:tcPr>
          <w:p w14:paraId="5DA554D0" w14:textId="77777777" w:rsidR="009F7DD0" w:rsidRPr="005970E9" w:rsidRDefault="009F7DD0" w:rsidP="009F7DD0">
            <w:pPr>
              <w:rPr>
                <w:rFonts w:eastAsia="Times New Roman"/>
                <w:color w:val="000000"/>
              </w:rPr>
            </w:pPr>
            <w:r w:rsidRPr="005970E9">
              <w:rPr>
                <w:rFonts w:eastAsia="Times New Roman"/>
                <w:color w:val="000000"/>
              </w:rPr>
              <w:t>Herrera</w:t>
            </w:r>
          </w:p>
        </w:tc>
        <w:tc>
          <w:tcPr>
            <w:tcW w:w="1106" w:type="dxa"/>
            <w:tcBorders>
              <w:top w:val="single" w:sz="4" w:space="0" w:color="auto"/>
              <w:left w:val="nil"/>
              <w:bottom w:val="single" w:sz="4" w:space="0" w:color="auto"/>
              <w:right w:val="single" w:sz="4" w:space="0" w:color="auto"/>
            </w:tcBorders>
            <w:shd w:val="clear" w:color="auto" w:fill="B2A1C7" w:themeFill="accent4" w:themeFillTint="99"/>
            <w:noWrap/>
            <w:hideMark/>
          </w:tcPr>
          <w:p w14:paraId="2AB389A1" w14:textId="77777777" w:rsidR="009F7DD0" w:rsidRPr="005970E9" w:rsidRDefault="009F7DD0" w:rsidP="009F7DD0">
            <w:pPr>
              <w:rPr>
                <w:rFonts w:eastAsia="Times New Roman"/>
                <w:color w:val="000000"/>
              </w:rPr>
            </w:pPr>
            <w:r w:rsidRPr="005970E9">
              <w:rPr>
                <w:rFonts w:eastAsia="Times New Roman"/>
                <w:color w:val="000000"/>
              </w:rPr>
              <w:t>Veraguas</w:t>
            </w:r>
          </w:p>
        </w:tc>
        <w:tc>
          <w:tcPr>
            <w:tcW w:w="845" w:type="dxa"/>
            <w:tcBorders>
              <w:top w:val="single" w:sz="4" w:space="0" w:color="auto"/>
              <w:left w:val="nil"/>
              <w:bottom w:val="single" w:sz="4" w:space="0" w:color="auto"/>
              <w:right w:val="single" w:sz="4" w:space="0" w:color="auto"/>
            </w:tcBorders>
            <w:shd w:val="clear" w:color="auto" w:fill="B2A1C7" w:themeFill="accent4" w:themeFillTint="99"/>
            <w:noWrap/>
            <w:hideMark/>
          </w:tcPr>
          <w:p w14:paraId="44B3A5B4" w14:textId="77777777" w:rsidR="009F7DD0" w:rsidRPr="005970E9" w:rsidRDefault="009F7DD0" w:rsidP="009F7DD0">
            <w:pPr>
              <w:rPr>
                <w:rFonts w:eastAsia="Times New Roman"/>
                <w:color w:val="000000"/>
              </w:rPr>
            </w:pPr>
            <w:r w:rsidRPr="005970E9">
              <w:rPr>
                <w:rFonts w:eastAsia="Times New Roman"/>
                <w:color w:val="000000"/>
              </w:rPr>
              <w:t>Darién</w:t>
            </w:r>
          </w:p>
        </w:tc>
        <w:tc>
          <w:tcPr>
            <w:tcW w:w="960" w:type="dxa"/>
            <w:tcBorders>
              <w:top w:val="single" w:sz="4" w:space="0" w:color="auto"/>
              <w:left w:val="nil"/>
              <w:bottom w:val="single" w:sz="4" w:space="0" w:color="auto"/>
              <w:right w:val="single" w:sz="4" w:space="0" w:color="auto"/>
            </w:tcBorders>
            <w:shd w:val="clear" w:color="auto" w:fill="B2A1C7" w:themeFill="accent4" w:themeFillTint="99"/>
            <w:noWrap/>
            <w:hideMark/>
          </w:tcPr>
          <w:p w14:paraId="3AE8B76B" w14:textId="77777777" w:rsidR="009F7DD0" w:rsidRPr="005970E9" w:rsidRDefault="009F7DD0" w:rsidP="009F7DD0">
            <w:pPr>
              <w:rPr>
                <w:rFonts w:eastAsia="Times New Roman"/>
                <w:color w:val="000000"/>
              </w:rPr>
            </w:pPr>
            <w:r w:rsidRPr="005970E9">
              <w:rPr>
                <w:rFonts w:eastAsia="Times New Roman"/>
                <w:color w:val="000000"/>
              </w:rPr>
              <w:t>Los Santos</w:t>
            </w:r>
          </w:p>
        </w:tc>
        <w:tc>
          <w:tcPr>
            <w:tcW w:w="735" w:type="dxa"/>
            <w:tcBorders>
              <w:top w:val="single" w:sz="4" w:space="0" w:color="auto"/>
              <w:left w:val="nil"/>
              <w:bottom w:val="single" w:sz="4" w:space="0" w:color="auto"/>
              <w:right w:val="single" w:sz="4" w:space="0" w:color="auto"/>
            </w:tcBorders>
            <w:shd w:val="clear" w:color="auto" w:fill="B2A1C7" w:themeFill="accent4" w:themeFillTint="99"/>
            <w:noWrap/>
            <w:hideMark/>
          </w:tcPr>
          <w:p w14:paraId="0CD15339" w14:textId="77777777" w:rsidR="009F7DD0" w:rsidRPr="005970E9" w:rsidRDefault="009F7DD0" w:rsidP="009F7DD0">
            <w:pPr>
              <w:rPr>
                <w:rFonts w:eastAsia="Times New Roman"/>
                <w:color w:val="000000"/>
              </w:rPr>
            </w:pPr>
            <w:r w:rsidRPr="005970E9">
              <w:rPr>
                <w:rFonts w:eastAsia="Times New Roman"/>
                <w:color w:val="000000"/>
              </w:rPr>
              <w:t>Bocas del Toro</w:t>
            </w:r>
          </w:p>
        </w:tc>
      </w:tr>
      <w:tr w:rsidR="009F7DD0" w:rsidRPr="005970E9" w14:paraId="25AB145A" w14:textId="77777777" w:rsidTr="009D1829">
        <w:trPr>
          <w:trHeight w:val="288"/>
        </w:trPr>
        <w:tc>
          <w:tcPr>
            <w:tcW w:w="1082" w:type="dxa"/>
            <w:tcBorders>
              <w:top w:val="nil"/>
              <w:left w:val="single" w:sz="4" w:space="0" w:color="auto"/>
              <w:bottom w:val="single" w:sz="4" w:space="0" w:color="auto"/>
              <w:right w:val="single" w:sz="4" w:space="0" w:color="auto"/>
            </w:tcBorders>
            <w:shd w:val="clear" w:color="auto" w:fill="auto"/>
            <w:noWrap/>
            <w:hideMark/>
          </w:tcPr>
          <w:p w14:paraId="22AE9615" w14:textId="77777777" w:rsidR="009F7DD0" w:rsidRPr="005970E9" w:rsidRDefault="009F7DD0" w:rsidP="009F7DD0">
            <w:pPr>
              <w:rPr>
                <w:rFonts w:eastAsia="Times New Roman" w:cs="Arial"/>
                <w:sz w:val="20"/>
                <w:szCs w:val="20"/>
              </w:rPr>
            </w:pPr>
            <w:r w:rsidRPr="005970E9">
              <w:rPr>
                <w:rFonts w:eastAsia="Times New Roman" w:cs="Arial"/>
                <w:sz w:val="20"/>
                <w:szCs w:val="20"/>
              </w:rPr>
              <w:t>Total</w:t>
            </w:r>
          </w:p>
        </w:tc>
        <w:tc>
          <w:tcPr>
            <w:tcW w:w="674" w:type="dxa"/>
            <w:tcBorders>
              <w:top w:val="nil"/>
              <w:left w:val="nil"/>
              <w:bottom w:val="single" w:sz="4" w:space="0" w:color="auto"/>
              <w:right w:val="single" w:sz="4" w:space="0" w:color="auto"/>
            </w:tcBorders>
            <w:shd w:val="clear" w:color="auto" w:fill="auto"/>
            <w:noWrap/>
            <w:hideMark/>
          </w:tcPr>
          <w:p w14:paraId="1EC063C5" w14:textId="77777777" w:rsidR="009F7DD0" w:rsidRPr="005970E9" w:rsidRDefault="009F7DD0" w:rsidP="009F7DD0">
            <w:pPr>
              <w:jc w:val="right"/>
              <w:rPr>
                <w:rFonts w:eastAsia="Times New Roman" w:cs="Arial"/>
                <w:sz w:val="20"/>
                <w:szCs w:val="20"/>
              </w:rPr>
            </w:pPr>
            <w:r w:rsidRPr="005970E9">
              <w:rPr>
                <w:rFonts w:eastAsia="Times New Roman" w:cs="Arial"/>
                <w:sz w:val="20"/>
                <w:szCs w:val="20"/>
              </w:rPr>
              <w:t>160</w:t>
            </w:r>
          </w:p>
        </w:tc>
        <w:tc>
          <w:tcPr>
            <w:tcW w:w="1021" w:type="dxa"/>
            <w:tcBorders>
              <w:top w:val="nil"/>
              <w:left w:val="nil"/>
              <w:bottom w:val="single" w:sz="4" w:space="0" w:color="auto"/>
              <w:right w:val="single" w:sz="4" w:space="0" w:color="auto"/>
            </w:tcBorders>
            <w:shd w:val="clear" w:color="auto" w:fill="auto"/>
            <w:noWrap/>
            <w:hideMark/>
          </w:tcPr>
          <w:p w14:paraId="55C042A0" w14:textId="77777777" w:rsidR="009F7DD0" w:rsidRPr="005970E9" w:rsidRDefault="009F7DD0" w:rsidP="009F7DD0">
            <w:pPr>
              <w:jc w:val="right"/>
              <w:rPr>
                <w:rFonts w:eastAsia="Times New Roman"/>
                <w:color w:val="000000"/>
              </w:rPr>
            </w:pPr>
            <w:r w:rsidRPr="005970E9">
              <w:rPr>
                <w:rFonts w:eastAsia="Times New Roman"/>
                <w:color w:val="000000"/>
              </w:rPr>
              <w:t>63</w:t>
            </w:r>
          </w:p>
        </w:tc>
        <w:tc>
          <w:tcPr>
            <w:tcW w:w="984" w:type="dxa"/>
            <w:tcBorders>
              <w:top w:val="nil"/>
              <w:left w:val="nil"/>
              <w:bottom w:val="single" w:sz="4" w:space="0" w:color="auto"/>
              <w:right w:val="single" w:sz="4" w:space="0" w:color="auto"/>
            </w:tcBorders>
            <w:shd w:val="clear" w:color="auto" w:fill="auto"/>
            <w:noWrap/>
            <w:hideMark/>
          </w:tcPr>
          <w:p w14:paraId="4BC8C798" w14:textId="77777777" w:rsidR="009F7DD0" w:rsidRPr="005970E9" w:rsidRDefault="009F7DD0" w:rsidP="009F7DD0">
            <w:pPr>
              <w:jc w:val="right"/>
              <w:rPr>
                <w:rFonts w:eastAsia="Times New Roman"/>
                <w:color w:val="000000"/>
              </w:rPr>
            </w:pPr>
            <w:r w:rsidRPr="005970E9">
              <w:rPr>
                <w:rFonts w:eastAsia="Times New Roman"/>
                <w:color w:val="000000"/>
              </w:rPr>
              <w:t>26</w:t>
            </w:r>
          </w:p>
        </w:tc>
        <w:tc>
          <w:tcPr>
            <w:tcW w:w="837" w:type="dxa"/>
            <w:tcBorders>
              <w:top w:val="nil"/>
              <w:left w:val="nil"/>
              <w:bottom w:val="single" w:sz="4" w:space="0" w:color="auto"/>
              <w:right w:val="single" w:sz="4" w:space="0" w:color="auto"/>
            </w:tcBorders>
            <w:shd w:val="clear" w:color="auto" w:fill="auto"/>
            <w:noWrap/>
            <w:hideMark/>
          </w:tcPr>
          <w:p w14:paraId="709DF964" w14:textId="77777777" w:rsidR="009F7DD0" w:rsidRPr="005970E9" w:rsidRDefault="009F7DD0" w:rsidP="009F7DD0">
            <w:pPr>
              <w:jc w:val="right"/>
              <w:rPr>
                <w:rFonts w:eastAsia="Times New Roman"/>
                <w:color w:val="000000"/>
              </w:rPr>
            </w:pPr>
            <w:r w:rsidRPr="005970E9">
              <w:rPr>
                <w:rFonts w:eastAsia="Times New Roman"/>
                <w:color w:val="000000"/>
              </w:rPr>
              <w:t>11</w:t>
            </w:r>
          </w:p>
        </w:tc>
        <w:tc>
          <w:tcPr>
            <w:tcW w:w="996" w:type="dxa"/>
            <w:tcBorders>
              <w:top w:val="nil"/>
              <w:left w:val="nil"/>
              <w:bottom w:val="single" w:sz="4" w:space="0" w:color="auto"/>
              <w:right w:val="single" w:sz="4" w:space="0" w:color="auto"/>
            </w:tcBorders>
            <w:shd w:val="clear" w:color="auto" w:fill="auto"/>
            <w:noWrap/>
            <w:hideMark/>
          </w:tcPr>
          <w:p w14:paraId="77757619" w14:textId="77777777" w:rsidR="009F7DD0" w:rsidRPr="005970E9" w:rsidRDefault="009F7DD0" w:rsidP="009F7DD0">
            <w:pPr>
              <w:jc w:val="right"/>
              <w:rPr>
                <w:rFonts w:eastAsia="Times New Roman"/>
                <w:color w:val="000000"/>
              </w:rPr>
            </w:pPr>
            <w:r w:rsidRPr="005970E9">
              <w:rPr>
                <w:rFonts w:eastAsia="Times New Roman"/>
                <w:color w:val="000000"/>
              </w:rPr>
              <w:t>27</w:t>
            </w:r>
          </w:p>
        </w:tc>
        <w:tc>
          <w:tcPr>
            <w:tcW w:w="776" w:type="dxa"/>
            <w:tcBorders>
              <w:top w:val="nil"/>
              <w:left w:val="nil"/>
              <w:bottom w:val="single" w:sz="4" w:space="0" w:color="auto"/>
              <w:right w:val="single" w:sz="4" w:space="0" w:color="auto"/>
            </w:tcBorders>
            <w:shd w:val="clear" w:color="auto" w:fill="auto"/>
            <w:noWrap/>
            <w:hideMark/>
          </w:tcPr>
          <w:p w14:paraId="70409830" w14:textId="77777777" w:rsidR="009F7DD0" w:rsidRPr="005970E9" w:rsidRDefault="009F7DD0" w:rsidP="009F7DD0">
            <w:pPr>
              <w:jc w:val="right"/>
              <w:rPr>
                <w:rFonts w:eastAsia="Times New Roman"/>
                <w:color w:val="000000"/>
              </w:rPr>
            </w:pPr>
            <w:r w:rsidRPr="005970E9">
              <w:rPr>
                <w:rFonts w:eastAsia="Times New Roman"/>
                <w:color w:val="000000"/>
              </w:rPr>
              <w:t>10</w:t>
            </w:r>
          </w:p>
        </w:tc>
        <w:tc>
          <w:tcPr>
            <w:tcW w:w="959" w:type="dxa"/>
            <w:tcBorders>
              <w:top w:val="nil"/>
              <w:left w:val="nil"/>
              <w:bottom w:val="single" w:sz="4" w:space="0" w:color="auto"/>
              <w:right w:val="single" w:sz="4" w:space="0" w:color="auto"/>
            </w:tcBorders>
            <w:shd w:val="clear" w:color="auto" w:fill="auto"/>
            <w:noWrap/>
            <w:hideMark/>
          </w:tcPr>
          <w:p w14:paraId="791B540F" w14:textId="77777777" w:rsidR="009F7DD0" w:rsidRPr="005970E9" w:rsidRDefault="009F7DD0" w:rsidP="009F7DD0">
            <w:pPr>
              <w:jc w:val="right"/>
              <w:rPr>
                <w:rFonts w:eastAsia="Times New Roman"/>
                <w:color w:val="000000"/>
              </w:rPr>
            </w:pPr>
            <w:r w:rsidRPr="005970E9">
              <w:rPr>
                <w:rFonts w:eastAsia="Times New Roman"/>
                <w:color w:val="000000"/>
              </w:rPr>
              <w:t>2</w:t>
            </w:r>
          </w:p>
        </w:tc>
        <w:tc>
          <w:tcPr>
            <w:tcW w:w="1106" w:type="dxa"/>
            <w:tcBorders>
              <w:top w:val="nil"/>
              <w:left w:val="nil"/>
              <w:bottom w:val="single" w:sz="4" w:space="0" w:color="auto"/>
              <w:right w:val="single" w:sz="4" w:space="0" w:color="auto"/>
            </w:tcBorders>
            <w:shd w:val="clear" w:color="auto" w:fill="auto"/>
            <w:noWrap/>
            <w:hideMark/>
          </w:tcPr>
          <w:p w14:paraId="2874AF93" w14:textId="77777777" w:rsidR="009F7DD0" w:rsidRPr="005970E9" w:rsidRDefault="009F7DD0" w:rsidP="009F7DD0">
            <w:pPr>
              <w:jc w:val="right"/>
              <w:rPr>
                <w:rFonts w:eastAsia="Times New Roman"/>
                <w:color w:val="000000"/>
              </w:rPr>
            </w:pPr>
            <w:r w:rsidRPr="005970E9">
              <w:rPr>
                <w:rFonts w:eastAsia="Times New Roman"/>
                <w:color w:val="000000"/>
              </w:rPr>
              <w:t>14</w:t>
            </w:r>
          </w:p>
        </w:tc>
        <w:tc>
          <w:tcPr>
            <w:tcW w:w="845" w:type="dxa"/>
            <w:tcBorders>
              <w:top w:val="nil"/>
              <w:left w:val="nil"/>
              <w:bottom w:val="single" w:sz="4" w:space="0" w:color="auto"/>
              <w:right w:val="single" w:sz="4" w:space="0" w:color="auto"/>
            </w:tcBorders>
            <w:shd w:val="clear" w:color="auto" w:fill="auto"/>
            <w:noWrap/>
            <w:hideMark/>
          </w:tcPr>
          <w:p w14:paraId="1F805214" w14:textId="77777777" w:rsidR="009F7DD0" w:rsidRPr="005970E9" w:rsidRDefault="009F7DD0" w:rsidP="009F7DD0">
            <w:pPr>
              <w:jc w:val="right"/>
              <w:rPr>
                <w:rFonts w:eastAsia="Times New Roman"/>
                <w:color w:val="000000"/>
              </w:rPr>
            </w:pPr>
            <w:r w:rsidRPr="005970E9">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hideMark/>
          </w:tcPr>
          <w:p w14:paraId="18D97B2C" w14:textId="77777777" w:rsidR="009F7DD0" w:rsidRPr="005970E9" w:rsidRDefault="009F7DD0" w:rsidP="009F7DD0">
            <w:pPr>
              <w:jc w:val="right"/>
              <w:rPr>
                <w:rFonts w:eastAsia="Times New Roman"/>
                <w:color w:val="000000"/>
              </w:rPr>
            </w:pPr>
            <w:r w:rsidRPr="005970E9">
              <w:rPr>
                <w:rFonts w:eastAsia="Times New Roman"/>
                <w:color w:val="000000"/>
              </w:rPr>
              <w:t>2</w:t>
            </w:r>
          </w:p>
        </w:tc>
        <w:tc>
          <w:tcPr>
            <w:tcW w:w="735" w:type="dxa"/>
            <w:tcBorders>
              <w:top w:val="nil"/>
              <w:left w:val="nil"/>
              <w:bottom w:val="single" w:sz="4" w:space="0" w:color="auto"/>
              <w:right w:val="single" w:sz="4" w:space="0" w:color="auto"/>
            </w:tcBorders>
            <w:shd w:val="clear" w:color="auto" w:fill="auto"/>
            <w:noWrap/>
            <w:hideMark/>
          </w:tcPr>
          <w:p w14:paraId="6A56F969" w14:textId="77777777" w:rsidR="009F7DD0" w:rsidRPr="005970E9" w:rsidRDefault="009F7DD0" w:rsidP="009F7DD0">
            <w:pPr>
              <w:jc w:val="right"/>
              <w:rPr>
                <w:rFonts w:eastAsia="Times New Roman"/>
                <w:color w:val="000000"/>
              </w:rPr>
            </w:pPr>
            <w:r w:rsidRPr="005970E9">
              <w:rPr>
                <w:rFonts w:eastAsia="Times New Roman"/>
                <w:color w:val="000000"/>
              </w:rPr>
              <w:t>2</w:t>
            </w:r>
          </w:p>
        </w:tc>
      </w:tr>
      <w:tr w:rsidR="009F7DD0" w:rsidRPr="005970E9" w14:paraId="230E31D9" w14:textId="77777777" w:rsidTr="009D1829">
        <w:trPr>
          <w:trHeight w:val="288"/>
        </w:trPr>
        <w:tc>
          <w:tcPr>
            <w:tcW w:w="1082" w:type="dxa"/>
            <w:tcBorders>
              <w:top w:val="nil"/>
              <w:left w:val="single" w:sz="4" w:space="0" w:color="auto"/>
              <w:bottom w:val="single" w:sz="4" w:space="0" w:color="auto"/>
              <w:right w:val="single" w:sz="4" w:space="0" w:color="auto"/>
            </w:tcBorders>
            <w:shd w:val="clear" w:color="auto" w:fill="auto"/>
            <w:noWrap/>
            <w:hideMark/>
          </w:tcPr>
          <w:p w14:paraId="2F38870E" w14:textId="77777777" w:rsidR="009F7DD0" w:rsidRPr="005970E9" w:rsidRDefault="009F7DD0" w:rsidP="009F7DD0">
            <w:pPr>
              <w:rPr>
                <w:rFonts w:eastAsia="Times New Roman"/>
                <w:color w:val="000000"/>
              </w:rPr>
            </w:pPr>
            <w:r w:rsidRPr="005970E9">
              <w:rPr>
                <w:rFonts w:eastAsia="Times New Roman"/>
                <w:color w:val="000000"/>
              </w:rPr>
              <w:t>Año 2015</w:t>
            </w:r>
          </w:p>
        </w:tc>
        <w:tc>
          <w:tcPr>
            <w:tcW w:w="674" w:type="dxa"/>
            <w:tcBorders>
              <w:top w:val="nil"/>
              <w:left w:val="nil"/>
              <w:bottom w:val="single" w:sz="4" w:space="0" w:color="auto"/>
              <w:right w:val="single" w:sz="4" w:space="0" w:color="auto"/>
            </w:tcBorders>
            <w:shd w:val="clear" w:color="auto" w:fill="auto"/>
            <w:noWrap/>
            <w:hideMark/>
          </w:tcPr>
          <w:p w14:paraId="26A1ED11" w14:textId="77777777" w:rsidR="009F7DD0" w:rsidRPr="005970E9" w:rsidRDefault="009F7DD0" w:rsidP="009F7DD0">
            <w:pPr>
              <w:jc w:val="right"/>
              <w:rPr>
                <w:rFonts w:eastAsia="Times New Roman" w:cs="Arial"/>
                <w:sz w:val="20"/>
                <w:szCs w:val="20"/>
              </w:rPr>
            </w:pPr>
            <w:r w:rsidRPr="005970E9">
              <w:rPr>
                <w:rFonts w:eastAsia="Times New Roman" w:cs="Arial"/>
                <w:sz w:val="20"/>
                <w:szCs w:val="20"/>
              </w:rPr>
              <w:t>46</w:t>
            </w:r>
          </w:p>
        </w:tc>
        <w:tc>
          <w:tcPr>
            <w:tcW w:w="1021" w:type="dxa"/>
            <w:tcBorders>
              <w:top w:val="nil"/>
              <w:left w:val="nil"/>
              <w:bottom w:val="single" w:sz="4" w:space="0" w:color="auto"/>
              <w:right w:val="single" w:sz="4" w:space="0" w:color="auto"/>
            </w:tcBorders>
            <w:shd w:val="clear" w:color="auto" w:fill="auto"/>
            <w:noWrap/>
            <w:hideMark/>
          </w:tcPr>
          <w:p w14:paraId="2D107BDF" w14:textId="77777777" w:rsidR="009F7DD0" w:rsidRPr="005970E9" w:rsidRDefault="009F7DD0" w:rsidP="009F7DD0">
            <w:pPr>
              <w:jc w:val="right"/>
              <w:rPr>
                <w:rFonts w:eastAsia="Times New Roman"/>
                <w:color w:val="000000"/>
              </w:rPr>
            </w:pPr>
            <w:r w:rsidRPr="005970E9">
              <w:rPr>
                <w:rFonts w:eastAsia="Times New Roman"/>
                <w:color w:val="000000"/>
              </w:rPr>
              <w:t>21</w:t>
            </w:r>
          </w:p>
        </w:tc>
        <w:tc>
          <w:tcPr>
            <w:tcW w:w="984" w:type="dxa"/>
            <w:tcBorders>
              <w:top w:val="nil"/>
              <w:left w:val="nil"/>
              <w:bottom w:val="single" w:sz="4" w:space="0" w:color="auto"/>
              <w:right w:val="single" w:sz="4" w:space="0" w:color="auto"/>
            </w:tcBorders>
            <w:shd w:val="clear" w:color="auto" w:fill="auto"/>
            <w:noWrap/>
            <w:hideMark/>
          </w:tcPr>
          <w:p w14:paraId="6C6CD38E" w14:textId="77777777" w:rsidR="009F7DD0" w:rsidRPr="005970E9" w:rsidRDefault="009F7DD0" w:rsidP="009F7DD0">
            <w:pPr>
              <w:jc w:val="right"/>
              <w:rPr>
                <w:rFonts w:eastAsia="Times New Roman"/>
                <w:color w:val="000000"/>
              </w:rPr>
            </w:pPr>
            <w:r w:rsidRPr="005970E9">
              <w:rPr>
                <w:rFonts w:eastAsia="Times New Roman"/>
                <w:color w:val="000000"/>
              </w:rPr>
              <w:t>5</w:t>
            </w:r>
          </w:p>
        </w:tc>
        <w:tc>
          <w:tcPr>
            <w:tcW w:w="837" w:type="dxa"/>
            <w:tcBorders>
              <w:top w:val="nil"/>
              <w:left w:val="nil"/>
              <w:bottom w:val="single" w:sz="4" w:space="0" w:color="auto"/>
              <w:right w:val="single" w:sz="4" w:space="0" w:color="auto"/>
            </w:tcBorders>
            <w:shd w:val="clear" w:color="auto" w:fill="auto"/>
            <w:noWrap/>
            <w:hideMark/>
          </w:tcPr>
          <w:p w14:paraId="25FCDB9C" w14:textId="77777777" w:rsidR="009F7DD0" w:rsidRPr="005970E9" w:rsidRDefault="009F7DD0" w:rsidP="009F7DD0">
            <w:pPr>
              <w:jc w:val="right"/>
              <w:rPr>
                <w:rFonts w:eastAsia="Times New Roman"/>
                <w:color w:val="000000"/>
              </w:rPr>
            </w:pPr>
            <w:r w:rsidRPr="005970E9">
              <w:rPr>
                <w:rFonts w:eastAsia="Times New Roman"/>
                <w:color w:val="000000"/>
              </w:rPr>
              <w:t>4</w:t>
            </w:r>
          </w:p>
        </w:tc>
        <w:tc>
          <w:tcPr>
            <w:tcW w:w="996" w:type="dxa"/>
            <w:tcBorders>
              <w:top w:val="nil"/>
              <w:left w:val="nil"/>
              <w:bottom w:val="single" w:sz="4" w:space="0" w:color="auto"/>
              <w:right w:val="single" w:sz="4" w:space="0" w:color="auto"/>
            </w:tcBorders>
            <w:shd w:val="clear" w:color="auto" w:fill="auto"/>
            <w:noWrap/>
            <w:hideMark/>
          </w:tcPr>
          <w:p w14:paraId="7081AE3C" w14:textId="77777777" w:rsidR="009F7DD0" w:rsidRPr="005970E9" w:rsidRDefault="009F7DD0" w:rsidP="009F7DD0">
            <w:pPr>
              <w:jc w:val="right"/>
              <w:rPr>
                <w:rFonts w:eastAsia="Times New Roman"/>
                <w:color w:val="000000"/>
              </w:rPr>
            </w:pPr>
            <w:r w:rsidRPr="005970E9">
              <w:rPr>
                <w:rFonts w:eastAsia="Times New Roman"/>
                <w:color w:val="000000"/>
              </w:rPr>
              <w:t>4</w:t>
            </w:r>
          </w:p>
        </w:tc>
        <w:tc>
          <w:tcPr>
            <w:tcW w:w="776" w:type="dxa"/>
            <w:tcBorders>
              <w:top w:val="nil"/>
              <w:left w:val="nil"/>
              <w:bottom w:val="single" w:sz="4" w:space="0" w:color="auto"/>
              <w:right w:val="single" w:sz="4" w:space="0" w:color="auto"/>
            </w:tcBorders>
            <w:shd w:val="clear" w:color="auto" w:fill="auto"/>
            <w:noWrap/>
            <w:hideMark/>
          </w:tcPr>
          <w:p w14:paraId="3A062756" w14:textId="77777777" w:rsidR="009F7DD0" w:rsidRPr="005970E9" w:rsidRDefault="009F7DD0" w:rsidP="009F7DD0">
            <w:pPr>
              <w:jc w:val="right"/>
              <w:rPr>
                <w:rFonts w:eastAsia="Times New Roman"/>
                <w:color w:val="000000"/>
              </w:rPr>
            </w:pPr>
            <w:r w:rsidRPr="005970E9">
              <w:rPr>
                <w:rFonts w:eastAsia="Times New Roman"/>
                <w:color w:val="000000"/>
              </w:rPr>
              <w:t>3</w:t>
            </w:r>
          </w:p>
        </w:tc>
        <w:tc>
          <w:tcPr>
            <w:tcW w:w="959" w:type="dxa"/>
            <w:tcBorders>
              <w:top w:val="nil"/>
              <w:left w:val="nil"/>
              <w:bottom w:val="single" w:sz="4" w:space="0" w:color="auto"/>
              <w:right w:val="single" w:sz="4" w:space="0" w:color="auto"/>
            </w:tcBorders>
            <w:shd w:val="clear" w:color="auto" w:fill="auto"/>
            <w:noWrap/>
            <w:hideMark/>
          </w:tcPr>
          <w:p w14:paraId="191FEBAE" w14:textId="77777777" w:rsidR="009F7DD0" w:rsidRPr="005970E9" w:rsidRDefault="009F7DD0" w:rsidP="009F7DD0">
            <w:pPr>
              <w:jc w:val="right"/>
              <w:rPr>
                <w:rFonts w:eastAsia="Times New Roman"/>
                <w:color w:val="000000"/>
              </w:rPr>
            </w:pPr>
            <w:r w:rsidRPr="005970E9">
              <w:rPr>
                <w:rFonts w:eastAsia="Times New Roman"/>
                <w:color w:val="000000"/>
              </w:rPr>
              <w:t>0</w:t>
            </w:r>
          </w:p>
        </w:tc>
        <w:tc>
          <w:tcPr>
            <w:tcW w:w="1106" w:type="dxa"/>
            <w:tcBorders>
              <w:top w:val="nil"/>
              <w:left w:val="nil"/>
              <w:bottom w:val="single" w:sz="4" w:space="0" w:color="auto"/>
              <w:right w:val="single" w:sz="4" w:space="0" w:color="auto"/>
            </w:tcBorders>
            <w:shd w:val="clear" w:color="auto" w:fill="auto"/>
            <w:noWrap/>
            <w:hideMark/>
          </w:tcPr>
          <w:p w14:paraId="78A13917" w14:textId="77777777" w:rsidR="009F7DD0" w:rsidRPr="005970E9" w:rsidRDefault="009F7DD0" w:rsidP="009F7DD0">
            <w:pPr>
              <w:jc w:val="right"/>
              <w:rPr>
                <w:rFonts w:eastAsia="Times New Roman"/>
                <w:color w:val="000000"/>
              </w:rPr>
            </w:pPr>
            <w:r w:rsidRPr="005970E9">
              <w:rPr>
                <w:rFonts w:eastAsia="Times New Roman"/>
                <w:color w:val="000000"/>
              </w:rPr>
              <w:t>4</w:t>
            </w:r>
          </w:p>
        </w:tc>
        <w:tc>
          <w:tcPr>
            <w:tcW w:w="845" w:type="dxa"/>
            <w:tcBorders>
              <w:top w:val="nil"/>
              <w:left w:val="nil"/>
              <w:bottom w:val="single" w:sz="4" w:space="0" w:color="auto"/>
              <w:right w:val="single" w:sz="4" w:space="0" w:color="auto"/>
            </w:tcBorders>
            <w:shd w:val="clear" w:color="auto" w:fill="auto"/>
            <w:noWrap/>
            <w:hideMark/>
          </w:tcPr>
          <w:p w14:paraId="5C18211D" w14:textId="77777777" w:rsidR="009F7DD0" w:rsidRPr="005970E9" w:rsidRDefault="009F7DD0" w:rsidP="009F7DD0">
            <w:pPr>
              <w:jc w:val="right"/>
              <w:rPr>
                <w:rFonts w:eastAsia="Times New Roman"/>
                <w:color w:val="000000"/>
              </w:rPr>
            </w:pPr>
            <w:r w:rsidRPr="005970E9">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hideMark/>
          </w:tcPr>
          <w:p w14:paraId="24BB35D2" w14:textId="77777777" w:rsidR="009F7DD0" w:rsidRPr="005970E9" w:rsidRDefault="009F7DD0" w:rsidP="009F7DD0">
            <w:pPr>
              <w:jc w:val="right"/>
              <w:rPr>
                <w:rFonts w:eastAsia="Times New Roman"/>
                <w:color w:val="000000"/>
              </w:rPr>
            </w:pPr>
            <w:r w:rsidRPr="005970E9">
              <w:rPr>
                <w:rFonts w:eastAsia="Times New Roman"/>
                <w:color w:val="000000"/>
              </w:rPr>
              <w:t>2</w:t>
            </w:r>
          </w:p>
        </w:tc>
        <w:tc>
          <w:tcPr>
            <w:tcW w:w="735" w:type="dxa"/>
            <w:tcBorders>
              <w:top w:val="nil"/>
              <w:left w:val="nil"/>
              <w:bottom w:val="single" w:sz="4" w:space="0" w:color="auto"/>
              <w:right w:val="single" w:sz="4" w:space="0" w:color="auto"/>
            </w:tcBorders>
            <w:shd w:val="clear" w:color="auto" w:fill="auto"/>
            <w:noWrap/>
            <w:hideMark/>
          </w:tcPr>
          <w:p w14:paraId="3D0C7C6D" w14:textId="77777777" w:rsidR="009F7DD0" w:rsidRPr="005970E9" w:rsidRDefault="009F7DD0" w:rsidP="009F7DD0">
            <w:pPr>
              <w:jc w:val="right"/>
              <w:rPr>
                <w:rFonts w:eastAsia="Times New Roman"/>
                <w:color w:val="000000"/>
              </w:rPr>
            </w:pPr>
            <w:r w:rsidRPr="005970E9">
              <w:rPr>
                <w:rFonts w:eastAsia="Times New Roman"/>
                <w:color w:val="000000"/>
              </w:rPr>
              <w:t>1</w:t>
            </w:r>
          </w:p>
        </w:tc>
      </w:tr>
      <w:tr w:rsidR="009F7DD0" w:rsidRPr="005970E9" w14:paraId="578BA134" w14:textId="77777777" w:rsidTr="009D1829">
        <w:trPr>
          <w:trHeight w:val="288"/>
        </w:trPr>
        <w:tc>
          <w:tcPr>
            <w:tcW w:w="1082" w:type="dxa"/>
            <w:tcBorders>
              <w:top w:val="nil"/>
              <w:left w:val="single" w:sz="4" w:space="0" w:color="auto"/>
              <w:bottom w:val="single" w:sz="4" w:space="0" w:color="auto"/>
              <w:right w:val="single" w:sz="4" w:space="0" w:color="auto"/>
            </w:tcBorders>
            <w:shd w:val="clear" w:color="auto" w:fill="auto"/>
            <w:noWrap/>
            <w:hideMark/>
          </w:tcPr>
          <w:p w14:paraId="729B19E9" w14:textId="77777777" w:rsidR="009F7DD0" w:rsidRPr="005970E9" w:rsidRDefault="009F7DD0" w:rsidP="009F7DD0">
            <w:pPr>
              <w:rPr>
                <w:rFonts w:eastAsia="Times New Roman"/>
                <w:color w:val="000000"/>
              </w:rPr>
            </w:pPr>
            <w:r w:rsidRPr="005970E9">
              <w:rPr>
                <w:rFonts w:eastAsia="Times New Roman"/>
                <w:color w:val="000000"/>
              </w:rPr>
              <w:t>Año 2016</w:t>
            </w:r>
          </w:p>
        </w:tc>
        <w:tc>
          <w:tcPr>
            <w:tcW w:w="674" w:type="dxa"/>
            <w:tcBorders>
              <w:top w:val="nil"/>
              <w:left w:val="nil"/>
              <w:bottom w:val="single" w:sz="4" w:space="0" w:color="auto"/>
              <w:right w:val="single" w:sz="4" w:space="0" w:color="auto"/>
            </w:tcBorders>
            <w:shd w:val="clear" w:color="auto" w:fill="auto"/>
            <w:noWrap/>
            <w:hideMark/>
          </w:tcPr>
          <w:p w14:paraId="433DF5CE" w14:textId="77777777" w:rsidR="009F7DD0" w:rsidRPr="005970E9" w:rsidRDefault="009F7DD0" w:rsidP="009F7DD0">
            <w:pPr>
              <w:jc w:val="right"/>
              <w:rPr>
                <w:rFonts w:eastAsia="Times New Roman" w:cs="Arial"/>
                <w:sz w:val="20"/>
                <w:szCs w:val="20"/>
              </w:rPr>
            </w:pPr>
            <w:r w:rsidRPr="005970E9">
              <w:rPr>
                <w:rFonts w:eastAsia="Times New Roman" w:cs="Arial"/>
                <w:sz w:val="20"/>
                <w:szCs w:val="20"/>
              </w:rPr>
              <w:t>23</w:t>
            </w:r>
          </w:p>
        </w:tc>
        <w:tc>
          <w:tcPr>
            <w:tcW w:w="1021" w:type="dxa"/>
            <w:tcBorders>
              <w:top w:val="nil"/>
              <w:left w:val="nil"/>
              <w:bottom w:val="single" w:sz="4" w:space="0" w:color="auto"/>
              <w:right w:val="single" w:sz="4" w:space="0" w:color="auto"/>
            </w:tcBorders>
            <w:shd w:val="clear" w:color="auto" w:fill="auto"/>
            <w:noWrap/>
            <w:hideMark/>
          </w:tcPr>
          <w:p w14:paraId="3B0BCAE9" w14:textId="77777777" w:rsidR="009F7DD0" w:rsidRPr="005970E9" w:rsidRDefault="009F7DD0" w:rsidP="009F7DD0">
            <w:pPr>
              <w:jc w:val="right"/>
              <w:rPr>
                <w:rFonts w:eastAsia="Times New Roman"/>
                <w:color w:val="000000"/>
              </w:rPr>
            </w:pPr>
            <w:r w:rsidRPr="005970E9">
              <w:rPr>
                <w:rFonts w:eastAsia="Times New Roman"/>
                <w:color w:val="000000"/>
              </w:rPr>
              <w:t>7</w:t>
            </w:r>
          </w:p>
        </w:tc>
        <w:tc>
          <w:tcPr>
            <w:tcW w:w="984" w:type="dxa"/>
            <w:tcBorders>
              <w:top w:val="nil"/>
              <w:left w:val="nil"/>
              <w:bottom w:val="single" w:sz="4" w:space="0" w:color="auto"/>
              <w:right w:val="single" w:sz="4" w:space="0" w:color="auto"/>
            </w:tcBorders>
            <w:shd w:val="clear" w:color="auto" w:fill="auto"/>
            <w:noWrap/>
            <w:hideMark/>
          </w:tcPr>
          <w:p w14:paraId="4E7415C6" w14:textId="77777777" w:rsidR="009F7DD0" w:rsidRPr="005970E9" w:rsidRDefault="009F7DD0" w:rsidP="009F7DD0">
            <w:pPr>
              <w:jc w:val="right"/>
              <w:rPr>
                <w:rFonts w:eastAsia="Times New Roman"/>
                <w:color w:val="000000"/>
              </w:rPr>
            </w:pPr>
            <w:r w:rsidRPr="005970E9">
              <w:rPr>
                <w:rFonts w:eastAsia="Times New Roman"/>
                <w:color w:val="000000"/>
              </w:rPr>
              <w:t>3</w:t>
            </w:r>
          </w:p>
        </w:tc>
        <w:tc>
          <w:tcPr>
            <w:tcW w:w="837" w:type="dxa"/>
            <w:tcBorders>
              <w:top w:val="nil"/>
              <w:left w:val="nil"/>
              <w:bottom w:val="single" w:sz="4" w:space="0" w:color="auto"/>
              <w:right w:val="single" w:sz="4" w:space="0" w:color="auto"/>
            </w:tcBorders>
            <w:shd w:val="clear" w:color="auto" w:fill="auto"/>
            <w:noWrap/>
            <w:hideMark/>
          </w:tcPr>
          <w:p w14:paraId="5674318F" w14:textId="77777777" w:rsidR="009F7DD0" w:rsidRPr="005970E9" w:rsidRDefault="009F7DD0" w:rsidP="009F7DD0">
            <w:pPr>
              <w:jc w:val="right"/>
              <w:rPr>
                <w:rFonts w:eastAsia="Times New Roman"/>
                <w:color w:val="000000"/>
              </w:rPr>
            </w:pPr>
            <w:r w:rsidRPr="005970E9">
              <w:rPr>
                <w:rFonts w:eastAsia="Times New Roman"/>
                <w:color w:val="000000"/>
              </w:rPr>
              <w:t>3</w:t>
            </w:r>
          </w:p>
        </w:tc>
        <w:tc>
          <w:tcPr>
            <w:tcW w:w="996" w:type="dxa"/>
            <w:tcBorders>
              <w:top w:val="nil"/>
              <w:left w:val="nil"/>
              <w:bottom w:val="single" w:sz="4" w:space="0" w:color="auto"/>
              <w:right w:val="single" w:sz="4" w:space="0" w:color="auto"/>
            </w:tcBorders>
            <w:shd w:val="clear" w:color="auto" w:fill="auto"/>
            <w:noWrap/>
            <w:hideMark/>
          </w:tcPr>
          <w:p w14:paraId="429E129E" w14:textId="77777777" w:rsidR="009F7DD0" w:rsidRPr="005970E9" w:rsidRDefault="009F7DD0" w:rsidP="009F7DD0">
            <w:pPr>
              <w:jc w:val="right"/>
              <w:rPr>
                <w:rFonts w:eastAsia="Times New Roman"/>
                <w:color w:val="000000"/>
              </w:rPr>
            </w:pPr>
            <w:r w:rsidRPr="005970E9">
              <w:rPr>
                <w:rFonts w:eastAsia="Times New Roman"/>
                <w:color w:val="000000"/>
              </w:rPr>
              <w:t>6</w:t>
            </w:r>
          </w:p>
        </w:tc>
        <w:tc>
          <w:tcPr>
            <w:tcW w:w="776" w:type="dxa"/>
            <w:tcBorders>
              <w:top w:val="nil"/>
              <w:left w:val="nil"/>
              <w:bottom w:val="single" w:sz="4" w:space="0" w:color="auto"/>
              <w:right w:val="single" w:sz="4" w:space="0" w:color="auto"/>
            </w:tcBorders>
            <w:shd w:val="clear" w:color="auto" w:fill="auto"/>
            <w:noWrap/>
            <w:hideMark/>
          </w:tcPr>
          <w:p w14:paraId="453CFECE" w14:textId="77777777" w:rsidR="009F7DD0" w:rsidRPr="005970E9" w:rsidRDefault="009F7DD0" w:rsidP="009F7DD0">
            <w:pPr>
              <w:jc w:val="right"/>
              <w:rPr>
                <w:rFonts w:eastAsia="Times New Roman"/>
                <w:color w:val="000000"/>
              </w:rPr>
            </w:pPr>
            <w:r w:rsidRPr="005970E9">
              <w:rPr>
                <w:rFonts w:eastAsia="Times New Roman"/>
                <w:color w:val="000000"/>
              </w:rPr>
              <w:t>1</w:t>
            </w:r>
          </w:p>
        </w:tc>
        <w:tc>
          <w:tcPr>
            <w:tcW w:w="959" w:type="dxa"/>
            <w:tcBorders>
              <w:top w:val="nil"/>
              <w:left w:val="nil"/>
              <w:bottom w:val="single" w:sz="4" w:space="0" w:color="auto"/>
              <w:right w:val="single" w:sz="4" w:space="0" w:color="auto"/>
            </w:tcBorders>
            <w:shd w:val="clear" w:color="auto" w:fill="auto"/>
            <w:noWrap/>
            <w:hideMark/>
          </w:tcPr>
          <w:p w14:paraId="500802A5" w14:textId="77777777" w:rsidR="009F7DD0" w:rsidRPr="005970E9" w:rsidRDefault="009F7DD0" w:rsidP="009F7DD0">
            <w:pPr>
              <w:jc w:val="right"/>
              <w:rPr>
                <w:rFonts w:eastAsia="Times New Roman"/>
                <w:color w:val="000000"/>
              </w:rPr>
            </w:pPr>
            <w:r w:rsidRPr="005970E9">
              <w:rPr>
                <w:rFonts w:eastAsia="Times New Roman"/>
                <w:color w:val="000000"/>
              </w:rPr>
              <w:t>1</w:t>
            </w:r>
          </w:p>
        </w:tc>
        <w:tc>
          <w:tcPr>
            <w:tcW w:w="1106" w:type="dxa"/>
            <w:tcBorders>
              <w:top w:val="nil"/>
              <w:left w:val="nil"/>
              <w:bottom w:val="single" w:sz="4" w:space="0" w:color="auto"/>
              <w:right w:val="single" w:sz="4" w:space="0" w:color="auto"/>
            </w:tcBorders>
            <w:shd w:val="clear" w:color="auto" w:fill="auto"/>
            <w:noWrap/>
            <w:hideMark/>
          </w:tcPr>
          <w:p w14:paraId="5E5A5DAA" w14:textId="77777777" w:rsidR="009F7DD0" w:rsidRPr="005970E9" w:rsidRDefault="009F7DD0" w:rsidP="009F7DD0">
            <w:pPr>
              <w:jc w:val="right"/>
              <w:rPr>
                <w:rFonts w:eastAsia="Times New Roman"/>
                <w:color w:val="000000"/>
              </w:rPr>
            </w:pPr>
            <w:r w:rsidRPr="005970E9">
              <w:rPr>
                <w:rFonts w:eastAsia="Times New Roman"/>
                <w:color w:val="000000"/>
              </w:rPr>
              <w:t>1</w:t>
            </w:r>
          </w:p>
        </w:tc>
        <w:tc>
          <w:tcPr>
            <w:tcW w:w="845" w:type="dxa"/>
            <w:tcBorders>
              <w:top w:val="nil"/>
              <w:left w:val="nil"/>
              <w:bottom w:val="single" w:sz="4" w:space="0" w:color="auto"/>
              <w:right w:val="single" w:sz="4" w:space="0" w:color="auto"/>
            </w:tcBorders>
            <w:shd w:val="clear" w:color="auto" w:fill="auto"/>
            <w:noWrap/>
            <w:hideMark/>
          </w:tcPr>
          <w:p w14:paraId="4BC827E9" w14:textId="77777777" w:rsidR="009F7DD0" w:rsidRPr="005970E9" w:rsidRDefault="009F7DD0" w:rsidP="009F7DD0">
            <w:pPr>
              <w:jc w:val="right"/>
              <w:rPr>
                <w:rFonts w:eastAsia="Times New Roman"/>
                <w:color w:val="000000"/>
              </w:rPr>
            </w:pPr>
            <w:r w:rsidRPr="005970E9">
              <w:rPr>
                <w:rFonts w:eastAsia="Times New Roman"/>
                <w:color w:val="000000"/>
              </w:rPr>
              <w:t>1</w:t>
            </w:r>
          </w:p>
        </w:tc>
        <w:tc>
          <w:tcPr>
            <w:tcW w:w="960" w:type="dxa"/>
            <w:tcBorders>
              <w:top w:val="nil"/>
              <w:left w:val="nil"/>
              <w:bottom w:val="single" w:sz="4" w:space="0" w:color="auto"/>
              <w:right w:val="single" w:sz="4" w:space="0" w:color="auto"/>
            </w:tcBorders>
            <w:shd w:val="clear" w:color="auto" w:fill="auto"/>
            <w:noWrap/>
            <w:hideMark/>
          </w:tcPr>
          <w:p w14:paraId="58AFF7B9" w14:textId="77777777" w:rsidR="009F7DD0" w:rsidRPr="005970E9" w:rsidRDefault="009F7DD0" w:rsidP="009F7DD0">
            <w:pPr>
              <w:jc w:val="right"/>
              <w:rPr>
                <w:rFonts w:eastAsia="Times New Roman"/>
                <w:color w:val="000000"/>
              </w:rPr>
            </w:pPr>
            <w:r w:rsidRPr="005970E9">
              <w:rPr>
                <w:rFonts w:eastAsia="Times New Roman"/>
                <w:color w:val="000000"/>
              </w:rPr>
              <w:t>0</w:t>
            </w:r>
          </w:p>
        </w:tc>
        <w:tc>
          <w:tcPr>
            <w:tcW w:w="735" w:type="dxa"/>
            <w:tcBorders>
              <w:top w:val="nil"/>
              <w:left w:val="nil"/>
              <w:bottom w:val="single" w:sz="4" w:space="0" w:color="auto"/>
              <w:right w:val="single" w:sz="4" w:space="0" w:color="auto"/>
            </w:tcBorders>
            <w:shd w:val="clear" w:color="auto" w:fill="auto"/>
            <w:noWrap/>
            <w:hideMark/>
          </w:tcPr>
          <w:p w14:paraId="71BF6B7D" w14:textId="77777777" w:rsidR="009F7DD0" w:rsidRPr="005970E9" w:rsidRDefault="009F7DD0" w:rsidP="009F7DD0">
            <w:pPr>
              <w:jc w:val="right"/>
              <w:rPr>
                <w:rFonts w:eastAsia="Times New Roman"/>
                <w:color w:val="000000"/>
              </w:rPr>
            </w:pPr>
            <w:r w:rsidRPr="005970E9">
              <w:rPr>
                <w:rFonts w:eastAsia="Times New Roman"/>
                <w:color w:val="000000"/>
              </w:rPr>
              <w:t>0</w:t>
            </w:r>
          </w:p>
        </w:tc>
      </w:tr>
      <w:tr w:rsidR="009F7DD0" w:rsidRPr="005970E9" w14:paraId="5D786228" w14:textId="77777777" w:rsidTr="009D1829">
        <w:trPr>
          <w:trHeight w:val="288"/>
        </w:trPr>
        <w:tc>
          <w:tcPr>
            <w:tcW w:w="1082" w:type="dxa"/>
            <w:tcBorders>
              <w:top w:val="nil"/>
              <w:left w:val="single" w:sz="4" w:space="0" w:color="auto"/>
              <w:bottom w:val="single" w:sz="4" w:space="0" w:color="auto"/>
              <w:right w:val="single" w:sz="4" w:space="0" w:color="auto"/>
            </w:tcBorders>
            <w:shd w:val="clear" w:color="auto" w:fill="auto"/>
            <w:noWrap/>
            <w:hideMark/>
          </w:tcPr>
          <w:p w14:paraId="22B43F67" w14:textId="77777777" w:rsidR="009F7DD0" w:rsidRPr="005970E9" w:rsidRDefault="009F7DD0" w:rsidP="009F7DD0">
            <w:pPr>
              <w:rPr>
                <w:rFonts w:eastAsia="Times New Roman"/>
                <w:color w:val="000000"/>
              </w:rPr>
            </w:pPr>
            <w:r w:rsidRPr="005970E9">
              <w:rPr>
                <w:rFonts w:eastAsia="Times New Roman"/>
                <w:color w:val="000000"/>
              </w:rPr>
              <w:t>Año 2017</w:t>
            </w:r>
          </w:p>
        </w:tc>
        <w:tc>
          <w:tcPr>
            <w:tcW w:w="674" w:type="dxa"/>
            <w:tcBorders>
              <w:top w:val="nil"/>
              <w:left w:val="nil"/>
              <w:bottom w:val="single" w:sz="4" w:space="0" w:color="auto"/>
              <w:right w:val="single" w:sz="4" w:space="0" w:color="auto"/>
            </w:tcBorders>
            <w:shd w:val="clear" w:color="auto" w:fill="auto"/>
            <w:noWrap/>
            <w:hideMark/>
          </w:tcPr>
          <w:p w14:paraId="77F12164" w14:textId="77777777" w:rsidR="009F7DD0" w:rsidRPr="005970E9" w:rsidRDefault="009F7DD0" w:rsidP="009F7DD0">
            <w:pPr>
              <w:jc w:val="right"/>
              <w:rPr>
                <w:rFonts w:eastAsia="Times New Roman" w:cs="Arial"/>
                <w:sz w:val="20"/>
                <w:szCs w:val="20"/>
              </w:rPr>
            </w:pPr>
            <w:r w:rsidRPr="005970E9">
              <w:rPr>
                <w:rFonts w:eastAsia="Times New Roman" w:cs="Arial"/>
                <w:sz w:val="20"/>
                <w:szCs w:val="20"/>
              </w:rPr>
              <w:t>31</w:t>
            </w:r>
          </w:p>
        </w:tc>
        <w:tc>
          <w:tcPr>
            <w:tcW w:w="1021" w:type="dxa"/>
            <w:tcBorders>
              <w:top w:val="nil"/>
              <w:left w:val="nil"/>
              <w:bottom w:val="single" w:sz="4" w:space="0" w:color="auto"/>
              <w:right w:val="single" w:sz="4" w:space="0" w:color="auto"/>
            </w:tcBorders>
            <w:shd w:val="clear" w:color="auto" w:fill="auto"/>
            <w:noWrap/>
            <w:hideMark/>
          </w:tcPr>
          <w:p w14:paraId="789AE466" w14:textId="77777777" w:rsidR="009F7DD0" w:rsidRPr="005970E9" w:rsidRDefault="009F7DD0" w:rsidP="009F7DD0">
            <w:pPr>
              <w:jc w:val="right"/>
              <w:rPr>
                <w:rFonts w:eastAsia="Times New Roman"/>
                <w:color w:val="000000"/>
              </w:rPr>
            </w:pPr>
            <w:r w:rsidRPr="005970E9">
              <w:rPr>
                <w:rFonts w:eastAsia="Times New Roman"/>
                <w:color w:val="000000"/>
              </w:rPr>
              <w:t>10</w:t>
            </w:r>
          </w:p>
        </w:tc>
        <w:tc>
          <w:tcPr>
            <w:tcW w:w="984" w:type="dxa"/>
            <w:tcBorders>
              <w:top w:val="nil"/>
              <w:left w:val="nil"/>
              <w:bottom w:val="single" w:sz="4" w:space="0" w:color="auto"/>
              <w:right w:val="single" w:sz="4" w:space="0" w:color="auto"/>
            </w:tcBorders>
            <w:shd w:val="clear" w:color="auto" w:fill="auto"/>
            <w:noWrap/>
            <w:hideMark/>
          </w:tcPr>
          <w:p w14:paraId="69390C9F" w14:textId="77777777" w:rsidR="009F7DD0" w:rsidRPr="005970E9" w:rsidRDefault="009F7DD0" w:rsidP="009F7DD0">
            <w:pPr>
              <w:jc w:val="right"/>
              <w:rPr>
                <w:rFonts w:eastAsia="Times New Roman"/>
                <w:color w:val="000000"/>
              </w:rPr>
            </w:pPr>
            <w:r w:rsidRPr="005970E9">
              <w:rPr>
                <w:rFonts w:eastAsia="Times New Roman"/>
                <w:color w:val="000000"/>
              </w:rPr>
              <w:t>6</w:t>
            </w:r>
          </w:p>
        </w:tc>
        <w:tc>
          <w:tcPr>
            <w:tcW w:w="837" w:type="dxa"/>
            <w:tcBorders>
              <w:top w:val="nil"/>
              <w:left w:val="nil"/>
              <w:bottom w:val="single" w:sz="4" w:space="0" w:color="auto"/>
              <w:right w:val="single" w:sz="4" w:space="0" w:color="auto"/>
            </w:tcBorders>
            <w:shd w:val="clear" w:color="auto" w:fill="auto"/>
            <w:noWrap/>
            <w:hideMark/>
          </w:tcPr>
          <w:p w14:paraId="4CA61B6F" w14:textId="77777777" w:rsidR="009F7DD0" w:rsidRPr="005970E9" w:rsidRDefault="009F7DD0" w:rsidP="009F7DD0">
            <w:pPr>
              <w:jc w:val="right"/>
              <w:rPr>
                <w:rFonts w:eastAsia="Times New Roman"/>
                <w:color w:val="000000"/>
              </w:rPr>
            </w:pPr>
            <w:r w:rsidRPr="005970E9">
              <w:rPr>
                <w:rFonts w:eastAsia="Times New Roman"/>
                <w:color w:val="000000"/>
              </w:rPr>
              <w:t>0</w:t>
            </w:r>
          </w:p>
        </w:tc>
        <w:tc>
          <w:tcPr>
            <w:tcW w:w="996" w:type="dxa"/>
            <w:tcBorders>
              <w:top w:val="nil"/>
              <w:left w:val="nil"/>
              <w:bottom w:val="single" w:sz="4" w:space="0" w:color="auto"/>
              <w:right w:val="single" w:sz="4" w:space="0" w:color="auto"/>
            </w:tcBorders>
            <w:shd w:val="clear" w:color="auto" w:fill="auto"/>
            <w:noWrap/>
            <w:hideMark/>
          </w:tcPr>
          <w:p w14:paraId="1B774BD7" w14:textId="77777777" w:rsidR="009F7DD0" w:rsidRPr="005970E9" w:rsidRDefault="009F7DD0" w:rsidP="009F7DD0">
            <w:pPr>
              <w:jc w:val="right"/>
              <w:rPr>
                <w:rFonts w:eastAsia="Times New Roman"/>
                <w:color w:val="000000"/>
              </w:rPr>
            </w:pPr>
            <w:r w:rsidRPr="005970E9">
              <w:rPr>
                <w:rFonts w:eastAsia="Times New Roman"/>
                <w:color w:val="000000"/>
              </w:rPr>
              <w:t>8</w:t>
            </w:r>
          </w:p>
        </w:tc>
        <w:tc>
          <w:tcPr>
            <w:tcW w:w="776" w:type="dxa"/>
            <w:tcBorders>
              <w:top w:val="nil"/>
              <w:left w:val="nil"/>
              <w:bottom w:val="single" w:sz="4" w:space="0" w:color="auto"/>
              <w:right w:val="single" w:sz="4" w:space="0" w:color="auto"/>
            </w:tcBorders>
            <w:shd w:val="clear" w:color="auto" w:fill="auto"/>
            <w:noWrap/>
            <w:hideMark/>
          </w:tcPr>
          <w:p w14:paraId="4AA53AC4" w14:textId="77777777" w:rsidR="009F7DD0" w:rsidRPr="005970E9" w:rsidRDefault="009F7DD0" w:rsidP="009F7DD0">
            <w:pPr>
              <w:jc w:val="right"/>
              <w:rPr>
                <w:rFonts w:eastAsia="Times New Roman"/>
                <w:color w:val="000000"/>
              </w:rPr>
            </w:pPr>
            <w:r w:rsidRPr="005970E9">
              <w:rPr>
                <w:rFonts w:eastAsia="Times New Roman"/>
                <w:color w:val="000000"/>
              </w:rPr>
              <w:t>0</w:t>
            </w:r>
          </w:p>
        </w:tc>
        <w:tc>
          <w:tcPr>
            <w:tcW w:w="959" w:type="dxa"/>
            <w:tcBorders>
              <w:top w:val="nil"/>
              <w:left w:val="nil"/>
              <w:bottom w:val="single" w:sz="4" w:space="0" w:color="auto"/>
              <w:right w:val="single" w:sz="4" w:space="0" w:color="auto"/>
            </w:tcBorders>
            <w:shd w:val="clear" w:color="auto" w:fill="auto"/>
            <w:noWrap/>
            <w:hideMark/>
          </w:tcPr>
          <w:p w14:paraId="3FCC4BDE" w14:textId="77777777" w:rsidR="009F7DD0" w:rsidRPr="005970E9" w:rsidRDefault="009F7DD0" w:rsidP="009F7DD0">
            <w:pPr>
              <w:jc w:val="right"/>
              <w:rPr>
                <w:rFonts w:eastAsia="Times New Roman"/>
                <w:color w:val="000000"/>
              </w:rPr>
            </w:pPr>
            <w:r w:rsidRPr="005970E9">
              <w:rPr>
                <w:rFonts w:eastAsia="Times New Roman"/>
                <w:color w:val="000000"/>
              </w:rPr>
              <w:t>1</w:t>
            </w:r>
          </w:p>
        </w:tc>
        <w:tc>
          <w:tcPr>
            <w:tcW w:w="1106" w:type="dxa"/>
            <w:tcBorders>
              <w:top w:val="nil"/>
              <w:left w:val="nil"/>
              <w:bottom w:val="single" w:sz="4" w:space="0" w:color="auto"/>
              <w:right w:val="single" w:sz="4" w:space="0" w:color="auto"/>
            </w:tcBorders>
            <w:shd w:val="clear" w:color="auto" w:fill="auto"/>
            <w:noWrap/>
            <w:hideMark/>
          </w:tcPr>
          <w:p w14:paraId="1B87553F" w14:textId="77777777" w:rsidR="009F7DD0" w:rsidRPr="005970E9" w:rsidRDefault="009F7DD0" w:rsidP="009F7DD0">
            <w:pPr>
              <w:jc w:val="right"/>
              <w:rPr>
                <w:rFonts w:eastAsia="Times New Roman"/>
                <w:color w:val="000000"/>
              </w:rPr>
            </w:pPr>
            <w:r w:rsidRPr="005970E9">
              <w:rPr>
                <w:rFonts w:eastAsia="Times New Roman"/>
                <w:color w:val="000000"/>
              </w:rPr>
              <w:t>5</w:t>
            </w:r>
          </w:p>
        </w:tc>
        <w:tc>
          <w:tcPr>
            <w:tcW w:w="845" w:type="dxa"/>
            <w:tcBorders>
              <w:top w:val="nil"/>
              <w:left w:val="nil"/>
              <w:bottom w:val="single" w:sz="4" w:space="0" w:color="auto"/>
              <w:right w:val="single" w:sz="4" w:space="0" w:color="auto"/>
            </w:tcBorders>
            <w:shd w:val="clear" w:color="auto" w:fill="auto"/>
            <w:noWrap/>
            <w:hideMark/>
          </w:tcPr>
          <w:p w14:paraId="31DE244F" w14:textId="77777777" w:rsidR="009F7DD0" w:rsidRPr="005970E9" w:rsidRDefault="009F7DD0" w:rsidP="009F7DD0">
            <w:pPr>
              <w:jc w:val="right"/>
              <w:rPr>
                <w:rFonts w:eastAsia="Times New Roman"/>
                <w:color w:val="000000"/>
              </w:rPr>
            </w:pPr>
            <w:r w:rsidRPr="005970E9">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hideMark/>
          </w:tcPr>
          <w:p w14:paraId="3223BD0C" w14:textId="77777777" w:rsidR="009F7DD0" w:rsidRPr="005970E9" w:rsidRDefault="009F7DD0" w:rsidP="009F7DD0">
            <w:pPr>
              <w:jc w:val="right"/>
              <w:rPr>
                <w:rFonts w:eastAsia="Times New Roman"/>
                <w:color w:val="000000"/>
              </w:rPr>
            </w:pPr>
            <w:r w:rsidRPr="005970E9">
              <w:rPr>
                <w:rFonts w:eastAsia="Times New Roman"/>
                <w:color w:val="000000"/>
              </w:rPr>
              <w:t>0</w:t>
            </w:r>
          </w:p>
        </w:tc>
        <w:tc>
          <w:tcPr>
            <w:tcW w:w="735" w:type="dxa"/>
            <w:tcBorders>
              <w:top w:val="nil"/>
              <w:left w:val="nil"/>
              <w:bottom w:val="single" w:sz="4" w:space="0" w:color="auto"/>
              <w:right w:val="single" w:sz="4" w:space="0" w:color="auto"/>
            </w:tcBorders>
            <w:shd w:val="clear" w:color="auto" w:fill="auto"/>
            <w:noWrap/>
            <w:hideMark/>
          </w:tcPr>
          <w:p w14:paraId="201840BD" w14:textId="77777777" w:rsidR="009F7DD0" w:rsidRPr="005970E9" w:rsidRDefault="009F7DD0" w:rsidP="009F7DD0">
            <w:pPr>
              <w:jc w:val="right"/>
              <w:rPr>
                <w:rFonts w:eastAsia="Times New Roman"/>
                <w:color w:val="000000"/>
              </w:rPr>
            </w:pPr>
            <w:r w:rsidRPr="005970E9">
              <w:rPr>
                <w:rFonts w:eastAsia="Times New Roman"/>
                <w:color w:val="000000"/>
              </w:rPr>
              <w:t>1</w:t>
            </w:r>
          </w:p>
        </w:tc>
      </w:tr>
      <w:tr w:rsidR="009F7DD0" w:rsidRPr="005970E9" w14:paraId="1CB4B038" w14:textId="77777777" w:rsidTr="009D1829">
        <w:trPr>
          <w:trHeight w:val="288"/>
        </w:trPr>
        <w:tc>
          <w:tcPr>
            <w:tcW w:w="1082" w:type="dxa"/>
            <w:tcBorders>
              <w:top w:val="nil"/>
              <w:left w:val="single" w:sz="4" w:space="0" w:color="auto"/>
              <w:bottom w:val="single" w:sz="4" w:space="0" w:color="auto"/>
              <w:right w:val="single" w:sz="4" w:space="0" w:color="auto"/>
            </w:tcBorders>
            <w:shd w:val="clear" w:color="auto" w:fill="auto"/>
            <w:noWrap/>
            <w:hideMark/>
          </w:tcPr>
          <w:p w14:paraId="6E5A8E04" w14:textId="77777777" w:rsidR="009F7DD0" w:rsidRPr="005970E9" w:rsidRDefault="009F7DD0" w:rsidP="009F7DD0">
            <w:pPr>
              <w:rPr>
                <w:rFonts w:eastAsia="Times New Roman"/>
                <w:color w:val="000000"/>
              </w:rPr>
            </w:pPr>
            <w:r w:rsidRPr="005970E9">
              <w:rPr>
                <w:rFonts w:eastAsia="Times New Roman"/>
                <w:color w:val="000000"/>
              </w:rPr>
              <w:t>Año 2018</w:t>
            </w:r>
          </w:p>
        </w:tc>
        <w:tc>
          <w:tcPr>
            <w:tcW w:w="674" w:type="dxa"/>
            <w:tcBorders>
              <w:top w:val="nil"/>
              <w:left w:val="nil"/>
              <w:bottom w:val="single" w:sz="4" w:space="0" w:color="auto"/>
              <w:right w:val="single" w:sz="4" w:space="0" w:color="auto"/>
            </w:tcBorders>
            <w:shd w:val="clear" w:color="auto" w:fill="auto"/>
            <w:noWrap/>
            <w:hideMark/>
          </w:tcPr>
          <w:p w14:paraId="23072877" w14:textId="77777777" w:rsidR="009F7DD0" w:rsidRPr="005970E9" w:rsidRDefault="009F7DD0" w:rsidP="009F7DD0">
            <w:pPr>
              <w:jc w:val="right"/>
              <w:rPr>
                <w:rFonts w:eastAsia="Times New Roman" w:cs="Arial"/>
                <w:sz w:val="20"/>
                <w:szCs w:val="20"/>
              </w:rPr>
            </w:pPr>
            <w:r w:rsidRPr="005970E9">
              <w:rPr>
                <w:rFonts w:eastAsia="Times New Roman" w:cs="Arial"/>
                <w:sz w:val="20"/>
                <w:szCs w:val="20"/>
              </w:rPr>
              <w:t>34</w:t>
            </w:r>
          </w:p>
        </w:tc>
        <w:tc>
          <w:tcPr>
            <w:tcW w:w="1021" w:type="dxa"/>
            <w:tcBorders>
              <w:top w:val="nil"/>
              <w:left w:val="nil"/>
              <w:bottom w:val="single" w:sz="4" w:space="0" w:color="auto"/>
              <w:right w:val="single" w:sz="4" w:space="0" w:color="auto"/>
            </w:tcBorders>
            <w:shd w:val="clear" w:color="auto" w:fill="auto"/>
            <w:noWrap/>
            <w:hideMark/>
          </w:tcPr>
          <w:p w14:paraId="64A81E31" w14:textId="77777777" w:rsidR="009F7DD0" w:rsidRPr="005970E9" w:rsidRDefault="009F7DD0" w:rsidP="009F7DD0">
            <w:pPr>
              <w:jc w:val="right"/>
              <w:rPr>
                <w:rFonts w:eastAsia="Times New Roman"/>
                <w:color w:val="000000"/>
              </w:rPr>
            </w:pPr>
            <w:r w:rsidRPr="005970E9">
              <w:rPr>
                <w:rFonts w:eastAsia="Times New Roman"/>
                <w:color w:val="000000"/>
              </w:rPr>
              <w:t>14</w:t>
            </w:r>
          </w:p>
        </w:tc>
        <w:tc>
          <w:tcPr>
            <w:tcW w:w="984" w:type="dxa"/>
            <w:tcBorders>
              <w:top w:val="nil"/>
              <w:left w:val="nil"/>
              <w:bottom w:val="single" w:sz="4" w:space="0" w:color="auto"/>
              <w:right w:val="single" w:sz="4" w:space="0" w:color="auto"/>
            </w:tcBorders>
            <w:shd w:val="clear" w:color="auto" w:fill="auto"/>
            <w:noWrap/>
            <w:hideMark/>
          </w:tcPr>
          <w:p w14:paraId="209B2A26" w14:textId="77777777" w:rsidR="009F7DD0" w:rsidRPr="005970E9" w:rsidRDefault="009F7DD0" w:rsidP="009F7DD0">
            <w:pPr>
              <w:jc w:val="right"/>
              <w:rPr>
                <w:rFonts w:eastAsia="Times New Roman"/>
                <w:color w:val="000000"/>
              </w:rPr>
            </w:pPr>
            <w:r w:rsidRPr="005970E9">
              <w:rPr>
                <w:rFonts w:eastAsia="Times New Roman"/>
                <w:color w:val="000000"/>
              </w:rPr>
              <w:t>3</w:t>
            </w:r>
          </w:p>
        </w:tc>
        <w:tc>
          <w:tcPr>
            <w:tcW w:w="837" w:type="dxa"/>
            <w:tcBorders>
              <w:top w:val="nil"/>
              <w:left w:val="nil"/>
              <w:bottom w:val="single" w:sz="4" w:space="0" w:color="auto"/>
              <w:right w:val="single" w:sz="4" w:space="0" w:color="auto"/>
            </w:tcBorders>
            <w:shd w:val="clear" w:color="auto" w:fill="auto"/>
            <w:noWrap/>
            <w:hideMark/>
          </w:tcPr>
          <w:p w14:paraId="7BACC04E" w14:textId="77777777" w:rsidR="009F7DD0" w:rsidRPr="005970E9" w:rsidRDefault="009F7DD0" w:rsidP="009F7DD0">
            <w:pPr>
              <w:jc w:val="right"/>
              <w:rPr>
                <w:rFonts w:eastAsia="Times New Roman"/>
                <w:color w:val="000000"/>
              </w:rPr>
            </w:pPr>
            <w:r w:rsidRPr="005970E9">
              <w:rPr>
                <w:rFonts w:eastAsia="Times New Roman"/>
                <w:color w:val="000000"/>
              </w:rPr>
              <w:t>2</w:t>
            </w:r>
          </w:p>
        </w:tc>
        <w:tc>
          <w:tcPr>
            <w:tcW w:w="996" w:type="dxa"/>
            <w:tcBorders>
              <w:top w:val="nil"/>
              <w:left w:val="nil"/>
              <w:bottom w:val="single" w:sz="4" w:space="0" w:color="auto"/>
              <w:right w:val="single" w:sz="4" w:space="0" w:color="auto"/>
            </w:tcBorders>
            <w:shd w:val="clear" w:color="auto" w:fill="auto"/>
            <w:noWrap/>
            <w:hideMark/>
          </w:tcPr>
          <w:p w14:paraId="2D5A5BA2" w14:textId="77777777" w:rsidR="009F7DD0" w:rsidRPr="005970E9" w:rsidRDefault="009F7DD0" w:rsidP="009F7DD0">
            <w:pPr>
              <w:jc w:val="right"/>
              <w:rPr>
                <w:rFonts w:eastAsia="Times New Roman"/>
                <w:color w:val="000000"/>
              </w:rPr>
            </w:pPr>
            <w:r w:rsidRPr="005970E9">
              <w:rPr>
                <w:rFonts w:eastAsia="Times New Roman"/>
                <w:color w:val="000000"/>
              </w:rPr>
              <w:t>7</w:t>
            </w:r>
          </w:p>
        </w:tc>
        <w:tc>
          <w:tcPr>
            <w:tcW w:w="776" w:type="dxa"/>
            <w:tcBorders>
              <w:top w:val="nil"/>
              <w:left w:val="nil"/>
              <w:bottom w:val="single" w:sz="4" w:space="0" w:color="auto"/>
              <w:right w:val="single" w:sz="4" w:space="0" w:color="auto"/>
            </w:tcBorders>
            <w:shd w:val="clear" w:color="auto" w:fill="auto"/>
            <w:noWrap/>
            <w:hideMark/>
          </w:tcPr>
          <w:p w14:paraId="7E7A33E2" w14:textId="77777777" w:rsidR="009F7DD0" w:rsidRPr="005970E9" w:rsidRDefault="009F7DD0" w:rsidP="009F7DD0">
            <w:pPr>
              <w:jc w:val="right"/>
              <w:rPr>
                <w:rFonts w:eastAsia="Times New Roman"/>
                <w:color w:val="000000"/>
              </w:rPr>
            </w:pPr>
            <w:r w:rsidRPr="005970E9">
              <w:rPr>
                <w:rFonts w:eastAsia="Times New Roman"/>
                <w:color w:val="000000"/>
              </w:rPr>
              <w:t>5</w:t>
            </w:r>
          </w:p>
        </w:tc>
        <w:tc>
          <w:tcPr>
            <w:tcW w:w="959" w:type="dxa"/>
            <w:tcBorders>
              <w:top w:val="nil"/>
              <w:left w:val="nil"/>
              <w:bottom w:val="single" w:sz="4" w:space="0" w:color="auto"/>
              <w:right w:val="single" w:sz="4" w:space="0" w:color="auto"/>
            </w:tcBorders>
            <w:shd w:val="clear" w:color="auto" w:fill="auto"/>
            <w:noWrap/>
            <w:hideMark/>
          </w:tcPr>
          <w:p w14:paraId="312563BB" w14:textId="77777777" w:rsidR="009F7DD0" w:rsidRPr="005970E9" w:rsidRDefault="009F7DD0" w:rsidP="009F7DD0">
            <w:pPr>
              <w:jc w:val="right"/>
              <w:rPr>
                <w:rFonts w:eastAsia="Times New Roman"/>
                <w:color w:val="000000"/>
              </w:rPr>
            </w:pPr>
            <w:r w:rsidRPr="005970E9">
              <w:rPr>
                <w:rFonts w:eastAsia="Times New Roman"/>
                <w:color w:val="000000"/>
              </w:rPr>
              <w:t>0</w:t>
            </w:r>
          </w:p>
        </w:tc>
        <w:tc>
          <w:tcPr>
            <w:tcW w:w="1106" w:type="dxa"/>
            <w:tcBorders>
              <w:top w:val="nil"/>
              <w:left w:val="nil"/>
              <w:bottom w:val="single" w:sz="4" w:space="0" w:color="auto"/>
              <w:right w:val="single" w:sz="4" w:space="0" w:color="auto"/>
            </w:tcBorders>
            <w:shd w:val="clear" w:color="auto" w:fill="auto"/>
            <w:noWrap/>
            <w:hideMark/>
          </w:tcPr>
          <w:p w14:paraId="026FD5E1" w14:textId="77777777" w:rsidR="009F7DD0" w:rsidRPr="005970E9" w:rsidRDefault="009F7DD0" w:rsidP="009F7DD0">
            <w:pPr>
              <w:jc w:val="right"/>
              <w:rPr>
                <w:rFonts w:eastAsia="Times New Roman"/>
                <w:color w:val="000000"/>
              </w:rPr>
            </w:pPr>
            <w:r w:rsidRPr="005970E9">
              <w:rPr>
                <w:rFonts w:eastAsia="Times New Roman"/>
                <w:color w:val="000000"/>
              </w:rPr>
              <w:t>3</w:t>
            </w:r>
          </w:p>
        </w:tc>
        <w:tc>
          <w:tcPr>
            <w:tcW w:w="845" w:type="dxa"/>
            <w:tcBorders>
              <w:top w:val="nil"/>
              <w:left w:val="nil"/>
              <w:bottom w:val="single" w:sz="4" w:space="0" w:color="auto"/>
              <w:right w:val="single" w:sz="4" w:space="0" w:color="auto"/>
            </w:tcBorders>
            <w:shd w:val="clear" w:color="auto" w:fill="auto"/>
            <w:noWrap/>
            <w:hideMark/>
          </w:tcPr>
          <w:p w14:paraId="176CBD28" w14:textId="77777777" w:rsidR="009F7DD0" w:rsidRPr="005970E9" w:rsidRDefault="009F7DD0" w:rsidP="009F7DD0">
            <w:pPr>
              <w:jc w:val="right"/>
              <w:rPr>
                <w:rFonts w:eastAsia="Times New Roman"/>
                <w:color w:val="000000"/>
              </w:rPr>
            </w:pPr>
            <w:r w:rsidRPr="005970E9">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hideMark/>
          </w:tcPr>
          <w:p w14:paraId="41A165A6" w14:textId="77777777" w:rsidR="009F7DD0" w:rsidRPr="005970E9" w:rsidRDefault="009F7DD0" w:rsidP="009F7DD0">
            <w:pPr>
              <w:jc w:val="right"/>
              <w:rPr>
                <w:rFonts w:eastAsia="Times New Roman"/>
                <w:color w:val="000000"/>
              </w:rPr>
            </w:pPr>
            <w:r w:rsidRPr="005970E9">
              <w:rPr>
                <w:rFonts w:eastAsia="Times New Roman"/>
                <w:color w:val="000000"/>
              </w:rPr>
              <w:t>0</w:t>
            </w:r>
          </w:p>
        </w:tc>
        <w:tc>
          <w:tcPr>
            <w:tcW w:w="735" w:type="dxa"/>
            <w:tcBorders>
              <w:top w:val="nil"/>
              <w:left w:val="nil"/>
              <w:bottom w:val="single" w:sz="4" w:space="0" w:color="auto"/>
              <w:right w:val="single" w:sz="4" w:space="0" w:color="auto"/>
            </w:tcBorders>
            <w:shd w:val="clear" w:color="auto" w:fill="auto"/>
            <w:noWrap/>
            <w:hideMark/>
          </w:tcPr>
          <w:p w14:paraId="67C57209" w14:textId="77777777" w:rsidR="009F7DD0" w:rsidRPr="005970E9" w:rsidRDefault="009F7DD0" w:rsidP="009F7DD0">
            <w:pPr>
              <w:jc w:val="right"/>
              <w:rPr>
                <w:rFonts w:eastAsia="Times New Roman"/>
                <w:color w:val="000000"/>
              </w:rPr>
            </w:pPr>
            <w:r w:rsidRPr="005970E9">
              <w:rPr>
                <w:rFonts w:eastAsia="Times New Roman"/>
                <w:color w:val="000000"/>
              </w:rPr>
              <w:t>0</w:t>
            </w:r>
          </w:p>
        </w:tc>
      </w:tr>
      <w:tr w:rsidR="009F7DD0" w:rsidRPr="005970E9" w14:paraId="4A08EC9D" w14:textId="77777777" w:rsidTr="009D1829">
        <w:trPr>
          <w:trHeight w:val="288"/>
        </w:trPr>
        <w:tc>
          <w:tcPr>
            <w:tcW w:w="1082" w:type="dxa"/>
            <w:tcBorders>
              <w:top w:val="nil"/>
              <w:left w:val="single" w:sz="4" w:space="0" w:color="auto"/>
              <w:bottom w:val="single" w:sz="4" w:space="0" w:color="auto"/>
              <w:right w:val="single" w:sz="4" w:space="0" w:color="auto"/>
            </w:tcBorders>
            <w:shd w:val="clear" w:color="auto" w:fill="auto"/>
            <w:noWrap/>
            <w:hideMark/>
          </w:tcPr>
          <w:p w14:paraId="5AD90BDD" w14:textId="77777777" w:rsidR="009F7DD0" w:rsidRPr="005970E9" w:rsidRDefault="009F7DD0" w:rsidP="009F7DD0">
            <w:pPr>
              <w:rPr>
                <w:rFonts w:eastAsia="Times New Roman"/>
                <w:color w:val="000000"/>
              </w:rPr>
            </w:pPr>
            <w:r w:rsidRPr="005970E9">
              <w:rPr>
                <w:rFonts w:eastAsia="Times New Roman"/>
                <w:color w:val="000000"/>
              </w:rPr>
              <w:t>Año 2019</w:t>
            </w:r>
          </w:p>
        </w:tc>
        <w:tc>
          <w:tcPr>
            <w:tcW w:w="674" w:type="dxa"/>
            <w:tcBorders>
              <w:top w:val="nil"/>
              <w:left w:val="nil"/>
              <w:bottom w:val="single" w:sz="4" w:space="0" w:color="auto"/>
              <w:right w:val="single" w:sz="4" w:space="0" w:color="auto"/>
            </w:tcBorders>
            <w:shd w:val="clear" w:color="auto" w:fill="auto"/>
            <w:noWrap/>
            <w:hideMark/>
          </w:tcPr>
          <w:p w14:paraId="53A90DFA" w14:textId="77777777" w:rsidR="009F7DD0" w:rsidRPr="005970E9" w:rsidRDefault="009F7DD0" w:rsidP="009F7DD0">
            <w:pPr>
              <w:jc w:val="right"/>
              <w:rPr>
                <w:rFonts w:eastAsia="Times New Roman" w:cs="Arial"/>
                <w:sz w:val="20"/>
                <w:szCs w:val="20"/>
              </w:rPr>
            </w:pPr>
            <w:r w:rsidRPr="005970E9">
              <w:rPr>
                <w:rFonts w:eastAsia="Times New Roman" w:cs="Arial"/>
                <w:sz w:val="20"/>
                <w:szCs w:val="20"/>
              </w:rPr>
              <w:t>26</w:t>
            </w:r>
          </w:p>
        </w:tc>
        <w:tc>
          <w:tcPr>
            <w:tcW w:w="1021" w:type="dxa"/>
            <w:tcBorders>
              <w:top w:val="nil"/>
              <w:left w:val="nil"/>
              <w:bottom w:val="single" w:sz="4" w:space="0" w:color="auto"/>
              <w:right w:val="single" w:sz="4" w:space="0" w:color="auto"/>
            </w:tcBorders>
            <w:shd w:val="clear" w:color="auto" w:fill="auto"/>
            <w:noWrap/>
            <w:hideMark/>
          </w:tcPr>
          <w:p w14:paraId="178A10DB" w14:textId="77777777" w:rsidR="009F7DD0" w:rsidRPr="005970E9" w:rsidRDefault="009F7DD0" w:rsidP="009F7DD0">
            <w:pPr>
              <w:jc w:val="right"/>
              <w:rPr>
                <w:rFonts w:eastAsia="Times New Roman"/>
                <w:color w:val="000000"/>
              </w:rPr>
            </w:pPr>
            <w:r w:rsidRPr="005970E9">
              <w:rPr>
                <w:rFonts w:eastAsia="Times New Roman"/>
                <w:color w:val="000000"/>
              </w:rPr>
              <w:t>11</w:t>
            </w:r>
          </w:p>
        </w:tc>
        <w:tc>
          <w:tcPr>
            <w:tcW w:w="984" w:type="dxa"/>
            <w:tcBorders>
              <w:top w:val="nil"/>
              <w:left w:val="nil"/>
              <w:bottom w:val="single" w:sz="4" w:space="0" w:color="auto"/>
              <w:right w:val="single" w:sz="4" w:space="0" w:color="auto"/>
            </w:tcBorders>
            <w:shd w:val="clear" w:color="auto" w:fill="auto"/>
            <w:noWrap/>
            <w:hideMark/>
          </w:tcPr>
          <w:p w14:paraId="26B55DA7" w14:textId="77777777" w:rsidR="009F7DD0" w:rsidRPr="005970E9" w:rsidRDefault="009F7DD0" w:rsidP="009F7DD0">
            <w:pPr>
              <w:jc w:val="right"/>
              <w:rPr>
                <w:rFonts w:eastAsia="Times New Roman"/>
                <w:color w:val="000000"/>
              </w:rPr>
            </w:pPr>
            <w:r w:rsidRPr="005970E9">
              <w:rPr>
                <w:rFonts w:eastAsia="Times New Roman"/>
                <w:color w:val="000000"/>
              </w:rPr>
              <w:t>9</w:t>
            </w:r>
          </w:p>
        </w:tc>
        <w:tc>
          <w:tcPr>
            <w:tcW w:w="837" w:type="dxa"/>
            <w:tcBorders>
              <w:top w:val="nil"/>
              <w:left w:val="nil"/>
              <w:bottom w:val="single" w:sz="4" w:space="0" w:color="auto"/>
              <w:right w:val="single" w:sz="4" w:space="0" w:color="auto"/>
            </w:tcBorders>
            <w:shd w:val="clear" w:color="auto" w:fill="auto"/>
            <w:noWrap/>
            <w:hideMark/>
          </w:tcPr>
          <w:p w14:paraId="16D69D12" w14:textId="77777777" w:rsidR="009F7DD0" w:rsidRPr="005970E9" w:rsidRDefault="009F7DD0" w:rsidP="009F7DD0">
            <w:pPr>
              <w:jc w:val="right"/>
              <w:rPr>
                <w:rFonts w:eastAsia="Times New Roman"/>
                <w:color w:val="000000"/>
              </w:rPr>
            </w:pPr>
            <w:r w:rsidRPr="005970E9">
              <w:rPr>
                <w:rFonts w:eastAsia="Times New Roman"/>
                <w:color w:val="000000"/>
              </w:rPr>
              <w:t>2</w:t>
            </w:r>
          </w:p>
        </w:tc>
        <w:tc>
          <w:tcPr>
            <w:tcW w:w="996" w:type="dxa"/>
            <w:tcBorders>
              <w:top w:val="nil"/>
              <w:left w:val="nil"/>
              <w:bottom w:val="single" w:sz="4" w:space="0" w:color="auto"/>
              <w:right w:val="single" w:sz="4" w:space="0" w:color="auto"/>
            </w:tcBorders>
            <w:shd w:val="clear" w:color="auto" w:fill="auto"/>
            <w:noWrap/>
            <w:hideMark/>
          </w:tcPr>
          <w:p w14:paraId="4254875E" w14:textId="77777777" w:rsidR="009F7DD0" w:rsidRPr="005970E9" w:rsidRDefault="009F7DD0" w:rsidP="009F7DD0">
            <w:pPr>
              <w:jc w:val="right"/>
              <w:rPr>
                <w:rFonts w:eastAsia="Times New Roman"/>
                <w:color w:val="000000"/>
              </w:rPr>
            </w:pPr>
            <w:r w:rsidRPr="005970E9">
              <w:rPr>
                <w:rFonts w:eastAsia="Times New Roman"/>
                <w:color w:val="000000"/>
              </w:rPr>
              <w:t>2</w:t>
            </w:r>
          </w:p>
        </w:tc>
        <w:tc>
          <w:tcPr>
            <w:tcW w:w="776" w:type="dxa"/>
            <w:tcBorders>
              <w:top w:val="nil"/>
              <w:left w:val="nil"/>
              <w:bottom w:val="single" w:sz="4" w:space="0" w:color="auto"/>
              <w:right w:val="single" w:sz="4" w:space="0" w:color="auto"/>
            </w:tcBorders>
            <w:shd w:val="clear" w:color="auto" w:fill="auto"/>
            <w:noWrap/>
            <w:hideMark/>
          </w:tcPr>
          <w:p w14:paraId="3FD9F418" w14:textId="77777777" w:rsidR="009F7DD0" w:rsidRPr="005970E9" w:rsidRDefault="009F7DD0" w:rsidP="009F7DD0">
            <w:pPr>
              <w:jc w:val="right"/>
              <w:rPr>
                <w:rFonts w:eastAsia="Times New Roman"/>
                <w:color w:val="000000"/>
              </w:rPr>
            </w:pPr>
            <w:r w:rsidRPr="005970E9">
              <w:rPr>
                <w:rFonts w:eastAsia="Times New Roman"/>
                <w:color w:val="000000"/>
              </w:rPr>
              <w:t>1</w:t>
            </w:r>
          </w:p>
        </w:tc>
        <w:tc>
          <w:tcPr>
            <w:tcW w:w="959" w:type="dxa"/>
            <w:tcBorders>
              <w:top w:val="nil"/>
              <w:left w:val="nil"/>
              <w:bottom w:val="single" w:sz="4" w:space="0" w:color="auto"/>
              <w:right w:val="single" w:sz="4" w:space="0" w:color="auto"/>
            </w:tcBorders>
            <w:shd w:val="clear" w:color="auto" w:fill="auto"/>
            <w:noWrap/>
            <w:hideMark/>
          </w:tcPr>
          <w:p w14:paraId="2776197B" w14:textId="77777777" w:rsidR="009F7DD0" w:rsidRPr="005970E9" w:rsidRDefault="009F7DD0" w:rsidP="009F7DD0">
            <w:pPr>
              <w:jc w:val="right"/>
              <w:rPr>
                <w:rFonts w:eastAsia="Times New Roman"/>
                <w:color w:val="000000"/>
              </w:rPr>
            </w:pPr>
            <w:r w:rsidRPr="005970E9">
              <w:rPr>
                <w:rFonts w:eastAsia="Times New Roman"/>
                <w:color w:val="000000"/>
              </w:rPr>
              <w:t>0</w:t>
            </w:r>
          </w:p>
        </w:tc>
        <w:tc>
          <w:tcPr>
            <w:tcW w:w="1106" w:type="dxa"/>
            <w:tcBorders>
              <w:top w:val="nil"/>
              <w:left w:val="nil"/>
              <w:bottom w:val="single" w:sz="4" w:space="0" w:color="auto"/>
              <w:right w:val="single" w:sz="4" w:space="0" w:color="auto"/>
            </w:tcBorders>
            <w:shd w:val="clear" w:color="auto" w:fill="auto"/>
            <w:noWrap/>
            <w:hideMark/>
          </w:tcPr>
          <w:p w14:paraId="78BC5893" w14:textId="77777777" w:rsidR="009F7DD0" w:rsidRPr="005970E9" w:rsidRDefault="009F7DD0" w:rsidP="009F7DD0">
            <w:pPr>
              <w:jc w:val="right"/>
              <w:rPr>
                <w:rFonts w:eastAsia="Times New Roman"/>
                <w:color w:val="000000"/>
              </w:rPr>
            </w:pPr>
            <w:r w:rsidRPr="005970E9">
              <w:rPr>
                <w:rFonts w:eastAsia="Times New Roman"/>
                <w:color w:val="000000"/>
              </w:rPr>
              <w:t>1</w:t>
            </w:r>
          </w:p>
        </w:tc>
        <w:tc>
          <w:tcPr>
            <w:tcW w:w="845" w:type="dxa"/>
            <w:tcBorders>
              <w:top w:val="nil"/>
              <w:left w:val="nil"/>
              <w:bottom w:val="single" w:sz="4" w:space="0" w:color="auto"/>
              <w:right w:val="single" w:sz="4" w:space="0" w:color="auto"/>
            </w:tcBorders>
            <w:shd w:val="clear" w:color="auto" w:fill="auto"/>
            <w:noWrap/>
            <w:hideMark/>
          </w:tcPr>
          <w:p w14:paraId="6C9EF7E2" w14:textId="77777777" w:rsidR="009F7DD0" w:rsidRPr="005970E9" w:rsidRDefault="009F7DD0" w:rsidP="009F7DD0">
            <w:pPr>
              <w:jc w:val="right"/>
              <w:rPr>
                <w:rFonts w:eastAsia="Times New Roman"/>
                <w:color w:val="000000"/>
              </w:rPr>
            </w:pPr>
            <w:r w:rsidRPr="005970E9">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hideMark/>
          </w:tcPr>
          <w:p w14:paraId="29989C4D" w14:textId="77777777" w:rsidR="009F7DD0" w:rsidRPr="005970E9" w:rsidRDefault="009F7DD0" w:rsidP="009F7DD0">
            <w:pPr>
              <w:jc w:val="right"/>
              <w:rPr>
                <w:rFonts w:eastAsia="Times New Roman"/>
                <w:color w:val="000000"/>
              </w:rPr>
            </w:pPr>
            <w:r w:rsidRPr="005970E9">
              <w:rPr>
                <w:rFonts w:eastAsia="Times New Roman"/>
                <w:color w:val="000000"/>
              </w:rPr>
              <w:t>0</w:t>
            </w:r>
          </w:p>
        </w:tc>
        <w:tc>
          <w:tcPr>
            <w:tcW w:w="735" w:type="dxa"/>
            <w:tcBorders>
              <w:top w:val="nil"/>
              <w:left w:val="nil"/>
              <w:bottom w:val="single" w:sz="4" w:space="0" w:color="auto"/>
              <w:right w:val="single" w:sz="4" w:space="0" w:color="auto"/>
            </w:tcBorders>
            <w:shd w:val="clear" w:color="auto" w:fill="auto"/>
            <w:noWrap/>
            <w:hideMark/>
          </w:tcPr>
          <w:p w14:paraId="5EB111E8" w14:textId="77777777" w:rsidR="009F7DD0" w:rsidRPr="005970E9" w:rsidRDefault="009F7DD0" w:rsidP="009F7DD0">
            <w:pPr>
              <w:jc w:val="right"/>
              <w:rPr>
                <w:rFonts w:eastAsia="Times New Roman"/>
                <w:color w:val="000000"/>
              </w:rPr>
            </w:pPr>
            <w:r w:rsidRPr="005970E9">
              <w:rPr>
                <w:rFonts w:eastAsia="Times New Roman"/>
                <w:color w:val="000000"/>
              </w:rPr>
              <w:t>0</w:t>
            </w:r>
          </w:p>
        </w:tc>
      </w:tr>
      <w:tr w:rsidR="009D1829" w:rsidRPr="005970E9" w14:paraId="0E48E73E" w14:textId="77777777" w:rsidTr="009D1829">
        <w:trPr>
          <w:trHeight w:val="288"/>
        </w:trPr>
        <w:tc>
          <w:tcPr>
            <w:tcW w:w="10975" w:type="dxa"/>
            <w:gridSpan w:val="12"/>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3922FCCC" w14:textId="6F426002" w:rsidR="009D1829" w:rsidRPr="005970E9" w:rsidRDefault="009D1829" w:rsidP="009D1829">
            <w:pPr>
              <w:spacing w:before="120" w:line="276" w:lineRule="auto"/>
              <w:jc w:val="both"/>
              <w:rPr>
                <w:rFonts w:eastAsia="Times New Roman"/>
                <w:color w:val="000000"/>
              </w:rPr>
            </w:pPr>
            <w:r w:rsidRPr="005970E9">
              <w:t>Fuente: Ministerio Público-Defensoría del Pueblo, OPVG. Año 2019.</w:t>
            </w:r>
          </w:p>
        </w:tc>
      </w:tr>
    </w:tbl>
    <w:p w14:paraId="0C025D81" w14:textId="77777777" w:rsidR="009F7DD0" w:rsidRPr="005970E9" w:rsidRDefault="009F7DD0" w:rsidP="009F7DD0">
      <w:pPr>
        <w:spacing w:before="120" w:line="276" w:lineRule="auto"/>
        <w:jc w:val="both"/>
      </w:pPr>
    </w:p>
    <w:p w14:paraId="28C5D058" w14:textId="77777777" w:rsidR="009F7DD0" w:rsidRPr="005970E9" w:rsidRDefault="009F7DD0" w:rsidP="009F7DD0">
      <w:pPr>
        <w:pStyle w:val="Heading3"/>
        <w:numPr>
          <w:ilvl w:val="2"/>
          <w:numId w:val="18"/>
        </w:numPr>
      </w:pPr>
      <w:bookmarkStart w:id="223" w:name="_Toc42159234"/>
      <w:bookmarkStart w:id="224" w:name="_Toc42293368"/>
      <w:bookmarkStart w:id="225" w:name="_Toc42549465"/>
      <w:bookmarkStart w:id="226" w:name="_Hlk42448271"/>
      <w:r w:rsidRPr="005970E9">
        <w:t>Contra el orden jurídico familiar y el estado civil</w:t>
      </w:r>
      <w:bookmarkEnd w:id="223"/>
      <w:bookmarkEnd w:id="224"/>
      <w:bookmarkEnd w:id="225"/>
    </w:p>
    <w:p w14:paraId="47D675D8" w14:textId="77777777" w:rsidR="009F7DD0" w:rsidRPr="005970E9" w:rsidRDefault="009F7DD0" w:rsidP="009F7DD0">
      <w:pPr>
        <w:spacing w:before="120" w:after="120" w:line="276" w:lineRule="auto"/>
      </w:pPr>
      <w:bookmarkStart w:id="227" w:name="_Hlk42448133"/>
      <w:bookmarkEnd w:id="226"/>
      <w:r w:rsidRPr="005970E9">
        <w:rPr>
          <w:b/>
        </w:rPr>
        <w:t>Violencia doméstica</w:t>
      </w:r>
      <w:r w:rsidRPr="005970E9">
        <w:t xml:space="preserve">: </w:t>
      </w:r>
    </w:p>
    <w:p w14:paraId="0973A9F3" w14:textId="4270ABAB" w:rsidR="009F7DD0" w:rsidRPr="005970E9" w:rsidRDefault="009F7DD0" w:rsidP="009F7DD0">
      <w:pPr>
        <w:pStyle w:val="FootnoteText"/>
        <w:spacing w:before="120" w:after="120" w:line="276" w:lineRule="auto"/>
        <w:jc w:val="both"/>
        <w:rPr>
          <w:rFonts w:ascii="Century Schoolbook" w:hAnsi="Century Schoolbook"/>
          <w:sz w:val="22"/>
          <w:szCs w:val="22"/>
        </w:rPr>
      </w:pPr>
      <w:bookmarkStart w:id="228" w:name="_Hlk42448068"/>
      <w:r w:rsidRPr="005970E9">
        <w:rPr>
          <w:rFonts w:ascii="Century Schoolbook" w:hAnsi="Century Schoolbook"/>
          <w:sz w:val="22"/>
          <w:szCs w:val="22"/>
        </w:rPr>
        <w:t>El periodo del 2013 – 2018 (Gráfica 3</w:t>
      </w:r>
      <w:r w:rsidR="0026720A">
        <w:rPr>
          <w:rFonts w:ascii="Century Schoolbook" w:hAnsi="Century Schoolbook"/>
          <w:sz w:val="22"/>
          <w:szCs w:val="22"/>
        </w:rPr>
        <w:t>2</w:t>
      </w:r>
      <w:r w:rsidRPr="005970E9">
        <w:rPr>
          <w:rFonts w:ascii="Century Schoolbook" w:hAnsi="Century Schoolbook"/>
          <w:sz w:val="22"/>
          <w:szCs w:val="22"/>
        </w:rPr>
        <w:t>) registró un total de 105,097 denuncias del delito de violencia doméstica, resultando el año 2015 con el mayor registro de 20,516 casos con una tasa de 516.1 por cada 100,000 habitantes. (Estadística del Ministerio Público). De 2014 a 2019 se han presentado 105, 222 denuncias, por este delito, registradas por el Ministerio Público (Boletín Informativo Sistema Nacional Integrado de Estadísticas Criminales Observatorio de la Violencia, del Ministerio de Seguridad)</w:t>
      </w:r>
      <w:r w:rsidR="009D1829" w:rsidRPr="005970E9">
        <w:rPr>
          <w:rFonts w:ascii="Century Schoolbook" w:hAnsi="Century Schoolbook"/>
          <w:sz w:val="22"/>
          <w:szCs w:val="22"/>
        </w:rPr>
        <w:t>.</w:t>
      </w:r>
    </w:p>
    <w:p w14:paraId="300E9351" w14:textId="39D916F7" w:rsidR="009F7DD0" w:rsidRPr="005970E9" w:rsidRDefault="009F7DD0" w:rsidP="009F7DD0">
      <w:pPr>
        <w:pStyle w:val="FootnoteText"/>
        <w:spacing w:before="120" w:after="120" w:line="276" w:lineRule="auto"/>
        <w:jc w:val="both"/>
        <w:rPr>
          <w:rFonts w:ascii="Century Schoolbook" w:hAnsi="Century Schoolbook"/>
          <w:sz w:val="22"/>
          <w:szCs w:val="22"/>
        </w:rPr>
      </w:pPr>
      <w:r w:rsidRPr="005970E9">
        <w:rPr>
          <w:rFonts w:ascii="Century Schoolbook" w:hAnsi="Century Schoolbook"/>
          <w:sz w:val="22"/>
          <w:szCs w:val="22"/>
        </w:rPr>
        <w:t xml:space="preserve">En el año 2018, se registran 15,434 denuncias por violencia doméstica, sin embargo, es preocupante que sólo un tercio de estas llegaron a ser procesadas por tribunales de justicia (5,632 casos). En cuanto al sexo de la víctima 76% fueron mujeres y la mayoría tenía entre 18 y 49 años </w:t>
      </w:r>
      <w:bookmarkStart w:id="229" w:name="_Hlk42528180"/>
      <w:r w:rsidRPr="005970E9">
        <w:rPr>
          <w:rFonts w:ascii="Century Schoolbook" w:hAnsi="Century Schoolbook"/>
          <w:sz w:val="22"/>
          <w:szCs w:val="22"/>
        </w:rPr>
        <w:t>(UNICEF</w:t>
      </w:r>
      <w:r w:rsidR="009D1829" w:rsidRPr="005970E9">
        <w:rPr>
          <w:rFonts w:ascii="Century Schoolbook" w:hAnsi="Century Schoolbook"/>
          <w:sz w:val="22"/>
          <w:szCs w:val="22"/>
        </w:rPr>
        <w:t>,</w:t>
      </w:r>
      <w:r w:rsidRPr="005970E9">
        <w:rPr>
          <w:rFonts w:ascii="Century Schoolbook" w:hAnsi="Century Schoolbook"/>
          <w:sz w:val="22"/>
          <w:szCs w:val="22"/>
        </w:rPr>
        <w:t xml:space="preserve"> 2018. PÁG. 81)</w:t>
      </w:r>
      <w:r w:rsidR="009D1829" w:rsidRPr="005970E9">
        <w:rPr>
          <w:rFonts w:ascii="Century Schoolbook" w:hAnsi="Century Schoolbook"/>
          <w:sz w:val="22"/>
          <w:szCs w:val="22"/>
        </w:rPr>
        <w:t>.</w:t>
      </w:r>
      <w:r w:rsidRPr="005970E9">
        <w:rPr>
          <w:rFonts w:ascii="Century Schoolbook" w:hAnsi="Century Schoolbook"/>
          <w:sz w:val="22"/>
          <w:szCs w:val="22"/>
        </w:rPr>
        <w:t xml:space="preserve"> </w:t>
      </w:r>
      <w:bookmarkEnd w:id="229"/>
    </w:p>
    <w:p w14:paraId="2262F353" w14:textId="601B7C76" w:rsidR="009F7DD0" w:rsidRPr="005970E9" w:rsidRDefault="009F7DD0" w:rsidP="009F7DD0">
      <w:pPr>
        <w:pStyle w:val="FootnoteText"/>
        <w:spacing w:before="120" w:after="120" w:line="276" w:lineRule="auto"/>
        <w:jc w:val="both"/>
        <w:rPr>
          <w:rFonts w:ascii="Century Schoolbook" w:hAnsi="Century Schoolbook"/>
          <w:sz w:val="22"/>
          <w:szCs w:val="22"/>
        </w:rPr>
      </w:pPr>
      <w:r w:rsidRPr="005970E9">
        <w:rPr>
          <w:rFonts w:ascii="Century Schoolbook" w:hAnsi="Century Schoolbook"/>
          <w:sz w:val="22"/>
          <w:szCs w:val="22"/>
        </w:rPr>
        <w:t xml:space="preserve"> Los datos del Ministerio Público publicados en su página web no presentan desegregación por sexo ni por edad. Para el año 2019 se denunciaron 16,851 casos de violencia doméstica, en comparación al año 2018, hubo un aumento de 1,147 denuncias. </w:t>
      </w:r>
      <w:r w:rsidRPr="005970E9">
        <w:rPr>
          <w:rFonts w:ascii="Century Schoolbook" w:hAnsi="Century Schoolbook"/>
          <w:sz w:val="22"/>
          <w:szCs w:val="22"/>
        </w:rPr>
        <w:lastRenderedPageBreak/>
        <w:t xml:space="preserve">El mes de agosto del 2019 las provincias con mayor número de estas denuncias fueron la provincia de Panamá, seguida de Panamá Oeste. (Gráfica 35) </w:t>
      </w:r>
    </w:p>
    <w:p w14:paraId="7F3FF28D" w14:textId="77777777" w:rsidR="009F7DD0" w:rsidRPr="005970E9" w:rsidRDefault="009F7DD0" w:rsidP="009F7DD0">
      <w:pPr>
        <w:spacing w:before="120" w:after="120" w:line="276" w:lineRule="auto"/>
      </w:pPr>
    </w:p>
    <w:p w14:paraId="5348FACA" w14:textId="338A63AA" w:rsidR="009F7DD0" w:rsidRPr="005970E9" w:rsidRDefault="009F7DD0" w:rsidP="009F7DD0">
      <w:pPr>
        <w:pStyle w:val="Caption"/>
        <w:keepNext/>
        <w:rPr>
          <w:rFonts w:ascii="Century Schoolbook" w:hAnsi="Century Schoolbook"/>
          <w:sz w:val="20"/>
          <w:szCs w:val="20"/>
        </w:rPr>
      </w:pPr>
      <w:bookmarkStart w:id="230" w:name="_Toc42366646"/>
      <w:bookmarkStart w:id="231" w:name="_Toc42549264"/>
      <w:r w:rsidRPr="005970E9">
        <w:rPr>
          <w:rFonts w:ascii="Century Schoolbook" w:hAnsi="Century Schoolbook"/>
          <w:sz w:val="20"/>
          <w:szCs w:val="20"/>
        </w:rPr>
        <w:t xml:space="preserve">Gráfica </w:t>
      </w:r>
      <w:r w:rsidRPr="005970E9">
        <w:rPr>
          <w:rFonts w:ascii="Century Schoolbook" w:hAnsi="Century Schoolbook"/>
          <w:sz w:val="20"/>
          <w:szCs w:val="20"/>
        </w:rPr>
        <w:fldChar w:fldCharType="begin"/>
      </w:r>
      <w:r w:rsidRPr="005970E9">
        <w:rPr>
          <w:rFonts w:ascii="Century Schoolbook" w:hAnsi="Century Schoolbook"/>
          <w:sz w:val="20"/>
          <w:szCs w:val="20"/>
        </w:rPr>
        <w:instrText xml:space="preserve"> SEQ Gráfica \* ARABIC </w:instrText>
      </w:r>
      <w:r w:rsidRPr="005970E9">
        <w:rPr>
          <w:rFonts w:ascii="Century Schoolbook" w:hAnsi="Century Schoolbook"/>
          <w:sz w:val="20"/>
          <w:szCs w:val="20"/>
        </w:rPr>
        <w:fldChar w:fldCharType="separate"/>
      </w:r>
      <w:r w:rsidR="00641ABD">
        <w:rPr>
          <w:rFonts w:ascii="Century Schoolbook" w:hAnsi="Century Schoolbook"/>
          <w:noProof/>
          <w:sz w:val="20"/>
          <w:szCs w:val="20"/>
        </w:rPr>
        <w:t>32</w:t>
      </w:r>
      <w:r w:rsidRPr="005970E9">
        <w:rPr>
          <w:rFonts w:ascii="Century Schoolbook" w:hAnsi="Century Schoolbook"/>
          <w:sz w:val="20"/>
          <w:szCs w:val="20"/>
        </w:rPr>
        <w:fldChar w:fldCharType="end"/>
      </w:r>
      <w:r w:rsidRPr="005970E9">
        <w:rPr>
          <w:rFonts w:ascii="Century Schoolbook" w:hAnsi="Century Schoolbook"/>
          <w:sz w:val="20"/>
          <w:szCs w:val="20"/>
        </w:rPr>
        <w:t xml:space="preserve">. </w:t>
      </w:r>
      <w:r w:rsidRPr="005970E9">
        <w:rPr>
          <w:rFonts w:ascii="Century Schoolbook" w:hAnsi="Century Schoolbook"/>
          <w:bCs/>
          <w:sz w:val="20"/>
          <w:szCs w:val="20"/>
        </w:rPr>
        <w:t>Número de denuncias registradas de violencia doméstica en la República de Panamá, según distrito judicial y año de ocurrencia 2014-2019</w:t>
      </w:r>
      <w:bookmarkEnd w:id="230"/>
      <w:bookmarkEnd w:id="231"/>
    </w:p>
    <w:bookmarkEnd w:id="227"/>
    <w:p w14:paraId="31CA030E" w14:textId="77777777" w:rsidR="009F7DD0" w:rsidRPr="005970E9" w:rsidRDefault="009F7DD0" w:rsidP="009F7DD0">
      <w:pPr>
        <w:spacing w:before="120" w:after="120" w:line="276" w:lineRule="auto"/>
        <w:jc w:val="center"/>
      </w:pPr>
      <w:r w:rsidRPr="005970E9">
        <w:rPr>
          <w:noProof/>
        </w:rPr>
        <w:drawing>
          <wp:inline distT="0" distB="0" distL="0" distR="0" wp14:anchorId="1A04AE4D" wp14:editId="409F715A">
            <wp:extent cx="5612130" cy="2988129"/>
            <wp:effectExtent l="0" t="0" r="7620" b="3175"/>
            <wp:docPr id="23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DE40A9A" w14:textId="77777777" w:rsidR="009F7DD0" w:rsidRPr="005970E9" w:rsidRDefault="009F7DD0" w:rsidP="009F7DD0">
      <w:pPr>
        <w:spacing w:before="120" w:after="120" w:line="276" w:lineRule="auto"/>
        <w:contextualSpacing/>
      </w:pPr>
      <w:r w:rsidRPr="005970E9">
        <w:t>Fuente: Estadísticas publicadas en la página web del Ministerio Público. Año 2019</w:t>
      </w:r>
    </w:p>
    <w:p w14:paraId="2077799C" w14:textId="77777777" w:rsidR="009F7DD0" w:rsidRPr="005970E9" w:rsidRDefault="009F7DD0" w:rsidP="009F7DD0">
      <w:pPr>
        <w:spacing w:before="120" w:after="120" w:line="276" w:lineRule="auto"/>
        <w:contextualSpacing/>
      </w:pPr>
    </w:p>
    <w:p w14:paraId="228109F9" w14:textId="77777777" w:rsidR="009F7DD0" w:rsidRPr="005970E9" w:rsidRDefault="009F7DD0" w:rsidP="009F7DD0">
      <w:pPr>
        <w:spacing w:before="120" w:after="120" w:line="276" w:lineRule="auto"/>
        <w:jc w:val="both"/>
      </w:pPr>
      <w:r w:rsidRPr="005970E9">
        <w:t xml:space="preserve">Entre enero y agosto del 2019 los delitos contra el orden jurídico familiar y el estado civil ocupaba el segundo lugar de los delitos con más de 13,412 denuncias en el país, los delitos contra el patrimonio económico acumulaban 18,595 denuncias, siendo el primer lugar de los delitos más cometidos en Panamá. (Estadísticas del Ministerio Público).  </w:t>
      </w:r>
    </w:p>
    <w:p w14:paraId="4B68670E" w14:textId="77777777" w:rsidR="009F7DD0" w:rsidRPr="005970E9" w:rsidRDefault="009F7DD0" w:rsidP="009F7DD0">
      <w:pPr>
        <w:spacing w:before="120" w:after="120" w:line="276" w:lineRule="auto"/>
        <w:contextualSpacing/>
        <w:jc w:val="both"/>
      </w:pPr>
      <w:r w:rsidRPr="005970E9">
        <w:t xml:space="preserve">Hasta marzo del 2020 se presentaron 4,192 denuncia de violencia doméstica, es importante mencionar que a principios del mes de marzo se declaró el estado de alarma y desde finales de este mes el país implementó medidas de distanciamiento social que incluye días de aislamiento parciales y absolutos hasta inicios del mes de junio. En el año 2019 para estas mismas fechas se habían presentado 4,117 denuncias en los primeros 3 meses de año, unas 75 denuncias más que el año pasado.  </w:t>
      </w:r>
    </w:p>
    <w:p w14:paraId="7F465681" w14:textId="77777777" w:rsidR="009F7DD0" w:rsidRPr="005970E9" w:rsidRDefault="009F7DD0" w:rsidP="009F7DD0">
      <w:pPr>
        <w:spacing w:before="120" w:after="120" w:line="276" w:lineRule="auto"/>
        <w:contextualSpacing/>
        <w:jc w:val="both"/>
      </w:pPr>
    </w:p>
    <w:p w14:paraId="48718B93" w14:textId="1B164FB5" w:rsidR="009F7DD0" w:rsidRPr="005970E9" w:rsidRDefault="009F7DD0" w:rsidP="009F7DD0">
      <w:pPr>
        <w:spacing w:before="120" w:after="120" w:line="276" w:lineRule="auto"/>
        <w:contextualSpacing/>
        <w:jc w:val="both"/>
      </w:pPr>
      <w:r w:rsidRPr="005970E9">
        <w:t>En el año 2019 (Tabla 1</w:t>
      </w:r>
      <w:r w:rsidR="0026720A">
        <w:t>8</w:t>
      </w:r>
      <w:r w:rsidRPr="005970E9">
        <w:t>)</w:t>
      </w:r>
      <w:r w:rsidRPr="005970E9">
        <w:rPr>
          <w:rStyle w:val="FootnoteReference"/>
        </w:rPr>
        <w:footnoteReference w:id="50"/>
      </w:r>
      <w:r w:rsidRPr="005970E9">
        <w:t xml:space="preserve">, en cuanto a la edad y sexo de las víctimas de violencia doméstica de las 17,218 denuncias, 13,985 son del sexo femenino y 3,147 del sexo masculino y la mayoría de las víctimas tenía entre 18 y 49 años. </w:t>
      </w:r>
    </w:p>
    <w:p w14:paraId="470451DB" w14:textId="77777777" w:rsidR="009F7DD0" w:rsidRPr="005970E9" w:rsidRDefault="009F7DD0" w:rsidP="009F7DD0">
      <w:pPr>
        <w:spacing w:before="120" w:after="120" w:line="276" w:lineRule="auto"/>
        <w:contextualSpacing/>
        <w:jc w:val="both"/>
        <w:rPr>
          <w:b/>
        </w:rPr>
      </w:pPr>
    </w:p>
    <w:p w14:paraId="0BC51508" w14:textId="77777777" w:rsidR="009F7DD0" w:rsidRPr="005970E9" w:rsidRDefault="009F7DD0" w:rsidP="009F7DD0">
      <w:pPr>
        <w:spacing w:before="120" w:after="120" w:line="276" w:lineRule="auto"/>
        <w:contextualSpacing/>
        <w:jc w:val="both"/>
        <w:rPr>
          <w:b/>
        </w:rPr>
      </w:pPr>
    </w:p>
    <w:p w14:paraId="22C4788C" w14:textId="77777777" w:rsidR="009F7DD0" w:rsidRPr="005970E9" w:rsidRDefault="009F7DD0" w:rsidP="009F7DD0">
      <w:pPr>
        <w:spacing w:before="120" w:after="120" w:line="276" w:lineRule="auto"/>
        <w:contextualSpacing/>
        <w:jc w:val="both"/>
        <w:rPr>
          <w:b/>
        </w:rPr>
      </w:pPr>
    </w:p>
    <w:p w14:paraId="665165E1" w14:textId="0D4BD1BD" w:rsidR="009F7DD0" w:rsidRPr="005970E9" w:rsidRDefault="009F7DD0" w:rsidP="009F7DD0">
      <w:pPr>
        <w:pStyle w:val="Caption"/>
        <w:keepNext/>
        <w:rPr>
          <w:rFonts w:ascii="Century Schoolbook" w:hAnsi="Century Schoolbook"/>
          <w:i w:val="0"/>
          <w:iCs w:val="0"/>
        </w:rPr>
      </w:pPr>
      <w:bookmarkStart w:id="232" w:name="_Toc42293589"/>
      <w:bookmarkStart w:id="233" w:name="_Toc42549212"/>
      <w:r w:rsidRPr="005970E9">
        <w:rPr>
          <w:rFonts w:ascii="Century Schoolbook" w:hAnsi="Century Schoolbook"/>
          <w:i w:val="0"/>
          <w:iCs w:val="0"/>
        </w:rPr>
        <w:t xml:space="preserve">Tabla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Tabla \* ARABIC </w:instrText>
      </w:r>
      <w:r w:rsidRPr="005970E9">
        <w:rPr>
          <w:rFonts w:ascii="Century Schoolbook" w:hAnsi="Century Schoolbook"/>
          <w:i w:val="0"/>
          <w:iCs w:val="0"/>
        </w:rPr>
        <w:fldChar w:fldCharType="separate"/>
      </w:r>
      <w:r w:rsidR="008152A5" w:rsidRPr="005970E9">
        <w:rPr>
          <w:rFonts w:ascii="Century Schoolbook" w:hAnsi="Century Schoolbook"/>
          <w:i w:val="0"/>
          <w:iCs w:val="0"/>
          <w:noProof/>
        </w:rPr>
        <w:t>18</w:t>
      </w:r>
      <w:r w:rsidRPr="005970E9">
        <w:rPr>
          <w:rFonts w:ascii="Century Schoolbook" w:hAnsi="Century Schoolbook"/>
          <w:i w:val="0"/>
          <w:iCs w:val="0"/>
        </w:rPr>
        <w:fldChar w:fldCharType="end"/>
      </w:r>
      <w:r w:rsidRPr="005970E9">
        <w:rPr>
          <w:rFonts w:ascii="Century Schoolbook" w:hAnsi="Century Schoolbook"/>
          <w:i w:val="0"/>
          <w:iCs w:val="0"/>
        </w:rPr>
        <w:t xml:space="preserve">. </w:t>
      </w:r>
      <w:r w:rsidRPr="005970E9">
        <w:rPr>
          <w:rFonts w:ascii="Century Schoolbook" w:hAnsi="Century Schoolbook"/>
          <w:bCs/>
          <w:i w:val="0"/>
          <w:iCs w:val="0"/>
          <w:sz w:val="20"/>
          <w:szCs w:val="20"/>
        </w:rPr>
        <w:t>Número de víctimas de violencia doméstica, del Título V- delitos contra el orden jurídico familiar y el estado civil a nivel nacional, por género; según rango de edad.</w:t>
      </w:r>
      <w:bookmarkEnd w:id="232"/>
      <w:r w:rsidRPr="005970E9">
        <w:rPr>
          <w:rFonts w:ascii="Century Schoolbook" w:hAnsi="Century Schoolbook"/>
          <w:bCs/>
          <w:i w:val="0"/>
          <w:iCs w:val="0"/>
          <w:sz w:val="20"/>
          <w:szCs w:val="20"/>
        </w:rPr>
        <w:t xml:space="preserve"> 1 de enero al 31 de diciembre de 2019</w:t>
      </w:r>
      <w:bookmarkEnd w:id="233"/>
    </w:p>
    <w:tbl>
      <w:tblPr>
        <w:tblStyle w:val="TableGrid"/>
        <w:tblW w:w="8916" w:type="dxa"/>
        <w:tblLook w:val="04A0" w:firstRow="1" w:lastRow="0" w:firstColumn="1" w:lastColumn="0" w:noHBand="0" w:noVBand="1"/>
      </w:tblPr>
      <w:tblGrid>
        <w:gridCol w:w="2050"/>
        <w:gridCol w:w="1582"/>
        <w:gridCol w:w="1514"/>
        <w:gridCol w:w="1964"/>
        <w:gridCol w:w="1806"/>
      </w:tblGrid>
      <w:tr w:rsidR="009F7DD0" w:rsidRPr="005970E9" w14:paraId="2E88685E" w14:textId="77777777" w:rsidTr="009F7DD0">
        <w:trPr>
          <w:trHeight w:val="251"/>
        </w:trPr>
        <w:tc>
          <w:tcPr>
            <w:tcW w:w="8916" w:type="dxa"/>
            <w:gridSpan w:val="5"/>
            <w:shd w:val="clear" w:color="auto" w:fill="CCC0D9" w:themeFill="accent4" w:themeFillTint="66"/>
            <w:hideMark/>
          </w:tcPr>
          <w:p w14:paraId="5BBE4C77" w14:textId="77777777" w:rsidR="009F7DD0" w:rsidRPr="005970E9" w:rsidRDefault="009F7DD0" w:rsidP="009F7DD0">
            <w:pPr>
              <w:autoSpaceDE w:val="0"/>
              <w:autoSpaceDN w:val="0"/>
              <w:adjustRightInd w:val="0"/>
              <w:jc w:val="center"/>
              <w:rPr>
                <w:b/>
              </w:rPr>
            </w:pPr>
            <w:r w:rsidRPr="005970E9">
              <w:rPr>
                <w:b/>
              </w:rPr>
              <w:t>Del 1 de enero al 31 de diciembre de 2019 (p)</w:t>
            </w:r>
          </w:p>
        </w:tc>
      </w:tr>
      <w:tr w:rsidR="009F7DD0" w:rsidRPr="005970E9" w14:paraId="49323923" w14:textId="77777777" w:rsidTr="009F7DD0">
        <w:trPr>
          <w:trHeight w:val="131"/>
        </w:trPr>
        <w:tc>
          <w:tcPr>
            <w:tcW w:w="2050" w:type="dxa"/>
            <w:vMerge w:val="restart"/>
            <w:shd w:val="clear" w:color="auto" w:fill="CCC0D9" w:themeFill="accent4" w:themeFillTint="66"/>
            <w:vAlign w:val="center"/>
            <w:hideMark/>
          </w:tcPr>
          <w:p w14:paraId="4218B0A5" w14:textId="77777777" w:rsidR="009F7DD0" w:rsidRPr="005970E9" w:rsidRDefault="009F7DD0" w:rsidP="009F7DD0">
            <w:pPr>
              <w:autoSpaceDE w:val="0"/>
              <w:autoSpaceDN w:val="0"/>
              <w:adjustRightInd w:val="0"/>
              <w:rPr>
                <w:b/>
                <w:bCs/>
              </w:rPr>
            </w:pPr>
            <w:r w:rsidRPr="005970E9">
              <w:rPr>
                <w:b/>
                <w:bCs/>
              </w:rPr>
              <w:t>Total</w:t>
            </w:r>
          </w:p>
        </w:tc>
        <w:tc>
          <w:tcPr>
            <w:tcW w:w="1582" w:type="dxa"/>
            <w:shd w:val="clear" w:color="auto" w:fill="CCC0D9" w:themeFill="accent4" w:themeFillTint="66"/>
            <w:hideMark/>
          </w:tcPr>
          <w:p w14:paraId="483D8341" w14:textId="77777777" w:rsidR="009F7DD0" w:rsidRPr="005970E9" w:rsidRDefault="009F7DD0" w:rsidP="009F7DD0">
            <w:pPr>
              <w:autoSpaceDE w:val="0"/>
              <w:autoSpaceDN w:val="0"/>
              <w:adjustRightInd w:val="0"/>
              <w:jc w:val="center"/>
              <w:rPr>
                <w:b/>
                <w:bCs/>
              </w:rPr>
            </w:pPr>
            <w:r w:rsidRPr="005970E9">
              <w:rPr>
                <w:b/>
                <w:bCs/>
              </w:rPr>
              <w:t>Total</w:t>
            </w:r>
          </w:p>
        </w:tc>
        <w:tc>
          <w:tcPr>
            <w:tcW w:w="1514" w:type="dxa"/>
            <w:shd w:val="clear" w:color="auto" w:fill="CCC0D9" w:themeFill="accent4" w:themeFillTint="66"/>
            <w:hideMark/>
          </w:tcPr>
          <w:p w14:paraId="7AE1423B" w14:textId="77777777" w:rsidR="009F7DD0" w:rsidRPr="005970E9" w:rsidRDefault="009F7DD0" w:rsidP="009F7DD0">
            <w:pPr>
              <w:autoSpaceDE w:val="0"/>
              <w:autoSpaceDN w:val="0"/>
              <w:adjustRightInd w:val="0"/>
              <w:jc w:val="center"/>
              <w:rPr>
                <w:b/>
                <w:bCs/>
              </w:rPr>
            </w:pPr>
            <w:r w:rsidRPr="005970E9">
              <w:rPr>
                <w:b/>
                <w:bCs/>
              </w:rPr>
              <w:t>Femenino</w:t>
            </w:r>
          </w:p>
        </w:tc>
        <w:tc>
          <w:tcPr>
            <w:tcW w:w="1964" w:type="dxa"/>
            <w:shd w:val="clear" w:color="auto" w:fill="CCC0D9" w:themeFill="accent4" w:themeFillTint="66"/>
            <w:hideMark/>
          </w:tcPr>
          <w:p w14:paraId="2EB6C7AC" w14:textId="77777777" w:rsidR="009F7DD0" w:rsidRPr="005970E9" w:rsidRDefault="009F7DD0" w:rsidP="009F7DD0">
            <w:pPr>
              <w:autoSpaceDE w:val="0"/>
              <w:autoSpaceDN w:val="0"/>
              <w:adjustRightInd w:val="0"/>
              <w:jc w:val="center"/>
              <w:rPr>
                <w:b/>
                <w:bCs/>
              </w:rPr>
            </w:pPr>
            <w:r w:rsidRPr="005970E9">
              <w:rPr>
                <w:b/>
                <w:bCs/>
              </w:rPr>
              <w:t>Masculino</w:t>
            </w:r>
          </w:p>
        </w:tc>
        <w:tc>
          <w:tcPr>
            <w:tcW w:w="1806" w:type="dxa"/>
            <w:shd w:val="clear" w:color="auto" w:fill="CCC0D9" w:themeFill="accent4" w:themeFillTint="66"/>
            <w:hideMark/>
          </w:tcPr>
          <w:p w14:paraId="3516DD3D" w14:textId="77777777" w:rsidR="009F7DD0" w:rsidRPr="005970E9" w:rsidRDefault="009F7DD0" w:rsidP="009F7DD0">
            <w:pPr>
              <w:autoSpaceDE w:val="0"/>
              <w:autoSpaceDN w:val="0"/>
              <w:adjustRightInd w:val="0"/>
              <w:jc w:val="center"/>
              <w:rPr>
                <w:b/>
                <w:bCs/>
              </w:rPr>
            </w:pPr>
            <w:r w:rsidRPr="005970E9">
              <w:rPr>
                <w:b/>
                <w:bCs/>
              </w:rPr>
              <w:t>Sin datos</w:t>
            </w:r>
          </w:p>
        </w:tc>
      </w:tr>
      <w:tr w:rsidR="009F7DD0" w:rsidRPr="005970E9" w14:paraId="1C6D1AAC" w14:textId="77777777" w:rsidTr="009F7DD0">
        <w:trPr>
          <w:trHeight w:val="251"/>
        </w:trPr>
        <w:tc>
          <w:tcPr>
            <w:tcW w:w="2050" w:type="dxa"/>
            <w:vMerge/>
            <w:shd w:val="clear" w:color="auto" w:fill="CCC0D9" w:themeFill="accent4" w:themeFillTint="66"/>
            <w:hideMark/>
          </w:tcPr>
          <w:p w14:paraId="26C6D499" w14:textId="77777777" w:rsidR="009F7DD0" w:rsidRPr="005970E9" w:rsidRDefault="009F7DD0" w:rsidP="009F7DD0">
            <w:pPr>
              <w:autoSpaceDE w:val="0"/>
              <w:autoSpaceDN w:val="0"/>
              <w:adjustRightInd w:val="0"/>
              <w:rPr>
                <w:b/>
                <w:bCs/>
              </w:rPr>
            </w:pPr>
          </w:p>
        </w:tc>
        <w:tc>
          <w:tcPr>
            <w:tcW w:w="1582" w:type="dxa"/>
            <w:shd w:val="clear" w:color="auto" w:fill="CCC0D9" w:themeFill="accent4" w:themeFillTint="66"/>
            <w:hideMark/>
          </w:tcPr>
          <w:p w14:paraId="34D6C61A" w14:textId="77777777" w:rsidR="009F7DD0" w:rsidRPr="005970E9" w:rsidRDefault="009F7DD0" w:rsidP="009F7DD0">
            <w:pPr>
              <w:autoSpaceDE w:val="0"/>
              <w:autoSpaceDN w:val="0"/>
              <w:adjustRightInd w:val="0"/>
              <w:jc w:val="right"/>
              <w:rPr>
                <w:bCs/>
                <w:u w:val="single"/>
              </w:rPr>
            </w:pPr>
            <w:r w:rsidRPr="005970E9">
              <w:rPr>
                <w:bCs/>
                <w:u w:val="single"/>
              </w:rPr>
              <w:t>17218</w:t>
            </w:r>
          </w:p>
        </w:tc>
        <w:tc>
          <w:tcPr>
            <w:tcW w:w="1514" w:type="dxa"/>
            <w:shd w:val="clear" w:color="auto" w:fill="CCC0D9" w:themeFill="accent4" w:themeFillTint="66"/>
            <w:hideMark/>
          </w:tcPr>
          <w:p w14:paraId="2E7AA917" w14:textId="77777777" w:rsidR="009F7DD0" w:rsidRPr="005970E9" w:rsidRDefault="009F7DD0" w:rsidP="009F7DD0">
            <w:pPr>
              <w:autoSpaceDE w:val="0"/>
              <w:autoSpaceDN w:val="0"/>
              <w:adjustRightInd w:val="0"/>
              <w:jc w:val="right"/>
              <w:rPr>
                <w:b/>
                <w:bCs/>
                <w:u w:val="single"/>
              </w:rPr>
            </w:pPr>
            <w:r w:rsidRPr="005970E9">
              <w:rPr>
                <w:b/>
                <w:bCs/>
                <w:u w:val="single"/>
              </w:rPr>
              <w:t>13985</w:t>
            </w:r>
          </w:p>
        </w:tc>
        <w:tc>
          <w:tcPr>
            <w:tcW w:w="1964" w:type="dxa"/>
            <w:shd w:val="clear" w:color="auto" w:fill="CCC0D9" w:themeFill="accent4" w:themeFillTint="66"/>
            <w:hideMark/>
          </w:tcPr>
          <w:p w14:paraId="32B5A26F" w14:textId="77777777" w:rsidR="009F7DD0" w:rsidRPr="005970E9" w:rsidRDefault="009F7DD0" w:rsidP="009F7DD0">
            <w:pPr>
              <w:autoSpaceDE w:val="0"/>
              <w:autoSpaceDN w:val="0"/>
              <w:adjustRightInd w:val="0"/>
              <w:jc w:val="right"/>
              <w:rPr>
                <w:b/>
                <w:bCs/>
                <w:u w:val="single"/>
              </w:rPr>
            </w:pPr>
            <w:r w:rsidRPr="005970E9">
              <w:rPr>
                <w:b/>
                <w:bCs/>
                <w:u w:val="single"/>
              </w:rPr>
              <w:t>3147</w:t>
            </w:r>
          </w:p>
        </w:tc>
        <w:tc>
          <w:tcPr>
            <w:tcW w:w="1806" w:type="dxa"/>
            <w:shd w:val="clear" w:color="auto" w:fill="CCC0D9" w:themeFill="accent4" w:themeFillTint="66"/>
            <w:hideMark/>
          </w:tcPr>
          <w:p w14:paraId="7D25564F" w14:textId="77777777" w:rsidR="009F7DD0" w:rsidRPr="005970E9" w:rsidRDefault="009F7DD0" w:rsidP="009F7DD0">
            <w:pPr>
              <w:autoSpaceDE w:val="0"/>
              <w:autoSpaceDN w:val="0"/>
              <w:adjustRightInd w:val="0"/>
              <w:jc w:val="right"/>
              <w:rPr>
                <w:b/>
                <w:bCs/>
                <w:u w:val="single"/>
              </w:rPr>
            </w:pPr>
            <w:r w:rsidRPr="005970E9">
              <w:rPr>
                <w:b/>
                <w:bCs/>
                <w:u w:val="single"/>
              </w:rPr>
              <w:t>86</w:t>
            </w:r>
          </w:p>
        </w:tc>
      </w:tr>
      <w:tr w:rsidR="009F7DD0" w:rsidRPr="005970E9" w14:paraId="76FCF896" w14:textId="77777777" w:rsidTr="009F7DD0">
        <w:trPr>
          <w:trHeight w:val="251"/>
        </w:trPr>
        <w:tc>
          <w:tcPr>
            <w:tcW w:w="2050" w:type="dxa"/>
            <w:noWrap/>
            <w:hideMark/>
          </w:tcPr>
          <w:p w14:paraId="20A509A2" w14:textId="77777777" w:rsidR="009F7DD0" w:rsidRPr="005970E9" w:rsidRDefault="009F7DD0" w:rsidP="009F7DD0">
            <w:pPr>
              <w:autoSpaceDE w:val="0"/>
              <w:autoSpaceDN w:val="0"/>
              <w:adjustRightInd w:val="0"/>
            </w:pPr>
            <w:r w:rsidRPr="005970E9">
              <w:t>18-24</w:t>
            </w:r>
          </w:p>
        </w:tc>
        <w:tc>
          <w:tcPr>
            <w:tcW w:w="1582" w:type="dxa"/>
            <w:hideMark/>
          </w:tcPr>
          <w:p w14:paraId="766F5AD3" w14:textId="77777777" w:rsidR="009F7DD0" w:rsidRPr="005970E9" w:rsidRDefault="009F7DD0" w:rsidP="009F7DD0">
            <w:pPr>
              <w:autoSpaceDE w:val="0"/>
              <w:autoSpaceDN w:val="0"/>
              <w:adjustRightInd w:val="0"/>
              <w:jc w:val="right"/>
              <w:rPr>
                <w:bCs/>
                <w:u w:val="single"/>
              </w:rPr>
            </w:pPr>
            <w:r w:rsidRPr="005970E9">
              <w:rPr>
                <w:bCs/>
                <w:u w:val="single"/>
              </w:rPr>
              <w:t>2704</w:t>
            </w:r>
          </w:p>
        </w:tc>
        <w:tc>
          <w:tcPr>
            <w:tcW w:w="1514" w:type="dxa"/>
            <w:hideMark/>
          </w:tcPr>
          <w:p w14:paraId="28FC3BBA" w14:textId="77777777" w:rsidR="009F7DD0" w:rsidRPr="005970E9" w:rsidRDefault="009F7DD0" w:rsidP="009F7DD0">
            <w:pPr>
              <w:autoSpaceDE w:val="0"/>
              <w:autoSpaceDN w:val="0"/>
              <w:adjustRightInd w:val="0"/>
              <w:jc w:val="right"/>
            </w:pPr>
            <w:r w:rsidRPr="005970E9">
              <w:t>2430</w:t>
            </w:r>
          </w:p>
        </w:tc>
        <w:tc>
          <w:tcPr>
            <w:tcW w:w="1964" w:type="dxa"/>
            <w:hideMark/>
          </w:tcPr>
          <w:p w14:paraId="6F8C17C6" w14:textId="77777777" w:rsidR="009F7DD0" w:rsidRPr="005970E9" w:rsidRDefault="009F7DD0" w:rsidP="009F7DD0">
            <w:pPr>
              <w:autoSpaceDE w:val="0"/>
              <w:autoSpaceDN w:val="0"/>
              <w:adjustRightInd w:val="0"/>
              <w:jc w:val="right"/>
            </w:pPr>
            <w:r w:rsidRPr="005970E9">
              <w:t>261</w:t>
            </w:r>
          </w:p>
        </w:tc>
        <w:tc>
          <w:tcPr>
            <w:tcW w:w="1806" w:type="dxa"/>
            <w:hideMark/>
          </w:tcPr>
          <w:p w14:paraId="6C78F286" w14:textId="77777777" w:rsidR="009F7DD0" w:rsidRPr="005970E9" w:rsidRDefault="009F7DD0" w:rsidP="009F7DD0">
            <w:pPr>
              <w:autoSpaceDE w:val="0"/>
              <w:autoSpaceDN w:val="0"/>
              <w:adjustRightInd w:val="0"/>
              <w:jc w:val="right"/>
            </w:pPr>
            <w:r w:rsidRPr="005970E9">
              <w:t>13</w:t>
            </w:r>
          </w:p>
        </w:tc>
      </w:tr>
      <w:tr w:rsidR="009F7DD0" w:rsidRPr="005970E9" w14:paraId="25CE6D66" w14:textId="77777777" w:rsidTr="009F7DD0">
        <w:trPr>
          <w:trHeight w:val="251"/>
        </w:trPr>
        <w:tc>
          <w:tcPr>
            <w:tcW w:w="2050" w:type="dxa"/>
            <w:noWrap/>
            <w:hideMark/>
          </w:tcPr>
          <w:p w14:paraId="61D980B6" w14:textId="77777777" w:rsidR="009F7DD0" w:rsidRPr="005970E9" w:rsidRDefault="009F7DD0" w:rsidP="009F7DD0">
            <w:pPr>
              <w:autoSpaceDE w:val="0"/>
              <w:autoSpaceDN w:val="0"/>
              <w:adjustRightInd w:val="0"/>
            </w:pPr>
            <w:r w:rsidRPr="005970E9">
              <w:t>25-29</w:t>
            </w:r>
          </w:p>
        </w:tc>
        <w:tc>
          <w:tcPr>
            <w:tcW w:w="1582" w:type="dxa"/>
            <w:hideMark/>
          </w:tcPr>
          <w:p w14:paraId="702BA772" w14:textId="77777777" w:rsidR="009F7DD0" w:rsidRPr="005970E9" w:rsidRDefault="009F7DD0" w:rsidP="009F7DD0">
            <w:pPr>
              <w:autoSpaceDE w:val="0"/>
              <w:autoSpaceDN w:val="0"/>
              <w:adjustRightInd w:val="0"/>
              <w:jc w:val="right"/>
              <w:rPr>
                <w:bCs/>
                <w:u w:val="single"/>
              </w:rPr>
            </w:pPr>
            <w:r w:rsidRPr="005970E9">
              <w:rPr>
                <w:bCs/>
                <w:u w:val="single"/>
              </w:rPr>
              <w:t>2656</w:t>
            </w:r>
          </w:p>
        </w:tc>
        <w:tc>
          <w:tcPr>
            <w:tcW w:w="1514" w:type="dxa"/>
            <w:hideMark/>
          </w:tcPr>
          <w:p w14:paraId="55C3BEBE" w14:textId="77777777" w:rsidR="009F7DD0" w:rsidRPr="005970E9" w:rsidRDefault="009F7DD0" w:rsidP="009F7DD0">
            <w:pPr>
              <w:autoSpaceDE w:val="0"/>
              <w:autoSpaceDN w:val="0"/>
              <w:adjustRightInd w:val="0"/>
              <w:jc w:val="right"/>
            </w:pPr>
            <w:r w:rsidRPr="005970E9">
              <w:t>2339</w:t>
            </w:r>
          </w:p>
        </w:tc>
        <w:tc>
          <w:tcPr>
            <w:tcW w:w="1964" w:type="dxa"/>
            <w:hideMark/>
          </w:tcPr>
          <w:p w14:paraId="51796274" w14:textId="77777777" w:rsidR="009F7DD0" w:rsidRPr="005970E9" w:rsidRDefault="009F7DD0" w:rsidP="009F7DD0">
            <w:pPr>
              <w:autoSpaceDE w:val="0"/>
              <w:autoSpaceDN w:val="0"/>
              <w:adjustRightInd w:val="0"/>
              <w:jc w:val="right"/>
            </w:pPr>
            <w:r w:rsidRPr="005970E9">
              <w:t>311</w:t>
            </w:r>
          </w:p>
        </w:tc>
        <w:tc>
          <w:tcPr>
            <w:tcW w:w="1806" w:type="dxa"/>
            <w:hideMark/>
          </w:tcPr>
          <w:p w14:paraId="38C2D767" w14:textId="77777777" w:rsidR="009F7DD0" w:rsidRPr="005970E9" w:rsidRDefault="009F7DD0" w:rsidP="009F7DD0">
            <w:pPr>
              <w:autoSpaceDE w:val="0"/>
              <w:autoSpaceDN w:val="0"/>
              <w:adjustRightInd w:val="0"/>
              <w:jc w:val="right"/>
            </w:pPr>
            <w:r w:rsidRPr="005970E9">
              <w:t>6</w:t>
            </w:r>
          </w:p>
        </w:tc>
      </w:tr>
      <w:tr w:rsidR="009F7DD0" w:rsidRPr="005970E9" w14:paraId="67EA55BC" w14:textId="77777777" w:rsidTr="009F7DD0">
        <w:trPr>
          <w:trHeight w:val="251"/>
        </w:trPr>
        <w:tc>
          <w:tcPr>
            <w:tcW w:w="2050" w:type="dxa"/>
            <w:noWrap/>
            <w:hideMark/>
          </w:tcPr>
          <w:p w14:paraId="7B47B9DE" w14:textId="77777777" w:rsidR="009F7DD0" w:rsidRPr="005970E9" w:rsidRDefault="009F7DD0" w:rsidP="009F7DD0">
            <w:pPr>
              <w:autoSpaceDE w:val="0"/>
              <w:autoSpaceDN w:val="0"/>
              <w:adjustRightInd w:val="0"/>
            </w:pPr>
            <w:r w:rsidRPr="005970E9">
              <w:t>30-34</w:t>
            </w:r>
          </w:p>
        </w:tc>
        <w:tc>
          <w:tcPr>
            <w:tcW w:w="1582" w:type="dxa"/>
            <w:hideMark/>
          </w:tcPr>
          <w:p w14:paraId="09B2755C" w14:textId="77777777" w:rsidR="009F7DD0" w:rsidRPr="005970E9" w:rsidRDefault="009F7DD0" w:rsidP="009F7DD0">
            <w:pPr>
              <w:autoSpaceDE w:val="0"/>
              <w:autoSpaceDN w:val="0"/>
              <w:adjustRightInd w:val="0"/>
              <w:jc w:val="right"/>
              <w:rPr>
                <w:bCs/>
                <w:u w:val="single"/>
              </w:rPr>
            </w:pPr>
            <w:r w:rsidRPr="005970E9">
              <w:rPr>
                <w:bCs/>
                <w:u w:val="single"/>
              </w:rPr>
              <w:t>2697</w:t>
            </w:r>
          </w:p>
        </w:tc>
        <w:tc>
          <w:tcPr>
            <w:tcW w:w="1514" w:type="dxa"/>
            <w:hideMark/>
          </w:tcPr>
          <w:p w14:paraId="1E4CF9B4" w14:textId="77777777" w:rsidR="009F7DD0" w:rsidRPr="005970E9" w:rsidRDefault="009F7DD0" w:rsidP="009F7DD0">
            <w:pPr>
              <w:autoSpaceDE w:val="0"/>
              <w:autoSpaceDN w:val="0"/>
              <w:adjustRightInd w:val="0"/>
              <w:jc w:val="right"/>
            </w:pPr>
            <w:r w:rsidRPr="005970E9">
              <w:t>2330</w:t>
            </w:r>
          </w:p>
        </w:tc>
        <w:tc>
          <w:tcPr>
            <w:tcW w:w="1964" w:type="dxa"/>
            <w:hideMark/>
          </w:tcPr>
          <w:p w14:paraId="0A143979" w14:textId="77777777" w:rsidR="009F7DD0" w:rsidRPr="005970E9" w:rsidRDefault="009F7DD0" w:rsidP="009F7DD0">
            <w:pPr>
              <w:autoSpaceDE w:val="0"/>
              <w:autoSpaceDN w:val="0"/>
              <w:adjustRightInd w:val="0"/>
              <w:jc w:val="right"/>
            </w:pPr>
            <w:r w:rsidRPr="005970E9">
              <w:t>366</w:t>
            </w:r>
          </w:p>
        </w:tc>
        <w:tc>
          <w:tcPr>
            <w:tcW w:w="1806" w:type="dxa"/>
            <w:hideMark/>
          </w:tcPr>
          <w:p w14:paraId="44ED8A95" w14:textId="77777777" w:rsidR="009F7DD0" w:rsidRPr="005970E9" w:rsidRDefault="009F7DD0" w:rsidP="009F7DD0">
            <w:pPr>
              <w:autoSpaceDE w:val="0"/>
              <w:autoSpaceDN w:val="0"/>
              <w:adjustRightInd w:val="0"/>
              <w:jc w:val="right"/>
            </w:pPr>
            <w:r w:rsidRPr="005970E9">
              <w:t>1</w:t>
            </w:r>
          </w:p>
        </w:tc>
      </w:tr>
      <w:tr w:rsidR="009F7DD0" w:rsidRPr="005970E9" w14:paraId="63C4236E" w14:textId="77777777" w:rsidTr="009F7DD0">
        <w:trPr>
          <w:trHeight w:val="251"/>
        </w:trPr>
        <w:tc>
          <w:tcPr>
            <w:tcW w:w="2050" w:type="dxa"/>
            <w:noWrap/>
            <w:hideMark/>
          </w:tcPr>
          <w:p w14:paraId="23E804CF" w14:textId="77777777" w:rsidR="009F7DD0" w:rsidRPr="005970E9" w:rsidRDefault="009F7DD0" w:rsidP="009F7DD0">
            <w:pPr>
              <w:autoSpaceDE w:val="0"/>
              <w:autoSpaceDN w:val="0"/>
              <w:adjustRightInd w:val="0"/>
            </w:pPr>
            <w:r w:rsidRPr="005970E9">
              <w:t>35-39</w:t>
            </w:r>
          </w:p>
        </w:tc>
        <w:tc>
          <w:tcPr>
            <w:tcW w:w="1582" w:type="dxa"/>
            <w:hideMark/>
          </w:tcPr>
          <w:p w14:paraId="170D482D" w14:textId="77777777" w:rsidR="009F7DD0" w:rsidRPr="005970E9" w:rsidRDefault="009F7DD0" w:rsidP="009F7DD0">
            <w:pPr>
              <w:autoSpaceDE w:val="0"/>
              <w:autoSpaceDN w:val="0"/>
              <w:adjustRightInd w:val="0"/>
              <w:jc w:val="right"/>
              <w:rPr>
                <w:bCs/>
                <w:u w:val="single"/>
              </w:rPr>
            </w:pPr>
            <w:r w:rsidRPr="005970E9">
              <w:rPr>
                <w:bCs/>
                <w:u w:val="single"/>
              </w:rPr>
              <w:t>2179</w:t>
            </w:r>
          </w:p>
        </w:tc>
        <w:tc>
          <w:tcPr>
            <w:tcW w:w="1514" w:type="dxa"/>
            <w:hideMark/>
          </w:tcPr>
          <w:p w14:paraId="7396AB0E" w14:textId="77777777" w:rsidR="009F7DD0" w:rsidRPr="005970E9" w:rsidRDefault="009F7DD0" w:rsidP="009F7DD0">
            <w:pPr>
              <w:autoSpaceDE w:val="0"/>
              <w:autoSpaceDN w:val="0"/>
              <w:adjustRightInd w:val="0"/>
              <w:jc w:val="right"/>
            </w:pPr>
            <w:r w:rsidRPr="005970E9">
              <w:t>1836</w:t>
            </w:r>
          </w:p>
        </w:tc>
        <w:tc>
          <w:tcPr>
            <w:tcW w:w="1964" w:type="dxa"/>
            <w:hideMark/>
          </w:tcPr>
          <w:p w14:paraId="762D2794" w14:textId="77777777" w:rsidR="009F7DD0" w:rsidRPr="005970E9" w:rsidRDefault="009F7DD0" w:rsidP="009F7DD0">
            <w:pPr>
              <w:autoSpaceDE w:val="0"/>
              <w:autoSpaceDN w:val="0"/>
              <w:adjustRightInd w:val="0"/>
              <w:jc w:val="right"/>
            </w:pPr>
            <w:r w:rsidRPr="005970E9">
              <w:t>337</w:t>
            </w:r>
          </w:p>
        </w:tc>
        <w:tc>
          <w:tcPr>
            <w:tcW w:w="1806" w:type="dxa"/>
            <w:hideMark/>
          </w:tcPr>
          <w:p w14:paraId="3D543D65" w14:textId="77777777" w:rsidR="009F7DD0" w:rsidRPr="005970E9" w:rsidRDefault="009F7DD0" w:rsidP="009F7DD0">
            <w:pPr>
              <w:autoSpaceDE w:val="0"/>
              <w:autoSpaceDN w:val="0"/>
              <w:adjustRightInd w:val="0"/>
              <w:jc w:val="right"/>
            </w:pPr>
            <w:r w:rsidRPr="005970E9">
              <w:t>6</w:t>
            </w:r>
          </w:p>
        </w:tc>
      </w:tr>
      <w:tr w:rsidR="009F7DD0" w:rsidRPr="005970E9" w14:paraId="35287E7B" w14:textId="77777777" w:rsidTr="009F7DD0">
        <w:trPr>
          <w:trHeight w:val="251"/>
        </w:trPr>
        <w:tc>
          <w:tcPr>
            <w:tcW w:w="2050" w:type="dxa"/>
            <w:noWrap/>
            <w:hideMark/>
          </w:tcPr>
          <w:p w14:paraId="769027B2" w14:textId="77777777" w:rsidR="009F7DD0" w:rsidRPr="005970E9" w:rsidRDefault="009F7DD0" w:rsidP="009F7DD0">
            <w:pPr>
              <w:autoSpaceDE w:val="0"/>
              <w:autoSpaceDN w:val="0"/>
              <w:adjustRightInd w:val="0"/>
            </w:pPr>
            <w:r w:rsidRPr="005970E9">
              <w:t>40-44</w:t>
            </w:r>
          </w:p>
        </w:tc>
        <w:tc>
          <w:tcPr>
            <w:tcW w:w="1582" w:type="dxa"/>
            <w:hideMark/>
          </w:tcPr>
          <w:p w14:paraId="134FD7B8" w14:textId="77777777" w:rsidR="009F7DD0" w:rsidRPr="005970E9" w:rsidRDefault="009F7DD0" w:rsidP="009F7DD0">
            <w:pPr>
              <w:autoSpaceDE w:val="0"/>
              <w:autoSpaceDN w:val="0"/>
              <w:adjustRightInd w:val="0"/>
              <w:jc w:val="right"/>
              <w:rPr>
                <w:bCs/>
                <w:u w:val="single"/>
              </w:rPr>
            </w:pPr>
            <w:r w:rsidRPr="005970E9">
              <w:rPr>
                <w:bCs/>
                <w:u w:val="single"/>
              </w:rPr>
              <w:t>1761</w:t>
            </w:r>
          </w:p>
        </w:tc>
        <w:tc>
          <w:tcPr>
            <w:tcW w:w="1514" w:type="dxa"/>
            <w:hideMark/>
          </w:tcPr>
          <w:p w14:paraId="791371A7" w14:textId="77777777" w:rsidR="009F7DD0" w:rsidRPr="005970E9" w:rsidRDefault="009F7DD0" w:rsidP="009F7DD0">
            <w:pPr>
              <w:autoSpaceDE w:val="0"/>
              <w:autoSpaceDN w:val="0"/>
              <w:adjustRightInd w:val="0"/>
              <w:jc w:val="right"/>
            </w:pPr>
            <w:r w:rsidRPr="005970E9">
              <w:t>1413</w:t>
            </w:r>
          </w:p>
        </w:tc>
        <w:tc>
          <w:tcPr>
            <w:tcW w:w="1964" w:type="dxa"/>
            <w:hideMark/>
          </w:tcPr>
          <w:p w14:paraId="79FBFC44" w14:textId="77777777" w:rsidR="009F7DD0" w:rsidRPr="005970E9" w:rsidRDefault="009F7DD0" w:rsidP="009F7DD0">
            <w:pPr>
              <w:autoSpaceDE w:val="0"/>
              <w:autoSpaceDN w:val="0"/>
              <w:adjustRightInd w:val="0"/>
              <w:jc w:val="right"/>
            </w:pPr>
            <w:r w:rsidRPr="005970E9">
              <w:t>342</w:t>
            </w:r>
          </w:p>
        </w:tc>
        <w:tc>
          <w:tcPr>
            <w:tcW w:w="1806" w:type="dxa"/>
            <w:hideMark/>
          </w:tcPr>
          <w:p w14:paraId="5309AC6C" w14:textId="77777777" w:rsidR="009F7DD0" w:rsidRPr="005970E9" w:rsidRDefault="009F7DD0" w:rsidP="009F7DD0">
            <w:pPr>
              <w:autoSpaceDE w:val="0"/>
              <w:autoSpaceDN w:val="0"/>
              <w:adjustRightInd w:val="0"/>
              <w:jc w:val="right"/>
            </w:pPr>
            <w:r w:rsidRPr="005970E9">
              <w:t>6</w:t>
            </w:r>
          </w:p>
        </w:tc>
      </w:tr>
      <w:tr w:rsidR="009F7DD0" w:rsidRPr="005970E9" w14:paraId="43F0B9B6" w14:textId="77777777" w:rsidTr="009F7DD0">
        <w:trPr>
          <w:trHeight w:val="264"/>
        </w:trPr>
        <w:tc>
          <w:tcPr>
            <w:tcW w:w="2050" w:type="dxa"/>
            <w:noWrap/>
            <w:hideMark/>
          </w:tcPr>
          <w:p w14:paraId="6D8906F4" w14:textId="77777777" w:rsidR="009F7DD0" w:rsidRPr="005970E9" w:rsidRDefault="009F7DD0" w:rsidP="009F7DD0">
            <w:pPr>
              <w:autoSpaceDE w:val="0"/>
              <w:autoSpaceDN w:val="0"/>
              <w:adjustRightInd w:val="0"/>
            </w:pPr>
            <w:r w:rsidRPr="005970E9">
              <w:t>45-49</w:t>
            </w:r>
          </w:p>
        </w:tc>
        <w:tc>
          <w:tcPr>
            <w:tcW w:w="1582" w:type="dxa"/>
            <w:hideMark/>
          </w:tcPr>
          <w:p w14:paraId="3CDCA96A" w14:textId="77777777" w:rsidR="009F7DD0" w:rsidRPr="005970E9" w:rsidRDefault="009F7DD0" w:rsidP="009F7DD0">
            <w:pPr>
              <w:autoSpaceDE w:val="0"/>
              <w:autoSpaceDN w:val="0"/>
              <w:adjustRightInd w:val="0"/>
              <w:jc w:val="right"/>
              <w:rPr>
                <w:bCs/>
                <w:u w:val="single"/>
              </w:rPr>
            </w:pPr>
            <w:r w:rsidRPr="005970E9">
              <w:rPr>
                <w:bCs/>
                <w:u w:val="single"/>
              </w:rPr>
              <w:t>1255</w:t>
            </w:r>
          </w:p>
        </w:tc>
        <w:tc>
          <w:tcPr>
            <w:tcW w:w="1514" w:type="dxa"/>
            <w:hideMark/>
          </w:tcPr>
          <w:p w14:paraId="785C1B33" w14:textId="77777777" w:rsidR="009F7DD0" w:rsidRPr="005970E9" w:rsidRDefault="009F7DD0" w:rsidP="009F7DD0">
            <w:pPr>
              <w:autoSpaceDE w:val="0"/>
              <w:autoSpaceDN w:val="0"/>
              <w:adjustRightInd w:val="0"/>
              <w:jc w:val="right"/>
            </w:pPr>
            <w:r w:rsidRPr="005970E9">
              <w:t>952</w:t>
            </w:r>
          </w:p>
        </w:tc>
        <w:tc>
          <w:tcPr>
            <w:tcW w:w="1964" w:type="dxa"/>
            <w:noWrap/>
            <w:hideMark/>
          </w:tcPr>
          <w:p w14:paraId="008C6F9D" w14:textId="77777777" w:rsidR="009F7DD0" w:rsidRPr="005970E9" w:rsidRDefault="009F7DD0" w:rsidP="009F7DD0">
            <w:pPr>
              <w:autoSpaceDE w:val="0"/>
              <w:autoSpaceDN w:val="0"/>
              <w:adjustRightInd w:val="0"/>
              <w:jc w:val="right"/>
            </w:pPr>
            <w:r w:rsidRPr="005970E9">
              <w:t>298</w:t>
            </w:r>
          </w:p>
        </w:tc>
        <w:tc>
          <w:tcPr>
            <w:tcW w:w="1806" w:type="dxa"/>
            <w:noWrap/>
            <w:hideMark/>
          </w:tcPr>
          <w:p w14:paraId="26A285B8" w14:textId="77777777" w:rsidR="009F7DD0" w:rsidRPr="005970E9" w:rsidRDefault="009F7DD0" w:rsidP="009F7DD0">
            <w:pPr>
              <w:autoSpaceDE w:val="0"/>
              <w:autoSpaceDN w:val="0"/>
              <w:adjustRightInd w:val="0"/>
              <w:jc w:val="right"/>
            </w:pPr>
            <w:r w:rsidRPr="005970E9">
              <w:t>5</w:t>
            </w:r>
          </w:p>
        </w:tc>
      </w:tr>
      <w:tr w:rsidR="009F7DD0" w:rsidRPr="005970E9" w14:paraId="59B4800C" w14:textId="77777777" w:rsidTr="009F7DD0">
        <w:trPr>
          <w:trHeight w:val="264"/>
        </w:trPr>
        <w:tc>
          <w:tcPr>
            <w:tcW w:w="2050" w:type="dxa"/>
            <w:noWrap/>
            <w:hideMark/>
          </w:tcPr>
          <w:p w14:paraId="0511669B" w14:textId="77777777" w:rsidR="009F7DD0" w:rsidRPr="005970E9" w:rsidRDefault="009F7DD0" w:rsidP="009F7DD0">
            <w:pPr>
              <w:autoSpaceDE w:val="0"/>
              <w:autoSpaceDN w:val="0"/>
              <w:adjustRightInd w:val="0"/>
            </w:pPr>
            <w:r w:rsidRPr="005970E9">
              <w:t>50-54</w:t>
            </w:r>
          </w:p>
        </w:tc>
        <w:tc>
          <w:tcPr>
            <w:tcW w:w="1582" w:type="dxa"/>
            <w:hideMark/>
          </w:tcPr>
          <w:p w14:paraId="0799FE43" w14:textId="77777777" w:rsidR="009F7DD0" w:rsidRPr="005970E9" w:rsidRDefault="009F7DD0" w:rsidP="009F7DD0">
            <w:pPr>
              <w:autoSpaceDE w:val="0"/>
              <w:autoSpaceDN w:val="0"/>
              <w:adjustRightInd w:val="0"/>
              <w:jc w:val="right"/>
              <w:rPr>
                <w:bCs/>
                <w:u w:val="single"/>
              </w:rPr>
            </w:pPr>
            <w:r w:rsidRPr="005970E9">
              <w:rPr>
                <w:bCs/>
                <w:u w:val="single"/>
              </w:rPr>
              <w:t>831</w:t>
            </w:r>
          </w:p>
        </w:tc>
        <w:tc>
          <w:tcPr>
            <w:tcW w:w="1514" w:type="dxa"/>
            <w:hideMark/>
          </w:tcPr>
          <w:p w14:paraId="39BBFB6D" w14:textId="77777777" w:rsidR="009F7DD0" w:rsidRPr="005970E9" w:rsidRDefault="009F7DD0" w:rsidP="009F7DD0">
            <w:pPr>
              <w:autoSpaceDE w:val="0"/>
              <w:autoSpaceDN w:val="0"/>
              <w:adjustRightInd w:val="0"/>
              <w:jc w:val="right"/>
            </w:pPr>
            <w:r w:rsidRPr="005970E9">
              <w:t>594</w:t>
            </w:r>
          </w:p>
        </w:tc>
        <w:tc>
          <w:tcPr>
            <w:tcW w:w="1964" w:type="dxa"/>
            <w:noWrap/>
            <w:hideMark/>
          </w:tcPr>
          <w:p w14:paraId="7BA94914" w14:textId="77777777" w:rsidR="009F7DD0" w:rsidRPr="005970E9" w:rsidRDefault="009F7DD0" w:rsidP="009F7DD0">
            <w:pPr>
              <w:autoSpaceDE w:val="0"/>
              <w:autoSpaceDN w:val="0"/>
              <w:adjustRightInd w:val="0"/>
              <w:jc w:val="right"/>
            </w:pPr>
            <w:r w:rsidRPr="005970E9">
              <w:t>235</w:t>
            </w:r>
          </w:p>
        </w:tc>
        <w:tc>
          <w:tcPr>
            <w:tcW w:w="1806" w:type="dxa"/>
            <w:noWrap/>
            <w:hideMark/>
          </w:tcPr>
          <w:p w14:paraId="28658538" w14:textId="77777777" w:rsidR="009F7DD0" w:rsidRPr="005970E9" w:rsidRDefault="009F7DD0" w:rsidP="009F7DD0">
            <w:pPr>
              <w:autoSpaceDE w:val="0"/>
              <w:autoSpaceDN w:val="0"/>
              <w:adjustRightInd w:val="0"/>
              <w:jc w:val="right"/>
            </w:pPr>
            <w:r w:rsidRPr="005970E9">
              <w:t>2</w:t>
            </w:r>
          </w:p>
        </w:tc>
      </w:tr>
      <w:tr w:rsidR="009F7DD0" w:rsidRPr="005970E9" w14:paraId="5F22E4D6" w14:textId="77777777" w:rsidTr="009F7DD0">
        <w:trPr>
          <w:trHeight w:val="264"/>
        </w:trPr>
        <w:tc>
          <w:tcPr>
            <w:tcW w:w="2050" w:type="dxa"/>
            <w:noWrap/>
            <w:hideMark/>
          </w:tcPr>
          <w:p w14:paraId="7CA129DE" w14:textId="77777777" w:rsidR="009F7DD0" w:rsidRPr="005970E9" w:rsidRDefault="009F7DD0" w:rsidP="009F7DD0">
            <w:pPr>
              <w:autoSpaceDE w:val="0"/>
              <w:autoSpaceDN w:val="0"/>
              <w:adjustRightInd w:val="0"/>
            </w:pPr>
            <w:r w:rsidRPr="005970E9">
              <w:t>55-59</w:t>
            </w:r>
          </w:p>
        </w:tc>
        <w:tc>
          <w:tcPr>
            <w:tcW w:w="1582" w:type="dxa"/>
            <w:hideMark/>
          </w:tcPr>
          <w:p w14:paraId="4DD01DDD" w14:textId="77777777" w:rsidR="009F7DD0" w:rsidRPr="005970E9" w:rsidRDefault="009F7DD0" w:rsidP="009F7DD0">
            <w:pPr>
              <w:autoSpaceDE w:val="0"/>
              <w:autoSpaceDN w:val="0"/>
              <w:adjustRightInd w:val="0"/>
              <w:jc w:val="right"/>
              <w:rPr>
                <w:bCs/>
                <w:u w:val="single"/>
              </w:rPr>
            </w:pPr>
            <w:r w:rsidRPr="005970E9">
              <w:rPr>
                <w:bCs/>
                <w:u w:val="single"/>
              </w:rPr>
              <w:t>593</w:t>
            </w:r>
          </w:p>
        </w:tc>
        <w:tc>
          <w:tcPr>
            <w:tcW w:w="1514" w:type="dxa"/>
            <w:hideMark/>
          </w:tcPr>
          <w:p w14:paraId="441676A2" w14:textId="77777777" w:rsidR="009F7DD0" w:rsidRPr="005970E9" w:rsidRDefault="009F7DD0" w:rsidP="009F7DD0">
            <w:pPr>
              <w:autoSpaceDE w:val="0"/>
              <w:autoSpaceDN w:val="0"/>
              <w:adjustRightInd w:val="0"/>
              <w:jc w:val="right"/>
            </w:pPr>
            <w:r w:rsidRPr="005970E9">
              <w:t>404</w:t>
            </w:r>
          </w:p>
        </w:tc>
        <w:tc>
          <w:tcPr>
            <w:tcW w:w="1964" w:type="dxa"/>
            <w:noWrap/>
            <w:hideMark/>
          </w:tcPr>
          <w:p w14:paraId="2CD20C67" w14:textId="77777777" w:rsidR="009F7DD0" w:rsidRPr="005970E9" w:rsidRDefault="009F7DD0" w:rsidP="009F7DD0">
            <w:pPr>
              <w:autoSpaceDE w:val="0"/>
              <w:autoSpaceDN w:val="0"/>
              <w:adjustRightInd w:val="0"/>
              <w:jc w:val="right"/>
            </w:pPr>
            <w:r w:rsidRPr="005970E9">
              <w:t>186</w:t>
            </w:r>
          </w:p>
        </w:tc>
        <w:tc>
          <w:tcPr>
            <w:tcW w:w="1806" w:type="dxa"/>
            <w:noWrap/>
            <w:hideMark/>
          </w:tcPr>
          <w:p w14:paraId="1132A64F" w14:textId="77777777" w:rsidR="009F7DD0" w:rsidRPr="005970E9" w:rsidRDefault="009F7DD0" w:rsidP="009F7DD0">
            <w:pPr>
              <w:autoSpaceDE w:val="0"/>
              <w:autoSpaceDN w:val="0"/>
              <w:adjustRightInd w:val="0"/>
              <w:jc w:val="right"/>
            </w:pPr>
            <w:r w:rsidRPr="005970E9">
              <w:t>3</w:t>
            </w:r>
          </w:p>
        </w:tc>
      </w:tr>
      <w:tr w:rsidR="009F7DD0" w:rsidRPr="005970E9" w14:paraId="31F28EBF" w14:textId="77777777" w:rsidTr="009F7DD0">
        <w:trPr>
          <w:trHeight w:val="264"/>
        </w:trPr>
        <w:tc>
          <w:tcPr>
            <w:tcW w:w="2050" w:type="dxa"/>
            <w:noWrap/>
            <w:hideMark/>
          </w:tcPr>
          <w:p w14:paraId="58B1D22A" w14:textId="77777777" w:rsidR="009F7DD0" w:rsidRPr="005970E9" w:rsidRDefault="009F7DD0" w:rsidP="009F7DD0">
            <w:pPr>
              <w:autoSpaceDE w:val="0"/>
              <w:autoSpaceDN w:val="0"/>
              <w:adjustRightInd w:val="0"/>
            </w:pPr>
            <w:r w:rsidRPr="005970E9">
              <w:t>60-64</w:t>
            </w:r>
          </w:p>
        </w:tc>
        <w:tc>
          <w:tcPr>
            <w:tcW w:w="1582" w:type="dxa"/>
            <w:hideMark/>
          </w:tcPr>
          <w:p w14:paraId="38D868BB" w14:textId="77777777" w:rsidR="009F7DD0" w:rsidRPr="005970E9" w:rsidRDefault="009F7DD0" w:rsidP="009F7DD0">
            <w:pPr>
              <w:autoSpaceDE w:val="0"/>
              <w:autoSpaceDN w:val="0"/>
              <w:adjustRightInd w:val="0"/>
              <w:jc w:val="right"/>
              <w:rPr>
                <w:bCs/>
                <w:u w:val="single"/>
              </w:rPr>
            </w:pPr>
            <w:r w:rsidRPr="005970E9">
              <w:rPr>
                <w:bCs/>
                <w:u w:val="single"/>
              </w:rPr>
              <w:t>417</w:t>
            </w:r>
          </w:p>
        </w:tc>
        <w:tc>
          <w:tcPr>
            <w:tcW w:w="1514" w:type="dxa"/>
            <w:hideMark/>
          </w:tcPr>
          <w:p w14:paraId="61368EBF" w14:textId="77777777" w:rsidR="009F7DD0" w:rsidRPr="005970E9" w:rsidRDefault="009F7DD0" w:rsidP="009F7DD0">
            <w:pPr>
              <w:autoSpaceDE w:val="0"/>
              <w:autoSpaceDN w:val="0"/>
              <w:adjustRightInd w:val="0"/>
              <w:jc w:val="right"/>
            </w:pPr>
            <w:r w:rsidRPr="005970E9">
              <w:t>278</w:t>
            </w:r>
          </w:p>
        </w:tc>
        <w:tc>
          <w:tcPr>
            <w:tcW w:w="1964" w:type="dxa"/>
            <w:noWrap/>
            <w:hideMark/>
          </w:tcPr>
          <w:p w14:paraId="050F13CD" w14:textId="77777777" w:rsidR="009F7DD0" w:rsidRPr="005970E9" w:rsidRDefault="009F7DD0" w:rsidP="009F7DD0">
            <w:pPr>
              <w:autoSpaceDE w:val="0"/>
              <w:autoSpaceDN w:val="0"/>
              <w:adjustRightInd w:val="0"/>
              <w:jc w:val="right"/>
            </w:pPr>
            <w:r w:rsidRPr="005970E9">
              <w:t>138</w:t>
            </w:r>
          </w:p>
        </w:tc>
        <w:tc>
          <w:tcPr>
            <w:tcW w:w="1806" w:type="dxa"/>
            <w:noWrap/>
            <w:hideMark/>
          </w:tcPr>
          <w:p w14:paraId="2E774DDB" w14:textId="77777777" w:rsidR="009F7DD0" w:rsidRPr="005970E9" w:rsidRDefault="009F7DD0" w:rsidP="009F7DD0">
            <w:pPr>
              <w:autoSpaceDE w:val="0"/>
              <w:autoSpaceDN w:val="0"/>
              <w:adjustRightInd w:val="0"/>
              <w:jc w:val="right"/>
            </w:pPr>
            <w:r w:rsidRPr="005970E9">
              <w:t>1</w:t>
            </w:r>
          </w:p>
        </w:tc>
      </w:tr>
      <w:tr w:rsidR="009F7DD0" w:rsidRPr="005970E9" w14:paraId="70AEC94F" w14:textId="77777777" w:rsidTr="009F7DD0">
        <w:trPr>
          <w:trHeight w:val="264"/>
        </w:trPr>
        <w:tc>
          <w:tcPr>
            <w:tcW w:w="2050" w:type="dxa"/>
            <w:noWrap/>
            <w:hideMark/>
          </w:tcPr>
          <w:p w14:paraId="415AF41A" w14:textId="77777777" w:rsidR="009F7DD0" w:rsidRPr="005970E9" w:rsidRDefault="009F7DD0" w:rsidP="009F7DD0">
            <w:pPr>
              <w:autoSpaceDE w:val="0"/>
              <w:autoSpaceDN w:val="0"/>
              <w:adjustRightInd w:val="0"/>
            </w:pPr>
            <w:r w:rsidRPr="005970E9">
              <w:t>65-69</w:t>
            </w:r>
          </w:p>
        </w:tc>
        <w:tc>
          <w:tcPr>
            <w:tcW w:w="1582" w:type="dxa"/>
            <w:hideMark/>
          </w:tcPr>
          <w:p w14:paraId="5953648F" w14:textId="77777777" w:rsidR="009F7DD0" w:rsidRPr="005970E9" w:rsidRDefault="009F7DD0" w:rsidP="009F7DD0">
            <w:pPr>
              <w:autoSpaceDE w:val="0"/>
              <w:autoSpaceDN w:val="0"/>
              <w:adjustRightInd w:val="0"/>
              <w:jc w:val="right"/>
              <w:rPr>
                <w:bCs/>
                <w:u w:val="single"/>
              </w:rPr>
            </w:pPr>
            <w:r w:rsidRPr="005970E9">
              <w:rPr>
                <w:bCs/>
                <w:u w:val="single"/>
              </w:rPr>
              <w:t>289</w:t>
            </w:r>
          </w:p>
        </w:tc>
        <w:tc>
          <w:tcPr>
            <w:tcW w:w="1514" w:type="dxa"/>
            <w:hideMark/>
          </w:tcPr>
          <w:p w14:paraId="6F4596FE" w14:textId="77777777" w:rsidR="009F7DD0" w:rsidRPr="005970E9" w:rsidRDefault="009F7DD0" w:rsidP="009F7DD0">
            <w:pPr>
              <w:autoSpaceDE w:val="0"/>
              <w:autoSpaceDN w:val="0"/>
              <w:adjustRightInd w:val="0"/>
              <w:jc w:val="right"/>
            </w:pPr>
            <w:r w:rsidRPr="005970E9">
              <w:t>182</w:t>
            </w:r>
          </w:p>
        </w:tc>
        <w:tc>
          <w:tcPr>
            <w:tcW w:w="1964" w:type="dxa"/>
            <w:noWrap/>
            <w:hideMark/>
          </w:tcPr>
          <w:p w14:paraId="5BBE6E55" w14:textId="77777777" w:rsidR="009F7DD0" w:rsidRPr="005970E9" w:rsidRDefault="009F7DD0" w:rsidP="009F7DD0">
            <w:pPr>
              <w:autoSpaceDE w:val="0"/>
              <w:autoSpaceDN w:val="0"/>
              <w:adjustRightInd w:val="0"/>
              <w:jc w:val="right"/>
            </w:pPr>
            <w:r w:rsidRPr="005970E9">
              <w:t>107</w:t>
            </w:r>
          </w:p>
        </w:tc>
        <w:tc>
          <w:tcPr>
            <w:tcW w:w="1806" w:type="dxa"/>
            <w:noWrap/>
            <w:hideMark/>
          </w:tcPr>
          <w:p w14:paraId="339B87A0" w14:textId="77777777" w:rsidR="009F7DD0" w:rsidRPr="005970E9" w:rsidRDefault="009F7DD0" w:rsidP="009F7DD0">
            <w:pPr>
              <w:autoSpaceDE w:val="0"/>
              <w:autoSpaceDN w:val="0"/>
              <w:adjustRightInd w:val="0"/>
              <w:jc w:val="right"/>
            </w:pPr>
            <w:r w:rsidRPr="005970E9">
              <w:t>-</w:t>
            </w:r>
          </w:p>
        </w:tc>
      </w:tr>
      <w:tr w:rsidR="009F7DD0" w:rsidRPr="005970E9" w14:paraId="03E2B961" w14:textId="77777777" w:rsidTr="009F7DD0">
        <w:trPr>
          <w:trHeight w:val="251"/>
        </w:trPr>
        <w:tc>
          <w:tcPr>
            <w:tcW w:w="2050" w:type="dxa"/>
            <w:noWrap/>
            <w:hideMark/>
          </w:tcPr>
          <w:p w14:paraId="7C6DC0C6" w14:textId="77777777" w:rsidR="009F7DD0" w:rsidRPr="005970E9" w:rsidRDefault="009F7DD0" w:rsidP="009F7DD0">
            <w:pPr>
              <w:autoSpaceDE w:val="0"/>
              <w:autoSpaceDN w:val="0"/>
              <w:adjustRightInd w:val="0"/>
            </w:pPr>
            <w:r w:rsidRPr="005970E9">
              <w:t>70-74</w:t>
            </w:r>
          </w:p>
        </w:tc>
        <w:tc>
          <w:tcPr>
            <w:tcW w:w="1582" w:type="dxa"/>
            <w:hideMark/>
          </w:tcPr>
          <w:p w14:paraId="19896D7C" w14:textId="77777777" w:rsidR="009F7DD0" w:rsidRPr="005970E9" w:rsidRDefault="009F7DD0" w:rsidP="009F7DD0">
            <w:pPr>
              <w:autoSpaceDE w:val="0"/>
              <w:autoSpaceDN w:val="0"/>
              <w:adjustRightInd w:val="0"/>
              <w:jc w:val="right"/>
              <w:rPr>
                <w:bCs/>
                <w:u w:val="single"/>
              </w:rPr>
            </w:pPr>
            <w:r w:rsidRPr="005970E9">
              <w:rPr>
                <w:bCs/>
                <w:u w:val="single"/>
              </w:rPr>
              <w:t>213</w:t>
            </w:r>
          </w:p>
        </w:tc>
        <w:tc>
          <w:tcPr>
            <w:tcW w:w="1514" w:type="dxa"/>
            <w:hideMark/>
          </w:tcPr>
          <w:p w14:paraId="4839E3C5" w14:textId="77777777" w:rsidR="009F7DD0" w:rsidRPr="005970E9" w:rsidRDefault="009F7DD0" w:rsidP="009F7DD0">
            <w:pPr>
              <w:autoSpaceDE w:val="0"/>
              <w:autoSpaceDN w:val="0"/>
              <w:adjustRightInd w:val="0"/>
              <w:jc w:val="right"/>
            </w:pPr>
            <w:r w:rsidRPr="005970E9">
              <w:t>132</w:t>
            </w:r>
          </w:p>
        </w:tc>
        <w:tc>
          <w:tcPr>
            <w:tcW w:w="1964" w:type="dxa"/>
            <w:noWrap/>
            <w:hideMark/>
          </w:tcPr>
          <w:p w14:paraId="6FE3DF78" w14:textId="77777777" w:rsidR="009F7DD0" w:rsidRPr="005970E9" w:rsidRDefault="009F7DD0" w:rsidP="009F7DD0">
            <w:pPr>
              <w:autoSpaceDE w:val="0"/>
              <w:autoSpaceDN w:val="0"/>
              <w:adjustRightInd w:val="0"/>
              <w:jc w:val="right"/>
            </w:pPr>
            <w:r w:rsidRPr="005970E9">
              <w:t>80</w:t>
            </w:r>
          </w:p>
        </w:tc>
        <w:tc>
          <w:tcPr>
            <w:tcW w:w="1806" w:type="dxa"/>
            <w:noWrap/>
            <w:hideMark/>
          </w:tcPr>
          <w:p w14:paraId="1400F5CF" w14:textId="77777777" w:rsidR="009F7DD0" w:rsidRPr="005970E9" w:rsidRDefault="009F7DD0" w:rsidP="009F7DD0">
            <w:pPr>
              <w:autoSpaceDE w:val="0"/>
              <w:autoSpaceDN w:val="0"/>
              <w:adjustRightInd w:val="0"/>
              <w:jc w:val="right"/>
            </w:pPr>
            <w:r w:rsidRPr="005970E9">
              <w:t>1</w:t>
            </w:r>
          </w:p>
        </w:tc>
      </w:tr>
      <w:tr w:rsidR="009F7DD0" w:rsidRPr="005970E9" w14:paraId="2A61B986" w14:textId="77777777" w:rsidTr="009F7DD0">
        <w:trPr>
          <w:trHeight w:val="251"/>
        </w:trPr>
        <w:tc>
          <w:tcPr>
            <w:tcW w:w="2050" w:type="dxa"/>
            <w:noWrap/>
            <w:hideMark/>
          </w:tcPr>
          <w:p w14:paraId="2BEE740A" w14:textId="77777777" w:rsidR="009F7DD0" w:rsidRPr="005970E9" w:rsidRDefault="009F7DD0" w:rsidP="009F7DD0">
            <w:pPr>
              <w:autoSpaceDE w:val="0"/>
              <w:autoSpaceDN w:val="0"/>
              <w:adjustRightInd w:val="0"/>
            </w:pPr>
            <w:r w:rsidRPr="005970E9">
              <w:t>75 y mas</w:t>
            </w:r>
          </w:p>
        </w:tc>
        <w:tc>
          <w:tcPr>
            <w:tcW w:w="1582" w:type="dxa"/>
            <w:hideMark/>
          </w:tcPr>
          <w:p w14:paraId="75E66724" w14:textId="77777777" w:rsidR="009F7DD0" w:rsidRPr="005970E9" w:rsidRDefault="009F7DD0" w:rsidP="009F7DD0">
            <w:pPr>
              <w:autoSpaceDE w:val="0"/>
              <w:autoSpaceDN w:val="0"/>
              <w:adjustRightInd w:val="0"/>
              <w:jc w:val="right"/>
              <w:rPr>
                <w:bCs/>
                <w:u w:val="single"/>
              </w:rPr>
            </w:pPr>
            <w:r w:rsidRPr="005970E9">
              <w:rPr>
                <w:bCs/>
                <w:u w:val="single"/>
              </w:rPr>
              <w:t>356</w:t>
            </w:r>
          </w:p>
        </w:tc>
        <w:tc>
          <w:tcPr>
            <w:tcW w:w="1514" w:type="dxa"/>
            <w:hideMark/>
          </w:tcPr>
          <w:p w14:paraId="230FC32C" w14:textId="77777777" w:rsidR="009F7DD0" w:rsidRPr="005970E9" w:rsidRDefault="009F7DD0" w:rsidP="009F7DD0">
            <w:pPr>
              <w:autoSpaceDE w:val="0"/>
              <w:autoSpaceDN w:val="0"/>
              <w:adjustRightInd w:val="0"/>
              <w:jc w:val="right"/>
            </w:pPr>
            <w:r w:rsidRPr="005970E9">
              <w:t>208</w:t>
            </w:r>
          </w:p>
        </w:tc>
        <w:tc>
          <w:tcPr>
            <w:tcW w:w="1964" w:type="dxa"/>
            <w:noWrap/>
            <w:hideMark/>
          </w:tcPr>
          <w:p w14:paraId="2EBF2276" w14:textId="77777777" w:rsidR="009F7DD0" w:rsidRPr="005970E9" w:rsidRDefault="009F7DD0" w:rsidP="009F7DD0">
            <w:pPr>
              <w:autoSpaceDE w:val="0"/>
              <w:autoSpaceDN w:val="0"/>
              <w:adjustRightInd w:val="0"/>
              <w:jc w:val="right"/>
            </w:pPr>
            <w:r w:rsidRPr="005970E9">
              <w:t>148</w:t>
            </w:r>
          </w:p>
        </w:tc>
        <w:tc>
          <w:tcPr>
            <w:tcW w:w="1806" w:type="dxa"/>
            <w:noWrap/>
            <w:hideMark/>
          </w:tcPr>
          <w:p w14:paraId="7599DA89" w14:textId="77777777" w:rsidR="009F7DD0" w:rsidRPr="005970E9" w:rsidRDefault="009F7DD0" w:rsidP="009F7DD0">
            <w:pPr>
              <w:autoSpaceDE w:val="0"/>
              <w:autoSpaceDN w:val="0"/>
              <w:adjustRightInd w:val="0"/>
              <w:jc w:val="right"/>
            </w:pPr>
            <w:r w:rsidRPr="005970E9">
              <w:t>-</w:t>
            </w:r>
          </w:p>
        </w:tc>
      </w:tr>
      <w:tr w:rsidR="009F7DD0" w:rsidRPr="005970E9" w14:paraId="65303FF9" w14:textId="77777777" w:rsidTr="009F7DD0">
        <w:trPr>
          <w:trHeight w:val="251"/>
        </w:trPr>
        <w:tc>
          <w:tcPr>
            <w:tcW w:w="2050" w:type="dxa"/>
            <w:noWrap/>
            <w:hideMark/>
          </w:tcPr>
          <w:p w14:paraId="021717FC" w14:textId="77777777" w:rsidR="009F7DD0" w:rsidRPr="005970E9" w:rsidRDefault="009F7DD0" w:rsidP="009F7DD0">
            <w:pPr>
              <w:autoSpaceDE w:val="0"/>
              <w:autoSpaceDN w:val="0"/>
              <w:adjustRightInd w:val="0"/>
            </w:pPr>
            <w:r w:rsidRPr="005970E9">
              <w:t>sin dato</w:t>
            </w:r>
          </w:p>
        </w:tc>
        <w:tc>
          <w:tcPr>
            <w:tcW w:w="1582" w:type="dxa"/>
            <w:hideMark/>
          </w:tcPr>
          <w:p w14:paraId="4AFFCAE7" w14:textId="77777777" w:rsidR="009F7DD0" w:rsidRPr="005970E9" w:rsidRDefault="009F7DD0" w:rsidP="009F7DD0">
            <w:pPr>
              <w:autoSpaceDE w:val="0"/>
              <w:autoSpaceDN w:val="0"/>
              <w:adjustRightInd w:val="0"/>
              <w:jc w:val="right"/>
              <w:rPr>
                <w:bCs/>
                <w:u w:val="single"/>
              </w:rPr>
            </w:pPr>
            <w:r w:rsidRPr="005970E9">
              <w:rPr>
                <w:bCs/>
                <w:u w:val="single"/>
              </w:rPr>
              <w:t>1267</w:t>
            </w:r>
          </w:p>
        </w:tc>
        <w:tc>
          <w:tcPr>
            <w:tcW w:w="1514" w:type="dxa"/>
            <w:hideMark/>
          </w:tcPr>
          <w:p w14:paraId="5217EE24" w14:textId="77777777" w:rsidR="009F7DD0" w:rsidRPr="005970E9" w:rsidRDefault="009F7DD0" w:rsidP="009F7DD0">
            <w:pPr>
              <w:autoSpaceDE w:val="0"/>
              <w:autoSpaceDN w:val="0"/>
              <w:adjustRightInd w:val="0"/>
              <w:jc w:val="right"/>
            </w:pPr>
            <w:r w:rsidRPr="005970E9">
              <w:t>887</w:t>
            </w:r>
          </w:p>
        </w:tc>
        <w:tc>
          <w:tcPr>
            <w:tcW w:w="1964" w:type="dxa"/>
            <w:noWrap/>
            <w:hideMark/>
          </w:tcPr>
          <w:p w14:paraId="7B17ACF9" w14:textId="77777777" w:rsidR="009F7DD0" w:rsidRPr="005970E9" w:rsidRDefault="009F7DD0" w:rsidP="009F7DD0">
            <w:pPr>
              <w:autoSpaceDE w:val="0"/>
              <w:autoSpaceDN w:val="0"/>
              <w:adjustRightInd w:val="0"/>
              <w:jc w:val="right"/>
            </w:pPr>
            <w:r w:rsidRPr="005970E9">
              <w:t>338</w:t>
            </w:r>
          </w:p>
        </w:tc>
        <w:tc>
          <w:tcPr>
            <w:tcW w:w="1806" w:type="dxa"/>
            <w:noWrap/>
            <w:hideMark/>
          </w:tcPr>
          <w:p w14:paraId="5653BAC0" w14:textId="77777777" w:rsidR="009F7DD0" w:rsidRPr="005970E9" w:rsidRDefault="009F7DD0" w:rsidP="009F7DD0">
            <w:pPr>
              <w:autoSpaceDE w:val="0"/>
              <w:autoSpaceDN w:val="0"/>
              <w:adjustRightInd w:val="0"/>
              <w:jc w:val="right"/>
            </w:pPr>
            <w:r w:rsidRPr="005970E9">
              <w:t>42</w:t>
            </w:r>
          </w:p>
        </w:tc>
      </w:tr>
    </w:tbl>
    <w:p w14:paraId="071326B3" w14:textId="77777777" w:rsidR="009F7DD0" w:rsidRPr="005970E9" w:rsidRDefault="009F7DD0" w:rsidP="009F7DD0">
      <w:pPr>
        <w:spacing w:before="120" w:after="120" w:line="276" w:lineRule="auto"/>
        <w:contextualSpacing/>
        <w:jc w:val="both"/>
        <w:rPr>
          <w:sz w:val="20"/>
          <w:szCs w:val="20"/>
        </w:rPr>
      </w:pPr>
      <w:r w:rsidRPr="005970E9">
        <w:rPr>
          <w:sz w:val="20"/>
          <w:szCs w:val="20"/>
        </w:rPr>
        <w:t xml:space="preserve">(p) se refiere a datos preliminares.  Los datos mostrados en este informe pueden variar con el tiempo y proceso investigativo utilizados por los fiscales de la institución. </w:t>
      </w:r>
    </w:p>
    <w:p w14:paraId="04C06272" w14:textId="77777777" w:rsidR="009F7DD0" w:rsidRPr="005970E9" w:rsidRDefault="009F7DD0" w:rsidP="009F7DD0">
      <w:pPr>
        <w:spacing w:before="120" w:after="120" w:line="276" w:lineRule="auto"/>
        <w:contextualSpacing/>
        <w:jc w:val="both"/>
        <w:rPr>
          <w:sz w:val="20"/>
          <w:szCs w:val="20"/>
        </w:rPr>
      </w:pPr>
      <w:r w:rsidRPr="005970E9">
        <w:rPr>
          <w:sz w:val="20"/>
          <w:szCs w:val="20"/>
        </w:rPr>
        <w:t>(1) los registros sin datos corresponden a casos que se encuentran en investigación.</w:t>
      </w:r>
    </w:p>
    <w:p w14:paraId="638D527B" w14:textId="77777777" w:rsidR="009F7DD0" w:rsidRPr="005970E9" w:rsidRDefault="009F7DD0" w:rsidP="009F7DD0">
      <w:pPr>
        <w:spacing w:before="120" w:after="120" w:line="276" w:lineRule="auto"/>
        <w:contextualSpacing/>
        <w:jc w:val="both"/>
        <w:rPr>
          <w:sz w:val="20"/>
          <w:szCs w:val="20"/>
        </w:rPr>
      </w:pPr>
      <w:r w:rsidRPr="005970E9">
        <w:rPr>
          <w:sz w:val="20"/>
          <w:szCs w:val="20"/>
        </w:rPr>
        <w:t>Fuente: Centro de estadística, Ministerio Público/ plataforma del SPA y sistema inquisitivo/ adolescentes</w:t>
      </w:r>
    </w:p>
    <w:p w14:paraId="3FA212D3" w14:textId="77777777" w:rsidR="009F7DD0" w:rsidRPr="005970E9" w:rsidRDefault="009F7DD0" w:rsidP="009F7DD0">
      <w:pPr>
        <w:spacing w:before="120" w:after="120" w:line="276" w:lineRule="auto"/>
        <w:contextualSpacing/>
        <w:jc w:val="both"/>
        <w:rPr>
          <w:b/>
        </w:rPr>
      </w:pPr>
      <w:bookmarkStart w:id="234" w:name="_Hlk42448363"/>
    </w:p>
    <w:p w14:paraId="47B8EFD6" w14:textId="77777777" w:rsidR="009F7DD0" w:rsidRPr="005970E9" w:rsidRDefault="009F7DD0" w:rsidP="009F7DD0">
      <w:pPr>
        <w:pStyle w:val="Heading3"/>
        <w:numPr>
          <w:ilvl w:val="2"/>
          <w:numId w:val="18"/>
        </w:numPr>
      </w:pPr>
      <w:bookmarkStart w:id="235" w:name="_Toc42159235"/>
      <w:bookmarkStart w:id="236" w:name="_Toc42293369"/>
      <w:bookmarkStart w:id="237" w:name="_Toc42549466"/>
      <w:bookmarkEnd w:id="228"/>
      <w:r w:rsidRPr="005970E9">
        <w:t>Tipos de violencia</w:t>
      </w:r>
      <w:bookmarkEnd w:id="235"/>
      <w:bookmarkEnd w:id="236"/>
      <w:bookmarkEnd w:id="237"/>
      <w:r w:rsidRPr="005970E9">
        <w:t xml:space="preserve"> </w:t>
      </w:r>
    </w:p>
    <w:bookmarkEnd w:id="234"/>
    <w:p w14:paraId="1CD5ADA6" w14:textId="77777777" w:rsidR="009F7DD0" w:rsidRPr="005970E9" w:rsidRDefault="009F7DD0" w:rsidP="009F7DD0">
      <w:pPr>
        <w:spacing w:before="120" w:after="120" w:line="276" w:lineRule="auto"/>
        <w:contextualSpacing/>
        <w:jc w:val="both"/>
        <w:rPr>
          <w:b/>
        </w:rPr>
      </w:pPr>
    </w:p>
    <w:p w14:paraId="4C738907" w14:textId="6678635E" w:rsidR="009F7DD0" w:rsidRPr="005970E9" w:rsidRDefault="009F7DD0" w:rsidP="009F7DD0">
      <w:pPr>
        <w:spacing w:before="120" w:after="120" w:line="276" w:lineRule="auto"/>
        <w:jc w:val="both"/>
        <w:rPr>
          <w:i/>
        </w:rPr>
      </w:pPr>
      <w:r w:rsidRPr="005970E9">
        <w:rPr>
          <w:bCs/>
        </w:rPr>
        <w:t>La violencia Física es la a</w:t>
      </w:r>
      <w:r w:rsidRPr="005970E9">
        <w:rPr>
          <w:bCs/>
          <w:i/>
        </w:rPr>
        <w:t>cción de agresión en la que se utiliza intencionalmente la</w:t>
      </w:r>
      <w:r w:rsidRPr="005970E9">
        <w:rPr>
          <w:i/>
        </w:rPr>
        <w:t xml:space="preserve"> fuerza corporal directa o por medio de cualquier objeto, arma o sustancia, que cause o pueda causar daño, sufrimiento físico, lesiones, discapacidad o enfermedad a una mujer. (</w:t>
      </w:r>
      <w:r w:rsidRPr="005970E9">
        <w:t>ENASSER 2014-2015. Pag. 222)</w:t>
      </w:r>
      <w:r w:rsidR="006820E0" w:rsidRPr="005970E9">
        <w:t>.</w:t>
      </w:r>
    </w:p>
    <w:p w14:paraId="075CB593" w14:textId="655F5FA1" w:rsidR="009F7DD0" w:rsidRPr="005970E9" w:rsidRDefault="009F7DD0" w:rsidP="009F7DD0">
      <w:pPr>
        <w:spacing w:before="120" w:after="120" w:line="276" w:lineRule="auto"/>
        <w:jc w:val="both"/>
      </w:pPr>
      <w:r w:rsidRPr="005970E9">
        <w:t>Durante el periodo 2013-2019 se realizaron diferentes encuestas</w:t>
      </w:r>
      <w:r w:rsidRPr="005970E9">
        <w:rPr>
          <w:rStyle w:val="FootnoteReference"/>
        </w:rPr>
        <w:footnoteReference w:id="51"/>
      </w:r>
      <w:r w:rsidRPr="005970E9">
        <w:t xml:space="preserve"> que exploraron la situación de la violencia contra la mujer en el país y el Informe de </w:t>
      </w:r>
      <w:r w:rsidR="008152A5" w:rsidRPr="005970E9">
        <w:t>Violencia. En</w:t>
      </w:r>
      <w:r w:rsidRPr="005970E9">
        <w:t xml:space="preserve">tre estas encuestas tenemos la ENASSER 2014-2015 según la cual, a nivel nacional, 6.7% de las mujeres encuestadas de 15 a 49 años reportaron haber padecido violencia física desde los 15 años. En cuanto al estado civil de este grupo el 7.4% eran casadas y el 4.6% </w:t>
      </w:r>
      <w:r w:rsidRPr="005970E9">
        <w:lastRenderedPageBreak/>
        <w:t>reconoció que fue víctima de violencia física en los últimos 12 meses anteriores a la encuesta, de las cuales, la mayoría (8.7%) eran mujeres divorciadas separadas o viudas. (ENASSER. Página 222)</w:t>
      </w:r>
      <w:r w:rsidR="008152A5" w:rsidRPr="005970E9">
        <w:t>.</w:t>
      </w:r>
    </w:p>
    <w:p w14:paraId="0AAE8EB0" w14:textId="77777777" w:rsidR="009F7DD0" w:rsidRPr="005970E9" w:rsidRDefault="009F7DD0" w:rsidP="009F7DD0">
      <w:pPr>
        <w:spacing w:before="120" w:after="120" w:line="276" w:lineRule="auto"/>
        <w:jc w:val="both"/>
      </w:pPr>
      <w:r w:rsidRPr="005970E9">
        <w:t xml:space="preserve">En cuanto a la tolerancia de la violencia y su justificación por parte de mujeres entre 15 y 49 años encuestadas en la </w:t>
      </w:r>
      <w:bookmarkStart w:id="238" w:name="_Hlk42450887"/>
      <w:r w:rsidRPr="005970E9">
        <w:t>MICS (</w:t>
      </w:r>
      <w:r w:rsidRPr="005970E9">
        <w:rPr>
          <w:lang w:val="es-US"/>
        </w:rPr>
        <w:t xml:space="preserve">INEC 2013. </w:t>
      </w:r>
      <w:r w:rsidRPr="005970E9">
        <w:t>Cuadro 107),</w:t>
      </w:r>
      <w:bookmarkEnd w:id="238"/>
      <w:r w:rsidRPr="005970E9">
        <w:t xml:space="preserve"> el 6.0% a nivel nacional lo justificó, pero este porcentaje fue mayor en las áreas rurales con 10.9%, y para el área urbana fue de 4.6%. Las provincias con mayor porcentaje son las Comarcas indígenas: Ngäbe Buglé con 21.3%, Kuna Yala con 19.5% y Emberá con 17.3%. Estos datos son muy importante tomarlos en cuenta ya que en la actualidad se ha dado un aumento significativo en los casos de femicidios dentro de la comarca Ngäbe Buglé, si aunado al aumento de la violencia contra las mujeres existe un alto nivel de tolerancia por parte de las víctimas, que en gran medida responden a los patrones culturales patriarcales que en esos territorios son más difíciles de abordar por parte de los programas encaminados a prevenir este tipo de violencia, este hecho debe permitir que se desarrollen programas con pertinencia cultural para los pueblos indígenas, de manera que se aborde integralmente la prevención de la violencia hacia las mujeres. </w:t>
      </w:r>
    </w:p>
    <w:p w14:paraId="65A4B7F3" w14:textId="77777777" w:rsidR="009F7DD0" w:rsidRPr="005970E9" w:rsidRDefault="009F7DD0" w:rsidP="009F7DD0">
      <w:pPr>
        <w:spacing w:before="120" w:after="120" w:line="276" w:lineRule="auto"/>
        <w:jc w:val="both"/>
      </w:pPr>
      <w:r w:rsidRPr="005970E9">
        <w:t xml:space="preserve">En la encuesta de victimización y Percepción de Seguridad Ciudadana en Panamá (ENVI) el 5% de las mujeres encuestadas reportaron haber sufrido una agresión física o verbal en los últimos 12 meses al momento de ser encuestada. En cuanto a las lesiones físicas derivadas de la agresión el 18% de las encuestadas manifestó que sufrió una lesión física después de la agresión: en el 53% fueron moretones, 23.9% hinchazones y 15.2% rasguños. (ENVI. Pág. 30, 33 y 34) </w:t>
      </w:r>
    </w:p>
    <w:p w14:paraId="7B31C016" w14:textId="77777777" w:rsidR="009F7DD0" w:rsidRPr="005970E9" w:rsidRDefault="009F7DD0" w:rsidP="009F7DD0">
      <w:pPr>
        <w:spacing w:before="120" w:after="120" w:line="276" w:lineRule="auto"/>
        <w:jc w:val="both"/>
      </w:pPr>
      <w:r w:rsidRPr="005970E9">
        <w:t>Esta misma encuesta (ENVI) reveló que sólo el 33.4% denunció la agresión, mientras que el 26.3% no denunció porque consideró que no se toma importancia a este tipo de denuncia, el 22.8% dijo que lo resolvió por sí misma y el 20.9% pensó que las autoridades no hubiesen hecho nada. En total el 70% de las víctimas dudó o prefirió no hacer nada ante la poca respuesta que pueda recibir de las autoridades competentes si se hubiera decidido a denunciar. (ENVI. Pág. 36)</w:t>
      </w:r>
    </w:p>
    <w:p w14:paraId="3EA311E4" w14:textId="77777777" w:rsidR="009F7DD0" w:rsidRPr="005970E9" w:rsidRDefault="009F7DD0" w:rsidP="009F7DD0">
      <w:pPr>
        <w:spacing w:before="120" w:after="120" w:line="276" w:lineRule="auto"/>
        <w:jc w:val="both"/>
      </w:pPr>
      <w:r w:rsidRPr="005970E9">
        <w:t xml:space="preserve">Lo anterior puede estar influyendo en un subregistro en el número de delitos denunciados sobre violencia doméstica y un desconocimiento por parte de las victimas sobre las medidas y respuestas que pueden dar las autoridades. </w:t>
      </w:r>
    </w:p>
    <w:p w14:paraId="10F22216" w14:textId="77777777" w:rsidR="009F7DD0" w:rsidRPr="005970E9" w:rsidRDefault="009F7DD0" w:rsidP="009F7DD0">
      <w:pPr>
        <w:spacing w:before="120" w:after="120" w:line="276" w:lineRule="auto"/>
        <w:jc w:val="both"/>
      </w:pPr>
      <w:r w:rsidRPr="005970E9">
        <w:t xml:space="preserve">Los datos publicados por el Ministerio Publico sobre violencia doméstica no se encuentran desagregados ni por tipo de violencia, sexo, ni origen étnico, de manera que dificulta el análisis desde una perspectiva de género. </w:t>
      </w:r>
    </w:p>
    <w:p w14:paraId="341259B2" w14:textId="77777777" w:rsidR="009F7DD0" w:rsidRPr="005970E9" w:rsidRDefault="009F7DD0" w:rsidP="009F7DD0">
      <w:pPr>
        <w:spacing w:before="120" w:after="120" w:line="276" w:lineRule="auto"/>
        <w:contextualSpacing/>
        <w:jc w:val="both"/>
        <w:rPr>
          <w:b/>
        </w:rPr>
      </w:pPr>
      <w:r w:rsidRPr="005970E9">
        <w:rPr>
          <w:b/>
        </w:rPr>
        <w:t>Violencia Sexual</w:t>
      </w:r>
    </w:p>
    <w:p w14:paraId="3F07C1E1" w14:textId="77777777" w:rsidR="009F7DD0" w:rsidRPr="005970E9" w:rsidRDefault="009F7DD0" w:rsidP="009F7DD0">
      <w:pPr>
        <w:spacing w:before="120" w:after="120" w:line="276" w:lineRule="auto"/>
        <w:jc w:val="both"/>
      </w:pPr>
      <w:r w:rsidRPr="005970E9">
        <w:t>La violencia sexual se manifiesta con agresiones efectuadas a través de la fuerza física, psíquica o moral, rebajando a una persona a condiciones de inferioridad, para implantar una conducta sexual en contra de su voluntad. Este es un acto cuyo objetivo es someter el cuerpo y la voluntad de la víctima. (ENASSER 2014-2015. Pág. 224)</w:t>
      </w:r>
    </w:p>
    <w:p w14:paraId="27A5A1C4" w14:textId="77777777" w:rsidR="009F7DD0" w:rsidRPr="005970E9" w:rsidRDefault="009F7DD0" w:rsidP="009F7DD0">
      <w:pPr>
        <w:spacing w:before="120" w:after="120" w:line="276" w:lineRule="auto"/>
        <w:jc w:val="both"/>
      </w:pPr>
      <w:r w:rsidRPr="005970E9">
        <w:lastRenderedPageBreak/>
        <w:t xml:space="preserve">Los resultados de la encuesta ENASSER reveló que el 5.3% de las mujeres entrevistadas declaran haber sufrido violencia sexual alguna vez en su vida, el 24% de las mujeres se encontraba entre los 30 y 50 años. Las Provincias con mayor porcentaje de violencia sexual, fueron Bocas Del Toro (12.5%), seguido de Chiriquí (10.3%) y Ngäbe Buglé (10.1%). En cuanto a la escolaridad, la mayoría no tenían educación 13.1% o habían cursado algún nivel de Primaria 12.1%. (Pág. 224) </w:t>
      </w:r>
    </w:p>
    <w:p w14:paraId="183BAB8E" w14:textId="77777777" w:rsidR="009F7DD0" w:rsidRPr="005970E9" w:rsidRDefault="009F7DD0" w:rsidP="009F7DD0">
      <w:pPr>
        <w:spacing w:before="120" w:after="120" w:line="276" w:lineRule="auto"/>
        <w:contextualSpacing/>
        <w:jc w:val="both"/>
      </w:pPr>
      <w:r w:rsidRPr="005970E9">
        <w:t>El delito de violación desde el año 2015 al año 2019 ha tenía una variación porcentual de un 63.8 % de aumento, en el año 2015 se denunciaron 1,814 denuncias de violación y en el año 2019 para ese mismo tipo de delito las denuncias fueron de 2,971. (Ministerio Público. 2015-2019)</w:t>
      </w:r>
    </w:p>
    <w:p w14:paraId="443127C6" w14:textId="77777777" w:rsidR="009F7DD0" w:rsidRPr="005970E9" w:rsidRDefault="009F7DD0" w:rsidP="009F7DD0">
      <w:pPr>
        <w:spacing w:before="120" w:after="120" w:line="276" w:lineRule="auto"/>
        <w:contextualSpacing/>
        <w:jc w:val="both"/>
      </w:pPr>
    </w:p>
    <w:p w14:paraId="2CCFB1D2" w14:textId="77777777" w:rsidR="009F7DD0" w:rsidRPr="005970E9" w:rsidRDefault="009F7DD0" w:rsidP="009F7DD0">
      <w:pPr>
        <w:spacing w:before="120" w:after="120" w:line="276" w:lineRule="auto"/>
        <w:jc w:val="both"/>
        <w:rPr>
          <w:b/>
        </w:rPr>
      </w:pPr>
      <w:r w:rsidRPr="005970E9">
        <w:rPr>
          <w:b/>
        </w:rPr>
        <w:t xml:space="preserve">Violencia psicológica. </w:t>
      </w:r>
    </w:p>
    <w:p w14:paraId="36E5856E" w14:textId="77777777" w:rsidR="009F7DD0" w:rsidRPr="005970E9" w:rsidRDefault="009F7DD0" w:rsidP="009F7DD0">
      <w:pPr>
        <w:spacing w:before="120" w:after="120" w:line="276" w:lineRule="auto"/>
        <w:jc w:val="both"/>
        <w:rPr>
          <w:i/>
        </w:rPr>
      </w:pPr>
      <w:r w:rsidRPr="005970E9">
        <w:rPr>
          <w:bCs/>
        </w:rPr>
        <w:t>Se considera</w:t>
      </w:r>
      <w:r w:rsidRPr="005970E9">
        <w:rPr>
          <w:b/>
        </w:rPr>
        <w:t xml:space="preserve"> </w:t>
      </w:r>
      <w:r w:rsidRPr="005970E9">
        <w:rPr>
          <w:bCs/>
        </w:rPr>
        <w:t>como violencia psicológica</w:t>
      </w:r>
      <w:r w:rsidRPr="005970E9">
        <w:rPr>
          <w:b/>
        </w:rPr>
        <w:t xml:space="preserve"> c</w:t>
      </w:r>
      <w:r w:rsidRPr="005970E9">
        <w:rPr>
          <w:i/>
        </w:rPr>
        <w:t>ualquier acto u omisión que puede consistir en negligencia, abandono, descuido, celos, insultos, humillaciones, devaluación, marginación, indiferencia, comparaciones destructivas, rechazo, restricción a la autodeterminación y/o amenazas. (Ley 82)</w:t>
      </w:r>
    </w:p>
    <w:p w14:paraId="1E3C9305" w14:textId="77777777" w:rsidR="009F7DD0" w:rsidRPr="005970E9" w:rsidRDefault="009F7DD0" w:rsidP="009F7DD0">
      <w:pPr>
        <w:spacing w:before="120" w:after="120" w:line="276" w:lineRule="auto"/>
        <w:jc w:val="both"/>
      </w:pPr>
      <w:r w:rsidRPr="005970E9">
        <w:t xml:space="preserve">La encueta ENASSER exploró la violencia infligida por la pareja, la cual puede ser sexual, emocional, física o mediante actitudes controladoras de parte de la pareja. En el informe que analiza los datos de las encuestas anteriores, se plantea que “De las mujeres encuestadas, un 40% reportó alguna actitud controladora de parte de la pareja” (Pág. 47), mientras que 11.9% de las mujeres encuestadas reportaron violencia emocional infligida por la pareja alguna vez en la vida” (Pág. 51). </w:t>
      </w:r>
    </w:p>
    <w:p w14:paraId="14E0FA4A" w14:textId="77777777" w:rsidR="009F7DD0" w:rsidRPr="005970E9" w:rsidRDefault="009F7DD0" w:rsidP="009F7DD0">
      <w:pPr>
        <w:spacing w:before="120" w:after="120" w:line="276" w:lineRule="auto"/>
        <w:jc w:val="both"/>
      </w:pPr>
      <w:r w:rsidRPr="005970E9">
        <w:t>Esta misma encuesta de ENASSER (pág. 225) recoge las razones por las cuales sus parejas ejercen algún tipo de control</w:t>
      </w:r>
      <w:r w:rsidRPr="005970E9">
        <w:rPr>
          <w:b/>
        </w:rPr>
        <w:t xml:space="preserve">, </w:t>
      </w:r>
      <w:r w:rsidRPr="005970E9">
        <w:t>el mayor</w:t>
      </w:r>
      <w:r w:rsidRPr="005970E9">
        <w:rPr>
          <w:b/>
        </w:rPr>
        <w:t xml:space="preserve"> </w:t>
      </w:r>
      <w:r w:rsidRPr="005970E9">
        <w:t xml:space="preserve">porcentaje de mujeres, refirieron que su pareja se pone celoso si ellas hablan con otro hombre (28.6%), seguido de aquellos que insisten en saber dónde ella está en todo momento (18.8%).  La violencia psicológica es un tipo de violencia difícil de identificar y que muchas veces no se denuncia, pues se confunden y se interpreta que actos que buscan el control de la pareja son manifestaciones de afectos. </w:t>
      </w:r>
    </w:p>
    <w:p w14:paraId="15EEA9B3" w14:textId="77777777" w:rsidR="009F7DD0" w:rsidRPr="005970E9" w:rsidRDefault="009F7DD0" w:rsidP="009F7DD0">
      <w:pPr>
        <w:spacing w:before="120" w:after="120" w:line="276" w:lineRule="auto"/>
        <w:jc w:val="both"/>
      </w:pPr>
      <w:r w:rsidRPr="005970E9">
        <w:t xml:space="preserve">El Informe Violencia Contra la Mujer. Prevalencia, factores de riesgo asociados y femicidio (Pág. 32), reporto que el mecanismo más común de agresión psicológica fueron los gritos en un 60.4 %, con palabras obscenas un 20.6% y de insultos un 19%. </w:t>
      </w:r>
    </w:p>
    <w:p w14:paraId="7FF0F012" w14:textId="77777777" w:rsidR="009F7DD0" w:rsidRPr="005970E9" w:rsidRDefault="009F7DD0" w:rsidP="009F7DD0">
      <w:pPr>
        <w:spacing w:before="120" w:after="120" w:line="276" w:lineRule="auto"/>
        <w:jc w:val="both"/>
      </w:pPr>
      <w:r w:rsidRPr="005970E9">
        <w:t xml:space="preserve">La violencia psicológica es una violencia que físicamente no deja marcas aparentes, lo que lleva a sospechar que hay un subregistro, ya que este tipo de violencia no siempre se denuncia por parte de las víctimas y no se condena por los operadores de justicia. La forma como se recoge la estadística en el Ministerio Público impide que se visibilice la cantidad de este tipo de violencia ya que sólo se registra la “violencia doméstica” y no el tipo específico (física, sexual, psicológica, económica, etc).  </w:t>
      </w:r>
    </w:p>
    <w:p w14:paraId="5936DDA5" w14:textId="77777777" w:rsidR="009F7DD0" w:rsidRPr="005970E9" w:rsidRDefault="009F7DD0" w:rsidP="009F7DD0">
      <w:pPr>
        <w:spacing w:before="120" w:after="120" w:line="276" w:lineRule="auto"/>
        <w:jc w:val="both"/>
        <w:rPr>
          <w:rFonts w:eastAsia="Times New Roman"/>
        </w:rPr>
      </w:pPr>
      <w:r w:rsidRPr="005970E9">
        <w:rPr>
          <w:rFonts w:eastAsia="Times New Roman"/>
          <w:b/>
        </w:rPr>
        <w:t>Maltrato al menor</w:t>
      </w:r>
      <w:r w:rsidRPr="005970E9">
        <w:rPr>
          <w:rFonts w:eastAsia="Times New Roman"/>
        </w:rPr>
        <w:t xml:space="preserve">. </w:t>
      </w:r>
    </w:p>
    <w:p w14:paraId="28E1ED91" w14:textId="56260E69" w:rsidR="009F7DD0" w:rsidRPr="005970E9" w:rsidRDefault="009F7DD0" w:rsidP="009F7DD0">
      <w:pPr>
        <w:spacing w:before="120" w:after="120" w:line="276" w:lineRule="auto"/>
        <w:jc w:val="both"/>
        <w:rPr>
          <w:rFonts w:eastAsia="Times New Roman"/>
        </w:rPr>
      </w:pPr>
      <w:r w:rsidRPr="005970E9">
        <w:rPr>
          <w:rFonts w:eastAsia="Times New Roman"/>
        </w:rPr>
        <w:lastRenderedPageBreak/>
        <w:t xml:space="preserve">En el año 2019, de las 3,353 denuncias de maltrato al menor, 1,838 </w:t>
      </w:r>
      <w:r w:rsidRPr="005970E9">
        <w:t xml:space="preserve">(54.82%) </w:t>
      </w:r>
      <w:r w:rsidRPr="005970E9">
        <w:rPr>
          <w:rFonts w:eastAsia="Times New Roman"/>
        </w:rPr>
        <w:t>fueron del sexo femenino y 1,484 (44.25) del sexo masculino, para este tipo de delito se recibieron 341 (10.16%) denuncias de menores de 0 a 4 años, de los cuales 173 (50.73%) eran niñas y 163 (47.80%) niños.</w:t>
      </w:r>
      <w:r w:rsidR="005970E9">
        <w:rPr>
          <w:rFonts w:eastAsia="Times New Roman"/>
        </w:rPr>
        <w:t xml:space="preserve"> Ver tabla </w:t>
      </w:r>
      <w:r w:rsidR="00641ABD">
        <w:rPr>
          <w:rFonts w:eastAsia="Times New Roman"/>
        </w:rPr>
        <w:t>19.</w:t>
      </w:r>
      <w:r w:rsidRPr="005970E9">
        <w:rPr>
          <w:rFonts w:eastAsia="Times New Roman"/>
        </w:rPr>
        <w:t xml:space="preserve"> </w:t>
      </w:r>
      <w:r w:rsidRPr="005970E9">
        <w:t xml:space="preserve"> </w:t>
      </w:r>
    </w:p>
    <w:p w14:paraId="7E63995B" w14:textId="3E2BE543" w:rsidR="009F7DD0" w:rsidRPr="005970E9" w:rsidRDefault="009F7DD0" w:rsidP="009F7DD0">
      <w:pPr>
        <w:pStyle w:val="Caption"/>
        <w:keepNext/>
        <w:jc w:val="both"/>
        <w:rPr>
          <w:rFonts w:ascii="Century Schoolbook" w:hAnsi="Century Schoolbook"/>
        </w:rPr>
      </w:pPr>
      <w:bookmarkStart w:id="239" w:name="_Toc42293590"/>
      <w:bookmarkStart w:id="240" w:name="_Toc42549213"/>
      <w:r w:rsidRPr="005970E9">
        <w:rPr>
          <w:rFonts w:ascii="Century Schoolbook" w:hAnsi="Century Schoolbook"/>
        </w:rPr>
        <w:t xml:space="preserve">Tabla </w:t>
      </w:r>
      <w:r w:rsidRPr="005970E9">
        <w:rPr>
          <w:rFonts w:ascii="Century Schoolbook" w:hAnsi="Century Schoolbook"/>
        </w:rPr>
        <w:fldChar w:fldCharType="begin"/>
      </w:r>
      <w:r w:rsidRPr="005970E9">
        <w:rPr>
          <w:rFonts w:ascii="Century Schoolbook" w:hAnsi="Century Schoolbook"/>
        </w:rPr>
        <w:instrText>SEQ Tabla \* ARABIC</w:instrText>
      </w:r>
      <w:r w:rsidRPr="005970E9">
        <w:rPr>
          <w:rFonts w:ascii="Century Schoolbook" w:hAnsi="Century Schoolbook"/>
        </w:rPr>
        <w:fldChar w:fldCharType="separate"/>
      </w:r>
      <w:r w:rsidR="005970E9">
        <w:rPr>
          <w:rFonts w:ascii="Century Schoolbook" w:hAnsi="Century Schoolbook"/>
          <w:noProof/>
        </w:rPr>
        <w:t>19</w:t>
      </w:r>
      <w:r w:rsidRPr="005970E9">
        <w:rPr>
          <w:rFonts w:ascii="Century Schoolbook" w:hAnsi="Century Schoolbook"/>
        </w:rPr>
        <w:fldChar w:fldCharType="end"/>
      </w:r>
      <w:r w:rsidRPr="005970E9">
        <w:rPr>
          <w:rFonts w:ascii="Century Schoolbook" w:hAnsi="Century Schoolbook"/>
        </w:rPr>
        <w:t xml:space="preserve">. </w:t>
      </w:r>
      <w:r w:rsidRPr="005970E9">
        <w:rPr>
          <w:rFonts w:ascii="Century Schoolbook" w:eastAsia="Times New Roman" w:hAnsi="Century Schoolbook"/>
          <w:bCs/>
          <w:i w:val="0"/>
          <w:iCs w:val="0"/>
        </w:rPr>
        <w:t>Número de víctimas niños, niñas y adolescentes del art. 202 maltrato al menor, del título v - delitos contra el orden jurídico familiar y el estado civil a nivel nacional, por género; según rango de edad.</w:t>
      </w:r>
      <w:r w:rsidRPr="005970E9">
        <w:rPr>
          <w:rFonts w:ascii="Century Schoolbook" w:eastAsia="Times New Roman" w:hAnsi="Century Schoolbook"/>
          <w:bCs/>
          <w:i w:val="0"/>
          <w:iCs w:val="0"/>
          <w:color w:val="000000"/>
        </w:rPr>
        <w:t xml:space="preserve"> Del 1 de enero al 31 de diciembre de 2019 (P)</w:t>
      </w:r>
      <w:bookmarkEnd w:id="239"/>
      <w:bookmarkEnd w:id="240"/>
    </w:p>
    <w:tbl>
      <w:tblPr>
        <w:tblW w:w="9380" w:type="dxa"/>
        <w:tblCellMar>
          <w:left w:w="70" w:type="dxa"/>
          <w:right w:w="70" w:type="dxa"/>
        </w:tblCellMar>
        <w:tblLook w:val="04A0" w:firstRow="1" w:lastRow="0" w:firstColumn="1" w:lastColumn="0" w:noHBand="0" w:noVBand="1"/>
      </w:tblPr>
      <w:tblGrid>
        <w:gridCol w:w="1670"/>
        <w:gridCol w:w="1929"/>
        <w:gridCol w:w="1927"/>
        <w:gridCol w:w="1684"/>
        <w:gridCol w:w="2170"/>
      </w:tblGrid>
      <w:tr w:rsidR="009F7DD0" w:rsidRPr="005970E9" w14:paraId="34492F18" w14:textId="77777777" w:rsidTr="009F7DD0">
        <w:trPr>
          <w:trHeight w:val="495"/>
        </w:trPr>
        <w:tc>
          <w:tcPr>
            <w:tcW w:w="167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4DFF356A" w14:textId="77777777" w:rsidR="009F7DD0" w:rsidRPr="005970E9" w:rsidRDefault="009F7DD0" w:rsidP="009F7DD0">
            <w:pPr>
              <w:jc w:val="center"/>
              <w:rPr>
                <w:rFonts w:eastAsia="Times New Roman"/>
                <w:b/>
                <w:bCs/>
                <w:color w:val="FFFFFF"/>
              </w:rPr>
            </w:pPr>
            <w:r w:rsidRPr="005970E9">
              <w:rPr>
                <w:rFonts w:eastAsia="Times New Roman"/>
                <w:b/>
                <w:bCs/>
              </w:rPr>
              <w:t>RANGO DE EDAD</w:t>
            </w:r>
          </w:p>
        </w:tc>
        <w:tc>
          <w:tcPr>
            <w:tcW w:w="1929"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2B0F900" w14:textId="77777777" w:rsidR="009F7DD0" w:rsidRPr="005970E9" w:rsidRDefault="009F7DD0" w:rsidP="009F7DD0">
            <w:pPr>
              <w:jc w:val="center"/>
              <w:rPr>
                <w:rFonts w:eastAsia="Times New Roman"/>
                <w:b/>
                <w:bCs/>
              </w:rPr>
            </w:pPr>
            <w:r w:rsidRPr="005970E9">
              <w:rPr>
                <w:rFonts w:eastAsia="Times New Roman"/>
                <w:b/>
                <w:bCs/>
              </w:rPr>
              <w:t>Total</w:t>
            </w:r>
          </w:p>
        </w:tc>
        <w:tc>
          <w:tcPr>
            <w:tcW w:w="5781" w:type="dxa"/>
            <w:gridSpan w:val="3"/>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6A4D5881" w14:textId="77777777" w:rsidR="009F7DD0" w:rsidRPr="005970E9" w:rsidRDefault="009F7DD0" w:rsidP="009F7DD0">
            <w:pPr>
              <w:jc w:val="center"/>
              <w:rPr>
                <w:rFonts w:eastAsia="Times New Roman"/>
                <w:b/>
                <w:bCs/>
              </w:rPr>
            </w:pPr>
            <w:r w:rsidRPr="005970E9">
              <w:rPr>
                <w:rFonts w:eastAsia="Times New Roman"/>
                <w:b/>
                <w:bCs/>
              </w:rPr>
              <w:t>Art. 202 MALTRATO DE NIÑO, NIÑA O ADOLESCENTE</w:t>
            </w:r>
          </w:p>
        </w:tc>
      </w:tr>
      <w:tr w:rsidR="009F7DD0" w:rsidRPr="005970E9" w14:paraId="1E4E7154" w14:textId="77777777" w:rsidTr="009F7DD0">
        <w:trPr>
          <w:trHeight w:val="495"/>
        </w:trPr>
        <w:tc>
          <w:tcPr>
            <w:tcW w:w="167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6A08A93" w14:textId="77777777" w:rsidR="009F7DD0" w:rsidRPr="005970E9" w:rsidRDefault="009F7DD0" w:rsidP="009F7DD0">
            <w:pPr>
              <w:rPr>
                <w:rFonts w:eastAsia="Times New Roman"/>
                <w:b/>
                <w:bCs/>
                <w:color w:val="FFFFFF"/>
              </w:rPr>
            </w:pPr>
          </w:p>
        </w:tc>
        <w:tc>
          <w:tcPr>
            <w:tcW w:w="1929"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7F127F6" w14:textId="77777777" w:rsidR="009F7DD0" w:rsidRPr="005970E9" w:rsidRDefault="009F7DD0" w:rsidP="009F7DD0">
            <w:pPr>
              <w:rPr>
                <w:rFonts w:eastAsia="Times New Roman"/>
                <w:b/>
                <w:bCs/>
              </w:rPr>
            </w:pPr>
          </w:p>
        </w:tc>
        <w:tc>
          <w:tcPr>
            <w:tcW w:w="1927"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4996B3E6" w14:textId="77777777" w:rsidR="009F7DD0" w:rsidRPr="005970E9" w:rsidRDefault="009F7DD0" w:rsidP="009F7DD0">
            <w:pPr>
              <w:jc w:val="center"/>
              <w:rPr>
                <w:rFonts w:eastAsia="Times New Roman"/>
              </w:rPr>
            </w:pPr>
            <w:r w:rsidRPr="005970E9">
              <w:rPr>
                <w:rFonts w:eastAsia="Times New Roman"/>
              </w:rPr>
              <w:t xml:space="preserve">Femenino </w:t>
            </w:r>
          </w:p>
        </w:tc>
        <w:tc>
          <w:tcPr>
            <w:tcW w:w="1684"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35806CDA" w14:textId="77777777" w:rsidR="009F7DD0" w:rsidRPr="005970E9" w:rsidRDefault="009F7DD0" w:rsidP="009F7DD0">
            <w:pPr>
              <w:jc w:val="center"/>
              <w:rPr>
                <w:rFonts w:eastAsia="Times New Roman"/>
              </w:rPr>
            </w:pPr>
            <w:r w:rsidRPr="005970E9">
              <w:rPr>
                <w:rFonts w:eastAsia="Times New Roman"/>
              </w:rPr>
              <w:t xml:space="preserve">Masculino </w:t>
            </w:r>
          </w:p>
        </w:tc>
        <w:tc>
          <w:tcPr>
            <w:tcW w:w="2170" w:type="dxa"/>
            <w:tcBorders>
              <w:top w:val="nil"/>
              <w:left w:val="nil"/>
              <w:bottom w:val="single" w:sz="4" w:space="0" w:color="auto"/>
              <w:right w:val="single" w:sz="4" w:space="0" w:color="auto"/>
            </w:tcBorders>
            <w:shd w:val="clear" w:color="auto" w:fill="CCC0D9" w:themeFill="accent4" w:themeFillTint="66"/>
            <w:vAlign w:val="center"/>
            <w:hideMark/>
          </w:tcPr>
          <w:p w14:paraId="1ADCA90F" w14:textId="77777777" w:rsidR="009F7DD0" w:rsidRPr="005970E9" w:rsidRDefault="009F7DD0" w:rsidP="009F7DD0">
            <w:pPr>
              <w:jc w:val="center"/>
              <w:rPr>
                <w:rFonts w:eastAsia="Times New Roman"/>
              </w:rPr>
            </w:pPr>
            <w:r w:rsidRPr="005970E9">
              <w:rPr>
                <w:rFonts w:eastAsia="Times New Roman"/>
              </w:rPr>
              <w:t xml:space="preserve">Sin datos </w:t>
            </w:r>
          </w:p>
        </w:tc>
      </w:tr>
      <w:tr w:rsidR="009F7DD0" w:rsidRPr="005970E9" w14:paraId="4F85A2C0" w14:textId="77777777" w:rsidTr="009F7DD0">
        <w:trPr>
          <w:trHeight w:val="280"/>
        </w:trPr>
        <w:tc>
          <w:tcPr>
            <w:tcW w:w="1670" w:type="dxa"/>
            <w:tcBorders>
              <w:top w:val="nil"/>
              <w:left w:val="single" w:sz="4" w:space="0" w:color="auto"/>
              <w:bottom w:val="single" w:sz="4" w:space="0" w:color="auto"/>
              <w:right w:val="single" w:sz="4" w:space="0" w:color="auto"/>
            </w:tcBorders>
            <w:shd w:val="clear" w:color="000000" w:fill="FFFFFF"/>
            <w:vAlign w:val="center"/>
            <w:hideMark/>
          </w:tcPr>
          <w:p w14:paraId="425E64EE" w14:textId="77777777" w:rsidR="009F7DD0" w:rsidRPr="005970E9" w:rsidRDefault="009F7DD0" w:rsidP="009F7DD0">
            <w:pPr>
              <w:jc w:val="center"/>
              <w:rPr>
                <w:rFonts w:eastAsia="Times New Roman"/>
                <w:b/>
                <w:bCs/>
                <w:color w:val="000000"/>
              </w:rPr>
            </w:pPr>
            <w:r w:rsidRPr="005970E9">
              <w:rPr>
                <w:rFonts w:eastAsia="Times New Roman"/>
                <w:b/>
                <w:bCs/>
                <w:color w:val="000000"/>
              </w:rPr>
              <w:t xml:space="preserve">     Total…</w:t>
            </w:r>
          </w:p>
        </w:tc>
        <w:tc>
          <w:tcPr>
            <w:tcW w:w="1929" w:type="dxa"/>
            <w:tcBorders>
              <w:top w:val="nil"/>
              <w:left w:val="nil"/>
              <w:bottom w:val="single" w:sz="4" w:space="0" w:color="auto"/>
              <w:right w:val="single" w:sz="4" w:space="0" w:color="auto"/>
            </w:tcBorders>
            <w:shd w:val="clear" w:color="000000" w:fill="FFFFFF"/>
            <w:vAlign w:val="center"/>
            <w:hideMark/>
          </w:tcPr>
          <w:p w14:paraId="3A52C7E4" w14:textId="77777777" w:rsidR="009F7DD0" w:rsidRPr="005970E9" w:rsidRDefault="009F7DD0" w:rsidP="009F7DD0">
            <w:pPr>
              <w:jc w:val="center"/>
              <w:rPr>
                <w:rFonts w:eastAsia="Times New Roman"/>
                <w:b/>
                <w:bCs/>
              </w:rPr>
            </w:pPr>
            <w:r w:rsidRPr="005970E9">
              <w:rPr>
                <w:rFonts w:eastAsia="Times New Roman"/>
                <w:b/>
                <w:bCs/>
              </w:rPr>
              <w:t>3353</w:t>
            </w:r>
          </w:p>
        </w:tc>
        <w:tc>
          <w:tcPr>
            <w:tcW w:w="1927" w:type="dxa"/>
            <w:tcBorders>
              <w:top w:val="nil"/>
              <w:left w:val="nil"/>
              <w:bottom w:val="single" w:sz="4" w:space="0" w:color="auto"/>
              <w:right w:val="single" w:sz="4" w:space="0" w:color="auto"/>
            </w:tcBorders>
            <w:shd w:val="clear" w:color="000000" w:fill="FFFFFF"/>
            <w:vAlign w:val="center"/>
            <w:hideMark/>
          </w:tcPr>
          <w:p w14:paraId="14CB4FF8" w14:textId="77777777" w:rsidR="009F7DD0" w:rsidRPr="005970E9" w:rsidRDefault="009F7DD0" w:rsidP="009F7DD0">
            <w:pPr>
              <w:jc w:val="center"/>
              <w:rPr>
                <w:rFonts w:eastAsia="Times New Roman"/>
                <w:b/>
                <w:bCs/>
              </w:rPr>
            </w:pPr>
            <w:r w:rsidRPr="005970E9">
              <w:rPr>
                <w:rFonts w:eastAsia="Times New Roman"/>
                <w:b/>
                <w:bCs/>
              </w:rPr>
              <w:t>1838</w:t>
            </w:r>
          </w:p>
        </w:tc>
        <w:tc>
          <w:tcPr>
            <w:tcW w:w="1684" w:type="dxa"/>
            <w:tcBorders>
              <w:top w:val="nil"/>
              <w:left w:val="nil"/>
              <w:bottom w:val="single" w:sz="4" w:space="0" w:color="auto"/>
              <w:right w:val="single" w:sz="4" w:space="0" w:color="auto"/>
            </w:tcBorders>
            <w:shd w:val="clear" w:color="000000" w:fill="FFFFFF"/>
            <w:vAlign w:val="center"/>
            <w:hideMark/>
          </w:tcPr>
          <w:p w14:paraId="56C7A446" w14:textId="77777777" w:rsidR="009F7DD0" w:rsidRPr="005970E9" w:rsidRDefault="009F7DD0" w:rsidP="009F7DD0">
            <w:pPr>
              <w:jc w:val="center"/>
              <w:rPr>
                <w:rFonts w:eastAsia="Times New Roman"/>
                <w:b/>
                <w:bCs/>
              </w:rPr>
            </w:pPr>
            <w:r w:rsidRPr="005970E9">
              <w:rPr>
                <w:rFonts w:eastAsia="Times New Roman"/>
                <w:b/>
                <w:bCs/>
              </w:rPr>
              <w:t>1484</w:t>
            </w:r>
          </w:p>
        </w:tc>
        <w:tc>
          <w:tcPr>
            <w:tcW w:w="2170" w:type="dxa"/>
            <w:tcBorders>
              <w:top w:val="nil"/>
              <w:left w:val="nil"/>
              <w:bottom w:val="single" w:sz="4" w:space="0" w:color="auto"/>
              <w:right w:val="single" w:sz="4" w:space="0" w:color="auto"/>
            </w:tcBorders>
            <w:shd w:val="clear" w:color="000000" w:fill="FFFFFF"/>
            <w:vAlign w:val="center"/>
            <w:hideMark/>
          </w:tcPr>
          <w:p w14:paraId="43F600B3" w14:textId="77777777" w:rsidR="009F7DD0" w:rsidRPr="005970E9" w:rsidRDefault="009F7DD0" w:rsidP="009F7DD0">
            <w:pPr>
              <w:jc w:val="center"/>
              <w:rPr>
                <w:rFonts w:eastAsia="Times New Roman"/>
                <w:b/>
                <w:bCs/>
              </w:rPr>
            </w:pPr>
            <w:r w:rsidRPr="005970E9">
              <w:rPr>
                <w:rFonts w:eastAsia="Times New Roman"/>
                <w:b/>
                <w:bCs/>
              </w:rPr>
              <w:t>31</w:t>
            </w:r>
          </w:p>
        </w:tc>
      </w:tr>
      <w:tr w:rsidR="009F7DD0" w:rsidRPr="005970E9" w14:paraId="5BB9F512" w14:textId="77777777" w:rsidTr="009F7DD0">
        <w:trPr>
          <w:trHeight w:val="280"/>
        </w:trPr>
        <w:tc>
          <w:tcPr>
            <w:tcW w:w="1670" w:type="dxa"/>
            <w:tcBorders>
              <w:top w:val="nil"/>
              <w:left w:val="single" w:sz="4" w:space="0" w:color="auto"/>
              <w:bottom w:val="single" w:sz="4" w:space="0" w:color="auto"/>
              <w:right w:val="single" w:sz="4" w:space="0" w:color="auto"/>
            </w:tcBorders>
            <w:shd w:val="clear" w:color="000000" w:fill="FFFFFF"/>
            <w:vAlign w:val="center"/>
            <w:hideMark/>
          </w:tcPr>
          <w:p w14:paraId="54C183C7" w14:textId="77777777" w:rsidR="009F7DD0" w:rsidRPr="005970E9" w:rsidRDefault="009F7DD0" w:rsidP="009F7DD0">
            <w:pPr>
              <w:rPr>
                <w:rFonts w:eastAsia="Times New Roman"/>
              </w:rPr>
            </w:pPr>
            <w:r w:rsidRPr="005970E9">
              <w:rPr>
                <w:rFonts w:eastAsia="Times New Roman"/>
              </w:rPr>
              <w:t>0-4 Años</w:t>
            </w:r>
          </w:p>
        </w:tc>
        <w:tc>
          <w:tcPr>
            <w:tcW w:w="1929" w:type="dxa"/>
            <w:tcBorders>
              <w:top w:val="nil"/>
              <w:left w:val="nil"/>
              <w:bottom w:val="single" w:sz="4" w:space="0" w:color="auto"/>
              <w:right w:val="single" w:sz="4" w:space="0" w:color="auto"/>
            </w:tcBorders>
            <w:shd w:val="clear" w:color="000000" w:fill="FFFFFF"/>
            <w:vAlign w:val="center"/>
            <w:hideMark/>
          </w:tcPr>
          <w:p w14:paraId="1EE955F1" w14:textId="77777777" w:rsidR="009F7DD0" w:rsidRPr="005970E9" w:rsidRDefault="009F7DD0" w:rsidP="009F7DD0">
            <w:pPr>
              <w:jc w:val="center"/>
              <w:rPr>
                <w:rFonts w:eastAsia="Times New Roman"/>
                <w:b/>
                <w:bCs/>
                <w:u w:val="single"/>
              </w:rPr>
            </w:pPr>
            <w:r w:rsidRPr="005970E9">
              <w:rPr>
                <w:rFonts w:eastAsia="Times New Roman"/>
                <w:b/>
                <w:bCs/>
                <w:u w:val="single"/>
              </w:rPr>
              <w:t>341</w:t>
            </w:r>
          </w:p>
        </w:tc>
        <w:tc>
          <w:tcPr>
            <w:tcW w:w="1927" w:type="dxa"/>
            <w:tcBorders>
              <w:top w:val="nil"/>
              <w:left w:val="nil"/>
              <w:bottom w:val="single" w:sz="4" w:space="0" w:color="auto"/>
              <w:right w:val="single" w:sz="4" w:space="0" w:color="auto"/>
            </w:tcBorders>
            <w:shd w:val="clear" w:color="000000" w:fill="FFFFFF"/>
            <w:vAlign w:val="center"/>
            <w:hideMark/>
          </w:tcPr>
          <w:p w14:paraId="7892C08F" w14:textId="77777777" w:rsidR="009F7DD0" w:rsidRPr="005970E9" w:rsidRDefault="009F7DD0" w:rsidP="009F7DD0">
            <w:pPr>
              <w:jc w:val="center"/>
              <w:rPr>
                <w:rFonts w:eastAsia="Times New Roman"/>
              </w:rPr>
            </w:pPr>
            <w:r w:rsidRPr="005970E9">
              <w:rPr>
                <w:rFonts w:eastAsia="Times New Roman"/>
              </w:rPr>
              <w:t>173</w:t>
            </w:r>
          </w:p>
        </w:tc>
        <w:tc>
          <w:tcPr>
            <w:tcW w:w="1684" w:type="dxa"/>
            <w:tcBorders>
              <w:top w:val="nil"/>
              <w:left w:val="nil"/>
              <w:bottom w:val="single" w:sz="4" w:space="0" w:color="auto"/>
              <w:right w:val="single" w:sz="4" w:space="0" w:color="auto"/>
            </w:tcBorders>
            <w:shd w:val="clear" w:color="000000" w:fill="FFFFFF"/>
            <w:vAlign w:val="center"/>
            <w:hideMark/>
          </w:tcPr>
          <w:p w14:paraId="30F22F20" w14:textId="77777777" w:rsidR="009F7DD0" w:rsidRPr="005970E9" w:rsidRDefault="009F7DD0" w:rsidP="009F7DD0">
            <w:pPr>
              <w:jc w:val="center"/>
              <w:rPr>
                <w:rFonts w:eastAsia="Times New Roman"/>
              </w:rPr>
            </w:pPr>
            <w:r w:rsidRPr="005970E9">
              <w:rPr>
                <w:rFonts w:eastAsia="Times New Roman"/>
              </w:rPr>
              <w:t>163</w:t>
            </w:r>
          </w:p>
        </w:tc>
        <w:tc>
          <w:tcPr>
            <w:tcW w:w="2170" w:type="dxa"/>
            <w:tcBorders>
              <w:top w:val="nil"/>
              <w:left w:val="nil"/>
              <w:bottom w:val="single" w:sz="4" w:space="0" w:color="auto"/>
              <w:right w:val="single" w:sz="4" w:space="0" w:color="auto"/>
            </w:tcBorders>
            <w:shd w:val="clear" w:color="000000" w:fill="FFFFFF"/>
            <w:vAlign w:val="center"/>
            <w:hideMark/>
          </w:tcPr>
          <w:p w14:paraId="5606BE28" w14:textId="77777777" w:rsidR="009F7DD0" w:rsidRPr="005970E9" w:rsidRDefault="009F7DD0" w:rsidP="009F7DD0">
            <w:pPr>
              <w:jc w:val="center"/>
              <w:rPr>
                <w:rFonts w:eastAsia="Times New Roman"/>
              </w:rPr>
            </w:pPr>
            <w:r w:rsidRPr="005970E9">
              <w:rPr>
                <w:rFonts w:eastAsia="Times New Roman"/>
              </w:rPr>
              <w:t>5</w:t>
            </w:r>
          </w:p>
        </w:tc>
      </w:tr>
      <w:tr w:rsidR="009F7DD0" w:rsidRPr="005970E9" w14:paraId="0E971E11" w14:textId="77777777" w:rsidTr="009F7DD0">
        <w:trPr>
          <w:trHeight w:val="280"/>
        </w:trPr>
        <w:tc>
          <w:tcPr>
            <w:tcW w:w="1670" w:type="dxa"/>
            <w:tcBorders>
              <w:top w:val="nil"/>
              <w:left w:val="single" w:sz="4" w:space="0" w:color="auto"/>
              <w:bottom w:val="single" w:sz="4" w:space="0" w:color="auto"/>
              <w:right w:val="single" w:sz="4" w:space="0" w:color="auto"/>
            </w:tcBorders>
            <w:shd w:val="clear" w:color="000000" w:fill="FFFFFF"/>
            <w:vAlign w:val="center"/>
            <w:hideMark/>
          </w:tcPr>
          <w:p w14:paraId="07FBAD00" w14:textId="77777777" w:rsidR="009F7DD0" w:rsidRPr="005970E9" w:rsidRDefault="009F7DD0" w:rsidP="009F7DD0">
            <w:pPr>
              <w:rPr>
                <w:rFonts w:eastAsia="Times New Roman"/>
              </w:rPr>
            </w:pPr>
            <w:r w:rsidRPr="005970E9">
              <w:rPr>
                <w:rFonts w:eastAsia="Times New Roman"/>
              </w:rPr>
              <w:t>5-9 Años</w:t>
            </w:r>
          </w:p>
        </w:tc>
        <w:tc>
          <w:tcPr>
            <w:tcW w:w="1929" w:type="dxa"/>
            <w:tcBorders>
              <w:top w:val="nil"/>
              <w:left w:val="nil"/>
              <w:bottom w:val="single" w:sz="4" w:space="0" w:color="auto"/>
              <w:right w:val="single" w:sz="4" w:space="0" w:color="auto"/>
            </w:tcBorders>
            <w:shd w:val="clear" w:color="000000" w:fill="FFFFFF"/>
            <w:vAlign w:val="center"/>
            <w:hideMark/>
          </w:tcPr>
          <w:p w14:paraId="5D289D55" w14:textId="77777777" w:rsidR="009F7DD0" w:rsidRPr="005970E9" w:rsidRDefault="009F7DD0" w:rsidP="009F7DD0">
            <w:pPr>
              <w:jc w:val="center"/>
              <w:rPr>
                <w:rFonts w:eastAsia="Times New Roman"/>
                <w:b/>
                <w:bCs/>
                <w:u w:val="single"/>
              </w:rPr>
            </w:pPr>
            <w:r w:rsidRPr="005970E9">
              <w:rPr>
                <w:rFonts w:eastAsia="Times New Roman"/>
                <w:b/>
                <w:bCs/>
                <w:u w:val="single"/>
              </w:rPr>
              <w:t>643</w:t>
            </w:r>
          </w:p>
        </w:tc>
        <w:tc>
          <w:tcPr>
            <w:tcW w:w="1927" w:type="dxa"/>
            <w:tcBorders>
              <w:top w:val="nil"/>
              <w:left w:val="nil"/>
              <w:bottom w:val="single" w:sz="4" w:space="0" w:color="auto"/>
              <w:right w:val="single" w:sz="4" w:space="0" w:color="auto"/>
            </w:tcBorders>
            <w:shd w:val="clear" w:color="000000" w:fill="FFFFFF"/>
            <w:vAlign w:val="center"/>
            <w:hideMark/>
          </w:tcPr>
          <w:p w14:paraId="7A28B8E4" w14:textId="77777777" w:rsidR="009F7DD0" w:rsidRPr="005970E9" w:rsidRDefault="009F7DD0" w:rsidP="009F7DD0">
            <w:pPr>
              <w:jc w:val="center"/>
              <w:rPr>
                <w:rFonts w:eastAsia="Times New Roman"/>
              </w:rPr>
            </w:pPr>
            <w:r w:rsidRPr="005970E9">
              <w:rPr>
                <w:rFonts w:eastAsia="Times New Roman"/>
              </w:rPr>
              <w:t>294</w:t>
            </w:r>
          </w:p>
        </w:tc>
        <w:tc>
          <w:tcPr>
            <w:tcW w:w="1684" w:type="dxa"/>
            <w:tcBorders>
              <w:top w:val="nil"/>
              <w:left w:val="nil"/>
              <w:bottom w:val="single" w:sz="4" w:space="0" w:color="auto"/>
              <w:right w:val="single" w:sz="4" w:space="0" w:color="auto"/>
            </w:tcBorders>
            <w:shd w:val="clear" w:color="000000" w:fill="FFFFFF"/>
            <w:vAlign w:val="center"/>
            <w:hideMark/>
          </w:tcPr>
          <w:p w14:paraId="0749FC11" w14:textId="77777777" w:rsidR="009F7DD0" w:rsidRPr="005970E9" w:rsidRDefault="009F7DD0" w:rsidP="009F7DD0">
            <w:pPr>
              <w:jc w:val="center"/>
              <w:rPr>
                <w:rFonts w:eastAsia="Times New Roman"/>
              </w:rPr>
            </w:pPr>
            <w:r w:rsidRPr="005970E9">
              <w:rPr>
                <w:rFonts w:eastAsia="Times New Roman"/>
              </w:rPr>
              <w:t>343</w:t>
            </w:r>
          </w:p>
        </w:tc>
        <w:tc>
          <w:tcPr>
            <w:tcW w:w="2170" w:type="dxa"/>
            <w:tcBorders>
              <w:top w:val="nil"/>
              <w:left w:val="nil"/>
              <w:bottom w:val="single" w:sz="4" w:space="0" w:color="auto"/>
              <w:right w:val="single" w:sz="4" w:space="0" w:color="auto"/>
            </w:tcBorders>
            <w:shd w:val="clear" w:color="000000" w:fill="FFFFFF"/>
            <w:vAlign w:val="center"/>
            <w:hideMark/>
          </w:tcPr>
          <w:p w14:paraId="3C57C7C1" w14:textId="77777777" w:rsidR="009F7DD0" w:rsidRPr="005970E9" w:rsidRDefault="009F7DD0" w:rsidP="009F7DD0">
            <w:pPr>
              <w:jc w:val="center"/>
              <w:rPr>
                <w:rFonts w:eastAsia="Times New Roman"/>
              </w:rPr>
            </w:pPr>
            <w:r w:rsidRPr="005970E9">
              <w:rPr>
                <w:rFonts w:eastAsia="Times New Roman"/>
              </w:rPr>
              <w:t>6</w:t>
            </w:r>
          </w:p>
        </w:tc>
      </w:tr>
      <w:tr w:rsidR="009F7DD0" w:rsidRPr="005970E9" w14:paraId="384D4B1B" w14:textId="77777777" w:rsidTr="009F7DD0">
        <w:trPr>
          <w:trHeight w:val="280"/>
        </w:trPr>
        <w:tc>
          <w:tcPr>
            <w:tcW w:w="1670" w:type="dxa"/>
            <w:tcBorders>
              <w:top w:val="nil"/>
              <w:left w:val="single" w:sz="4" w:space="0" w:color="auto"/>
              <w:bottom w:val="single" w:sz="4" w:space="0" w:color="auto"/>
              <w:right w:val="single" w:sz="4" w:space="0" w:color="auto"/>
            </w:tcBorders>
            <w:shd w:val="clear" w:color="000000" w:fill="FFFFFF"/>
            <w:vAlign w:val="center"/>
            <w:hideMark/>
          </w:tcPr>
          <w:p w14:paraId="56693BAE" w14:textId="77777777" w:rsidR="009F7DD0" w:rsidRPr="005970E9" w:rsidRDefault="009F7DD0" w:rsidP="009F7DD0">
            <w:pPr>
              <w:rPr>
                <w:rFonts w:eastAsia="Times New Roman"/>
              </w:rPr>
            </w:pPr>
            <w:r w:rsidRPr="005970E9">
              <w:rPr>
                <w:rFonts w:eastAsia="Times New Roman"/>
              </w:rPr>
              <w:t>10-14 Años</w:t>
            </w:r>
          </w:p>
        </w:tc>
        <w:tc>
          <w:tcPr>
            <w:tcW w:w="1929" w:type="dxa"/>
            <w:tcBorders>
              <w:top w:val="nil"/>
              <w:left w:val="nil"/>
              <w:bottom w:val="single" w:sz="4" w:space="0" w:color="auto"/>
              <w:right w:val="single" w:sz="4" w:space="0" w:color="auto"/>
            </w:tcBorders>
            <w:shd w:val="clear" w:color="000000" w:fill="FFFFFF"/>
            <w:vAlign w:val="center"/>
            <w:hideMark/>
          </w:tcPr>
          <w:p w14:paraId="1E236352" w14:textId="77777777" w:rsidR="009F7DD0" w:rsidRPr="005970E9" w:rsidRDefault="009F7DD0" w:rsidP="009F7DD0">
            <w:pPr>
              <w:jc w:val="center"/>
              <w:rPr>
                <w:rFonts w:eastAsia="Times New Roman"/>
                <w:b/>
                <w:bCs/>
                <w:u w:val="single"/>
              </w:rPr>
            </w:pPr>
            <w:r w:rsidRPr="005970E9">
              <w:rPr>
                <w:rFonts w:eastAsia="Times New Roman"/>
                <w:b/>
                <w:bCs/>
                <w:u w:val="single"/>
              </w:rPr>
              <w:t>905</w:t>
            </w:r>
          </w:p>
        </w:tc>
        <w:tc>
          <w:tcPr>
            <w:tcW w:w="1927" w:type="dxa"/>
            <w:tcBorders>
              <w:top w:val="nil"/>
              <w:left w:val="nil"/>
              <w:bottom w:val="single" w:sz="4" w:space="0" w:color="auto"/>
              <w:right w:val="single" w:sz="4" w:space="0" w:color="auto"/>
            </w:tcBorders>
            <w:shd w:val="clear" w:color="000000" w:fill="FFFFFF"/>
            <w:vAlign w:val="center"/>
            <w:hideMark/>
          </w:tcPr>
          <w:p w14:paraId="4EA603D9" w14:textId="77777777" w:rsidR="009F7DD0" w:rsidRPr="005970E9" w:rsidRDefault="009F7DD0" w:rsidP="009F7DD0">
            <w:pPr>
              <w:jc w:val="center"/>
              <w:rPr>
                <w:rFonts w:eastAsia="Times New Roman"/>
              </w:rPr>
            </w:pPr>
            <w:r w:rsidRPr="005970E9">
              <w:rPr>
                <w:rFonts w:eastAsia="Times New Roman"/>
              </w:rPr>
              <w:t>455</w:t>
            </w:r>
          </w:p>
        </w:tc>
        <w:tc>
          <w:tcPr>
            <w:tcW w:w="1684" w:type="dxa"/>
            <w:tcBorders>
              <w:top w:val="nil"/>
              <w:left w:val="nil"/>
              <w:bottom w:val="single" w:sz="4" w:space="0" w:color="auto"/>
              <w:right w:val="single" w:sz="4" w:space="0" w:color="auto"/>
            </w:tcBorders>
            <w:shd w:val="clear" w:color="000000" w:fill="FFFFFF"/>
            <w:vAlign w:val="center"/>
            <w:hideMark/>
          </w:tcPr>
          <w:p w14:paraId="51EE8B79" w14:textId="77777777" w:rsidR="009F7DD0" w:rsidRPr="005970E9" w:rsidRDefault="009F7DD0" w:rsidP="009F7DD0">
            <w:pPr>
              <w:jc w:val="center"/>
              <w:rPr>
                <w:rFonts w:eastAsia="Times New Roman"/>
              </w:rPr>
            </w:pPr>
            <w:r w:rsidRPr="005970E9">
              <w:rPr>
                <w:rFonts w:eastAsia="Times New Roman"/>
              </w:rPr>
              <w:t>442</w:t>
            </w:r>
          </w:p>
        </w:tc>
        <w:tc>
          <w:tcPr>
            <w:tcW w:w="2170" w:type="dxa"/>
            <w:tcBorders>
              <w:top w:val="nil"/>
              <w:left w:val="nil"/>
              <w:bottom w:val="single" w:sz="4" w:space="0" w:color="auto"/>
              <w:right w:val="single" w:sz="4" w:space="0" w:color="auto"/>
            </w:tcBorders>
            <w:shd w:val="clear" w:color="000000" w:fill="FFFFFF"/>
            <w:vAlign w:val="center"/>
            <w:hideMark/>
          </w:tcPr>
          <w:p w14:paraId="47699386" w14:textId="77777777" w:rsidR="009F7DD0" w:rsidRPr="005970E9" w:rsidRDefault="009F7DD0" w:rsidP="009F7DD0">
            <w:pPr>
              <w:jc w:val="center"/>
              <w:rPr>
                <w:rFonts w:eastAsia="Times New Roman"/>
              </w:rPr>
            </w:pPr>
            <w:r w:rsidRPr="005970E9">
              <w:rPr>
                <w:rFonts w:eastAsia="Times New Roman"/>
              </w:rPr>
              <w:t>8</w:t>
            </w:r>
          </w:p>
        </w:tc>
      </w:tr>
      <w:tr w:rsidR="009F7DD0" w:rsidRPr="005970E9" w14:paraId="16B11CC4" w14:textId="77777777" w:rsidTr="009F7DD0">
        <w:trPr>
          <w:trHeight w:val="280"/>
        </w:trPr>
        <w:tc>
          <w:tcPr>
            <w:tcW w:w="1670" w:type="dxa"/>
            <w:tcBorders>
              <w:top w:val="nil"/>
              <w:left w:val="single" w:sz="4" w:space="0" w:color="auto"/>
              <w:bottom w:val="single" w:sz="4" w:space="0" w:color="auto"/>
              <w:right w:val="single" w:sz="4" w:space="0" w:color="auto"/>
            </w:tcBorders>
            <w:shd w:val="clear" w:color="000000" w:fill="FFFFFF"/>
            <w:vAlign w:val="center"/>
            <w:hideMark/>
          </w:tcPr>
          <w:p w14:paraId="084712F8" w14:textId="77777777" w:rsidR="009F7DD0" w:rsidRPr="005970E9" w:rsidRDefault="009F7DD0" w:rsidP="009F7DD0">
            <w:pPr>
              <w:rPr>
                <w:rFonts w:eastAsia="Times New Roman"/>
              </w:rPr>
            </w:pPr>
            <w:r w:rsidRPr="005970E9">
              <w:rPr>
                <w:rFonts w:eastAsia="Times New Roman"/>
              </w:rPr>
              <w:t xml:space="preserve">15-17 Años </w:t>
            </w:r>
          </w:p>
        </w:tc>
        <w:tc>
          <w:tcPr>
            <w:tcW w:w="1929" w:type="dxa"/>
            <w:tcBorders>
              <w:top w:val="nil"/>
              <w:left w:val="nil"/>
              <w:bottom w:val="single" w:sz="4" w:space="0" w:color="auto"/>
              <w:right w:val="single" w:sz="4" w:space="0" w:color="auto"/>
            </w:tcBorders>
            <w:shd w:val="clear" w:color="000000" w:fill="FFFFFF"/>
            <w:vAlign w:val="center"/>
            <w:hideMark/>
          </w:tcPr>
          <w:p w14:paraId="29AF6480" w14:textId="77777777" w:rsidR="009F7DD0" w:rsidRPr="005970E9" w:rsidRDefault="009F7DD0" w:rsidP="009F7DD0">
            <w:pPr>
              <w:jc w:val="center"/>
              <w:rPr>
                <w:rFonts w:eastAsia="Times New Roman"/>
                <w:b/>
                <w:bCs/>
                <w:u w:val="single"/>
              </w:rPr>
            </w:pPr>
            <w:r w:rsidRPr="005970E9">
              <w:rPr>
                <w:rFonts w:eastAsia="Times New Roman"/>
                <w:b/>
                <w:bCs/>
                <w:u w:val="single"/>
              </w:rPr>
              <w:t>960</w:t>
            </w:r>
          </w:p>
        </w:tc>
        <w:tc>
          <w:tcPr>
            <w:tcW w:w="1927" w:type="dxa"/>
            <w:tcBorders>
              <w:top w:val="nil"/>
              <w:left w:val="nil"/>
              <w:bottom w:val="single" w:sz="4" w:space="0" w:color="auto"/>
              <w:right w:val="single" w:sz="4" w:space="0" w:color="auto"/>
            </w:tcBorders>
            <w:shd w:val="clear" w:color="000000" w:fill="FFFFFF"/>
            <w:vAlign w:val="center"/>
            <w:hideMark/>
          </w:tcPr>
          <w:p w14:paraId="48AF4303" w14:textId="77777777" w:rsidR="009F7DD0" w:rsidRPr="005970E9" w:rsidRDefault="009F7DD0" w:rsidP="009F7DD0">
            <w:pPr>
              <w:jc w:val="center"/>
              <w:rPr>
                <w:rFonts w:eastAsia="Times New Roman"/>
              </w:rPr>
            </w:pPr>
            <w:r w:rsidRPr="005970E9">
              <w:rPr>
                <w:rFonts w:eastAsia="Times New Roman"/>
              </w:rPr>
              <w:t>584</w:t>
            </w:r>
          </w:p>
        </w:tc>
        <w:tc>
          <w:tcPr>
            <w:tcW w:w="1684" w:type="dxa"/>
            <w:tcBorders>
              <w:top w:val="nil"/>
              <w:left w:val="nil"/>
              <w:bottom w:val="single" w:sz="4" w:space="0" w:color="auto"/>
              <w:right w:val="single" w:sz="4" w:space="0" w:color="auto"/>
            </w:tcBorders>
            <w:shd w:val="clear" w:color="000000" w:fill="FFFFFF"/>
            <w:vAlign w:val="center"/>
            <w:hideMark/>
          </w:tcPr>
          <w:p w14:paraId="06AAB2FE" w14:textId="77777777" w:rsidR="009F7DD0" w:rsidRPr="005970E9" w:rsidRDefault="009F7DD0" w:rsidP="009F7DD0">
            <w:pPr>
              <w:jc w:val="center"/>
              <w:rPr>
                <w:rFonts w:eastAsia="Times New Roman"/>
              </w:rPr>
            </w:pPr>
            <w:r w:rsidRPr="005970E9">
              <w:rPr>
                <w:rFonts w:eastAsia="Times New Roman"/>
              </w:rPr>
              <w:t>374</w:t>
            </w:r>
          </w:p>
        </w:tc>
        <w:tc>
          <w:tcPr>
            <w:tcW w:w="2170" w:type="dxa"/>
            <w:tcBorders>
              <w:top w:val="nil"/>
              <w:left w:val="nil"/>
              <w:bottom w:val="single" w:sz="4" w:space="0" w:color="auto"/>
              <w:right w:val="single" w:sz="4" w:space="0" w:color="auto"/>
            </w:tcBorders>
            <w:shd w:val="clear" w:color="000000" w:fill="FFFFFF"/>
            <w:vAlign w:val="center"/>
            <w:hideMark/>
          </w:tcPr>
          <w:p w14:paraId="5DA17923" w14:textId="77777777" w:rsidR="009F7DD0" w:rsidRPr="005970E9" w:rsidRDefault="009F7DD0" w:rsidP="009F7DD0">
            <w:pPr>
              <w:jc w:val="center"/>
              <w:rPr>
                <w:rFonts w:eastAsia="Times New Roman"/>
              </w:rPr>
            </w:pPr>
            <w:r w:rsidRPr="005970E9">
              <w:rPr>
                <w:rFonts w:eastAsia="Times New Roman"/>
              </w:rPr>
              <w:t>2</w:t>
            </w:r>
          </w:p>
        </w:tc>
      </w:tr>
      <w:tr w:rsidR="009F7DD0" w:rsidRPr="005970E9" w14:paraId="0A5B1A8C" w14:textId="77777777" w:rsidTr="009F7DD0">
        <w:trPr>
          <w:trHeight w:val="280"/>
        </w:trPr>
        <w:tc>
          <w:tcPr>
            <w:tcW w:w="1670" w:type="dxa"/>
            <w:tcBorders>
              <w:top w:val="nil"/>
              <w:left w:val="single" w:sz="4" w:space="0" w:color="auto"/>
              <w:bottom w:val="single" w:sz="4" w:space="0" w:color="auto"/>
              <w:right w:val="single" w:sz="4" w:space="0" w:color="auto"/>
            </w:tcBorders>
            <w:shd w:val="clear" w:color="000000" w:fill="FFFFFF"/>
            <w:noWrap/>
            <w:vAlign w:val="bottom"/>
            <w:hideMark/>
          </w:tcPr>
          <w:p w14:paraId="23A95802" w14:textId="77777777" w:rsidR="009F7DD0" w:rsidRPr="005970E9" w:rsidRDefault="009F7DD0" w:rsidP="009F7DD0">
            <w:pPr>
              <w:rPr>
                <w:rFonts w:eastAsia="Times New Roman"/>
                <w:color w:val="000000"/>
              </w:rPr>
            </w:pPr>
            <w:r w:rsidRPr="005970E9">
              <w:rPr>
                <w:rFonts w:eastAsia="Times New Roman"/>
                <w:color w:val="000000"/>
              </w:rPr>
              <w:t>SIN DATOS</w:t>
            </w:r>
          </w:p>
        </w:tc>
        <w:tc>
          <w:tcPr>
            <w:tcW w:w="1929" w:type="dxa"/>
            <w:tcBorders>
              <w:top w:val="nil"/>
              <w:left w:val="nil"/>
              <w:bottom w:val="single" w:sz="4" w:space="0" w:color="auto"/>
              <w:right w:val="single" w:sz="4" w:space="0" w:color="auto"/>
            </w:tcBorders>
            <w:shd w:val="clear" w:color="000000" w:fill="FFFFFF"/>
            <w:vAlign w:val="center"/>
            <w:hideMark/>
          </w:tcPr>
          <w:p w14:paraId="32A1FF2C" w14:textId="77777777" w:rsidR="009F7DD0" w:rsidRPr="005970E9" w:rsidRDefault="009F7DD0" w:rsidP="009F7DD0">
            <w:pPr>
              <w:jc w:val="center"/>
              <w:rPr>
                <w:rFonts w:eastAsia="Times New Roman"/>
                <w:b/>
                <w:bCs/>
                <w:u w:val="single"/>
              </w:rPr>
            </w:pPr>
            <w:r w:rsidRPr="005970E9">
              <w:rPr>
                <w:rFonts w:eastAsia="Times New Roman"/>
                <w:b/>
                <w:bCs/>
                <w:u w:val="single"/>
              </w:rPr>
              <w:t>504</w:t>
            </w:r>
          </w:p>
        </w:tc>
        <w:tc>
          <w:tcPr>
            <w:tcW w:w="1927" w:type="dxa"/>
            <w:tcBorders>
              <w:top w:val="nil"/>
              <w:left w:val="nil"/>
              <w:bottom w:val="single" w:sz="4" w:space="0" w:color="auto"/>
              <w:right w:val="single" w:sz="4" w:space="0" w:color="auto"/>
            </w:tcBorders>
            <w:shd w:val="clear" w:color="000000" w:fill="FFFFFF"/>
            <w:vAlign w:val="center"/>
            <w:hideMark/>
          </w:tcPr>
          <w:p w14:paraId="0BC7088A" w14:textId="77777777" w:rsidR="009F7DD0" w:rsidRPr="005970E9" w:rsidRDefault="009F7DD0" w:rsidP="009F7DD0">
            <w:pPr>
              <w:jc w:val="center"/>
              <w:rPr>
                <w:rFonts w:eastAsia="Times New Roman"/>
                <w:color w:val="000000"/>
              </w:rPr>
            </w:pPr>
            <w:r w:rsidRPr="005970E9">
              <w:rPr>
                <w:rFonts w:eastAsia="Times New Roman"/>
                <w:color w:val="000000"/>
              </w:rPr>
              <w:t>332</w:t>
            </w:r>
          </w:p>
        </w:tc>
        <w:tc>
          <w:tcPr>
            <w:tcW w:w="1684" w:type="dxa"/>
            <w:tcBorders>
              <w:top w:val="nil"/>
              <w:left w:val="nil"/>
              <w:bottom w:val="single" w:sz="4" w:space="0" w:color="auto"/>
              <w:right w:val="single" w:sz="4" w:space="0" w:color="auto"/>
            </w:tcBorders>
            <w:shd w:val="clear" w:color="000000" w:fill="FFFFFF"/>
            <w:vAlign w:val="bottom"/>
            <w:hideMark/>
          </w:tcPr>
          <w:p w14:paraId="6D9F4988" w14:textId="77777777" w:rsidR="009F7DD0" w:rsidRPr="005970E9" w:rsidRDefault="009F7DD0" w:rsidP="009F7DD0">
            <w:pPr>
              <w:jc w:val="center"/>
              <w:rPr>
                <w:rFonts w:eastAsia="Times New Roman"/>
                <w:color w:val="000000"/>
              </w:rPr>
            </w:pPr>
            <w:r w:rsidRPr="005970E9">
              <w:rPr>
                <w:rFonts w:eastAsia="Times New Roman"/>
                <w:color w:val="000000"/>
              </w:rPr>
              <w:t>162</w:t>
            </w:r>
          </w:p>
        </w:tc>
        <w:tc>
          <w:tcPr>
            <w:tcW w:w="2170" w:type="dxa"/>
            <w:tcBorders>
              <w:top w:val="nil"/>
              <w:left w:val="nil"/>
              <w:bottom w:val="single" w:sz="4" w:space="0" w:color="auto"/>
              <w:right w:val="single" w:sz="4" w:space="0" w:color="auto"/>
            </w:tcBorders>
            <w:shd w:val="clear" w:color="000000" w:fill="FFFFFF"/>
            <w:vAlign w:val="bottom"/>
            <w:hideMark/>
          </w:tcPr>
          <w:p w14:paraId="12D4D77A" w14:textId="77777777" w:rsidR="009F7DD0" w:rsidRPr="005970E9" w:rsidRDefault="009F7DD0" w:rsidP="009F7DD0">
            <w:pPr>
              <w:jc w:val="center"/>
              <w:rPr>
                <w:rFonts w:eastAsia="Times New Roman"/>
                <w:color w:val="000000"/>
              </w:rPr>
            </w:pPr>
            <w:r w:rsidRPr="005970E9">
              <w:rPr>
                <w:rFonts w:eastAsia="Times New Roman"/>
                <w:color w:val="000000"/>
              </w:rPr>
              <w:t>10</w:t>
            </w:r>
          </w:p>
        </w:tc>
      </w:tr>
    </w:tbl>
    <w:p w14:paraId="64161B50" w14:textId="77777777" w:rsidR="009F7DD0" w:rsidRPr="005970E9" w:rsidRDefault="009F7DD0" w:rsidP="009F7DD0">
      <w:pPr>
        <w:spacing w:before="120" w:after="120" w:line="276" w:lineRule="auto"/>
        <w:contextualSpacing/>
        <w:jc w:val="both"/>
      </w:pPr>
      <w:r w:rsidRPr="005970E9">
        <w:t xml:space="preserve">(P) Se refiere a datos preliminares.  Los datos mostrados en este informe pueden variar con el tiempo y proceso investigativo utilizados por los Fiscales de la Institución. </w:t>
      </w:r>
    </w:p>
    <w:p w14:paraId="3F22BD94" w14:textId="77777777" w:rsidR="009F7DD0" w:rsidRPr="005970E9" w:rsidRDefault="009F7DD0" w:rsidP="009F7DD0">
      <w:pPr>
        <w:spacing w:before="120" w:after="120" w:line="276" w:lineRule="auto"/>
        <w:contextualSpacing/>
        <w:jc w:val="both"/>
      </w:pPr>
      <w:r w:rsidRPr="005970E9">
        <w:t>(1) Los registros sin datos corresponden a casos que se encuentran en Investigación.</w:t>
      </w:r>
    </w:p>
    <w:p w14:paraId="32CFB7B9" w14:textId="77777777" w:rsidR="009F7DD0" w:rsidRPr="005970E9" w:rsidRDefault="009F7DD0" w:rsidP="009F7DD0">
      <w:pPr>
        <w:spacing w:before="120" w:after="120" w:line="276" w:lineRule="auto"/>
        <w:contextualSpacing/>
        <w:jc w:val="both"/>
      </w:pPr>
      <w:r w:rsidRPr="005970E9">
        <w:t>Fuente: Centro de Estadística, Ministerio Público/ Plataforma del SPA y Sistema Inquisitivo/ Adolescentes</w:t>
      </w:r>
    </w:p>
    <w:p w14:paraId="65C80FB1" w14:textId="77777777" w:rsidR="009F7DD0" w:rsidRPr="005970E9" w:rsidRDefault="009F7DD0" w:rsidP="009F7DD0">
      <w:pPr>
        <w:spacing w:before="120" w:after="120" w:line="276" w:lineRule="auto"/>
        <w:contextualSpacing/>
        <w:jc w:val="both"/>
        <w:rPr>
          <w:b/>
        </w:rPr>
      </w:pPr>
    </w:p>
    <w:p w14:paraId="470EF130" w14:textId="3F05810F" w:rsidR="009F7DD0" w:rsidRPr="005970E9" w:rsidRDefault="009F7DD0" w:rsidP="009F7DD0">
      <w:pPr>
        <w:spacing w:before="120" w:after="120" w:line="276" w:lineRule="auto"/>
        <w:contextualSpacing/>
        <w:jc w:val="both"/>
      </w:pPr>
      <w:r w:rsidRPr="005970E9">
        <w:t xml:space="preserve">En cuanto al maltrato agravado de niños, niñas y adolescentes </w:t>
      </w:r>
      <w:r w:rsidRPr="00641ABD">
        <w:t xml:space="preserve">(Tabla </w:t>
      </w:r>
      <w:r w:rsidR="00641ABD" w:rsidRPr="00641ABD">
        <w:t>20</w:t>
      </w:r>
      <w:r w:rsidRPr="00641ABD">
        <w:t>),</w:t>
      </w:r>
      <w:r w:rsidRPr="005970E9">
        <w:t xml:space="preserve"> el mayor número de denuncias se dio en menores de 0 a 4 años, con 53 (53.53%) casos de 99 denuncias presentadas para este tipo de delitos. Estos datos nos revelan el nivel de vulnerabilidad que vive la niñez panameña en la actualidad. </w:t>
      </w:r>
    </w:p>
    <w:p w14:paraId="0A81C64D" w14:textId="181B7779" w:rsidR="009F7DD0" w:rsidRPr="00641ABD" w:rsidRDefault="009F7DD0" w:rsidP="009F7DD0">
      <w:pPr>
        <w:pStyle w:val="Caption"/>
        <w:keepNext/>
        <w:jc w:val="both"/>
        <w:rPr>
          <w:rFonts w:ascii="Century Schoolbook" w:hAnsi="Century Schoolbook"/>
          <w:sz w:val="22"/>
          <w:szCs w:val="22"/>
        </w:rPr>
      </w:pPr>
      <w:bookmarkStart w:id="241" w:name="_Toc42293591"/>
      <w:bookmarkStart w:id="242" w:name="_Toc42549214"/>
      <w:r w:rsidRPr="00641ABD">
        <w:rPr>
          <w:rFonts w:ascii="Century Schoolbook" w:hAnsi="Century Schoolbook"/>
          <w:sz w:val="22"/>
          <w:szCs w:val="22"/>
        </w:rPr>
        <w:t xml:space="preserve">Tabla </w:t>
      </w:r>
      <w:r w:rsidRPr="00641ABD">
        <w:rPr>
          <w:rFonts w:ascii="Century Schoolbook" w:hAnsi="Century Schoolbook"/>
          <w:sz w:val="22"/>
          <w:szCs w:val="22"/>
        </w:rPr>
        <w:fldChar w:fldCharType="begin"/>
      </w:r>
      <w:r w:rsidRPr="00641ABD">
        <w:rPr>
          <w:rFonts w:ascii="Century Schoolbook" w:hAnsi="Century Schoolbook"/>
          <w:sz w:val="22"/>
          <w:szCs w:val="22"/>
        </w:rPr>
        <w:instrText>SEQ Tabla \* ARABIC</w:instrText>
      </w:r>
      <w:r w:rsidRPr="00641ABD">
        <w:rPr>
          <w:rFonts w:ascii="Century Schoolbook" w:hAnsi="Century Schoolbook"/>
          <w:sz w:val="22"/>
          <w:szCs w:val="22"/>
        </w:rPr>
        <w:fldChar w:fldCharType="separate"/>
      </w:r>
      <w:r w:rsidR="005970E9" w:rsidRPr="00641ABD">
        <w:rPr>
          <w:rFonts w:ascii="Century Schoolbook" w:hAnsi="Century Schoolbook"/>
          <w:noProof/>
          <w:sz w:val="22"/>
          <w:szCs w:val="22"/>
        </w:rPr>
        <w:t>20</w:t>
      </w:r>
      <w:r w:rsidRPr="00641ABD">
        <w:rPr>
          <w:rFonts w:ascii="Century Schoolbook" w:hAnsi="Century Schoolbook"/>
          <w:sz w:val="22"/>
          <w:szCs w:val="22"/>
        </w:rPr>
        <w:fldChar w:fldCharType="end"/>
      </w:r>
      <w:r w:rsidRPr="00641ABD">
        <w:rPr>
          <w:rFonts w:ascii="Century Schoolbook" w:hAnsi="Century Schoolbook"/>
          <w:sz w:val="22"/>
          <w:szCs w:val="22"/>
        </w:rPr>
        <w:t xml:space="preserve">. </w:t>
      </w:r>
      <w:r w:rsidRPr="00641ABD">
        <w:rPr>
          <w:rFonts w:ascii="Century Schoolbook" w:hAnsi="Century Schoolbook"/>
          <w:i w:val="0"/>
          <w:iCs w:val="0"/>
          <w:sz w:val="22"/>
          <w:szCs w:val="22"/>
        </w:rPr>
        <w:t>Número de víctimas niños, niñas y adolescentes del art. 204 maltrato al menor, del Título V- Delitos contra el orden jurídico familiar y el estado civil a nivel nacional, por género; según rango de edad a nivel nacional. Del 1 de enero al 31 de diciembre de 2019 (P).</w:t>
      </w:r>
      <w:bookmarkEnd w:id="241"/>
      <w:bookmarkEnd w:id="242"/>
    </w:p>
    <w:tbl>
      <w:tblPr>
        <w:tblStyle w:val="TableGrid"/>
        <w:tblW w:w="0" w:type="auto"/>
        <w:tblLook w:val="04A0" w:firstRow="1" w:lastRow="0" w:firstColumn="1" w:lastColumn="0" w:noHBand="0" w:noVBand="1"/>
      </w:tblPr>
      <w:tblGrid>
        <w:gridCol w:w="2830"/>
        <w:gridCol w:w="993"/>
        <w:gridCol w:w="1890"/>
        <w:gridCol w:w="1504"/>
        <w:gridCol w:w="1575"/>
      </w:tblGrid>
      <w:tr w:rsidR="009F7DD0" w:rsidRPr="005970E9" w14:paraId="5507E4B3" w14:textId="77777777" w:rsidTr="009F7DD0">
        <w:trPr>
          <w:trHeight w:val="136"/>
        </w:trPr>
        <w:tc>
          <w:tcPr>
            <w:tcW w:w="2830" w:type="dxa"/>
            <w:vMerge w:val="restart"/>
            <w:shd w:val="clear" w:color="auto" w:fill="CCC0D9" w:themeFill="accent4" w:themeFillTint="66"/>
            <w:vAlign w:val="center"/>
            <w:hideMark/>
          </w:tcPr>
          <w:p w14:paraId="2FA11C9D" w14:textId="77777777" w:rsidR="009F7DD0" w:rsidRPr="005970E9" w:rsidRDefault="009F7DD0" w:rsidP="009F7DD0">
            <w:pPr>
              <w:spacing w:before="120" w:after="120" w:line="276" w:lineRule="auto"/>
              <w:contextualSpacing/>
              <w:jc w:val="center"/>
              <w:rPr>
                <w:bCs/>
              </w:rPr>
            </w:pPr>
            <w:r w:rsidRPr="005970E9">
              <w:rPr>
                <w:bCs/>
              </w:rPr>
              <w:t>Rango de edad</w:t>
            </w:r>
          </w:p>
        </w:tc>
        <w:tc>
          <w:tcPr>
            <w:tcW w:w="993" w:type="dxa"/>
            <w:vMerge w:val="restart"/>
            <w:shd w:val="clear" w:color="auto" w:fill="CCC0D9" w:themeFill="accent4" w:themeFillTint="66"/>
            <w:vAlign w:val="center"/>
            <w:hideMark/>
          </w:tcPr>
          <w:p w14:paraId="52D3860E" w14:textId="77777777" w:rsidR="009F7DD0" w:rsidRPr="005970E9" w:rsidRDefault="009F7DD0" w:rsidP="009F7DD0">
            <w:pPr>
              <w:spacing w:before="120" w:after="120" w:line="276" w:lineRule="auto"/>
              <w:contextualSpacing/>
              <w:jc w:val="center"/>
            </w:pPr>
            <w:r w:rsidRPr="005970E9">
              <w:t>Total</w:t>
            </w:r>
          </w:p>
        </w:tc>
        <w:tc>
          <w:tcPr>
            <w:tcW w:w="4969" w:type="dxa"/>
            <w:gridSpan w:val="3"/>
            <w:shd w:val="clear" w:color="auto" w:fill="CCC0D9" w:themeFill="accent4" w:themeFillTint="66"/>
            <w:vAlign w:val="center"/>
            <w:hideMark/>
          </w:tcPr>
          <w:p w14:paraId="17CAAAD1" w14:textId="77777777" w:rsidR="009F7DD0" w:rsidRPr="005970E9" w:rsidRDefault="009F7DD0" w:rsidP="009F7DD0">
            <w:pPr>
              <w:spacing w:before="120" w:after="120" w:line="276" w:lineRule="auto"/>
              <w:contextualSpacing/>
              <w:jc w:val="center"/>
              <w:rPr>
                <w:bCs/>
              </w:rPr>
            </w:pPr>
            <w:r w:rsidRPr="005970E9">
              <w:rPr>
                <w:bCs/>
              </w:rPr>
              <w:t>Art. 204 maltrato de niño, niña o adolescente agravado.</w:t>
            </w:r>
          </w:p>
        </w:tc>
      </w:tr>
      <w:tr w:rsidR="009F7DD0" w:rsidRPr="005970E9" w14:paraId="74CDADB2" w14:textId="77777777" w:rsidTr="009F7DD0">
        <w:trPr>
          <w:trHeight w:val="136"/>
        </w:trPr>
        <w:tc>
          <w:tcPr>
            <w:tcW w:w="2830" w:type="dxa"/>
            <w:vMerge/>
            <w:shd w:val="clear" w:color="auto" w:fill="CCC0D9" w:themeFill="accent4" w:themeFillTint="66"/>
            <w:hideMark/>
          </w:tcPr>
          <w:p w14:paraId="2ADD7986" w14:textId="77777777" w:rsidR="009F7DD0" w:rsidRPr="005970E9" w:rsidRDefault="009F7DD0" w:rsidP="009F7DD0">
            <w:pPr>
              <w:spacing w:before="120" w:after="120" w:line="276" w:lineRule="auto"/>
              <w:contextualSpacing/>
              <w:jc w:val="both"/>
              <w:rPr>
                <w:bCs/>
              </w:rPr>
            </w:pPr>
          </w:p>
        </w:tc>
        <w:tc>
          <w:tcPr>
            <w:tcW w:w="993" w:type="dxa"/>
            <w:vMerge/>
            <w:shd w:val="clear" w:color="auto" w:fill="CCC0D9" w:themeFill="accent4" w:themeFillTint="66"/>
            <w:hideMark/>
          </w:tcPr>
          <w:p w14:paraId="0D8BE2FF" w14:textId="77777777" w:rsidR="009F7DD0" w:rsidRPr="005970E9" w:rsidRDefault="009F7DD0" w:rsidP="009F7DD0">
            <w:pPr>
              <w:spacing w:before="120" w:after="120" w:line="276" w:lineRule="auto"/>
              <w:contextualSpacing/>
              <w:jc w:val="both"/>
            </w:pPr>
          </w:p>
        </w:tc>
        <w:tc>
          <w:tcPr>
            <w:tcW w:w="1890" w:type="dxa"/>
            <w:shd w:val="clear" w:color="auto" w:fill="CCC0D9" w:themeFill="accent4" w:themeFillTint="66"/>
            <w:hideMark/>
          </w:tcPr>
          <w:p w14:paraId="4A9017E5" w14:textId="77777777" w:rsidR="009F7DD0" w:rsidRPr="005970E9" w:rsidRDefault="009F7DD0" w:rsidP="009F7DD0">
            <w:pPr>
              <w:spacing w:before="120" w:after="120" w:line="276" w:lineRule="auto"/>
              <w:contextualSpacing/>
              <w:jc w:val="center"/>
              <w:rPr>
                <w:b/>
              </w:rPr>
            </w:pPr>
            <w:r w:rsidRPr="005970E9">
              <w:rPr>
                <w:b/>
              </w:rPr>
              <w:t>Femenina</w:t>
            </w:r>
          </w:p>
        </w:tc>
        <w:tc>
          <w:tcPr>
            <w:tcW w:w="1504" w:type="dxa"/>
            <w:shd w:val="clear" w:color="auto" w:fill="CCC0D9" w:themeFill="accent4" w:themeFillTint="66"/>
            <w:hideMark/>
          </w:tcPr>
          <w:p w14:paraId="14F17C11" w14:textId="77777777" w:rsidR="009F7DD0" w:rsidRPr="005970E9" w:rsidRDefault="009F7DD0" w:rsidP="009F7DD0">
            <w:pPr>
              <w:spacing w:before="120" w:after="120" w:line="276" w:lineRule="auto"/>
              <w:contextualSpacing/>
              <w:jc w:val="center"/>
              <w:rPr>
                <w:b/>
              </w:rPr>
            </w:pPr>
            <w:r w:rsidRPr="005970E9">
              <w:rPr>
                <w:b/>
              </w:rPr>
              <w:t>Masculino</w:t>
            </w:r>
          </w:p>
        </w:tc>
        <w:tc>
          <w:tcPr>
            <w:tcW w:w="1575" w:type="dxa"/>
            <w:shd w:val="clear" w:color="auto" w:fill="CCC0D9" w:themeFill="accent4" w:themeFillTint="66"/>
            <w:hideMark/>
          </w:tcPr>
          <w:p w14:paraId="0F3163C8" w14:textId="77777777" w:rsidR="009F7DD0" w:rsidRPr="005970E9" w:rsidRDefault="009F7DD0" w:rsidP="009F7DD0">
            <w:pPr>
              <w:spacing w:before="120" w:after="120" w:line="276" w:lineRule="auto"/>
              <w:contextualSpacing/>
              <w:jc w:val="center"/>
              <w:rPr>
                <w:b/>
              </w:rPr>
            </w:pPr>
            <w:r w:rsidRPr="005970E9">
              <w:rPr>
                <w:b/>
              </w:rPr>
              <w:t>Sin datos</w:t>
            </w:r>
          </w:p>
        </w:tc>
      </w:tr>
      <w:tr w:rsidR="009F7DD0" w:rsidRPr="005970E9" w14:paraId="2EB917A5" w14:textId="77777777" w:rsidTr="009F7DD0">
        <w:trPr>
          <w:trHeight w:val="209"/>
        </w:trPr>
        <w:tc>
          <w:tcPr>
            <w:tcW w:w="2830" w:type="dxa"/>
            <w:hideMark/>
          </w:tcPr>
          <w:p w14:paraId="118D6ECB" w14:textId="77777777" w:rsidR="009F7DD0" w:rsidRPr="005970E9" w:rsidRDefault="009F7DD0" w:rsidP="009F7DD0">
            <w:pPr>
              <w:spacing w:before="120" w:after="120" w:line="276" w:lineRule="auto"/>
              <w:contextualSpacing/>
              <w:jc w:val="both"/>
              <w:rPr>
                <w:bCs/>
              </w:rPr>
            </w:pPr>
            <w:r w:rsidRPr="005970E9">
              <w:rPr>
                <w:bCs/>
              </w:rPr>
              <w:t xml:space="preserve">     Total…</w:t>
            </w:r>
          </w:p>
        </w:tc>
        <w:tc>
          <w:tcPr>
            <w:tcW w:w="993" w:type="dxa"/>
            <w:hideMark/>
          </w:tcPr>
          <w:p w14:paraId="79E00F39" w14:textId="77777777" w:rsidR="009F7DD0" w:rsidRPr="005970E9" w:rsidRDefault="009F7DD0" w:rsidP="009F7DD0">
            <w:pPr>
              <w:spacing w:before="120" w:after="120" w:line="276" w:lineRule="auto"/>
              <w:contextualSpacing/>
              <w:jc w:val="center"/>
              <w:rPr>
                <w:bCs/>
                <w:u w:val="single"/>
              </w:rPr>
            </w:pPr>
            <w:r w:rsidRPr="005970E9">
              <w:rPr>
                <w:bCs/>
                <w:u w:val="single"/>
              </w:rPr>
              <w:t>99</w:t>
            </w:r>
          </w:p>
        </w:tc>
        <w:tc>
          <w:tcPr>
            <w:tcW w:w="1890" w:type="dxa"/>
            <w:hideMark/>
          </w:tcPr>
          <w:p w14:paraId="23B507BA" w14:textId="77777777" w:rsidR="009F7DD0" w:rsidRPr="005970E9" w:rsidRDefault="009F7DD0" w:rsidP="009F7DD0">
            <w:pPr>
              <w:spacing w:before="120" w:after="120" w:line="276" w:lineRule="auto"/>
              <w:contextualSpacing/>
              <w:jc w:val="center"/>
              <w:rPr>
                <w:bCs/>
                <w:u w:val="single"/>
              </w:rPr>
            </w:pPr>
            <w:r w:rsidRPr="005970E9">
              <w:rPr>
                <w:bCs/>
                <w:u w:val="single"/>
              </w:rPr>
              <w:t>49</w:t>
            </w:r>
          </w:p>
        </w:tc>
        <w:tc>
          <w:tcPr>
            <w:tcW w:w="1504" w:type="dxa"/>
            <w:hideMark/>
          </w:tcPr>
          <w:p w14:paraId="72F63486" w14:textId="77777777" w:rsidR="009F7DD0" w:rsidRPr="005970E9" w:rsidRDefault="009F7DD0" w:rsidP="009F7DD0">
            <w:pPr>
              <w:spacing w:before="120" w:after="120" w:line="276" w:lineRule="auto"/>
              <w:contextualSpacing/>
              <w:jc w:val="center"/>
              <w:rPr>
                <w:bCs/>
                <w:u w:val="single"/>
              </w:rPr>
            </w:pPr>
            <w:r w:rsidRPr="005970E9">
              <w:rPr>
                <w:bCs/>
                <w:u w:val="single"/>
              </w:rPr>
              <w:t>49</w:t>
            </w:r>
          </w:p>
        </w:tc>
        <w:tc>
          <w:tcPr>
            <w:tcW w:w="1575" w:type="dxa"/>
            <w:hideMark/>
          </w:tcPr>
          <w:p w14:paraId="6A49DD3B" w14:textId="77777777" w:rsidR="009F7DD0" w:rsidRPr="005970E9" w:rsidRDefault="009F7DD0" w:rsidP="009F7DD0">
            <w:pPr>
              <w:spacing w:before="120" w:after="120" w:line="276" w:lineRule="auto"/>
              <w:contextualSpacing/>
              <w:jc w:val="center"/>
              <w:rPr>
                <w:bCs/>
                <w:u w:val="single"/>
              </w:rPr>
            </w:pPr>
            <w:r w:rsidRPr="005970E9">
              <w:rPr>
                <w:bCs/>
                <w:u w:val="single"/>
              </w:rPr>
              <w:t>1</w:t>
            </w:r>
          </w:p>
        </w:tc>
      </w:tr>
      <w:tr w:rsidR="009F7DD0" w:rsidRPr="005970E9" w14:paraId="4D6095A1" w14:textId="77777777" w:rsidTr="009F7DD0">
        <w:trPr>
          <w:trHeight w:val="209"/>
        </w:trPr>
        <w:tc>
          <w:tcPr>
            <w:tcW w:w="2830" w:type="dxa"/>
            <w:hideMark/>
          </w:tcPr>
          <w:p w14:paraId="0DCCEE69" w14:textId="77777777" w:rsidR="009F7DD0" w:rsidRPr="005970E9" w:rsidRDefault="009F7DD0" w:rsidP="009F7DD0">
            <w:pPr>
              <w:spacing w:before="120" w:after="120" w:line="276" w:lineRule="auto"/>
              <w:contextualSpacing/>
              <w:jc w:val="both"/>
            </w:pPr>
            <w:r w:rsidRPr="005970E9">
              <w:t>0-4 Años</w:t>
            </w:r>
          </w:p>
        </w:tc>
        <w:tc>
          <w:tcPr>
            <w:tcW w:w="993" w:type="dxa"/>
            <w:hideMark/>
          </w:tcPr>
          <w:p w14:paraId="09E2E0FA" w14:textId="77777777" w:rsidR="009F7DD0" w:rsidRPr="005970E9" w:rsidRDefault="009F7DD0" w:rsidP="009F7DD0">
            <w:pPr>
              <w:spacing w:before="120" w:after="120" w:line="276" w:lineRule="auto"/>
              <w:contextualSpacing/>
              <w:jc w:val="center"/>
              <w:rPr>
                <w:bCs/>
                <w:u w:val="single"/>
              </w:rPr>
            </w:pPr>
            <w:r w:rsidRPr="005970E9">
              <w:rPr>
                <w:bCs/>
                <w:u w:val="single"/>
              </w:rPr>
              <w:t>53</w:t>
            </w:r>
          </w:p>
        </w:tc>
        <w:tc>
          <w:tcPr>
            <w:tcW w:w="1890" w:type="dxa"/>
            <w:hideMark/>
          </w:tcPr>
          <w:p w14:paraId="5FDD9E73" w14:textId="77777777" w:rsidR="009F7DD0" w:rsidRPr="005970E9" w:rsidRDefault="009F7DD0" w:rsidP="009F7DD0">
            <w:pPr>
              <w:spacing w:before="120" w:after="120" w:line="276" w:lineRule="auto"/>
              <w:contextualSpacing/>
              <w:jc w:val="center"/>
            </w:pPr>
            <w:r w:rsidRPr="005970E9">
              <w:t>21</w:t>
            </w:r>
          </w:p>
        </w:tc>
        <w:tc>
          <w:tcPr>
            <w:tcW w:w="1504" w:type="dxa"/>
            <w:hideMark/>
          </w:tcPr>
          <w:p w14:paraId="5414947E" w14:textId="77777777" w:rsidR="009F7DD0" w:rsidRPr="005970E9" w:rsidRDefault="009F7DD0" w:rsidP="009F7DD0">
            <w:pPr>
              <w:spacing w:before="120" w:after="120" w:line="276" w:lineRule="auto"/>
              <w:contextualSpacing/>
              <w:jc w:val="center"/>
            </w:pPr>
            <w:r w:rsidRPr="005970E9">
              <w:t>32</w:t>
            </w:r>
          </w:p>
        </w:tc>
        <w:tc>
          <w:tcPr>
            <w:tcW w:w="1575" w:type="dxa"/>
            <w:hideMark/>
          </w:tcPr>
          <w:p w14:paraId="34918323" w14:textId="77777777" w:rsidR="009F7DD0" w:rsidRPr="005970E9" w:rsidRDefault="009F7DD0" w:rsidP="009F7DD0">
            <w:pPr>
              <w:spacing w:before="120" w:after="120" w:line="276" w:lineRule="auto"/>
              <w:contextualSpacing/>
              <w:jc w:val="center"/>
            </w:pPr>
            <w:r w:rsidRPr="005970E9">
              <w:t>0</w:t>
            </w:r>
          </w:p>
        </w:tc>
      </w:tr>
      <w:tr w:rsidR="009F7DD0" w:rsidRPr="005970E9" w14:paraId="4BA1D7AC" w14:textId="77777777" w:rsidTr="009F7DD0">
        <w:trPr>
          <w:trHeight w:val="209"/>
        </w:trPr>
        <w:tc>
          <w:tcPr>
            <w:tcW w:w="2830" w:type="dxa"/>
            <w:hideMark/>
          </w:tcPr>
          <w:p w14:paraId="0D591902" w14:textId="77777777" w:rsidR="009F7DD0" w:rsidRPr="005970E9" w:rsidRDefault="009F7DD0" w:rsidP="009F7DD0">
            <w:pPr>
              <w:spacing w:before="120" w:after="120" w:line="276" w:lineRule="auto"/>
              <w:contextualSpacing/>
              <w:jc w:val="both"/>
            </w:pPr>
            <w:r w:rsidRPr="005970E9">
              <w:t>5-9 Años</w:t>
            </w:r>
          </w:p>
        </w:tc>
        <w:tc>
          <w:tcPr>
            <w:tcW w:w="993" w:type="dxa"/>
            <w:hideMark/>
          </w:tcPr>
          <w:p w14:paraId="2E211B33" w14:textId="77777777" w:rsidR="009F7DD0" w:rsidRPr="005970E9" w:rsidRDefault="009F7DD0" w:rsidP="009F7DD0">
            <w:pPr>
              <w:spacing w:before="120" w:after="120" w:line="276" w:lineRule="auto"/>
              <w:contextualSpacing/>
              <w:jc w:val="center"/>
              <w:rPr>
                <w:bCs/>
                <w:u w:val="single"/>
              </w:rPr>
            </w:pPr>
            <w:r w:rsidRPr="005970E9">
              <w:rPr>
                <w:bCs/>
                <w:u w:val="single"/>
              </w:rPr>
              <w:t>16</w:t>
            </w:r>
          </w:p>
        </w:tc>
        <w:tc>
          <w:tcPr>
            <w:tcW w:w="1890" w:type="dxa"/>
            <w:hideMark/>
          </w:tcPr>
          <w:p w14:paraId="471D3337" w14:textId="77777777" w:rsidR="009F7DD0" w:rsidRPr="005970E9" w:rsidRDefault="009F7DD0" w:rsidP="009F7DD0">
            <w:pPr>
              <w:spacing w:before="120" w:after="120" w:line="276" w:lineRule="auto"/>
              <w:contextualSpacing/>
              <w:jc w:val="center"/>
            </w:pPr>
            <w:r w:rsidRPr="005970E9">
              <w:t>9</w:t>
            </w:r>
          </w:p>
        </w:tc>
        <w:tc>
          <w:tcPr>
            <w:tcW w:w="1504" w:type="dxa"/>
            <w:hideMark/>
          </w:tcPr>
          <w:p w14:paraId="4642ADF4" w14:textId="77777777" w:rsidR="009F7DD0" w:rsidRPr="005970E9" w:rsidRDefault="009F7DD0" w:rsidP="009F7DD0">
            <w:pPr>
              <w:spacing w:before="120" w:after="120" w:line="276" w:lineRule="auto"/>
              <w:contextualSpacing/>
              <w:jc w:val="center"/>
            </w:pPr>
            <w:r w:rsidRPr="005970E9">
              <w:t>6</w:t>
            </w:r>
          </w:p>
        </w:tc>
        <w:tc>
          <w:tcPr>
            <w:tcW w:w="1575" w:type="dxa"/>
            <w:hideMark/>
          </w:tcPr>
          <w:p w14:paraId="071855D7" w14:textId="77777777" w:rsidR="009F7DD0" w:rsidRPr="005970E9" w:rsidRDefault="009F7DD0" w:rsidP="009F7DD0">
            <w:pPr>
              <w:spacing w:before="120" w:after="120" w:line="276" w:lineRule="auto"/>
              <w:contextualSpacing/>
              <w:jc w:val="center"/>
            </w:pPr>
            <w:r w:rsidRPr="005970E9">
              <w:t>1</w:t>
            </w:r>
          </w:p>
        </w:tc>
      </w:tr>
      <w:tr w:rsidR="009F7DD0" w:rsidRPr="005970E9" w14:paraId="324129A8" w14:textId="77777777" w:rsidTr="009F7DD0">
        <w:trPr>
          <w:trHeight w:val="209"/>
        </w:trPr>
        <w:tc>
          <w:tcPr>
            <w:tcW w:w="2830" w:type="dxa"/>
            <w:hideMark/>
          </w:tcPr>
          <w:p w14:paraId="1ADBAEAA" w14:textId="77777777" w:rsidR="009F7DD0" w:rsidRPr="005970E9" w:rsidRDefault="009F7DD0" w:rsidP="009F7DD0">
            <w:pPr>
              <w:spacing w:before="120" w:after="120" w:line="276" w:lineRule="auto"/>
              <w:contextualSpacing/>
              <w:jc w:val="both"/>
            </w:pPr>
            <w:r w:rsidRPr="005970E9">
              <w:t>10-14 Años</w:t>
            </w:r>
          </w:p>
        </w:tc>
        <w:tc>
          <w:tcPr>
            <w:tcW w:w="993" w:type="dxa"/>
            <w:hideMark/>
          </w:tcPr>
          <w:p w14:paraId="78C866AD" w14:textId="77777777" w:rsidR="009F7DD0" w:rsidRPr="005970E9" w:rsidRDefault="009F7DD0" w:rsidP="009F7DD0">
            <w:pPr>
              <w:spacing w:before="120" w:after="120" w:line="276" w:lineRule="auto"/>
              <w:contextualSpacing/>
              <w:jc w:val="center"/>
              <w:rPr>
                <w:bCs/>
                <w:u w:val="single"/>
              </w:rPr>
            </w:pPr>
            <w:r w:rsidRPr="005970E9">
              <w:rPr>
                <w:bCs/>
                <w:u w:val="single"/>
              </w:rPr>
              <w:t>21</w:t>
            </w:r>
          </w:p>
        </w:tc>
        <w:tc>
          <w:tcPr>
            <w:tcW w:w="1890" w:type="dxa"/>
            <w:hideMark/>
          </w:tcPr>
          <w:p w14:paraId="3B180085" w14:textId="77777777" w:rsidR="009F7DD0" w:rsidRPr="005970E9" w:rsidRDefault="009F7DD0" w:rsidP="009F7DD0">
            <w:pPr>
              <w:spacing w:before="120" w:after="120" w:line="276" w:lineRule="auto"/>
              <w:contextualSpacing/>
              <w:jc w:val="center"/>
            </w:pPr>
            <w:r w:rsidRPr="005970E9">
              <w:t>12</w:t>
            </w:r>
          </w:p>
        </w:tc>
        <w:tc>
          <w:tcPr>
            <w:tcW w:w="1504" w:type="dxa"/>
            <w:hideMark/>
          </w:tcPr>
          <w:p w14:paraId="22D8C9F5" w14:textId="77777777" w:rsidR="009F7DD0" w:rsidRPr="005970E9" w:rsidRDefault="009F7DD0" w:rsidP="009F7DD0">
            <w:pPr>
              <w:spacing w:before="120" w:after="120" w:line="276" w:lineRule="auto"/>
              <w:contextualSpacing/>
              <w:jc w:val="center"/>
            </w:pPr>
            <w:r w:rsidRPr="005970E9">
              <w:t>9</w:t>
            </w:r>
          </w:p>
        </w:tc>
        <w:tc>
          <w:tcPr>
            <w:tcW w:w="1575" w:type="dxa"/>
            <w:hideMark/>
          </w:tcPr>
          <w:p w14:paraId="71C87519" w14:textId="77777777" w:rsidR="009F7DD0" w:rsidRPr="005970E9" w:rsidRDefault="009F7DD0" w:rsidP="009F7DD0">
            <w:pPr>
              <w:spacing w:before="120" w:after="120" w:line="276" w:lineRule="auto"/>
              <w:contextualSpacing/>
              <w:jc w:val="center"/>
            </w:pPr>
            <w:r w:rsidRPr="005970E9">
              <w:t>0</w:t>
            </w:r>
          </w:p>
        </w:tc>
      </w:tr>
      <w:tr w:rsidR="009F7DD0" w:rsidRPr="005970E9" w14:paraId="404633A3" w14:textId="77777777" w:rsidTr="009F7DD0">
        <w:trPr>
          <w:trHeight w:val="209"/>
        </w:trPr>
        <w:tc>
          <w:tcPr>
            <w:tcW w:w="2830" w:type="dxa"/>
            <w:hideMark/>
          </w:tcPr>
          <w:p w14:paraId="08E7E954" w14:textId="77777777" w:rsidR="009F7DD0" w:rsidRPr="005970E9" w:rsidRDefault="009F7DD0" w:rsidP="009F7DD0">
            <w:pPr>
              <w:spacing w:before="120" w:after="120" w:line="276" w:lineRule="auto"/>
              <w:contextualSpacing/>
              <w:jc w:val="both"/>
            </w:pPr>
            <w:r w:rsidRPr="005970E9">
              <w:t xml:space="preserve">15-17 Años </w:t>
            </w:r>
          </w:p>
        </w:tc>
        <w:tc>
          <w:tcPr>
            <w:tcW w:w="993" w:type="dxa"/>
            <w:hideMark/>
          </w:tcPr>
          <w:p w14:paraId="43EEE015" w14:textId="77777777" w:rsidR="009F7DD0" w:rsidRPr="005970E9" w:rsidRDefault="009F7DD0" w:rsidP="009F7DD0">
            <w:pPr>
              <w:spacing w:before="120" w:after="120" w:line="276" w:lineRule="auto"/>
              <w:contextualSpacing/>
              <w:jc w:val="center"/>
              <w:rPr>
                <w:bCs/>
                <w:u w:val="single"/>
              </w:rPr>
            </w:pPr>
            <w:r w:rsidRPr="005970E9">
              <w:rPr>
                <w:bCs/>
                <w:u w:val="single"/>
              </w:rPr>
              <w:t>9</w:t>
            </w:r>
          </w:p>
        </w:tc>
        <w:tc>
          <w:tcPr>
            <w:tcW w:w="1890" w:type="dxa"/>
            <w:hideMark/>
          </w:tcPr>
          <w:p w14:paraId="3E1751AE" w14:textId="77777777" w:rsidR="009F7DD0" w:rsidRPr="005970E9" w:rsidRDefault="009F7DD0" w:rsidP="009F7DD0">
            <w:pPr>
              <w:spacing w:before="120" w:after="120" w:line="276" w:lineRule="auto"/>
              <w:contextualSpacing/>
              <w:jc w:val="center"/>
            </w:pPr>
            <w:r w:rsidRPr="005970E9">
              <w:t>7</w:t>
            </w:r>
          </w:p>
        </w:tc>
        <w:tc>
          <w:tcPr>
            <w:tcW w:w="1504" w:type="dxa"/>
            <w:hideMark/>
          </w:tcPr>
          <w:p w14:paraId="1FA56810" w14:textId="77777777" w:rsidR="009F7DD0" w:rsidRPr="005970E9" w:rsidRDefault="009F7DD0" w:rsidP="009F7DD0">
            <w:pPr>
              <w:spacing w:before="120" w:after="120" w:line="276" w:lineRule="auto"/>
              <w:contextualSpacing/>
              <w:jc w:val="center"/>
            </w:pPr>
            <w:r w:rsidRPr="005970E9">
              <w:t>2</w:t>
            </w:r>
          </w:p>
        </w:tc>
        <w:tc>
          <w:tcPr>
            <w:tcW w:w="1575" w:type="dxa"/>
            <w:hideMark/>
          </w:tcPr>
          <w:p w14:paraId="2795FE36" w14:textId="77777777" w:rsidR="009F7DD0" w:rsidRPr="005970E9" w:rsidRDefault="009F7DD0" w:rsidP="009F7DD0">
            <w:pPr>
              <w:spacing w:before="120" w:after="120" w:line="276" w:lineRule="auto"/>
              <w:contextualSpacing/>
              <w:jc w:val="center"/>
            </w:pPr>
            <w:r w:rsidRPr="005970E9">
              <w:t>0</w:t>
            </w:r>
          </w:p>
        </w:tc>
      </w:tr>
      <w:tr w:rsidR="009F7DD0" w:rsidRPr="005970E9" w14:paraId="7C1ABE8A" w14:textId="77777777" w:rsidTr="009F7DD0">
        <w:trPr>
          <w:trHeight w:val="553"/>
        </w:trPr>
        <w:tc>
          <w:tcPr>
            <w:tcW w:w="8792" w:type="dxa"/>
            <w:gridSpan w:val="5"/>
            <w:hideMark/>
          </w:tcPr>
          <w:p w14:paraId="6037BBC5" w14:textId="77777777" w:rsidR="009F7DD0" w:rsidRPr="005970E9" w:rsidRDefault="009F7DD0" w:rsidP="009F7DD0">
            <w:pPr>
              <w:spacing w:before="120" w:after="120" w:line="276" w:lineRule="auto"/>
              <w:contextualSpacing/>
            </w:pPr>
            <w:r w:rsidRPr="005970E9">
              <w:lastRenderedPageBreak/>
              <w:t xml:space="preserve">(p) Se refiere a datos preliminares. Los datos mostrados en este informe pueden variar con el tiempo y proceso investigativo utilizados por los fiscales de la institución. </w:t>
            </w:r>
          </w:p>
          <w:p w14:paraId="552B6050" w14:textId="77777777" w:rsidR="009F7DD0" w:rsidRPr="005970E9" w:rsidRDefault="009F7DD0" w:rsidP="009F7DD0">
            <w:pPr>
              <w:spacing w:before="120" w:after="120" w:line="276" w:lineRule="auto"/>
              <w:contextualSpacing/>
            </w:pPr>
            <w:r w:rsidRPr="005970E9">
              <w:t>(1) Los registros sin datos corresponden a casos que se encuentran en investigación.</w:t>
            </w:r>
          </w:p>
        </w:tc>
      </w:tr>
      <w:tr w:rsidR="009F7DD0" w:rsidRPr="005970E9" w14:paraId="693DE417" w14:textId="77777777" w:rsidTr="009F7DD0">
        <w:trPr>
          <w:trHeight w:val="201"/>
        </w:trPr>
        <w:tc>
          <w:tcPr>
            <w:tcW w:w="8792" w:type="dxa"/>
            <w:gridSpan w:val="5"/>
            <w:hideMark/>
          </w:tcPr>
          <w:p w14:paraId="290CC066" w14:textId="77777777" w:rsidR="009F7DD0" w:rsidRPr="005970E9" w:rsidRDefault="009F7DD0" w:rsidP="009F7DD0">
            <w:pPr>
              <w:spacing w:before="120" w:after="120" w:line="276" w:lineRule="auto"/>
              <w:contextualSpacing/>
            </w:pPr>
            <w:r w:rsidRPr="005970E9">
              <w:t xml:space="preserve">Fuente: Centro de Estadística, Ministerio Público/ plataforma del SPA y sistema inquisitivo/ adolescentes </w:t>
            </w:r>
          </w:p>
        </w:tc>
      </w:tr>
    </w:tbl>
    <w:p w14:paraId="06643ACC" w14:textId="77777777" w:rsidR="009F7DD0" w:rsidRPr="005970E9" w:rsidRDefault="009F7DD0" w:rsidP="009F7DD0">
      <w:pPr>
        <w:spacing w:before="120" w:after="120" w:line="276" w:lineRule="auto"/>
        <w:contextualSpacing/>
        <w:jc w:val="both"/>
        <w:rPr>
          <w:b/>
        </w:rPr>
      </w:pPr>
    </w:p>
    <w:p w14:paraId="4E3061ED" w14:textId="77777777" w:rsidR="009F7DD0" w:rsidRPr="005970E9" w:rsidRDefault="009F7DD0" w:rsidP="009F7DD0">
      <w:pPr>
        <w:pStyle w:val="Heading3"/>
        <w:numPr>
          <w:ilvl w:val="2"/>
          <w:numId w:val="18"/>
        </w:numPr>
      </w:pPr>
      <w:bookmarkStart w:id="243" w:name="_Toc42159236"/>
      <w:bookmarkStart w:id="244" w:name="_Toc42293370"/>
      <w:bookmarkStart w:id="245" w:name="_Toc42549467"/>
      <w:r w:rsidRPr="005970E9">
        <w:t>Delitos Sexuales</w:t>
      </w:r>
      <w:bookmarkEnd w:id="243"/>
      <w:bookmarkEnd w:id="244"/>
      <w:bookmarkEnd w:id="245"/>
      <w:r w:rsidRPr="005970E9">
        <w:t xml:space="preserve"> </w:t>
      </w:r>
    </w:p>
    <w:p w14:paraId="31299551" w14:textId="77777777" w:rsidR="009F7DD0" w:rsidRPr="005970E9" w:rsidRDefault="009F7DD0" w:rsidP="009F7DD0">
      <w:pPr>
        <w:spacing w:before="120" w:after="120" w:line="276" w:lineRule="auto"/>
        <w:jc w:val="both"/>
      </w:pPr>
      <w:r w:rsidRPr="005970E9">
        <w:t>Durante el año 2015 al 2019, se registraron 29,164 casos de delitos sexuales, siendo los principales, las violaciones con 12,382 (42%); el acceso sexual con personas mayores de 14 años y menores de 18 años, con 8,675 (30%); los actos libidinosos, con 3,663 (13%), de los casos; y la pornografía infantil, con 2,467 (8%), según datos del Ministerio Público.</w:t>
      </w:r>
    </w:p>
    <w:p w14:paraId="23522490" w14:textId="77777777" w:rsidR="009F7DD0" w:rsidRPr="005970E9" w:rsidRDefault="009F7DD0" w:rsidP="009F7DD0">
      <w:pPr>
        <w:spacing w:before="120" w:after="120" w:line="276" w:lineRule="auto"/>
        <w:jc w:val="both"/>
        <w:rPr>
          <w:noProof/>
        </w:rPr>
      </w:pPr>
      <w:r w:rsidRPr="005970E9">
        <w:rPr>
          <w:noProof/>
        </w:rPr>
        <w:t>En un estudio de UNICEF sobre “</w:t>
      </w:r>
      <w:r w:rsidRPr="005970E9">
        <w:t>Situación de los Derechos de la Niñez y la Adolescencia</w:t>
      </w:r>
      <w:r w:rsidRPr="005970E9">
        <w:rPr>
          <w:noProof/>
        </w:rPr>
        <w:t xml:space="preserve">” (2019. Pág. 79) se plantea que en el 2018, de los 6,256 casos registrados de delitos sexuales, 4,015 (64.17%) eran niños, niñas y adolescentes de 0 a 17 años. En el año 2019 se denunciaron 6,683 siendo la violación con 2,660 (39.80%) casos el delito más denunciado, con un promedio de 7.3 casos diarios en el 2019, seguido del acceso sexual con menores de edad 2,461 (36.82%) casos, este delito tiene una vinculación a su vez con la alta tasa de embarazos en adolescentes que mantiene el país. </w:t>
      </w:r>
    </w:p>
    <w:p w14:paraId="21515D84" w14:textId="77777777" w:rsidR="009F7DD0" w:rsidRPr="005970E9" w:rsidRDefault="009F7DD0" w:rsidP="009F7DD0">
      <w:pPr>
        <w:spacing w:before="120" w:after="120" w:line="276" w:lineRule="auto"/>
        <w:jc w:val="both"/>
        <w:rPr>
          <w:rFonts w:cstheme="minorBidi"/>
          <w:lang w:eastAsia="en-US"/>
        </w:rPr>
      </w:pPr>
      <w:r w:rsidRPr="005970E9">
        <w:rPr>
          <w:noProof/>
        </w:rPr>
        <w:t>En el mismo estudio se plantea que “Distintas formas de violencia perjudican y amenazan a la niñez en todo su ciclo de vida: el 64% de las víctimas de violencia sexual son personas menores de 18 años, el 91% de estas son de sexo femenino. Las tasas de violencia sexual contra niñas por cada 10 mil habitantes son más altas en Bocas del Toro, Darién y Los Santos, pero el subregistro es un fenómeno igualmente preocupante”. (UNICEF. 2019. Pág. 79)</w:t>
      </w:r>
      <w:r w:rsidRPr="005970E9">
        <w:rPr>
          <w:noProof/>
        </w:rPr>
        <w:fldChar w:fldCharType="begin"/>
      </w:r>
      <w:r w:rsidRPr="005970E9">
        <w:rPr>
          <w:noProof/>
        </w:rPr>
        <w:instrText xml:space="preserve"> LINK Excel.Sheet.8 "C:\\Users\\Chevy\\Desktop\\Perfil de género país\\Violencia\\Estadisticas\\Gráficas comparativas 2019 (1).xls" "Delitos sexuales!F1C1:F7C14" \a \f 4 \h  \* MERGEFORMAT </w:instrText>
      </w:r>
      <w:r w:rsidRPr="005970E9">
        <w:rPr>
          <w:noProof/>
        </w:rPr>
        <w:fldChar w:fldCharType="separate"/>
      </w:r>
    </w:p>
    <w:p w14:paraId="497D4314" w14:textId="10CA4AB1" w:rsidR="009F7DD0" w:rsidRPr="005970E9" w:rsidRDefault="009F7DD0" w:rsidP="009F7DD0">
      <w:pPr>
        <w:spacing w:before="120" w:after="120" w:line="276" w:lineRule="auto"/>
        <w:contextualSpacing/>
        <w:jc w:val="both"/>
        <w:rPr>
          <w:noProof/>
        </w:rPr>
      </w:pPr>
      <w:r w:rsidRPr="005970E9">
        <w:rPr>
          <w:noProof/>
        </w:rPr>
        <w:fldChar w:fldCharType="end"/>
      </w:r>
      <w:r w:rsidRPr="005970E9">
        <w:rPr>
          <w:noProof/>
        </w:rPr>
        <w:t xml:space="preserve">En el 2019 hubo un total de 6,883 delitos sexuales denunciados </w:t>
      </w:r>
      <w:r w:rsidR="005970E9">
        <w:rPr>
          <w:noProof/>
        </w:rPr>
        <w:t>(Tabla 2</w:t>
      </w:r>
      <w:r w:rsidR="0026720A">
        <w:rPr>
          <w:noProof/>
        </w:rPr>
        <w:t>1</w:t>
      </w:r>
      <w:r w:rsidR="005970E9">
        <w:rPr>
          <w:noProof/>
        </w:rPr>
        <w:t xml:space="preserve">), </w:t>
      </w:r>
      <w:r w:rsidRPr="005970E9">
        <w:rPr>
          <w:noProof/>
        </w:rPr>
        <w:t>de los cuales 5,481 (79.64%) fueron delitos cometidos contra niños, niñas y adolescentes. El delito más cometido contre esta población fue el tipificado en el código penal</w:t>
      </w:r>
      <w:r w:rsidRPr="005970E9">
        <w:rPr>
          <w:rStyle w:val="FootnoteReference"/>
          <w:noProof/>
        </w:rPr>
        <w:footnoteReference w:id="52"/>
      </w:r>
      <w:r w:rsidRPr="005970E9">
        <w:rPr>
          <w:noProof/>
        </w:rPr>
        <w:t xml:space="preserve">  como Acceso Sexual con un 44%, seguido del delito de violación con un 30%. </w:t>
      </w:r>
    </w:p>
    <w:p w14:paraId="658343F5" w14:textId="77777777" w:rsidR="009F7DD0" w:rsidRPr="005970E9" w:rsidRDefault="009F7DD0" w:rsidP="009F7DD0">
      <w:pPr>
        <w:spacing w:before="120" w:after="120" w:line="276" w:lineRule="auto"/>
        <w:contextualSpacing/>
        <w:jc w:val="both"/>
        <w:rPr>
          <w:b/>
          <w:noProof/>
        </w:rPr>
      </w:pPr>
    </w:p>
    <w:p w14:paraId="0C199E1D" w14:textId="74372AD9" w:rsidR="009F7DD0" w:rsidRPr="005970E9" w:rsidRDefault="009F7DD0" w:rsidP="009F7DD0">
      <w:pPr>
        <w:pStyle w:val="Caption"/>
        <w:rPr>
          <w:rFonts w:ascii="Century Schoolbook" w:hAnsi="Century Schoolbook"/>
        </w:rPr>
      </w:pPr>
      <w:bookmarkStart w:id="246" w:name="_Toc42293592"/>
      <w:bookmarkStart w:id="247" w:name="_Toc42549215"/>
      <w:r w:rsidRPr="005970E9">
        <w:rPr>
          <w:rFonts w:ascii="Century Schoolbook" w:hAnsi="Century Schoolbook"/>
        </w:rPr>
        <w:t xml:space="preserve">Tabla </w:t>
      </w:r>
      <w:r w:rsidRPr="005970E9">
        <w:rPr>
          <w:rFonts w:ascii="Century Schoolbook" w:hAnsi="Century Schoolbook"/>
        </w:rPr>
        <w:fldChar w:fldCharType="begin"/>
      </w:r>
      <w:r w:rsidRPr="005970E9">
        <w:rPr>
          <w:rFonts w:ascii="Century Schoolbook" w:hAnsi="Century Schoolbook"/>
        </w:rPr>
        <w:instrText>SEQ Tabla \* ARABIC</w:instrText>
      </w:r>
      <w:r w:rsidRPr="005970E9">
        <w:rPr>
          <w:rFonts w:ascii="Century Schoolbook" w:hAnsi="Century Schoolbook"/>
        </w:rPr>
        <w:fldChar w:fldCharType="separate"/>
      </w:r>
      <w:r w:rsidR="005970E9">
        <w:rPr>
          <w:rFonts w:ascii="Century Schoolbook" w:hAnsi="Century Schoolbook"/>
          <w:noProof/>
        </w:rPr>
        <w:t>21</w:t>
      </w:r>
      <w:r w:rsidRPr="005970E9">
        <w:rPr>
          <w:rFonts w:ascii="Century Schoolbook" w:hAnsi="Century Schoolbook"/>
        </w:rPr>
        <w:fldChar w:fldCharType="end"/>
      </w:r>
      <w:r w:rsidRPr="005970E9">
        <w:rPr>
          <w:rFonts w:ascii="Century Schoolbook" w:hAnsi="Century Schoolbook"/>
        </w:rPr>
        <w:t xml:space="preserve">. </w:t>
      </w:r>
      <w:r w:rsidRPr="005970E9">
        <w:rPr>
          <w:rFonts w:ascii="Century Schoolbook" w:hAnsi="Century Schoolbook"/>
          <w:bCs/>
          <w:i w:val="0"/>
          <w:iCs w:val="0"/>
          <w:noProof/>
        </w:rPr>
        <w:t>Número de denuncias en niños, niñas y adolescentes, registradas a nivel nacional; según delito contra la libertad e integridad sexual (P) del 1 de enero  al 31 de diciembre  de 2019</w:t>
      </w:r>
      <w:bookmarkEnd w:id="246"/>
      <w:bookmarkEnd w:id="247"/>
    </w:p>
    <w:tbl>
      <w:tblPr>
        <w:tblStyle w:val="TableGrid"/>
        <w:tblW w:w="8926" w:type="dxa"/>
        <w:tblLook w:val="04A0" w:firstRow="1" w:lastRow="0" w:firstColumn="1" w:lastColumn="0" w:noHBand="0" w:noVBand="1"/>
      </w:tblPr>
      <w:tblGrid>
        <w:gridCol w:w="6377"/>
        <w:gridCol w:w="994"/>
        <w:gridCol w:w="1555"/>
      </w:tblGrid>
      <w:tr w:rsidR="009F7DD0" w:rsidRPr="005970E9" w14:paraId="087EE38B" w14:textId="77777777" w:rsidTr="009F7DD0">
        <w:trPr>
          <w:trHeight w:val="360"/>
        </w:trPr>
        <w:tc>
          <w:tcPr>
            <w:tcW w:w="6377" w:type="dxa"/>
            <w:shd w:val="clear" w:color="auto" w:fill="CCC0D9" w:themeFill="accent4" w:themeFillTint="66"/>
            <w:noWrap/>
            <w:hideMark/>
          </w:tcPr>
          <w:p w14:paraId="4DD3742F" w14:textId="77777777" w:rsidR="009F7DD0" w:rsidRPr="005970E9" w:rsidRDefault="009F7DD0" w:rsidP="009F7DD0">
            <w:pPr>
              <w:spacing w:before="120" w:after="120" w:line="276" w:lineRule="auto"/>
              <w:contextualSpacing/>
              <w:jc w:val="both"/>
              <w:rPr>
                <w:b/>
                <w:bCs/>
                <w:noProof/>
              </w:rPr>
            </w:pPr>
            <w:r w:rsidRPr="005970E9">
              <w:rPr>
                <w:b/>
                <w:bCs/>
                <w:noProof/>
              </w:rPr>
              <w:t>Delitos</w:t>
            </w:r>
          </w:p>
        </w:tc>
        <w:tc>
          <w:tcPr>
            <w:tcW w:w="994" w:type="dxa"/>
            <w:shd w:val="clear" w:color="auto" w:fill="CCC0D9" w:themeFill="accent4" w:themeFillTint="66"/>
            <w:noWrap/>
            <w:hideMark/>
          </w:tcPr>
          <w:p w14:paraId="441D0B03" w14:textId="77777777" w:rsidR="009F7DD0" w:rsidRPr="005970E9" w:rsidRDefault="009F7DD0" w:rsidP="009F7DD0">
            <w:pPr>
              <w:spacing w:before="120" w:after="120" w:line="276" w:lineRule="auto"/>
              <w:contextualSpacing/>
              <w:jc w:val="both"/>
              <w:rPr>
                <w:b/>
                <w:bCs/>
                <w:noProof/>
              </w:rPr>
            </w:pPr>
            <w:r w:rsidRPr="005970E9">
              <w:rPr>
                <w:b/>
                <w:bCs/>
                <w:noProof/>
              </w:rPr>
              <w:t>Total</w:t>
            </w:r>
          </w:p>
        </w:tc>
        <w:tc>
          <w:tcPr>
            <w:tcW w:w="1555" w:type="dxa"/>
            <w:shd w:val="clear" w:color="auto" w:fill="CCC0D9" w:themeFill="accent4" w:themeFillTint="66"/>
            <w:noWrap/>
            <w:hideMark/>
          </w:tcPr>
          <w:p w14:paraId="293C470F" w14:textId="77777777" w:rsidR="009F7DD0" w:rsidRPr="005970E9" w:rsidRDefault="009F7DD0" w:rsidP="009F7DD0">
            <w:pPr>
              <w:spacing w:before="120" w:after="120" w:line="276" w:lineRule="auto"/>
              <w:contextualSpacing/>
              <w:jc w:val="both"/>
              <w:rPr>
                <w:b/>
                <w:bCs/>
                <w:noProof/>
              </w:rPr>
            </w:pPr>
            <w:r w:rsidRPr="005970E9">
              <w:rPr>
                <w:b/>
                <w:bCs/>
                <w:noProof/>
              </w:rPr>
              <w:t>Porcentaje</w:t>
            </w:r>
          </w:p>
        </w:tc>
      </w:tr>
      <w:tr w:rsidR="009F7DD0" w:rsidRPr="005970E9" w14:paraId="79BE0B6B" w14:textId="77777777" w:rsidTr="009F7DD0">
        <w:trPr>
          <w:trHeight w:val="300"/>
        </w:trPr>
        <w:tc>
          <w:tcPr>
            <w:tcW w:w="6377" w:type="dxa"/>
            <w:noWrap/>
            <w:hideMark/>
          </w:tcPr>
          <w:p w14:paraId="06EBFDDA" w14:textId="77777777" w:rsidR="009F7DD0" w:rsidRPr="005970E9" w:rsidRDefault="009F7DD0" w:rsidP="009F7DD0">
            <w:pPr>
              <w:spacing w:before="120" w:after="120" w:line="276" w:lineRule="auto"/>
              <w:contextualSpacing/>
              <w:jc w:val="both"/>
              <w:rPr>
                <w:b/>
                <w:bCs/>
                <w:noProof/>
              </w:rPr>
            </w:pPr>
            <w:r w:rsidRPr="005970E9">
              <w:rPr>
                <w:b/>
                <w:bCs/>
                <w:noProof/>
              </w:rPr>
              <w:t xml:space="preserve">Título III - Delitos Contra La Libertad e Integridad Sexual </w:t>
            </w:r>
          </w:p>
        </w:tc>
        <w:tc>
          <w:tcPr>
            <w:tcW w:w="994" w:type="dxa"/>
            <w:noWrap/>
            <w:hideMark/>
          </w:tcPr>
          <w:p w14:paraId="26764A12" w14:textId="77777777" w:rsidR="009F7DD0" w:rsidRPr="005970E9" w:rsidRDefault="009F7DD0" w:rsidP="009F7DD0">
            <w:pPr>
              <w:spacing w:before="120" w:after="120" w:line="276" w:lineRule="auto"/>
              <w:contextualSpacing/>
              <w:jc w:val="right"/>
              <w:rPr>
                <w:b/>
                <w:bCs/>
                <w:noProof/>
                <w:u w:val="single"/>
              </w:rPr>
            </w:pPr>
            <w:r w:rsidRPr="005970E9">
              <w:rPr>
                <w:b/>
                <w:bCs/>
                <w:noProof/>
                <w:u w:val="single"/>
              </w:rPr>
              <w:t>5481</w:t>
            </w:r>
          </w:p>
        </w:tc>
        <w:tc>
          <w:tcPr>
            <w:tcW w:w="1555" w:type="dxa"/>
            <w:noWrap/>
            <w:hideMark/>
          </w:tcPr>
          <w:p w14:paraId="23045F05" w14:textId="77777777" w:rsidR="009F7DD0" w:rsidRPr="005970E9" w:rsidRDefault="009F7DD0" w:rsidP="009F7DD0">
            <w:pPr>
              <w:spacing w:before="120" w:after="120" w:line="276" w:lineRule="auto"/>
              <w:contextualSpacing/>
              <w:jc w:val="right"/>
              <w:rPr>
                <w:b/>
                <w:bCs/>
                <w:noProof/>
                <w:u w:val="single"/>
              </w:rPr>
            </w:pPr>
            <w:r w:rsidRPr="005970E9">
              <w:rPr>
                <w:b/>
                <w:bCs/>
                <w:noProof/>
                <w:u w:val="single"/>
              </w:rPr>
              <w:t>100%</w:t>
            </w:r>
          </w:p>
        </w:tc>
      </w:tr>
      <w:tr w:rsidR="009F7DD0" w:rsidRPr="005970E9" w14:paraId="368FCCFC" w14:textId="77777777" w:rsidTr="009F7DD0">
        <w:trPr>
          <w:trHeight w:val="300"/>
        </w:trPr>
        <w:tc>
          <w:tcPr>
            <w:tcW w:w="6377" w:type="dxa"/>
            <w:noWrap/>
            <w:hideMark/>
          </w:tcPr>
          <w:p w14:paraId="0AC90874" w14:textId="77777777" w:rsidR="009F7DD0" w:rsidRPr="005970E9" w:rsidRDefault="009F7DD0" w:rsidP="009F7DD0">
            <w:pPr>
              <w:spacing w:before="120" w:after="120" w:line="276" w:lineRule="auto"/>
              <w:contextualSpacing/>
              <w:jc w:val="both"/>
              <w:rPr>
                <w:b/>
                <w:bCs/>
                <w:noProof/>
              </w:rPr>
            </w:pPr>
            <w:r w:rsidRPr="005970E9">
              <w:rPr>
                <w:b/>
                <w:bCs/>
                <w:noProof/>
              </w:rPr>
              <w:t xml:space="preserve">     Capitulo I - Violación y Otros Delitos Sexuales </w:t>
            </w:r>
          </w:p>
        </w:tc>
        <w:tc>
          <w:tcPr>
            <w:tcW w:w="994" w:type="dxa"/>
            <w:noWrap/>
            <w:hideMark/>
          </w:tcPr>
          <w:p w14:paraId="5D55F1ED" w14:textId="77777777" w:rsidR="009F7DD0" w:rsidRPr="005970E9" w:rsidRDefault="009F7DD0" w:rsidP="009F7DD0">
            <w:pPr>
              <w:spacing w:before="120" w:after="120" w:line="276" w:lineRule="auto"/>
              <w:contextualSpacing/>
              <w:jc w:val="right"/>
              <w:rPr>
                <w:b/>
                <w:bCs/>
                <w:noProof/>
                <w:u w:val="single"/>
              </w:rPr>
            </w:pPr>
            <w:r w:rsidRPr="005970E9">
              <w:rPr>
                <w:b/>
                <w:bCs/>
                <w:noProof/>
                <w:u w:val="single"/>
              </w:rPr>
              <w:t>5199</w:t>
            </w:r>
          </w:p>
        </w:tc>
        <w:tc>
          <w:tcPr>
            <w:tcW w:w="1555" w:type="dxa"/>
            <w:noWrap/>
            <w:hideMark/>
          </w:tcPr>
          <w:p w14:paraId="452EFC3F" w14:textId="77777777" w:rsidR="009F7DD0" w:rsidRPr="005970E9" w:rsidRDefault="009F7DD0" w:rsidP="009F7DD0">
            <w:pPr>
              <w:spacing w:before="120" w:after="120" w:line="276" w:lineRule="auto"/>
              <w:contextualSpacing/>
              <w:jc w:val="right"/>
              <w:rPr>
                <w:b/>
                <w:bCs/>
                <w:noProof/>
                <w:u w:val="single"/>
              </w:rPr>
            </w:pPr>
            <w:r w:rsidRPr="005970E9">
              <w:rPr>
                <w:b/>
                <w:bCs/>
                <w:noProof/>
                <w:u w:val="single"/>
              </w:rPr>
              <w:t>94.9%</w:t>
            </w:r>
          </w:p>
        </w:tc>
      </w:tr>
      <w:tr w:rsidR="009F7DD0" w:rsidRPr="005970E9" w14:paraId="51BA1494" w14:textId="77777777" w:rsidTr="009F7DD0">
        <w:trPr>
          <w:trHeight w:val="300"/>
        </w:trPr>
        <w:tc>
          <w:tcPr>
            <w:tcW w:w="6377" w:type="dxa"/>
            <w:hideMark/>
          </w:tcPr>
          <w:p w14:paraId="45B7C00E" w14:textId="77777777" w:rsidR="009F7DD0" w:rsidRPr="005970E9" w:rsidRDefault="009F7DD0" w:rsidP="009F7DD0">
            <w:pPr>
              <w:spacing w:before="120" w:after="120" w:line="276" w:lineRule="auto"/>
              <w:contextualSpacing/>
              <w:jc w:val="both"/>
              <w:rPr>
                <w:noProof/>
              </w:rPr>
            </w:pPr>
            <w:r w:rsidRPr="005970E9">
              <w:rPr>
                <w:noProof/>
              </w:rPr>
              <w:lastRenderedPageBreak/>
              <w:t>Art. 174-Violación</w:t>
            </w:r>
          </w:p>
        </w:tc>
        <w:tc>
          <w:tcPr>
            <w:tcW w:w="994" w:type="dxa"/>
            <w:noWrap/>
            <w:hideMark/>
          </w:tcPr>
          <w:p w14:paraId="354FB121" w14:textId="77777777" w:rsidR="009F7DD0" w:rsidRPr="005970E9" w:rsidRDefault="009F7DD0" w:rsidP="009F7DD0">
            <w:pPr>
              <w:spacing w:before="120" w:after="120" w:line="276" w:lineRule="auto"/>
              <w:contextualSpacing/>
              <w:jc w:val="right"/>
              <w:rPr>
                <w:noProof/>
              </w:rPr>
            </w:pPr>
            <w:r w:rsidRPr="005970E9">
              <w:rPr>
                <w:noProof/>
              </w:rPr>
              <w:t>1647</w:t>
            </w:r>
          </w:p>
        </w:tc>
        <w:tc>
          <w:tcPr>
            <w:tcW w:w="1555" w:type="dxa"/>
            <w:noWrap/>
            <w:hideMark/>
          </w:tcPr>
          <w:p w14:paraId="4D4B02DF" w14:textId="77777777" w:rsidR="009F7DD0" w:rsidRPr="005970E9" w:rsidRDefault="009F7DD0" w:rsidP="009F7DD0">
            <w:pPr>
              <w:spacing w:before="120" w:after="120" w:line="276" w:lineRule="auto"/>
              <w:contextualSpacing/>
              <w:jc w:val="right"/>
              <w:rPr>
                <w:noProof/>
              </w:rPr>
            </w:pPr>
            <w:r w:rsidRPr="005970E9">
              <w:rPr>
                <w:noProof/>
              </w:rPr>
              <w:t>30.0%</w:t>
            </w:r>
          </w:p>
        </w:tc>
      </w:tr>
      <w:tr w:rsidR="009F7DD0" w:rsidRPr="005970E9" w14:paraId="692B0DAE" w14:textId="77777777" w:rsidTr="009F7DD0">
        <w:trPr>
          <w:trHeight w:val="300"/>
        </w:trPr>
        <w:tc>
          <w:tcPr>
            <w:tcW w:w="6377" w:type="dxa"/>
            <w:hideMark/>
          </w:tcPr>
          <w:p w14:paraId="6AB45D5C" w14:textId="77777777" w:rsidR="009F7DD0" w:rsidRPr="005970E9" w:rsidRDefault="009F7DD0" w:rsidP="009F7DD0">
            <w:pPr>
              <w:spacing w:before="120" w:after="120" w:line="276" w:lineRule="auto"/>
              <w:contextualSpacing/>
              <w:jc w:val="both"/>
              <w:rPr>
                <w:noProof/>
              </w:rPr>
            </w:pPr>
            <w:r w:rsidRPr="005970E9">
              <w:rPr>
                <w:noProof/>
              </w:rPr>
              <w:t>Art. 175-Violación Doblemente Agravada</w:t>
            </w:r>
          </w:p>
        </w:tc>
        <w:tc>
          <w:tcPr>
            <w:tcW w:w="994" w:type="dxa"/>
            <w:noWrap/>
            <w:hideMark/>
          </w:tcPr>
          <w:p w14:paraId="246E8C55" w14:textId="77777777" w:rsidR="009F7DD0" w:rsidRPr="005970E9" w:rsidRDefault="009F7DD0" w:rsidP="009F7DD0">
            <w:pPr>
              <w:spacing w:before="120" w:after="120" w:line="276" w:lineRule="auto"/>
              <w:contextualSpacing/>
              <w:jc w:val="right"/>
              <w:rPr>
                <w:noProof/>
              </w:rPr>
            </w:pPr>
            <w:r w:rsidRPr="005970E9">
              <w:rPr>
                <w:noProof/>
              </w:rPr>
              <w:t>259</w:t>
            </w:r>
          </w:p>
        </w:tc>
        <w:tc>
          <w:tcPr>
            <w:tcW w:w="1555" w:type="dxa"/>
            <w:noWrap/>
            <w:hideMark/>
          </w:tcPr>
          <w:p w14:paraId="400A60A9" w14:textId="77777777" w:rsidR="009F7DD0" w:rsidRPr="005970E9" w:rsidRDefault="009F7DD0" w:rsidP="009F7DD0">
            <w:pPr>
              <w:spacing w:before="120" w:after="120" w:line="276" w:lineRule="auto"/>
              <w:contextualSpacing/>
              <w:jc w:val="right"/>
              <w:rPr>
                <w:noProof/>
              </w:rPr>
            </w:pPr>
            <w:r w:rsidRPr="005970E9">
              <w:rPr>
                <w:noProof/>
              </w:rPr>
              <w:t>4.7%</w:t>
            </w:r>
          </w:p>
        </w:tc>
      </w:tr>
      <w:tr w:rsidR="009F7DD0" w:rsidRPr="005970E9" w14:paraId="5C124CE5" w14:textId="77777777" w:rsidTr="009F7DD0">
        <w:trPr>
          <w:trHeight w:val="300"/>
        </w:trPr>
        <w:tc>
          <w:tcPr>
            <w:tcW w:w="6377" w:type="dxa"/>
            <w:hideMark/>
          </w:tcPr>
          <w:p w14:paraId="33B8C7B2" w14:textId="77777777" w:rsidR="009F7DD0" w:rsidRPr="005970E9" w:rsidRDefault="009F7DD0" w:rsidP="009F7DD0">
            <w:pPr>
              <w:spacing w:before="120" w:after="120" w:line="276" w:lineRule="auto"/>
              <w:contextualSpacing/>
              <w:jc w:val="both"/>
              <w:rPr>
                <w:noProof/>
              </w:rPr>
            </w:pPr>
            <w:r w:rsidRPr="005970E9">
              <w:rPr>
                <w:noProof/>
              </w:rPr>
              <w:t>Art. 48 Tentativa/ Art.174 Violación</w:t>
            </w:r>
          </w:p>
        </w:tc>
        <w:tc>
          <w:tcPr>
            <w:tcW w:w="994" w:type="dxa"/>
            <w:noWrap/>
            <w:hideMark/>
          </w:tcPr>
          <w:p w14:paraId="52D1B854" w14:textId="77777777" w:rsidR="009F7DD0" w:rsidRPr="005970E9" w:rsidRDefault="009F7DD0" w:rsidP="009F7DD0">
            <w:pPr>
              <w:spacing w:before="120" w:after="120" w:line="276" w:lineRule="auto"/>
              <w:contextualSpacing/>
              <w:jc w:val="right"/>
              <w:rPr>
                <w:noProof/>
              </w:rPr>
            </w:pPr>
            <w:r w:rsidRPr="005970E9">
              <w:rPr>
                <w:noProof/>
              </w:rPr>
              <w:t>24</w:t>
            </w:r>
          </w:p>
        </w:tc>
        <w:tc>
          <w:tcPr>
            <w:tcW w:w="1555" w:type="dxa"/>
            <w:noWrap/>
            <w:hideMark/>
          </w:tcPr>
          <w:p w14:paraId="52993EFD" w14:textId="77777777" w:rsidR="009F7DD0" w:rsidRPr="005970E9" w:rsidRDefault="009F7DD0" w:rsidP="009F7DD0">
            <w:pPr>
              <w:spacing w:before="120" w:after="120" w:line="276" w:lineRule="auto"/>
              <w:contextualSpacing/>
              <w:jc w:val="right"/>
              <w:rPr>
                <w:noProof/>
              </w:rPr>
            </w:pPr>
            <w:r w:rsidRPr="005970E9">
              <w:rPr>
                <w:noProof/>
              </w:rPr>
              <w:t>0.4%</w:t>
            </w:r>
          </w:p>
        </w:tc>
      </w:tr>
      <w:tr w:rsidR="009F7DD0" w:rsidRPr="005970E9" w14:paraId="55521A18" w14:textId="77777777" w:rsidTr="009F7DD0">
        <w:trPr>
          <w:trHeight w:val="300"/>
        </w:trPr>
        <w:tc>
          <w:tcPr>
            <w:tcW w:w="6377" w:type="dxa"/>
            <w:hideMark/>
          </w:tcPr>
          <w:p w14:paraId="451CD6FD" w14:textId="77777777" w:rsidR="009F7DD0" w:rsidRPr="005970E9" w:rsidRDefault="009F7DD0" w:rsidP="009F7DD0">
            <w:pPr>
              <w:spacing w:before="120" w:after="120" w:line="276" w:lineRule="auto"/>
              <w:contextualSpacing/>
              <w:jc w:val="both"/>
              <w:rPr>
                <w:noProof/>
              </w:rPr>
            </w:pPr>
            <w:r w:rsidRPr="005970E9">
              <w:rPr>
                <w:noProof/>
              </w:rPr>
              <w:t>Art. 176-Acceso Sexual Con Una Persona Mayor de Catorce (14) Años y Menor de Dieciocho (18)</w:t>
            </w:r>
          </w:p>
        </w:tc>
        <w:tc>
          <w:tcPr>
            <w:tcW w:w="994" w:type="dxa"/>
            <w:noWrap/>
            <w:hideMark/>
          </w:tcPr>
          <w:p w14:paraId="7E709407" w14:textId="77777777" w:rsidR="009F7DD0" w:rsidRPr="005970E9" w:rsidRDefault="009F7DD0" w:rsidP="009F7DD0">
            <w:pPr>
              <w:spacing w:before="120" w:after="120" w:line="276" w:lineRule="auto"/>
              <w:contextualSpacing/>
              <w:jc w:val="right"/>
              <w:rPr>
                <w:noProof/>
              </w:rPr>
            </w:pPr>
            <w:r w:rsidRPr="005970E9">
              <w:rPr>
                <w:noProof/>
              </w:rPr>
              <w:t>2461</w:t>
            </w:r>
          </w:p>
        </w:tc>
        <w:tc>
          <w:tcPr>
            <w:tcW w:w="1555" w:type="dxa"/>
            <w:noWrap/>
            <w:hideMark/>
          </w:tcPr>
          <w:p w14:paraId="3FEBD4DE" w14:textId="77777777" w:rsidR="009F7DD0" w:rsidRPr="005970E9" w:rsidRDefault="009F7DD0" w:rsidP="009F7DD0">
            <w:pPr>
              <w:spacing w:before="120" w:after="120" w:line="276" w:lineRule="auto"/>
              <w:contextualSpacing/>
              <w:jc w:val="right"/>
              <w:rPr>
                <w:noProof/>
              </w:rPr>
            </w:pPr>
            <w:r w:rsidRPr="005970E9">
              <w:rPr>
                <w:noProof/>
              </w:rPr>
              <w:t>44.9%</w:t>
            </w:r>
          </w:p>
        </w:tc>
      </w:tr>
      <w:tr w:rsidR="009F7DD0" w:rsidRPr="005970E9" w14:paraId="3404886C" w14:textId="77777777" w:rsidTr="009F7DD0">
        <w:trPr>
          <w:trHeight w:val="300"/>
        </w:trPr>
        <w:tc>
          <w:tcPr>
            <w:tcW w:w="6377" w:type="dxa"/>
            <w:hideMark/>
          </w:tcPr>
          <w:p w14:paraId="49BFF591" w14:textId="77777777" w:rsidR="009F7DD0" w:rsidRPr="005970E9" w:rsidRDefault="009F7DD0" w:rsidP="009F7DD0">
            <w:pPr>
              <w:spacing w:before="120" w:after="120" w:line="276" w:lineRule="auto"/>
              <w:contextualSpacing/>
              <w:jc w:val="both"/>
              <w:rPr>
                <w:noProof/>
              </w:rPr>
            </w:pPr>
            <w:r w:rsidRPr="005970E9">
              <w:rPr>
                <w:noProof/>
              </w:rPr>
              <w:t>Art. 177-Actos Libidinosos</w:t>
            </w:r>
          </w:p>
        </w:tc>
        <w:tc>
          <w:tcPr>
            <w:tcW w:w="994" w:type="dxa"/>
            <w:noWrap/>
            <w:hideMark/>
          </w:tcPr>
          <w:p w14:paraId="643C9643" w14:textId="77777777" w:rsidR="009F7DD0" w:rsidRPr="005970E9" w:rsidRDefault="009F7DD0" w:rsidP="009F7DD0">
            <w:pPr>
              <w:spacing w:before="120" w:after="120" w:line="276" w:lineRule="auto"/>
              <w:contextualSpacing/>
              <w:jc w:val="right"/>
              <w:rPr>
                <w:noProof/>
              </w:rPr>
            </w:pPr>
            <w:r w:rsidRPr="005970E9">
              <w:rPr>
                <w:noProof/>
              </w:rPr>
              <w:t>793</w:t>
            </w:r>
          </w:p>
        </w:tc>
        <w:tc>
          <w:tcPr>
            <w:tcW w:w="1555" w:type="dxa"/>
            <w:noWrap/>
            <w:hideMark/>
          </w:tcPr>
          <w:p w14:paraId="035D7956" w14:textId="77777777" w:rsidR="009F7DD0" w:rsidRPr="005970E9" w:rsidRDefault="009F7DD0" w:rsidP="009F7DD0">
            <w:pPr>
              <w:spacing w:before="120" w:after="120" w:line="276" w:lineRule="auto"/>
              <w:contextualSpacing/>
              <w:jc w:val="right"/>
              <w:rPr>
                <w:noProof/>
              </w:rPr>
            </w:pPr>
            <w:r w:rsidRPr="005970E9">
              <w:rPr>
                <w:noProof/>
              </w:rPr>
              <w:t>14.5%</w:t>
            </w:r>
          </w:p>
        </w:tc>
      </w:tr>
      <w:tr w:rsidR="009F7DD0" w:rsidRPr="005970E9" w14:paraId="5B9C63AE" w14:textId="77777777" w:rsidTr="009F7DD0">
        <w:trPr>
          <w:trHeight w:val="300"/>
        </w:trPr>
        <w:tc>
          <w:tcPr>
            <w:tcW w:w="6377" w:type="dxa"/>
            <w:hideMark/>
          </w:tcPr>
          <w:p w14:paraId="2CF26935" w14:textId="77777777" w:rsidR="009F7DD0" w:rsidRPr="005970E9" w:rsidRDefault="009F7DD0" w:rsidP="009F7DD0">
            <w:pPr>
              <w:spacing w:before="120" w:after="120" w:line="276" w:lineRule="auto"/>
              <w:contextualSpacing/>
              <w:jc w:val="both"/>
              <w:rPr>
                <w:noProof/>
              </w:rPr>
            </w:pPr>
            <w:r w:rsidRPr="005970E9">
              <w:rPr>
                <w:noProof/>
              </w:rPr>
              <w:t>Art. 178-Acoso Sexual</w:t>
            </w:r>
          </w:p>
        </w:tc>
        <w:tc>
          <w:tcPr>
            <w:tcW w:w="994" w:type="dxa"/>
            <w:noWrap/>
            <w:hideMark/>
          </w:tcPr>
          <w:p w14:paraId="6ABAE527" w14:textId="77777777" w:rsidR="009F7DD0" w:rsidRPr="005970E9" w:rsidRDefault="009F7DD0" w:rsidP="009F7DD0">
            <w:pPr>
              <w:spacing w:before="120" w:after="120" w:line="276" w:lineRule="auto"/>
              <w:contextualSpacing/>
              <w:jc w:val="right"/>
              <w:rPr>
                <w:noProof/>
              </w:rPr>
            </w:pPr>
            <w:r w:rsidRPr="005970E9">
              <w:rPr>
                <w:noProof/>
              </w:rPr>
              <w:t>15</w:t>
            </w:r>
          </w:p>
        </w:tc>
        <w:tc>
          <w:tcPr>
            <w:tcW w:w="1555" w:type="dxa"/>
            <w:noWrap/>
            <w:hideMark/>
          </w:tcPr>
          <w:p w14:paraId="1EF5ED46" w14:textId="77777777" w:rsidR="009F7DD0" w:rsidRPr="005970E9" w:rsidRDefault="009F7DD0" w:rsidP="009F7DD0">
            <w:pPr>
              <w:spacing w:before="120" w:after="120" w:line="276" w:lineRule="auto"/>
              <w:contextualSpacing/>
              <w:jc w:val="right"/>
              <w:rPr>
                <w:noProof/>
              </w:rPr>
            </w:pPr>
            <w:r w:rsidRPr="005970E9">
              <w:rPr>
                <w:noProof/>
              </w:rPr>
              <w:t>0.3%</w:t>
            </w:r>
          </w:p>
        </w:tc>
      </w:tr>
      <w:tr w:rsidR="009F7DD0" w:rsidRPr="005970E9" w14:paraId="25CA640B" w14:textId="77777777" w:rsidTr="009F7DD0">
        <w:trPr>
          <w:trHeight w:val="510"/>
        </w:trPr>
        <w:tc>
          <w:tcPr>
            <w:tcW w:w="6377" w:type="dxa"/>
            <w:hideMark/>
          </w:tcPr>
          <w:p w14:paraId="19A8EE78" w14:textId="77777777" w:rsidR="009F7DD0" w:rsidRPr="005970E9" w:rsidRDefault="009F7DD0" w:rsidP="009F7DD0">
            <w:pPr>
              <w:spacing w:before="120" w:after="120" w:line="276" w:lineRule="auto"/>
              <w:contextualSpacing/>
              <w:jc w:val="both"/>
              <w:rPr>
                <w:b/>
                <w:bCs/>
                <w:noProof/>
              </w:rPr>
            </w:pPr>
            <w:r w:rsidRPr="005970E9">
              <w:rPr>
                <w:b/>
                <w:bCs/>
                <w:noProof/>
              </w:rPr>
              <w:t>Capítulo II - Corrupción de Personas Menores de Edad, Explotación Sexual Comercial y otras Conductas</w:t>
            </w:r>
          </w:p>
        </w:tc>
        <w:tc>
          <w:tcPr>
            <w:tcW w:w="994" w:type="dxa"/>
            <w:noWrap/>
            <w:hideMark/>
          </w:tcPr>
          <w:p w14:paraId="00D1266C" w14:textId="77777777" w:rsidR="009F7DD0" w:rsidRPr="005970E9" w:rsidRDefault="009F7DD0" w:rsidP="009F7DD0">
            <w:pPr>
              <w:spacing w:before="120" w:after="120" w:line="276" w:lineRule="auto"/>
              <w:contextualSpacing/>
              <w:jc w:val="right"/>
              <w:rPr>
                <w:b/>
                <w:bCs/>
                <w:noProof/>
                <w:u w:val="single"/>
              </w:rPr>
            </w:pPr>
            <w:r w:rsidRPr="005970E9">
              <w:rPr>
                <w:b/>
                <w:bCs/>
                <w:noProof/>
                <w:u w:val="single"/>
              </w:rPr>
              <w:t>280</w:t>
            </w:r>
          </w:p>
        </w:tc>
        <w:tc>
          <w:tcPr>
            <w:tcW w:w="1555" w:type="dxa"/>
            <w:noWrap/>
            <w:hideMark/>
          </w:tcPr>
          <w:p w14:paraId="72BBB2E1" w14:textId="77777777" w:rsidR="009F7DD0" w:rsidRPr="005970E9" w:rsidRDefault="009F7DD0" w:rsidP="009F7DD0">
            <w:pPr>
              <w:spacing w:before="120" w:after="120" w:line="276" w:lineRule="auto"/>
              <w:contextualSpacing/>
              <w:jc w:val="right"/>
              <w:rPr>
                <w:b/>
                <w:bCs/>
                <w:noProof/>
                <w:u w:val="single"/>
              </w:rPr>
            </w:pPr>
            <w:r w:rsidRPr="005970E9">
              <w:rPr>
                <w:b/>
                <w:bCs/>
                <w:noProof/>
                <w:u w:val="single"/>
              </w:rPr>
              <w:t>5.1%</w:t>
            </w:r>
          </w:p>
        </w:tc>
      </w:tr>
      <w:tr w:rsidR="009F7DD0" w:rsidRPr="005970E9" w14:paraId="6F625936" w14:textId="77777777" w:rsidTr="009F7DD0">
        <w:trPr>
          <w:trHeight w:val="300"/>
        </w:trPr>
        <w:tc>
          <w:tcPr>
            <w:tcW w:w="6377" w:type="dxa"/>
            <w:hideMark/>
          </w:tcPr>
          <w:p w14:paraId="606CB437" w14:textId="77777777" w:rsidR="009F7DD0" w:rsidRPr="005970E9" w:rsidRDefault="009F7DD0" w:rsidP="009F7DD0">
            <w:pPr>
              <w:spacing w:before="120" w:after="120" w:line="276" w:lineRule="auto"/>
              <w:contextualSpacing/>
              <w:jc w:val="both"/>
              <w:rPr>
                <w:noProof/>
              </w:rPr>
            </w:pPr>
            <w:r w:rsidRPr="005970E9">
              <w:rPr>
                <w:noProof/>
              </w:rPr>
              <w:t>Art. 179-Corrupción de Personas Menores de Edad</w:t>
            </w:r>
          </w:p>
        </w:tc>
        <w:tc>
          <w:tcPr>
            <w:tcW w:w="994" w:type="dxa"/>
            <w:noWrap/>
            <w:hideMark/>
          </w:tcPr>
          <w:p w14:paraId="454A80FD" w14:textId="77777777" w:rsidR="009F7DD0" w:rsidRPr="005970E9" w:rsidRDefault="009F7DD0" w:rsidP="009F7DD0">
            <w:pPr>
              <w:spacing w:before="120" w:after="120" w:line="276" w:lineRule="auto"/>
              <w:contextualSpacing/>
              <w:jc w:val="right"/>
              <w:rPr>
                <w:noProof/>
              </w:rPr>
            </w:pPr>
            <w:r w:rsidRPr="005970E9">
              <w:rPr>
                <w:noProof/>
              </w:rPr>
              <w:t>205</w:t>
            </w:r>
          </w:p>
        </w:tc>
        <w:tc>
          <w:tcPr>
            <w:tcW w:w="1555" w:type="dxa"/>
            <w:noWrap/>
            <w:hideMark/>
          </w:tcPr>
          <w:p w14:paraId="56435009" w14:textId="77777777" w:rsidR="009F7DD0" w:rsidRPr="005970E9" w:rsidRDefault="009F7DD0" w:rsidP="009F7DD0">
            <w:pPr>
              <w:spacing w:before="120" w:after="120" w:line="276" w:lineRule="auto"/>
              <w:contextualSpacing/>
              <w:jc w:val="right"/>
              <w:rPr>
                <w:noProof/>
              </w:rPr>
            </w:pPr>
            <w:r w:rsidRPr="005970E9">
              <w:rPr>
                <w:noProof/>
              </w:rPr>
              <w:t>3.7%</w:t>
            </w:r>
          </w:p>
        </w:tc>
      </w:tr>
      <w:tr w:rsidR="009F7DD0" w:rsidRPr="005970E9" w14:paraId="3BABF44D" w14:textId="77777777" w:rsidTr="009F7DD0">
        <w:trPr>
          <w:trHeight w:val="300"/>
        </w:trPr>
        <w:tc>
          <w:tcPr>
            <w:tcW w:w="6377" w:type="dxa"/>
            <w:hideMark/>
          </w:tcPr>
          <w:p w14:paraId="2B0554B2" w14:textId="77777777" w:rsidR="009F7DD0" w:rsidRPr="005970E9" w:rsidRDefault="009F7DD0" w:rsidP="009F7DD0">
            <w:pPr>
              <w:spacing w:before="120" w:after="120" w:line="276" w:lineRule="auto"/>
              <w:contextualSpacing/>
              <w:jc w:val="both"/>
              <w:rPr>
                <w:noProof/>
              </w:rPr>
            </w:pPr>
            <w:r w:rsidRPr="005970E9">
              <w:rPr>
                <w:noProof/>
              </w:rPr>
              <w:t>Art. 180-Proxenetismo</w:t>
            </w:r>
          </w:p>
        </w:tc>
        <w:tc>
          <w:tcPr>
            <w:tcW w:w="994" w:type="dxa"/>
            <w:noWrap/>
            <w:hideMark/>
          </w:tcPr>
          <w:p w14:paraId="068EEFAF" w14:textId="77777777" w:rsidR="009F7DD0" w:rsidRPr="005970E9" w:rsidRDefault="009F7DD0" w:rsidP="009F7DD0">
            <w:pPr>
              <w:spacing w:before="120" w:after="120" w:line="276" w:lineRule="auto"/>
              <w:contextualSpacing/>
              <w:jc w:val="right"/>
              <w:rPr>
                <w:noProof/>
              </w:rPr>
            </w:pPr>
            <w:r w:rsidRPr="005970E9">
              <w:rPr>
                <w:noProof/>
              </w:rPr>
              <w:t>5</w:t>
            </w:r>
          </w:p>
        </w:tc>
        <w:tc>
          <w:tcPr>
            <w:tcW w:w="1555" w:type="dxa"/>
            <w:noWrap/>
            <w:hideMark/>
          </w:tcPr>
          <w:p w14:paraId="348DB6D6" w14:textId="77777777" w:rsidR="009F7DD0" w:rsidRPr="005970E9" w:rsidRDefault="009F7DD0" w:rsidP="009F7DD0">
            <w:pPr>
              <w:spacing w:before="120" w:after="120" w:line="276" w:lineRule="auto"/>
              <w:contextualSpacing/>
              <w:jc w:val="right"/>
              <w:rPr>
                <w:noProof/>
              </w:rPr>
            </w:pPr>
            <w:r w:rsidRPr="005970E9">
              <w:rPr>
                <w:noProof/>
              </w:rPr>
              <w:t>0.1%</w:t>
            </w:r>
          </w:p>
        </w:tc>
      </w:tr>
      <w:tr w:rsidR="009F7DD0" w:rsidRPr="005970E9" w14:paraId="2A54278D" w14:textId="77777777" w:rsidTr="009F7DD0">
        <w:trPr>
          <w:trHeight w:val="300"/>
        </w:trPr>
        <w:tc>
          <w:tcPr>
            <w:tcW w:w="6377" w:type="dxa"/>
            <w:hideMark/>
          </w:tcPr>
          <w:p w14:paraId="4EC80F87" w14:textId="77777777" w:rsidR="009F7DD0" w:rsidRPr="005970E9" w:rsidRDefault="009F7DD0" w:rsidP="009F7DD0">
            <w:pPr>
              <w:spacing w:before="120" w:after="120" w:line="276" w:lineRule="auto"/>
              <w:contextualSpacing/>
              <w:jc w:val="both"/>
              <w:rPr>
                <w:noProof/>
              </w:rPr>
            </w:pPr>
            <w:r w:rsidRPr="005970E9">
              <w:rPr>
                <w:noProof/>
              </w:rPr>
              <w:t>Art. 182-Rufianismo</w:t>
            </w:r>
          </w:p>
        </w:tc>
        <w:tc>
          <w:tcPr>
            <w:tcW w:w="994" w:type="dxa"/>
            <w:noWrap/>
            <w:hideMark/>
          </w:tcPr>
          <w:p w14:paraId="6C089AE9" w14:textId="77777777" w:rsidR="009F7DD0" w:rsidRPr="005970E9" w:rsidRDefault="009F7DD0" w:rsidP="009F7DD0">
            <w:pPr>
              <w:spacing w:before="120" w:after="120" w:line="276" w:lineRule="auto"/>
              <w:contextualSpacing/>
              <w:jc w:val="right"/>
              <w:rPr>
                <w:noProof/>
              </w:rPr>
            </w:pPr>
            <w:r w:rsidRPr="005970E9">
              <w:rPr>
                <w:noProof/>
              </w:rPr>
              <w:t>0</w:t>
            </w:r>
          </w:p>
        </w:tc>
        <w:tc>
          <w:tcPr>
            <w:tcW w:w="1555" w:type="dxa"/>
            <w:noWrap/>
            <w:hideMark/>
          </w:tcPr>
          <w:p w14:paraId="212BD9ED" w14:textId="77777777" w:rsidR="009F7DD0" w:rsidRPr="005970E9" w:rsidRDefault="009F7DD0" w:rsidP="009F7DD0">
            <w:pPr>
              <w:spacing w:before="120" w:after="120" w:line="276" w:lineRule="auto"/>
              <w:contextualSpacing/>
              <w:jc w:val="right"/>
              <w:rPr>
                <w:noProof/>
              </w:rPr>
            </w:pPr>
            <w:r w:rsidRPr="005970E9">
              <w:rPr>
                <w:noProof/>
              </w:rPr>
              <w:t>0.0%</w:t>
            </w:r>
          </w:p>
        </w:tc>
      </w:tr>
      <w:tr w:rsidR="009F7DD0" w:rsidRPr="005970E9" w14:paraId="7613747E" w14:textId="77777777" w:rsidTr="009F7DD0">
        <w:trPr>
          <w:trHeight w:val="300"/>
        </w:trPr>
        <w:tc>
          <w:tcPr>
            <w:tcW w:w="6377" w:type="dxa"/>
            <w:hideMark/>
          </w:tcPr>
          <w:p w14:paraId="797E0684" w14:textId="77777777" w:rsidR="009F7DD0" w:rsidRPr="005970E9" w:rsidRDefault="009F7DD0" w:rsidP="009F7DD0">
            <w:pPr>
              <w:spacing w:before="120" w:after="120" w:line="276" w:lineRule="auto"/>
              <w:contextualSpacing/>
              <w:jc w:val="both"/>
              <w:rPr>
                <w:noProof/>
              </w:rPr>
            </w:pPr>
            <w:r w:rsidRPr="005970E9">
              <w:rPr>
                <w:noProof/>
              </w:rPr>
              <w:t>Art. 184-Pornografía Infantil</w:t>
            </w:r>
          </w:p>
        </w:tc>
        <w:tc>
          <w:tcPr>
            <w:tcW w:w="994" w:type="dxa"/>
            <w:noWrap/>
            <w:hideMark/>
          </w:tcPr>
          <w:p w14:paraId="72CCDBEE" w14:textId="77777777" w:rsidR="009F7DD0" w:rsidRPr="005970E9" w:rsidRDefault="009F7DD0" w:rsidP="009F7DD0">
            <w:pPr>
              <w:spacing w:before="120" w:after="120" w:line="276" w:lineRule="auto"/>
              <w:contextualSpacing/>
              <w:jc w:val="right"/>
              <w:rPr>
                <w:noProof/>
              </w:rPr>
            </w:pPr>
            <w:r w:rsidRPr="005970E9">
              <w:rPr>
                <w:noProof/>
              </w:rPr>
              <w:t>35</w:t>
            </w:r>
          </w:p>
        </w:tc>
        <w:tc>
          <w:tcPr>
            <w:tcW w:w="1555" w:type="dxa"/>
            <w:noWrap/>
            <w:hideMark/>
          </w:tcPr>
          <w:p w14:paraId="381E1B8B" w14:textId="77777777" w:rsidR="009F7DD0" w:rsidRPr="005970E9" w:rsidRDefault="009F7DD0" w:rsidP="009F7DD0">
            <w:pPr>
              <w:spacing w:before="120" w:after="120" w:line="276" w:lineRule="auto"/>
              <w:contextualSpacing/>
              <w:jc w:val="right"/>
              <w:rPr>
                <w:noProof/>
              </w:rPr>
            </w:pPr>
            <w:r w:rsidRPr="005970E9">
              <w:rPr>
                <w:noProof/>
              </w:rPr>
              <w:t>0.6%</w:t>
            </w:r>
          </w:p>
        </w:tc>
      </w:tr>
      <w:tr w:rsidR="009F7DD0" w:rsidRPr="005970E9" w14:paraId="3547F65E" w14:textId="77777777" w:rsidTr="009F7DD0">
        <w:trPr>
          <w:trHeight w:val="300"/>
        </w:trPr>
        <w:tc>
          <w:tcPr>
            <w:tcW w:w="6377" w:type="dxa"/>
            <w:hideMark/>
          </w:tcPr>
          <w:p w14:paraId="6368ED2C" w14:textId="77777777" w:rsidR="009F7DD0" w:rsidRPr="005970E9" w:rsidRDefault="009F7DD0" w:rsidP="009F7DD0">
            <w:pPr>
              <w:spacing w:before="120" w:after="120" w:line="276" w:lineRule="auto"/>
              <w:contextualSpacing/>
              <w:jc w:val="both"/>
              <w:rPr>
                <w:noProof/>
              </w:rPr>
            </w:pPr>
            <w:r w:rsidRPr="005970E9">
              <w:rPr>
                <w:noProof/>
              </w:rPr>
              <w:t>Art. 185-Posesión de Pornografía Infantil</w:t>
            </w:r>
          </w:p>
        </w:tc>
        <w:tc>
          <w:tcPr>
            <w:tcW w:w="994" w:type="dxa"/>
            <w:noWrap/>
            <w:hideMark/>
          </w:tcPr>
          <w:p w14:paraId="4B5FA44C" w14:textId="77777777" w:rsidR="009F7DD0" w:rsidRPr="005970E9" w:rsidRDefault="009F7DD0" w:rsidP="009F7DD0">
            <w:pPr>
              <w:spacing w:before="120" w:after="120" w:line="276" w:lineRule="auto"/>
              <w:contextualSpacing/>
              <w:jc w:val="right"/>
              <w:rPr>
                <w:noProof/>
              </w:rPr>
            </w:pPr>
            <w:r w:rsidRPr="005970E9">
              <w:rPr>
                <w:noProof/>
              </w:rPr>
              <w:t>11</w:t>
            </w:r>
          </w:p>
        </w:tc>
        <w:tc>
          <w:tcPr>
            <w:tcW w:w="1555" w:type="dxa"/>
            <w:noWrap/>
            <w:hideMark/>
          </w:tcPr>
          <w:p w14:paraId="2F2EE65B" w14:textId="77777777" w:rsidR="009F7DD0" w:rsidRPr="005970E9" w:rsidRDefault="009F7DD0" w:rsidP="009F7DD0">
            <w:pPr>
              <w:spacing w:before="120" w:after="120" w:line="276" w:lineRule="auto"/>
              <w:contextualSpacing/>
              <w:jc w:val="right"/>
              <w:rPr>
                <w:noProof/>
              </w:rPr>
            </w:pPr>
            <w:r w:rsidRPr="005970E9">
              <w:rPr>
                <w:noProof/>
              </w:rPr>
              <w:t>0.2%</w:t>
            </w:r>
          </w:p>
        </w:tc>
      </w:tr>
      <w:tr w:rsidR="009F7DD0" w:rsidRPr="005970E9" w14:paraId="64213B84" w14:textId="77777777" w:rsidTr="009F7DD0">
        <w:trPr>
          <w:trHeight w:val="510"/>
        </w:trPr>
        <w:tc>
          <w:tcPr>
            <w:tcW w:w="6377" w:type="dxa"/>
            <w:hideMark/>
          </w:tcPr>
          <w:p w14:paraId="24C34EAA" w14:textId="77777777" w:rsidR="009F7DD0" w:rsidRPr="005970E9" w:rsidRDefault="009F7DD0" w:rsidP="009F7DD0">
            <w:pPr>
              <w:spacing w:before="120" w:after="120" w:line="276" w:lineRule="auto"/>
              <w:contextualSpacing/>
              <w:jc w:val="both"/>
              <w:rPr>
                <w:noProof/>
              </w:rPr>
            </w:pPr>
            <w:r w:rsidRPr="005970E9">
              <w:rPr>
                <w:noProof/>
              </w:rPr>
              <w:t>Art. 186-Relaciones Sexuales Remuneradas Con Personas Mayor de Catorce (14) Años y Menor de Dieciocho (18)</w:t>
            </w:r>
          </w:p>
        </w:tc>
        <w:tc>
          <w:tcPr>
            <w:tcW w:w="994" w:type="dxa"/>
            <w:noWrap/>
            <w:hideMark/>
          </w:tcPr>
          <w:p w14:paraId="73AD936A" w14:textId="77777777" w:rsidR="009F7DD0" w:rsidRPr="005970E9" w:rsidRDefault="009F7DD0" w:rsidP="009F7DD0">
            <w:pPr>
              <w:spacing w:before="120" w:after="120" w:line="276" w:lineRule="auto"/>
              <w:contextualSpacing/>
              <w:jc w:val="right"/>
              <w:rPr>
                <w:noProof/>
              </w:rPr>
            </w:pPr>
            <w:r w:rsidRPr="005970E9">
              <w:rPr>
                <w:noProof/>
              </w:rPr>
              <w:t>13</w:t>
            </w:r>
          </w:p>
        </w:tc>
        <w:tc>
          <w:tcPr>
            <w:tcW w:w="1555" w:type="dxa"/>
            <w:noWrap/>
            <w:hideMark/>
          </w:tcPr>
          <w:p w14:paraId="64FD4A88" w14:textId="77777777" w:rsidR="009F7DD0" w:rsidRPr="005970E9" w:rsidRDefault="009F7DD0" w:rsidP="009F7DD0">
            <w:pPr>
              <w:spacing w:before="120" w:after="120" w:line="276" w:lineRule="auto"/>
              <w:contextualSpacing/>
              <w:jc w:val="right"/>
              <w:rPr>
                <w:noProof/>
              </w:rPr>
            </w:pPr>
            <w:r w:rsidRPr="005970E9">
              <w:rPr>
                <w:noProof/>
              </w:rPr>
              <w:t>0.2%</w:t>
            </w:r>
          </w:p>
        </w:tc>
      </w:tr>
      <w:tr w:rsidR="009F7DD0" w:rsidRPr="005970E9" w14:paraId="57556934" w14:textId="77777777" w:rsidTr="009F7DD0">
        <w:trPr>
          <w:trHeight w:val="300"/>
        </w:trPr>
        <w:tc>
          <w:tcPr>
            <w:tcW w:w="6377" w:type="dxa"/>
            <w:hideMark/>
          </w:tcPr>
          <w:p w14:paraId="69F5174F" w14:textId="77777777" w:rsidR="009F7DD0" w:rsidRPr="005970E9" w:rsidRDefault="009F7DD0" w:rsidP="009F7DD0">
            <w:pPr>
              <w:spacing w:before="120" w:after="120" w:line="276" w:lineRule="auto"/>
              <w:contextualSpacing/>
              <w:jc w:val="both"/>
              <w:rPr>
                <w:noProof/>
              </w:rPr>
            </w:pPr>
            <w:r w:rsidRPr="005970E9">
              <w:rPr>
                <w:noProof/>
              </w:rPr>
              <w:t>Art. 187-Actos de Exhibicionismo Obsceno o Pornográficos con menores de edad</w:t>
            </w:r>
          </w:p>
        </w:tc>
        <w:tc>
          <w:tcPr>
            <w:tcW w:w="994" w:type="dxa"/>
            <w:noWrap/>
            <w:hideMark/>
          </w:tcPr>
          <w:p w14:paraId="7A8C222A" w14:textId="77777777" w:rsidR="009F7DD0" w:rsidRPr="005970E9" w:rsidRDefault="009F7DD0" w:rsidP="009F7DD0">
            <w:pPr>
              <w:spacing w:before="120" w:after="120" w:line="276" w:lineRule="auto"/>
              <w:contextualSpacing/>
              <w:jc w:val="right"/>
              <w:rPr>
                <w:noProof/>
              </w:rPr>
            </w:pPr>
            <w:r w:rsidRPr="005970E9">
              <w:rPr>
                <w:noProof/>
              </w:rPr>
              <w:t>6</w:t>
            </w:r>
          </w:p>
        </w:tc>
        <w:tc>
          <w:tcPr>
            <w:tcW w:w="1555" w:type="dxa"/>
            <w:noWrap/>
            <w:hideMark/>
          </w:tcPr>
          <w:p w14:paraId="6D0797BF" w14:textId="77777777" w:rsidR="009F7DD0" w:rsidRPr="005970E9" w:rsidRDefault="009F7DD0" w:rsidP="009F7DD0">
            <w:pPr>
              <w:spacing w:before="120" w:after="120" w:line="276" w:lineRule="auto"/>
              <w:contextualSpacing/>
              <w:jc w:val="right"/>
              <w:rPr>
                <w:noProof/>
              </w:rPr>
            </w:pPr>
            <w:r w:rsidRPr="005970E9">
              <w:rPr>
                <w:noProof/>
              </w:rPr>
              <w:t>0.1%</w:t>
            </w:r>
          </w:p>
        </w:tc>
      </w:tr>
      <w:tr w:rsidR="009F7DD0" w:rsidRPr="005970E9" w14:paraId="19595E94" w14:textId="77777777" w:rsidTr="009F7DD0">
        <w:trPr>
          <w:trHeight w:val="300"/>
        </w:trPr>
        <w:tc>
          <w:tcPr>
            <w:tcW w:w="6377" w:type="dxa"/>
            <w:hideMark/>
          </w:tcPr>
          <w:p w14:paraId="02B1E29C" w14:textId="77777777" w:rsidR="009F7DD0" w:rsidRPr="005970E9" w:rsidRDefault="009F7DD0" w:rsidP="009F7DD0">
            <w:pPr>
              <w:spacing w:before="120" w:after="120" w:line="276" w:lineRule="auto"/>
              <w:contextualSpacing/>
              <w:jc w:val="both"/>
              <w:rPr>
                <w:noProof/>
              </w:rPr>
            </w:pPr>
            <w:r w:rsidRPr="005970E9">
              <w:rPr>
                <w:noProof/>
              </w:rPr>
              <w:t xml:space="preserve">Art. 188-Exhibición de materiales Pornográficos a menores de Edad Incapaz o Discapacitada </w:t>
            </w:r>
          </w:p>
        </w:tc>
        <w:tc>
          <w:tcPr>
            <w:tcW w:w="994" w:type="dxa"/>
            <w:noWrap/>
            <w:hideMark/>
          </w:tcPr>
          <w:p w14:paraId="7D4F31AA" w14:textId="77777777" w:rsidR="009F7DD0" w:rsidRPr="005970E9" w:rsidRDefault="009F7DD0" w:rsidP="009F7DD0">
            <w:pPr>
              <w:spacing w:before="120" w:after="120" w:line="276" w:lineRule="auto"/>
              <w:contextualSpacing/>
              <w:jc w:val="right"/>
              <w:rPr>
                <w:noProof/>
              </w:rPr>
            </w:pPr>
            <w:r w:rsidRPr="005970E9">
              <w:rPr>
                <w:noProof/>
              </w:rPr>
              <w:t>4</w:t>
            </w:r>
          </w:p>
        </w:tc>
        <w:tc>
          <w:tcPr>
            <w:tcW w:w="1555" w:type="dxa"/>
            <w:noWrap/>
            <w:hideMark/>
          </w:tcPr>
          <w:p w14:paraId="62315366" w14:textId="77777777" w:rsidR="009F7DD0" w:rsidRPr="005970E9" w:rsidRDefault="009F7DD0" w:rsidP="009F7DD0">
            <w:pPr>
              <w:spacing w:before="120" w:after="120" w:line="276" w:lineRule="auto"/>
              <w:contextualSpacing/>
              <w:jc w:val="right"/>
              <w:rPr>
                <w:noProof/>
              </w:rPr>
            </w:pPr>
            <w:r w:rsidRPr="005970E9">
              <w:rPr>
                <w:noProof/>
              </w:rPr>
              <w:t>0.1%</w:t>
            </w:r>
          </w:p>
        </w:tc>
      </w:tr>
      <w:tr w:rsidR="009F7DD0" w:rsidRPr="005970E9" w14:paraId="0B7CF780" w14:textId="77777777" w:rsidTr="009F7DD0">
        <w:trPr>
          <w:trHeight w:val="300"/>
        </w:trPr>
        <w:tc>
          <w:tcPr>
            <w:tcW w:w="6377" w:type="dxa"/>
            <w:hideMark/>
          </w:tcPr>
          <w:p w14:paraId="148E042C" w14:textId="77777777" w:rsidR="009F7DD0" w:rsidRPr="005970E9" w:rsidRDefault="009F7DD0" w:rsidP="009F7DD0">
            <w:pPr>
              <w:spacing w:before="120" w:after="120" w:line="276" w:lineRule="auto"/>
              <w:contextualSpacing/>
              <w:jc w:val="both"/>
              <w:rPr>
                <w:noProof/>
              </w:rPr>
            </w:pPr>
            <w:r w:rsidRPr="005970E9">
              <w:rPr>
                <w:noProof/>
              </w:rPr>
              <w:t xml:space="preserve">Art. 189-Conducta de Omisión del conocimiento de estos delitos </w:t>
            </w:r>
          </w:p>
        </w:tc>
        <w:tc>
          <w:tcPr>
            <w:tcW w:w="994" w:type="dxa"/>
            <w:noWrap/>
            <w:hideMark/>
          </w:tcPr>
          <w:p w14:paraId="2742CC80" w14:textId="77777777" w:rsidR="009F7DD0" w:rsidRPr="005970E9" w:rsidRDefault="009F7DD0" w:rsidP="009F7DD0">
            <w:pPr>
              <w:spacing w:before="120" w:after="120" w:line="276" w:lineRule="auto"/>
              <w:contextualSpacing/>
              <w:jc w:val="right"/>
              <w:rPr>
                <w:noProof/>
              </w:rPr>
            </w:pPr>
            <w:r w:rsidRPr="005970E9">
              <w:rPr>
                <w:noProof/>
              </w:rPr>
              <w:t>0</w:t>
            </w:r>
          </w:p>
        </w:tc>
        <w:tc>
          <w:tcPr>
            <w:tcW w:w="1555" w:type="dxa"/>
            <w:noWrap/>
            <w:hideMark/>
          </w:tcPr>
          <w:p w14:paraId="48AC0D09" w14:textId="77777777" w:rsidR="009F7DD0" w:rsidRPr="005970E9" w:rsidRDefault="009F7DD0" w:rsidP="009F7DD0">
            <w:pPr>
              <w:spacing w:before="120" w:after="120" w:line="276" w:lineRule="auto"/>
              <w:contextualSpacing/>
              <w:jc w:val="right"/>
              <w:rPr>
                <w:noProof/>
              </w:rPr>
            </w:pPr>
            <w:r w:rsidRPr="005970E9">
              <w:rPr>
                <w:noProof/>
              </w:rPr>
              <w:t>0.0%</w:t>
            </w:r>
          </w:p>
        </w:tc>
      </w:tr>
      <w:tr w:rsidR="009F7DD0" w:rsidRPr="005970E9" w14:paraId="655035A5" w14:textId="77777777" w:rsidTr="009F7DD0">
        <w:trPr>
          <w:trHeight w:val="300"/>
        </w:trPr>
        <w:tc>
          <w:tcPr>
            <w:tcW w:w="6377" w:type="dxa"/>
            <w:hideMark/>
          </w:tcPr>
          <w:p w14:paraId="542FAC2F" w14:textId="77777777" w:rsidR="009F7DD0" w:rsidRPr="005970E9" w:rsidRDefault="009F7DD0" w:rsidP="009F7DD0">
            <w:pPr>
              <w:spacing w:before="120" w:after="120" w:line="276" w:lineRule="auto"/>
              <w:contextualSpacing/>
              <w:jc w:val="both"/>
              <w:rPr>
                <w:noProof/>
              </w:rPr>
            </w:pPr>
            <w:r w:rsidRPr="005970E9">
              <w:rPr>
                <w:noProof/>
              </w:rPr>
              <w:t>Art. 190-Turismo Sexual</w:t>
            </w:r>
          </w:p>
        </w:tc>
        <w:tc>
          <w:tcPr>
            <w:tcW w:w="994" w:type="dxa"/>
            <w:noWrap/>
            <w:hideMark/>
          </w:tcPr>
          <w:p w14:paraId="43ED7A3D" w14:textId="77777777" w:rsidR="009F7DD0" w:rsidRPr="005970E9" w:rsidRDefault="009F7DD0" w:rsidP="009F7DD0">
            <w:pPr>
              <w:spacing w:before="120" w:after="120" w:line="276" w:lineRule="auto"/>
              <w:contextualSpacing/>
              <w:jc w:val="right"/>
              <w:rPr>
                <w:noProof/>
              </w:rPr>
            </w:pPr>
            <w:r w:rsidRPr="005970E9">
              <w:rPr>
                <w:noProof/>
              </w:rPr>
              <w:t>1</w:t>
            </w:r>
          </w:p>
        </w:tc>
        <w:tc>
          <w:tcPr>
            <w:tcW w:w="1555" w:type="dxa"/>
            <w:noWrap/>
            <w:hideMark/>
          </w:tcPr>
          <w:p w14:paraId="087756F9" w14:textId="77777777" w:rsidR="009F7DD0" w:rsidRPr="005970E9" w:rsidRDefault="009F7DD0" w:rsidP="009F7DD0">
            <w:pPr>
              <w:spacing w:before="120" w:after="120" w:line="276" w:lineRule="auto"/>
              <w:contextualSpacing/>
              <w:jc w:val="right"/>
              <w:rPr>
                <w:noProof/>
              </w:rPr>
            </w:pPr>
            <w:r w:rsidRPr="005970E9">
              <w:rPr>
                <w:noProof/>
              </w:rPr>
              <w:t>0.0%</w:t>
            </w:r>
          </w:p>
        </w:tc>
      </w:tr>
      <w:tr w:rsidR="009F7DD0" w:rsidRPr="005970E9" w14:paraId="7FB7534D" w14:textId="77777777" w:rsidTr="009F7DD0">
        <w:trPr>
          <w:trHeight w:val="510"/>
        </w:trPr>
        <w:tc>
          <w:tcPr>
            <w:tcW w:w="6377" w:type="dxa"/>
            <w:hideMark/>
          </w:tcPr>
          <w:p w14:paraId="5126D4B4" w14:textId="77777777" w:rsidR="009F7DD0" w:rsidRPr="005970E9" w:rsidRDefault="009F7DD0" w:rsidP="009F7DD0">
            <w:pPr>
              <w:spacing w:before="120" w:after="120" w:line="276" w:lineRule="auto"/>
              <w:contextualSpacing/>
              <w:jc w:val="both"/>
              <w:rPr>
                <w:noProof/>
              </w:rPr>
            </w:pPr>
            <w:r w:rsidRPr="005970E9">
              <w:rPr>
                <w:noProof/>
              </w:rPr>
              <w:t>Art. 191-Propietario de inmueble o establecimiento que destine a la realización de algún delito tipificado</w:t>
            </w:r>
          </w:p>
        </w:tc>
        <w:tc>
          <w:tcPr>
            <w:tcW w:w="994" w:type="dxa"/>
            <w:noWrap/>
            <w:hideMark/>
          </w:tcPr>
          <w:p w14:paraId="59BAEE75" w14:textId="77777777" w:rsidR="009F7DD0" w:rsidRPr="005970E9" w:rsidRDefault="009F7DD0" w:rsidP="009F7DD0">
            <w:pPr>
              <w:spacing w:before="120" w:after="120" w:line="276" w:lineRule="auto"/>
              <w:contextualSpacing/>
              <w:jc w:val="right"/>
              <w:rPr>
                <w:noProof/>
              </w:rPr>
            </w:pPr>
            <w:r w:rsidRPr="005970E9">
              <w:rPr>
                <w:noProof/>
              </w:rPr>
              <w:t>0</w:t>
            </w:r>
          </w:p>
        </w:tc>
        <w:tc>
          <w:tcPr>
            <w:tcW w:w="1555" w:type="dxa"/>
            <w:noWrap/>
            <w:hideMark/>
          </w:tcPr>
          <w:p w14:paraId="735ADC03" w14:textId="77777777" w:rsidR="009F7DD0" w:rsidRPr="005970E9" w:rsidRDefault="009F7DD0" w:rsidP="009F7DD0">
            <w:pPr>
              <w:spacing w:before="120" w:after="120" w:line="276" w:lineRule="auto"/>
              <w:contextualSpacing/>
              <w:jc w:val="right"/>
              <w:rPr>
                <w:noProof/>
              </w:rPr>
            </w:pPr>
            <w:r w:rsidRPr="005970E9">
              <w:rPr>
                <w:noProof/>
              </w:rPr>
              <w:t>0.0%</w:t>
            </w:r>
          </w:p>
        </w:tc>
      </w:tr>
      <w:tr w:rsidR="009F7DD0" w:rsidRPr="005970E9" w14:paraId="104C66FC" w14:textId="77777777" w:rsidTr="009F7DD0">
        <w:trPr>
          <w:trHeight w:val="300"/>
        </w:trPr>
        <w:tc>
          <w:tcPr>
            <w:tcW w:w="6377" w:type="dxa"/>
            <w:hideMark/>
          </w:tcPr>
          <w:p w14:paraId="3703A6B0" w14:textId="77777777" w:rsidR="009F7DD0" w:rsidRPr="005970E9" w:rsidRDefault="009F7DD0" w:rsidP="009F7DD0">
            <w:pPr>
              <w:spacing w:before="120" w:after="120" w:line="276" w:lineRule="auto"/>
              <w:contextualSpacing/>
              <w:jc w:val="both"/>
              <w:rPr>
                <w:noProof/>
              </w:rPr>
            </w:pPr>
            <w:r w:rsidRPr="005970E9">
              <w:rPr>
                <w:noProof/>
              </w:rPr>
              <w:t>Sumaria en averiguación(1)</w:t>
            </w:r>
          </w:p>
        </w:tc>
        <w:tc>
          <w:tcPr>
            <w:tcW w:w="994" w:type="dxa"/>
            <w:noWrap/>
            <w:hideMark/>
          </w:tcPr>
          <w:p w14:paraId="221E6F34" w14:textId="77777777" w:rsidR="009F7DD0" w:rsidRPr="005970E9" w:rsidRDefault="009F7DD0" w:rsidP="009F7DD0">
            <w:pPr>
              <w:spacing w:before="120" w:after="120" w:line="276" w:lineRule="auto"/>
              <w:contextualSpacing/>
              <w:jc w:val="right"/>
              <w:rPr>
                <w:b/>
                <w:bCs/>
                <w:noProof/>
                <w:u w:val="single"/>
              </w:rPr>
            </w:pPr>
            <w:r w:rsidRPr="005970E9">
              <w:rPr>
                <w:b/>
                <w:bCs/>
                <w:noProof/>
                <w:u w:val="single"/>
              </w:rPr>
              <w:t>2</w:t>
            </w:r>
          </w:p>
        </w:tc>
        <w:tc>
          <w:tcPr>
            <w:tcW w:w="1555" w:type="dxa"/>
            <w:noWrap/>
            <w:hideMark/>
          </w:tcPr>
          <w:p w14:paraId="049CD963" w14:textId="77777777" w:rsidR="009F7DD0" w:rsidRPr="005970E9" w:rsidRDefault="009F7DD0" w:rsidP="009F7DD0">
            <w:pPr>
              <w:spacing w:before="120" w:after="120" w:line="276" w:lineRule="auto"/>
              <w:contextualSpacing/>
              <w:jc w:val="right"/>
              <w:rPr>
                <w:b/>
                <w:bCs/>
                <w:noProof/>
                <w:u w:val="single"/>
              </w:rPr>
            </w:pPr>
            <w:r w:rsidRPr="005970E9">
              <w:rPr>
                <w:b/>
                <w:bCs/>
                <w:noProof/>
                <w:u w:val="single"/>
              </w:rPr>
              <w:t>0.0%</w:t>
            </w:r>
          </w:p>
        </w:tc>
      </w:tr>
    </w:tbl>
    <w:p w14:paraId="5E1797FA" w14:textId="77777777" w:rsidR="009F7DD0" w:rsidRPr="005970E9" w:rsidRDefault="009F7DD0" w:rsidP="009F7DD0">
      <w:pPr>
        <w:spacing w:before="120" w:after="120" w:line="276" w:lineRule="auto"/>
        <w:contextualSpacing/>
        <w:rPr>
          <w:noProof/>
        </w:rPr>
      </w:pPr>
      <w:r w:rsidRPr="005970E9">
        <w:rPr>
          <w:noProof/>
        </w:rPr>
        <w:t xml:space="preserve"> (P) Se refiere a datos preliminares.  Los datos mostrados en este informe pueden variar con el tiempo y proceso investigativo utilizados por los Fiscales de la Institución. </w:t>
      </w:r>
    </w:p>
    <w:p w14:paraId="4A2E4822" w14:textId="77777777" w:rsidR="009F7DD0" w:rsidRPr="005970E9" w:rsidRDefault="009F7DD0" w:rsidP="009F7DD0">
      <w:pPr>
        <w:spacing w:before="120" w:after="120" w:line="276" w:lineRule="auto"/>
        <w:contextualSpacing/>
        <w:jc w:val="both"/>
        <w:rPr>
          <w:noProof/>
        </w:rPr>
      </w:pPr>
      <w:r w:rsidRPr="005970E9">
        <w:rPr>
          <w:noProof/>
        </w:rPr>
        <w:t xml:space="preserve">(1) Las sumarias en averiguación se refieren a datos, en los cuales se esta en espera del informe del Instituto de Medicina Legal y Ciencias Forenses para determinar el Delito Específico. </w:t>
      </w:r>
    </w:p>
    <w:p w14:paraId="6C9212EC" w14:textId="77777777" w:rsidR="009F7DD0" w:rsidRPr="005970E9" w:rsidRDefault="009F7DD0" w:rsidP="009F7DD0">
      <w:pPr>
        <w:spacing w:before="120" w:after="120" w:line="276" w:lineRule="auto"/>
        <w:contextualSpacing/>
        <w:jc w:val="both"/>
        <w:rPr>
          <w:noProof/>
        </w:rPr>
      </w:pPr>
      <w:r w:rsidRPr="005970E9">
        <w:rPr>
          <w:noProof/>
        </w:rPr>
        <w:t>Fuente: Centro de Estadística, Ministerio Público/ Plataforma del SPA y Sistema Inquisitivo/ Adolescentes</w:t>
      </w:r>
    </w:p>
    <w:p w14:paraId="28C22B07" w14:textId="77777777" w:rsidR="009F7DD0" w:rsidRPr="005970E9" w:rsidRDefault="009F7DD0" w:rsidP="005970E9">
      <w:pPr>
        <w:rPr>
          <w:noProof/>
        </w:rPr>
      </w:pPr>
    </w:p>
    <w:p w14:paraId="3BF982C3" w14:textId="6E77CC09" w:rsidR="009F7DD0" w:rsidRPr="005970E9" w:rsidRDefault="009F7DD0" w:rsidP="005970E9">
      <w:pPr>
        <w:rPr>
          <w:noProof/>
        </w:rPr>
      </w:pPr>
      <w:r w:rsidRPr="005970E9">
        <w:rPr>
          <w:noProof/>
        </w:rPr>
        <w:t xml:space="preserve">En cuanto al total de 1,762  de violaciones denunciadas, 1, 558 (88.42%) eran del sexo femenino y 192 (11.58%) del masculino. El mayor número de violaciones se cometieron en menores de 0 a 14 años. </w:t>
      </w:r>
      <w:r w:rsidR="005970E9">
        <w:rPr>
          <w:noProof/>
        </w:rPr>
        <w:t xml:space="preserve">Ver tabla 22. </w:t>
      </w:r>
    </w:p>
    <w:p w14:paraId="6E1A36CC" w14:textId="77777777" w:rsidR="009F7DD0" w:rsidRPr="005970E9" w:rsidRDefault="009F7DD0" w:rsidP="005970E9">
      <w:pPr>
        <w:rPr>
          <w:noProof/>
        </w:rPr>
      </w:pPr>
    </w:p>
    <w:p w14:paraId="7EB526A4" w14:textId="34B7CAD5" w:rsidR="009F7DD0" w:rsidRPr="005970E9" w:rsidRDefault="009F7DD0" w:rsidP="009F7DD0">
      <w:pPr>
        <w:pStyle w:val="Caption"/>
        <w:rPr>
          <w:rFonts w:ascii="Century Schoolbook" w:hAnsi="Century Schoolbook"/>
          <w:i w:val="0"/>
          <w:iCs w:val="0"/>
          <w:noProof/>
        </w:rPr>
      </w:pPr>
      <w:bookmarkStart w:id="248" w:name="_Toc42293593"/>
      <w:bookmarkStart w:id="249" w:name="_Toc42549216"/>
      <w:r w:rsidRPr="005970E9">
        <w:rPr>
          <w:rFonts w:ascii="Century Schoolbook" w:hAnsi="Century Schoolbook"/>
        </w:rPr>
        <w:lastRenderedPageBreak/>
        <w:t xml:space="preserve">Tabla </w:t>
      </w:r>
      <w:r w:rsidRPr="005970E9">
        <w:rPr>
          <w:rFonts w:ascii="Century Schoolbook" w:hAnsi="Century Schoolbook"/>
        </w:rPr>
        <w:fldChar w:fldCharType="begin"/>
      </w:r>
      <w:r w:rsidRPr="005970E9">
        <w:rPr>
          <w:rFonts w:ascii="Century Schoolbook" w:hAnsi="Century Schoolbook"/>
        </w:rPr>
        <w:instrText>SEQ Tabla \* ARABIC</w:instrText>
      </w:r>
      <w:r w:rsidRPr="005970E9">
        <w:rPr>
          <w:rFonts w:ascii="Century Schoolbook" w:hAnsi="Century Schoolbook"/>
        </w:rPr>
        <w:fldChar w:fldCharType="separate"/>
      </w:r>
      <w:r w:rsidR="005970E9">
        <w:rPr>
          <w:rFonts w:ascii="Century Schoolbook" w:hAnsi="Century Schoolbook"/>
          <w:noProof/>
        </w:rPr>
        <w:t>22</w:t>
      </w:r>
      <w:r w:rsidRPr="005970E9">
        <w:rPr>
          <w:rFonts w:ascii="Century Schoolbook" w:hAnsi="Century Schoolbook"/>
        </w:rPr>
        <w:fldChar w:fldCharType="end"/>
      </w:r>
      <w:r w:rsidRPr="005970E9">
        <w:rPr>
          <w:rFonts w:ascii="Century Schoolbook" w:hAnsi="Century Schoolbook"/>
        </w:rPr>
        <w:t>.</w:t>
      </w:r>
      <w:r w:rsidRPr="005970E9">
        <w:rPr>
          <w:rFonts w:ascii="Century Schoolbook" w:hAnsi="Century Schoolbook"/>
          <w:i w:val="0"/>
          <w:iCs w:val="0"/>
          <w:noProof/>
        </w:rPr>
        <w:t xml:space="preserve"> Número de víctimas niños, niñas y adolescentes del art. 174 violación, del delito contra la libertad e integridad sexual a nivel nacional,  por género; según rango de edad. del 1 de enero  al 31 de diciembre de 2019 (P)</w:t>
      </w:r>
      <w:bookmarkEnd w:id="248"/>
      <w:bookmarkEnd w:id="249"/>
    </w:p>
    <w:tbl>
      <w:tblPr>
        <w:tblStyle w:val="TableGrid"/>
        <w:tblW w:w="0" w:type="auto"/>
        <w:tblLook w:val="04A0" w:firstRow="1" w:lastRow="0" w:firstColumn="1" w:lastColumn="0" w:noHBand="0" w:noVBand="1"/>
      </w:tblPr>
      <w:tblGrid>
        <w:gridCol w:w="3045"/>
        <w:gridCol w:w="1261"/>
        <w:gridCol w:w="1415"/>
        <w:gridCol w:w="1394"/>
        <w:gridCol w:w="1713"/>
      </w:tblGrid>
      <w:tr w:rsidR="009F7DD0" w:rsidRPr="005970E9" w14:paraId="488373B5" w14:textId="77777777" w:rsidTr="009F7DD0">
        <w:trPr>
          <w:trHeight w:val="342"/>
        </w:trPr>
        <w:tc>
          <w:tcPr>
            <w:tcW w:w="3114" w:type="dxa"/>
            <w:vMerge w:val="restart"/>
            <w:shd w:val="clear" w:color="auto" w:fill="CCC0D9" w:themeFill="accent4" w:themeFillTint="66"/>
            <w:hideMark/>
          </w:tcPr>
          <w:p w14:paraId="06986F92" w14:textId="77777777" w:rsidR="009F7DD0" w:rsidRPr="005970E9" w:rsidRDefault="009F7DD0" w:rsidP="009F7DD0">
            <w:pPr>
              <w:spacing w:before="120" w:after="120" w:line="276" w:lineRule="auto"/>
              <w:contextualSpacing/>
              <w:jc w:val="both"/>
              <w:rPr>
                <w:b/>
                <w:bCs/>
                <w:noProof/>
              </w:rPr>
            </w:pPr>
            <w:r w:rsidRPr="005970E9">
              <w:rPr>
                <w:b/>
                <w:bCs/>
                <w:noProof/>
              </w:rPr>
              <w:t>Rango de edad</w:t>
            </w:r>
          </w:p>
        </w:tc>
        <w:tc>
          <w:tcPr>
            <w:tcW w:w="1276" w:type="dxa"/>
            <w:vMerge w:val="restart"/>
            <w:shd w:val="clear" w:color="auto" w:fill="CCC0D9" w:themeFill="accent4" w:themeFillTint="66"/>
            <w:hideMark/>
          </w:tcPr>
          <w:p w14:paraId="20FCEF9C" w14:textId="77777777" w:rsidR="009F7DD0" w:rsidRPr="005970E9" w:rsidRDefault="009F7DD0" w:rsidP="009F7DD0">
            <w:pPr>
              <w:spacing w:before="120" w:after="120" w:line="276" w:lineRule="auto"/>
              <w:contextualSpacing/>
              <w:jc w:val="both"/>
              <w:rPr>
                <w:b/>
                <w:bCs/>
                <w:noProof/>
              </w:rPr>
            </w:pPr>
            <w:r w:rsidRPr="005970E9">
              <w:rPr>
                <w:b/>
                <w:bCs/>
                <w:noProof/>
              </w:rPr>
              <w:t>Total</w:t>
            </w:r>
          </w:p>
        </w:tc>
        <w:tc>
          <w:tcPr>
            <w:tcW w:w="4556" w:type="dxa"/>
            <w:gridSpan w:val="3"/>
            <w:shd w:val="clear" w:color="auto" w:fill="CCC0D9" w:themeFill="accent4" w:themeFillTint="66"/>
            <w:hideMark/>
          </w:tcPr>
          <w:p w14:paraId="2280F6A9" w14:textId="77777777" w:rsidR="009F7DD0" w:rsidRPr="005970E9" w:rsidRDefault="009F7DD0" w:rsidP="009F7DD0">
            <w:pPr>
              <w:spacing w:before="120" w:after="120" w:line="276" w:lineRule="auto"/>
              <w:contextualSpacing/>
              <w:jc w:val="center"/>
              <w:rPr>
                <w:b/>
                <w:bCs/>
                <w:noProof/>
              </w:rPr>
            </w:pPr>
            <w:r w:rsidRPr="005970E9">
              <w:rPr>
                <w:b/>
                <w:bCs/>
                <w:noProof/>
              </w:rPr>
              <w:t>Art. 174-Violación</w:t>
            </w:r>
          </w:p>
        </w:tc>
      </w:tr>
      <w:tr w:rsidR="009F7DD0" w:rsidRPr="005970E9" w14:paraId="53D100CF" w14:textId="77777777" w:rsidTr="009F7DD0">
        <w:trPr>
          <w:trHeight w:val="364"/>
        </w:trPr>
        <w:tc>
          <w:tcPr>
            <w:tcW w:w="3114" w:type="dxa"/>
            <w:vMerge/>
            <w:shd w:val="clear" w:color="auto" w:fill="CCC0D9" w:themeFill="accent4" w:themeFillTint="66"/>
            <w:hideMark/>
          </w:tcPr>
          <w:p w14:paraId="75FAB713" w14:textId="77777777" w:rsidR="009F7DD0" w:rsidRPr="005970E9" w:rsidRDefault="009F7DD0" w:rsidP="009F7DD0">
            <w:pPr>
              <w:spacing w:before="120" w:after="120" w:line="276" w:lineRule="auto"/>
              <w:contextualSpacing/>
              <w:jc w:val="both"/>
              <w:rPr>
                <w:b/>
                <w:bCs/>
                <w:noProof/>
              </w:rPr>
            </w:pPr>
          </w:p>
        </w:tc>
        <w:tc>
          <w:tcPr>
            <w:tcW w:w="1276" w:type="dxa"/>
            <w:vMerge/>
            <w:shd w:val="clear" w:color="auto" w:fill="CCC0D9" w:themeFill="accent4" w:themeFillTint="66"/>
            <w:hideMark/>
          </w:tcPr>
          <w:p w14:paraId="2E4E4951" w14:textId="77777777" w:rsidR="009F7DD0" w:rsidRPr="005970E9" w:rsidRDefault="009F7DD0" w:rsidP="009F7DD0">
            <w:pPr>
              <w:spacing w:before="120" w:after="120" w:line="276" w:lineRule="auto"/>
              <w:contextualSpacing/>
              <w:jc w:val="both"/>
              <w:rPr>
                <w:b/>
                <w:bCs/>
                <w:noProof/>
              </w:rPr>
            </w:pPr>
          </w:p>
        </w:tc>
        <w:tc>
          <w:tcPr>
            <w:tcW w:w="1417" w:type="dxa"/>
            <w:shd w:val="clear" w:color="auto" w:fill="CCC0D9" w:themeFill="accent4" w:themeFillTint="66"/>
            <w:hideMark/>
          </w:tcPr>
          <w:p w14:paraId="0C5F742F" w14:textId="77777777" w:rsidR="009F7DD0" w:rsidRPr="005970E9" w:rsidRDefault="009F7DD0" w:rsidP="009F7DD0">
            <w:pPr>
              <w:spacing w:before="120" w:after="120" w:line="276" w:lineRule="auto"/>
              <w:contextualSpacing/>
              <w:jc w:val="both"/>
              <w:rPr>
                <w:b/>
                <w:bCs/>
                <w:noProof/>
              </w:rPr>
            </w:pPr>
            <w:r w:rsidRPr="005970E9">
              <w:rPr>
                <w:b/>
                <w:bCs/>
                <w:noProof/>
              </w:rPr>
              <w:t>Femenino</w:t>
            </w:r>
          </w:p>
        </w:tc>
        <w:tc>
          <w:tcPr>
            <w:tcW w:w="1394" w:type="dxa"/>
            <w:shd w:val="clear" w:color="auto" w:fill="CCC0D9" w:themeFill="accent4" w:themeFillTint="66"/>
            <w:hideMark/>
          </w:tcPr>
          <w:p w14:paraId="44F8D4B0" w14:textId="77777777" w:rsidR="009F7DD0" w:rsidRPr="005970E9" w:rsidRDefault="009F7DD0" w:rsidP="009F7DD0">
            <w:pPr>
              <w:spacing w:before="120" w:after="120" w:line="276" w:lineRule="auto"/>
              <w:contextualSpacing/>
              <w:jc w:val="both"/>
              <w:rPr>
                <w:b/>
                <w:bCs/>
                <w:noProof/>
              </w:rPr>
            </w:pPr>
            <w:r w:rsidRPr="005970E9">
              <w:rPr>
                <w:b/>
                <w:bCs/>
                <w:noProof/>
              </w:rPr>
              <w:t>Masculino</w:t>
            </w:r>
          </w:p>
        </w:tc>
        <w:tc>
          <w:tcPr>
            <w:tcW w:w="1745" w:type="dxa"/>
            <w:shd w:val="clear" w:color="auto" w:fill="CCC0D9" w:themeFill="accent4" w:themeFillTint="66"/>
            <w:hideMark/>
          </w:tcPr>
          <w:p w14:paraId="190444D3" w14:textId="77777777" w:rsidR="009F7DD0" w:rsidRPr="005970E9" w:rsidRDefault="009F7DD0" w:rsidP="009F7DD0">
            <w:pPr>
              <w:spacing w:before="120" w:after="120" w:line="276" w:lineRule="auto"/>
              <w:contextualSpacing/>
              <w:jc w:val="both"/>
              <w:rPr>
                <w:b/>
                <w:bCs/>
                <w:noProof/>
              </w:rPr>
            </w:pPr>
            <w:r w:rsidRPr="005970E9">
              <w:rPr>
                <w:b/>
                <w:bCs/>
                <w:noProof/>
              </w:rPr>
              <w:t>Sin Dato (1)</w:t>
            </w:r>
          </w:p>
        </w:tc>
      </w:tr>
      <w:tr w:rsidR="009F7DD0" w:rsidRPr="005970E9" w14:paraId="089B2681" w14:textId="77777777" w:rsidTr="009F7DD0">
        <w:trPr>
          <w:trHeight w:val="300"/>
        </w:trPr>
        <w:tc>
          <w:tcPr>
            <w:tcW w:w="3114" w:type="dxa"/>
            <w:hideMark/>
          </w:tcPr>
          <w:p w14:paraId="1418DAD8" w14:textId="77777777" w:rsidR="009F7DD0" w:rsidRPr="005970E9" w:rsidRDefault="009F7DD0" w:rsidP="009F7DD0">
            <w:pPr>
              <w:spacing w:before="120" w:after="120" w:line="276" w:lineRule="auto"/>
              <w:contextualSpacing/>
              <w:jc w:val="both"/>
              <w:rPr>
                <w:b/>
                <w:bCs/>
                <w:noProof/>
              </w:rPr>
            </w:pPr>
            <w:r w:rsidRPr="005970E9">
              <w:rPr>
                <w:b/>
                <w:bCs/>
                <w:noProof/>
              </w:rPr>
              <w:t xml:space="preserve">     Total…</w:t>
            </w:r>
          </w:p>
        </w:tc>
        <w:tc>
          <w:tcPr>
            <w:tcW w:w="1276" w:type="dxa"/>
            <w:hideMark/>
          </w:tcPr>
          <w:p w14:paraId="18905B8D" w14:textId="77777777" w:rsidR="009F7DD0" w:rsidRPr="005970E9" w:rsidRDefault="009F7DD0" w:rsidP="009F7DD0">
            <w:pPr>
              <w:spacing w:before="120" w:after="120" w:line="276" w:lineRule="auto"/>
              <w:contextualSpacing/>
              <w:jc w:val="right"/>
              <w:rPr>
                <w:b/>
                <w:bCs/>
                <w:noProof/>
                <w:u w:val="single"/>
              </w:rPr>
            </w:pPr>
            <w:r w:rsidRPr="005970E9">
              <w:rPr>
                <w:b/>
                <w:bCs/>
                <w:noProof/>
                <w:u w:val="single"/>
              </w:rPr>
              <w:t>1762</w:t>
            </w:r>
          </w:p>
        </w:tc>
        <w:tc>
          <w:tcPr>
            <w:tcW w:w="1417" w:type="dxa"/>
            <w:hideMark/>
          </w:tcPr>
          <w:p w14:paraId="7514E3D8" w14:textId="77777777" w:rsidR="009F7DD0" w:rsidRPr="005970E9" w:rsidRDefault="009F7DD0" w:rsidP="009F7DD0">
            <w:pPr>
              <w:spacing w:before="120" w:after="120" w:line="276" w:lineRule="auto"/>
              <w:contextualSpacing/>
              <w:jc w:val="right"/>
              <w:rPr>
                <w:b/>
                <w:bCs/>
                <w:noProof/>
                <w:u w:val="single"/>
              </w:rPr>
            </w:pPr>
            <w:r w:rsidRPr="005970E9">
              <w:rPr>
                <w:b/>
                <w:bCs/>
                <w:noProof/>
                <w:u w:val="single"/>
              </w:rPr>
              <w:t>1558</w:t>
            </w:r>
          </w:p>
        </w:tc>
        <w:tc>
          <w:tcPr>
            <w:tcW w:w="1394" w:type="dxa"/>
            <w:hideMark/>
          </w:tcPr>
          <w:p w14:paraId="3D75DB71" w14:textId="77777777" w:rsidR="009F7DD0" w:rsidRPr="005970E9" w:rsidRDefault="009F7DD0" w:rsidP="009F7DD0">
            <w:pPr>
              <w:spacing w:before="120" w:after="120" w:line="276" w:lineRule="auto"/>
              <w:contextualSpacing/>
              <w:jc w:val="right"/>
              <w:rPr>
                <w:b/>
                <w:bCs/>
                <w:noProof/>
                <w:u w:val="single"/>
              </w:rPr>
            </w:pPr>
            <w:r w:rsidRPr="005970E9">
              <w:rPr>
                <w:b/>
                <w:bCs/>
                <w:noProof/>
                <w:u w:val="single"/>
              </w:rPr>
              <w:t>192</w:t>
            </w:r>
          </w:p>
        </w:tc>
        <w:tc>
          <w:tcPr>
            <w:tcW w:w="1745" w:type="dxa"/>
            <w:hideMark/>
          </w:tcPr>
          <w:p w14:paraId="6D704F32" w14:textId="77777777" w:rsidR="009F7DD0" w:rsidRPr="005970E9" w:rsidRDefault="009F7DD0" w:rsidP="009F7DD0">
            <w:pPr>
              <w:spacing w:before="120" w:after="120" w:line="276" w:lineRule="auto"/>
              <w:contextualSpacing/>
              <w:jc w:val="right"/>
              <w:rPr>
                <w:b/>
                <w:bCs/>
                <w:noProof/>
                <w:u w:val="single"/>
              </w:rPr>
            </w:pPr>
            <w:r w:rsidRPr="005970E9">
              <w:rPr>
                <w:b/>
                <w:bCs/>
                <w:noProof/>
                <w:u w:val="single"/>
              </w:rPr>
              <w:t>12</w:t>
            </w:r>
          </w:p>
        </w:tc>
      </w:tr>
      <w:tr w:rsidR="009F7DD0" w:rsidRPr="005970E9" w14:paraId="02F8E9D9" w14:textId="77777777" w:rsidTr="009F7DD0">
        <w:trPr>
          <w:trHeight w:val="300"/>
        </w:trPr>
        <w:tc>
          <w:tcPr>
            <w:tcW w:w="3114" w:type="dxa"/>
            <w:hideMark/>
          </w:tcPr>
          <w:p w14:paraId="4320E7B9" w14:textId="77777777" w:rsidR="009F7DD0" w:rsidRPr="005970E9" w:rsidRDefault="009F7DD0" w:rsidP="009F7DD0">
            <w:pPr>
              <w:spacing w:before="120" w:after="120" w:line="276" w:lineRule="auto"/>
              <w:contextualSpacing/>
              <w:jc w:val="both"/>
              <w:rPr>
                <w:noProof/>
              </w:rPr>
            </w:pPr>
            <w:r w:rsidRPr="005970E9">
              <w:rPr>
                <w:noProof/>
              </w:rPr>
              <w:t>0-4 Años</w:t>
            </w:r>
          </w:p>
        </w:tc>
        <w:tc>
          <w:tcPr>
            <w:tcW w:w="1276" w:type="dxa"/>
            <w:hideMark/>
          </w:tcPr>
          <w:p w14:paraId="60667B46" w14:textId="77777777" w:rsidR="009F7DD0" w:rsidRPr="005970E9" w:rsidRDefault="009F7DD0" w:rsidP="009F7DD0">
            <w:pPr>
              <w:spacing w:before="120" w:after="120" w:line="276" w:lineRule="auto"/>
              <w:contextualSpacing/>
              <w:jc w:val="right"/>
              <w:rPr>
                <w:bCs/>
                <w:noProof/>
              </w:rPr>
            </w:pPr>
            <w:r w:rsidRPr="005970E9">
              <w:rPr>
                <w:bCs/>
                <w:noProof/>
              </w:rPr>
              <w:t>81</w:t>
            </w:r>
          </w:p>
        </w:tc>
        <w:tc>
          <w:tcPr>
            <w:tcW w:w="1417" w:type="dxa"/>
            <w:hideMark/>
          </w:tcPr>
          <w:p w14:paraId="569408D1" w14:textId="77777777" w:rsidR="009F7DD0" w:rsidRPr="005970E9" w:rsidRDefault="009F7DD0" w:rsidP="009F7DD0">
            <w:pPr>
              <w:spacing w:before="120" w:after="120" w:line="276" w:lineRule="auto"/>
              <w:contextualSpacing/>
              <w:jc w:val="right"/>
              <w:rPr>
                <w:noProof/>
              </w:rPr>
            </w:pPr>
            <w:r w:rsidRPr="005970E9">
              <w:rPr>
                <w:noProof/>
              </w:rPr>
              <w:t>56</w:t>
            </w:r>
          </w:p>
        </w:tc>
        <w:tc>
          <w:tcPr>
            <w:tcW w:w="1394" w:type="dxa"/>
            <w:hideMark/>
          </w:tcPr>
          <w:p w14:paraId="08231258" w14:textId="77777777" w:rsidR="009F7DD0" w:rsidRPr="005970E9" w:rsidRDefault="009F7DD0" w:rsidP="009F7DD0">
            <w:pPr>
              <w:spacing w:before="120" w:after="120" w:line="276" w:lineRule="auto"/>
              <w:contextualSpacing/>
              <w:jc w:val="right"/>
              <w:rPr>
                <w:noProof/>
              </w:rPr>
            </w:pPr>
            <w:r w:rsidRPr="005970E9">
              <w:rPr>
                <w:noProof/>
              </w:rPr>
              <w:t>25</w:t>
            </w:r>
          </w:p>
        </w:tc>
        <w:tc>
          <w:tcPr>
            <w:tcW w:w="1745" w:type="dxa"/>
            <w:hideMark/>
          </w:tcPr>
          <w:p w14:paraId="44837A55" w14:textId="77777777" w:rsidR="009F7DD0" w:rsidRPr="005970E9" w:rsidRDefault="009F7DD0" w:rsidP="009F7DD0">
            <w:pPr>
              <w:spacing w:before="120" w:after="120" w:line="276" w:lineRule="auto"/>
              <w:contextualSpacing/>
              <w:jc w:val="right"/>
              <w:rPr>
                <w:noProof/>
              </w:rPr>
            </w:pPr>
            <w:r w:rsidRPr="005970E9">
              <w:rPr>
                <w:noProof/>
              </w:rPr>
              <w:t>0</w:t>
            </w:r>
          </w:p>
        </w:tc>
      </w:tr>
      <w:tr w:rsidR="009F7DD0" w:rsidRPr="005970E9" w14:paraId="658D92A6" w14:textId="77777777" w:rsidTr="009F7DD0">
        <w:trPr>
          <w:trHeight w:val="300"/>
        </w:trPr>
        <w:tc>
          <w:tcPr>
            <w:tcW w:w="3114" w:type="dxa"/>
            <w:hideMark/>
          </w:tcPr>
          <w:p w14:paraId="222FCA94" w14:textId="77777777" w:rsidR="009F7DD0" w:rsidRPr="005970E9" w:rsidRDefault="009F7DD0" w:rsidP="009F7DD0">
            <w:pPr>
              <w:spacing w:before="120" w:after="120" w:line="276" w:lineRule="auto"/>
              <w:contextualSpacing/>
              <w:jc w:val="both"/>
              <w:rPr>
                <w:noProof/>
              </w:rPr>
            </w:pPr>
            <w:r w:rsidRPr="005970E9">
              <w:rPr>
                <w:noProof/>
              </w:rPr>
              <w:t>5-9 Años</w:t>
            </w:r>
          </w:p>
        </w:tc>
        <w:tc>
          <w:tcPr>
            <w:tcW w:w="1276" w:type="dxa"/>
            <w:hideMark/>
          </w:tcPr>
          <w:p w14:paraId="1E7B51B5" w14:textId="77777777" w:rsidR="009F7DD0" w:rsidRPr="005970E9" w:rsidRDefault="009F7DD0" w:rsidP="009F7DD0">
            <w:pPr>
              <w:spacing w:before="120" w:after="120" w:line="276" w:lineRule="auto"/>
              <w:contextualSpacing/>
              <w:jc w:val="right"/>
              <w:rPr>
                <w:bCs/>
                <w:noProof/>
              </w:rPr>
            </w:pPr>
            <w:r w:rsidRPr="005970E9">
              <w:rPr>
                <w:bCs/>
                <w:noProof/>
              </w:rPr>
              <w:t>196</w:t>
            </w:r>
          </w:p>
        </w:tc>
        <w:tc>
          <w:tcPr>
            <w:tcW w:w="1417" w:type="dxa"/>
            <w:hideMark/>
          </w:tcPr>
          <w:p w14:paraId="7BFA513C" w14:textId="77777777" w:rsidR="009F7DD0" w:rsidRPr="005970E9" w:rsidRDefault="009F7DD0" w:rsidP="009F7DD0">
            <w:pPr>
              <w:spacing w:before="120" w:after="120" w:line="276" w:lineRule="auto"/>
              <w:contextualSpacing/>
              <w:jc w:val="right"/>
              <w:rPr>
                <w:noProof/>
              </w:rPr>
            </w:pPr>
            <w:r w:rsidRPr="005970E9">
              <w:rPr>
                <w:noProof/>
              </w:rPr>
              <w:t>124</w:t>
            </w:r>
          </w:p>
        </w:tc>
        <w:tc>
          <w:tcPr>
            <w:tcW w:w="1394" w:type="dxa"/>
            <w:hideMark/>
          </w:tcPr>
          <w:p w14:paraId="4D0B6BBF" w14:textId="77777777" w:rsidR="009F7DD0" w:rsidRPr="005970E9" w:rsidRDefault="009F7DD0" w:rsidP="009F7DD0">
            <w:pPr>
              <w:spacing w:before="120" w:after="120" w:line="276" w:lineRule="auto"/>
              <w:contextualSpacing/>
              <w:jc w:val="right"/>
              <w:rPr>
                <w:noProof/>
              </w:rPr>
            </w:pPr>
            <w:r w:rsidRPr="005970E9">
              <w:rPr>
                <w:noProof/>
              </w:rPr>
              <w:t>71</w:t>
            </w:r>
          </w:p>
        </w:tc>
        <w:tc>
          <w:tcPr>
            <w:tcW w:w="1745" w:type="dxa"/>
            <w:hideMark/>
          </w:tcPr>
          <w:p w14:paraId="4A316F74" w14:textId="77777777" w:rsidR="009F7DD0" w:rsidRPr="005970E9" w:rsidRDefault="009F7DD0" w:rsidP="009F7DD0">
            <w:pPr>
              <w:spacing w:before="120" w:after="120" w:line="276" w:lineRule="auto"/>
              <w:contextualSpacing/>
              <w:jc w:val="right"/>
              <w:rPr>
                <w:noProof/>
              </w:rPr>
            </w:pPr>
            <w:r w:rsidRPr="005970E9">
              <w:rPr>
                <w:noProof/>
              </w:rPr>
              <w:t>1</w:t>
            </w:r>
          </w:p>
        </w:tc>
      </w:tr>
      <w:tr w:rsidR="009F7DD0" w:rsidRPr="005970E9" w14:paraId="34A2B2C3" w14:textId="77777777" w:rsidTr="009F7DD0">
        <w:trPr>
          <w:trHeight w:val="300"/>
        </w:trPr>
        <w:tc>
          <w:tcPr>
            <w:tcW w:w="3114" w:type="dxa"/>
            <w:hideMark/>
          </w:tcPr>
          <w:p w14:paraId="033FDE86" w14:textId="77777777" w:rsidR="009F7DD0" w:rsidRPr="005970E9" w:rsidRDefault="009F7DD0" w:rsidP="009F7DD0">
            <w:pPr>
              <w:spacing w:before="120" w:after="120" w:line="276" w:lineRule="auto"/>
              <w:contextualSpacing/>
              <w:jc w:val="both"/>
              <w:rPr>
                <w:noProof/>
              </w:rPr>
            </w:pPr>
            <w:r w:rsidRPr="005970E9">
              <w:rPr>
                <w:noProof/>
              </w:rPr>
              <w:t>10-14 Años</w:t>
            </w:r>
          </w:p>
        </w:tc>
        <w:tc>
          <w:tcPr>
            <w:tcW w:w="1276" w:type="dxa"/>
            <w:hideMark/>
          </w:tcPr>
          <w:p w14:paraId="44486397" w14:textId="77777777" w:rsidR="009F7DD0" w:rsidRPr="005970E9" w:rsidRDefault="009F7DD0" w:rsidP="009F7DD0">
            <w:pPr>
              <w:spacing w:before="120" w:after="120" w:line="276" w:lineRule="auto"/>
              <w:contextualSpacing/>
              <w:jc w:val="right"/>
              <w:rPr>
                <w:bCs/>
                <w:noProof/>
              </w:rPr>
            </w:pPr>
            <w:r w:rsidRPr="005970E9">
              <w:rPr>
                <w:bCs/>
                <w:noProof/>
              </w:rPr>
              <w:t>821</w:t>
            </w:r>
          </w:p>
        </w:tc>
        <w:tc>
          <w:tcPr>
            <w:tcW w:w="1417" w:type="dxa"/>
            <w:hideMark/>
          </w:tcPr>
          <w:p w14:paraId="28217871" w14:textId="77777777" w:rsidR="009F7DD0" w:rsidRPr="005970E9" w:rsidRDefault="009F7DD0" w:rsidP="009F7DD0">
            <w:pPr>
              <w:spacing w:before="120" w:after="120" w:line="276" w:lineRule="auto"/>
              <w:contextualSpacing/>
              <w:jc w:val="right"/>
              <w:rPr>
                <w:noProof/>
              </w:rPr>
            </w:pPr>
            <w:r w:rsidRPr="005970E9">
              <w:rPr>
                <w:noProof/>
              </w:rPr>
              <w:t>764</w:t>
            </w:r>
          </w:p>
        </w:tc>
        <w:tc>
          <w:tcPr>
            <w:tcW w:w="1394" w:type="dxa"/>
            <w:hideMark/>
          </w:tcPr>
          <w:p w14:paraId="271656B4" w14:textId="77777777" w:rsidR="009F7DD0" w:rsidRPr="005970E9" w:rsidRDefault="009F7DD0" w:rsidP="009F7DD0">
            <w:pPr>
              <w:spacing w:before="120" w:after="120" w:line="276" w:lineRule="auto"/>
              <w:contextualSpacing/>
              <w:jc w:val="right"/>
              <w:rPr>
                <w:noProof/>
              </w:rPr>
            </w:pPr>
            <w:r w:rsidRPr="005970E9">
              <w:rPr>
                <w:noProof/>
              </w:rPr>
              <w:t>50</w:t>
            </w:r>
          </w:p>
        </w:tc>
        <w:tc>
          <w:tcPr>
            <w:tcW w:w="1745" w:type="dxa"/>
            <w:hideMark/>
          </w:tcPr>
          <w:p w14:paraId="1F08EE17" w14:textId="77777777" w:rsidR="009F7DD0" w:rsidRPr="005970E9" w:rsidRDefault="009F7DD0" w:rsidP="009F7DD0">
            <w:pPr>
              <w:spacing w:before="120" w:after="120" w:line="276" w:lineRule="auto"/>
              <w:contextualSpacing/>
              <w:jc w:val="right"/>
              <w:rPr>
                <w:noProof/>
              </w:rPr>
            </w:pPr>
            <w:r w:rsidRPr="005970E9">
              <w:rPr>
                <w:noProof/>
              </w:rPr>
              <w:t>7</w:t>
            </w:r>
          </w:p>
        </w:tc>
      </w:tr>
      <w:tr w:rsidR="009F7DD0" w:rsidRPr="005970E9" w14:paraId="1B54D318" w14:textId="77777777" w:rsidTr="009F7DD0">
        <w:trPr>
          <w:trHeight w:val="300"/>
        </w:trPr>
        <w:tc>
          <w:tcPr>
            <w:tcW w:w="3114" w:type="dxa"/>
            <w:hideMark/>
          </w:tcPr>
          <w:p w14:paraId="60B0A47A" w14:textId="77777777" w:rsidR="009F7DD0" w:rsidRPr="005970E9" w:rsidRDefault="009F7DD0" w:rsidP="009F7DD0">
            <w:pPr>
              <w:spacing w:before="120" w:after="120" w:line="276" w:lineRule="auto"/>
              <w:contextualSpacing/>
              <w:jc w:val="both"/>
              <w:rPr>
                <w:noProof/>
              </w:rPr>
            </w:pPr>
            <w:r w:rsidRPr="005970E9">
              <w:rPr>
                <w:noProof/>
              </w:rPr>
              <w:t xml:space="preserve">15-17 Años </w:t>
            </w:r>
          </w:p>
        </w:tc>
        <w:tc>
          <w:tcPr>
            <w:tcW w:w="1276" w:type="dxa"/>
            <w:hideMark/>
          </w:tcPr>
          <w:p w14:paraId="73A2BAA7" w14:textId="77777777" w:rsidR="009F7DD0" w:rsidRPr="005970E9" w:rsidRDefault="009F7DD0" w:rsidP="009F7DD0">
            <w:pPr>
              <w:spacing w:before="120" w:after="120" w:line="276" w:lineRule="auto"/>
              <w:contextualSpacing/>
              <w:jc w:val="right"/>
              <w:rPr>
                <w:bCs/>
                <w:noProof/>
              </w:rPr>
            </w:pPr>
            <w:r w:rsidRPr="005970E9">
              <w:rPr>
                <w:bCs/>
                <w:noProof/>
              </w:rPr>
              <w:t>664</w:t>
            </w:r>
          </w:p>
        </w:tc>
        <w:tc>
          <w:tcPr>
            <w:tcW w:w="1417" w:type="dxa"/>
            <w:hideMark/>
          </w:tcPr>
          <w:p w14:paraId="44DF8CCF" w14:textId="77777777" w:rsidR="009F7DD0" w:rsidRPr="005970E9" w:rsidRDefault="009F7DD0" w:rsidP="009F7DD0">
            <w:pPr>
              <w:spacing w:before="120" w:after="120" w:line="276" w:lineRule="auto"/>
              <w:contextualSpacing/>
              <w:jc w:val="right"/>
              <w:rPr>
                <w:noProof/>
              </w:rPr>
            </w:pPr>
            <w:r w:rsidRPr="005970E9">
              <w:rPr>
                <w:noProof/>
              </w:rPr>
              <w:t>614</w:t>
            </w:r>
          </w:p>
        </w:tc>
        <w:tc>
          <w:tcPr>
            <w:tcW w:w="1394" w:type="dxa"/>
            <w:hideMark/>
          </w:tcPr>
          <w:p w14:paraId="4F29A9A7" w14:textId="77777777" w:rsidR="009F7DD0" w:rsidRPr="005970E9" w:rsidRDefault="009F7DD0" w:rsidP="009F7DD0">
            <w:pPr>
              <w:spacing w:before="120" w:after="120" w:line="276" w:lineRule="auto"/>
              <w:contextualSpacing/>
              <w:jc w:val="right"/>
              <w:rPr>
                <w:noProof/>
              </w:rPr>
            </w:pPr>
            <w:r w:rsidRPr="005970E9">
              <w:rPr>
                <w:noProof/>
              </w:rPr>
              <w:t>46</w:t>
            </w:r>
          </w:p>
        </w:tc>
        <w:tc>
          <w:tcPr>
            <w:tcW w:w="1745" w:type="dxa"/>
            <w:hideMark/>
          </w:tcPr>
          <w:p w14:paraId="0C5E5E50" w14:textId="77777777" w:rsidR="009F7DD0" w:rsidRPr="005970E9" w:rsidRDefault="009F7DD0" w:rsidP="009F7DD0">
            <w:pPr>
              <w:spacing w:before="120" w:after="120" w:line="276" w:lineRule="auto"/>
              <w:contextualSpacing/>
              <w:jc w:val="right"/>
              <w:rPr>
                <w:noProof/>
              </w:rPr>
            </w:pPr>
            <w:r w:rsidRPr="005970E9">
              <w:rPr>
                <w:noProof/>
              </w:rPr>
              <w:t>4</w:t>
            </w:r>
          </w:p>
        </w:tc>
      </w:tr>
    </w:tbl>
    <w:p w14:paraId="203303C2" w14:textId="77777777" w:rsidR="009F7DD0" w:rsidRPr="005970E9" w:rsidRDefault="009F7DD0" w:rsidP="009F7DD0">
      <w:pPr>
        <w:spacing w:before="120" w:after="120" w:line="276" w:lineRule="auto"/>
        <w:contextualSpacing/>
        <w:jc w:val="both"/>
        <w:rPr>
          <w:noProof/>
        </w:rPr>
      </w:pPr>
      <w:r w:rsidRPr="005970E9">
        <w:rPr>
          <w:noProof/>
        </w:rPr>
        <w:t xml:space="preserve">(P) Se refiere a datos preliminares.  Los datos mostrados en este informe pueden variar con el tiempo y proceso investigativo utilizados por los Fiscales de la Institución. </w:t>
      </w:r>
    </w:p>
    <w:p w14:paraId="6023DA41" w14:textId="77777777" w:rsidR="009F7DD0" w:rsidRPr="005970E9" w:rsidRDefault="009F7DD0" w:rsidP="009F7DD0">
      <w:pPr>
        <w:spacing w:before="120" w:after="120" w:line="276" w:lineRule="auto"/>
        <w:contextualSpacing/>
        <w:jc w:val="both"/>
        <w:rPr>
          <w:noProof/>
        </w:rPr>
      </w:pPr>
      <w:r w:rsidRPr="005970E9">
        <w:rPr>
          <w:noProof/>
        </w:rPr>
        <w:t>(1) Los registros sin datos corresponden a casos que se encuentran en Investigación.</w:t>
      </w:r>
    </w:p>
    <w:p w14:paraId="5A78D2F8" w14:textId="77777777" w:rsidR="009F7DD0" w:rsidRPr="005970E9" w:rsidRDefault="009F7DD0" w:rsidP="009F7DD0">
      <w:pPr>
        <w:spacing w:before="120" w:after="120" w:line="276" w:lineRule="auto"/>
        <w:contextualSpacing/>
        <w:jc w:val="both"/>
        <w:rPr>
          <w:noProof/>
        </w:rPr>
      </w:pPr>
      <w:r w:rsidRPr="005970E9">
        <w:rPr>
          <w:noProof/>
        </w:rPr>
        <w:t>Fuente: Centro de Estadística, Ministerio Público/ Plataforma del SPA y Sistema Inquisitivo/ Adolescentes .</w:t>
      </w:r>
    </w:p>
    <w:p w14:paraId="68424863" w14:textId="77777777" w:rsidR="009F7DD0" w:rsidRPr="005970E9" w:rsidRDefault="009F7DD0" w:rsidP="009F7DD0">
      <w:pPr>
        <w:spacing w:before="120" w:after="120" w:line="276" w:lineRule="auto"/>
        <w:contextualSpacing/>
        <w:jc w:val="both"/>
        <w:rPr>
          <w:b/>
        </w:rPr>
      </w:pPr>
    </w:p>
    <w:p w14:paraId="51DFE511" w14:textId="12AAC1AB" w:rsidR="009F7DD0" w:rsidRPr="005970E9" w:rsidRDefault="009F7DD0" w:rsidP="000E7B3A">
      <w:pPr>
        <w:spacing w:line="276" w:lineRule="auto"/>
        <w:jc w:val="both"/>
      </w:pPr>
      <w:r w:rsidRPr="005970E9">
        <w:t>En el año 2019 se denunciaron 285 violaciones doblemente agravada</w:t>
      </w:r>
      <w:r w:rsidRPr="005970E9">
        <w:rPr>
          <w:rStyle w:val="FootnoteReference"/>
        </w:rPr>
        <w:footnoteReference w:id="53"/>
      </w:r>
      <w:r w:rsidRPr="005970E9">
        <w:t xml:space="preserve">, de las cuales 262 (91.92%) de las víctimas eran del sexo femenino, de estas 11 (4.19%) tienen de 0 a 4 años, y 32 (12.21%) de 5 a 9 años de edad, según datos suministrados por el Ministerio Público.  </w:t>
      </w:r>
      <w:r w:rsidR="000E7B3A">
        <w:t>Ver tabla 23.</w:t>
      </w:r>
    </w:p>
    <w:p w14:paraId="1563949F" w14:textId="77777777" w:rsidR="009F7DD0" w:rsidRPr="005970E9" w:rsidRDefault="009F7DD0" w:rsidP="000E7B3A">
      <w:pPr>
        <w:spacing w:line="276" w:lineRule="auto"/>
        <w:rPr>
          <w:b/>
        </w:rPr>
      </w:pPr>
    </w:p>
    <w:p w14:paraId="28494A44" w14:textId="629F5EA1" w:rsidR="009F7DD0" w:rsidRPr="005970E9" w:rsidRDefault="009F7DD0" w:rsidP="009F7DD0">
      <w:pPr>
        <w:pStyle w:val="Caption"/>
        <w:jc w:val="both"/>
        <w:rPr>
          <w:rFonts w:ascii="Century Schoolbook" w:hAnsi="Century Schoolbook"/>
          <w:bCs/>
        </w:rPr>
      </w:pPr>
      <w:bookmarkStart w:id="250" w:name="_Toc42293594"/>
      <w:bookmarkStart w:id="251" w:name="_Toc42549217"/>
      <w:r w:rsidRPr="005970E9">
        <w:rPr>
          <w:rFonts w:ascii="Century Schoolbook" w:hAnsi="Century Schoolbook"/>
        </w:rPr>
        <w:t xml:space="preserve">Tabla </w:t>
      </w:r>
      <w:r w:rsidRPr="005970E9">
        <w:rPr>
          <w:rFonts w:ascii="Century Schoolbook" w:hAnsi="Century Schoolbook"/>
        </w:rPr>
        <w:fldChar w:fldCharType="begin"/>
      </w:r>
      <w:r w:rsidRPr="005970E9">
        <w:rPr>
          <w:rFonts w:ascii="Century Schoolbook" w:hAnsi="Century Schoolbook"/>
        </w:rPr>
        <w:instrText>SEQ Tabla \* ARABIC</w:instrText>
      </w:r>
      <w:r w:rsidRPr="005970E9">
        <w:rPr>
          <w:rFonts w:ascii="Century Schoolbook" w:hAnsi="Century Schoolbook"/>
        </w:rPr>
        <w:fldChar w:fldCharType="separate"/>
      </w:r>
      <w:r w:rsidR="000E7B3A">
        <w:rPr>
          <w:rFonts w:ascii="Century Schoolbook" w:hAnsi="Century Schoolbook"/>
          <w:noProof/>
        </w:rPr>
        <w:t>23</w:t>
      </w:r>
      <w:r w:rsidRPr="005970E9">
        <w:rPr>
          <w:rFonts w:ascii="Century Schoolbook" w:hAnsi="Century Schoolbook"/>
        </w:rPr>
        <w:fldChar w:fldCharType="end"/>
      </w:r>
      <w:r w:rsidRPr="005970E9">
        <w:rPr>
          <w:rFonts w:ascii="Century Schoolbook" w:hAnsi="Century Schoolbook"/>
        </w:rPr>
        <w:t xml:space="preserve">. </w:t>
      </w:r>
      <w:r w:rsidRPr="005970E9">
        <w:rPr>
          <w:rFonts w:ascii="Century Schoolbook" w:hAnsi="Century Schoolbook"/>
          <w:bCs/>
          <w:i w:val="0"/>
          <w:iCs w:val="0"/>
        </w:rPr>
        <w:t>Número de víctimas niños, niñas y adolescentes del art. 175 violaciones doblemente agravado, del delito contra la libertad e integridad sexual a nivel nacional, por género; según rango de edad. Del 1 de enero al 31 de diciembre de 2019 (P).</w:t>
      </w:r>
      <w:bookmarkEnd w:id="250"/>
      <w:bookmarkEnd w:id="251"/>
    </w:p>
    <w:tbl>
      <w:tblPr>
        <w:tblStyle w:val="TableGrid"/>
        <w:tblW w:w="8790" w:type="dxa"/>
        <w:tblLook w:val="04A0" w:firstRow="1" w:lastRow="0" w:firstColumn="1" w:lastColumn="0" w:noHBand="0" w:noVBand="1"/>
      </w:tblPr>
      <w:tblGrid>
        <w:gridCol w:w="3758"/>
        <w:gridCol w:w="1040"/>
        <w:gridCol w:w="1357"/>
        <w:gridCol w:w="1394"/>
        <w:gridCol w:w="1241"/>
      </w:tblGrid>
      <w:tr w:rsidR="009F7DD0" w:rsidRPr="005970E9" w14:paraId="59DF6468" w14:textId="77777777" w:rsidTr="009F7DD0">
        <w:trPr>
          <w:trHeight w:val="277"/>
        </w:trPr>
        <w:tc>
          <w:tcPr>
            <w:tcW w:w="3758" w:type="dxa"/>
            <w:vMerge w:val="restart"/>
            <w:shd w:val="clear" w:color="auto" w:fill="CCC0D9" w:themeFill="accent4" w:themeFillTint="66"/>
            <w:hideMark/>
          </w:tcPr>
          <w:p w14:paraId="1EB2D684" w14:textId="4C893683" w:rsidR="009F7DD0" w:rsidRPr="005970E9" w:rsidRDefault="009F7DD0" w:rsidP="009F7DD0">
            <w:pPr>
              <w:spacing w:before="120" w:after="120" w:line="276" w:lineRule="auto"/>
              <w:contextualSpacing/>
              <w:jc w:val="both"/>
              <w:rPr>
                <w:b/>
                <w:bCs/>
              </w:rPr>
            </w:pPr>
          </w:p>
          <w:p w14:paraId="4DDC4830" w14:textId="54DC8534" w:rsidR="009F7DD0" w:rsidRPr="005970E9" w:rsidRDefault="009F7DD0" w:rsidP="009F7DD0">
            <w:pPr>
              <w:spacing w:before="120" w:after="120" w:line="276" w:lineRule="auto"/>
              <w:contextualSpacing/>
              <w:jc w:val="center"/>
              <w:rPr>
                <w:b/>
                <w:bCs/>
              </w:rPr>
            </w:pPr>
            <w:r w:rsidRPr="005970E9">
              <w:rPr>
                <w:b/>
                <w:bCs/>
              </w:rPr>
              <w:t>Total</w:t>
            </w:r>
          </w:p>
        </w:tc>
        <w:tc>
          <w:tcPr>
            <w:tcW w:w="1040" w:type="dxa"/>
            <w:shd w:val="clear" w:color="auto" w:fill="CCC0D9" w:themeFill="accent4" w:themeFillTint="66"/>
            <w:hideMark/>
          </w:tcPr>
          <w:p w14:paraId="16CA4929" w14:textId="77777777" w:rsidR="009F7DD0" w:rsidRPr="005970E9" w:rsidRDefault="009F7DD0" w:rsidP="009F7DD0">
            <w:pPr>
              <w:spacing w:before="120" w:after="120" w:line="276" w:lineRule="auto"/>
              <w:contextualSpacing/>
              <w:jc w:val="both"/>
              <w:rPr>
                <w:b/>
                <w:bCs/>
              </w:rPr>
            </w:pPr>
            <w:r w:rsidRPr="005970E9">
              <w:rPr>
                <w:b/>
                <w:bCs/>
              </w:rPr>
              <w:t xml:space="preserve">Total </w:t>
            </w:r>
          </w:p>
        </w:tc>
        <w:tc>
          <w:tcPr>
            <w:tcW w:w="1357" w:type="dxa"/>
            <w:shd w:val="clear" w:color="auto" w:fill="CCC0D9" w:themeFill="accent4" w:themeFillTint="66"/>
            <w:hideMark/>
          </w:tcPr>
          <w:p w14:paraId="696556B3" w14:textId="77777777" w:rsidR="009F7DD0" w:rsidRPr="005970E9" w:rsidRDefault="009F7DD0" w:rsidP="009F7DD0">
            <w:pPr>
              <w:spacing w:before="120" w:after="120" w:line="276" w:lineRule="auto"/>
              <w:contextualSpacing/>
              <w:jc w:val="both"/>
              <w:rPr>
                <w:b/>
                <w:bCs/>
              </w:rPr>
            </w:pPr>
            <w:r w:rsidRPr="005970E9">
              <w:rPr>
                <w:b/>
                <w:bCs/>
              </w:rPr>
              <w:t>Femenino</w:t>
            </w:r>
          </w:p>
        </w:tc>
        <w:tc>
          <w:tcPr>
            <w:tcW w:w="1394" w:type="dxa"/>
            <w:shd w:val="clear" w:color="auto" w:fill="CCC0D9" w:themeFill="accent4" w:themeFillTint="66"/>
            <w:hideMark/>
          </w:tcPr>
          <w:p w14:paraId="6FBC02B1" w14:textId="77777777" w:rsidR="009F7DD0" w:rsidRPr="005970E9" w:rsidRDefault="009F7DD0" w:rsidP="009F7DD0">
            <w:pPr>
              <w:spacing w:before="120" w:after="120" w:line="276" w:lineRule="auto"/>
              <w:contextualSpacing/>
              <w:jc w:val="both"/>
              <w:rPr>
                <w:b/>
                <w:bCs/>
              </w:rPr>
            </w:pPr>
            <w:r w:rsidRPr="005970E9">
              <w:rPr>
                <w:b/>
                <w:bCs/>
              </w:rPr>
              <w:t>Masculino</w:t>
            </w:r>
          </w:p>
        </w:tc>
        <w:tc>
          <w:tcPr>
            <w:tcW w:w="1241" w:type="dxa"/>
            <w:shd w:val="clear" w:color="auto" w:fill="CCC0D9" w:themeFill="accent4" w:themeFillTint="66"/>
            <w:hideMark/>
          </w:tcPr>
          <w:p w14:paraId="1AC02F32" w14:textId="77777777" w:rsidR="009F7DD0" w:rsidRPr="005970E9" w:rsidRDefault="009F7DD0" w:rsidP="009F7DD0">
            <w:pPr>
              <w:spacing w:before="120" w:after="120" w:line="276" w:lineRule="auto"/>
              <w:contextualSpacing/>
              <w:jc w:val="both"/>
              <w:rPr>
                <w:b/>
                <w:bCs/>
              </w:rPr>
            </w:pPr>
            <w:r w:rsidRPr="005970E9">
              <w:rPr>
                <w:b/>
                <w:bCs/>
              </w:rPr>
              <w:t xml:space="preserve">Sin datos </w:t>
            </w:r>
          </w:p>
        </w:tc>
      </w:tr>
      <w:tr w:rsidR="009F7DD0" w:rsidRPr="005970E9" w14:paraId="0DF83DC1" w14:textId="77777777" w:rsidTr="009F7DD0">
        <w:trPr>
          <w:trHeight w:val="47"/>
        </w:trPr>
        <w:tc>
          <w:tcPr>
            <w:tcW w:w="3758" w:type="dxa"/>
            <w:vMerge/>
            <w:shd w:val="clear" w:color="auto" w:fill="CCC0D9" w:themeFill="accent4" w:themeFillTint="66"/>
            <w:hideMark/>
          </w:tcPr>
          <w:p w14:paraId="6A1BE26A" w14:textId="77777777" w:rsidR="009F7DD0" w:rsidRPr="005970E9" w:rsidRDefault="009F7DD0" w:rsidP="009F7DD0">
            <w:pPr>
              <w:spacing w:before="120" w:after="120" w:line="276" w:lineRule="auto"/>
              <w:contextualSpacing/>
              <w:jc w:val="both"/>
              <w:rPr>
                <w:b/>
                <w:bCs/>
              </w:rPr>
            </w:pPr>
          </w:p>
        </w:tc>
        <w:tc>
          <w:tcPr>
            <w:tcW w:w="1040" w:type="dxa"/>
            <w:shd w:val="clear" w:color="auto" w:fill="CCC0D9" w:themeFill="accent4" w:themeFillTint="66"/>
            <w:hideMark/>
          </w:tcPr>
          <w:p w14:paraId="4AC9E748" w14:textId="77777777" w:rsidR="009F7DD0" w:rsidRPr="005970E9" w:rsidRDefault="009F7DD0" w:rsidP="009F7DD0">
            <w:pPr>
              <w:spacing w:before="120" w:after="120" w:line="276" w:lineRule="auto"/>
              <w:contextualSpacing/>
              <w:jc w:val="right"/>
              <w:rPr>
                <w:b/>
                <w:bCs/>
                <w:u w:val="single"/>
              </w:rPr>
            </w:pPr>
            <w:r w:rsidRPr="005970E9">
              <w:rPr>
                <w:b/>
                <w:bCs/>
                <w:u w:val="single"/>
              </w:rPr>
              <w:t>285</w:t>
            </w:r>
          </w:p>
        </w:tc>
        <w:tc>
          <w:tcPr>
            <w:tcW w:w="1357" w:type="dxa"/>
            <w:shd w:val="clear" w:color="auto" w:fill="CCC0D9" w:themeFill="accent4" w:themeFillTint="66"/>
            <w:hideMark/>
          </w:tcPr>
          <w:p w14:paraId="3EBA88C7" w14:textId="77777777" w:rsidR="009F7DD0" w:rsidRPr="005970E9" w:rsidRDefault="009F7DD0" w:rsidP="009F7DD0">
            <w:pPr>
              <w:spacing w:before="120" w:after="120" w:line="276" w:lineRule="auto"/>
              <w:contextualSpacing/>
              <w:jc w:val="right"/>
              <w:rPr>
                <w:b/>
                <w:bCs/>
                <w:u w:val="single"/>
              </w:rPr>
            </w:pPr>
            <w:r w:rsidRPr="005970E9">
              <w:rPr>
                <w:b/>
                <w:bCs/>
                <w:u w:val="single"/>
              </w:rPr>
              <w:t>262</w:t>
            </w:r>
          </w:p>
        </w:tc>
        <w:tc>
          <w:tcPr>
            <w:tcW w:w="1394" w:type="dxa"/>
            <w:shd w:val="clear" w:color="auto" w:fill="CCC0D9" w:themeFill="accent4" w:themeFillTint="66"/>
            <w:hideMark/>
          </w:tcPr>
          <w:p w14:paraId="151E090C" w14:textId="77777777" w:rsidR="009F7DD0" w:rsidRPr="005970E9" w:rsidRDefault="009F7DD0" w:rsidP="009F7DD0">
            <w:pPr>
              <w:spacing w:before="120" w:after="120" w:line="276" w:lineRule="auto"/>
              <w:contextualSpacing/>
              <w:jc w:val="right"/>
              <w:rPr>
                <w:b/>
                <w:bCs/>
                <w:u w:val="single"/>
              </w:rPr>
            </w:pPr>
            <w:r w:rsidRPr="005970E9">
              <w:rPr>
                <w:b/>
                <w:bCs/>
                <w:u w:val="single"/>
              </w:rPr>
              <w:t>21</w:t>
            </w:r>
          </w:p>
        </w:tc>
        <w:tc>
          <w:tcPr>
            <w:tcW w:w="1241" w:type="dxa"/>
            <w:shd w:val="clear" w:color="auto" w:fill="CCC0D9" w:themeFill="accent4" w:themeFillTint="66"/>
            <w:hideMark/>
          </w:tcPr>
          <w:p w14:paraId="3C4DC12A" w14:textId="77777777" w:rsidR="009F7DD0" w:rsidRPr="005970E9" w:rsidRDefault="009F7DD0" w:rsidP="009F7DD0">
            <w:pPr>
              <w:spacing w:before="120" w:after="120" w:line="276" w:lineRule="auto"/>
              <w:contextualSpacing/>
              <w:jc w:val="right"/>
              <w:rPr>
                <w:b/>
                <w:bCs/>
                <w:u w:val="single"/>
              </w:rPr>
            </w:pPr>
            <w:r w:rsidRPr="005970E9">
              <w:rPr>
                <w:b/>
                <w:bCs/>
                <w:u w:val="single"/>
              </w:rPr>
              <w:t>2</w:t>
            </w:r>
          </w:p>
        </w:tc>
      </w:tr>
      <w:tr w:rsidR="009F7DD0" w:rsidRPr="005970E9" w14:paraId="1F12239A" w14:textId="77777777" w:rsidTr="009F7DD0">
        <w:trPr>
          <w:trHeight w:val="241"/>
        </w:trPr>
        <w:tc>
          <w:tcPr>
            <w:tcW w:w="3758" w:type="dxa"/>
            <w:hideMark/>
          </w:tcPr>
          <w:p w14:paraId="0765D242" w14:textId="77777777" w:rsidR="009F7DD0" w:rsidRPr="005970E9" w:rsidRDefault="009F7DD0" w:rsidP="009F7DD0">
            <w:pPr>
              <w:spacing w:before="120" w:after="120" w:line="276" w:lineRule="auto"/>
              <w:contextualSpacing/>
              <w:jc w:val="both"/>
              <w:rPr>
                <w:b/>
              </w:rPr>
            </w:pPr>
            <w:r w:rsidRPr="005970E9">
              <w:rPr>
                <w:b/>
              </w:rPr>
              <w:t>0-4 Años</w:t>
            </w:r>
          </w:p>
        </w:tc>
        <w:tc>
          <w:tcPr>
            <w:tcW w:w="1040" w:type="dxa"/>
            <w:hideMark/>
          </w:tcPr>
          <w:p w14:paraId="683FE9D8" w14:textId="77777777" w:rsidR="009F7DD0" w:rsidRPr="005970E9" w:rsidRDefault="009F7DD0" w:rsidP="009F7DD0">
            <w:pPr>
              <w:spacing w:before="120" w:after="120" w:line="276" w:lineRule="auto"/>
              <w:contextualSpacing/>
              <w:jc w:val="right"/>
              <w:rPr>
                <w:b/>
                <w:bCs/>
                <w:u w:val="single"/>
              </w:rPr>
            </w:pPr>
            <w:r w:rsidRPr="005970E9">
              <w:rPr>
                <w:b/>
                <w:bCs/>
                <w:u w:val="single"/>
              </w:rPr>
              <w:t>11</w:t>
            </w:r>
          </w:p>
        </w:tc>
        <w:tc>
          <w:tcPr>
            <w:tcW w:w="1357" w:type="dxa"/>
            <w:hideMark/>
          </w:tcPr>
          <w:p w14:paraId="76FAE253" w14:textId="77777777" w:rsidR="009F7DD0" w:rsidRPr="005970E9" w:rsidRDefault="009F7DD0" w:rsidP="009F7DD0">
            <w:pPr>
              <w:spacing w:before="120" w:after="120" w:line="276" w:lineRule="auto"/>
              <w:contextualSpacing/>
              <w:jc w:val="right"/>
              <w:rPr>
                <w:b/>
              </w:rPr>
            </w:pPr>
            <w:r w:rsidRPr="005970E9">
              <w:rPr>
                <w:b/>
              </w:rPr>
              <w:t>6</w:t>
            </w:r>
          </w:p>
        </w:tc>
        <w:tc>
          <w:tcPr>
            <w:tcW w:w="1394" w:type="dxa"/>
            <w:hideMark/>
          </w:tcPr>
          <w:p w14:paraId="11C988B6" w14:textId="77777777" w:rsidR="009F7DD0" w:rsidRPr="005970E9" w:rsidRDefault="009F7DD0" w:rsidP="009F7DD0">
            <w:pPr>
              <w:spacing w:before="120" w:after="120" w:line="276" w:lineRule="auto"/>
              <w:contextualSpacing/>
              <w:jc w:val="right"/>
              <w:rPr>
                <w:b/>
              </w:rPr>
            </w:pPr>
            <w:r w:rsidRPr="005970E9">
              <w:rPr>
                <w:b/>
              </w:rPr>
              <w:t>4</w:t>
            </w:r>
          </w:p>
        </w:tc>
        <w:tc>
          <w:tcPr>
            <w:tcW w:w="1241" w:type="dxa"/>
            <w:hideMark/>
          </w:tcPr>
          <w:p w14:paraId="7B8E59A6" w14:textId="77777777" w:rsidR="009F7DD0" w:rsidRPr="005970E9" w:rsidRDefault="009F7DD0" w:rsidP="009F7DD0">
            <w:pPr>
              <w:spacing w:before="120" w:after="120" w:line="276" w:lineRule="auto"/>
              <w:contextualSpacing/>
              <w:jc w:val="right"/>
              <w:rPr>
                <w:b/>
              </w:rPr>
            </w:pPr>
            <w:r w:rsidRPr="005970E9">
              <w:rPr>
                <w:b/>
              </w:rPr>
              <w:t>1</w:t>
            </w:r>
          </w:p>
        </w:tc>
      </w:tr>
      <w:tr w:rsidR="009F7DD0" w:rsidRPr="005970E9" w14:paraId="7C3E7D06" w14:textId="77777777" w:rsidTr="009F7DD0">
        <w:trPr>
          <w:trHeight w:val="241"/>
        </w:trPr>
        <w:tc>
          <w:tcPr>
            <w:tcW w:w="3758" w:type="dxa"/>
            <w:hideMark/>
          </w:tcPr>
          <w:p w14:paraId="15EC8CCF" w14:textId="77777777" w:rsidR="009F7DD0" w:rsidRPr="005970E9" w:rsidRDefault="009F7DD0" w:rsidP="009F7DD0">
            <w:pPr>
              <w:spacing w:before="120" w:after="120" w:line="276" w:lineRule="auto"/>
              <w:contextualSpacing/>
              <w:jc w:val="both"/>
              <w:rPr>
                <w:b/>
              </w:rPr>
            </w:pPr>
            <w:r w:rsidRPr="005970E9">
              <w:rPr>
                <w:b/>
              </w:rPr>
              <w:t>5-9 Años</w:t>
            </w:r>
          </w:p>
        </w:tc>
        <w:tc>
          <w:tcPr>
            <w:tcW w:w="1040" w:type="dxa"/>
            <w:hideMark/>
          </w:tcPr>
          <w:p w14:paraId="2EE2AE14" w14:textId="77777777" w:rsidR="009F7DD0" w:rsidRPr="005970E9" w:rsidRDefault="009F7DD0" w:rsidP="009F7DD0">
            <w:pPr>
              <w:spacing w:before="120" w:after="120" w:line="276" w:lineRule="auto"/>
              <w:contextualSpacing/>
              <w:jc w:val="right"/>
              <w:rPr>
                <w:b/>
                <w:bCs/>
                <w:u w:val="single"/>
              </w:rPr>
            </w:pPr>
            <w:r w:rsidRPr="005970E9">
              <w:rPr>
                <w:b/>
                <w:bCs/>
                <w:u w:val="single"/>
              </w:rPr>
              <w:t>32</w:t>
            </w:r>
          </w:p>
        </w:tc>
        <w:tc>
          <w:tcPr>
            <w:tcW w:w="1357" w:type="dxa"/>
            <w:hideMark/>
          </w:tcPr>
          <w:p w14:paraId="493CF6AE" w14:textId="77777777" w:rsidR="009F7DD0" w:rsidRPr="005970E9" w:rsidRDefault="009F7DD0" w:rsidP="009F7DD0">
            <w:pPr>
              <w:spacing w:before="120" w:after="120" w:line="276" w:lineRule="auto"/>
              <w:contextualSpacing/>
              <w:jc w:val="right"/>
              <w:rPr>
                <w:b/>
              </w:rPr>
            </w:pPr>
            <w:r w:rsidRPr="005970E9">
              <w:rPr>
                <w:b/>
              </w:rPr>
              <w:t>28</w:t>
            </w:r>
          </w:p>
        </w:tc>
        <w:tc>
          <w:tcPr>
            <w:tcW w:w="1394" w:type="dxa"/>
            <w:hideMark/>
          </w:tcPr>
          <w:p w14:paraId="42D03AA4" w14:textId="77777777" w:rsidR="009F7DD0" w:rsidRPr="005970E9" w:rsidRDefault="009F7DD0" w:rsidP="009F7DD0">
            <w:pPr>
              <w:spacing w:before="120" w:after="120" w:line="276" w:lineRule="auto"/>
              <w:contextualSpacing/>
              <w:jc w:val="right"/>
              <w:rPr>
                <w:b/>
              </w:rPr>
            </w:pPr>
            <w:r w:rsidRPr="005970E9">
              <w:rPr>
                <w:b/>
              </w:rPr>
              <w:t>4</w:t>
            </w:r>
          </w:p>
        </w:tc>
        <w:tc>
          <w:tcPr>
            <w:tcW w:w="1241" w:type="dxa"/>
            <w:hideMark/>
          </w:tcPr>
          <w:p w14:paraId="49667FB7" w14:textId="77777777" w:rsidR="009F7DD0" w:rsidRPr="005970E9" w:rsidRDefault="009F7DD0" w:rsidP="009F7DD0">
            <w:pPr>
              <w:spacing w:before="120" w:after="120" w:line="276" w:lineRule="auto"/>
              <w:contextualSpacing/>
              <w:jc w:val="right"/>
              <w:rPr>
                <w:b/>
              </w:rPr>
            </w:pPr>
            <w:r w:rsidRPr="005970E9">
              <w:rPr>
                <w:b/>
              </w:rPr>
              <w:t>0</w:t>
            </w:r>
          </w:p>
        </w:tc>
      </w:tr>
      <w:tr w:rsidR="009F7DD0" w:rsidRPr="005970E9" w14:paraId="0C0A3166" w14:textId="77777777" w:rsidTr="009F7DD0">
        <w:trPr>
          <w:trHeight w:val="241"/>
        </w:trPr>
        <w:tc>
          <w:tcPr>
            <w:tcW w:w="3758" w:type="dxa"/>
            <w:hideMark/>
          </w:tcPr>
          <w:p w14:paraId="044F3E74" w14:textId="77777777" w:rsidR="009F7DD0" w:rsidRPr="005970E9" w:rsidRDefault="009F7DD0" w:rsidP="009F7DD0">
            <w:pPr>
              <w:spacing w:before="120" w:after="120" w:line="276" w:lineRule="auto"/>
              <w:contextualSpacing/>
              <w:jc w:val="both"/>
              <w:rPr>
                <w:b/>
              </w:rPr>
            </w:pPr>
            <w:r w:rsidRPr="005970E9">
              <w:rPr>
                <w:b/>
              </w:rPr>
              <w:t>10-14 Años</w:t>
            </w:r>
          </w:p>
        </w:tc>
        <w:tc>
          <w:tcPr>
            <w:tcW w:w="1040" w:type="dxa"/>
            <w:hideMark/>
          </w:tcPr>
          <w:p w14:paraId="6F1B9193" w14:textId="77777777" w:rsidR="009F7DD0" w:rsidRPr="005970E9" w:rsidRDefault="009F7DD0" w:rsidP="009F7DD0">
            <w:pPr>
              <w:spacing w:before="120" w:after="120" w:line="276" w:lineRule="auto"/>
              <w:contextualSpacing/>
              <w:jc w:val="right"/>
              <w:rPr>
                <w:b/>
                <w:bCs/>
                <w:u w:val="single"/>
              </w:rPr>
            </w:pPr>
            <w:r w:rsidRPr="005970E9">
              <w:rPr>
                <w:b/>
                <w:bCs/>
                <w:u w:val="single"/>
              </w:rPr>
              <w:t>205</w:t>
            </w:r>
          </w:p>
        </w:tc>
        <w:tc>
          <w:tcPr>
            <w:tcW w:w="1357" w:type="dxa"/>
            <w:hideMark/>
          </w:tcPr>
          <w:p w14:paraId="0FAC9F67" w14:textId="77777777" w:rsidR="009F7DD0" w:rsidRPr="005970E9" w:rsidRDefault="009F7DD0" w:rsidP="009F7DD0">
            <w:pPr>
              <w:spacing w:before="120" w:after="120" w:line="276" w:lineRule="auto"/>
              <w:contextualSpacing/>
              <w:jc w:val="right"/>
              <w:rPr>
                <w:b/>
              </w:rPr>
            </w:pPr>
            <w:r w:rsidRPr="005970E9">
              <w:rPr>
                <w:b/>
              </w:rPr>
              <w:t>195</w:t>
            </w:r>
          </w:p>
        </w:tc>
        <w:tc>
          <w:tcPr>
            <w:tcW w:w="1394" w:type="dxa"/>
            <w:hideMark/>
          </w:tcPr>
          <w:p w14:paraId="6C6BF494" w14:textId="77777777" w:rsidR="009F7DD0" w:rsidRPr="005970E9" w:rsidRDefault="009F7DD0" w:rsidP="009F7DD0">
            <w:pPr>
              <w:spacing w:before="120" w:after="120" w:line="276" w:lineRule="auto"/>
              <w:contextualSpacing/>
              <w:jc w:val="right"/>
              <w:rPr>
                <w:b/>
              </w:rPr>
            </w:pPr>
            <w:r w:rsidRPr="005970E9">
              <w:rPr>
                <w:b/>
              </w:rPr>
              <w:t>10</w:t>
            </w:r>
          </w:p>
        </w:tc>
        <w:tc>
          <w:tcPr>
            <w:tcW w:w="1241" w:type="dxa"/>
            <w:hideMark/>
          </w:tcPr>
          <w:p w14:paraId="0492BA85" w14:textId="77777777" w:rsidR="009F7DD0" w:rsidRPr="005970E9" w:rsidRDefault="009F7DD0" w:rsidP="009F7DD0">
            <w:pPr>
              <w:spacing w:before="120" w:after="120" w:line="276" w:lineRule="auto"/>
              <w:contextualSpacing/>
              <w:jc w:val="right"/>
              <w:rPr>
                <w:b/>
              </w:rPr>
            </w:pPr>
            <w:r w:rsidRPr="005970E9">
              <w:rPr>
                <w:b/>
              </w:rPr>
              <w:t>0</w:t>
            </w:r>
          </w:p>
        </w:tc>
      </w:tr>
      <w:tr w:rsidR="009F7DD0" w:rsidRPr="005970E9" w14:paraId="70125254" w14:textId="77777777" w:rsidTr="009F7DD0">
        <w:trPr>
          <w:trHeight w:val="241"/>
        </w:trPr>
        <w:tc>
          <w:tcPr>
            <w:tcW w:w="3758" w:type="dxa"/>
            <w:hideMark/>
          </w:tcPr>
          <w:p w14:paraId="7E15C88E" w14:textId="77777777" w:rsidR="009F7DD0" w:rsidRPr="005970E9" w:rsidRDefault="009F7DD0" w:rsidP="009F7DD0">
            <w:pPr>
              <w:spacing w:before="120" w:after="120" w:line="276" w:lineRule="auto"/>
              <w:contextualSpacing/>
              <w:jc w:val="both"/>
              <w:rPr>
                <w:b/>
              </w:rPr>
            </w:pPr>
            <w:r w:rsidRPr="005970E9">
              <w:rPr>
                <w:b/>
              </w:rPr>
              <w:t xml:space="preserve">15-17 Años </w:t>
            </w:r>
          </w:p>
        </w:tc>
        <w:tc>
          <w:tcPr>
            <w:tcW w:w="1040" w:type="dxa"/>
            <w:hideMark/>
          </w:tcPr>
          <w:p w14:paraId="24BBD9C3" w14:textId="77777777" w:rsidR="009F7DD0" w:rsidRPr="005970E9" w:rsidRDefault="009F7DD0" w:rsidP="009F7DD0">
            <w:pPr>
              <w:spacing w:before="120" w:after="120" w:line="276" w:lineRule="auto"/>
              <w:contextualSpacing/>
              <w:jc w:val="right"/>
              <w:rPr>
                <w:b/>
                <w:bCs/>
                <w:u w:val="single"/>
              </w:rPr>
            </w:pPr>
            <w:r w:rsidRPr="005970E9">
              <w:rPr>
                <w:b/>
                <w:bCs/>
                <w:u w:val="single"/>
              </w:rPr>
              <w:t>37</w:t>
            </w:r>
          </w:p>
        </w:tc>
        <w:tc>
          <w:tcPr>
            <w:tcW w:w="1357" w:type="dxa"/>
            <w:hideMark/>
          </w:tcPr>
          <w:p w14:paraId="559DD027" w14:textId="77777777" w:rsidR="009F7DD0" w:rsidRPr="005970E9" w:rsidRDefault="009F7DD0" w:rsidP="009F7DD0">
            <w:pPr>
              <w:spacing w:before="120" w:after="120" w:line="276" w:lineRule="auto"/>
              <w:contextualSpacing/>
              <w:jc w:val="right"/>
              <w:rPr>
                <w:b/>
              </w:rPr>
            </w:pPr>
            <w:r w:rsidRPr="005970E9">
              <w:rPr>
                <w:b/>
              </w:rPr>
              <w:t>33</w:t>
            </w:r>
          </w:p>
        </w:tc>
        <w:tc>
          <w:tcPr>
            <w:tcW w:w="1394" w:type="dxa"/>
            <w:hideMark/>
          </w:tcPr>
          <w:p w14:paraId="2247387E" w14:textId="77777777" w:rsidR="009F7DD0" w:rsidRPr="005970E9" w:rsidRDefault="009F7DD0" w:rsidP="009F7DD0">
            <w:pPr>
              <w:spacing w:before="120" w:after="120" w:line="276" w:lineRule="auto"/>
              <w:contextualSpacing/>
              <w:jc w:val="right"/>
              <w:rPr>
                <w:b/>
              </w:rPr>
            </w:pPr>
            <w:r w:rsidRPr="005970E9">
              <w:rPr>
                <w:b/>
              </w:rPr>
              <w:t>3</w:t>
            </w:r>
          </w:p>
        </w:tc>
        <w:tc>
          <w:tcPr>
            <w:tcW w:w="1241" w:type="dxa"/>
            <w:hideMark/>
          </w:tcPr>
          <w:p w14:paraId="214F08D3" w14:textId="77777777" w:rsidR="009F7DD0" w:rsidRPr="005970E9" w:rsidRDefault="009F7DD0" w:rsidP="009F7DD0">
            <w:pPr>
              <w:spacing w:before="120" w:after="120" w:line="276" w:lineRule="auto"/>
              <w:contextualSpacing/>
              <w:jc w:val="right"/>
              <w:rPr>
                <w:b/>
              </w:rPr>
            </w:pPr>
            <w:r w:rsidRPr="005970E9">
              <w:rPr>
                <w:b/>
              </w:rPr>
              <w:t>1</w:t>
            </w:r>
          </w:p>
        </w:tc>
      </w:tr>
    </w:tbl>
    <w:p w14:paraId="09ED4BE4" w14:textId="77777777" w:rsidR="009F7DD0" w:rsidRPr="005970E9" w:rsidRDefault="009F7DD0" w:rsidP="009F7DD0">
      <w:pPr>
        <w:spacing w:before="120" w:after="120" w:line="276" w:lineRule="auto"/>
        <w:contextualSpacing/>
        <w:jc w:val="both"/>
      </w:pPr>
      <w:r w:rsidRPr="005970E9">
        <w:t xml:space="preserve">(P) Se refiere a datos preliminares.  Los datos mostrados en este informe pueden variar con el tiempo y proceso investigativo utilizados por los Fiscales de la Institución. </w:t>
      </w:r>
    </w:p>
    <w:p w14:paraId="6F85288A" w14:textId="77777777" w:rsidR="009F7DD0" w:rsidRPr="005970E9" w:rsidRDefault="009F7DD0" w:rsidP="009F7DD0">
      <w:pPr>
        <w:spacing w:before="120" w:after="120" w:line="276" w:lineRule="auto"/>
        <w:contextualSpacing/>
        <w:jc w:val="both"/>
      </w:pPr>
      <w:r w:rsidRPr="005970E9">
        <w:t>(1) Los registros sin datos corresponden a casos que se encuentran en Investigación.</w:t>
      </w:r>
    </w:p>
    <w:p w14:paraId="6271379B" w14:textId="77777777" w:rsidR="009F7DD0" w:rsidRPr="005970E9" w:rsidRDefault="009F7DD0" w:rsidP="009F7DD0">
      <w:pPr>
        <w:spacing w:before="120" w:after="120" w:line="276" w:lineRule="auto"/>
        <w:contextualSpacing/>
        <w:jc w:val="both"/>
        <w:rPr>
          <w:b/>
        </w:rPr>
      </w:pPr>
      <w:r w:rsidRPr="005970E9">
        <w:t>Fuente: Centro de Estadística, Ministerio Público/ Plataforma del SPA y Sistema Inquisitivo/ Adolescentes</w:t>
      </w:r>
      <w:r w:rsidRPr="005970E9">
        <w:rPr>
          <w:b/>
        </w:rPr>
        <w:t>.</w:t>
      </w:r>
    </w:p>
    <w:p w14:paraId="2C6F30B8" w14:textId="77777777" w:rsidR="009F7DD0" w:rsidRPr="005970E9" w:rsidRDefault="009F7DD0" w:rsidP="009F7DD0">
      <w:pPr>
        <w:spacing w:before="120" w:after="120" w:line="276" w:lineRule="auto"/>
        <w:contextualSpacing/>
        <w:jc w:val="both"/>
        <w:rPr>
          <w:b/>
        </w:rPr>
      </w:pPr>
    </w:p>
    <w:p w14:paraId="40ACBC8A" w14:textId="77777777" w:rsidR="009F7DD0" w:rsidRPr="005970E9" w:rsidRDefault="009F7DD0" w:rsidP="009F7DD0">
      <w:pPr>
        <w:autoSpaceDE w:val="0"/>
        <w:autoSpaceDN w:val="0"/>
        <w:adjustRightInd w:val="0"/>
        <w:spacing w:before="120" w:after="120" w:line="276" w:lineRule="auto"/>
        <w:jc w:val="both"/>
        <w:rPr>
          <w:b/>
        </w:rPr>
      </w:pPr>
      <w:r w:rsidRPr="005970E9">
        <w:rPr>
          <w:b/>
        </w:rPr>
        <w:t>Violencia Política</w:t>
      </w:r>
    </w:p>
    <w:p w14:paraId="3DC9CEBA" w14:textId="77777777" w:rsidR="009F7DD0" w:rsidRPr="005970E9" w:rsidRDefault="009F7DD0" w:rsidP="009F7DD0">
      <w:pPr>
        <w:autoSpaceDE w:val="0"/>
        <w:autoSpaceDN w:val="0"/>
        <w:adjustRightInd w:val="0"/>
        <w:spacing w:before="120" w:after="120" w:line="276" w:lineRule="auto"/>
        <w:jc w:val="both"/>
      </w:pPr>
      <w:r w:rsidRPr="005970E9">
        <w:lastRenderedPageBreak/>
        <w:t>En el Monitoreo de Violencia de Género en Línea a Candidatas de Elección Popular 2019, el cual se “desarrolló a través de la red social Twitter, haciendo una recopilación cualitativa y cuantitativa de mensajes emitidos por sus usuarios, se realizó una selección de 50 perfiles de candidatas a puestos populares y fueron seleccionadas 25, considerando los perfiles activos que ellas tenían dentro de esta red social, e incluyendo una variedad representativa en los partidos y de los cargos a los postulados”(Pág. 9). Se monitorearon 1,118 tweets entre marzo y mayo del 2019, de los cuales el 24% fueron clasificados como agresiones a las candidatas, de este 24%, las agresiones clasificadas como discriminación de género fueron el 57% y un 42% de las agresiones buscaban desprestigiarlas políticamente.  El 47% de las agresiones fueron localizadas en Panamá, un 32% sin determinar, un 10% de los Estados Unidos, un 7% desde Europa y un 4% de Latinoamérica. En cuanto al sexo de las personas agresoras en un 43% no se pudo determinar si se trataba de un hombre o una mujer, un 18 % eran hombres y llama la atención que un 39% fueron mujeres. (Instituto Panameño de Derechos y Nuevas Tecnologías. Monitoreo de violencia de género en línea a candidatas de elección popular 2019 en Panamá. 2019. Pág. 9 y de la14 a la16)</w:t>
      </w:r>
    </w:p>
    <w:p w14:paraId="020C9230" w14:textId="77777777" w:rsidR="009F7DD0" w:rsidRPr="005970E9" w:rsidRDefault="009F7DD0" w:rsidP="009F7DD0">
      <w:pPr>
        <w:autoSpaceDE w:val="0"/>
        <w:autoSpaceDN w:val="0"/>
        <w:adjustRightInd w:val="0"/>
        <w:spacing w:before="120" w:after="120" w:line="276" w:lineRule="auto"/>
        <w:jc w:val="both"/>
      </w:pPr>
      <w:r w:rsidRPr="005970E9">
        <w:t xml:space="preserve">En la actualidad existe un anteproyecto de Ley que busca modificar el artículo 4 de la Ley 82, la cual adopta medidas para prevenir la violencia y tipifica el femicidio. Con esta modificación se busca proteger a las mujeres que incursionen al mundo de la política y regular los mecanismos de presentación de quejas y sus respectivas sanciones. </w:t>
      </w:r>
    </w:p>
    <w:p w14:paraId="3750DC08" w14:textId="77777777" w:rsidR="009F7DD0" w:rsidRPr="005970E9" w:rsidRDefault="009F7DD0" w:rsidP="009F7DD0">
      <w:pPr>
        <w:autoSpaceDE w:val="0"/>
        <w:autoSpaceDN w:val="0"/>
        <w:adjustRightInd w:val="0"/>
        <w:spacing w:before="120" w:after="120" w:line="276" w:lineRule="auto"/>
        <w:jc w:val="both"/>
        <w:rPr>
          <w:b/>
        </w:rPr>
      </w:pPr>
      <w:r w:rsidRPr="005970E9">
        <w:rPr>
          <w:b/>
        </w:rPr>
        <w:t xml:space="preserve">Servicios esenciales para la atención a la Violencia contra las Mujeres. </w:t>
      </w:r>
    </w:p>
    <w:p w14:paraId="3415F946" w14:textId="77777777" w:rsidR="009F7DD0" w:rsidRPr="005970E9" w:rsidRDefault="009F7DD0" w:rsidP="009F7DD0">
      <w:pPr>
        <w:autoSpaceDE w:val="0"/>
        <w:autoSpaceDN w:val="0"/>
        <w:adjustRightInd w:val="0"/>
        <w:spacing w:before="120" w:after="120" w:line="276" w:lineRule="auto"/>
        <w:jc w:val="both"/>
      </w:pPr>
      <w:r w:rsidRPr="005970E9">
        <w:t>Ante la problemática de violencia contra las mujeres, niñas y adolescentes, se articula respuesta a través del Programa de servicios esenciales a mujeres, niñas y adolescentes, víctimas de violencia, el cual es impulsado por las siguientes agencias: OPS, ONUMUJERES, UNICEF, UNODC y UNFPA, para apoyar al Estado a brindar una respuesta que garantice la seguridad y protección a las victimas basado en el ejercicio de sus derechos</w:t>
      </w:r>
    </w:p>
    <w:p w14:paraId="4A08BF28" w14:textId="77777777" w:rsidR="009F7DD0" w:rsidRPr="005970E9" w:rsidRDefault="009F7DD0" w:rsidP="009F7DD0">
      <w:pPr>
        <w:spacing w:before="120" w:after="120" w:line="276" w:lineRule="auto"/>
        <w:jc w:val="both"/>
      </w:pPr>
      <w:r w:rsidRPr="005970E9">
        <w:t>En el Diagnóstico sobre el paquete de los servicios esenciales para mujeres y niñas víctimas, culminado en 2018, se pudo identificar los nudos críticos que hoy persisten dentro de las instituciones  que tienen programas para ofrecer una atención efectiva y de la calidad a las  víctimas de la violencia dentro de las instituciones que brindan esos servicios, a su vez  se constató los esfuerzos de los sectores responsables de la respuesta como son : salud, sector judicial/policial, social , para cumplir los estándares mínimos. Sin embargo, un desafío evidente es la falta de articulación y coordinación de los esfuerzos para lograr una protección efectiva de las víctimas, sin revictimizarlas. (</w:t>
      </w:r>
      <w:bookmarkStart w:id="252" w:name="_Hlk42516715"/>
      <w:r w:rsidRPr="005970E9">
        <w:t>Franco, Esperanza. Diagnóstico de Situación de los Servicios Esenciales para Mujeres y Niñas que Sufren Violencias en Panamá. 2018</w:t>
      </w:r>
      <w:bookmarkEnd w:id="252"/>
      <w:r w:rsidRPr="005970E9">
        <w:t>)</w:t>
      </w:r>
    </w:p>
    <w:p w14:paraId="4C9A3B5F" w14:textId="77777777" w:rsidR="009F7DD0" w:rsidRPr="005970E9" w:rsidRDefault="009F7DD0" w:rsidP="009F7DD0">
      <w:pPr>
        <w:spacing w:before="120" w:after="120" w:line="276" w:lineRule="auto"/>
        <w:jc w:val="both"/>
        <w:rPr>
          <w:b/>
        </w:rPr>
      </w:pPr>
      <w:r w:rsidRPr="005970E9">
        <w:rPr>
          <w:b/>
        </w:rPr>
        <w:t xml:space="preserve">Costo de la violencia </w:t>
      </w:r>
    </w:p>
    <w:p w14:paraId="53E47D2F" w14:textId="77777777" w:rsidR="009F7DD0" w:rsidRPr="005970E9" w:rsidRDefault="009F7DD0" w:rsidP="009F7DD0">
      <w:pPr>
        <w:autoSpaceDE w:val="0"/>
        <w:autoSpaceDN w:val="0"/>
        <w:adjustRightInd w:val="0"/>
        <w:spacing w:before="120" w:after="120" w:line="276" w:lineRule="auto"/>
        <w:jc w:val="both"/>
      </w:pPr>
      <w:r w:rsidRPr="005970E9">
        <w:lastRenderedPageBreak/>
        <w:t xml:space="preserve">Los costos económicos de la violencia contra la mujer se pueden considerar en dos sentidos:  desde los costos sociales como la pérdida de la vida o las lesiones físicas que pueden llegar a ser permanentes y necesitar tratamientos médicos de por vida. </w:t>
      </w:r>
    </w:p>
    <w:p w14:paraId="7FA34D76" w14:textId="77777777" w:rsidR="009F7DD0" w:rsidRPr="005970E9" w:rsidRDefault="009F7DD0" w:rsidP="009F7DD0">
      <w:pPr>
        <w:autoSpaceDE w:val="0"/>
        <w:autoSpaceDN w:val="0"/>
        <w:adjustRightInd w:val="0"/>
        <w:spacing w:before="120" w:after="120" w:line="276" w:lineRule="auto"/>
        <w:jc w:val="both"/>
      </w:pPr>
      <w:r w:rsidRPr="005970E9">
        <w:t xml:space="preserve">El estudio realizado por el Banco Interamericano de Desarrollo (BID), </w:t>
      </w:r>
      <w:r w:rsidRPr="005970E9">
        <w:rPr>
          <w:b/>
          <w:bCs/>
          <w:i/>
          <w:iCs/>
        </w:rPr>
        <w:t xml:space="preserve">Los costos del crimen y de la violencia. Nueva evidencia y hallazgos en América Latina y el Caribe, </w:t>
      </w:r>
      <w:r w:rsidRPr="005970E9">
        <w:rPr>
          <w:i/>
          <w:iCs/>
        </w:rPr>
        <w:t>plantea que</w:t>
      </w:r>
      <w:r w:rsidRPr="005970E9">
        <w:rPr>
          <w:b/>
          <w:bCs/>
          <w:i/>
          <w:iCs/>
        </w:rPr>
        <w:t xml:space="preserve"> </w:t>
      </w:r>
      <w:r w:rsidRPr="005970E9">
        <w:t xml:space="preserve">“algunos estudios tratan de abordar el costo social de la violencia contra la mujer utilizando diferentes enfoques. Según Fearon y Hoeffler (2014), el homicidio femenino cuesta el 0,31% del producto interno bruto (PIB) en América Latina y el 0,12% en el mundo. Si se toman en cuenta únicamente los homicidios cometidos por una pareja íntima, estos números bajan a 0,09% y 0,05%, respectivamente. Aunque el homicidio de pareja íntima constituye menos de la mitad de la parte del costo total del homicidio femenino, la violencia de pareja también implica violencia no fatal, lo cual es más difícil de abordar.” (BID. 2017. Pág. 100) </w:t>
      </w:r>
    </w:p>
    <w:p w14:paraId="76EF7375" w14:textId="36DF9C75" w:rsidR="00A847E0" w:rsidRPr="005970E9" w:rsidRDefault="009F7DD0" w:rsidP="009F7DD0">
      <w:pPr>
        <w:spacing w:before="120" w:after="120" w:line="276" w:lineRule="auto"/>
        <w:contextualSpacing/>
        <w:jc w:val="both"/>
        <w:rPr>
          <w:noProof/>
        </w:rPr>
      </w:pPr>
      <w:r w:rsidRPr="005970E9">
        <w:t>En nuestro país es necesario que se realicen las estimaciones que permitan calcular el costo económico de la violencia contra las mujeres, de manera que se pueda demostrar con datos las afectaciones económicas que causa, así como, calcular las afectaciones de todos los demás tipos de violencia, y su impacto en el Producto Interno Bruto del país.</w:t>
      </w:r>
      <w:bookmarkEnd w:id="208"/>
    </w:p>
    <w:p w14:paraId="643067D4" w14:textId="77777777" w:rsidR="00B76B0C" w:rsidRPr="005970E9" w:rsidRDefault="003B5C05" w:rsidP="00D478B6">
      <w:pPr>
        <w:pStyle w:val="Heading2"/>
        <w:numPr>
          <w:ilvl w:val="1"/>
          <w:numId w:val="56"/>
        </w:numPr>
        <w:spacing w:after="240"/>
      </w:pPr>
      <w:bookmarkStart w:id="253" w:name="_Toc42159237"/>
      <w:bookmarkStart w:id="254" w:name="_Toc42549468"/>
      <w:r w:rsidRPr="005970E9">
        <w:lastRenderedPageBreak/>
        <w:t>Género y migración</w:t>
      </w:r>
      <w:bookmarkEnd w:id="253"/>
      <w:bookmarkEnd w:id="254"/>
    </w:p>
    <w:p w14:paraId="24BE8113" w14:textId="48A0E61F" w:rsidR="00874B25" w:rsidRPr="005970E9" w:rsidRDefault="00874B25" w:rsidP="00D478B6">
      <w:pPr>
        <w:pStyle w:val="Heading3"/>
        <w:numPr>
          <w:ilvl w:val="2"/>
          <w:numId w:val="56"/>
        </w:numPr>
      </w:pPr>
      <w:bookmarkStart w:id="255" w:name="_Toc42159238"/>
      <w:bookmarkStart w:id="256" w:name="_Toc42549469"/>
      <w:r w:rsidRPr="005970E9">
        <w:t>Movimiento migratorio en Panamá</w:t>
      </w:r>
      <w:bookmarkEnd w:id="255"/>
      <w:bookmarkEnd w:id="256"/>
      <w:r w:rsidRPr="005970E9">
        <w:t xml:space="preserve"> </w:t>
      </w:r>
    </w:p>
    <w:p w14:paraId="3B6A6B7A" w14:textId="1C3951D9" w:rsidR="00874B25" w:rsidRPr="005970E9" w:rsidRDefault="003915CB" w:rsidP="003915CB">
      <w:pPr>
        <w:spacing w:before="120" w:after="120" w:line="276" w:lineRule="auto"/>
        <w:jc w:val="both"/>
        <w:rPr>
          <w:bCs/>
          <w:sz w:val="24"/>
          <w:szCs w:val="24"/>
        </w:rPr>
      </w:pPr>
      <w:r w:rsidRPr="005970E9">
        <w:rPr>
          <w:noProof/>
          <w:color w:val="365F91" w:themeColor="accent1" w:themeShade="BF"/>
        </w:rPr>
        <mc:AlternateContent>
          <mc:Choice Requires="wps">
            <w:drawing>
              <wp:anchor distT="45720" distB="45720" distL="114300" distR="114300" simplePos="0" relativeHeight="251754537" behindDoc="1" locked="0" layoutInCell="1" allowOverlap="1" wp14:anchorId="202CD2F2" wp14:editId="76D9639A">
                <wp:simplePos x="0" y="0"/>
                <wp:positionH relativeFrom="margin">
                  <wp:posOffset>2679065</wp:posOffset>
                </wp:positionH>
                <wp:positionV relativeFrom="paragraph">
                  <wp:posOffset>153035</wp:posOffset>
                </wp:positionV>
                <wp:extent cx="2682240" cy="4381500"/>
                <wp:effectExtent l="0" t="0" r="22860" b="19050"/>
                <wp:wrapTight wrapText="bothSides">
                  <wp:wrapPolygon edited="0">
                    <wp:start x="0" y="0"/>
                    <wp:lineTo x="0" y="21600"/>
                    <wp:lineTo x="21631" y="21600"/>
                    <wp:lineTo x="21631" y="0"/>
                    <wp:lineTo x="0" y="0"/>
                  </wp:wrapPolygon>
                </wp:wrapTight>
                <wp:docPr id="2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4381500"/>
                        </a:xfrm>
                        <a:prstGeom prst="rect">
                          <a:avLst/>
                        </a:prstGeom>
                        <a:solidFill>
                          <a:srgbClr val="FFFFFF"/>
                        </a:solidFill>
                        <a:ln w="9525">
                          <a:solidFill>
                            <a:srgbClr val="000000"/>
                          </a:solidFill>
                          <a:miter lim="800000"/>
                          <a:headEnd/>
                          <a:tailEnd/>
                        </a:ln>
                      </wps:spPr>
                      <wps:txbx>
                        <w:txbxContent>
                          <w:p w14:paraId="1DD32E81" w14:textId="77777777" w:rsidR="00DC0EAB" w:rsidRPr="000138C6" w:rsidRDefault="00DC0EAB" w:rsidP="003915CB">
                            <w:pPr>
                              <w:shd w:val="clear" w:color="auto" w:fill="E5DFEC" w:themeFill="accent4" w:themeFillTint="33"/>
                              <w:jc w:val="both"/>
                              <w:rPr>
                                <w:b/>
                                <w:bCs/>
                                <w:sz w:val="20"/>
                                <w:szCs w:val="20"/>
                              </w:rPr>
                            </w:pPr>
                            <w:r w:rsidRPr="000138C6">
                              <w:rPr>
                                <w:b/>
                                <w:bCs/>
                                <w:sz w:val="20"/>
                                <w:szCs w:val="20"/>
                              </w:rPr>
                              <w:t>La migración internacional.</w:t>
                            </w:r>
                          </w:p>
                          <w:p w14:paraId="49ABDFFB" w14:textId="6224D47D" w:rsidR="00DC0EAB" w:rsidRPr="006A254D" w:rsidRDefault="00DC0EAB" w:rsidP="003915CB">
                            <w:pPr>
                              <w:shd w:val="clear" w:color="auto" w:fill="E5DFEC" w:themeFill="accent4" w:themeFillTint="33"/>
                              <w:spacing w:before="120" w:after="120"/>
                              <w:jc w:val="both"/>
                              <w:rPr>
                                <w:b/>
                                <w:sz w:val="16"/>
                                <w:szCs w:val="16"/>
                              </w:rPr>
                            </w:pPr>
                            <w:r w:rsidRPr="00D03147">
                              <w:rPr>
                                <w:sz w:val="20"/>
                                <w:szCs w:val="20"/>
                              </w:rPr>
                              <w:t xml:space="preserve">Según las estimaciones actuales, hay 272 millones de migrantes internacionales en el mundo (equivalentes al 3,5% de la población mundial). Aunque la inmensa mayoría de las personas del mundo siguen viviendo en el país en que nacieron, han aumentado las que migran a otros países, especialmente </w:t>
                            </w:r>
                            <w:r>
                              <w:rPr>
                                <w:sz w:val="20"/>
                                <w:szCs w:val="20"/>
                              </w:rPr>
                              <w:t xml:space="preserve">en </w:t>
                            </w:r>
                            <w:r w:rsidRPr="00D03147">
                              <w:rPr>
                                <w:sz w:val="20"/>
                                <w:szCs w:val="20"/>
                              </w:rPr>
                              <w:t>su misma región. Muchas otras migran a países de ingreso alto</w:t>
                            </w:r>
                            <w:r>
                              <w:rPr>
                                <w:sz w:val="20"/>
                                <w:szCs w:val="20"/>
                              </w:rPr>
                              <w:t xml:space="preserve"> y</w:t>
                            </w:r>
                            <w:r w:rsidRPr="00D03147">
                              <w:rPr>
                                <w:sz w:val="20"/>
                                <w:szCs w:val="20"/>
                              </w:rPr>
                              <w:t xml:space="preserve"> más lejano</w:t>
                            </w:r>
                            <w:r>
                              <w:rPr>
                                <w:sz w:val="20"/>
                                <w:szCs w:val="20"/>
                              </w:rPr>
                              <w:t>s</w:t>
                            </w:r>
                            <w:r w:rsidRPr="00D03147">
                              <w:rPr>
                                <w:sz w:val="20"/>
                                <w:szCs w:val="20"/>
                              </w:rPr>
                              <w:t xml:space="preserve">. Ahora bien, el trabajo sigue siendo el principal motivo de </w:t>
                            </w:r>
                            <w:r>
                              <w:rPr>
                                <w:sz w:val="20"/>
                                <w:szCs w:val="20"/>
                              </w:rPr>
                              <w:t xml:space="preserve">la </w:t>
                            </w:r>
                            <w:r w:rsidRPr="00D03147">
                              <w:rPr>
                                <w:sz w:val="20"/>
                                <w:szCs w:val="20"/>
                              </w:rPr>
                              <w:t>migración internacional</w:t>
                            </w:r>
                            <w:r>
                              <w:rPr>
                                <w:sz w:val="20"/>
                                <w:szCs w:val="20"/>
                              </w:rPr>
                              <w:t>. L</w:t>
                            </w:r>
                            <w:r w:rsidRPr="00D03147">
                              <w:rPr>
                                <w:sz w:val="20"/>
                                <w:szCs w:val="20"/>
                              </w:rPr>
                              <w:t>os trabajadores migrantes, radicados en su mayor parte en países de ingreso alto, constituyen una amplia mayoría</w:t>
                            </w:r>
                            <w:r>
                              <w:rPr>
                                <w:sz w:val="20"/>
                                <w:szCs w:val="20"/>
                              </w:rPr>
                              <w:t>.</w:t>
                            </w:r>
                            <w:r w:rsidRPr="00D03147">
                              <w:rPr>
                                <w:sz w:val="20"/>
                                <w:szCs w:val="20"/>
                              </w:rPr>
                              <w:t xml:space="preserve"> El número total de desplazamientos se encuentra en un nivel sin precedentes, 41 millones de desplazados internos y casi 26 millones de refugiados. </w:t>
                            </w:r>
                            <w:r>
                              <w:rPr>
                                <w:b/>
                                <w:sz w:val="16"/>
                                <w:szCs w:val="16"/>
                              </w:rPr>
                              <w:t xml:space="preserve"> </w:t>
                            </w:r>
                            <w:r w:rsidRPr="00D03147">
                              <w:rPr>
                                <w:sz w:val="20"/>
                                <w:szCs w:val="20"/>
                              </w:rPr>
                              <w:t>Las mujeres representan el 48</w:t>
                            </w:r>
                            <w:r>
                              <w:rPr>
                                <w:sz w:val="20"/>
                                <w:szCs w:val="20"/>
                              </w:rPr>
                              <w:t>%</w:t>
                            </w:r>
                            <w:r w:rsidRPr="00D03147">
                              <w:rPr>
                                <w:sz w:val="20"/>
                                <w:szCs w:val="20"/>
                              </w:rPr>
                              <w:t xml:space="preserve"> del total de</w:t>
                            </w:r>
                            <w:r>
                              <w:rPr>
                                <w:sz w:val="20"/>
                                <w:szCs w:val="20"/>
                              </w:rPr>
                              <w:t xml:space="preserve"> la</w:t>
                            </w:r>
                            <w:r w:rsidRPr="00D03147">
                              <w:rPr>
                                <w:sz w:val="20"/>
                                <w:szCs w:val="20"/>
                              </w:rPr>
                              <w:t xml:space="preserve"> migra</w:t>
                            </w:r>
                            <w:r>
                              <w:rPr>
                                <w:sz w:val="20"/>
                                <w:szCs w:val="20"/>
                              </w:rPr>
                              <w:t>ción</w:t>
                            </w:r>
                            <w:r w:rsidRPr="00D03147">
                              <w:rPr>
                                <w:sz w:val="20"/>
                                <w:szCs w:val="20"/>
                              </w:rPr>
                              <w:t xml:space="preserve"> internacional.</w:t>
                            </w:r>
                          </w:p>
                          <w:p w14:paraId="61BC8735" w14:textId="77777777" w:rsidR="00DC0EAB" w:rsidRPr="006E7A32" w:rsidRDefault="00DC0EAB" w:rsidP="003915CB">
                            <w:pPr>
                              <w:shd w:val="clear" w:color="auto" w:fill="E5DFEC" w:themeFill="accent4" w:themeFillTint="33"/>
                              <w:spacing w:before="120" w:after="120"/>
                              <w:jc w:val="both"/>
                            </w:pPr>
                            <w:r>
                              <w:rPr>
                                <w:sz w:val="20"/>
                                <w:szCs w:val="20"/>
                              </w:rPr>
                              <w:t xml:space="preserve">Esta migración se concentra </w:t>
                            </w:r>
                            <w:r w:rsidRPr="007736A4">
                              <w:rPr>
                                <w:sz w:val="20"/>
                                <w:szCs w:val="20"/>
                              </w:rPr>
                              <w:t>en edad</w:t>
                            </w:r>
                            <w:r>
                              <w:rPr>
                                <w:sz w:val="20"/>
                                <w:szCs w:val="20"/>
                              </w:rPr>
                              <w:t>es de productividad</w:t>
                            </w:r>
                            <w:r w:rsidRPr="007736A4">
                              <w:rPr>
                                <w:sz w:val="20"/>
                                <w:szCs w:val="20"/>
                              </w:rPr>
                              <w:t xml:space="preserve"> laboral</w:t>
                            </w:r>
                            <w:r>
                              <w:rPr>
                                <w:sz w:val="20"/>
                                <w:szCs w:val="20"/>
                              </w:rPr>
                              <w:t xml:space="preserve"> en un </w:t>
                            </w:r>
                            <w:r w:rsidRPr="007736A4">
                              <w:rPr>
                                <w:sz w:val="20"/>
                                <w:szCs w:val="20"/>
                              </w:rPr>
                              <w:t>74</w:t>
                            </w:r>
                            <w:r>
                              <w:rPr>
                                <w:sz w:val="20"/>
                                <w:szCs w:val="20"/>
                              </w:rPr>
                              <w:t>%</w:t>
                            </w:r>
                            <w:r w:rsidRPr="007736A4">
                              <w:rPr>
                                <w:sz w:val="20"/>
                                <w:szCs w:val="20"/>
                              </w:rPr>
                              <w:t xml:space="preserve"> del total</w:t>
                            </w:r>
                            <w:r>
                              <w:t>.</w:t>
                            </w:r>
                            <w:r w:rsidRPr="006A254D">
                              <w:rPr>
                                <w:b/>
                                <w:sz w:val="16"/>
                                <w:szCs w:val="16"/>
                              </w:rPr>
                              <w:t xml:space="preserve"> </w:t>
                            </w:r>
                            <w:r w:rsidRPr="00D03147">
                              <w:rPr>
                                <w:b/>
                                <w:sz w:val="16"/>
                                <w:szCs w:val="16"/>
                              </w:rPr>
                              <w:t>Informe sobre las Migracion</w:t>
                            </w:r>
                            <w:r>
                              <w:rPr>
                                <w:b/>
                                <w:sz w:val="16"/>
                                <w:szCs w:val="16"/>
                              </w:rPr>
                              <w:t xml:space="preserve">es en el Mundo 2020: Capítulo. </w:t>
                            </w:r>
                            <w:r w:rsidRPr="00D03147">
                              <w:rPr>
                                <w:b/>
                                <w:sz w:val="16"/>
                                <w:szCs w:val="16"/>
                              </w:rPr>
                              <w:t>Migración y Migrantes: Panorama Mundial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CD2F2" id="_x0000_s1034" type="#_x0000_t202" style="position:absolute;left:0;text-align:left;margin-left:210.95pt;margin-top:12.05pt;width:211.2pt;height:345pt;z-index:-2515619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">
                <v:textbox>
                  <w:txbxContent>
                    <w:p w14:paraId="1DD32E81" w14:textId="77777777" w:rsidR="00DC0EAB" w:rsidRPr="000138C6" w:rsidRDefault="00DC0EAB" w:rsidP="003915CB">
                      <w:pPr>
                        <w:shd w:val="clear" w:color="auto" w:fill="E5DFEC" w:themeFill="accent4" w:themeFillTint="33"/>
                        <w:jc w:val="both"/>
                        <w:rPr>
                          <w:b/>
                          <w:bCs/>
                          <w:sz w:val="20"/>
                          <w:szCs w:val="20"/>
                        </w:rPr>
                      </w:pPr>
                      <w:r w:rsidRPr="000138C6">
                        <w:rPr>
                          <w:b/>
                          <w:bCs/>
                          <w:sz w:val="20"/>
                          <w:szCs w:val="20"/>
                        </w:rPr>
                        <w:t>La migración internacional.</w:t>
                      </w:r>
                    </w:p>
                    <w:p w14:paraId="49ABDFFB" w14:textId="6224D47D" w:rsidR="00DC0EAB" w:rsidRPr="006A254D" w:rsidRDefault="00DC0EAB" w:rsidP="003915CB">
                      <w:pPr>
                        <w:shd w:val="clear" w:color="auto" w:fill="E5DFEC" w:themeFill="accent4" w:themeFillTint="33"/>
                        <w:spacing w:before="120" w:after="120"/>
                        <w:jc w:val="both"/>
                        <w:rPr>
                          <w:b/>
                          <w:sz w:val="16"/>
                          <w:szCs w:val="16"/>
                        </w:rPr>
                      </w:pPr>
                      <w:r w:rsidRPr="00D03147">
                        <w:rPr>
                          <w:sz w:val="20"/>
                          <w:szCs w:val="20"/>
                        </w:rPr>
                        <w:t xml:space="preserve">Según las estimaciones actuales, hay 272 millones de migrantes internacionales en el mundo (equivalentes al 3,5% de la población mundial). Aunque la inmensa mayoría de las personas del mundo siguen viviendo en el país en que nacieron, han aumentado las que migran a otros países, especialmente </w:t>
                      </w:r>
                      <w:r>
                        <w:rPr>
                          <w:sz w:val="20"/>
                          <w:szCs w:val="20"/>
                        </w:rPr>
                        <w:t xml:space="preserve">en </w:t>
                      </w:r>
                      <w:r w:rsidRPr="00D03147">
                        <w:rPr>
                          <w:sz w:val="20"/>
                          <w:szCs w:val="20"/>
                        </w:rPr>
                        <w:t>su misma región. Muchas otras migran a países de ingreso alto</w:t>
                      </w:r>
                      <w:r>
                        <w:rPr>
                          <w:sz w:val="20"/>
                          <w:szCs w:val="20"/>
                        </w:rPr>
                        <w:t xml:space="preserve"> y</w:t>
                      </w:r>
                      <w:r w:rsidRPr="00D03147">
                        <w:rPr>
                          <w:sz w:val="20"/>
                          <w:szCs w:val="20"/>
                        </w:rPr>
                        <w:t xml:space="preserve"> más lejano</w:t>
                      </w:r>
                      <w:r>
                        <w:rPr>
                          <w:sz w:val="20"/>
                          <w:szCs w:val="20"/>
                        </w:rPr>
                        <w:t>s</w:t>
                      </w:r>
                      <w:r w:rsidRPr="00D03147">
                        <w:rPr>
                          <w:sz w:val="20"/>
                          <w:szCs w:val="20"/>
                        </w:rPr>
                        <w:t xml:space="preserve">. Ahora bien, el trabajo sigue siendo el principal motivo de </w:t>
                      </w:r>
                      <w:r>
                        <w:rPr>
                          <w:sz w:val="20"/>
                          <w:szCs w:val="20"/>
                        </w:rPr>
                        <w:t xml:space="preserve">la </w:t>
                      </w:r>
                      <w:r w:rsidRPr="00D03147">
                        <w:rPr>
                          <w:sz w:val="20"/>
                          <w:szCs w:val="20"/>
                        </w:rPr>
                        <w:t>migración internacional</w:t>
                      </w:r>
                      <w:r>
                        <w:rPr>
                          <w:sz w:val="20"/>
                          <w:szCs w:val="20"/>
                        </w:rPr>
                        <w:t>. L</w:t>
                      </w:r>
                      <w:r w:rsidRPr="00D03147">
                        <w:rPr>
                          <w:sz w:val="20"/>
                          <w:szCs w:val="20"/>
                        </w:rPr>
                        <w:t>os trabajadores migrantes, radicados en su mayor parte en países de ingreso alto, constituyen una amplia mayoría</w:t>
                      </w:r>
                      <w:r>
                        <w:rPr>
                          <w:sz w:val="20"/>
                          <w:szCs w:val="20"/>
                        </w:rPr>
                        <w:t>.</w:t>
                      </w:r>
                      <w:r w:rsidRPr="00D03147">
                        <w:rPr>
                          <w:sz w:val="20"/>
                          <w:szCs w:val="20"/>
                        </w:rPr>
                        <w:t xml:space="preserve"> El número total de desplazamientos se encuentra en un nivel sin precedentes, 41 millones de desplazados internos y casi 26 millones de refugiados. </w:t>
                      </w:r>
                      <w:r>
                        <w:rPr>
                          <w:b/>
                          <w:sz w:val="16"/>
                          <w:szCs w:val="16"/>
                        </w:rPr>
                        <w:t xml:space="preserve"> </w:t>
                      </w:r>
                      <w:r w:rsidRPr="00D03147">
                        <w:rPr>
                          <w:sz w:val="20"/>
                          <w:szCs w:val="20"/>
                        </w:rPr>
                        <w:t>Las mujeres representan el 48</w:t>
                      </w:r>
                      <w:r>
                        <w:rPr>
                          <w:sz w:val="20"/>
                          <w:szCs w:val="20"/>
                        </w:rPr>
                        <w:t>%</w:t>
                      </w:r>
                      <w:r w:rsidRPr="00D03147">
                        <w:rPr>
                          <w:sz w:val="20"/>
                          <w:szCs w:val="20"/>
                        </w:rPr>
                        <w:t xml:space="preserve"> del total de</w:t>
                      </w:r>
                      <w:r>
                        <w:rPr>
                          <w:sz w:val="20"/>
                          <w:szCs w:val="20"/>
                        </w:rPr>
                        <w:t xml:space="preserve"> la</w:t>
                      </w:r>
                      <w:r w:rsidRPr="00D03147">
                        <w:rPr>
                          <w:sz w:val="20"/>
                          <w:szCs w:val="20"/>
                        </w:rPr>
                        <w:t xml:space="preserve"> migra</w:t>
                      </w:r>
                      <w:r>
                        <w:rPr>
                          <w:sz w:val="20"/>
                          <w:szCs w:val="20"/>
                        </w:rPr>
                        <w:t>ción</w:t>
                      </w:r>
                      <w:r w:rsidRPr="00D03147">
                        <w:rPr>
                          <w:sz w:val="20"/>
                          <w:szCs w:val="20"/>
                        </w:rPr>
                        <w:t xml:space="preserve"> internacional.</w:t>
                      </w:r>
                    </w:p>
                    <w:p w14:paraId="61BC8735" w14:textId="77777777" w:rsidR="00DC0EAB" w:rsidRPr="006E7A32" w:rsidRDefault="00DC0EAB" w:rsidP="003915CB">
                      <w:pPr>
                        <w:shd w:val="clear" w:color="auto" w:fill="E5DFEC" w:themeFill="accent4" w:themeFillTint="33"/>
                        <w:spacing w:before="120" w:after="120"/>
                        <w:jc w:val="both"/>
                      </w:pPr>
                      <w:r>
                        <w:rPr>
                          <w:sz w:val="20"/>
                          <w:szCs w:val="20"/>
                        </w:rPr>
                        <w:t xml:space="preserve">Esta migración se concentra </w:t>
                      </w:r>
                      <w:r w:rsidRPr="007736A4">
                        <w:rPr>
                          <w:sz w:val="20"/>
                          <w:szCs w:val="20"/>
                        </w:rPr>
                        <w:t>en edad</w:t>
                      </w:r>
                      <w:r>
                        <w:rPr>
                          <w:sz w:val="20"/>
                          <w:szCs w:val="20"/>
                        </w:rPr>
                        <w:t>es de productividad</w:t>
                      </w:r>
                      <w:r w:rsidRPr="007736A4">
                        <w:rPr>
                          <w:sz w:val="20"/>
                          <w:szCs w:val="20"/>
                        </w:rPr>
                        <w:t xml:space="preserve"> laboral</w:t>
                      </w:r>
                      <w:r>
                        <w:rPr>
                          <w:sz w:val="20"/>
                          <w:szCs w:val="20"/>
                        </w:rPr>
                        <w:t xml:space="preserve"> en un </w:t>
                      </w:r>
                      <w:r w:rsidRPr="007736A4">
                        <w:rPr>
                          <w:sz w:val="20"/>
                          <w:szCs w:val="20"/>
                        </w:rPr>
                        <w:t>74</w:t>
                      </w:r>
                      <w:r>
                        <w:rPr>
                          <w:sz w:val="20"/>
                          <w:szCs w:val="20"/>
                        </w:rPr>
                        <w:t>%</w:t>
                      </w:r>
                      <w:r w:rsidRPr="007736A4">
                        <w:rPr>
                          <w:sz w:val="20"/>
                          <w:szCs w:val="20"/>
                        </w:rPr>
                        <w:t xml:space="preserve"> del total</w:t>
                      </w:r>
                      <w:r>
                        <w:t>.</w:t>
                      </w:r>
                      <w:r w:rsidRPr="006A254D">
                        <w:rPr>
                          <w:b/>
                          <w:sz w:val="16"/>
                          <w:szCs w:val="16"/>
                        </w:rPr>
                        <w:t xml:space="preserve"> </w:t>
                      </w:r>
                      <w:r w:rsidRPr="00D03147">
                        <w:rPr>
                          <w:b/>
                          <w:sz w:val="16"/>
                          <w:szCs w:val="16"/>
                        </w:rPr>
                        <w:t>Informe sobre las Migracion</w:t>
                      </w:r>
                      <w:r>
                        <w:rPr>
                          <w:b/>
                          <w:sz w:val="16"/>
                          <w:szCs w:val="16"/>
                        </w:rPr>
                        <w:t xml:space="preserve">es en el Mundo 2020: Capítulo. </w:t>
                      </w:r>
                      <w:r w:rsidRPr="00D03147">
                        <w:rPr>
                          <w:b/>
                          <w:sz w:val="16"/>
                          <w:szCs w:val="16"/>
                        </w:rPr>
                        <w:t>Migración y Migrantes: Panorama Mundial</w:t>
                      </w:r>
                    </w:p>
                  </w:txbxContent>
                </v:textbox>
                <w10:wrap type="tight" anchorx="margin"/>
              </v:shape>
            </w:pict>
          </mc:Fallback>
        </mc:AlternateContent>
      </w:r>
      <w:r w:rsidR="00874B25" w:rsidRPr="005970E9">
        <w:rPr>
          <w:bCs/>
        </w:rPr>
        <w:t>El movimiento migratorio panameño “se refiere a todos los ingresos y egresos de personas al territorio nacional que fueron registrados, ya sea en papel o en algún medio informático, en cualquiera de los puestos fronterizos interna</w:t>
      </w:r>
      <w:r w:rsidR="0087335F" w:rsidRPr="005970E9">
        <w:rPr>
          <w:bCs/>
        </w:rPr>
        <w:softHyphen/>
      </w:r>
      <w:r w:rsidR="00874B25" w:rsidRPr="005970E9">
        <w:rPr>
          <w:bCs/>
        </w:rPr>
        <w:t>cionales (aéreos, terrestres, fluviales o marítimos)”.</w:t>
      </w:r>
      <w:r w:rsidR="00874B25" w:rsidRPr="005970E9">
        <w:rPr>
          <w:rStyle w:val="FootnoteReference"/>
          <w:bCs/>
        </w:rPr>
        <w:footnoteReference w:id="54"/>
      </w:r>
      <w:r w:rsidRPr="005970E9">
        <w:rPr>
          <w:bCs/>
        </w:rPr>
        <w:t xml:space="preserve"> </w:t>
      </w:r>
      <w:r w:rsidR="00874B25" w:rsidRPr="005970E9">
        <w:rPr>
          <w:bCs/>
        </w:rPr>
        <w:t>OIM. Panamá en el año 2019 registró un movimiento migratorio de 6,391,086 personas según datos reportados por la Dirección Nacional de Migración, de los cuales 3,481,576 fueron hombres (54.5%) y 2,909,507 fueron mujeres (45.5%). Del total de población 1,361,295</w:t>
      </w:r>
      <w:r w:rsidR="00874B25" w:rsidRPr="005970E9">
        <w:rPr>
          <w:rFonts w:eastAsia="Times New Roman"/>
          <w:b/>
          <w:bCs/>
        </w:rPr>
        <w:t xml:space="preserve"> </w:t>
      </w:r>
      <w:r w:rsidR="00874B25" w:rsidRPr="005970E9">
        <w:rPr>
          <w:rFonts w:eastAsia="Times New Roman"/>
          <w:bCs/>
        </w:rPr>
        <w:t>corresponden a Panamá, siendo las entradas</w:t>
      </w:r>
      <w:r w:rsidR="00874B25" w:rsidRPr="005970E9">
        <w:rPr>
          <w:rFonts w:eastAsia="Times New Roman"/>
          <w:b/>
          <w:bCs/>
        </w:rPr>
        <w:t xml:space="preserve"> </w:t>
      </w:r>
      <w:r w:rsidR="00874B25" w:rsidRPr="005970E9">
        <w:rPr>
          <w:rFonts w:eastAsia="Times New Roman"/>
        </w:rPr>
        <w:t xml:space="preserve">792,765 y las salidas 568,530. Extranjeros fueron 4,995,319 de los cuales 2,552,493 fueron entradas y 2,442,826 fueron salidas. La vía más frecuente fue la aérea. Los países que registraron mayor número de entradas y salidas fueron Estados Unidos, Colombia y Costa Rica. </w:t>
      </w:r>
      <w:r w:rsidR="00874B25" w:rsidRPr="005970E9">
        <w:rPr>
          <w:bCs/>
        </w:rPr>
        <w:t xml:space="preserve">Las entradas y salidas incluyen </w:t>
      </w:r>
      <w:r w:rsidR="00C8572D" w:rsidRPr="005970E9">
        <w:rPr>
          <w:bCs/>
        </w:rPr>
        <w:t>a</w:t>
      </w:r>
      <w:r w:rsidR="00874B25" w:rsidRPr="005970E9">
        <w:rPr>
          <w:bCs/>
        </w:rPr>
        <w:t xml:space="preserve"> residentes nacionales o extranjeros y visitantes que pueden ser turistas, excursionista (se refiere a visitantes que no pasan una noche en el país) o pasajeros de cruceros</w:t>
      </w:r>
      <w:r w:rsidR="00874B25" w:rsidRPr="005970E9">
        <w:rPr>
          <w:bCs/>
          <w:sz w:val="24"/>
          <w:szCs w:val="24"/>
        </w:rPr>
        <w:t xml:space="preserve">. </w:t>
      </w:r>
    </w:p>
    <w:p w14:paraId="27CD3C71" w14:textId="07948C94" w:rsidR="003915CB" w:rsidRPr="005970E9" w:rsidRDefault="003915CB" w:rsidP="003915CB">
      <w:pPr>
        <w:spacing w:before="120" w:after="120" w:line="276" w:lineRule="auto"/>
        <w:jc w:val="both"/>
        <w:rPr>
          <w:bCs/>
          <w:sz w:val="24"/>
          <w:szCs w:val="24"/>
        </w:rPr>
      </w:pPr>
    </w:p>
    <w:p w14:paraId="7CA9FC49" w14:textId="216720C4" w:rsidR="00874B25" w:rsidRPr="005970E9" w:rsidRDefault="008A61AF" w:rsidP="003C6394">
      <w:pPr>
        <w:pStyle w:val="Caption"/>
        <w:jc w:val="center"/>
        <w:rPr>
          <w:rFonts w:ascii="Century Schoolbook" w:hAnsi="Century Schoolbook"/>
          <w:i w:val="0"/>
          <w:iCs w:val="0"/>
          <w:sz w:val="20"/>
          <w:szCs w:val="20"/>
        </w:rPr>
      </w:pPr>
      <w:bookmarkStart w:id="257" w:name="_Toc42549218"/>
      <w:r w:rsidRPr="005970E9">
        <w:rPr>
          <w:rFonts w:ascii="Century Schoolbook" w:hAnsi="Century Schoolbook"/>
          <w:i w:val="0"/>
          <w:iCs w:val="0"/>
        </w:rPr>
        <w:t xml:space="preserve">Tabla </w:t>
      </w:r>
      <w:r w:rsidRPr="005970E9">
        <w:rPr>
          <w:rFonts w:ascii="Century Schoolbook" w:hAnsi="Century Schoolbook"/>
          <w:i w:val="0"/>
          <w:iCs w:val="0"/>
        </w:rPr>
        <w:fldChar w:fldCharType="begin"/>
      </w:r>
      <w:r w:rsidRPr="005970E9">
        <w:rPr>
          <w:rFonts w:ascii="Century Schoolbook" w:hAnsi="Century Schoolbook"/>
          <w:i w:val="0"/>
          <w:iCs w:val="0"/>
        </w:rPr>
        <w:instrText>SEQ Tabla \* ARABIC</w:instrText>
      </w:r>
      <w:r w:rsidRPr="005970E9">
        <w:rPr>
          <w:rFonts w:ascii="Century Schoolbook" w:hAnsi="Century Schoolbook"/>
          <w:i w:val="0"/>
          <w:iCs w:val="0"/>
        </w:rPr>
        <w:fldChar w:fldCharType="separate"/>
      </w:r>
      <w:r w:rsidR="000E7B3A">
        <w:rPr>
          <w:rFonts w:ascii="Century Schoolbook" w:hAnsi="Century Schoolbook"/>
          <w:i w:val="0"/>
          <w:iCs w:val="0"/>
          <w:noProof/>
        </w:rPr>
        <w:t>24</w:t>
      </w:r>
      <w:r w:rsidRPr="005970E9">
        <w:rPr>
          <w:rFonts w:ascii="Century Schoolbook" w:hAnsi="Century Schoolbook"/>
          <w:i w:val="0"/>
          <w:iCs w:val="0"/>
        </w:rPr>
        <w:fldChar w:fldCharType="end"/>
      </w:r>
      <w:r w:rsidRPr="005970E9">
        <w:rPr>
          <w:rFonts w:ascii="Century Schoolbook" w:hAnsi="Century Schoolbook"/>
          <w:i w:val="0"/>
          <w:iCs w:val="0"/>
          <w:sz w:val="20"/>
          <w:szCs w:val="20"/>
        </w:rPr>
        <w:t>.</w:t>
      </w:r>
      <w:r w:rsidR="003C6394" w:rsidRPr="005970E9">
        <w:rPr>
          <w:rFonts w:ascii="Century Schoolbook" w:hAnsi="Century Schoolbook"/>
          <w:i w:val="0"/>
          <w:iCs w:val="0"/>
          <w:sz w:val="20"/>
          <w:szCs w:val="20"/>
        </w:rPr>
        <w:t xml:space="preserve"> </w:t>
      </w:r>
      <w:r w:rsidR="00874B25" w:rsidRPr="005970E9">
        <w:rPr>
          <w:rFonts w:ascii="Century Schoolbook" w:eastAsia="Times New Roman" w:hAnsi="Century Schoolbook"/>
          <w:i w:val="0"/>
          <w:iCs w:val="0"/>
          <w:color w:val="000000"/>
          <w:sz w:val="20"/>
          <w:szCs w:val="20"/>
        </w:rPr>
        <w:t>Movimiento migratorio por vía. 2019</w:t>
      </w:r>
      <w:bookmarkEnd w:id="257"/>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559"/>
        <w:gridCol w:w="1559"/>
        <w:gridCol w:w="1418"/>
      </w:tblGrid>
      <w:tr w:rsidR="00874B25" w:rsidRPr="005970E9" w14:paraId="73CC773E" w14:textId="77777777" w:rsidTr="000E7B3A">
        <w:trPr>
          <w:trHeight w:val="216"/>
          <w:jc w:val="center"/>
        </w:trPr>
        <w:tc>
          <w:tcPr>
            <w:tcW w:w="1413" w:type="dxa"/>
            <w:shd w:val="clear" w:color="auto" w:fill="B2A1C7" w:themeFill="accent4" w:themeFillTint="99"/>
            <w:noWrap/>
            <w:vAlign w:val="center"/>
            <w:hideMark/>
          </w:tcPr>
          <w:p w14:paraId="20407BFA" w14:textId="77777777" w:rsidR="00874B25" w:rsidRPr="005970E9" w:rsidRDefault="00874B25" w:rsidP="000E7B3A">
            <w:pPr>
              <w:spacing w:before="120" w:after="120"/>
              <w:rPr>
                <w:rFonts w:eastAsia="Times New Roman"/>
                <w:b/>
                <w:bCs/>
                <w:sz w:val="20"/>
                <w:szCs w:val="20"/>
              </w:rPr>
            </w:pPr>
            <w:r w:rsidRPr="005970E9">
              <w:rPr>
                <w:rFonts w:eastAsia="Times New Roman"/>
                <w:b/>
                <w:bCs/>
                <w:sz w:val="20"/>
                <w:szCs w:val="20"/>
              </w:rPr>
              <w:t xml:space="preserve"> Vía </w:t>
            </w:r>
          </w:p>
        </w:tc>
        <w:tc>
          <w:tcPr>
            <w:tcW w:w="1559" w:type="dxa"/>
            <w:shd w:val="clear" w:color="auto" w:fill="B2A1C7" w:themeFill="accent4" w:themeFillTint="99"/>
            <w:noWrap/>
            <w:vAlign w:val="center"/>
            <w:hideMark/>
          </w:tcPr>
          <w:p w14:paraId="64E0D83F" w14:textId="77777777" w:rsidR="00874B25" w:rsidRPr="005970E9" w:rsidRDefault="00874B25" w:rsidP="000E7B3A">
            <w:pPr>
              <w:spacing w:before="120" w:after="120"/>
              <w:jc w:val="center"/>
              <w:rPr>
                <w:rFonts w:eastAsia="Times New Roman"/>
                <w:b/>
                <w:bCs/>
                <w:color w:val="000000"/>
                <w:sz w:val="20"/>
                <w:szCs w:val="20"/>
              </w:rPr>
            </w:pPr>
            <w:r w:rsidRPr="005970E9">
              <w:rPr>
                <w:rFonts w:eastAsia="Times New Roman"/>
                <w:b/>
                <w:bCs/>
                <w:color w:val="000000"/>
                <w:sz w:val="20"/>
                <w:szCs w:val="20"/>
              </w:rPr>
              <w:t>Total</w:t>
            </w:r>
          </w:p>
        </w:tc>
        <w:tc>
          <w:tcPr>
            <w:tcW w:w="1559" w:type="dxa"/>
            <w:shd w:val="clear" w:color="auto" w:fill="B2A1C7" w:themeFill="accent4" w:themeFillTint="99"/>
            <w:noWrap/>
            <w:vAlign w:val="center"/>
            <w:hideMark/>
          </w:tcPr>
          <w:p w14:paraId="20D4CC18" w14:textId="77777777" w:rsidR="00874B25" w:rsidRPr="005970E9" w:rsidRDefault="00874B25" w:rsidP="000E7B3A">
            <w:pPr>
              <w:spacing w:before="120" w:after="120"/>
              <w:jc w:val="right"/>
              <w:rPr>
                <w:rFonts w:eastAsia="Times New Roman"/>
                <w:b/>
                <w:bCs/>
                <w:sz w:val="20"/>
                <w:szCs w:val="20"/>
              </w:rPr>
            </w:pPr>
            <w:r w:rsidRPr="005970E9">
              <w:rPr>
                <w:rFonts w:eastAsia="Times New Roman"/>
                <w:b/>
                <w:bCs/>
                <w:sz w:val="20"/>
                <w:szCs w:val="20"/>
              </w:rPr>
              <w:t xml:space="preserve">Entradas  </w:t>
            </w:r>
          </w:p>
        </w:tc>
        <w:tc>
          <w:tcPr>
            <w:tcW w:w="1418" w:type="dxa"/>
            <w:shd w:val="clear" w:color="auto" w:fill="B2A1C7" w:themeFill="accent4" w:themeFillTint="99"/>
            <w:noWrap/>
            <w:vAlign w:val="center"/>
            <w:hideMark/>
          </w:tcPr>
          <w:p w14:paraId="1EA67B14" w14:textId="77777777" w:rsidR="00874B25" w:rsidRPr="005970E9" w:rsidRDefault="00874B25" w:rsidP="000E7B3A">
            <w:pPr>
              <w:spacing w:before="120" w:after="120"/>
              <w:jc w:val="center"/>
              <w:rPr>
                <w:rFonts w:eastAsia="Times New Roman"/>
                <w:b/>
                <w:bCs/>
                <w:sz w:val="20"/>
                <w:szCs w:val="20"/>
              </w:rPr>
            </w:pPr>
            <w:r w:rsidRPr="005970E9">
              <w:rPr>
                <w:rFonts w:eastAsia="Times New Roman"/>
                <w:b/>
                <w:bCs/>
                <w:sz w:val="20"/>
                <w:szCs w:val="20"/>
              </w:rPr>
              <w:t xml:space="preserve"> Salidas </w:t>
            </w:r>
          </w:p>
        </w:tc>
      </w:tr>
      <w:tr w:rsidR="00874B25" w:rsidRPr="005970E9" w14:paraId="046F4C55" w14:textId="77777777" w:rsidTr="003C6394">
        <w:trPr>
          <w:trHeight w:val="465"/>
          <w:jc w:val="center"/>
        </w:trPr>
        <w:tc>
          <w:tcPr>
            <w:tcW w:w="1413" w:type="dxa"/>
            <w:shd w:val="clear" w:color="auto" w:fill="auto"/>
            <w:noWrap/>
            <w:vAlign w:val="center"/>
            <w:hideMark/>
          </w:tcPr>
          <w:p w14:paraId="06078295" w14:textId="77777777" w:rsidR="00874B25" w:rsidRPr="005970E9" w:rsidRDefault="00874B25" w:rsidP="003C6394">
            <w:pPr>
              <w:rPr>
                <w:rFonts w:eastAsia="Times New Roman"/>
                <w:sz w:val="20"/>
                <w:szCs w:val="20"/>
              </w:rPr>
            </w:pPr>
            <w:r w:rsidRPr="005970E9">
              <w:rPr>
                <w:rFonts w:eastAsia="Times New Roman"/>
                <w:sz w:val="20"/>
                <w:szCs w:val="20"/>
              </w:rPr>
              <w:t xml:space="preserve"> Total </w:t>
            </w:r>
          </w:p>
        </w:tc>
        <w:tc>
          <w:tcPr>
            <w:tcW w:w="1559" w:type="dxa"/>
            <w:shd w:val="clear" w:color="auto" w:fill="auto"/>
            <w:noWrap/>
            <w:vAlign w:val="center"/>
            <w:hideMark/>
          </w:tcPr>
          <w:p w14:paraId="692947BF" w14:textId="77777777" w:rsidR="00874B25" w:rsidRPr="005970E9" w:rsidRDefault="00874B25" w:rsidP="003C6394">
            <w:pPr>
              <w:jc w:val="right"/>
              <w:rPr>
                <w:rFonts w:eastAsia="Times New Roman"/>
                <w:color w:val="000000"/>
                <w:sz w:val="20"/>
                <w:szCs w:val="20"/>
              </w:rPr>
            </w:pPr>
            <w:r w:rsidRPr="005970E9">
              <w:rPr>
                <w:rFonts w:eastAsia="Times New Roman"/>
                <w:color w:val="000000"/>
                <w:sz w:val="20"/>
                <w:szCs w:val="20"/>
              </w:rPr>
              <w:t xml:space="preserve">6,356,614 </w:t>
            </w:r>
          </w:p>
        </w:tc>
        <w:tc>
          <w:tcPr>
            <w:tcW w:w="1559" w:type="dxa"/>
            <w:shd w:val="clear" w:color="auto" w:fill="auto"/>
            <w:noWrap/>
            <w:vAlign w:val="center"/>
            <w:hideMark/>
          </w:tcPr>
          <w:p w14:paraId="6FB25E60" w14:textId="77777777" w:rsidR="00874B25" w:rsidRPr="005970E9" w:rsidRDefault="00874B25" w:rsidP="003C6394">
            <w:pPr>
              <w:jc w:val="right"/>
              <w:rPr>
                <w:rFonts w:eastAsia="Times New Roman"/>
                <w:sz w:val="20"/>
                <w:szCs w:val="20"/>
              </w:rPr>
            </w:pPr>
            <w:r w:rsidRPr="005970E9">
              <w:rPr>
                <w:rFonts w:eastAsia="Times New Roman"/>
                <w:sz w:val="20"/>
                <w:szCs w:val="20"/>
              </w:rPr>
              <w:t xml:space="preserve">3,345,258 </w:t>
            </w:r>
          </w:p>
        </w:tc>
        <w:tc>
          <w:tcPr>
            <w:tcW w:w="1418" w:type="dxa"/>
            <w:shd w:val="clear" w:color="auto" w:fill="auto"/>
            <w:noWrap/>
            <w:vAlign w:val="center"/>
            <w:hideMark/>
          </w:tcPr>
          <w:p w14:paraId="28DB699C" w14:textId="77777777" w:rsidR="00874B25" w:rsidRPr="005970E9" w:rsidRDefault="00874B25" w:rsidP="003C6394">
            <w:pPr>
              <w:jc w:val="right"/>
              <w:rPr>
                <w:rFonts w:eastAsia="Times New Roman"/>
                <w:color w:val="000000"/>
                <w:sz w:val="20"/>
                <w:szCs w:val="20"/>
              </w:rPr>
            </w:pPr>
            <w:r w:rsidRPr="005970E9">
              <w:rPr>
                <w:rFonts w:eastAsia="Times New Roman"/>
                <w:color w:val="000000"/>
                <w:sz w:val="20"/>
                <w:szCs w:val="20"/>
              </w:rPr>
              <w:t xml:space="preserve">3,011,356 </w:t>
            </w:r>
          </w:p>
        </w:tc>
      </w:tr>
      <w:tr w:rsidR="00874B25" w:rsidRPr="005970E9" w14:paraId="0A62AD50" w14:textId="77777777" w:rsidTr="003C6394">
        <w:trPr>
          <w:trHeight w:val="415"/>
          <w:jc w:val="center"/>
        </w:trPr>
        <w:tc>
          <w:tcPr>
            <w:tcW w:w="1413" w:type="dxa"/>
            <w:shd w:val="clear" w:color="auto" w:fill="auto"/>
            <w:noWrap/>
            <w:vAlign w:val="center"/>
            <w:hideMark/>
          </w:tcPr>
          <w:p w14:paraId="3CD0175F" w14:textId="77777777" w:rsidR="00874B25" w:rsidRPr="005970E9" w:rsidRDefault="00874B25" w:rsidP="003C6394">
            <w:pPr>
              <w:rPr>
                <w:rFonts w:eastAsia="Times New Roman"/>
                <w:sz w:val="20"/>
                <w:szCs w:val="20"/>
              </w:rPr>
            </w:pPr>
            <w:r w:rsidRPr="005970E9">
              <w:rPr>
                <w:rFonts w:eastAsia="Times New Roman"/>
                <w:sz w:val="20"/>
                <w:szCs w:val="20"/>
              </w:rPr>
              <w:t>Aérea</w:t>
            </w:r>
          </w:p>
        </w:tc>
        <w:tc>
          <w:tcPr>
            <w:tcW w:w="1559" w:type="dxa"/>
            <w:shd w:val="clear" w:color="auto" w:fill="auto"/>
            <w:noWrap/>
            <w:vAlign w:val="center"/>
            <w:hideMark/>
          </w:tcPr>
          <w:p w14:paraId="161D5DB9" w14:textId="77777777" w:rsidR="00874B25" w:rsidRPr="005970E9" w:rsidRDefault="00874B25" w:rsidP="003C6394">
            <w:pPr>
              <w:jc w:val="right"/>
              <w:rPr>
                <w:rFonts w:eastAsia="Times New Roman"/>
                <w:color w:val="000000"/>
                <w:sz w:val="20"/>
                <w:szCs w:val="20"/>
              </w:rPr>
            </w:pPr>
            <w:r w:rsidRPr="005970E9">
              <w:rPr>
                <w:rFonts w:eastAsia="Times New Roman"/>
                <w:color w:val="000000"/>
                <w:sz w:val="20"/>
                <w:szCs w:val="20"/>
              </w:rPr>
              <w:t xml:space="preserve">5,727,806 </w:t>
            </w:r>
          </w:p>
        </w:tc>
        <w:tc>
          <w:tcPr>
            <w:tcW w:w="1559" w:type="dxa"/>
            <w:shd w:val="clear" w:color="auto" w:fill="auto"/>
            <w:noWrap/>
            <w:vAlign w:val="center"/>
            <w:hideMark/>
          </w:tcPr>
          <w:p w14:paraId="7FA13D3F" w14:textId="77777777" w:rsidR="00874B25" w:rsidRPr="005970E9" w:rsidRDefault="00874B25" w:rsidP="003C6394">
            <w:pPr>
              <w:jc w:val="right"/>
              <w:rPr>
                <w:rFonts w:eastAsia="Times New Roman"/>
                <w:sz w:val="20"/>
                <w:szCs w:val="20"/>
              </w:rPr>
            </w:pPr>
            <w:r w:rsidRPr="005970E9">
              <w:rPr>
                <w:rFonts w:eastAsia="Times New Roman"/>
                <w:sz w:val="20"/>
                <w:szCs w:val="20"/>
              </w:rPr>
              <w:t xml:space="preserve">3,036,719 </w:t>
            </w:r>
          </w:p>
        </w:tc>
        <w:tc>
          <w:tcPr>
            <w:tcW w:w="1418" w:type="dxa"/>
            <w:shd w:val="clear" w:color="auto" w:fill="auto"/>
            <w:noWrap/>
            <w:vAlign w:val="center"/>
            <w:hideMark/>
          </w:tcPr>
          <w:p w14:paraId="67B79F2F" w14:textId="77777777" w:rsidR="00874B25" w:rsidRPr="005970E9" w:rsidRDefault="00874B25" w:rsidP="003C6394">
            <w:pPr>
              <w:jc w:val="right"/>
              <w:rPr>
                <w:rFonts w:eastAsia="Times New Roman"/>
                <w:color w:val="000000"/>
                <w:sz w:val="20"/>
                <w:szCs w:val="20"/>
              </w:rPr>
            </w:pPr>
            <w:r w:rsidRPr="005970E9">
              <w:rPr>
                <w:rFonts w:eastAsia="Times New Roman"/>
                <w:color w:val="000000"/>
                <w:sz w:val="20"/>
                <w:szCs w:val="20"/>
              </w:rPr>
              <w:t xml:space="preserve">2,691,087 </w:t>
            </w:r>
          </w:p>
        </w:tc>
      </w:tr>
      <w:tr w:rsidR="00874B25" w:rsidRPr="005970E9" w14:paraId="55D011E6" w14:textId="77777777" w:rsidTr="003C6394">
        <w:trPr>
          <w:trHeight w:val="280"/>
          <w:jc w:val="center"/>
        </w:trPr>
        <w:tc>
          <w:tcPr>
            <w:tcW w:w="1413" w:type="dxa"/>
            <w:shd w:val="clear" w:color="auto" w:fill="auto"/>
            <w:noWrap/>
            <w:vAlign w:val="center"/>
            <w:hideMark/>
          </w:tcPr>
          <w:p w14:paraId="069F845F" w14:textId="77777777" w:rsidR="00874B25" w:rsidRPr="005970E9" w:rsidRDefault="00874B25" w:rsidP="003C6394">
            <w:pPr>
              <w:rPr>
                <w:rFonts w:eastAsia="Times New Roman"/>
                <w:sz w:val="20"/>
                <w:szCs w:val="20"/>
              </w:rPr>
            </w:pPr>
            <w:r w:rsidRPr="005970E9">
              <w:rPr>
                <w:rFonts w:eastAsia="Times New Roman"/>
                <w:sz w:val="20"/>
                <w:szCs w:val="20"/>
              </w:rPr>
              <w:t>Terrestre</w:t>
            </w:r>
          </w:p>
        </w:tc>
        <w:tc>
          <w:tcPr>
            <w:tcW w:w="1559" w:type="dxa"/>
            <w:shd w:val="clear" w:color="auto" w:fill="auto"/>
            <w:noWrap/>
            <w:vAlign w:val="center"/>
            <w:hideMark/>
          </w:tcPr>
          <w:p w14:paraId="30A5EDBB" w14:textId="77777777" w:rsidR="00874B25" w:rsidRPr="005970E9" w:rsidRDefault="00874B25" w:rsidP="003C6394">
            <w:pPr>
              <w:jc w:val="right"/>
              <w:rPr>
                <w:rFonts w:eastAsia="Times New Roman"/>
                <w:color w:val="000000"/>
                <w:sz w:val="20"/>
                <w:szCs w:val="20"/>
              </w:rPr>
            </w:pPr>
            <w:r w:rsidRPr="005970E9">
              <w:rPr>
                <w:rFonts w:eastAsia="Times New Roman"/>
                <w:color w:val="000000"/>
                <w:sz w:val="20"/>
                <w:szCs w:val="20"/>
              </w:rPr>
              <w:t xml:space="preserve">  557,118 </w:t>
            </w:r>
          </w:p>
        </w:tc>
        <w:tc>
          <w:tcPr>
            <w:tcW w:w="1559" w:type="dxa"/>
            <w:shd w:val="clear" w:color="auto" w:fill="auto"/>
            <w:noWrap/>
            <w:vAlign w:val="center"/>
            <w:hideMark/>
          </w:tcPr>
          <w:p w14:paraId="689DE1C4" w14:textId="77777777" w:rsidR="00874B25" w:rsidRPr="005970E9" w:rsidRDefault="00874B25" w:rsidP="003C6394">
            <w:pPr>
              <w:jc w:val="right"/>
              <w:rPr>
                <w:rFonts w:eastAsia="Times New Roman"/>
                <w:sz w:val="20"/>
                <w:szCs w:val="20"/>
              </w:rPr>
            </w:pPr>
            <w:r w:rsidRPr="005970E9">
              <w:rPr>
                <w:rFonts w:eastAsia="Times New Roman"/>
                <w:sz w:val="20"/>
                <w:szCs w:val="20"/>
              </w:rPr>
              <w:t xml:space="preserve">   274,992 </w:t>
            </w:r>
          </w:p>
        </w:tc>
        <w:tc>
          <w:tcPr>
            <w:tcW w:w="1418" w:type="dxa"/>
            <w:shd w:val="clear" w:color="auto" w:fill="auto"/>
            <w:noWrap/>
            <w:vAlign w:val="center"/>
            <w:hideMark/>
          </w:tcPr>
          <w:p w14:paraId="0BEB1D4F" w14:textId="77777777" w:rsidR="00874B25" w:rsidRPr="005970E9" w:rsidRDefault="00874B25" w:rsidP="003C6394">
            <w:pPr>
              <w:jc w:val="right"/>
              <w:rPr>
                <w:rFonts w:eastAsia="Times New Roman"/>
                <w:color w:val="000000"/>
                <w:sz w:val="20"/>
                <w:szCs w:val="20"/>
              </w:rPr>
            </w:pPr>
            <w:r w:rsidRPr="005970E9">
              <w:rPr>
                <w:rFonts w:eastAsia="Times New Roman"/>
                <w:color w:val="000000"/>
                <w:sz w:val="20"/>
                <w:szCs w:val="20"/>
              </w:rPr>
              <w:t xml:space="preserve">  282,126 </w:t>
            </w:r>
          </w:p>
        </w:tc>
      </w:tr>
      <w:tr w:rsidR="00874B25" w:rsidRPr="005970E9" w14:paraId="43DE5041" w14:textId="77777777" w:rsidTr="003C6394">
        <w:trPr>
          <w:trHeight w:val="412"/>
          <w:jc w:val="center"/>
        </w:trPr>
        <w:tc>
          <w:tcPr>
            <w:tcW w:w="1413" w:type="dxa"/>
            <w:shd w:val="clear" w:color="auto" w:fill="auto"/>
            <w:noWrap/>
            <w:vAlign w:val="center"/>
            <w:hideMark/>
          </w:tcPr>
          <w:p w14:paraId="2A4B9938" w14:textId="77777777" w:rsidR="00874B25" w:rsidRPr="005970E9" w:rsidRDefault="00874B25" w:rsidP="003C6394">
            <w:pPr>
              <w:rPr>
                <w:rFonts w:eastAsia="Times New Roman"/>
                <w:sz w:val="20"/>
                <w:szCs w:val="20"/>
              </w:rPr>
            </w:pPr>
            <w:r w:rsidRPr="005970E9">
              <w:rPr>
                <w:rFonts w:eastAsia="Times New Roman"/>
                <w:sz w:val="20"/>
                <w:szCs w:val="20"/>
              </w:rPr>
              <w:t>Marítima</w:t>
            </w:r>
          </w:p>
        </w:tc>
        <w:tc>
          <w:tcPr>
            <w:tcW w:w="1559" w:type="dxa"/>
            <w:shd w:val="clear" w:color="auto" w:fill="auto"/>
            <w:noWrap/>
            <w:vAlign w:val="center"/>
            <w:hideMark/>
          </w:tcPr>
          <w:p w14:paraId="3141CC11" w14:textId="77777777" w:rsidR="00874B25" w:rsidRPr="005970E9" w:rsidRDefault="00874B25" w:rsidP="003C6394">
            <w:pPr>
              <w:jc w:val="right"/>
              <w:rPr>
                <w:rFonts w:eastAsia="Times New Roman"/>
                <w:color w:val="000000"/>
                <w:sz w:val="20"/>
                <w:szCs w:val="20"/>
              </w:rPr>
            </w:pPr>
            <w:r w:rsidRPr="005970E9">
              <w:rPr>
                <w:rFonts w:eastAsia="Times New Roman"/>
                <w:color w:val="000000"/>
                <w:sz w:val="20"/>
                <w:szCs w:val="20"/>
              </w:rPr>
              <w:t xml:space="preserve">    71,690 </w:t>
            </w:r>
          </w:p>
        </w:tc>
        <w:tc>
          <w:tcPr>
            <w:tcW w:w="1559" w:type="dxa"/>
            <w:shd w:val="clear" w:color="auto" w:fill="auto"/>
            <w:noWrap/>
            <w:vAlign w:val="center"/>
            <w:hideMark/>
          </w:tcPr>
          <w:p w14:paraId="443E7008" w14:textId="77777777" w:rsidR="00874B25" w:rsidRPr="005970E9" w:rsidRDefault="00874B25" w:rsidP="003C6394">
            <w:pPr>
              <w:jc w:val="right"/>
              <w:rPr>
                <w:rFonts w:eastAsia="Times New Roman"/>
                <w:sz w:val="20"/>
                <w:szCs w:val="20"/>
              </w:rPr>
            </w:pPr>
            <w:r w:rsidRPr="005970E9">
              <w:rPr>
                <w:rFonts w:eastAsia="Times New Roman"/>
                <w:sz w:val="20"/>
                <w:szCs w:val="20"/>
              </w:rPr>
              <w:t xml:space="preserve">     33,547 </w:t>
            </w:r>
          </w:p>
        </w:tc>
        <w:tc>
          <w:tcPr>
            <w:tcW w:w="1418" w:type="dxa"/>
            <w:shd w:val="clear" w:color="auto" w:fill="auto"/>
            <w:noWrap/>
            <w:vAlign w:val="center"/>
            <w:hideMark/>
          </w:tcPr>
          <w:p w14:paraId="2A5CC42A" w14:textId="77777777" w:rsidR="00874B25" w:rsidRPr="005970E9" w:rsidRDefault="00874B25" w:rsidP="003C6394">
            <w:pPr>
              <w:jc w:val="right"/>
              <w:rPr>
                <w:rFonts w:eastAsia="Times New Roman"/>
                <w:color w:val="000000"/>
                <w:sz w:val="20"/>
                <w:szCs w:val="20"/>
              </w:rPr>
            </w:pPr>
            <w:r w:rsidRPr="005970E9">
              <w:rPr>
                <w:rFonts w:eastAsia="Times New Roman"/>
                <w:color w:val="000000"/>
                <w:sz w:val="20"/>
                <w:szCs w:val="20"/>
              </w:rPr>
              <w:t xml:space="preserve">    38,143 </w:t>
            </w:r>
          </w:p>
        </w:tc>
      </w:tr>
      <w:tr w:rsidR="00880177" w:rsidRPr="005970E9" w14:paraId="285C7B07" w14:textId="77777777" w:rsidTr="000E7B3A">
        <w:trPr>
          <w:trHeight w:val="412"/>
          <w:jc w:val="center"/>
        </w:trPr>
        <w:tc>
          <w:tcPr>
            <w:tcW w:w="5949" w:type="dxa"/>
            <w:gridSpan w:val="4"/>
            <w:shd w:val="clear" w:color="auto" w:fill="E5DFEC" w:themeFill="accent4" w:themeFillTint="33"/>
            <w:noWrap/>
            <w:vAlign w:val="center"/>
          </w:tcPr>
          <w:p w14:paraId="05304890" w14:textId="64A0A3AA" w:rsidR="00880177" w:rsidRPr="005970E9" w:rsidRDefault="00880177" w:rsidP="003C6394">
            <w:pPr>
              <w:rPr>
                <w:rFonts w:eastAsia="Times New Roman"/>
                <w:b/>
                <w:color w:val="000000"/>
                <w:sz w:val="20"/>
                <w:szCs w:val="20"/>
              </w:rPr>
            </w:pPr>
            <w:r w:rsidRPr="005970E9">
              <w:rPr>
                <w:bCs/>
                <w:sz w:val="20"/>
                <w:szCs w:val="20"/>
              </w:rPr>
              <w:t>Fuente. Servicio Nacional de Migración.</w:t>
            </w:r>
          </w:p>
        </w:tc>
      </w:tr>
    </w:tbl>
    <w:p w14:paraId="758E8929" w14:textId="77777777" w:rsidR="00874B25" w:rsidRPr="005970E9" w:rsidRDefault="00874B25" w:rsidP="003C6394">
      <w:pPr>
        <w:spacing w:before="240" w:after="120"/>
        <w:jc w:val="both"/>
        <w:rPr>
          <w:b/>
          <w:bCs/>
        </w:rPr>
      </w:pPr>
      <w:r w:rsidRPr="005970E9">
        <w:rPr>
          <w:b/>
          <w:bCs/>
        </w:rPr>
        <w:lastRenderedPageBreak/>
        <w:t xml:space="preserve">Permiso de residencia </w:t>
      </w:r>
    </w:p>
    <w:p w14:paraId="7830D590" w14:textId="006A284C" w:rsidR="00874B25" w:rsidRPr="005970E9" w:rsidRDefault="00874B25" w:rsidP="281BE7A6">
      <w:pPr>
        <w:spacing w:before="120" w:after="120" w:line="276" w:lineRule="auto"/>
        <w:jc w:val="both"/>
      </w:pPr>
      <w:r w:rsidRPr="005970E9">
        <w:t>Otro dato importante relacionado con la migración son los permisos de residencia solicitados por las personas migrantes</w:t>
      </w:r>
      <w:r w:rsidR="00F41542" w:rsidRPr="005970E9">
        <w:t>. E</w:t>
      </w:r>
      <w:r w:rsidRPr="005970E9">
        <w:t>n el año 2019 se solicitaron 22,854 permisos de residencia de los cuales se apro</w:t>
      </w:r>
      <w:r w:rsidR="5394083B" w:rsidRPr="005970E9">
        <w:t>b</w:t>
      </w:r>
      <w:r w:rsidR="00F41542" w:rsidRPr="005970E9">
        <w:t xml:space="preserve">ó </w:t>
      </w:r>
      <w:r w:rsidRPr="005970E9">
        <w:t>el 87%</w:t>
      </w:r>
      <w:r w:rsidR="003C6394" w:rsidRPr="005970E9">
        <w:t>,</w:t>
      </w:r>
      <w:r w:rsidRPr="005970E9">
        <w:t xml:space="preserve"> negándose solo el 13% de las solicitudes.  De estos permisos el 56% se otorgaron a los hombres (11,173) y el 44% (8,671) a mujeres. En ambos casos los permisos son solicitados por personas migrantes que se encuentran en plena edad productiva, entre los 24 y 40 años. </w:t>
      </w:r>
    </w:p>
    <w:p w14:paraId="047DF645" w14:textId="2C42409B" w:rsidR="00874B25" w:rsidRPr="005970E9" w:rsidRDefault="00874B25" w:rsidP="00D478B6">
      <w:pPr>
        <w:pStyle w:val="Heading3"/>
        <w:numPr>
          <w:ilvl w:val="2"/>
          <w:numId w:val="56"/>
        </w:numPr>
      </w:pPr>
      <w:bookmarkStart w:id="258" w:name="_Toc42159239"/>
      <w:bookmarkStart w:id="259" w:name="_Toc42549470"/>
      <w:r w:rsidRPr="005970E9">
        <w:t>Proceso extraordinario de regularización migratoria</w:t>
      </w:r>
      <w:bookmarkEnd w:id="258"/>
      <w:bookmarkEnd w:id="259"/>
    </w:p>
    <w:p w14:paraId="6F5D5967" w14:textId="77777777" w:rsidR="00874B25" w:rsidRPr="005970E9" w:rsidRDefault="00874B25" w:rsidP="003915CB">
      <w:pPr>
        <w:spacing w:before="120" w:after="120" w:line="276" w:lineRule="auto"/>
        <w:jc w:val="both"/>
        <w:rPr>
          <w:b/>
          <w:bCs/>
        </w:rPr>
      </w:pPr>
      <w:r w:rsidRPr="005970E9">
        <w:rPr>
          <w:bCs/>
        </w:rPr>
        <w:t xml:space="preserve">En cuanto al proceso de regulación migratoria extraordinaria es la población venezolana la que más solicita este sistema de regulación migratoria, seguida de la población colombiana y nicaragüense. En el año 2019, el porcentaje de mujeres que solicitó esta forma de regulación representó el 53% (16,814) frente al 47% (14,963) de los hombres. Las mujeres optan por este tipo de regulación más que lo hombres, la razón de ello parece residir en que los tramites son más rápidos. </w:t>
      </w:r>
    </w:p>
    <w:p w14:paraId="6F7FB318" w14:textId="77777777" w:rsidR="00874B25" w:rsidRPr="005970E9" w:rsidRDefault="00874B25" w:rsidP="00874B25">
      <w:pPr>
        <w:spacing w:before="120" w:after="120"/>
        <w:jc w:val="both"/>
        <w:rPr>
          <w:b/>
          <w:bCs/>
        </w:rPr>
      </w:pPr>
      <w:r w:rsidRPr="005970E9">
        <w:rPr>
          <w:b/>
          <w:bCs/>
        </w:rPr>
        <w:t xml:space="preserve">Legalizaciones </w:t>
      </w:r>
    </w:p>
    <w:p w14:paraId="1106956F" w14:textId="77777777" w:rsidR="00874B25" w:rsidRPr="005970E9" w:rsidRDefault="00874B25" w:rsidP="003915CB">
      <w:pPr>
        <w:spacing w:before="120" w:after="120" w:line="276" w:lineRule="auto"/>
        <w:jc w:val="both"/>
        <w:rPr>
          <w:bCs/>
        </w:rPr>
      </w:pPr>
      <w:r w:rsidRPr="005970E9">
        <w:rPr>
          <w:bCs/>
        </w:rPr>
        <w:t>A lo largo del año 2019 se legalizaron 52,269 personas de las cuales el 51% (</w:t>
      </w:r>
      <w:r w:rsidRPr="005970E9">
        <w:t xml:space="preserve">25,922) </w:t>
      </w:r>
      <w:r w:rsidRPr="005970E9">
        <w:rPr>
          <w:bCs/>
        </w:rPr>
        <w:t>fueron hombres y el 49% (</w:t>
      </w:r>
      <w:r w:rsidRPr="005970E9">
        <w:t>25,340)</w:t>
      </w:r>
      <w:r w:rsidRPr="005970E9">
        <w:rPr>
          <w:bCs/>
        </w:rPr>
        <w:t xml:space="preserve"> mujeres, esta cifra no presenta diferencias significativas entre hombres y mujeres.</w:t>
      </w:r>
    </w:p>
    <w:p w14:paraId="449F8496" w14:textId="1C6D012B" w:rsidR="00874B25" w:rsidRPr="005970E9" w:rsidRDefault="00874B25" w:rsidP="00D478B6">
      <w:pPr>
        <w:pStyle w:val="ListParagraph"/>
        <w:numPr>
          <w:ilvl w:val="2"/>
          <w:numId w:val="56"/>
        </w:numPr>
        <w:spacing w:before="120" w:after="120"/>
        <w:jc w:val="both"/>
        <w:rPr>
          <w:rStyle w:val="Heading3Char"/>
          <w:rFonts w:eastAsiaTheme="minorHAnsi" w:cs="Times New Roman"/>
          <w:bCs/>
          <w:color w:val="auto"/>
          <w:sz w:val="24"/>
          <w:szCs w:val="24"/>
        </w:rPr>
      </w:pPr>
      <w:bookmarkStart w:id="260" w:name="_Toc42159240"/>
      <w:bookmarkStart w:id="261" w:name="_Toc42549471"/>
      <w:r w:rsidRPr="005970E9">
        <w:rPr>
          <w:rStyle w:val="Heading3Char"/>
        </w:rPr>
        <w:t>Extranjeros con estatus irregular y faltas a la legislación administrativa y penal</w:t>
      </w:r>
      <w:bookmarkEnd w:id="260"/>
      <w:bookmarkEnd w:id="261"/>
    </w:p>
    <w:p w14:paraId="7144CDF7" w14:textId="708BAC32" w:rsidR="00880177" w:rsidRPr="005970E9" w:rsidRDefault="00880177" w:rsidP="00880177">
      <w:pPr>
        <w:pStyle w:val="Caption"/>
        <w:keepNext/>
        <w:spacing w:after="0"/>
        <w:ind w:left="3600"/>
        <w:jc w:val="both"/>
        <w:rPr>
          <w:rFonts w:ascii="Century Schoolbook" w:hAnsi="Century Schoolbook"/>
        </w:rPr>
      </w:pPr>
      <w:bookmarkStart w:id="262" w:name="_Toc42549265"/>
      <w:r w:rsidRPr="005970E9">
        <w:rPr>
          <w:rFonts w:ascii="Century Schoolbook" w:hAnsi="Century Schoolbook"/>
        </w:rPr>
        <w:t xml:space="preserve">Gráfica </w:t>
      </w:r>
      <w:r w:rsidR="00F202BE" w:rsidRPr="005970E9">
        <w:rPr>
          <w:rFonts w:ascii="Century Schoolbook" w:hAnsi="Century Schoolbook"/>
        </w:rPr>
        <w:fldChar w:fldCharType="begin"/>
      </w:r>
      <w:r w:rsidR="00F202BE" w:rsidRPr="005970E9">
        <w:rPr>
          <w:rFonts w:ascii="Century Schoolbook" w:hAnsi="Century Schoolbook"/>
        </w:rPr>
        <w:instrText xml:space="preserve"> SEQ Gráfica \* ARABIC </w:instrText>
      </w:r>
      <w:r w:rsidR="00F202BE" w:rsidRPr="005970E9">
        <w:rPr>
          <w:rFonts w:ascii="Century Schoolbook" w:hAnsi="Century Schoolbook"/>
        </w:rPr>
        <w:fldChar w:fldCharType="separate"/>
      </w:r>
      <w:r w:rsidR="00641ABD">
        <w:rPr>
          <w:rFonts w:ascii="Century Schoolbook" w:hAnsi="Century Schoolbook"/>
          <w:noProof/>
        </w:rPr>
        <w:t>33</w:t>
      </w:r>
      <w:r w:rsidR="00F202BE" w:rsidRPr="005970E9">
        <w:rPr>
          <w:rFonts w:ascii="Century Schoolbook" w:hAnsi="Century Schoolbook"/>
        </w:rPr>
        <w:fldChar w:fldCharType="end"/>
      </w:r>
      <w:r w:rsidRPr="005970E9">
        <w:rPr>
          <w:rFonts w:ascii="Century Schoolbook" w:hAnsi="Century Schoolbook"/>
        </w:rPr>
        <w:t>. Tránsito irregular de migrantes por la frontera con Colombia: Años 2010-2019</w:t>
      </w:r>
      <w:bookmarkEnd w:id="262"/>
      <w:r w:rsidRPr="005970E9">
        <w:rPr>
          <w:rFonts w:ascii="Century Schoolbook" w:hAnsi="Century Schoolbook"/>
        </w:rPr>
        <w:t xml:space="preserve"> </w:t>
      </w:r>
    </w:p>
    <w:p w14:paraId="36AE5059" w14:textId="359F43D6" w:rsidR="00874B25" w:rsidRPr="005970E9" w:rsidRDefault="00880177" w:rsidP="003915CB">
      <w:pPr>
        <w:spacing w:before="120" w:after="120" w:line="276" w:lineRule="auto"/>
        <w:jc w:val="both"/>
      </w:pPr>
      <w:r w:rsidRPr="005970E9">
        <w:rPr>
          <w:noProof/>
        </w:rPr>
        <w:drawing>
          <wp:anchor distT="0" distB="0" distL="114300" distR="114300" simplePos="0" relativeHeight="251658269" behindDoc="0" locked="0" layoutInCell="1" allowOverlap="1" wp14:anchorId="65EDF73C" wp14:editId="50622D85">
            <wp:simplePos x="0" y="0"/>
            <wp:positionH relativeFrom="margin">
              <wp:posOffset>2324100</wp:posOffset>
            </wp:positionH>
            <wp:positionV relativeFrom="paragraph">
              <wp:posOffset>67945</wp:posOffset>
            </wp:positionV>
            <wp:extent cx="3281680" cy="1603375"/>
            <wp:effectExtent l="0" t="0" r="13970" b="15875"/>
            <wp:wrapTight wrapText="bothSides">
              <wp:wrapPolygon edited="0">
                <wp:start x="0" y="0"/>
                <wp:lineTo x="0" y="21557"/>
                <wp:lineTo x="21567" y="21557"/>
                <wp:lineTo x="21567" y="0"/>
                <wp:lineTo x="0" y="0"/>
              </wp:wrapPolygon>
            </wp:wrapTight>
            <wp:docPr id="49" name="Gráfico 49">
              <a:extLst xmlns:a="http://schemas.openxmlformats.org/drawingml/2006/main">
                <a:ext uri="{FF2B5EF4-FFF2-40B4-BE49-F238E27FC236}">
                  <a16:creationId xmlns:a16="http://schemas.microsoft.com/office/drawing/2014/main" id="{B04E670A-42CD-4BA1-95AB-712B208EF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195AA3" w:rsidRPr="005970E9">
        <w:t>Un total de 1,196 hombres extranjeros con estatus migratorio irregular cometieron faltas a la ley administrativa y penal lo que representa un 82% de la población total, mientras que las mujeres representaron un 18% (254) de estas faltas y violaciones a ley penal.  Las tres principales razones por las cuales fueron detenidos son: estatus irregular, estadía vencida y por razones de seguridad. La mayoría tenía entre 18 y 47 años de edad. Colombia y Nicaragua son las nacionalidades que ocupan los dos primeros lugares, seguidas de Cuba y Venezuela en cuarto lugar.</w:t>
      </w:r>
      <w:r w:rsidR="00874B25" w:rsidRPr="005970E9">
        <w:t xml:space="preserve"> </w:t>
      </w:r>
    </w:p>
    <w:p w14:paraId="584D48B6" w14:textId="41B2A89B" w:rsidR="00874B25" w:rsidRPr="005970E9" w:rsidRDefault="00880177" w:rsidP="00195AA3">
      <w:pPr>
        <w:spacing w:before="120" w:after="120" w:line="276" w:lineRule="auto"/>
        <w:jc w:val="both"/>
      </w:pPr>
      <w:r w:rsidRPr="005970E9">
        <w:t xml:space="preserve">En términos generales 4,656 personas fueron deportadas, expulsadas y retornadas. El 81% fueron retornos voluntarios por estadía vencida y las nacionalidades son, Colombia, Nicaragua, Venezuela y el Salvador; el 14% fueron deportados por ingresar al país de manera irregular de los siguientes países: </w:t>
      </w:r>
      <w:r w:rsidR="00874B25" w:rsidRPr="005970E9">
        <w:t>Colombia, Nicaragua, Cuba y Venezuela</w:t>
      </w:r>
      <w:r w:rsidR="003C6394" w:rsidRPr="005970E9">
        <w:t xml:space="preserve">. </w:t>
      </w:r>
      <w:r w:rsidR="003C6394" w:rsidRPr="005970E9">
        <w:lastRenderedPageBreak/>
        <w:t>H</w:t>
      </w:r>
      <w:r w:rsidR="00874B25" w:rsidRPr="005970E9">
        <w:t>ubo un 5% de expulsados por haber sido condenados y cumplido pena por delito doloso, ciudadanos pertenecientes a Colombia, Nicaragua, Venezuela y México, dentro de este número los hombres ocupan el 56% y las mujeres el 44%, la brecha de género en relación a estas variables no refleja diferencia significativa.</w:t>
      </w:r>
    </w:p>
    <w:p w14:paraId="27EB5AEA" w14:textId="77777777" w:rsidR="00874B25" w:rsidRPr="005970E9" w:rsidRDefault="00874B25" w:rsidP="00195AA3">
      <w:pPr>
        <w:spacing w:before="120" w:after="120" w:line="276" w:lineRule="auto"/>
        <w:jc w:val="both"/>
      </w:pPr>
      <w:r w:rsidRPr="005970E9">
        <w:rPr>
          <w:b/>
        </w:rPr>
        <w:t>Multas por violar la Ley Migratoria</w:t>
      </w:r>
      <w:r w:rsidRPr="005970E9">
        <w:t>.</w:t>
      </w:r>
    </w:p>
    <w:p w14:paraId="0B0B92F6" w14:textId="77777777" w:rsidR="00874B25" w:rsidRPr="005970E9" w:rsidRDefault="00874B25" w:rsidP="00195AA3">
      <w:pPr>
        <w:spacing w:before="120" w:after="120" w:line="276" w:lineRule="auto"/>
        <w:jc w:val="both"/>
      </w:pPr>
      <w:r w:rsidRPr="005970E9">
        <w:t xml:space="preserve">Al referirnos a las multas por violación a la Ley migratoria de la República de Panamá, 786 personas en el año 2019 violaron la Ley migratoria, de estas el 66% fueron hombres y el 34% mujeres (269), en su mayoría de nacionalidad colombiana, venezolana, nicaragüense y cubana. La principal infracción es el vencimiento de la visa otorgada, situándose en el mayor número de multas. </w:t>
      </w:r>
    </w:p>
    <w:p w14:paraId="79579896" w14:textId="6035B2B4" w:rsidR="000E38FE" w:rsidRPr="005970E9" w:rsidRDefault="00D22628" w:rsidP="00195AA3">
      <w:pPr>
        <w:spacing w:before="120" w:after="120" w:line="276" w:lineRule="auto"/>
        <w:jc w:val="both"/>
      </w:pPr>
      <w:r w:rsidRPr="005970E9">
        <w:t>Servicio Nacional de Migración en la actualidad no publica el número de visa ni el tipo de visa que otorga a lo largo de un a</w:t>
      </w:r>
      <w:r w:rsidR="000E38FE" w:rsidRPr="005970E9">
        <w:t xml:space="preserve">ño. </w:t>
      </w:r>
      <w:r w:rsidRPr="005970E9">
        <w:t xml:space="preserve"> </w:t>
      </w:r>
      <w:r w:rsidR="000E38FE" w:rsidRPr="005970E9">
        <w:t>E</w:t>
      </w:r>
      <w:r w:rsidRPr="005970E9">
        <w:t>n Panamá existe un tipo de visa para personas migrantes trabajadoras de espectáculos,</w:t>
      </w:r>
      <w:r w:rsidR="000969E3" w:rsidRPr="005970E9">
        <w:t xml:space="preserve"> </w:t>
      </w:r>
      <w:r w:rsidRPr="005970E9">
        <w:t>que en su mayor</w:t>
      </w:r>
      <w:r w:rsidR="00A57B9F" w:rsidRPr="005970E9">
        <w:t>ía suelen ser mujeres. “</w:t>
      </w:r>
      <w:r w:rsidRPr="005970E9">
        <w:t>En junio de 2008, un informe del Departamento de Estado de Estados Unidos señaló a Panamá como punto para el tráfico de mujeres y niños con propósitos de explotación sexual. La razón principal en la que los norteamericanos basaron su argumento fue la calificación de ‘alternadora' entre las aplicaciones válidas para visas temporales de estadía y trabajo</w:t>
      </w:r>
      <w:r w:rsidR="00A57B9F" w:rsidRPr="005970E9">
        <w:t>”</w:t>
      </w:r>
      <w:r w:rsidR="00A57B9F" w:rsidRPr="005970E9">
        <w:rPr>
          <w:rStyle w:val="FootnoteReference"/>
        </w:rPr>
        <w:footnoteReference w:id="55"/>
      </w:r>
      <w:r w:rsidRPr="005970E9">
        <w:t>.</w:t>
      </w:r>
      <w:r w:rsidR="00A57B9F" w:rsidRPr="005970E9">
        <w:t xml:space="preserve"> </w:t>
      </w:r>
      <w:r w:rsidR="000969E3" w:rsidRPr="005970E9">
        <w:t>Luego de la salida de este informe en ese mismo año</w:t>
      </w:r>
      <w:r w:rsidR="00A57B9F" w:rsidRPr="005970E9">
        <w:t xml:space="preserve"> 2008 esta </w:t>
      </w:r>
      <w:r w:rsidR="000969E3" w:rsidRPr="005970E9">
        <w:t xml:space="preserve">categoría de visa fue cambiada, en la </w:t>
      </w:r>
      <w:r w:rsidR="000E38FE" w:rsidRPr="005970E9">
        <w:t>actualidad se</w:t>
      </w:r>
      <w:r w:rsidR="000969E3" w:rsidRPr="005970E9">
        <w:t xml:space="preserve"> otorga</w:t>
      </w:r>
      <w:r w:rsidR="00A57B9F" w:rsidRPr="005970E9">
        <w:t xml:space="preserve"> visa para </w:t>
      </w:r>
      <w:r w:rsidR="000969E3" w:rsidRPr="005970E9">
        <w:t xml:space="preserve">trabajadoras y trabajadores </w:t>
      </w:r>
      <w:r w:rsidR="00A57B9F" w:rsidRPr="005970E9">
        <w:t>de espectáculos</w:t>
      </w:r>
      <w:r w:rsidR="000969E3" w:rsidRPr="005970E9">
        <w:t xml:space="preserve">, la mayoría de </w:t>
      </w:r>
      <w:r w:rsidR="00E85B1E" w:rsidRPr="005970E9">
        <w:t>estas visas</w:t>
      </w:r>
      <w:r w:rsidR="000969E3" w:rsidRPr="005970E9">
        <w:t xml:space="preserve"> son solicita</w:t>
      </w:r>
      <w:r w:rsidR="00E11228" w:rsidRPr="005970E9">
        <w:t>das</w:t>
      </w:r>
      <w:r w:rsidR="000969E3" w:rsidRPr="005970E9">
        <w:t xml:space="preserve"> </w:t>
      </w:r>
      <w:r w:rsidR="000E38FE" w:rsidRPr="005970E9">
        <w:t>por mujeres</w:t>
      </w:r>
      <w:r w:rsidR="000E38FE" w:rsidRPr="005970E9">
        <w:rPr>
          <w:color w:val="7030A0"/>
        </w:rPr>
        <w:t xml:space="preserve">. </w:t>
      </w:r>
      <w:r w:rsidR="000E38FE" w:rsidRPr="005970E9">
        <w:t>“En el 2014, 270 mujeres solicitaron permiso al M</w:t>
      </w:r>
      <w:r w:rsidR="0087335F" w:rsidRPr="005970E9">
        <w:t>ITRADEL</w:t>
      </w:r>
      <w:r w:rsidR="000E38FE" w:rsidRPr="005970E9">
        <w:t xml:space="preserve"> para trabajar en los clubes. Hasta junio de 2015, se emitieron 152 permisos renovables, tres de ellos a hombres. Los solicitantes deben contar con un contrato firmado por las partes y detallar nombre, género y número de pasaporte. En migración, las estadísticas muestran una disminución en la expedición de estas visas. En 2015 se tramitaron 34 solicitudes y 50 visas múltiples. La explicación es que muchas mujeres que contaban con este tipo de salvoconducto optaron por inscribirse en el programa Crisol de Razas en el que tramitaron estadía y permiso de trabajo por dos años.</w:t>
      </w:r>
      <w:r w:rsidR="00F2463F" w:rsidRPr="005970E9">
        <w:t>”</w:t>
      </w:r>
      <w:r w:rsidR="000E38FE" w:rsidRPr="005970E9">
        <w:rPr>
          <w:rStyle w:val="FootnoteReference"/>
        </w:rPr>
        <w:footnoteReference w:id="56"/>
      </w:r>
      <w:r w:rsidR="000E38FE" w:rsidRPr="005970E9">
        <w:t xml:space="preserve"> Estos datos demuestran la feminización en este tipo de visas en Panamá. </w:t>
      </w:r>
    </w:p>
    <w:p w14:paraId="40705D64" w14:textId="19A1172E" w:rsidR="00E11228" w:rsidRPr="005970E9" w:rsidRDefault="000E38FE" w:rsidP="00195AA3">
      <w:pPr>
        <w:spacing w:before="120" w:after="120" w:line="276" w:lineRule="auto"/>
        <w:jc w:val="both"/>
      </w:pPr>
      <w:r w:rsidRPr="005970E9">
        <w:t xml:space="preserve"> P</w:t>
      </w:r>
      <w:r w:rsidR="00A57B9F" w:rsidRPr="005970E9">
        <w:t>ara poder optar por este tipo de visa es necesario cumplir con una serie de requisitos de exámenes médicos y documentos legales.</w:t>
      </w:r>
      <w:r w:rsidR="000969E3" w:rsidRPr="005970E9">
        <w:t xml:space="preserve"> E</w:t>
      </w:r>
      <w:r w:rsidR="00A57B9F" w:rsidRPr="005970E9">
        <w:t xml:space="preserve">l Ministerio de Trabajo y Desarrollo Laboral, </w:t>
      </w:r>
      <w:r w:rsidR="000969E3" w:rsidRPr="005970E9">
        <w:t xml:space="preserve">es </w:t>
      </w:r>
      <w:r w:rsidRPr="005970E9">
        <w:t>quien</w:t>
      </w:r>
      <w:r w:rsidR="000969E3" w:rsidRPr="005970E9">
        <w:t xml:space="preserve"> otorga el permiso de trabajo y exige entre</w:t>
      </w:r>
      <w:r w:rsidR="00A57B9F" w:rsidRPr="005970E9">
        <w:t xml:space="preserve"> sus requisitos</w:t>
      </w:r>
      <w:r w:rsidR="000969E3" w:rsidRPr="005970E9">
        <w:t>, el</w:t>
      </w:r>
      <w:r w:rsidR="00A57B9F" w:rsidRPr="005970E9">
        <w:t xml:space="preserve"> </w:t>
      </w:r>
      <w:r w:rsidR="000969E3" w:rsidRPr="005970E9">
        <w:t>e</w:t>
      </w:r>
      <w:r w:rsidR="00A57B9F" w:rsidRPr="005970E9">
        <w:t xml:space="preserve">xamen de VIH actualizado, control de clínica y examen de buena salud en general. </w:t>
      </w:r>
      <w:r w:rsidR="000969E3" w:rsidRPr="005970E9">
        <w:t xml:space="preserve"> </w:t>
      </w:r>
    </w:p>
    <w:p w14:paraId="56119393" w14:textId="5158C2D5" w:rsidR="00874B25" w:rsidRPr="005970E9" w:rsidRDefault="00874B25" w:rsidP="002B65F8">
      <w:pPr>
        <w:spacing w:before="120" w:after="120" w:line="276" w:lineRule="auto"/>
        <w:jc w:val="both"/>
        <w:rPr>
          <w:b/>
        </w:rPr>
      </w:pPr>
      <w:r w:rsidRPr="005970E9">
        <w:rPr>
          <w:b/>
        </w:rPr>
        <w:t>Flujo migratorio por Darién.</w:t>
      </w:r>
    </w:p>
    <w:p w14:paraId="4CD3EEB2" w14:textId="4107F09A" w:rsidR="00E11228" w:rsidRPr="005970E9" w:rsidRDefault="00E11228" w:rsidP="00E11228">
      <w:pPr>
        <w:pStyle w:val="Caption"/>
        <w:keepNext/>
        <w:spacing w:before="0"/>
        <w:jc w:val="center"/>
        <w:rPr>
          <w:rFonts w:ascii="Century Schoolbook" w:eastAsia="Times New Roman" w:hAnsi="Century Schoolbook"/>
          <w:i w:val="0"/>
          <w:iCs w:val="0"/>
          <w:sz w:val="20"/>
          <w:szCs w:val="20"/>
        </w:rPr>
      </w:pPr>
      <w:bookmarkStart w:id="263" w:name="_Toc42549219"/>
      <w:r w:rsidRPr="005970E9">
        <w:rPr>
          <w:rFonts w:ascii="Century Schoolbook" w:hAnsi="Century Schoolbook"/>
          <w:i w:val="0"/>
          <w:iCs w:val="0"/>
          <w:sz w:val="20"/>
          <w:szCs w:val="20"/>
        </w:rPr>
        <w:t xml:space="preserve">Tabla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0E7B3A">
        <w:rPr>
          <w:rFonts w:ascii="Century Schoolbook" w:hAnsi="Century Schoolbook"/>
          <w:i w:val="0"/>
          <w:iCs w:val="0"/>
          <w:noProof/>
          <w:sz w:val="20"/>
          <w:szCs w:val="20"/>
        </w:rPr>
        <w:t>25</w:t>
      </w:r>
      <w:r w:rsidRPr="005970E9">
        <w:rPr>
          <w:rFonts w:ascii="Century Schoolbook" w:hAnsi="Century Schoolbook"/>
          <w:i w:val="0"/>
          <w:iCs w:val="0"/>
          <w:sz w:val="20"/>
          <w:szCs w:val="20"/>
        </w:rPr>
        <w:fldChar w:fldCharType="end"/>
      </w:r>
      <w:r w:rsidRPr="005970E9">
        <w:rPr>
          <w:rFonts w:ascii="Century Schoolbook" w:hAnsi="Century Schoolbook"/>
          <w:i w:val="0"/>
          <w:iCs w:val="0"/>
          <w:noProof/>
          <w:sz w:val="20"/>
          <w:szCs w:val="20"/>
        </w:rPr>
        <w:t xml:space="preserve">. </w:t>
      </w:r>
      <w:r w:rsidRPr="005970E9">
        <w:rPr>
          <w:rFonts w:ascii="Century Schoolbook" w:eastAsia="Times New Roman" w:hAnsi="Century Schoolbook"/>
          <w:i w:val="0"/>
          <w:iCs w:val="0"/>
          <w:sz w:val="20"/>
          <w:szCs w:val="20"/>
        </w:rPr>
        <w:t>Tránsito irregular de extranjeros por la frontera con Colombia, por región según orden de importancia: año 2010-2019</w:t>
      </w:r>
      <w:bookmarkEnd w:id="263"/>
    </w:p>
    <w:tbl>
      <w:tblPr>
        <w:tblW w:w="8828" w:type="dxa"/>
        <w:tblCellMar>
          <w:left w:w="70" w:type="dxa"/>
          <w:right w:w="70" w:type="dxa"/>
        </w:tblCellMar>
        <w:tblLook w:val="04A0" w:firstRow="1" w:lastRow="0" w:firstColumn="1" w:lastColumn="0" w:noHBand="0" w:noVBand="1"/>
      </w:tblPr>
      <w:tblGrid>
        <w:gridCol w:w="940"/>
        <w:gridCol w:w="910"/>
        <w:gridCol w:w="615"/>
        <w:gridCol w:w="630"/>
        <w:gridCol w:w="672"/>
        <w:gridCol w:w="672"/>
        <w:gridCol w:w="672"/>
        <w:gridCol w:w="791"/>
        <w:gridCol w:w="791"/>
        <w:gridCol w:w="672"/>
        <w:gridCol w:w="672"/>
        <w:gridCol w:w="791"/>
      </w:tblGrid>
      <w:tr w:rsidR="00C5422E" w:rsidRPr="005970E9" w14:paraId="4E861007" w14:textId="77777777" w:rsidTr="00E11228">
        <w:trPr>
          <w:trHeight w:val="219"/>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DBA5F" w14:textId="77777777" w:rsidR="00C5422E" w:rsidRPr="005970E9" w:rsidRDefault="00C5422E" w:rsidP="00E11228">
            <w:pPr>
              <w:jc w:val="center"/>
              <w:rPr>
                <w:rFonts w:eastAsia="Times New Roman"/>
                <w:b/>
                <w:bCs/>
                <w:color w:val="000000"/>
                <w:sz w:val="18"/>
                <w:szCs w:val="18"/>
              </w:rPr>
            </w:pPr>
            <w:r w:rsidRPr="005970E9">
              <w:rPr>
                <w:rFonts w:eastAsia="Times New Roman"/>
                <w:b/>
                <w:bCs/>
                <w:color w:val="000000"/>
                <w:sz w:val="18"/>
                <w:szCs w:val="18"/>
              </w:rPr>
              <w:t>Región</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2939A57" w14:textId="77777777" w:rsidR="00C5422E" w:rsidRPr="005970E9" w:rsidRDefault="00C5422E" w:rsidP="00E11228">
            <w:pPr>
              <w:rPr>
                <w:rFonts w:eastAsia="Times New Roman"/>
                <w:b/>
                <w:bCs/>
                <w:color w:val="000000"/>
                <w:sz w:val="18"/>
                <w:szCs w:val="18"/>
              </w:rPr>
            </w:pPr>
            <w:r w:rsidRPr="005970E9">
              <w:rPr>
                <w:rFonts w:eastAsia="Times New Roman"/>
                <w:b/>
                <w:bCs/>
                <w:color w:val="000000"/>
                <w:sz w:val="18"/>
                <w:szCs w:val="18"/>
              </w:rPr>
              <w:t>Total</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14:paraId="1394CE8E" w14:textId="77777777" w:rsidR="00C5422E" w:rsidRPr="005970E9" w:rsidRDefault="00C5422E" w:rsidP="00E11228">
            <w:pPr>
              <w:jc w:val="right"/>
              <w:rPr>
                <w:rFonts w:eastAsia="Times New Roman"/>
                <w:b/>
                <w:bCs/>
                <w:color w:val="000000"/>
                <w:sz w:val="18"/>
                <w:szCs w:val="18"/>
              </w:rPr>
            </w:pPr>
            <w:r w:rsidRPr="005970E9">
              <w:rPr>
                <w:rFonts w:eastAsia="Times New Roman"/>
                <w:b/>
                <w:bCs/>
                <w:color w:val="000000"/>
                <w:sz w:val="18"/>
                <w:szCs w:val="18"/>
              </w:rPr>
              <w:t>2010</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EC4D3FC" w14:textId="77777777" w:rsidR="00C5422E" w:rsidRPr="005970E9" w:rsidRDefault="00C5422E" w:rsidP="00E11228">
            <w:pPr>
              <w:jc w:val="right"/>
              <w:rPr>
                <w:rFonts w:eastAsia="Times New Roman"/>
                <w:b/>
                <w:bCs/>
                <w:color w:val="000000"/>
                <w:sz w:val="18"/>
                <w:szCs w:val="18"/>
              </w:rPr>
            </w:pPr>
            <w:r w:rsidRPr="005970E9">
              <w:rPr>
                <w:rFonts w:eastAsia="Times New Roman"/>
                <w:b/>
                <w:bCs/>
                <w:color w:val="000000"/>
                <w:sz w:val="18"/>
                <w:szCs w:val="18"/>
              </w:rPr>
              <w:t>2011</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70053F70" w14:textId="77777777" w:rsidR="00C5422E" w:rsidRPr="005970E9" w:rsidRDefault="00C5422E" w:rsidP="00E11228">
            <w:pPr>
              <w:jc w:val="right"/>
              <w:rPr>
                <w:rFonts w:eastAsia="Times New Roman"/>
                <w:b/>
                <w:bCs/>
                <w:color w:val="000000"/>
                <w:sz w:val="18"/>
                <w:szCs w:val="18"/>
              </w:rPr>
            </w:pPr>
            <w:r w:rsidRPr="005970E9">
              <w:rPr>
                <w:rFonts w:eastAsia="Times New Roman"/>
                <w:b/>
                <w:bCs/>
                <w:color w:val="000000"/>
                <w:sz w:val="18"/>
                <w:szCs w:val="18"/>
              </w:rPr>
              <w:t>2012</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145FA42D" w14:textId="77777777" w:rsidR="00C5422E" w:rsidRPr="005970E9" w:rsidRDefault="00C5422E" w:rsidP="00E11228">
            <w:pPr>
              <w:jc w:val="right"/>
              <w:rPr>
                <w:rFonts w:eastAsia="Times New Roman"/>
                <w:b/>
                <w:bCs/>
                <w:color w:val="000000"/>
                <w:sz w:val="18"/>
                <w:szCs w:val="18"/>
              </w:rPr>
            </w:pPr>
            <w:r w:rsidRPr="005970E9">
              <w:rPr>
                <w:rFonts w:eastAsia="Times New Roman"/>
                <w:b/>
                <w:bCs/>
                <w:color w:val="000000"/>
                <w:sz w:val="18"/>
                <w:szCs w:val="18"/>
              </w:rPr>
              <w:t>2013</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342A08D2" w14:textId="77777777" w:rsidR="00C5422E" w:rsidRPr="005970E9" w:rsidRDefault="00C5422E" w:rsidP="00E11228">
            <w:pPr>
              <w:jc w:val="right"/>
              <w:rPr>
                <w:rFonts w:eastAsia="Times New Roman"/>
                <w:b/>
                <w:bCs/>
                <w:color w:val="000000"/>
                <w:sz w:val="18"/>
                <w:szCs w:val="18"/>
              </w:rPr>
            </w:pPr>
            <w:r w:rsidRPr="005970E9">
              <w:rPr>
                <w:rFonts w:eastAsia="Times New Roman"/>
                <w:b/>
                <w:bCs/>
                <w:color w:val="000000"/>
                <w:sz w:val="18"/>
                <w:szCs w:val="18"/>
              </w:rPr>
              <w:t>2014</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4BA13C27" w14:textId="77777777" w:rsidR="00C5422E" w:rsidRPr="005970E9" w:rsidRDefault="00C5422E" w:rsidP="00E11228">
            <w:pPr>
              <w:jc w:val="right"/>
              <w:rPr>
                <w:rFonts w:eastAsia="Times New Roman"/>
                <w:b/>
                <w:bCs/>
                <w:color w:val="000000"/>
                <w:sz w:val="18"/>
                <w:szCs w:val="18"/>
              </w:rPr>
            </w:pPr>
            <w:r w:rsidRPr="005970E9">
              <w:rPr>
                <w:rFonts w:eastAsia="Times New Roman"/>
                <w:b/>
                <w:bCs/>
                <w:color w:val="000000"/>
                <w:sz w:val="18"/>
                <w:szCs w:val="18"/>
              </w:rPr>
              <w:t>2015</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038D722C" w14:textId="77777777" w:rsidR="00C5422E" w:rsidRPr="005970E9" w:rsidRDefault="00C5422E" w:rsidP="00E11228">
            <w:pPr>
              <w:jc w:val="right"/>
              <w:rPr>
                <w:rFonts w:eastAsia="Times New Roman"/>
                <w:b/>
                <w:bCs/>
                <w:color w:val="000000"/>
                <w:sz w:val="18"/>
                <w:szCs w:val="18"/>
              </w:rPr>
            </w:pPr>
            <w:r w:rsidRPr="005970E9">
              <w:rPr>
                <w:rFonts w:eastAsia="Times New Roman"/>
                <w:b/>
                <w:bCs/>
                <w:color w:val="000000"/>
                <w:sz w:val="18"/>
                <w:szCs w:val="18"/>
              </w:rPr>
              <w:t>2016</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6461B8D4" w14:textId="77777777" w:rsidR="00C5422E" w:rsidRPr="005970E9" w:rsidRDefault="00C5422E" w:rsidP="00E11228">
            <w:pPr>
              <w:jc w:val="right"/>
              <w:rPr>
                <w:rFonts w:eastAsia="Times New Roman"/>
                <w:b/>
                <w:bCs/>
                <w:color w:val="000000"/>
                <w:sz w:val="18"/>
                <w:szCs w:val="18"/>
              </w:rPr>
            </w:pPr>
            <w:r w:rsidRPr="005970E9">
              <w:rPr>
                <w:rFonts w:eastAsia="Times New Roman"/>
                <w:b/>
                <w:bCs/>
                <w:color w:val="000000"/>
                <w:sz w:val="18"/>
                <w:szCs w:val="18"/>
              </w:rPr>
              <w:t>2017</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13FC9BB9" w14:textId="77777777" w:rsidR="00C5422E" w:rsidRPr="005970E9" w:rsidRDefault="00C5422E" w:rsidP="00E11228">
            <w:pPr>
              <w:jc w:val="right"/>
              <w:rPr>
                <w:rFonts w:eastAsia="Times New Roman"/>
                <w:b/>
                <w:bCs/>
                <w:color w:val="000000"/>
                <w:sz w:val="18"/>
                <w:szCs w:val="18"/>
              </w:rPr>
            </w:pPr>
            <w:r w:rsidRPr="005970E9">
              <w:rPr>
                <w:rFonts w:eastAsia="Times New Roman"/>
                <w:b/>
                <w:bCs/>
                <w:color w:val="000000"/>
                <w:sz w:val="18"/>
                <w:szCs w:val="18"/>
              </w:rPr>
              <w:t>2018</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5CEEC19A" w14:textId="77777777" w:rsidR="00C5422E" w:rsidRPr="005970E9" w:rsidRDefault="00C5422E" w:rsidP="00E11228">
            <w:pPr>
              <w:jc w:val="right"/>
              <w:rPr>
                <w:rFonts w:eastAsia="Times New Roman"/>
                <w:b/>
                <w:bCs/>
                <w:color w:val="000000"/>
                <w:sz w:val="18"/>
                <w:szCs w:val="18"/>
              </w:rPr>
            </w:pPr>
            <w:r w:rsidRPr="005970E9">
              <w:rPr>
                <w:rFonts w:eastAsia="Times New Roman"/>
                <w:b/>
                <w:bCs/>
                <w:color w:val="000000"/>
                <w:sz w:val="18"/>
                <w:szCs w:val="18"/>
              </w:rPr>
              <w:t>2019</w:t>
            </w:r>
          </w:p>
        </w:tc>
      </w:tr>
      <w:tr w:rsidR="00C5422E" w:rsidRPr="005970E9" w14:paraId="11433786" w14:textId="77777777" w:rsidTr="00E11228">
        <w:trPr>
          <w:trHeight w:val="219"/>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1C9A4" w14:textId="77777777" w:rsidR="00C5422E" w:rsidRPr="005970E9" w:rsidRDefault="00C5422E" w:rsidP="00E11228">
            <w:pPr>
              <w:jc w:val="center"/>
              <w:rPr>
                <w:rFonts w:eastAsia="Times New Roman"/>
                <w:b/>
                <w:color w:val="000000"/>
                <w:sz w:val="18"/>
                <w:szCs w:val="18"/>
              </w:rPr>
            </w:pPr>
            <w:r w:rsidRPr="005970E9">
              <w:rPr>
                <w:rFonts w:eastAsia="Times New Roman"/>
                <w:b/>
                <w:color w:val="000000"/>
                <w:sz w:val="18"/>
                <w:szCs w:val="18"/>
              </w:rPr>
              <w:t>Total</w:t>
            </w:r>
          </w:p>
        </w:tc>
        <w:tc>
          <w:tcPr>
            <w:tcW w:w="910" w:type="dxa"/>
            <w:tcBorders>
              <w:top w:val="nil"/>
              <w:left w:val="nil"/>
              <w:bottom w:val="single" w:sz="4" w:space="0" w:color="auto"/>
              <w:right w:val="single" w:sz="4" w:space="0" w:color="auto"/>
            </w:tcBorders>
            <w:shd w:val="clear" w:color="auto" w:fill="auto"/>
            <w:noWrap/>
            <w:vAlign w:val="center"/>
            <w:hideMark/>
          </w:tcPr>
          <w:p w14:paraId="13415E0A" w14:textId="77777777" w:rsidR="00C5422E" w:rsidRPr="005970E9" w:rsidRDefault="00C5422E" w:rsidP="00E11228">
            <w:pPr>
              <w:jc w:val="right"/>
              <w:rPr>
                <w:rFonts w:eastAsia="Times New Roman"/>
                <w:b/>
                <w:color w:val="000000"/>
                <w:sz w:val="18"/>
                <w:szCs w:val="18"/>
              </w:rPr>
            </w:pPr>
            <w:r w:rsidRPr="005970E9">
              <w:rPr>
                <w:rFonts w:eastAsia="Times New Roman"/>
                <w:b/>
                <w:color w:val="000000"/>
                <w:sz w:val="18"/>
                <w:szCs w:val="18"/>
              </w:rPr>
              <w:t>111.159</w:t>
            </w:r>
          </w:p>
        </w:tc>
        <w:tc>
          <w:tcPr>
            <w:tcW w:w="615" w:type="dxa"/>
            <w:tcBorders>
              <w:top w:val="nil"/>
              <w:left w:val="nil"/>
              <w:bottom w:val="single" w:sz="4" w:space="0" w:color="auto"/>
              <w:right w:val="single" w:sz="4" w:space="0" w:color="auto"/>
            </w:tcBorders>
            <w:shd w:val="clear" w:color="auto" w:fill="auto"/>
            <w:noWrap/>
            <w:vAlign w:val="center"/>
            <w:hideMark/>
          </w:tcPr>
          <w:p w14:paraId="4DC167B8" w14:textId="77777777" w:rsidR="00C5422E" w:rsidRPr="005970E9" w:rsidRDefault="00C5422E" w:rsidP="00E11228">
            <w:pPr>
              <w:jc w:val="right"/>
              <w:rPr>
                <w:rFonts w:eastAsia="Times New Roman"/>
                <w:b/>
                <w:color w:val="000000"/>
                <w:sz w:val="18"/>
                <w:szCs w:val="18"/>
              </w:rPr>
            </w:pPr>
            <w:r w:rsidRPr="005970E9">
              <w:rPr>
                <w:rFonts w:eastAsia="Times New Roman"/>
                <w:b/>
                <w:color w:val="000000"/>
                <w:sz w:val="18"/>
                <w:szCs w:val="18"/>
              </w:rPr>
              <w:t>559</w:t>
            </w:r>
          </w:p>
        </w:tc>
        <w:tc>
          <w:tcPr>
            <w:tcW w:w="630" w:type="dxa"/>
            <w:tcBorders>
              <w:top w:val="nil"/>
              <w:left w:val="nil"/>
              <w:bottom w:val="single" w:sz="4" w:space="0" w:color="auto"/>
              <w:right w:val="single" w:sz="4" w:space="0" w:color="auto"/>
            </w:tcBorders>
            <w:shd w:val="clear" w:color="auto" w:fill="auto"/>
            <w:noWrap/>
            <w:vAlign w:val="center"/>
            <w:hideMark/>
          </w:tcPr>
          <w:p w14:paraId="0FB4DFA1" w14:textId="77777777" w:rsidR="00C5422E" w:rsidRPr="005970E9" w:rsidRDefault="00C5422E" w:rsidP="00E11228">
            <w:pPr>
              <w:jc w:val="right"/>
              <w:rPr>
                <w:rFonts w:eastAsia="Times New Roman"/>
                <w:b/>
                <w:color w:val="000000"/>
                <w:sz w:val="18"/>
                <w:szCs w:val="18"/>
              </w:rPr>
            </w:pPr>
            <w:r w:rsidRPr="005970E9">
              <w:rPr>
                <w:rFonts w:eastAsia="Times New Roman"/>
                <w:b/>
                <w:color w:val="000000"/>
                <w:sz w:val="18"/>
                <w:szCs w:val="18"/>
              </w:rPr>
              <w:t>283</w:t>
            </w:r>
          </w:p>
        </w:tc>
        <w:tc>
          <w:tcPr>
            <w:tcW w:w="672" w:type="dxa"/>
            <w:tcBorders>
              <w:top w:val="nil"/>
              <w:left w:val="nil"/>
              <w:bottom w:val="single" w:sz="4" w:space="0" w:color="auto"/>
              <w:right w:val="single" w:sz="4" w:space="0" w:color="auto"/>
            </w:tcBorders>
            <w:shd w:val="clear" w:color="auto" w:fill="auto"/>
            <w:noWrap/>
            <w:vAlign w:val="center"/>
            <w:hideMark/>
          </w:tcPr>
          <w:p w14:paraId="28F3D88A" w14:textId="77777777" w:rsidR="00C5422E" w:rsidRPr="005970E9" w:rsidRDefault="00C5422E" w:rsidP="00E11228">
            <w:pPr>
              <w:jc w:val="right"/>
              <w:rPr>
                <w:rFonts w:eastAsia="Times New Roman"/>
                <w:b/>
                <w:color w:val="000000"/>
                <w:sz w:val="18"/>
                <w:szCs w:val="18"/>
              </w:rPr>
            </w:pPr>
            <w:r w:rsidRPr="005970E9">
              <w:rPr>
                <w:rFonts w:eastAsia="Times New Roman"/>
                <w:b/>
                <w:color w:val="000000"/>
                <w:sz w:val="18"/>
                <w:szCs w:val="18"/>
              </w:rPr>
              <w:t>1.777</w:t>
            </w:r>
          </w:p>
        </w:tc>
        <w:tc>
          <w:tcPr>
            <w:tcW w:w="672" w:type="dxa"/>
            <w:tcBorders>
              <w:top w:val="nil"/>
              <w:left w:val="nil"/>
              <w:bottom w:val="single" w:sz="4" w:space="0" w:color="auto"/>
              <w:right w:val="single" w:sz="4" w:space="0" w:color="auto"/>
            </w:tcBorders>
            <w:shd w:val="clear" w:color="auto" w:fill="auto"/>
            <w:noWrap/>
            <w:vAlign w:val="center"/>
            <w:hideMark/>
          </w:tcPr>
          <w:p w14:paraId="2DC6F0B0" w14:textId="77777777" w:rsidR="00C5422E" w:rsidRPr="005970E9" w:rsidRDefault="00C5422E" w:rsidP="00E11228">
            <w:pPr>
              <w:jc w:val="right"/>
              <w:rPr>
                <w:rFonts w:eastAsia="Times New Roman"/>
                <w:b/>
                <w:color w:val="000000"/>
                <w:sz w:val="18"/>
                <w:szCs w:val="18"/>
              </w:rPr>
            </w:pPr>
            <w:r w:rsidRPr="005970E9">
              <w:rPr>
                <w:rFonts w:eastAsia="Times New Roman"/>
                <w:b/>
                <w:color w:val="000000"/>
                <w:sz w:val="18"/>
                <w:szCs w:val="18"/>
              </w:rPr>
              <w:t>3.051</w:t>
            </w:r>
          </w:p>
        </w:tc>
        <w:tc>
          <w:tcPr>
            <w:tcW w:w="672" w:type="dxa"/>
            <w:tcBorders>
              <w:top w:val="nil"/>
              <w:left w:val="nil"/>
              <w:bottom w:val="single" w:sz="4" w:space="0" w:color="auto"/>
              <w:right w:val="single" w:sz="4" w:space="0" w:color="auto"/>
            </w:tcBorders>
            <w:shd w:val="clear" w:color="auto" w:fill="auto"/>
            <w:noWrap/>
            <w:vAlign w:val="center"/>
            <w:hideMark/>
          </w:tcPr>
          <w:p w14:paraId="440C5F83" w14:textId="77777777" w:rsidR="00C5422E" w:rsidRPr="005970E9" w:rsidRDefault="00C5422E" w:rsidP="00E11228">
            <w:pPr>
              <w:jc w:val="right"/>
              <w:rPr>
                <w:rFonts w:eastAsia="Times New Roman"/>
                <w:b/>
                <w:color w:val="000000"/>
                <w:sz w:val="18"/>
                <w:szCs w:val="18"/>
              </w:rPr>
            </w:pPr>
            <w:r w:rsidRPr="005970E9">
              <w:rPr>
                <w:rFonts w:eastAsia="Times New Roman"/>
                <w:b/>
                <w:color w:val="000000"/>
                <w:sz w:val="18"/>
                <w:szCs w:val="18"/>
              </w:rPr>
              <w:t>6.175</w:t>
            </w:r>
          </w:p>
        </w:tc>
        <w:tc>
          <w:tcPr>
            <w:tcW w:w="791" w:type="dxa"/>
            <w:tcBorders>
              <w:top w:val="nil"/>
              <w:left w:val="nil"/>
              <w:bottom w:val="single" w:sz="4" w:space="0" w:color="auto"/>
              <w:right w:val="single" w:sz="4" w:space="0" w:color="auto"/>
            </w:tcBorders>
            <w:shd w:val="clear" w:color="auto" w:fill="auto"/>
            <w:noWrap/>
            <w:vAlign w:val="center"/>
            <w:hideMark/>
          </w:tcPr>
          <w:p w14:paraId="29B8FAAF" w14:textId="77777777" w:rsidR="00C5422E" w:rsidRPr="005970E9" w:rsidRDefault="00C5422E" w:rsidP="00E11228">
            <w:pPr>
              <w:jc w:val="right"/>
              <w:rPr>
                <w:rFonts w:eastAsia="Times New Roman"/>
                <w:b/>
                <w:color w:val="000000"/>
                <w:sz w:val="18"/>
                <w:szCs w:val="18"/>
              </w:rPr>
            </w:pPr>
            <w:r w:rsidRPr="005970E9">
              <w:rPr>
                <w:rFonts w:eastAsia="Times New Roman"/>
                <w:b/>
                <w:color w:val="000000"/>
                <w:sz w:val="18"/>
                <w:szCs w:val="18"/>
              </w:rPr>
              <w:t>29.289</w:t>
            </w:r>
          </w:p>
        </w:tc>
        <w:tc>
          <w:tcPr>
            <w:tcW w:w="791" w:type="dxa"/>
            <w:tcBorders>
              <w:top w:val="nil"/>
              <w:left w:val="nil"/>
              <w:bottom w:val="single" w:sz="4" w:space="0" w:color="auto"/>
              <w:right w:val="single" w:sz="4" w:space="0" w:color="auto"/>
            </w:tcBorders>
            <w:shd w:val="clear" w:color="auto" w:fill="auto"/>
            <w:noWrap/>
            <w:vAlign w:val="center"/>
            <w:hideMark/>
          </w:tcPr>
          <w:p w14:paraId="3875DA1A" w14:textId="77777777" w:rsidR="00C5422E" w:rsidRPr="005970E9" w:rsidRDefault="00C5422E" w:rsidP="00E11228">
            <w:pPr>
              <w:jc w:val="center"/>
              <w:rPr>
                <w:rFonts w:eastAsia="Times New Roman"/>
                <w:b/>
                <w:color w:val="000000"/>
                <w:sz w:val="18"/>
                <w:szCs w:val="18"/>
              </w:rPr>
            </w:pPr>
            <w:r w:rsidRPr="005970E9">
              <w:rPr>
                <w:rFonts w:eastAsia="Times New Roman"/>
                <w:b/>
                <w:color w:val="000000"/>
                <w:sz w:val="18"/>
                <w:szCs w:val="18"/>
              </w:rPr>
              <w:t>30.055</w:t>
            </w:r>
          </w:p>
        </w:tc>
        <w:tc>
          <w:tcPr>
            <w:tcW w:w="672" w:type="dxa"/>
            <w:tcBorders>
              <w:top w:val="nil"/>
              <w:left w:val="nil"/>
              <w:bottom w:val="single" w:sz="4" w:space="0" w:color="auto"/>
              <w:right w:val="single" w:sz="4" w:space="0" w:color="auto"/>
            </w:tcBorders>
            <w:shd w:val="clear" w:color="auto" w:fill="auto"/>
            <w:noWrap/>
            <w:vAlign w:val="center"/>
            <w:hideMark/>
          </w:tcPr>
          <w:p w14:paraId="1C3CD8B6" w14:textId="77777777" w:rsidR="00C5422E" w:rsidRPr="005970E9" w:rsidRDefault="00C5422E" w:rsidP="00E11228">
            <w:pPr>
              <w:jc w:val="center"/>
              <w:rPr>
                <w:rFonts w:eastAsia="Times New Roman"/>
                <w:b/>
                <w:color w:val="000000"/>
                <w:sz w:val="18"/>
                <w:szCs w:val="18"/>
              </w:rPr>
            </w:pPr>
            <w:r w:rsidRPr="005970E9">
              <w:rPr>
                <w:rFonts w:eastAsia="Times New Roman"/>
                <w:b/>
                <w:color w:val="000000"/>
                <w:sz w:val="18"/>
                <w:szCs w:val="18"/>
              </w:rPr>
              <w:t>6.780</w:t>
            </w:r>
          </w:p>
        </w:tc>
        <w:tc>
          <w:tcPr>
            <w:tcW w:w="672" w:type="dxa"/>
            <w:tcBorders>
              <w:top w:val="nil"/>
              <w:left w:val="nil"/>
              <w:bottom w:val="single" w:sz="4" w:space="0" w:color="auto"/>
              <w:right w:val="single" w:sz="4" w:space="0" w:color="auto"/>
            </w:tcBorders>
            <w:shd w:val="clear" w:color="auto" w:fill="auto"/>
            <w:noWrap/>
            <w:vAlign w:val="center"/>
            <w:hideMark/>
          </w:tcPr>
          <w:p w14:paraId="6552799C" w14:textId="77777777" w:rsidR="00C5422E" w:rsidRPr="005970E9" w:rsidRDefault="00C5422E" w:rsidP="00E11228">
            <w:pPr>
              <w:jc w:val="center"/>
              <w:rPr>
                <w:rFonts w:eastAsia="Times New Roman"/>
                <w:b/>
                <w:color w:val="000000"/>
                <w:sz w:val="18"/>
                <w:szCs w:val="18"/>
              </w:rPr>
            </w:pPr>
            <w:r w:rsidRPr="005970E9">
              <w:rPr>
                <w:rFonts w:eastAsia="Times New Roman"/>
                <w:b/>
                <w:color w:val="000000"/>
                <w:sz w:val="18"/>
                <w:szCs w:val="18"/>
              </w:rPr>
              <w:t>9.222</w:t>
            </w:r>
          </w:p>
        </w:tc>
        <w:tc>
          <w:tcPr>
            <w:tcW w:w="791" w:type="dxa"/>
            <w:tcBorders>
              <w:top w:val="nil"/>
              <w:left w:val="nil"/>
              <w:bottom w:val="single" w:sz="4" w:space="0" w:color="auto"/>
              <w:right w:val="single" w:sz="4" w:space="0" w:color="auto"/>
            </w:tcBorders>
            <w:shd w:val="clear" w:color="auto" w:fill="auto"/>
            <w:vAlign w:val="center"/>
            <w:hideMark/>
          </w:tcPr>
          <w:p w14:paraId="2810380E" w14:textId="77777777" w:rsidR="00C5422E" w:rsidRPr="005970E9" w:rsidRDefault="00C5422E" w:rsidP="00E11228">
            <w:pPr>
              <w:jc w:val="right"/>
              <w:rPr>
                <w:rFonts w:eastAsia="Times New Roman"/>
                <w:b/>
                <w:color w:val="000000"/>
                <w:sz w:val="18"/>
                <w:szCs w:val="18"/>
              </w:rPr>
            </w:pPr>
            <w:r w:rsidRPr="005970E9">
              <w:rPr>
                <w:rFonts w:eastAsia="Times New Roman"/>
                <w:b/>
                <w:color w:val="000000"/>
                <w:sz w:val="18"/>
                <w:szCs w:val="18"/>
              </w:rPr>
              <w:t>23.968</w:t>
            </w:r>
          </w:p>
        </w:tc>
      </w:tr>
      <w:tr w:rsidR="00C5422E" w:rsidRPr="005970E9" w14:paraId="33B42BCE" w14:textId="77777777" w:rsidTr="00E11228">
        <w:trPr>
          <w:trHeight w:val="219"/>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5B943" w14:textId="77777777" w:rsidR="00C5422E" w:rsidRPr="005970E9" w:rsidRDefault="00C5422E" w:rsidP="00E11228">
            <w:pPr>
              <w:rPr>
                <w:rFonts w:eastAsia="Times New Roman"/>
                <w:color w:val="000000"/>
                <w:sz w:val="18"/>
                <w:szCs w:val="18"/>
              </w:rPr>
            </w:pPr>
            <w:r w:rsidRPr="005970E9">
              <w:rPr>
                <w:rFonts w:eastAsia="Times New Roman"/>
                <w:color w:val="000000"/>
                <w:sz w:val="18"/>
                <w:szCs w:val="18"/>
              </w:rPr>
              <w:lastRenderedPageBreak/>
              <w:t>Antillas</w:t>
            </w:r>
          </w:p>
        </w:tc>
        <w:tc>
          <w:tcPr>
            <w:tcW w:w="910" w:type="dxa"/>
            <w:tcBorders>
              <w:top w:val="nil"/>
              <w:left w:val="nil"/>
              <w:bottom w:val="single" w:sz="4" w:space="0" w:color="auto"/>
              <w:right w:val="single" w:sz="4" w:space="0" w:color="auto"/>
            </w:tcBorders>
            <w:shd w:val="clear" w:color="auto" w:fill="auto"/>
            <w:noWrap/>
            <w:vAlign w:val="center"/>
            <w:hideMark/>
          </w:tcPr>
          <w:p w14:paraId="08913847"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72.389</w:t>
            </w:r>
          </w:p>
        </w:tc>
        <w:tc>
          <w:tcPr>
            <w:tcW w:w="615" w:type="dxa"/>
            <w:tcBorders>
              <w:top w:val="nil"/>
              <w:left w:val="nil"/>
              <w:bottom w:val="single" w:sz="4" w:space="0" w:color="auto"/>
              <w:right w:val="single" w:sz="4" w:space="0" w:color="auto"/>
            </w:tcBorders>
            <w:shd w:val="clear" w:color="auto" w:fill="auto"/>
            <w:noWrap/>
            <w:vAlign w:val="center"/>
            <w:hideMark/>
          </w:tcPr>
          <w:p w14:paraId="4628B5B6"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79</w:t>
            </w:r>
          </w:p>
        </w:tc>
        <w:tc>
          <w:tcPr>
            <w:tcW w:w="630" w:type="dxa"/>
            <w:tcBorders>
              <w:top w:val="nil"/>
              <w:left w:val="nil"/>
              <w:bottom w:val="single" w:sz="4" w:space="0" w:color="auto"/>
              <w:right w:val="single" w:sz="4" w:space="0" w:color="auto"/>
            </w:tcBorders>
            <w:shd w:val="clear" w:color="auto" w:fill="auto"/>
            <w:noWrap/>
            <w:vAlign w:val="center"/>
            <w:hideMark/>
          </w:tcPr>
          <w:p w14:paraId="22CFF09E"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19</w:t>
            </w:r>
          </w:p>
        </w:tc>
        <w:tc>
          <w:tcPr>
            <w:tcW w:w="672" w:type="dxa"/>
            <w:tcBorders>
              <w:top w:val="nil"/>
              <w:left w:val="nil"/>
              <w:bottom w:val="single" w:sz="4" w:space="0" w:color="auto"/>
              <w:right w:val="single" w:sz="4" w:space="0" w:color="auto"/>
            </w:tcBorders>
            <w:shd w:val="clear" w:color="auto" w:fill="auto"/>
            <w:noWrap/>
            <w:vAlign w:val="center"/>
            <w:hideMark/>
          </w:tcPr>
          <w:p w14:paraId="1E4EADA6"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1.154</w:t>
            </w:r>
          </w:p>
        </w:tc>
        <w:tc>
          <w:tcPr>
            <w:tcW w:w="672" w:type="dxa"/>
            <w:tcBorders>
              <w:top w:val="nil"/>
              <w:left w:val="nil"/>
              <w:bottom w:val="single" w:sz="4" w:space="0" w:color="auto"/>
              <w:right w:val="single" w:sz="4" w:space="0" w:color="auto"/>
            </w:tcBorders>
            <w:shd w:val="clear" w:color="auto" w:fill="auto"/>
            <w:noWrap/>
            <w:vAlign w:val="center"/>
            <w:hideMark/>
          </w:tcPr>
          <w:p w14:paraId="4B688163"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2.026</w:t>
            </w:r>
          </w:p>
        </w:tc>
        <w:tc>
          <w:tcPr>
            <w:tcW w:w="672" w:type="dxa"/>
            <w:tcBorders>
              <w:top w:val="nil"/>
              <w:left w:val="nil"/>
              <w:bottom w:val="single" w:sz="4" w:space="0" w:color="auto"/>
              <w:right w:val="single" w:sz="4" w:space="0" w:color="auto"/>
            </w:tcBorders>
            <w:shd w:val="clear" w:color="auto" w:fill="auto"/>
            <w:noWrap/>
            <w:vAlign w:val="center"/>
            <w:hideMark/>
          </w:tcPr>
          <w:p w14:paraId="033882C4"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5.027</w:t>
            </w:r>
          </w:p>
        </w:tc>
        <w:tc>
          <w:tcPr>
            <w:tcW w:w="791" w:type="dxa"/>
            <w:tcBorders>
              <w:top w:val="nil"/>
              <w:left w:val="nil"/>
              <w:bottom w:val="single" w:sz="4" w:space="0" w:color="auto"/>
              <w:right w:val="single" w:sz="4" w:space="0" w:color="auto"/>
            </w:tcBorders>
            <w:shd w:val="clear" w:color="auto" w:fill="auto"/>
            <w:noWrap/>
            <w:vAlign w:val="center"/>
            <w:hideMark/>
          </w:tcPr>
          <w:p w14:paraId="29FD5DD7"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24.643</w:t>
            </w:r>
          </w:p>
        </w:tc>
        <w:tc>
          <w:tcPr>
            <w:tcW w:w="791" w:type="dxa"/>
            <w:tcBorders>
              <w:top w:val="nil"/>
              <w:left w:val="nil"/>
              <w:bottom w:val="single" w:sz="4" w:space="0" w:color="auto"/>
              <w:right w:val="single" w:sz="4" w:space="0" w:color="auto"/>
            </w:tcBorders>
            <w:shd w:val="clear" w:color="auto" w:fill="auto"/>
            <w:noWrap/>
            <w:vAlign w:val="center"/>
            <w:hideMark/>
          </w:tcPr>
          <w:p w14:paraId="7805C344"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24.13</w:t>
            </w:r>
          </w:p>
        </w:tc>
        <w:tc>
          <w:tcPr>
            <w:tcW w:w="672" w:type="dxa"/>
            <w:tcBorders>
              <w:top w:val="nil"/>
              <w:left w:val="nil"/>
              <w:bottom w:val="single" w:sz="4" w:space="0" w:color="auto"/>
              <w:right w:val="single" w:sz="4" w:space="0" w:color="auto"/>
            </w:tcBorders>
            <w:shd w:val="clear" w:color="auto" w:fill="auto"/>
            <w:noWrap/>
            <w:vAlign w:val="center"/>
            <w:hideMark/>
          </w:tcPr>
          <w:p w14:paraId="10210776"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777</w:t>
            </w:r>
          </w:p>
        </w:tc>
        <w:tc>
          <w:tcPr>
            <w:tcW w:w="672" w:type="dxa"/>
            <w:tcBorders>
              <w:top w:val="nil"/>
              <w:left w:val="nil"/>
              <w:bottom w:val="single" w:sz="4" w:space="0" w:color="auto"/>
              <w:right w:val="single" w:sz="4" w:space="0" w:color="auto"/>
            </w:tcBorders>
            <w:shd w:val="clear" w:color="auto" w:fill="auto"/>
            <w:noWrap/>
            <w:vAlign w:val="center"/>
            <w:hideMark/>
          </w:tcPr>
          <w:p w14:paraId="5E27E1CD"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744</w:t>
            </w:r>
          </w:p>
        </w:tc>
        <w:tc>
          <w:tcPr>
            <w:tcW w:w="791" w:type="dxa"/>
            <w:tcBorders>
              <w:top w:val="nil"/>
              <w:left w:val="nil"/>
              <w:bottom w:val="single" w:sz="4" w:space="0" w:color="auto"/>
              <w:right w:val="single" w:sz="4" w:space="0" w:color="auto"/>
            </w:tcBorders>
            <w:shd w:val="clear" w:color="auto" w:fill="auto"/>
            <w:vAlign w:val="center"/>
            <w:hideMark/>
          </w:tcPr>
          <w:p w14:paraId="3B0E6E8F"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13791</w:t>
            </w:r>
          </w:p>
        </w:tc>
      </w:tr>
      <w:tr w:rsidR="00C5422E" w:rsidRPr="005970E9" w14:paraId="573824A8" w14:textId="77777777" w:rsidTr="00E11228">
        <w:trPr>
          <w:trHeight w:val="219"/>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15F18" w14:textId="77777777" w:rsidR="00C5422E" w:rsidRPr="005970E9" w:rsidRDefault="00C5422E" w:rsidP="00E11228">
            <w:pPr>
              <w:rPr>
                <w:rFonts w:eastAsia="Times New Roman"/>
                <w:color w:val="000000"/>
                <w:sz w:val="18"/>
                <w:szCs w:val="18"/>
              </w:rPr>
            </w:pPr>
            <w:r w:rsidRPr="005970E9">
              <w:rPr>
                <w:rFonts w:eastAsia="Times New Roman"/>
                <w:color w:val="000000"/>
                <w:sz w:val="18"/>
                <w:szCs w:val="18"/>
              </w:rPr>
              <w:t>Asia</w:t>
            </w:r>
          </w:p>
        </w:tc>
        <w:tc>
          <w:tcPr>
            <w:tcW w:w="910" w:type="dxa"/>
            <w:tcBorders>
              <w:top w:val="nil"/>
              <w:left w:val="nil"/>
              <w:bottom w:val="single" w:sz="4" w:space="0" w:color="auto"/>
              <w:right w:val="single" w:sz="4" w:space="0" w:color="auto"/>
            </w:tcBorders>
            <w:shd w:val="clear" w:color="auto" w:fill="auto"/>
            <w:noWrap/>
            <w:vAlign w:val="center"/>
            <w:hideMark/>
          </w:tcPr>
          <w:p w14:paraId="29A9ECB8"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22,179</w:t>
            </w:r>
          </w:p>
        </w:tc>
        <w:tc>
          <w:tcPr>
            <w:tcW w:w="615" w:type="dxa"/>
            <w:tcBorders>
              <w:top w:val="nil"/>
              <w:left w:val="nil"/>
              <w:bottom w:val="single" w:sz="4" w:space="0" w:color="auto"/>
              <w:right w:val="single" w:sz="4" w:space="0" w:color="auto"/>
            </w:tcBorders>
            <w:shd w:val="clear" w:color="auto" w:fill="auto"/>
            <w:noWrap/>
            <w:vAlign w:val="center"/>
            <w:hideMark/>
          </w:tcPr>
          <w:p w14:paraId="76EB0FE1"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401</w:t>
            </w:r>
          </w:p>
        </w:tc>
        <w:tc>
          <w:tcPr>
            <w:tcW w:w="630" w:type="dxa"/>
            <w:tcBorders>
              <w:top w:val="nil"/>
              <w:left w:val="nil"/>
              <w:bottom w:val="single" w:sz="4" w:space="0" w:color="auto"/>
              <w:right w:val="single" w:sz="4" w:space="0" w:color="auto"/>
            </w:tcBorders>
            <w:shd w:val="clear" w:color="auto" w:fill="auto"/>
            <w:noWrap/>
            <w:vAlign w:val="center"/>
            <w:hideMark/>
          </w:tcPr>
          <w:p w14:paraId="32CD1E0E"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79</w:t>
            </w:r>
          </w:p>
        </w:tc>
        <w:tc>
          <w:tcPr>
            <w:tcW w:w="672" w:type="dxa"/>
            <w:tcBorders>
              <w:top w:val="nil"/>
              <w:left w:val="nil"/>
              <w:bottom w:val="single" w:sz="4" w:space="0" w:color="auto"/>
              <w:right w:val="single" w:sz="4" w:space="0" w:color="auto"/>
            </w:tcBorders>
            <w:shd w:val="clear" w:color="auto" w:fill="auto"/>
            <w:noWrap/>
            <w:vAlign w:val="center"/>
            <w:hideMark/>
          </w:tcPr>
          <w:p w14:paraId="0206C78C"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403</w:t>
            </w:r>
          </w:p>
        </w:tc>
        <w:tc>
          <w:tcPr>
            <w:tcW w:w="672" w:type="dxa"/>
            <w:tcBorders>
              <w:top w:val="nil"/>
              <w:left w:val="nil"/>
              <w:bottom w:val="single" w:sz="4" w:space="0" w:color="auto"/>
              <w:right w:val="single" w:sz="4" w:space="0" w:color="auto"/>
            </w:tcBorders>
            <w:shd w:val="clear" w:color="auto" w:fill="auto"/>
            <w:noWrap/>
            <w:vAlign w:val="center"/>
            <w:hideMark/>
          </w:tcPr>
          <w:p w14:paraId="5921EBC6"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732</w:t>
            </w:r>
          </w:p>
        </w:tc>
        <w:tc>
          <w:tcPr>
            <w:tcW w:w="672" w:type="dxa"/>
            <w:tcBorders>
              <w:top w:val="nil"/>
              <w:left w:val="nil"/>
              <w:bottom w:val="single" w:sz="4" w:space="0" w:color="auto"/>
              <w:right w:val="single" w:sz="4" w:space="0" w:color="auto"/>
            </w:tcBorders>
            <w:shd w:val="clear" w:color="auto" w:fill="auto"/>
            <w:noWrap/>
            <w:vAlign w:val="center"/>
            <w:hideMark/>
          </w:tcPr>
          <w:p w14:paraId="055EE154"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872</w:t>
            </w:r>
          </w:p>
        </w:tc>
        <w:tc>
          <w:tcPr>
            <w:tcW w:w="791" w:type="dxa"/>
            <w:tcBorders>
              <w:top w:val="nil"/>
              <w:left w:val="nil"/>
              <w:bottom w:val="single" w:sz="4" w:space="0" w:color="auto"/>
              <w:right w:val="single" w:sz="4" w:space="0" w:color="auto"/>
            </w:tcBorders>
            <w:shd w:val="clear" w:color="auto" w:fill="auto"/>
            <w:noWrap/>
            <w:vAlign w:val="center"/>
            <w:hideMark/>
          </w:tcPr>
          <w:p w14:paraId="23F70831"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3.26</w:t>
            </w:r>
          </w:p>
        </w:tc>
        <w:tc>
          <w:tcPr>
            <w:tcW w:w="791" w:type="dxa"/>
            <w:tcBorders>
              <w:top w:val="nil"/>
              <w:left w:val="nil"/>
              <w:bottom w:val="single" w:sz="4" w:space="0" w:color="auto"/>
              <w:right w:val="single" w:sz="4" w:space="0" w:color="auto"/>
            </w:tcBorders>
            <w:shd w:val="clear" w:color="auto" w:fill="auto"/>
            <w:noWrap/>
            <w:vAlign w:val="center"/>
            <w:hideMark/>
          </w:tcPr>
          <w:p w14:paraId="57020DE0"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2.485</w:t>
            </w:r>
          </w:p>
        </w:tc>
        <w:tc>
          <w:tcPr>
            <w:tcW w:w="672" w:type="dxa"/>
            <w:tcBorders>
              <w:top w:val="nil"/>
              <w:left w:val="nil"/>
              <w:bottom w:val="single" w:sz="4" w:space="0" w:color="auto"/>
              <w:right w:val="single" w:sz="4" w:space="0" w:color="auto"/>
            </w:tcBorders>
            <w:shd w:val="clear" w:color="auto" w:fill="auto"/>
            <w:noWrap/>
            <w:vAlign w:val="center"/>
            <w:hideMark/>
          </w:tcPr>
          <w:p w14:paraId="04DB2E8F"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4.108</w:t>
            </w:r>
          </w:p>
        </w:tc>
        <w:tc>
          <w:tcPr>
            <w:tcW w:w="672" w:type="dxa"/>
            <w:tcBorders>
              <w:top w:val="nil"/>
              <w:left w:val="nil"/>
              <w:bottom w:val="single" w:sz="4" w:space="0" w:color="auto"/>
              <w:right w:val="single" w:sz="4" w:space="0" w:color="auto"/>
            </w:tcBorders>
            <w:shd w:val="clear" w:color="auto" w:fill="auto"/>
            <w:noWrap/>
            <w:vAlign w:val="center"/>
            <w:hideMark/>
          </w:tcPr>
          <w:p w14:paraId="6795D1CE"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5.81</w:t>
            </w:r>
          </w:p>
        </w:tc>
        <w:tc>
          <w:tcPr>
            <w:tcW w:w="791" w:type="dxa"/>
            <w:tcBorders>
              <w:top w:val="nil"/>
              <w:left w:val="nil"/>
              <w:bottom w:val="single" w:sz="4" w:space="0" w:color="auto"/>
              <w:right w:val="single" w:sz="4" w:space="0" w:color="auto"/>
            </w:tcBorders>
            <w:shd w:val="clear" w:color="auto" w:fill="auto"/>
            <w:vAlign w:val="center"/>
            <w:hideMark/>
          </w:tcPr>
          <w:p w14:paraId="799EABF7"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4,030</w:t>
            </w:r>
          </w:p>
        </w:tc>
      </w:tr>
      <w:tr w:rsidR="00C5422E" w:rsidRPr="005970E9" w14:paraId="12A2C752" w14:textId="77777777" w:rsidTr="00E11228">
        <w:trPr>
          <w:trHeight w:val="219"/>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319AC" w14:textId="77777777" w:rsidR="00C5422E" w:rsidRPr="005970E9" w:rsidRDefault="00C5422E" w:rsidP="00E11228">
            <w:pPr>
              <w:rPr>
                <w:rFonts w:eastAsia="Times New Roman"/>
                <w:color w:val="000000"/>
                <w:sz w:val="18"/>
                <w:szCs w:val="18"/>
              </w:rPr>
            </w:pPr>
            <w:r w:rsidRPr="005970E9">
              <w:rPr>
                <w:rFonts w:eastAsia="Times New Roman"/>
                <w:color w:val="000000"/>
                <w:sz w:val="18"/>
                <w:szCs w:val="18"/>
              </w:rPr>
              <w:t>África</w:t>
            </w:r>
          </w:p>
        </w:tc>
        <w:tc>
          <w:tcPr>
            <w:tcW w:w="910" w:type="dxa"/>
            <w:tcBorders>
              <w:top w:val="nil"/>
              <w:left w:val="nil"/>
              <w:bottom w:val="single" w:sz="4" w:space="0" w:color="auto"/>
              <w:right w:val="single" w:sz="4" w:space="0" w:color="auto"/>
            </w:tcBorders>
            <w:shd w:val="clear" w:color="auto" w:fill="auto"/>
            <w:noWrap/>
            <w:vAlign w:val="center"/>
            <w:hideMark/>
          </w:tcPr>
          <w:p w14:paraId="665CB0C0"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14,865</w:t>
            </w:r>
          </w:p>
        </w:tc>
        <w:tc>
          <w:tcPr>
            <w:tcW w:w="615" w:type="dxa"/>
            <w:tcBorders>
              <w:top w:val="nil"/>
              <w:left w:val="nil"/>
              <w:bottom w:val="single" w:sz="4" w:space="0" w:color="auto"/>
              <w:right w:val="single" w:sz="4" w:space="0" w:color="auto"/>
            </w:tcBorders>
            <w:shd w:val="clear" w:color="auto" w:fill="auto"/>
            <w:noWrap/>
            <w:vAlign w:val="center"/>
            <w:hideMark/>
          </w:tcPr>
          <w:p w14:paraId="0CF5AAB7"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79</w:t>
            </w:r>
          </w:p>
        </w:tc>
        <w:tc>
          <w:tcPr>
            <w:tcW w:w="630" w:type="dxa"/>
            <w:tcBorders>
              <w:top w:val="nil"/>
              <w:left w:val="nil"/>
              <w:bottom w:val="single" w:sz="4" w:space="0" w:color="auto"/>
              <w:right w:val="single" w:sz="4" w:space="0" w:color="auto"/>
            </w:tcBorders>
            <w:shd w:val="clear" w:color="auto" w:fill="auto"/>
            <w:noWrap/>
            <w:vAlign w:val="center"/>
            <w:hideMark/>
          </w:tcPr>
          <w:p w14:paraId="47A2F6B6"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62</w:t>
            </w:r>
          </w:p>
        </w:tc>
        <w:tc>
          <w:tcPr>
            <w:tcW w:w="672" w:type="dxa"/>
            <w:tcBorders>
              <w:top w:val="nil"/>
              <w:left w:val="nil"/>
              <w:bottom w:val="single" w:sz="4" w:space="0" w:color="auto"/>
              <w:right w:val="single" w:sz="4" w:space="0" w:color="auto"/>
            </w:tcBorders>
            <w:shd w:val="clear" w:color="auto" w:fill="auto"/>
            <w:noWrap/>
            <w:vAlign w:val="center"/>
            <w:hideMark/>
          </w:tcPr>
          <w:p w14:paraId="51DF81DA"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178</w:t>
            </w:r>
          </w:p>
        </w:tc>
        <w:tc>
          <w:tcPr>
            <w:tcW w:w="672" w:type="dxa"/>
            <w:tcBorders>
              <w:top w:val="nil"/>
              <w:left w:val="nil"/>
              <w:bottom w:val="single" w:sz="4" w:space="0" w:color="auto"/>
              <w:right w:val="single" w:sz="4" w:space="0" w:color="auto"/>
            </w:tcBorders>
            <w:shd w:val="clear" w:color="auto" w:fill="auto"/>
            <w:noWrap/>
            <w:vAlign w:val="center"/>
            <w:hideMark/>
          </w:tcPr>
          <w:p w14:paraId="06856AF4"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251</w:t>
            </w:r>
          </w:p>
        </w:tc>
        <w:tc>
          <w:tcPr>
            <w:tcW w:w="672" w:type="dxa"/>
            <w:tcBorders>
              <w:top w:val="nil"/>
              <w:left w:val="nil"/>
              <w:bottom w:val="single" w:sz="4" w:space="0" w:color="auto"/>
              <w:right w:val="single" w:sz="4" w:space="0" w:color="auto"/>
            </w:tcBorders>
            <w:shd w:val="clear" w:color="auto" w:fill="auto"/>
            <w:noWrap/>
            <w:vAlign w:val="center"/>
            <w:hideMark/>
          </w:tcPr>
          <w:p w14:paraId="4764D58D"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257</w:t>
            </w:r>
          </w:p>
        </w:tc>
        <w:tc>
          <w:tcPr>
            <w:tcW w:w="791" w:type="dxa"/>
            <w:tcBorders>
              <w:top w:val="nil"/>
              <w:left w:val="nil"/>
              <w:bottom w:val="single" w:sz="4" w:space="0" w:color="auto"/>
              <w:right w:val="single" w:sz="4" w:space="0" w:color="auto"/>
            </w:tcBorders>
            <w:shd w:val="clear" w:color="auto" w:fill="auto"/>
            <w:noWrap/>
            <w:vAlign w:val="center"/>
            <w:hideMark/>
          </w:tcPr>
          <w:p w14:paraId="026163EF"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1.326</w:t>
            </w:r>
          </w:p>
        </w:tc>
        <w:tc>
          <w:tcPr>
            <w:tcW w:w="791" w:type="dxa"/>
            <w:tcBorders>
              <w:top w:val="nil"/>
              <w:left w:val="nil"/>
              <w:bottom w:val="single" w:sz="4" w:space="0" w:color="auto"/>
              <w:right w:val="single" w:sz="4" w:space="0" w:color="auto"/>
            </w:tcBorders>
            <w:shd w:val="clear" w:color="auto" w:fill="auto"/>
            <w:noWrap/>
            <w:vAlign w:val="center"/>
            <w:hideMark/>
          </w:tcPr>
          <w:p w14:paraId="6D4375E7"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3.277</w:t>
            </w:r>
          </w:p>
        </w:tc>
        <w:tc>
          <w:tcPr>
            <w:tcW w:w="672" w:type="dxa"/>
            <w:tcBorders>
              <w:top w:val="nil"/>
              <w:left w:val="nil"/>
              <w:bottom w:val="single" w:sz="4" w:space="0" w:color="auto"/>
              <w:right w:val="single" w:sz="4" w:space="0" w:color="auto"/>
            </w:tcBorders>
            <w:shd w:val="clear" w:color="auto" w:fill="auto"/>
            <w:noWrap/>
            <w:vAlign w:val="center"/>
            <w:hideMark/>
          </w:tcPr>
          <w:p w14:paraId="500F13F5"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1.754</w:t>
            </w:r>
          </w:p>
        </w:tc>
        <w:tc>
          <w:tcPr>
            <w:tcW w:w="672" w:type="dxa"/>
            <w:tcBorders>
              <w:top w:val="nil"/>
              <w:left w:val="nil"/>
              <w:bottom w:val="single" w:sz="4" w:space="0" w:color="auto"/>
              <w:right w:val="single" w:sz="4" w:space="0" w:color="auto"/>
            </w:tcBorders>
            <w:shd w:val="clear" w:color="auto" w:fill="auto"/>
            <w:noWrap/>
            <w:vAlign w:val="center"/>
            <w:hideMark/>
          </w:tcPr>
          <w:p w14:paraId="6D7D8447"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2.51</w:t>
            </w:r>
          </w:p>
        </w:tc>
        <w:tc>
          <w:tcPr>
            <w:tcW w:w="791" w:type="dxa"/>
            <w:tcBorders>
              <w:top w:val="nil"/>
              <w:left w:val="nil"/>
              <w:bottom w:val="single" w:sz="4" w:space="0" w:color="auto"/>
              <w:right w:val="single" w:sz="4" w:space="0" w:color="auto"/>
            </w:tcBorders>
            <w:shd w:val="clear" w:color="auto" w:fill="auto"/>
            <w:vAlign w:val="center"/>
            <w:hideMark/>
          </w:tcPr>
          <w:p w14:paraId="034895AD"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5,169</w:t>
            </w:r>
          </w:p>
        </w:tc>
      </w:tr>
      <w:tr w:rsidR="00C5422E" w:rsidRPr="005970E9" w14:paraId="0523ADA7" w14:textId="77777777" w:rsidTr="00E11228">
        <w:trPr>
          <w:trHeight w:val="219"/>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5547C" w14:textId="77777777" w:rsidR="00C5422E" w:rsidRPr="005970E9" w:rsidRDefault="00C5422E" w:rsidP="00E11228">
            <w:pPr>
              <w:rPr>
                <w:rFonts w:eastAsia="Times New Roman"/>
                <w:color w:val="000000"/>
                <w:sz w:val="18"/>
                <w:szCs w:val="18"/>
              </w:rPr>
            </w:pPr>
            <w:r w:rsidRPr="005970E9">
              <w:rPr>
                <w:rFonts w:eastAsia="Times New Roman"/>
                <w:color w:val="000000"/>
                <w:sz w:val="18"/>
                <w:szCs w:val="18"/>
              </w:rPr>
              <w:t>América del Sur</w:t>
            </w:r>
          </w:p>
        </w:tc>
        <w:tc>
          <w:tcPr>
            <w:tcW w:w="910" w:type="dxa"/>
            <w:tcBorders>
              <w:top w:val="nil"/>
              <w:left w:val="nil"/>
              <w:bottom w:val="single" w:sz="4" w:space="0" w:color="auto"/>
              <w:right w:val="single" w:sz="4" w:space="0" w:color="auto"/>
            </w:tcBorders>
            <w:shd w:val="clear" w:color="auto" w:fill="auto"/>
            <w:noWrap/>
            <w:vAlign w:val="center"/>
            <w:hideMark/>
          </w:tcPr>
          <w:p w14:paraId="7246CC4C"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1.607</w:t>
            </w:r>
          </w:p>
        </w:tc>
        <w:tc>
          <w:tcPr>
            <w:tcW w:w="615" w:type="dxa"/>
            <w:tcBorders>
              <w:top w:val="nil"/>
              <w:left w:val="nil"/>
              <w:bottom w:val="single" w:sz="4" w:space="0" w:color="auto"/>
              <w:right w:val="single" w:sz="4" w:space="0" w:color="auto"/>
            </w:tcBorders>
            <w:shd w:val="clear" w:color="auto" w:fill="auto"/>
            <w:vAlign w:val="center"/>
            <w:hideMark/>
          </w:tcPr>
          <w:p w14:paraId="211862BE"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30" w:type="dxa"/>
            <w:tcBorders>
              <w:top w:val="nil"/>
              <w:left w:val="nil"/>
              <w:bottom w:val="single" w:sz="4" w:space="0" w:color="auto"/>
              <w:right w:val="single" w:sz="4" w:space="0" w:color="auto"/>
            </w:tcBorders>
            <w:shd w:val="clear" w:color="auto" w:fill="auto"/>
            <w:noWrap/>
            <w:vAlign w:val="center"/>
            <w:hideMark/>
          </w:tcPr>
          <w:p w14:paraId="3F90D27D"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97</w:t>
            </w:r>
          </w:p>
        </w:tc>
        <w:tc>
          <w:tcPr>
            <w:tcW w:w="672" w:type="dxa"/>
            <w:tcBorders>
              <w:top w:val="nil"/>
              <w:left w:val="nil"/>
              <w:bottom w:val="single" w:sz="4" w:space="0" w:color="auto"/>
              <w:right w:val="single" w:sz="4" w:space="0" w:color="auto"/>
            </w:tcBorders>
            <w:shd w:val="clear" w:color="auto" w:fill="auto"/>
            <w:noWrap/>
            <w:vAlign w:val="center"/>
            <w:hideMark/>
          </w:tcPr>
          <w:p w14:paraId="31E7D97B"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42</w:t>
            </w:r>
          </w:p>
        </w:tc>
        <w:tc>
          <w:tcPr>
            <w:tcW w:w="672" w:type="dxa"/>
            <w:tcBorders>
              <w:top w:val="nil"/>
              <w:left w:val="nil"/>
              <w:bottom w:val="single" w:sz="4" w:space="0" w:color="auto"/>
              <w:right w:val="single" w:sz="4" w:space="0" w:color="auto"/>
            </w:tcBorders>
            <w:shd w:val="clear" w:color="auto" w:fill="auto"/>
            <w:noWrap/>
            <w:vAlign w:val="center"/>
            <w:hideMark/>
          </w:tcPr>
          <w:p w14:paraId="268F15E2"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31</w:t>
            </w:r>
          </w:p>
        </w:tc>
        <w:tc>
          <w:tcPr>
            <w:tcW w:w="672" w:type="dxa"/>
            <w:tcBorders>
              <w:top w:val="nil"/>
              <w:left w:val="nil"/>
              <w:bottom w:val="single" w:sz="4" w:space="0" w:color="auto"/>
              <w:right w:val="single" w:sz="4" w:space="0" w:color="auto"/>
            </w:tcBorders>
            <w:shd w:val="clear" w:color="auto" w:fill="auto"/>
            <w:noWrap/>
            <w:vAlign w:val="center"/>
            <w:hideMark/>
          </w:tcPr>
          <w:p w14:paraId="5A473C8B"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12</w:t>
            </w:r>
          </w:p>
        </w:tc>
        <w:tc>
          <w:tcPr>
            <w:tcW w:w="791" w:type="dxa"/>
            <w:tcBorders>
              <w:top w:val="nil"/>
              <w:left w:val="nil"/>
              <w:bottom w:val="single" w:sz="4" w:space="0" w:color="auto"/>
              <w:right w:val="single" w:sz="4" w:space="0" w:color="auto"/>
            </w:tcBorders>
            <w:shd w:val="clear" w:color="auto" w:fill="auto"/>
            <w:noWrap/>
            <w:vAlign w:val="center"/>
            <w:hideMark/>
          </w:tcPr>
          <w:p w14:paraId="79EA783C"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53</w:t>
            </w:r>
          </w:p>
        </w:tc>
        <w:tc>
          <w:tcPr>
            <w:tcW w:w="791" w:type="dxa"/>
            <w:tcBorders>
              <w:top w:val="nil"/>
              <w:left w:val="nil"/>
              <w:bottom w:val="single" w:sz="4" w:space="0" w:color="auto"/>
              <w:right w:val="single" w:sz="4" w:space="0" w:color="auto"/>
            </w:tcBorders>
            <w:shd w:val="clear" w:color="auto" w:fill="auto"/>
            <w:noWrap/>
            <w:vAlign w:val="center"/>
            <w:hideMark/>
          </w:tcPr>
          <w:p w14:paraId="33138A89"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149</w:t>
            </w:r>
          </w:p>
        </w:tc>
        <w:tc>
          <w:tcPr>
            <w:tcW w:w="672" w:type="dxa"/>
            <w:tcBorders>
              <w:top w:val="nil"/>
              <w:left w:val="nil"/>
              <w:bottom w:val="single" w:sz="4" w:space="0" w:color="auto"/>
              <w:right w:val="single" w:sz="4" w:space="0" w:color="auto"/>
            </w:tcBorders>
            <w:shd w:val="clear" w:color="auto" w:fill="auto"/>
            <w:noWrap/>
            <w:vAlign w:val="center"/>
            <w:hideMark/>
          </w:tcPr>
          <w:p w14:paraId="0FB6839D"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119</w:t>
            </w:r>
          </w:p>
        </w:tc>
        <w:tc>
          <w:tcPr>
            <w:tcW w:w="672" w:type="dxa"/>
            <w:tcBorders>
              <w:top w:val="nil"/>
              <w:left w:val="nil"/>
              <w:bottom w:val="single" w:sz="4" w:space="0" w:color="auto"/>
              <w:right w:val="single" w:sz="4" w:space="0" w:color="auto"/>
            </w:tcBorders>
            <w:shd w:val="clear" w:color="auto" w:fill="auto"/>
            <w:noWrap/>
            <w:vAlign w:val="center"/>
            <w:hideMark/>
          </w:tcPr>
          <w:p w14:paraId="67E3C957"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139</w:t>
            </w:r>
          </w:p>
        </w:tc>
        <w:tc>
          <w:tcPr>
            <w:tcW w:w="791" w:type="dxa"/>
            <w:tcBorders>
              <w:top w:val="nil"/>
              <w:left w:val="nil"/>
              <w:bottom w:val="single" w:sz="4" w:space="0" w:color="auto"/>
              <w:right w:val="single" w:sz="4" w:space="0" w:color="auto"/>
            </w:tcBorders>
            <w:shd w:val="clear" w:color="auto" w:fill="auto"/>
            <w:vAlign w:val="center"/>
            <w:hideMark/>
          </w:tcPr>
          <w:p w14:paraId="28B00E5C"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965</w:t>
            </w:r>
          </w:p>
        </w:tc>
      </w:tr>
      <w:tr w:rsidR="00C5422E" w:rsidRPr="005970E9" w14:paraId="4AE55E70" w14:textId="77777777" w:rsidTr="00E11228">
        <w:trPr>
          <w:trHeight w:val="219"/>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9850F" w14:textId="77777777" w:rsidR="00C5422E" w:rsidRPr="005970E9" w:rsidRDefault="00C5422E" w:rsidP="00E11228">
            <w:pPr>
              <w:rPr>
                <w:rFonts w:eastAsia="Times New Roman"/>
                <w:color w:val="000000"/>
                <w:sz w:val="18"/>
                <w:szCs w:val="18"/>
              </w:rPr>
            </w:pPr>
            <w:r w:rsidRPr="005970E9">
              <w:rPr>
                <w:rFonts w:eastAsia="Times New Roman"/>
                <w:color w:val="000000"/>
                <w:sz w:val="18"/>
                <w:szCs w:val="18"/>
              </w:rPr>
              <w:t>América Central</w:t>
            </w:r>
          </w:p>
        </w:tc>
        <w:tc>
          <w:tcPr>
            <w:tcW w:w="910" w:type="dxa"/>
            <w:tcBorders>
              <w:top w:val="nil"/>
              <w:left w:val="nil"/>
              <w:bottom w:val="single" w:sz="4" w:space="0" w:color="auto"/>
              <w:right w:val="single" w:sz="4" w:space="0" w:color="auto"/>
            </w:tcBorders>
            <w:shd w:val="clear" w:color="auto" w:fill="auto"/>
            <w:noWrap/>
            <w:vAlign w:val="center"/>
            <w:hideMark/>
          </w:tcPr>
          <w:p w14:paraId="02025C6E"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55</w:t>
            </w:r>
          </w:p>
        </w:tc>
        <w:tc>
          <w:tcPr>
            <w:tcW w:w="615" w:type="dxa"/>
            <w:tcBorders>
              <w:top w:val="nil"/>
              <w:left w:val="nil"/>
              <w:bottom w:val="single" w:sz="4" w:space="0" w:color="auto"/>
              <w:right w:val="single" w:sz="4" w:space="0" w:color="auto"/>
            </w:tcBorders>
            <w:shd w:val="clear" w:color="auto" w:fill="auto"/>
            <w:vAlign w:val="center"/>
            <w:hideMark/>
          </w:tcPr>
          <w:p w14:paraId="2FA0A27B"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30" w:type="dxa"/>
            <w:tcBorders>
              <w:top w:val="nil"/>
              <w:left w:val="nil"/>
              <w:bottom w:val="single" w:sz="4" w:space="0" w:color="auto"/>
              <w:right w:val="single" w:sz="4" w:space="0" w:color="auto"/>
            </w:tcBorders>
            <w:shd w:val="clear" w:color="auto" w:fill="auto"/>
            <w:noWrap/>
            <w:vAlign w:val="center"/>
            <w:hideMark/>
          </w:tcPr>
          <w:p w14:paraId="40861D35"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13</w:t>
            </w:r>
          </w:p>
        </w:tc>
        <w:tc>
          <w:tcPr>
            <w:tcW w:w="672" w:type="dxa"/>
            <w:tcBorders>
              <w:top w:val="nil"/>
              <w:left w:val="nil"/>
              <w:bottom w:val="single" w:sz="4" w:space="0" w:color="auto"/>
              <w:right w:val="single" w:sz="4" w:space="0" w:color="auto"/>
            </w:tcBorders>
            <w:shd w:val="clear" w:color="auto" w:fill="auto"/>
            <w:vAlign w:val="center"/>
            <w:hideMark/>
          </w:tcPr>
          <w:p w14:paraId="741B4089"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72" w:type="dxa"/>
            <w:tcBorders>
              <w:top w:val="nil"/>
              <w:left w:val="nil"/>
              <w:bottom w:val="single" w:sz="4" w:space="0" w:color="auto"/>
              <w:right w:val="single" w:sz="4" w:space="0" w:color="auto"/>
            </w:tcBorders>
            <w:shd w:val="clear" w:color="auto" w:fill="auto"/>
            <w:noWrap/>
            <w:vAlign w:val="center"/>
            <w:hideMark/>
          </w:tcPr>
          <w:p w14:paraId="5487B025"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7</w:t>
            </w:r>
          </w:p>
        </w:tc>
        <w:tc>
          <w:tcPr>
            <w:tcW w:w="672" w:type="dxa"/>
            <w:tcBorders>
              <w:top w:val="nil"/>
              <w:left w:val="nil"/>
              <w:bottom w:val="single" w:sz="4" w:space="0" w:color="auto"/>
              <w:right w:val="single" w:sz="4" w:space="0" w:color="auto"/>
            </w:tcBorders>
            <w:shd w:val="clear" w:color="auto" w:fill="auto"/>
            <w:noWrap/>
            <w:vAlign w:val="center"/>
            <w:hideMark/>
          </w:tcPr>
          <w:p w14:paraId="747D5654"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3</w:t>
            </w:r>
          </w:p>
        </w:tc>
        <w:tc>
          <w:tcPr>
            <w:tcW w:w="791" w:type="dxa"/>
            <w:tcBorders>
              <w:top w:val="nil"/>
              <w:left w:val="nil"/>
              <w:bottom w:val="single" w:sz="4" w:space="0" w:color="auto"/>
              <w:right w:val="single" w:sz="4" w:space="0" w:color="auto"/>
            </w:tcBorders>
            <w:shd w:val="clear" w:color="auto" w:fill="auto"/>
            <w:noWrap/>
            <w:vAlign w:val="center"/>
            <w:hideMark/>
          </w:tcPr>
          <w:p w14:paraId="0765BB05"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3</w:t>
            </w:r>
          </w:p>
        </w:tc>
        <w:tc>
          <w:tcPr>
            <w:tcW w:w="791" w:type="dxa"/>
            <w:tcBorders>
              <w:top w:val="nil"/>
              <w:left w:val="nil"/>
              <w:bottom w:val="single" w:sz="4" w:space="0" w:color="auto"/>
              <w:right w:val="single" w:sz="4" w:space="0" w:color="auto"/>
            </w:tcBorders>
            <w:shd w:val="clear" w:color="auto" w:fill="auto"/>
            <w:noWrap/>
            <w:vAlign w:val="center"/>
            <w:hideMark/>
          </w:tcPr>
          <w:p w14:paraId="64C474DF"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w:t>
            </w:r>
          </w:p>
        </w:tc>
        <w:tc>
          <w:tcPr>
            <w:tcW w:w="672" w:type="dxa"/>
            <w:tcBorders>
              <w:top w:val="nil"/>
              <w:left w:val="nil"/>
              <w:bottom w:val="single" w:sz="4" w:space="0" w:color="auto"/>
              <w:right w:val="single" w:sz="4" w:space="0" w:color="auto"/>
            </w:tcBorders>
            <w:shd w:val="clear" w:color="auto" w:fill="auto"/>
            <w:noWrap/>
            <w:vAlign w:val="center"/>
            <w:hideMark/>
          </w:tcPr>
          <w:p w14:paraId="5FC488D8"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5</w:t>
            </w:r>
          </w:p>
        </w:tc>
        <w:tc>
          <w:tcPr>
            <w:tcW w:w="672" w:type="dxa"/>
            <w:tcBorders>
              <w:top w:val="nil"/>
              <w:left w:val="nil"/>
              <w:bottom w:val="single" w:sz="4" w:space="0" w:color="auto"/>
              <w:right w:val="single" w:sz="4" w:space="0" w:color="auto"/>
            </w:tcBorders>
            <w:shd w:val="clear" w:color="auto" w:fill="auto"/>
            <w:noWrap/>
            <w:vAlign w:val="center"/>
            <w:hideMark/>
          </w:tcPr>
          <w:p w14:paraId="11C2ADA6"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12</w:t>
            </w:r>
          </w:p>
        </w:tc>
        <w:tc>
          <w:tcPr>
            <w:tcW w:w="791" w:type="dxa"/>
            <w:tcBorders>
              <w:top w:val="nil"/>
              <w:left w:val="nil"/>
              <w:bottom w:val="single" w:sz="4" w:space="0" w:color="auto"/>
              <w:right w:val="single" w:sz="4" w:space="0" w:color="auto"/>
            </w:tcBorders>
            <w:shd w:val="clear" w:color="auto" w:fill="auto"/>
            <w:vAlign w:val="center"/>
            <w:hideMark/>
          </w:tcPr>
          <w:p w14:paraId="748C7159"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11</w:t>
            </w:r>
          </w:p>
        </w:tc>
      </w:tr>
      <w:tr w:rsidR="00C5422E" w:rsidRPr="005970E9" w14:paraId="5EC5822C" w14:textId="77777777" w:rsidTr="00E11228">
        <w:trPr>
          <w:trHeight w:val="219"/>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4D94F" w14:textId="77777777" w:rsidR="00C5422E" w:rsidRPr="005970E9" w:rsidRDefault="00C5422E" w:rsidP="00E11228">
            <w:pPr>
              <w:rPr>
                <w:rFonts w:eastAsia="Times New Roman"/>
                <w:color w:val="000000"/>
                <w:sz w:val="18"/>
                <w:szCs w:val="18"/>
              </w:rPr>
            </w:pPr>
            <w:r w:rsidRPr="005970E9">
              <w:rPr>
                <w:rFonts w:eastAsia="Times New Roman"/>
                <w:color w:val="000000"/>
                <w:sz w:val="18"/>
                <w:szCs w:val="18"/>
              </w:rPr>
              <w:t>América del Norte</w:t>
            </w:r>
          </w:p>
        </w:tc>
        <w:tc>
          <w:tcPr>
            <w:tcW w:w="910" w:type="dxa"/>
            <w:tcBorders>
              <w:top w:val="nil"/>
              <w:left w:val="nil"/>
              <w:bottom w:val="single" w:sz="4" w:space="0" w:color="auto"/>
              <w:right w:val="single" w:sz="4" w:space="0" w:color="auto"/>
            </w:tcBorders>
            <w:shd w:val="clear" w:color="auto" w:fill="auto"/>
            <w:noWrap/>
            <w:vAlign w:val="center"/>
            <w:hideMark/>
          </w:tcPr>
          <w:p w14:paraId="23F197BF"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35</w:t>
            </w:r>
          </w:p>
        </w:tc>
        <w:tc>
          <w:tcPr>
            <w:tcW w:w="615" w:type="dxa"/>
            <w:tcBorders>
              <w:top w:val="nil"/>
              <w:left w:val="nil"/>
              <w:bottom w:val="single" w:sz="4" w:space="0" w:color="auto"/>
              <w:right w:val="single" w:sz="4" w:space="0" w:color="auto"/>
            </w:tcBorders>
            <w:shd w:val="clear" w:color="auto" w:fill="auto"/>
            <w:vAlign w:val="center"/>
            <w:hideMark/>
          </w:tcPr>
          <w:p w14:paraId="06575162"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30" w:type="dxa"/>
            <w:tcBorders>
              <w:top w:val="nil"/>
              <w:left w:val="nil"/>
              <w:bottom w:val="single" w:sz="4" w:space="0" w:color="auto"/>
              <w:right w:val="single" w:sz="4" w:space="0" w:color="auto"/>
            </w:tcBorders>
            <w:shd w:val="clear" w:color="auto" w:fill="auto"/>
            <w:noWrap/>
            <w:vAlign w:val="center"/>
            <w:hideMark/>
          </w:tcPr>
          <w:p w14:paraId="5ED9CBA8"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13</w:t>
            </w:r>
          </w:p>
        </w:tc>
        <w:tc>
          <w:tcPr>
            <w:tcW w:w="672" w:type="dxa"/>
            <w:tcBorders>
              <w:top w:val="nil"/>
              <w:left w:val="nil"/>
              <w:bottom w:val="single" w:sz="4" w:space="0" w:color="auto"/>
              <w:right w:val="single" w:sz="4" w:space="0" w:color="auto"/>
            </w:tcBorders>
            <w:shd w:val="clear" w:color="auto" w:fill="auto"/>
            <w:vAlign w:val="center"/>
            <w:hideMark/>
          </w:tcPr>
          <w:p w14:paraId="6466C891"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72" w:type="dxa"/>
            <w:tcBorders>
              <w:top w:val="nil"/>
              <w:left w:val="nil"/>
              <w:bottom w:val="single" w:sz="4" w:space="0" w:color="auto"/>
              <w:right w:val="single" w:sz="4" w:space="0" w:color="auto"/>
            </w:tcBorders>
            <w:shd w:val="clear" w:color="auto" w:fill="auto"/>
            <w:noWrap/>
            <w:vAlign w:val="center"/>
            <w:hideMark/>
          </w:tcPr>
          <w:p w14:paraId="56294907"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3</w:t>
            </w:r>
          </w:p>
        </w:tc>
        <w:tc>
          <w:tcPr>
            <w:tcW w:w="672" w:type="dxa"/>
            <w:tcBorders>
              <w:top w:val="nil"/>
              <w:left w:val="nil"/>
              <w:bottom w:val="single" w:sz="4" w:space="0" w:color="auto"/>
              <w:right w:val="single" w:sz="4" w:space="0" w:color="auto"/>
            </w:tcBorders>
            <w:shd w:val="clear" w:color="auto" w:fill="auto"/>
            <w:noWrap/>
            <w:vAlign w:val="center"/>
            <w:hideMark/>
          </w:tcPr>
          <w:p w14:paraId="08E37008"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4</w:t>
            </w:r>
          </w:p>
        </w:tc>
        <w:tc>
          <w:tcPr>
            <w:tcW w:w="791" w:type="dxa"/>
            <w:tcBorders>
              <w:top w:val="nil"/>
              <w:left w:val="nil"/>
              <w:bottom w:val="single" w:sz="4" w:space="0" w:color="auto"/>
              <w:right w:val="single" w:sz="4" w:space="0" w:color="auto"/>
            </w:tcBorders>
            <w:shd w:val="clear" w:color="auto" w:fill="auto"/>
            <w:noWrap/>
            <w:vAlign w:val="center"/>
            <w:hideMark/>
          </w:tcPr>
          <w:p w14:paraId="184D9842"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3</w:t>
            </w:r>
          </w:p>
        </w:tc>
        <w:tc>
          <w:tcPr>
            <w:tcW w:w="791" w:type="dxa"/>
            <w:tcBorders>
              <w:top w:val="nil"/>
              <w:left w:val="nil"/>
              <w:bottom w:val="single" w:sz="4" w:space="0" w:color="auto"/>
              <w:right w:val="single" w:sz="4" w:space="0" w:color="auto"/>
            </w:tcBorders>
            <w:shd w:val="clear" w:color="auto" w:fill="auto"/>
            <w:noWrap/>
            <w:vAlign w:val="center"/>
            <w:hideMark/>
          </w:tcPr>
          <w:p w14:paraId="73D6DC0A"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3</w:t>
            </w:r>
          </w:p>
        </w:tc>
        <w:tc>
          <w:tcPr>
            <w:tcW w:w="672" w:type="dxa"/>
            <w:tcBorders>
              <w:top w:val="nil"/>
              <w:left w:val="nil"/>
              <w:bottom w:val="single" w:sz="4" w:space="0" w:color="auto"/>
              <w:right w:val="single" w:sz="4" w:space="0" w:color="auto"/>
            </w:tcBorders>
            <w:shd w:val="clear" w:color="auto" w:fill="auto"/>
            <w:noWrap/>
            <w:vAlign w:val="center"/>
            <w:hideMark/>
          </w:tcPr>
          <w:p w14:paraId="14C45117"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5</w:t>
            </w:r>
          </w:p>
        </w:tc>
        <w:tc>
          <w:tcPr>
            <w:tcW w:w="672" w:type="dxa"/>
            <w:tcBorders>
              <w:top w:val="nil"/>
              <w:left w:val="nil"/>
              <w:bottom w:val="single" w:sz="4" w:space="0" w:color="auto"/>
              <w:right w:val="single" w:sz="4" w:space="0" w:color="auto"/>
            </w:tcBorders>
            <w:shd w:val="clear" w:color="auto" w:fill="auto"/>
            <w:noWrap/>
            <w:vAlign w:val="center"/>
            <w:hideMark/>
          </w:tcPr>
          <w:p w14:paraId="4A6790BC"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3</w:t>
            </w:r>
          </w:p>
        </w:tc>
        <w:tc>
          <w:tcPr>
            <w:tcW w:w="791" w:type="dxa"/>
            <w:tcBorders>
              <w:top w:val="nil"/>
              <w:left w:val="nil"/>
              <w:bottom w:val="single" w:sz="4" w:space="0" w:color="auto"/>
              <w:right w:val="single" w:sz="4" w:space="0" w:color="auto"/>
            </w:tcBorders>
            <w:shd w:val="clear" w:color="auto" w:fill="auto"/>
            <w:vAlign w:val="center"/>
            <w:hideMark/>
          </w:tcPr>
          <w:p w14:paraId="02284AAD"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w:t>
            </w:r>
          </w:p>
        </w:tc>
      </w:tr>
      <w:tr w:rsidR="00C5422E" w:rsidRPr="005970E9" w14:paraId="7A37C15E" w14:textId="77777777" w:rsidTr="00E11228">
        <w:trPr>
          <w:trHeight w:val="219"/>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FBC15" w14:textId="77777777" w:rsidR="00C5422E" w:rsidRPr="005970E9" w:rsidRDefault="00C5422E" w:rsidP="00E11228">
            <w:pPr>
              <w:rPr>
                <w:rFonts w:eastAsia="Times New Roman"/>
                <w:color w:val="000000"/>
                <w:sz w:val="18"/>
                <w:szCs w:val="18"/>
              </w:rPr>
            </w:pPr>
            <w:r w:rsidRPr="005970E9">
              <w:rPr>
                <w:rFonts w:eastAsia="Times New Roman"/>
                <w:color w:val="000000"/>
                <w:sz w:val="18"/>
                <w:szCs w:val="18"/>
              </w:rPr>
              <w:t>Europa</w:t>
            </w:r>
          </w:p>
        </w:tc>
        <w:tc>
          <w:tcPr>
            <w:tcW w:w="910" w:type="dxa"/>
            <w:tcBorders>
              <w:top w:val="nil"/>
              <w:left w:val="nil"/>
              <w:bottom w:val="single" w:sz="4" w:space="0" w:color="auto"/>
              <w:right w:val="single" w:sz="4" w:space="0" w:color="auto"/>
            </w:tcBorders>
            <w:shd w:val="clear" w:color="auto" w:fill="auto"/>
            <w:noWrap/>
            <w:vAlign w:val="center"/>
            <w:hideMark/>
          </w:tcPr>
          <w:p w14:paraId="0E7F6A44"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27</w:t>
            </w:r>
          </w:p>
        </w:tc>
        <w:tc>
          <w:tcPr>
            <w:tcW w:w="615" w:type="dxa"/>
            <w:tcBorders>
              <w:top w:val="nil"/>
              <w:left w:val="nil"/>
              <w:bottom w:val="single" w:sz="4" w:space="0" w:color="auto"/>
              <w:right w:val="single" w:sz="4" w:space="0" w:color="auto"/>
            </w:tcBorders>
            <w:shd w:val="clear" w:color="auto" w:fill="auto"/>
            <w:vAlign w:val="center"/>
            <w:hideMark/>
          </w:tcPr>
          <w:p w14:paraId="491C771D"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30" w:type="dxa"/>
            <w:tcBorders>
              <w:top w:val="nil"/>
              <w:left w:val="nil"/>
              <w:bottom w:val="single" w:sz="4" w:space="0" w:color="auto"/>
              <w:right w:val="single" w:sz="4" w:space="0" w:color="auto"/>
            </w:tcBorders>
            <w:shd w:val="clear" w:color="auto" w:fill="auto"/>
            <w:vAlign w:val="center"/>
            <w:hideMark/>
          </w:tcPr>
          <w:p w14:paraId="64126727"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72" w:type="dxa"/>
            <w:tcBorders>
              <w:top w:val="nil"/>
              <w:left w:val="nil"/>
              <w:bottom w:val="single" w:sz="4" w:space="0" w:color="auto"/>
              <w:right w:val="single" w:sz="4" w:space="0" w:color="auto"/>
            </w:tcBorders>
            <w:shd w:val="clear" w:color="auto" w:fill="auto"/>
            <w:vAlign w:val="center"/>
            <w:hideMark/>
          </w:tcPr>
          <w:p w14:paraId="310C3848"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72" w:type="dxa"/>
            <w:tcBorders>
              <w:top w:val="nil"/>
              <w:left w:val="nil"/>
              <w:bottom w:val="single" w:sz="4" w:space="0" w:color="auto"/>
              <w:right w:val="single" w:sz="4" w:space="0" w:color="auto"/>
            </w:tcBorders>
            <w:shd w:val="clear" w:color="auto" w:fill="auto"/>
            <w:noWrap/>
            <w:vAlign w:val="center"/>
            <w:hideMark/>
          </w:tcPr>
          <w:p w14:paraId="3CD7F853"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w:t>
            </w:r>
          </w:p>
        </w:tc>
        <w:tc>
          <w:tcPr>
            <w:tcW w:w="672" w:type="dxa"/>
            <w:tcBorders>
              <w:top w:val="nil"/>
              <w:left w:val="nil"/>
              <w:bottom w:val="single" w:sz="4" w:space="0" w:color="auto"/>
              <w:right w:val="single" w:sz="4" w:space="0" w:color="auto"/>
            </w:tcBorders>
            <w:shd w:val="clear" w:color="auto" w:fill="auto"/>
            <w:vAlign w:val="center"/>
            <w:hideMark/>
          </w:tcPr>
          <w:p w14:paraId="445E5DA5"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791" w:type="dxa"/>
            <w:tcBorders>
              <w:top w:val="nil"/>
              <w:left w:val="nil"/>
              <w:bottom w:val="single" w:sz="4" w:space="0" w:color="auto"/>
              <w:right w:val="single" w:sz="4" w:space="0" w:color="auto"/>
            </w:tcBorders>
            <w:shd w:val="clear" w:color="auto" w:fill="auto"/>
            <w:noWrap/>
            <w:vAlign w:val="center"/>
            <w:hideMark/>
          </w:tcPr>
          <w:p w14:paraId="733B6672"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w:t>
            </w:r>
          </w:p>
        </w:tc>
        <w:tc>
          <w:tcPr>
            <w:tcW w:w="791" w:type="dxa"/>
            <w:tcBorders>
              <w:top w:val="nil"/>
              <w:left w:val="nil"/>
              <w:bottom w:val="single" w:sz="4" w:space="0" w:color="auto"/>
              <w:right w:val="single" w:sz="4" w:space="0" w:color="auto"/>
            </w:tcBorders>
            <w:shd w:val="clear" w:color="auto" w:fill="auto"/>
            <w:noWrap/>
            <w:vAlign w:val="center"/>
            <w:hideMark/>
          </w:tcPr>
          <w:p w14:paraId="48D605A5"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11</w:t>
            </w:r>
          </w:p>
        </w:tc>
        <w:tc>
          <w:tcPr>
            <w:tcW w:w="672" w:type="dxa"/>
            <w:tcBorders>
              <w:top w:val="nil"/>
              <w:left w:val="nil"/>
              <w:bottom w:val="single" w:sz="4" w:space="0" w:color="auto"/>
              <w:right w:val="single" w:sz="4" w:space="0" w:color="auto"/>
            </w:tcBorders>
            <w:shd w:val="clear" w:color="auto" w:fill="auto"/>
            <w:noWrap/>
            <w:vAlign w:val="center"/>
            <w:hideMark/>
          </w:tcPr>
          <w:p w14:paraId="55A369E0"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12</w:t>
            </w:r>
          </w:p>
        </w:tc>
        <w:tc>
          <w:tcPr>
            <w:tcW w:w="672" w:type="dxa"/>
            <w:tcBorders>
              <w:top w:val="nil"/>
              <w:left w:val="nil"/>
              <w:bottom w:val="single" w:sz="4" w:space="0" w:color="auto"/>
              <w:right w:val="single" w:sz="4" w:space="0" w:color="auto"/>
            </w:tcBorders>
            <w:shd w:val="clear" w:color="auto" w:fill="auto"/>
            <w:noWrap/>
            <w:vAlign w:val="center"/>
            <w:hideMark/>
          </w:tcPr>
          <w:p w14:paraId="79219588"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w:t>
            </w:r>
          </w:p>
        </w:tc>
        <w:tc>
          <w:tcPr>
            <w:tcW w:w="791" w:type="dxa"/>
            <w:tcBorders>
              <w:top w:val="nil"/>
              <w:left w:val="nil"/>
              <w:bottom w:val="single" w:sz="4" w:space="0" w:color="auto"/>
              <w:right w:val="single" w:sz="4" w:space="0" w:color="auto"/>
            </w:tcBorders>
            <w:shd w:val="clear" w:color="auto" w:fill="auto"/>
            <w:vAlign w:val="center"/>
            <w:hideMark/>
          </w:tcPr>
          <w:p w14:paraId="18727679"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1</w:t>
            </w:r>
          </w:p>
        </w:tc>
      </w:tr>
      <w:tr w:rsidR="00C5422E" w:rsidRPr="005970E9" w14:paraId="74FAF7C6" w14:textId="77777777" w:rsidTr="00E11228">
        <w:trPr>
          <w:trHeight w:val="219"/>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222F1" w14:textId="77777777" w:rsidR="00C5422E" w:rsidRPr="005970E9" w:rsidRDefault="00C5422E" w:rsidP="00E11228">
            <w:pPr>
              <w:rPr>
                <w:rFonts w:eastAsia="Times New Roman"/>
                <w:color w:val="000000"/>
                <w:sz w:val="18"/>
                <w:szCs w:val="18"/>
              </w:rPr>
            </w:pPr>
            <w:r w:rsidRPr="005970E9">
              <w:rPr>
                <w:rFonts w:eastAsia="Times New Roman"/>
                <w:color w:val="000000"/>
                <w:sz w:val="18"/>
                <w:szCs w:val="18"/>
              </w:rPr>
              <w:t>Otras</w:t>
            </w:r>
          </w:p>
        </w:tc>
        <w:tc>
          <w:tcPr>
            <w:tcW w:w="910" w:type="dxa"/>
            <w:tcBorders>
              <w:top w:val="nil"/>
              <w:left w:val="nil"/>
              <w:bottom w:val="nil"/>
              <w:right w:val="single" w:sz="4" w:space="0" w:color="auto"/>
            </w:tcBorders>
            <w:shd w:val="clear" w:color="auto" w:fill="auto"/>
            <w:noWrap/>
            <w:vAlign w:val="center"/>
            <w:hideMark/>
          </w:tcPr>
          <w:p w14:paraId="150351B1"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2</w:t>
            </w:r>
          </w:p>
        </w:tc>
        <w:tc>
          <w:tcPr>
            <w:tcW w:w="615" w:type="dxa"/>
            <w:tcBorders>
              <w:top w:val="nil"/>
              <w:left w:val="nil"/>
              <w:bottom w:val="nil"/>
              <w:right w:val="single" w:sz="4" w:space="0" w:color="auto"/>
            </w:tcBorders>
            <w:shd w:val="clear" w:color="auto" w:fill="auto"/>
            <w:vAlign w:val="center"/>
            <w:hideMark/>
          </w:tcPr>
          <w:p w14:paraId="3B61BA7C"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30" w:type="dxa"/>
            <w:tcBorders>
              <w:top w:val="nil"/>
              <w:left w:val="nil"/>
              <w:bottom w:val="nil"/>
              <w:right w:val="single" w:sz="4" w:space="0" w:color="auto"/>
            </w:tcBorders>
            <w:shd w:val="clear" w:color="auto" w:fill="auto"/>
            <w:vAlign w:val="center"/>
            <w:hideMark/>
          </w:tcPr>
          <w:p w14:paraId="2F3BEFF4"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72" w:type="dxa"/>
            <w:tcBorders>
              <w:top w:val="nil"/>
              <w:left w:val="nil"/>
              <w:bottom w:val="nil"/>
              <w:right w:val="single" w:sz="4" w:space="0" w:color="auto"/>
            </w:tcBorders>
            <w:shd w:val="clear" w:color="auto" w:fill="auto"/>
            <w:vAlign w:val="center"/>
            <w:hideMark/>
          </w:tcPr>
          <w:p w14:paraId="2971335E"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72" w:type="dxa"/>
            <w:tcBorders>
              <w:top w:val="nil"/>
              <w:left w:val="nil"/>
              <w:bottom w:val="nil"/>
              <w:right w:val="single" w:sz="4" w:space="0" w:color="auto"/>
            </w:tcBorders>
            <w:shd w:val="clear" w:color="auto" w:fill="auto"/>
            <w:vAlign w:val="center"/>
            <w:hideMark/>
          </w:tcPr>
          <w:p w14:paraId="76CC5AD0"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72" w:type="dxa"/>
            <w:tcBorders>
              <w:top w:val="nil"/>
              <w:left w:val="nil"/>
              <w:bottom w:val="nil"/>
              <w:right w:val="single" w:sz="4" w:space="0" w:color="auto"/>
            </w:tcBorders>
            <w:shd w:val="clear" w:color="auto" w:fill="auto"/>
            <w:vAlign w:val="center"/>
            <w:hideMark/>
          </w:tcPr>
          <w:p w14:paraId="18C4CA36"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791" w:type="dxa"/>
            <w:tcBorders>
              <w:top w:val="nil"/>
              <w:left w:val="nil"/>
              <w:bottom w:val="nil"/>
              <w:right w:val="single" w:sz="4" w:space="0" w:color="auto"/>
            </w:tcBorders>
            <w:shd w:val="clear" w:color="auto" w:fill="auto"/>
            <w:vAlign w:val="center"/>
            <w:hideMark/>
          </w:tcPr>
          <w:p w14:paraId="508E3BC7"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791" w:type="dxa"/>
            <w:tcBorders>
              <w:top w:val="nil"/>
              <w:left w:val="nil"/>
              <w:bottom w:val="nil"/>
              <w:right w:val="single" w:sz="4" w:space="0" w:color="auto"/>
            </w:tcBorders>
            <w:shd w:val="clear" w:color="auto" w:fill="auto"/>
            <w:vAlign w:val="center"/>
            <w:hideMark/>
          </w:tcPr>
          <w:p w14:paraId="7B982A0A"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72" w:type="dxa"/>
            <w:tcBorders>
              <w:top w:val="nil"/>
              <w:left w:val="nil"/>
              <w:bottom w:val="nil"/>
              <w:right w:val="single" w:sz="4" w:space="0" w:color="auto"/>
            </w:tcBorders>
            <w:shd w:val="clear" w:color="auto" w:fill="auto"/>
            <w:vAlign w:val="center"/>
            <w:hideMark/>
          </w:tcPr>
          <w:p w14:paraId="1791BF4A"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w:t>
            </w:r>
          </w:p>
        </w:tc>
        <w:tc>
          <w:tcPr>
            <w:tcW w:w="672" w:type="dxa"/>
            <w:tcBorders>
              <w:top w:val="nil"/>
              <w:left w:val="nil"/>
              <w:bottom w:val="nil"/>
              <w:right w:val="single" w:sz="4" w:space="0" w:color="auto"/>
            </w:tcBorders>
            <w:shd w:val="clear" w:color="auto" w:fill="auto"/>
            <w:noWrap/>
            <w:vAlign w:val="center"/>
            <w:hideMark/>
          </w:tcPr>
          <w:p w14:paraId="4D6444E3"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2</w:t>
            </w:r>
          </w:p>
        </w:tc>
        <w:tc>
          <w:tcPr>
            <w:tcW w:w="791" w:type="dxa"/>
            <w:tcBorders>
              <w:top w:val="nil"/>
              <w:left w:val="nil"/>
              <w:bottom w:val="nil"/>
              <w:right w:val="single" w:sz="4" w:space="0" w:color="auto"/>
            </w:tcBorders>
            <w:shd w:val="clear" w:color="auto" w:fill="auto"/>
            <w:vAlign w:val="center"/>
            <w:hideMark/>
          </w:tcPr>
          <w:p w14:paraId="1AB38B7D" w14:textId="77777777" w:rsidR="00C5422E" w:rsidRPr="005970E9" w:rsidRDefault="00C5422E" w:rsidP="00E11228">
            <w:pPr>
              <w:jc w:val="right"/>
              <w:rPr>
                <w:rFonts w:eastAsia="Times New Roman"/>
                <w:color w:val="000000"/>
                <w:sz w:val="18"/>
                <w:szCs w:val="18"/>
              </w:rPr>
            </w:pPr>
            <w:r w:rsidRPr="005970E9">
              <w:rPr>
                <w:rFonts w:eastAsia="Times New Roman"/>
                <w:color w:val="000000"/>
                <w:sz w:val="18"/>
                <w:szCs w:val="18"/>
              </w:rPr>
              <w:t> </w:t>
            </w:r>
          </w:p>
        </w:tc>
      </w:tr>
      <w:tr w:rsidR="00C5422E" w:rsidRPr="005970E9" w14:paraId="382584D3" w14:textId="77777777" w:rsidTr="00E11228">
        <w:trPr>
          <w:trHeight w:val="219"/>
        </w:trPr>
        <w:tc>
          <w:tcPr>
            <w:tcW w:w="882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B005E10" w14:textId="77777777" w:rsidR="00C5422E" w:rsidRPr="005970E9" w:rsidRDefault="00C5422E" w:rsidP="00E11228">
            <w:pPr>
              <w:rPr>
                <w:rFonts w:eastAsia="Times New Roman"/>
                <w:color w:val="000000"/>
                <w:sz w:val="18"/>
                <w:szCs w:val="18"/>
              </w:rPr>
            </w:pPr>
            <w:r w:rsidRPr="005970E9">
              <w:rPr>
                <w:rFonts w:eastAsia="Times New Roman"/>
                <w:color w:val="000000"/>
                <w:sz w:val="18"/>
                <w:szCs w:val="18"/>
              </w:rPr>
              <w:t>Fuente. Servicio Nacional de Migración.</w:t>
            </w:r>
          </w:p>
        </w:tc>
      </w:tr>
    </w:tbl>
    <w:p w14:paraId="7B574EAF" w14:textId="6079E55C" w:rsidR="00874B25" w:rsidRPr="005970E9" w:rsidRDefault="00874B25" w:rsidP="00195AA3">
      <w:pPr>
        <w:spacing w:before="120" w:after="120" w:line="276" w:lineRule="auto"/>
        <w:jc w:val="both"/>
      </w:pPr>
      <w:r w:rsidRPr="005970E9">
        <w:t xml:space="preserve">Los flujos migratorios por canales irregulares e inseguros se incrementaron según cifras de la Dirección Nacional de Migración. La mayoría de las personas que utilizan estos canales irregulares provienen de África, Asia, y el Caribe, para ellos Suramérica y América Central son regiones de tránsito. </w:t>
      </w:r>
    </w:p>
    <w:p w14:paraId="459B9E27" w14:textId="500BADB4" w:rsidR="00874B25" w:rsidRPr="005970E9" w:rsidRDefault="00874B25" w:rsidP="0044600D">
      <w:pPr>
        <w:spacing w:before="120" w:line="276" w:lineRule="auto"/>
        <w:jc w:val="both"/>
      </w:pPr>
      <w:r w:rsidRPr="005970E9">
        <w:t>En los años 2015 y 2016 se incrementó el número de migrantes por la frontera Este del país, por la provincia de Darién “a mediados del año 2015, Panamá, país históricamente de tránsito para los migrantes en condición irregular, experimenta un aumento considerable de flujos migratorios mixtos, continentales y extracontinentales, que ingresan al país por la frontera con Colombia en tránsito hacia el norte del continente. Así, para el año 2015, un estimado de casi 35.000 migrantes pasaron por la frontera, mientras que para el año 2016 se contó con un flujo aproximado de 24.649 migrantes.”</w:t>
      </w:r>
      <w:r w:rsidRPr="005970E9">
        <w:rPr>
          <w:rStyle w:val="FootnoteReference"/>
        </w:rPr>
        <w:footnoteReference w:id="57"/>
      </w:r>
    </w:p>
    <w:p w14:paraId="32D1423E" w14:textId="1A48E547" w:rsidR="00817CEF" w:rsidRPr="005970E9" w:rsidRDefault="0044600D" w:rsidP="0044600D">
      <w:pPr>
        <w:spacing w:before="120" w:line="276" w:lineRule="auto"/>
        <w:jc w:val="both"/>
        <w:rPr>
          <w:sz w:val="24"/>
          <w:szCs w:val="24"/>
        </w:rPr>
      </w:pPr>
      <w:r w:rsidRPr="005970E9">
        <w:t xml:space="preserve">Esta situación que se vive en la frontera por la provincia de </w:t>
      </w:r>
      <w:r w:rsidR="00F2876C" w:rsidRPr="005970E9">
        <w:t>Darién</w:t>
      </w:r>
      <w:r w:rsidRPr="005970E9">
        <w:t xml:space="preserve"> es compleja, en especial, por la gran cantidad de personas provenientes de varias partes del mundo, quienes presentan una serie de necesidades de urgente atención. En los últimos años, también, se observa una mayor cantidad de mujeres migrantes, algunas embarazadas o con familias enteras</w:t>
      </w:r>
      <w:r w:rsidRPr="005970E9">
        <w:rPr>
          <w:sz w:val="24"/>
          <w:szCs w:val="24"/>
        </w:rPr>
        <w:t>.</w:t>
      </w:r>
    </w:p>
    <w:p w14:paraId="6EE9701E" w14:textId="35931903" w:rsidR="00874B25" w:rsidRPr="005970E9" w:rsidRDefault="00874B25" w:rsidP="00195AA3">
      <w:pPr>
        <w:spacing w:before="120" w:after="120" w:line="276" w:lineRule="auto"/>
        <w:jc w:val="both"/>
        <w:rPr>
          <w:sz w:val="24"/>
          <w:szCs w:val="24"/>
        </w:rPr>
      </w:pPr>
      <w:r w:rsidRPr="005970E9">
        <w:rPr>
          <w:sz w:val="24"/>
          <w:szCs w:val="24"/>
        </w:rPr>
        <w:t>“</w:t>
      </w:r>
      <w:r w:rsidRPr="005970E9">
        <w:rPr>
          <w:i/>
          <w:iCs/>
          <w:sz w:val="24"/>
          <w:szCs w:val="24"/>
        </w:rPr>
        <w:t>La situación es compleja, cientos de personas incluidas mujeres, mujeres embarazadas, personas menores de edad que viajan con sus padres, o también separados y no acompañados, ingresan al país cada día en condiciones precarias debido a la deshidratación, infecciones de la piel, afectaciones gastrointestinales, enfermedades respiratorias, entre otras, adquiridas durante el difícil recorrido por la selva</w:t>
      </w:r>
      <w:r w:rsidRPr="005970E9">
        <w:rPr>
          <w:sz w:val="24"/>
          <w:szCs w:val="24"/>
        </w:rPr>
        <w:t>”</w:t>
      </w:r>
      <w:r w:rsidRPr="005970E9">
        <w:rPr>
          <w:rStyle w:val="FootnoteReference"/>
          <w:sz w:val="24"/>
          <w:szCs w:val="24"/>
        </w:rPr>
        <w:footnoteReference w:id="58"/>
      </w:r>
      <w:r w:rsidRPr="005970E9">
        <w:rPr>
          <w:sz w:val="24"/>
          <w:szCs w:val="24"/>
        </w:rPr>
        <w:t xml:space="preserve">. Esta grave situación ha llevado al gobierno panameño a gestionar albergues temporales para migrantes irregulares que entran por la frontera en Darién, de manera que se les pueda brindar un lugar donde cubrir las necesidades más apremiantes durante su recurrido por Panamá. </w:t>
      </w:r>
    </w:p>
    <w:p w14:paraId="0C7F2B6F" w14:textId="7F1915BB" w:rsidR="00874B25" w:rsidRPr="005970E9" w:rsidRDefault="00874B25" w:rsidP="00195AA3">
      <w:pPr>
        <w:spacing w:before="120" w:after="120" w:line="276" w:lineRule="auto"/>
        <w:jc w:val="both"/>
        <w:rPr>
          <w:sz w:val="24"/>
          <w:szCs w:val="24"/>
        </w:rPr>
      </w:pPr>
      <w:r w:rsidRPr="005970E9">
        <w:rPr>
          <w:sz w:val="24"/>
          <w:szCs w:val="24"/>
        </w:rPr>
        <w:t xml:space="preserve">De 2015 a 2019 son los años más críticos, en el año 2015 hubo 29,289 migrantes que cruzaron la frontera por Darién, el año 2016 fueron 30,055 y en 2019 lo hicieron 23,968 migrantes. La relación por sexo de quienes cruzaron </w:t>
      </w:r>
      <w:r w:rsidRPr="005970E9">
        <w:rPr>
          <w:sz w:val="24"/>
          <w:szCs w:val="24"/>
        </w:rPr>
        <w:lastRenderedPageBreak/>
        <w:t>irregularmente la frontera internacional entre Colombia y Panamá en 2019</w:t>
      </w:r>
      <w:r w:rsidRPr="005970E9">
        <w:rPr>
          <w:rStyle w:val="FootnoteReference"/>
          <w:sz w:val="24"/>
          <w:szCs w:val="24"/>
        </w:rPr>
        <w:footnoteReference w:id="59"/>
      </w:r>
      <w:r w:rsidRPr="005970E9">
        <w:rPr>
          <w:sz w:val="24"/>
          <w:szCs w:val="24"/>
        </w:rPr>
        <w:t xml:space="preserve"> cuenta 15,095 hombres</w:t>
      </w:r>
      <w:r w:rsidR="00C2132B" w:rsidRPr="005970E9">
        <w:rPr>
          <w:sz w:val="24"/>
          <w:szCs w:val="24"/>
        </w:rPr>
        <w:t xml:space="preserve"> (62.97%)</w:t>
      </w:r>
      <w:r w:rsidRPr="005970E9">
        <w:rPr>
          <w:sz w:val="24"/>
          <w:szCs w:val="24"/>
        </w:rPr>
        <w:t xml:space="preserve"> y 8,873 </w:t>
      </w:r>
      <w:r w:rsidR="00C2132B" w:rsidRPr="005970E9">
        <w:rPr>
          <w:sz w:val="24"/>
          <w:szCs w:val="24"/>
        </w:rPr>
        <w:t xml:space="preserve">(37.02%) </w:t>
      </w:r>
      <w:r w:rsidRPr="005970E9">
        <w:rPr>
          <w:sz w:val="24"/>
          <w:szCs w:val="24"/>
        </w:rPr>
        <w:t>mujeres, la población menor de edad fue de 3,956 niños/as</w:t>
      </w:r>
      <w:r w:rsidR="00C2132B" w:rsidRPr="005970E9">
        <w:rPr>
          <w:sz w:val="24"/>
          <w:szCs w:val="24"/>
        </w:rPr>
        <w:t xml:space="preserve"> entre el total de migrantes representan el (16.5%)</w:t>
      </w:r>
      <w:r w:rsidRPr="005970E9">
        <w:rPr>
          <w:sz w:val="24"/>
          <w:szCs w:val="24"/>
        </w:rPr>
        <w:t xml:space="preserve">. </w:t>
      </w:r>
    </w:p>
    <w:p w14:paraId="451622D3" w14:textId="58874D3C" w:rsidR="002B65F8" w:rsidRPr="005970E9" w:rsidRDefault="002B65F8" w:rsidP="0044600D">
      <w:pPr>
        <w:spacing w:before="120" w:after="120" w:line="276" w:lineRule="auto"/>
        <w:jc w:val="both"/>
        <w:rPr>
          <w:sz w:val="20"/>
          <w:szCs w:val="20"/>
        </w:rPr>
      </w:pPr>
      <w:r w:rsidRPr="005970E9">
        <w:rPr>
          <w:noProof/>
          <w:sz w:val="20"/>
          <w:szCs w:val="20"/>
        </w:rPr>
        <mc:AlternateContent>
          <mc:Choice Requires="wps">
            <w:drawing>
              <wp:anchor distT="45720" distB="45720" distL="114300" distR="114300" simplePos="0" relativeHeight="251792425" behindDoc="0" locked="0" layoutInCell="1" allowOverlap="1" wp14:anchorId="465D4DED" wp14:editId="630D1686">
                <wp:simplePos x="0" y="0"/>
                <wp:positionH relativeFrom="column">
                  <wp:posOffset>57150</wp:posOffset>
                </wp:positionH>
                <wp:positionV relativeFrom="paragraph">
                  <wp:posOffset>14605</wp:posOffset>
                </wp:positionV>
                <wp:extent cx="3140075" cy="1404620"/>
                <wp:effectExtent l="0" t="0" r="22225" b="1333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1404620"/>
                        </a:xfrm>
                        <a:prstGeom prst="rect">
                          <a:avLst/>
                        </a:prstGeom>
                        <a:solidFill>
                          <a:srgbClr val="FFFFFF"/>
                        </a:solidFill>
                        <a:ln w="9525">
                          <a:solidFill>
                            <a:srgbClr val="000000"/>
                          </a:solidFill>
                          <a:miter lim="800000"/>
                          <a:headEnd/>
                          <a:tailEnd/>
                        </a:ln>
                      </wps:spPr>
                      <wps:txbx>
                        <w:txbxContent>
                          <w:p w14:paraId="0E6C0733" w14:textId="26C05495" w:rsidR="00DC0EAB" w:rsidRDefault="00DC0EAB">
                            <w:bookmarkStart w:id="264" w:name="_Toc42549266"/>
                            <w:r w:rsidRPr="005117E0">
                              <w:rPr>
                                <w:sz w:val="20"/>
                                <w:szCs w:val="20"/>
                              </w:rPr>
                              <w:t xml:space="preserve">Gráfica </w:t>
                            </w:r>
                            <w:r>
                              <w:rPr>
                                <w:sz w:val="20"/>
                                <w:szCs w:val="20"/>
                              </w:rPr>
                              <w:fldChar w:fldCharType="begin"/>
                            </w:r>
                            <w:r>
                              <w:rPr>
                                <w:sz w:val="20"/>
                                <w:szCs w:val="20"/>
                              </w:rPr>
                              <w:instrText xml:space="preserve"> SEQ Gráfica \* ARABIC </w:instrText>
                            </w:r>
                            <w:r>
                              <w:rPr>
                                <w:sz w:val="20"/>
                                <w:szCs w:val="20"/>
                              </w:rPr>
                              <w:fldChar w:fldCharType="separate"/>
                            </w:r>
                            <w:r>
                              <w:rPr>
                                <w:noProof/>
                                <w:sz w:val="20"/>
                                <w:szCs w:val="20"/>
                              </w:rPr>
                              <w:t>34</w:t>
                            </w:r>
                            <w:r>
                              <w:rPr>
                                <w:sz w:val="20"/>
                                <w:szCs w:val="20"/>
                              </w:rPr>
                              <w:fldChar w:fldCharType="end"/>
                            </w:r>
                            <w:r w:rsidRPr="005117E0">
                              <w:rPr>
                                <w:sz w:val="20"/>
                                <w:szCs w:val="20"/>
                              </w:rPr>
                              <w:t>. Tránsito irregular de extranjeros por la frontera con Colombia según sexo año 2019</w:t>
                            </w:r>
                            <w:bookmarkEnd w:id="26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5D4DED" id="_x0000_s1035" type="#_x0000_t202" style="position:absolute;left:0;text-align:left;margin-left:4.5pt;margin-top:1.15pt;width:247.25pt;height:110.6pt;z-index:2517924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">
                <v:textbox style="mso-fit-shape-to-text:t">
                  <w:txbxContent>
                    <w:p w14:paraId="0E6C0733" w14:textId="26C05495" w:rsidR="00DC0EAB" w:rsidRDefault="00DC0EAB">
                      <w:bookmarkStart w:id="265" w:name="_Toc42549266"/>
                      <w:r w:rsidRPr="005117E0">
                        <w:rPr>
                          <w:sz w:val="20"/>
                          <w:szCs w:val="20"/>
                        </w:rPr>
                        <w:t xml:space="preserve">Gráfica </w:t>
                      </w:r>
                      <w:r>
                        <w:rPr>
                          <w:sz w:val="20"/>
                          <w:szCs w:val="20"/>
                        </w:rPr>
                        <w:fldChar w:fldCharType="begin"/>
                      </w:r>
                      <w:r>
                        <w:rPr>
                          <w:sz w:val="20"/>
                          <w:szCs w:val="20"/>
                        </w:rPr>
                        <w:instrText xml:space="preserve"> SEQ Gráfica \* ARABIC </w:instrText>
                      </w:r>
                      <w:r>
                        <w:rPr>
                          <w:sz w:val="20"/>
                          <w:szCs w:val="20"/>
                        </w:rPr>
                        <w:fldChar w:fldCharType="separate"/>
                      </w:r>
                      <w:r>
                        <w:rPr>
                          <w:noProof/>
                          <w:sz w:val="20"/>
                          <w:szCs w:val="20"/>
                        </w:rPr>
                        <w:t>34</w:t>
                      </w:r>
                      <w:r>
                        <w:rPr>
                          <w:sz w:val="20"/>
                          <w:szCs w:val="20"/>
                        </w:rPr>
                        <w:fldChar w:fldCharType="end"/>
                      </w:r>
                      <w:r w:rsidRPr="005117E0">
                        <w:rPr>
                          <w:sz w:val="20"/>
                          <w:szCs w:val="20"/>
                        </w:rPr>
                        <w:t>. Tránsito irregular de extranjeros por la frontera con Colombia según sexo año 2019</w:t>
                      </w:r>
                      <w:bookmarkEnd w:id="265"/>
                    </w:p>
                  </w:txbxContent>
                </v:textbox>
                <w10:wrap type="square"/>
              </v:shape>
            </w:pict>
          </mc:Fallback>
        </mc:AlternateContent>
      </w:r>
    </w:p>
    <w:p w14:paraId="67C0278E" w14:textId="75F965DE" w:rsidR="002B65F8" w:rsidRPr="005970E9" w:rsidRDefault="002B65F8" w:rsidP="002B65F8">
      <w:pPr>
        <w:spacing w:before="120" w:after="120" w:line="276" w:lineRule="auto"/>
        <w:ind w:firstLine="720"/>
        <w:jc w:val="both"/>
        <w:rPr>
          <w:sz w:val="20"/>
          <w:szCs w:val="20"/>
        </w:rPr>
      </w:pPr>
      <w:r w:rsidRPr="005970E9">
        <w:rPr>
          <w:i/>
          <w:iCs/>
          <w:noProof/>
          <w:sz w:val="24"/>
          <w:szCs w:val="24"/>
        </w:rPr>
        <w:drawing>
          <wp:anchor distT="0" distB="0" distL="114300" distR="114300" simplePos="0" relativeHeight="251793449" behindDoc="1" locked="0" layoutInCell="1" allowOverlap="1" wp14:anchorId="44D79AB2" wp14:editId="7CABFD43">
            <wp:simplePos x="0" y="0"/>
            <wp:positionH relativeFrom="column">
              <wp:posOffset>100330</wp:posOffset>
            </wp:positionH>
            <wp:positionV relativeFrom="paragraph">
              <wp:posOffset>238125</wp:posOffset>
            </wp:positionV>
            <wp:extent cx="2216150" cy="1699260"/>
            <wp:effectExtent l="0" t="0" r="12700" b="15240"/>
            <wp:wrapTight wrapText="bothSides">
              <wp:wrapPolygon edited="0">
                <wp:start x="0" y="0"/>
                <wp:lineTo x="0" y="21552"/>
                <wp:lineTo x="21538" y="21552"/>
                <wp:lineTo x="21538" y="0"/>
                <wp:lineTo x="0" y="0"/>
              </wp:wrapPolygon>
            </wp:wrapTight>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tbl>
      <w:tblPr>
        <w:tblpPr w:leftFromText="141" w:rightFromText="141" w:vertAnchor="text" w:horzAnchor="margin" w:tblpY="2881"/>
        <w:tblOverlap w:val="never"/>
        <w:tblW w:w="0" w:type="auto"/>
        <w:tblLook w:val="04A0" w:firstRow="1" w:lastRow="0" w:firstColumn="1" w:lastColumn="0" w:noHBand="0" w:noVBand="1"/>
      </w:tblPr>
      <w:tblGrid>
        <w:gridCol w:w="3823"/>
      </w:tblGrid>
      <w:tr w:rsidR="002B65F8" w:rsidRPr="005970E9" w14:paraId="10E5138C" w14:textId="77777777" w:rsidTr="002B65F8">
        <w:tc>
          <w:tcPr>
            <w:tcW w:w="3823" w:type="dxa"/>
          </w:tcPr>
          <w:p w14:paraId="7AD322A5" w14:textId="77777777" w:rsidR="002B65F8" w:rsidRPr="005970E9" w:rsidRDefault="002B65F8" w:rsidP="002B65F8">
            <w:pPr>
              <w:spacing w:after="60"/>
              <w:jc w:val="both"/>
              <w:rPr>
                <w:bCs/>
                <w:i/>
                <w:iCs/>
                <w:sz w:val="18"/>
                <w:szCs w:val="18"/>
              </w:rPr>
            </w:pPr>
            <w:r w:rsidRPr="005970E9">
              <w:rPr>
                <w:bCs/>
                <w:i/>
                <w:iCs/>
                <w:sz w:val="18"/>
                <w:szCs w:val="18"/>
              </w:rPr>
              <w:t xml:space="preserve">Fuente. Servicio Nacional de Migración. </w:t>
            </w:r>
          </w:p>
        </w:tc>
      </w:tr>
    </w:tbl>
    <w:p w14:paraId="5FA1D190" w14:textId="394D0315" w:rsidR="00195AA3" w:rsidRPr="005970E9" w:rsidRDefault="0044600D" w:rsidP="001F1166">
      <w:pPr>
        <w:spacing w:before="120" w:after="120" w:line="276" w:lineRule="auto"/>
        <w:jc w:val="both"/>
        <w:rPr>
          <w:i/>
          <w:iCs/>
          <w:sz w:val="24"/>
          <w:szCs w:val="24"/>
        </w:rPr>
      </w:pPr>
      <w:r w:rsidRPr="005970E9">
        <w:rPr>
          <w:sz w:val="24"/>
          <w:szCs w:val="24"/>
        </w:rPr>
        <w:t>Es fundamental que se recoja este dato dentro de las estadísticas migratoria, según el Manual de Gestión de Alberges temporales elaborado por MINSA y OIM en el año 2018 “</w:t>
      </w:r>
      <w:r w:rsidRPr="005970E9">
        <w:rPr>
          <w:i/>
          <w:iCs/>
          <w:sz w:val="24"/>
          <w:szCs w:val="24"/>
        </w:rPr>
        <w:t>en los flujos migratorios se encuentran mujeres que viajan solas, con niños/as, embarazadas o madres lactantes, mujeres adultas mayores, etc. Asimismo, algunas mujeres pueden haber sido víctimas de violencia de género (en particular, abuso o explotación sexual) durante el propio trayecto o dentro de un campamento o centro colectivo.</w:t>
      </w:r>
    </w:p>
    <w:p w14:paraId="0C26B19B" w14:textId="77777777" w:rsidR="00874B25" w:rsidRPr="005970E9" w:rsidRDefault="00874B25" w:rsidP="00874B25">
      <w:pPr>
        <w:spacing w:before="120" w:after="120"/>
        <w:jc w:val="both"/>
        <w:rPr>
          <w:sz w:val="24"/>
          <w:szCs w:val="24"/>
        </w:rPr>
      </w:pPr>
      <w:r w:rsidRPr="005970E9">
        <w:rPr>
          <w:sz w:val="24"/>
          <w:szCs w:val="24"/>
        </w:rPr>
        <w:t>Algunos de los riesgos más comunes que enfrentan las mujeres y niñas migrantes durante el movimiento son:</w:t>
      </w:r>
    </w:p>
    <w:p w14:paraId="43784C9E" w14:textId="77777777" w:rsidR="00874B25" w:rsidRPr="005970E9" w:rsidRDefault="00874B25" w:rsidP="00195AA3">
      <w:pPr>
        <w:pStyle w:val="ListParagraph"/>
        <w:numPr>
          <w:ilvl w:val="0"/>
          <w:numId w:val="35"/>
        </w:numPr>
        <w:spacing w:before="120" w:after="120" w:line="276" w:lineRule="auto"/>
        <w:jc w:val="both"/>
        <w:rPr>
          <w:rFonts w:ascii="Century Schoolbook" w:hAnsi="Century Schoolbook"/>
          <w:sz w:val="24"/>
          <w:szCs w:val="24"/>
        </w:rPr>
      </w:pPr>
      <w:r w:rsidRPr="005970E9">
        <w:rPr>
          <w:rFonts w:ascii="Century Schoolbook" w:hAnsi="Century Schoolbook"/>
          <w:sz w:val="24"/>
          <w:szCs w:val="24"/>
        </w:rPr>
        <w:t>Riesgo incrementado de violencia de género en el trayecto o dentro del albergue temporal.</w:t>
      </w:r>
    </w:p>
    <w:p w14:paraId="792023E9" w14:textId="77777777" w:rsidR="00874B25" w:rsidRPr="005970E9" w:rsidRDefault="00874B25" w:rsidP="00195AA3">
      <w:pPr>
        <w:pStyle w:val="ListParagraph"/>
        <w:numPr>
          <w:ilvl w:val="0"/>
          <w:numId w:val="35"/>
        </w:numPr>
        <w:spacing w:before="120" w:after="120" w:line="276" w:lineRule="auto"/>
        <w:jc w:val="both"/>
        <w:rPr>
          <w:rFonts w:ascii="Century Schoolbook" w:hAnsi="Century Schoolbook"/>
          <w:sz w:val="24"/>
          <w:szCs w:val="24"/>
        </w:rPr>
      </w:pPr>
      <w:r w:rsidRPr="005970E9">
        <w:rPr>
          <w:rFonts w:ascii="Century Schoolbook" w:hAnsi="Century Schoolbook"/>
          <w:sz w:val="24"/>
          <w:szCs w:val="24"/>
        </w:rPr>
        <w:t>Falta de privacidad y riesgo de seguridad física en espacios como habitaciones, baños y otras áreas comunes.</w:t>
      </w:r>
    </w:p>
    <w:p w14:paraId="610E8BAB" w14:textId="77777777" w:rsidR="00874B25" w:rsidRPr="005970E9" w:rsidRDefault="00874B25" w:rsidP="00195AA3">
      <w:pPr>
        <w:pStyle w:val="ListParagraph"/>
        <w:numPr>
          <w:ilvl w:val="0"/>
          <w:numId w:val="35"/>
        </w:numPr>
        <w:spacing w:before="120" w:after="120" w:line="276" w:lineRule="auto"/>
        <w:jc w:val="both"/>
        <w:rPr>
          <w:rFonts w:ascii="Century Schoolbook" w:hAnsi="Century Schoolbook"/>
          <w:sz w:val="24"/>
          <w:szCs w:val="24"/>
        </w:rPr>
      </w:pPr>
      <w:r w:rsidRPr="005970E9">
        <w:rPr>
          <w:rFonts w:ascii="Century Schoolbook" w:hAnsi="Century Schoolbook"/>
          <w:sz w:val="24"/>
          <w:szCs w:val="24"/>
        </w:rPr>
        <w:t>Discriminación, acoso, explotación sexual, violación o abuso físico.</w:t>
      </w:r>
    </w:p>
    <w:p w14:paraId="0610F9DD" w14:textId="77777777" w:rsidR="00874B25" w:rsidRPr="005970E9" w:rsidRDefault="00874B25" w:rsidP="00195AA3">
      <w:pPr>
        <w:pStyle w:val="ListParagraph"/>
        <w:numPr>
          <w:ilvl w:val="0"/>
          <w:numId w:val="37"/>
        </w:numPr>
        <w:spacing w:before="120" w:after="120" w:line="276" w:lineRule="auto"/>
        <w:jc w:val="both"/>
        <w:rPr>
          <w:rFonts w:ascii="Century Schoolbook" w:hAnsi="Century Schoolbook"/>
          <w:sz w:val="24"/>
          <w:szCs w:val="24"/>
        </w:rPr>
      </w:pPr>
      <w:r w:rsidRPr="005970E9">
        <w:rPr>
          <w:rFonts w:ascii="Century Schoolbook" w:hAnsi="Century Schoolbook"/>
          <w:sz w:val="24"/>
          <w:szCs w:val="24"/>
        </w:rPr>
        <w:t>Prácticas y tradiciones culturales perjudiciales.</w:t>
      </w:r>
    </w:p>
    <w:p w14:paraId="544E457C" w14:textId="77777777" w:rsidR="00874B25" w:rsidRPr="005970E9" w:rsidRDefault="00874B25" w:rsidP="00195AA3">
      <w:pPr>
        <w:pStyle w:val="ListParagraph"/>
        <w:numPr>
          <w:ilvl w:val="0"/>
          <w:numId w:val="37"/>
        </w:numPr>
        <w:spacing w:before="120" w:after="120" w:line="276" w:lineRule="auto"/>
        <w:jc w:val="both"/>
        <w:rPr>
          <w:rFonts w:ascii="Century Schoolbook" w:hAnsi="Century Schoolbook"/>
          <w:sz w:val="24"/>
          <w:szCs w:val="24"/>
        </w:rPr>
      </w:pPr>
      <w:r w:rsidRPr="005970E9">
        <w:rPr>
          <w:rFonts w:ascii="Century Schoolbook" w:hAnsi="Century Schoolbook"/>
          <w:sz w:val="24"/>
          <w:szCs w:val="24"/>
        </w:rPr>
        <w:t>Riesgo de embarazos no deseados e infecciones de transmisión sexual incluido VIH/SIDA.”</w:t>
      </w:r>
      <w:r w:rsidRPr="005970E9">
        <w:rPr>
          <w:rStyle w:val="FootnoteReference"/>
          <w:rFonts w:ascii="Century Schoolbook" w:hAnsi="Century Schoolbook"/>
          <w:sz w:val="24"/>
          <w:szCs w:val="24"/>
        </w:rPr>
        <w:footnoteReference w:id="60"/>
      </w:r>
    </w:p>
    <w:p w14:paraId="59CC9AB5" w14:textId="018598EE" w:rsidR="00874B25" w:rsidRPr="005970E9" w:rsidRDefault="00874B25" w:rsidP="00195AA3">
      <w:pPr>
        <w:spacing w:before="120" w:after="120" w:line="276" w:lineRule="auto"/>
        <w:jc w:val="both"/>
        <w:rPr>
          <w:sz w:val="24"/>
          <w:szCs w:val="24"/>
        </w:rPr>
      </w:pPr>
      <w:r w:rsidRPr="005970E9">
        <w:rPr>
          <w:sz w:val="24"/>
          <w:szCs w:val="24"/>
        </w:rPr>
        <w:t>No se ha podido tener datos oficiales del número de casos de violencia física o sexual que se haya dado durante el movimiento migratorio, por ejemplo, para que se pueda generar un abordaje integral, la situación de vulnerabilidad en los que se encuentran mujeres y adolescentes durante el viaje es alto, y la situación en Panamá no es menor, más cuando el cruce de la frontera es uno de los más peligroso en el camino hacia los Estados Unidos, según una nota de UNICEF  “</w:t>
      </w:r>
      <w:r w:rsidRPr="005970E9">
        <w:rPr>
          <w:i/>
          <w:iCs/>
          <w:sz w:val="24"/>
          <w:szCs w:val="24"/>
        </w:rPr>
        <w:t xml:space="preserve">Casi 5000 personas atravesaron el cruce entre Colombia y Panamá entre agosto </w:t>
      </w:r>
      <w:r w:rsidRPr="005970E9">
        <w:rPr>
          <w:i/>
          <w:iCs/>
          <w:sz w:val="24"/>
          <w:szCs w:val="24"/>
        </w:rPr>
        <w:lastRenderedPageBreak/>
        <w:t>y noviembre de 2019, uno de los trayectos más peligrosos y difíciles en el tránsito hacia Norteamérica”</w:t>
      </w:r>
      <w:r w:rsidRPr="005970E9">
        <w:rPr>
          <w:rStyle w:val="FootnoteReference"/>
          <w:sz w:val="24"/>
          <w:szCs w:val="24"/>
        </w:rPr>
        <w:footnoteReference w:id="61"/>
      </w:r>
      <w:r w:rsidRPr="005970E9">
        <w:rPr>
          <w:i/>
          <w:iCs/>
          <w:sz w:val="24"/>
          <w:szCs w:val="24"/>
        </w:rPr>
        <w:t>.</w:t>
      </w:r>
      <w:r w:rsidRPr="005970E9">
        <w:rPr>
          <w:sz w:val="24"/>
          <w:szCs w:val="24"/>
        </w:rPr>
        <w:t xml:space="preserve"> Esta misma nota nos dice que en la mayoría de los casos se trata de familias haitianas con hijos de nacionalidad brasileña y chilena. El aumento de mujeres con hijos y, en muchos casos emb</w:t>
      </w:r>
      <w:r w:rsidR="00805EC9" w:rsidRPr="005970E9">
        <w:rPr>
          <w:sz w:val="24"/>
          <w:szCs w:val="24"/>
        </w:rPr>
        <w:t>a</w:t>
      </w:r>
      <w:r w:rsidRPr="005970E9">
        <w:rPr>
          <w:sz w:val="24"/>
          <w:szCs w:val="24"/>
        </w:rPr>
        <w:t xml:space="preserve">razadas, es una realidad cada día más sentida según personal de la Defensoría del Pueblo que fue entrevistada para este perfil y que se requieren Albergues Temporales cuyo diseño tome en cuenta las diferencias de género y enfoque de niñez, donde se pueda brindar una estadía digna a las personas migrantes en Darién.  </w:t>
      </w:r>
    </w:p>
    <w:p w14:paraId="19580AD7" w14:textId="77777777" w:rsidR="00874B25" w:rsidRPr="005970E9" w:rsidRDefault="00874B25" w:rsidP="00195AA3">
      <w:pPr>
        <w:spacing w:before="120" w:after="120" w:line="276" w:lineRule="auto"/>
        <w:jc w:val="both"/>
        <w:rPr>
          <w:sz w:val="24"/>
          <w:szCs w:val="24"/>
        </w:rPr>
      </w:pPr>
      <w:r w:rsidRPr="005970E9">
        <w:rPr>
          <w:sz w:val="24"/>
          <w:szCs w:val="24"/>
        </w:rPr>
        <w:t>En el mes de junio del 2019 la Organización Internacional para las Migraciones (OIM) realizó el Análisis de las encuestas de monitoreo de flujos de Chiriquí, a Panamá. Los resultados de este análisis indican que “</w:t>
      </w:r>
      <w:r w:rsidRPr="005970E9">
        <w:rPr>
          <w:i/>
          <w:iCs/>
          <w:sz w:val="24"/>
          <w:szCs w:val="24"/>
        </w:rPr>
        <w:t>el 59% de los encuestados declararon haber sufrido discriminación, principalmente por su origen o identidad étnica (56%) e idioma (42%). La mayoría de los incidentes de discriminación se registraron en Panamá (52%), Colombia (21%) y Ecuador (13%). Además, el 44% de los participantes informaron sobre incidentes de violencia. El 51% reportaron haber sufrido violencia psicológica, mientras que el 46% reportaron haber sufrido violencia física. El 3% de las personas migrantes encuestadas que sufrieron violencia eran sobrevivientes de agresiones sexuales (11% del total de las mujeres y 1% del total de los hombres). También se reportó que al 30% de las personas migrantes les fueron retenidos o dañados sus documentos de viaje, ya sea por delincuentes (83%) o por las autoridades nacionales de los países de tránsito (17%)</w:t>
      </w:r>
      <w:r w:rsidRPr="005970E9">
        <w:rPr>
          <w:sz w:val="24"/>
          <w:szCs w:val="24"/>
        </w:rPr>
        <w:t>.”</w:t>
      </w:r>
      <w:r w:rsidRPr="005970E9">
        <w:rPr>
          <w:rStyle w:val="FootnoteReference"/>
          <w:sz w:val="24"/>
          <w:szCs w:val="24"/>
        </w:rPr>
        <w:footnoteReference w:id="62"/>
      </w:r>
    </w:p>
    <w:p w14:paraId="61A4A1F6" w14:textId="77777777" w:rsidR="00874B25" w:rsidRPr="005970E9" w:rsidRDefault="00874B25" w:rsidP="00195AA3">
      <w:pPr>
        <w:spacing w:before="120" w:after="120" w:line="276" w:lineRule="auto"/>
        <w:jc w:val="both"/>
        <w:rPr>
          <w:sz w:val="24"/>
          <w:szCs w:val="24"/>
        </w:rPr>
      </w:pPr>
      <w:r w:rsidRPr="005970E9">
        <w:rPr>
          <w:sz w:val="24"/>
          <w:szCs w:val="24"/>
        </w:rPr>
        <w:t xml:space="preserve">La migración es un fenómeno social que refleja la movilidad de la población de un lugar a otro por distintas razones. Panamá es un lugar de tránsito de migrantes, por tanto, es indispensable contar con atención diferenciada de las mujeres migrante durante estos flujos, ante esta realidad se han hecho algunas recomendaciones al país, recogidas en el manual elaborado por OIM y MINSEG, ya citado. Entre las recomendaciones para los albergues temporales que acogen a las personas migrantes se debe “identificar puntos focales (representantes) femeninos y/o conformar comités de mujeres que puedan detectar y evaluar los riesgos de protección desde su perspectiva de género, que ayude a mejorar la seguridad de la población migrante en el albergue temporal y de su propio personal”. Esta recomendación tiene como fin que se tomen en cuenta las recomendaciones y sugerencias de quienes están albergadas para mejorar las </w:t>
      </w:r>
      <w:r w:rsidRPr="005970E9">
        <w:rPr>
          <w:sz w:val="24"/>
          <w:szCs w:val="24"/>
        </w:rPr>
        <w:lastRenderedPageBreak/>
        <w:t xml:space="preserve">condiciones de seguridad e higiene de las mujeres, adolescentes y las niñas dentro de los albergues temporales. </w:t>
      </w:r>
    </w:p>
    <w:p w14:paraId="03E63BA1" w14:textId="77777777" w:rsidR="00874B25" w:rsidRPr="005970E9" w:rsidRDefault="00874B25" w:rsidP="00195AA3">
      <w:pPr>
        <w:spacing w:before="120" w:after="120" w:line="276" w:lineRule="auto"/>
        <w:jc w:val="both"/>
        <w:rPr>
          <w:sz w:val="24"/>
          <w:szCs w:val="24"/>
        </w:rPr>
      </w:pPr>
      <w:r w:rsidRPr="005970E9">
        <w:rPr>
          <w:sz w:val="24"/>
          <w:szCs w:val="24"/>
        </w:rPr>
        <w:t>Igualmente, el manual recomienda “publicar en el mural informativo de los albergues temporales los contactos de atención para casos de violencia, los derechos de las mujeres y los procedimientos para poner denuncias o referir casos,” e información respecto “…a la solicitud de refugio por causas de violencia de género.” Recomiendan que se debe “identificar mujeres dentro del albergues temporales que puedan actuar como punto focal para atender cualquier caso o necesidad de las mujeres y niñas que están allí alojadas” y a su vez identificar organizaciones de carácter civil que apoyen a las mujeres en cada provincia, por ejemplo, la Red contra la violencia de la mujer podría capacitar o brindar servicios en los albergues temporales”.</w:t>
      </w:r>
      <w:r w:rsidRPr="005970E9">
        <w:rPr>
          <w:rStyle w:val="FootnoteReference"/>
          <w:sz w:val="24"/>
          <w:szCs w:val="24"/>
        </w:rPr>
        <w:footnoteReference w:id="63"/>
      </w:r>
    </w:p>
    <w:p w14:paraId="328A3A20" w14:textId="77777777" w:rsidR="00874B25" w:rsidRPr="005970E9" w:rsidRDefault="00874B25" w:rsidP="00195AA3">
      <w:pPr>
        <w:spacing w:before="120" w:after="120" w:line="276" w:lineRule="auto"/>
        <w:jc w:val="both"/>
        <w:rPr>
          <w:sz w:val="24"/>
          <w:szCs w:val="24"/>
        </w:rPr>
      </w:pPr>
      <w:r w:rsidRPr="005970E9">
        <w:rPr>
          <w:sz w:val="24"/>
          <w:szCs w:val="24"/>
        </w:rPr>
        <w:t xml:space="preserve">Todas estas recomendaciones van encaminadas a garantizar derechos a estas mujeres en materia de atención a las necesidades y demandas que presenten sobre violencia de género. Debe atenderse la salud de las personas en los flujos migratorios, priorizando a las mujeres embrazadas, y a la población infantil por la vulnerabilidad que pueden presentar. </w:t>
      </w:r>
    </w:p>
    <w:p w14:paraId="7BE49EA9" w14:textId="3A7AB55E" w:rsidR="00874B25" w:rsidRPr="005970E9" w:rsidRDefault="00180DDD" w:rsidP="00D478B6">
      <w:pPr>
        <w:pStyle w:val="ListParagraph"/>
        <w:numPr>
          <w:ilvl w:val="2"/>
          <w:numId w:val="56"/>
        </w:numPr>
        <w:spacing w:before="120" w:after="120"/>
        <w:jc w:val="both"/>
        <w:rPr>
          <w:rFonts w:ascii="Century Schoolbook" w:hAnsi="Century Schoolbook"/>
          <w:b/>
          <w:sz w:val="24"/>
          <w:szCs w:val="24"/>
        </w:rPr>
      </w:pPr>
      <w:bookmarkStart w:id="266" w:name="_Toc42159241"/>
      <w:r w:rsidRPr="005970E9">
        <w:rPr>
          <w:rFonts w:ascii="Century Schoolbook" w:hAnsi="Century Schoolbook"/>
          <w:noProof/>
          <w:sz w:val="24"/>
          <w:szCs w:val="24"/>
        </w:rPr>
        <mc:AlternateContent>
          <mc:Choice Requires="wps">
            <w:drawing>
              <wp:anchor distT="0" distB="0" distL="114300" distR="114300" simplePos="0" relativeHeight="251756585" behindDoc="0" locked="0" layoutInCell="0" allowOverlap="1" wp14:anchorId="5B88358A" wp14:editId="5AD90280">
                <wp:simplePos x="0" y="0"/>
                <wp:positionH relativeFrom="margin">
                  <wp:posOffset>3164205</wp:posOffset>
                </wp:positionH>
                <wp:positionV relativeFrom="margin">
                  <wp:posOffset>106045</wp:posOffset>
                </wp:positionV>
                <wp:extent cx="2681605" cy="4311015"/>
                <wp:effectExtent l="0" t="0" r="23495" b="13335"/>
                <wp:wrapSquare wrapText="bothSides"/>
                <wp:docPr id="241"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431101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89BF318" w14:textId="77777777" w:rsidR="00DC0EAB" w:rsidRPr="00A33AA0" w:rsidRDefault="00DC0EAB" w:rsidP="00A33AA0">
                            <w:pPr>
                              <w:spacing w:line="276" w:lineRule="auto"/>
                              <w:ind w:left="-284"/>
                              <w:jc w:val="both"/>
                              <w:rPr>
                                <w:rFonts w:ascii="Century" w:hAnsi="Century"/>
                                <w:sz w:val="16"/>
                                <w:szCs w:val="16"/>
                              </w:rPr>
                            </w:pPr>
                          </w:p>
                          <w:p w14:paraId="31C99658" w14:textId="77777777" w:rsidR="00DC0EAB" w:rsidRDefault="00DC0EAB" w:rsidP="00A33AA0">
                            <w:pPr>
                              <w:shd w:val="clear" w:color="auto" w:fill="E5DFEC" w:themeFill="accent4" w:themeFillTint="33"/>
                              <w:spacing w:line="276" w:lineRule="auto"/>
                              <w:ind w:left="-284"/>
                              <w:jc w:val="both"/>
                              <w:rPr>
                                <w:rFonts w:ascii="Century" w:hAnsi="Century"/>
                              </w:rPr>
                            </w:pPr>
                            <w:r w:rsidRPr="00B52588">
                              <w:rPr>
                                <w:rFonts w:ascii="Century" w:hAnsi="Century"/>
                              </w:rPr>
                              <w:t>La Selva del Darién, ubicada en la Frontera entre Colombia y Panamá, es descrita por la población migrante como el trayecto más peligroso y difícil en el tránsito hacia Norteamérica. De acuerdo con el informe, de agosto a noviembre de 2019 ingresaron por dicha ruta 4787 personas de 44 nacionalidades, un promedio mensual de más de 1000 personas, pero menos que el mes de julio, cuando ingresaron unas 3970 personas. Unos 1078 de los migrantes sobrevivientes al cruce del Darién (entre agosto y noviembre) son niños, niñas y adolescentes, la mitad son menores de cinco años. UNICEF reporta que en el mismo período se reportó el ingreso de 137 mujeres e</w:t>
                            </w:r>
                            <w:r>
                              <w:rPr>
                                <w:rFonts w:ascii="Century" w:hAnsi="Century"/>
                              </w:rPr>
                              <w:t xml:space="preserve">n avanzado estado de gestación. </w:t>
                            </w:r>
                          </w:p>
                          <w:p w14:paraId="1D997168" w14:textId="77777777" w:rsidR="00DC0EAB" w:rsidRPr="006E7A32" w:rsidRDefault="00062ABE" w:rsidP="00A33AA0">
                            <w:pPr>
                              <w:shd w:val="clear" w:color="auto" w:fill="E5DFEC" w:themeFill="accent4" w:themeFillTint="33"/>
                              <w:ind w:left="-284" w:firstLine="284"/>
                              <w:rPr>
                                <w:rFonts w:ascii="Century" w:hAnsi="Century"/>
                              </w:rPr>
                            </w:pPr>
                            <w:hyperlink r:id="rId70" w:history="1">
                              <w:r w:rsidR="00DC0EAB">
                                <w:rPr>
                                  <w:rStyle w:val="Hyperlink"/>
                                </w:rPr>
                                <w:t>https://news.un.org/es/story/2019/12/1467181</w:t>
                              </w:r>
                            </w:hyperlink>
                          </w:p>
                          <w:p w14:paraId="22A0688B" w14:textId="77777777" w:rsidR="00DC0EAB" w:rsidRPr="000315FB" w:rsidRDefault="00DC0EAB" w:rsidP="00874B25">
                            <w:pPr>
                              <w:spacing w:before="240" w:after="120"/>
                              <w:rPr>
                                <w:rFonts w:ascii="Century" w:hAnsi="Century"/>
                              </w:rPr>
                            </w:pP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88358A" id="Rectángulo 45" o:spid="_x0000_s1036" style="position:absolute;left:0;text-align:left;margin-left:249.15pt;margin-top:8.35pt;width:211.15pt;height:339.45pt;z-index:25175658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" o:allowincell="f" fillcolor="white [3201]" strokecolor="#c0504d [3205]" strokeweight="2pt">
                <v:textbox inset="18pt,0,0,0">
                  <w:txbxContent>
                    <w:p w14:paraId="189BF318" w14:textId="77777777" w:rsidR="00DC0EAB" w:rsidRPr="00A33AA0" w:rsidRDefault="00DC0EAB" w:rsidP="00A33AA0">
                      <w:pPr>
                        <w:spacing w:line="276" w:lineRule="auto"/>
                        <w:ind w:left="-284"/>
                        <w:jc w:val="both"/>
                        <w:rPr>
                          <w:rFonts w:ascii="Century" w:hAnsi="Century"/>
                          <w:sz w:val="16"/>
                          <w:szCs w:val="16"/>
                        </w:rPr>
                      </w:pPr>
                    </w:p>
                    <w:p w14:paraId="31C99658" w14:textId="77777777" w:rsidR="00DC0EAB" w:rsidRDefault="00DC0EAB" w:rsidP="00A33AA0">
                      <w:pPr>
                        <w:shd w:val="clear" w:color="auto" w:fill="E5DFEC" w:themeFill="accent4" w:themeFillTint="33"/>
                        <w:spacing w:line="276" w:lineRule="auto"/>
                        <w:ind w:left="-284"/>
                        <w:jc w:val="both"/>
                        <w:rPr>
                          <w:rFonts w:ascii="Century" w:hAnsi="Century"/>
                        </w:rPr>
                      </w:pPr>
                      <w:r w:rsidRPr="00B52588">
                        <w:rPr>
                          <w:rFonts w:ascii="Century" w:hAnsi="Century"/>
                        </w:rPr>
                        <w:t>La Selva del Darién, ubicada en la Frontera entre Colombia y Panamá, es descrita por la población migrante como el trayecto más peligroso y difícil en el tránsito hacia Norteamérica. De acuerdo con el informe, de agosto a noviembre de 2019 ingresaron por dicha ruta 4787 personas de 44 nacionalidades, un promedio mensual de más de 1000 personas, pero menos que el mes de julio, cuando ingresaron unas 3970 personas. Unos 1078 de los migrantes sobrevivientes al cruce del Darién (entre agosto y noviembre) son niños, niñas y adolescentes, la mitad son menores de cinco años. UNICEF reporta que en el mismo período se reportó el ingreso de 137 mujeres e</w:t>
                      </w:r>
                      <w:r>
                        <w:rPr>
                          <w:rFonts w:ascii="Century" w:hAnsi="Century"/>
                        </w:rPr>
                        <w:t xml:space="preserve">n avanzado estado de gestación. </w:t>
                      </w:r>
                    </w:p>
                    <w:p w14:paraId="1D997168" w14:textId="77777777" w:rsidR="00DC0EAB" w:rsidRPr="006E7A32" w:rsidRDefault="00062ABE" w:rsidP="00A33AA0">
                      <w:pPr>
                        <w:shd w:val="clear" w:color="auto" w:fill="E5DFEC" w:themeFill="accent4" w:themeFillTint="33"/>
                        <w:ind w:left="-284" w:firstLine="284"/>
                        <w:rPr>
                          <w:rFonts w:ascii="Century" w:hAnsi="Century"/>
                        </w:rPr>
                      </w:pPr>
                      <w:hyperlink r:id="rId71" w:history="1">
                        <w:r w:rsidR="00DC0EAB">
                          <w:rPr>
                            <w:rStyle w:val="Hyperlink"/>
                          </w:rPr>
                          <w:t>https://news.un.org/es/story/2019/12/1467181</w:t>
                        </w:r>
                      </w:hyperlink>
                    </w:p>
                    <w:p w14:paraId="22A0688B" w14:textId="77777777" w:rsidR="00DC0EAB" w:rsidRPr="000315FB" w:rsidRDefault="00DC0EAB" w:rsidP="00874B25">
                      <w:pPr>
                        <w:spacing w:before="240" w:after="120"/>
                        <w:rPr>
                          <w:rFonts w:ascii="Century" w:hAnsi="Century"/>
                        </w:rPr>
                      </w:pPr>
                    </w:p>
                  </w:txbxContent>
                </v:textbox>
                <w10:wrap type="square" anchorx="margin" anchory="margin"/>
              </v:rect>
            </w:pict>
          </mc:Fallback>
        </mc:AlternateContent>
      </w:r>
      <w:r w:rsidRPr="005970E9">
        <w:rPr>
          <w:rFonts w:ascii="Century Schoolbook" w:hAnsi="Century Schoolbook"/>
          <w:noProof/>
          <w:sz w:val="24"/>
          <w:szCs w:val="24"/>
        </w:rPr>
        <mc:AlternateContent>
          <mc:Choice Requires="wps">
            <w:drawing>
              <wp:anchor distT="0" distB="0" distL="114300" distR="114300" simplePos="0" relativeHeight="251658266" behindDoc="0" locked="0" layoutInCell="0" allowOverlap="1" wp14:anchorId="5B88358A" wp14:editId="05E54324">
                <wp:simplePos x="0" y="0"/>
                <wp:positionH relativeFrom="margin">
                  <wp:posOffset>3164840</wp:posOffset>
                </wp:positionH>
                <wp:positionV relativeFrom="margin">
                  <wp:posOffset>127635</wp:posOffset>
                </wp:positionV>
                <wp:extent cx="2681605" cy="4288155"/>
                <wp:effectExtent l="0" t="0" r="23495" b="17145"/>
                <wp:wrapSquare wrapText="bothSides"/>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428815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3FA4EE4" w14:textId="77777777" w:rsidR="00DC0EAB" w:rsidRPr="00A33AA0" w:rsidRDefault="00DC0EAB" w:rsidP="00A33AA0">
                            <w:pPr>
                              <w:spacing w:line="276" w:lineRule="auto"/>
                              <w:ind w:left="-284"/>
                              <w:jc w:val="both"/>
                              <w:rPr>
                                <w:rFonts w:ascii="Century" w:hAnsi="Century"/>
                                <w:sz w:val="16"/>
                                <w:szCs w:val="16"/>
                              </w:rPr>
                            </w:pPr>
                          </w:p>
                          <w:p w14:paraId="0096D25F" w14:textId="0BA92B99" w:rsidR="00DC0EAB" w:rsidRDefault="00DC0EAB" w:rsidP="00A33AA0">
                            <w:pPr>
                              <w:shd w:val="clear" w:color="auto" w:fill="E5DFEC" w:themeFill="accent4" w:themeFillTint="33"/>
                              <w:spacing w:line="276" w:lineRule="auto"/>
                              <w:ind w:left="-284"/>
                              <w:jc w:val="both"/>
                              <w:rPr>
                                <w:rFonts w:ascii="Century" w:hAnsi="Century"/>
                              </w:rPr>
                            </w:pPr>
                            <w:r w:rsidRPr="00B52588">
                              <w:rPr>
                                <w:rFonts w:ascii="Century" w:hAnsi="Century"/>
                              </w:rPr>
                              <w:t>La Selva del Darién, ubicada en la Frontera entre Colombia y Panamá, es descrita por la población migrante como el trayecto más peligroso y difícil en el tránsito hacia Norteamérica. De acuerdo con el informe, de agosto a noviembre de 2019 ingresaron por dicha ruta 4787 personas de 44 nacionalidades, un promedio mensual de más de 1000 personas, pero menos que el mes de julio, cuando ingresaron unas 3970 personas. Unos 1078 de los migrantes sobrevivientes al cruce del Darién (entre agosto y noviembre) son niños, niñas y adolescentes, la mitad son menores de cinco años. UNICEF reporta que en el mismo período se reportó el ingreso de 137 mujeres e</w:t>
                            </w:r>
                            <w:r>
                              <w:rPr>
                                <w:rFonts w:ascii="Century" w:hAnsi="Century"/>
                              </w:rPr>
                              <w:t xml:space="preserve">n avanzado estado de gestación. </w:t>
                            </w:r>
                          </w:p>
                          <w:p w14:paraId="351148F9" w14:textId="77777777" w:rsidR="00DC0EAB" w:rsidRPr="006E7A32" w:rsidRDefault="00062ABE" w:rsidP="00A33AA0">
                            <w:pPr>
                              <w:shd w:val="clear" w:color="auto" w:fill="E5DFEC" w:themeFill="accent4" w:themeFillTint="33"/>
                              <w:ind w:left="-284" w:firstLine="284"/>
                              <w:rPr>
                                <w:rFonts w:ascii="Century" w:hAnsi="Century"/>
                              </w:rPr>
                            </w:pPr>
                            <w:hyperlink r:id="rId72" w:history="1">
                              <w:r w:rsidR="00DC0EAB">
                                <w:rPr>
                                  <w:rStyle w:val="Hyperlink"/>
                                </w:rPr>
                                <w:t>https://news.un.org/es/story/2019/12/1467181</w:t>
                              </w:r>
                            </w:hyperlink>
                          </w:p>
                          <w:p w14:paraId="732956B7" w14:textId="77777777" w:rsidR="00DC0EAB" w:rsidRPr="000315FB" w:rsidRDefault="00DC0EAB" w:rsidP="00874B25">
                            <w:pPr>
                              <w:spacing w:before="240" w:after="120"/>
                              <w:rPr>
                                <w:rFonts w:ascii="Century" w:hAnsi="Century"/>
                              </w:rPr>
                            </w:pP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88358A" id="_x0000_s1037" style="position:absolute;left:0;text-align:left;margin-left:249.2pt;margin-top:10.05pt;width:211.15pt;height:337.6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" o:allowincell="f" fillcolor="white [3201]" strokecolor="#c0504d [3205]" strokeweight="2pt">
                <v:textbox inset="18pt,0,0,0">
                  <w:txbxContent>
                    <w:p w14:paraId="73FA4EE4" w14:textId="77777777" w:rsidR="00DC0EAB" w:rsidRPr="00A33AA0" w:rsidRDefault="00DC0EAB" w:rsidP="00A33AA0">
                      <w:pPr>
                        <w:spacing w:line="276" w:lineRule="auto"/>
                        <w:ind w:left="-284"/>
                        <w:jc w:val="both"/>
                        <w:rPr>
                          <w:rFonts w:ascii="Century" w:hAnsi="Century"/>
                          <w:sz w:val="16"/>
                          <w:szCs w:val="16"/>
                        </w:rPr>
                      </w:pPr>
                    </w:p>
                    <w:p w14:paraId="0096D25F" w14:textId="0BA92B99" w:rsidR="00DC0EAB" w:rsidRDefault="00DC0EAB" w:rsidP="00A33AA0">
                      <w:pPr>
                        <w:shd w:val="clear" w:color="auto" w:fill="E5DFEC" w:themeFill="accent4" w:themeFillTint="33"/>
                        <w:spacing w:line="276" w:lineRule="auto"/>
                        <w:ind w:left="-284"/>
                        <w:jc w:val="both"/>
                        <w:rPr>
                          <w:rFonts w:ascii="Century" w:hAnsi="Century"/>
                        </w:rPr>
                      </w:pPr>
                      <w:r w:rsidRPr="00B52588">
                        <w:rPr>
                          <w:rFonts w:ascii="Century" w:hAnsi="Century"/>
                        </w:rPr>
                        <w:t>La Selva del Darién, ubicada en la Frontera entre Colombia y Panamá, es descrita por la población migrante como el trayecto más peligroso y difícil en el tránsito hacia Norteamérica. De acuerdo con el informe, de agosto a noviembre de 2019 ingresaron por dicha ruta 4787 personas de 44 nacionalidades, un promedio mensual de más de 1000 personas, pero menos que el mes de julio, cuando ingresaron unas 3970 personas. Unos 1078 de los migrantes sobrevivientes al cruce del Darién (entre agosto y noviembre) son niños, niñas y adolescentes, la mitad son menores de cinco años. UNICEF reporta que en el mismo período se reportó el ingreso de 137 mujeres e</w:t>
                      </w:r>
                      <w:r>
                        <w:rPr>
                          <w:rFonts w:ascii="Century" w:hAnsi="Century"/>
                        </w:rPr>
                        <w:t xml:space="preserve">n avanzado estado de gestación. </w:t>
                      </w:r>
                    </w:p>
                    <w:p w14:paraId="351148F9" w14:textId="77777777" w:rsidR="00DC0EAB" w:rsidRPr="006E7A32" w:rsidRDefault="00062ABE" w:rsidP="00A33AA0">
                      <w:pPr>
                        <w:shd w:val="clear" w:color="auto" w:fill="E5DFEC" w:themeFill="accent4" w:themeFillTint="33"/>
                        <w:ind w:left="-284" w:firstLine="284"/>
                        <w:rPr>
                          <w:rFonts w:ascii="Century" w:hAnsi="Century"/>
                        </w:rPr>
                      </w:pPr>
                      <w:hyperlink r:id="rId73" w:history="1">
                        <w:r w:rsidR="00DC0EAB">
                          <w:rPr>
                            <w:rStyle w:val="Hyperlink"/>
                          </w:rPr>
                          <w:t>https://news.un.org/es/story/2019/12/1467181</w:t>
                        </w:r>
                      </w:hyperlink>
                    </w:p>
                    <w:p w14:paraId="732956B7" w14:textId="77777777" w:rsidR="00DC0EAB" w:rsidRPr="000315FB" w:rsidRDefault="00DC0EAB" w:rsidP="00874B25">
                      <w:pPr>
                        <w:spacing w:before="240" w:after="120"/>
                        <w:rPr>
                          <w:rFonts w:ascii="Century" w:hAnsi="Century"/>
                        </w:rPr>
                      </w:pPr>
                    </w:p>
                  </w:txbxContent>
                </v:textbox>
                <w10:wrap type="square" anchorx="margin" anchory="margin"/>
              </v:rect>
            </w:pict>
          </mc:Fallback>
        </mc:AlternateContent>
      </w:r>
      <w:bookmarkStart w:id="267" w:name="_Toc42549472"/>
      <w:r w:rsidR="00874B25" w:rsidRPr="005970E9">
        <w:rPr>
          <w:rStyle w:val="Heading3Char"/>
        </w:rPr>
        <w:t>Niñez migrante con tramites en el Servicio Nacional de Migración</w:t>
      </w:r>
      <w:bookmarkEnd w:id="266"/>
      <w:bookmarkEnd w:id="267"/>
      <w:r w:rsidR="00874B25" w:rsidRPr="005970E9">
        <w:rPr>
          <w:rFonts w:ascii="Century Schoolbook" w:hAnsi="Century Schoolbook"/>
          <w:b/>
          <w:sz w:val="24"/>
          <w:szCs w:val="24"/>
        </w:rPr>
        <w:t xml:space="preserve"> </w:t>
      </w:r>
    </w:p>
    <w:p w14:paraId="0CA7ACB6" w14:textId="18CE3958" w:rsidR="00874B25" w:rsidRPr="005970E9" w:rsidRDefault="00874B25" w:rsidP="00A33AA0">
      <w:pPr>
        <w:spacing w:before="120" w:after="120" w:line="276" w:lineRule="auto"/>
        <w:jc w:val="both"/>
        <w:rPr>
          <w:sz w:val="24"/>
          <w:szCs w:val="24"/>
        </w:rPr>
      </w:pPr>
      <w:r w:rsidRPr="005970E9">
        <w:rPr>
          <w:sz w:val="24"/>
          <w:szCs w:val="24"/>
        </w:rPr>
        <w:t>En el año 2019 por el proceso de regulación extraordinario 3.190 niñas y adolescentes, entre 0 y 17 años, fueron parte de este proceso, esta población representó 1,778 (55.7%) personas del sexo masculino y 1,412 (44.3%) femenino, la franja de edad de 6-11 años fue la más alta para ambos sexos con 1,271 (39.8%) regularizados por este medio, según estadística del Servicio Nacional de Migración</w:t>
      </w:r>
      <w:r w:rsidRPr="005970E9">
        <w:rPr>
          <w:b/>
          <w:sz w:val="24"/>
          <w:szCs w:val="24"/>
        </w:rPr>
        <w:t xml:space="preserve">, </w:t>
      </w:r>
      <w:r w:rsidRPr="005970E9">
        <w:rPr>
          <w:sz w:val="24"/>
          <w:szCs w:val="24"/>
        </w:rPr>
        <w:t>por</w:t>
      </w:r>
      <w:r w:rsidRPr="005970E9">
        <w:rPr>
          <w:b/>
          <w:sz w:val="24"/>
          <w:szCs w:val="24"/>
        </w:rPr>
        <w:t xml:space="preserve"> </w:t>
      </w:r>
      <w:r w:rsidRPr="005970E9">
        <w:rPr>
          <w:sz w:val="24"/>
          <w:szCs w:val="24"/>
        </w:rPr>
        <w:t xml:space="preserve">otro lado, hubo 1,423 tramites de permisos de residencias para niños, niñas y adolescentes, tramitados y aprobados, de estos 730 (51.3%) eran </w:t>
      </w:r>
      <w:r w:rsidRPr="005970E9">
        <w:rPr>
          <w:sz w:val="24"/>
          <w:szCs w:val="24"/>
        </w:rPr>
        <w:lastRenderedPageBreak/>
        <w:t>del sexo masculino y 693 (48.7%) femenino, la franja de edad con mayor número de permiso de residencia fue la de 12 a 17 años.</w:t>
      </w:r>
      <w:r w:rsidRPr="005970E9">
        <w:rPr>
          <w:rStyle w:val="FootnoteReference"/>
          <w:sz w:val="24"/>
          <w:szCs w:val="24"/>
        </w:rPr>
        <w:footnoteReference w:id="64"/>
      </w:r>
      <w:r w:rsidRPr="005970E9">
        <w:rPr>
          <w:sz w:val="24"/>
          <w:szCs w:val="24"/>
        </w:rPr>
        <w:t xml:space="preserve">  Como ya se mencionó los flujos migratorios han aumentado en el país y con ellos la presencia de las niñas y niños en estos procesos se incrementa.</w:t>
      </w:r>
    </w:p>
    <w:p w14:paraId="20CC46A2" w14:textId="77777777" w:rsidR="00A33AA0" w:rsidRPr="005970E9" w:rsidRDefault="00874B25" w:rsidP="00874B25">
      <w:pPr>
        <w:spacing w:before="120" w:after="120"/>
        <w:jc w:val="both"/>
        <w:rPr>
          <w:b/>
          <w:sz w:val="24"/>
          <w:szCs w:val="24"/>
        </w:rPr>
      </w:pPr>
      <w:r w:rsidRPr="005970E9">
        <w:rPr>
          <w:b/>
          <w:sz w:val="24"/>
          <w:szCs w:val="24"/>
        </w:rPr>
        <w:t>Personas menores de edad durante el flujo migratorio</w:t>
      </w:r>
    </w:p>
    <w:p w14:paraId="1CA682BF" w14:textId="1D8740E3" w:rsidR="00874B25" w:rsidRPr="005970E9" w:rsidRDefault="00A33AA0" w:rsidP="00A33AA0">
      <w:pPr>
        <w:spacing w:before="120" w:after="120" w:line="276" w:lineRule="auto"/>
        <w:jc w:val="both"/>
        <w:rPr>
          <w:b/>
          <w:sz w:val="24"/>
          <w:szCs w:val="24"/>
        </w:rPr>
      </w:pPr>
      <w:r w:rsidRPr="005970E9">
        <w:rPr>
          <w:sz w:val="24"/>
          <w:szCs w:val="24"/>
        </w:rPr>
        <w:t xml:space="preserve">Para el año 2019 la población de menores de edad que pasaron la frontera del Darién con Colombia fue aproximadamente 7 veces mayor que la registrada en el año 2018 y se incrementó el número de mujeres en estado de gestación que realizaron la travesía. Un informe de UNICEF publicado en 2019 señala que entre “enero y agosto de 2019 habían ingresado a Panamá por dicha frontera 2,758 personas menores de 18 años y más de 450 mujeres embarazadas. Es importante destacar que prácticamente el </w:t>
      </w:r>
      <w:r w:rsidRPr="005970E9">
        <w:rPr>
          <w:b/>
          <w:bCs/>
          <w:sz w:val="24"/>
          <w:szCs w:val="24"/>
        </w:rPr>
        <w:t>50% de los niños y niñas se encontraba tan solo entre los 0 y 5 años</w:t>
      </w:r>
      <w:r w:rsidRPr="005970E9">
        <w:rPr>
          <w:sz w:val="24"/>
          <w:szCs w:val="24"/>
        </w:rPr>
        <w:t>.</w:t>
      </w:r>
      <w:r w:rsidRPr="005970E9">
        <w:rPr>
          <w:rStyle w:val="FootnoteReference"/>
          <w:sz w:val="24"/>
          <w:szCs w:val="24"/>
        </w:rPr>
        <w:footnoteReference w:id="65"/>
      </w:r>
      <w:r w:rsidRPr="005970E9">
        <w:rPr>
          <w:sz w:val="24"/>
          <w:szCs w:val="24"/>
        </w:rPr>
        <w:t xml:space="preserve"> </w:t>
      </w:r>
      <w:r w:rsidR="00874B25" w:rsidRPr="005970E9">
        <w:rPr>
          <w:b/>
          <w:sz w:val="24"/>
          <w:szCs w:val="24"/>
        </w:rPr>
        <w:t xml:space="preserve"> </w:t>
      </w:r>
    </w:p>
    <w:p w14:paraId="240A8BB2" w14:textId="3B679FED" w:rsidR="004E2F06" w:rsidRPr="005970E9" w:rsidRDefault="00874B25" w:rsidP="00A33AA0">
      <w:pPr>
        <w:spacing w:before="120" w:after="120" w:line="276" w:lineRule="auto"/>
        <w:jc w:val="both"/>
        <w:rPr>
          <w:sz w:val="24"/>
          <w:szCs w:val="24"/>
        </w:rPr>
      </w:pPr>
      <w:r w:rsidRPr="005970E9">
        <w:rPr>
          <w:sz w:val="24"/>
          <w:szCs w:val="24"/>
        </w:rPr>
        <w:t>Cuando se hace un análisis comparativo se observa que para el año “2017, solo el 1% de los migrantes era menor de 18 años, para el 2018 se elevó al 5% y para 2019 es del 15,8%. Con base en esta estimación se proyecta para 2020 un incremento sostenido de la población infantil y adolescente que ingresa por flujo migratorio a través de Darién, mayoritariamente familias haitianas con hijos e hijas con nacionalidad chilena y brasileña”.</w:t>
      </w:r>
      <w:r w:rsidRPr="005970E9">
        <w:rPr>
          <w:rStyle w:val="FootnoteReference"/>
          <w:sz w:val="24"/>
          <w:szCs w:val="24"/>
        </w:rPr>
        <w:footnoteReference w:id="66"/>
      </w:r>
      <w:r w:rsidR="0031633D" w:rsidRPr="005970E9">
        <w:rPr>
          <w:sz w:val="24"/>
          <w:szCs w:val="24"/>
        </w:rPr>
        <w:t xml:space="preserve"> </w:t>
      </w:r>
    </w:p>
    <w:p w14:paraId="3EFEEE84" w14:textId="3098F9BA" w:rsidR="0031633D" w:rsidRPr="005970E9" w:rsidRDefault="008A61AF" w:rsidP="00212083">
      <w:pPr>
        <w:pStyle w:val="Caption"/>
        <w:keepNext/>
        <w:jc w:val="both"/>
        <w:rPr>
          <w:rFonts w:ascii="Century Schoolbook" w:hAnsi="Century Schoolbook"/>
          <w:i w:val="0"/>
          <w:iCs w:val="0"/>
          <w:sz w:val="20"/>
          <w:szCs w:val="20"/>
        </w:rPr>
      </w:pPr>
      <w:bookmarkStart w:id="268" w:name="_Toc42549220"/>
      <w:r w:rsidRPr="005970E9">
        <w:rPr>
          <w:rFonts w:ascii="Century Schoolbook" w:hAnsi="Century Schoolbook"/>
          <w:i w:val="0"/>
          <w:iCs w:val="0"/>
          <w:sz w:val="20"/>
          <w:szCs w:val="20"/>
        </w:rPr>
        <w:t>Tabla</w:t>
      </w:r>
      <w:r w:rsidR="004E2F06" w:rsidRPr="005970E9">
        <w:rPr>
          <w:rFonts w:ascii="Century Schoolbook" w:hAnsi="Century Schoolbook"/>
          <w:i w:val="0"/>
          <w:iCs w:val="0"/>
          <w:sz w:val="20"/>
          <w:szCs w:val="20"/>
        </w:rPr>
        <w:t xml:space="preserve">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0E7B3A">
        <w:rPr>
          <w:rFonts w:ascii="Century Schoolbook" w:hAnsi="Century Schoolbook"/>
          <w:i w:val="0"/>
          <w:iCs w:val="0"/>
          <w:noProof/>
          <w:sz w:val="20"/>
          <w:szCs w:val="20"/>
        </w:rPr>
        <w:t>26</w:t>
      </w:r>
      <w:r w:rsidRPr="005970E9">
        <w:rPr>
          <w:rFonts w:ascii="Century Schoolbook" w:hAnsi="Century Schoolbook"/>
          <w:i w:val="0"/>
          <w:iCs w:val="0"/>
          <w:sz w:val="20"/>
          <w:szCs w:val="20"/>
        </w:rPr>
        <w:fldChar w:fldCharType="end"/>
      </w:r>
      <w:r w:rsidR="00817CEF" w:rsidRPr="005970E9">
        <w:rPr>
          <w:rFonts w:ascii="Century Schoolbook" w:hAnsi="Century Schoolbook"/>
          <w:i w:val="0"/>
          <w:iCs w:val="0"/>
          <w:sz w:val="20"/>
          <w:szCs w:val="20"/>
        </w:rPr>
        <w:t>.</w:t>
      </w:r>
      <w:r w:rsidR="004E2F06" w:rsidRPr="005970E9">
        <w:rPr>
          <w:rFonts w:ascii="Century Schoolbook" w:hAnsi="Century Schoolbook"/>
          <w:i w:val="0"/>
          <w:iCs w:val="0"/>
          <w:sz w:val="20"/>
          <w:szCs w:val="20"/>
        </w:rPr>
        <w:t xml:space="preserve"> Ingreso de niños, niñas y adolescentes por la frontera con Colombia, años 2016 a 2020 Niñez migrante en los flujos migratorios y con necesidad de protección</w:t>
      </w:r>
      <w:bookmarkEnd w:id="268"/>
    </w:p>
    <w:tbl>
      <w:tblPr>
        <w:tblW w:w="7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941"/>
        <w:gridCol w:w="992"/>
        <w:gridCol w:w="992"/>
        <w:gridCol w:w="992"/>
        <w:gridCol w:w="2289"/>
        <w:gridCol w:w="22"/>
      </w:tblGrid>
      <w:tr w:rsidR="00212083" w:rsidRPr="005970E9" w14:paraId="71A5E0D3" w14:textId="77777777" w:rsidTr="00212083">
        <w:trPr>
          <w:gridAfter w:val="1"/>
          <w:wAfter w:w="22" w:type="dxa"/>
          <w:trHeight w:val="471"/>
          <w:jc w:val="center"/>
        </w:trPr>
        <w:tc>
          <w:tcPr>
            <w:tcW w:w="1181" w:type="dxa"/>
            <w:shd w:val="clear" w:color="auto" w:fill="CCC0D9" w:themeFill="accent4" w:themeFillTint="66"/>
          </w:tcPr>
          <w:p w14:paraId="6C0DF867" w14:textId="77777777" w:rsidR="00212083" w:rsidRPr="005970E9" w:rsidRDefault="00212083" w:rsidP="00212083">
            <w:pPr>
              <w:spacing w:before="120" w:after="120"/>
            </w:pPr>
            <w:r w:rsidRPr="005970E9">
              <w:t xml:space="preserve">Año </w:t>
            </w:r>
          </w:p>
        </w:tc>
        <w:tc>
          <w:tcPr>
            <w:tcW w:w="941" w:type="dxa"/>
            <w:shd w:val="clear" w:color="auto" w:fill="CCC0D9" w:themeFill="accent4" w:themeFillTint="66"/>
          </w:tcPr>
          <w:p w14:paraId="6EFF7975" w14:textId="77777777" w:rsidR="00212083" w:rsidRPr="005970E9" w:rsidRDefault="00212083" w:rsidP="00212083">
            <w:pPr>
              <w:spacing w:before="120" w:after="120"/>
            </w:pPr>
            <w:r w:rsidRPr="005970E9">
              <w:t>2016</w:t>
            </w:r>
          </w:p>
        </w:tc>
        <w:tc>
          <w:tcPr>
            <w:tcW w:w="992" w:type="dxa"/>
            <w:shd w:val="clear" w:color="auto" w:fill="CCC0D9" w:themeFill="accent4" w:themeFillTint="66"/>
          </w:tcPr>
          <w:p w14:paraId="59E36906" w14:textId="77777777" w:rsidR="00212083" w:rsidRPr="005970E9" w:rsidRDefault="00212083" w:rsidP="00212083">
            <w:pPr>
              <w:spacing w:before="120" w:after="120"/>
            </w:pPr>
            <w:r w:rsidRPr="005970E9">
              <w:t>2017</w:t>
            </w:r>
          </w:p>
        </w:tc>
        <w:tc>
          <w:tcPr>
            <w:tcW w:w="992" w:type="dxa"/>
            <w:shd w:val="clear" w:color="auto" w:fill="CCC0D9" w:themeFill="accent4" w:themeFillTint="66"/>
          </w:tcPr>
          <w:p w14:paraId="0440FE33" w14:textId="77777777" w:rsidR="00212083" w:rsidRPr="005970E9" w:rsidRDefault="00212083" w:rsidP="00212083">
            <w:pPr>
              <w:spacing w:before="120" w:after="120"/>
            </w:pPr>
            <w:r w:rsidRPr="005970E9">
              <w:t>2018</w:t>
            </w:r>
          </w:p>
        </w:tc>
        <w:tc>
          <w:tcPr>
            <w:tcW w:w="992" w:type="dxa"/>
            <w:shd w:val="clear" w:color="auto" w:fill="CCC0D9" w:themeFill="accent4" w:themeFillTint="66"/>
          </w:tcPr>
          <w:p w14:paraId="4C649709" w14:textId="77777777" w:rsidR="00212083" w:rsidRPr="005970E9" w:rsidRDefault="00212083" w:rsidP="00212083">
            <w:pPr>
              <w:spacing w:before="120" w:after="120"/>
            </w:pPr>
            <w:r w:rsidRPr="005970E9">
              <w:t>2019</w:t>
            </w:r>
          </w:p>
        </w:tc>
        <w:tc>
          <w:tcPr>
            <w:tcW w:w="2289" w:type="dxa"/>
            <w:shd w:val="clear" w:color="auto" w:fill="CCC0D9" w:themeFill="accent4" w:themeFillTint="66"/>
          </w:tcPr>
          <w:p w14:paraId="4A030A10" w14:textId="77777777" w:rsidR="00212083" w:rsidRPr="005970E9" w:rsidRDefault="00212083" w:rsidP="00212083">
            <w:pPr>
              <w:spacing w:before="120" w:after="120"/>
            </w:pPr>
            <w:r w:rsidRPr="005970E9">
              <w:t xml:space="preserve">2020 hasta marzo </w:t>
            </w:r>
          </w:p>
        </w:tc>
      </w:tr>
      <w:tr w:rsidR="00212083" w:rsidRPr="005970E9" w14:paraId="7E680DDB" w14:textId="77777777" w:rsidTr="00212083">
        <w:trPr>
          <w:gridAfter w:val="1"/>
          <w:wAfter w:w="22" w:type="dxa"/>
          <w:trHeight w:val="229"/>
          <w:jc w:val="center"/>
        </w:trPr>
        <w:tc>
          <w:tcPr>
            <w:tcW w:w="1181" w:type="dxa"/>
          </w:tcPr>
          <w:p w14:paraId="03AEF6C4" w14:textId="77777777" w:rsidR="00212083" w:rsidRPr="005970E9" w:rsidRDefault="00212083" w:rsidP="00212083">
            <w:pPr>
              <w:spacing w:before="120" w:after="120"/>
            </w:pPr>
            <w:r w:rsidRPr="005970E9">
              <w:t xml:space="preserve">Número </w:t>
            </w:r>
          </w:p>
        </w:tc>
        <w:tc>
          <w:tcPr>
            <w:tcW w:w="941" w:type="dxa"/>
          </w:tcPr>
          <w:p w14:paraId="6A3D7745" w14:textId="77777777" w:rsidR="00212083" w:rsidRPr="005970E9" w:rsidRDefault="00212083" w:rsidP="00212083">
            <w:pPr>
              <w:spacing w:before="120" w:after="120"/>
              <w:jc w:val="right"/>
            </w:pPr>
            <w:r w:rsidRPr="005970E9">
              <w:t>42</w:t>
            </w:r>
          </w:p>
        </w:tc>
        <w:tc>
          <w:tcPr>
            <w:tcW w:w="992" w:type="dxa"/>
          </w:tcPr>
          <w:p w14:paraId="53158980" w14:textId="77777777" w:rsidR="00212083" w:rsidRPr="005970E9" w:rsidRDefault="00212083" w:rsidP="00212083">
            <w:pPr>
              <w:spacing w:before="120" w:after="120"/>
              <w:jc w:val="right"/>
            </w:pPr>
            <w:r w:rsidRPr="005970E9">
              <w:t>109</w:t>
            </w:r>
          </w:p>
        </w:tc>
        <w:tc>
          <w:tcPr>
            <w:tcW w:w="992" w:type="dxa"/>
          </w:tcPr>
          <w:p w14:paraId="7C48E1DE" w14:textId="77777777" w:rsidR="00212083" w:rsidRPr="005970E9" w:rsidRDefault="00212083" w:rsidP="00212083">
            <w:pPr>
              <w:spacing w:before="120" w:after="120"/>
              <w:jc w:val="right"/>
            </w:pPr>
            <w:r w:rsidRPr="005970E9">
              <w:t>522</w:t>
            </w:r>
          </w:p>
        </w:tc>
        <w:tc>
          <w:tcPr>
            <w:tcW w:w="992" w:type="dxa"/>
          </w:tcPr>
          <w:p w14:paraId="130DF0D8" w14:textId="77777777" w:rsidR="00212083" w:rsidRPr="005970E9" w:rsidRDefault="00212083" w:rsidP="00212083">
            <w:pPr>
              <w:spacing w:before="120" w:after="120"/>
              <w:jc w:val="right"/>
            </w:pPr>
            <w:r w:rsidRPr="005970E9">
              <w:t>3956</w:t>
            </w:r>
          </w:p>
        </w:tc>
        <w:tc>
          <w:tcPr>
            <w:tcW w:w="2289" w:type="dxa"/>
          </w:tcPr>
          <w:p w14:paraId="18DD573A" w14:textId="77777777" w:rsidR="00212083" w:rsidRPr="005970E9" w:rsidRDefault="00212083" w:rsidP="00212083">
            <w:pPr>
              <w:spacing w:before="120" w:after="120"/>
              <w:jc w:val="right"/>
            </w:pPr>
            <w:r w:rsidRPr="005970E9">
              <w:t>1,107</w:t>
            </w:r>
          </w:p>
        </w:tc>
      </w:tr>
      <w:tr w:rsidR="00212083" w:rsidRPr="005970E9" w14:paraId="09238EFE" w14:textId="77777777" w:rsidTr="00282FF2">
        <w:trPr>
          <w:trHeight w:val="229"/>
          <w:jc w:val="center"/>
        </w:trPr>
        <w:tc>
          <w:tcPr>
            <w:tcW w:w="7409" w:type="dxa"/>
            <w:gridSpan w:val="7"/>
            <w:shd w:val="clear" w:color="auto" w:fill="E5DFEC" w:themeFill="accent4" w:themeFillTint="33"/>
          </w:tcPr>
          <w:p w14:paraId="78E876D4" w14:textId="77777777" w:rsidR="00212083" w:rsidRPr="005970E9" w:rsidRDefault="00212083" w:rsidP="00212083">
            <w:pPr>
              <w:spacing w:before="120" w:after="120"/>
              <w:rPr>
                <w:sz w:val="20"/>
                <w:szCs w:val="20"/>
              </w:rPr>
            </w:pPr>
            <w:r w:rsidRPr="005970E9">
              <w:rPr>
                <w:sz w:val="20"/>
                <w:szCs w:val="20"/>
              </w:rPr>
              <w:t>Fuente: Servicio Nacional de Migración.</w:t>
            </w:r>
          </w:p>
        </w:tc>
      </w:tr>
    </w:tbl>
    <w:p w14:paraId="08ECEB1D" w14:textId="174D3BE5" w:rsidR="00874B25" w:rsidRPr="005970E9" w:rsidRDefault="00874B25" w:rsidP="00B96F12">
      <w:pPr>
        <w:spacing w:before="240" w:after="120" w:line="276" w:lineRule="auto"/>
        <w:jc w:val="both"/>
        <w:rPr>
          <w:sz w:val="24"/>
          <w:szCs w:val="24"/>
        </w:rPr>
      </w:pPr>
      <w:r w:rsidRPr="005970E9">
        <w:rPr>
          <w:sz w:val="24"/>
          <w:szCs w:val="24"/>
        </w:rPr>
        <w:t xml:space="preserve">Al terminar el año las estadísticas del Servicio Nacional de </w:t>
      </w:r>
      <w:r w:rsidR="1C9AC25D" w:rsidRPr="005970E9">
        <w:rPr>
          <w:sz w:val="24"/>
          <w:szCs w:val="24"/>
        </w:rPr>
        <w:t>Migración</w:t>
      </w:r>
      <w:r w:rsidRPr="005970E9">
        <w:rPr>
          <w:sz w:val="24"/>
          <w:szCs w:val="24"/>
        </w:rPr>
        <w:t xml:space="preserve"> revelan que la población de niñas, niños y adolescentes en el cruce de la frontera con Colombia fue el 17% frente a un 83% de población adulta.  </w:t>
      </w:r>
    </w:p>
    <w:p w14:paraId="04045FA0" w14:textId="29F2B015" w:rsidR="00874B25" w:rsidRPr="005970E9" w:rsidRDefault="00874B25" w:rsidP="00A33AA0">
      <w:pPr>
        <w:spacing w:before="120" w:after="120" w:line="276" w:lineRule="auto"/>
        <w:jc w:val="both"/>
        <w:rPr>
          <w:sz w:val="24"/>
          <w:szCs w:val="24"/>
        </w:rPr>
      </w:pPr>
      <w:r w:rsidRPr="005970E9">
        <w:rPr>
          <w:sz w:val="24"/>
          <w:szCs w:val="24"/>
        </w:rPr>
        <w:t xml:space="preserve">Es importante mencionar que también va en aumento la cantidad de población de niñas, niños y adolescentes no acompañados, muchos pierden a sus progenitores durante los cruces de la frontera en Darién, “50 niños, niñas y </w:t>
      </w:r>
      <w:r w:rsidRPr="005970E9">
        <w:rPr>
          <w:sz w:val="24"/>
          <w:szCs w:val="24"/>
        </w:rPr>
        <w:lastRenderedPageBreak/>
        <w:t>adolescentes no acompañados y separados fueron identificados por el Servicio Nacional de Fronteras - SENAFRONT en el flujo migratorio de Darién (entre enero y noviembre) de los cuales 11 casos (3 niñas y 8 niños) corresponden al mes de noviembre. La ausencia de documentos de identidad, presunción de fallecimiento de los familiares en la selva, la barrera de idioma y la diversidad de rangos etarios -que fluctúan desde 6 meses a 17 años, están entre los principales retos que enfrenta el Servicio Nacional de Infancia, Adolescencia y Familia (SENNIAF) para asistir a esta población.”</w:t>
      </w:r>
      <w:r w:rsidRPr="005970E9">
        <w:rPr>
          <w:rStyle w:val="FootnoteReference"/>
          <w:sz w:val="24"/>
          <w:szCs w:val="24"/>
        </w:rPr>
        <w:footnoteReference w:id="67"/>
      </w:r>
      <w:r w:rsidRPr="005970E9">
        <w:rPr>
          <w:sz w:val="24"/>
          <w:szCs w:val="24"/>
        </w:rPr>
        <w:t xml:space="preserve"> Los retos para las instituciones nacionales e internacionales ante esta realidad son muchos, en vista que esta población presenta situaciones particulares que les hace estar en una situación de mayor vulnerabilidad en términos de salud y de vivir situaciones de violencia, en general de derechos humanos vulnerados. </w:t>
      </w:r>
    </w:p>
    <w:p w14:paraId="36D5376C" w14:textId="77777777" w:rsidR="00874B25" w:rsidRPr="005970E9" w:rsidRDefault="00874B25" w:rsidP="00A33AA0">
      <w:pPr>
        <w:spacing w:before="120" w:after="120" w:line="276" w:lineRule="auto"/>
        <w:jc w:val="both"/>
        <w:rPr>
          <w:sz w:val="24"/>
          <w:szCs w:val="24"/>
        </w:rPr>
      </w:pPr>
      <w:r w:rsidRPr="005970E9">
        <w:rPr>
          <w:sz w:val="24"/>
          <w:szCs w:val="24"/>
        </w:rPr>
        <w:t xml:space="preserve">En este momento, los datos sobre las personas menores de edad en el cruce fronterizo, del Sistema Nacional de Migración no están desagregados por sexo ni por edad, para informes de este tipo se requiere que las instituciones que trabajan con esta población recopilen los datos de manera que la información permita que se pueda realizar análisis desde una perspectiva de género, por otra parte, estos datos son indispensables para la adopción de decisiones en la política pública. </w:t>
      </w:r>
    </w:p>
    <w:p w14:paraId="2CBBE9DA" w14:textId="14DB4643" w:rsidR="00874B25" w:rsidRPr="005970E9" w:rsidRDefault="00874B25" w:rsidP="00D478B6">
      <w:pPr>
        <w:pStyle w:val="Heading3"/>
        <w:numPr>
          <w:ilvl w:val="2"/>
          <w:numId w:val="56"/>
        </w:numPr>
      </w:pPr>
      <w:bookmarkStart w:id="269" w:name="_Toc42159242"/>
      <w:bookmarkStart w:id="270" w:name="_Toc42549473"/>
      <w:r w:rsidRPr="005970E9">
        <w:t>Población con necesidades de protección internacional</w:t>
      </w:r>
      <w:bookmarkEnd w:id="269"/>
      <w:bookmarkEnd w:id="270"/>
    </w:p>
    <w:p w14:paraId="40070BD7" w14:textId="77777777" w:rsidR="00874B25" w:rsidRPr="005970E9" w:rsidRDefault="00874B25" w:rsidP="00A33AA0">
      <w:pPr>
        <w:spacing w:before="120" w:after="120" w:line="276" w:lineRule="auto"/>
        <w:jc w:val="both"/>
        <w:rPr>
          <w:sz w:val="24"/>
          <w:szCs w:val="24"/>
        </w:rPr>
      </w:pPr>
      <w:r w:rsidRPr="005970E9">
        <w:rPr>
          <w:sz w:val="24"/>
          <w:szCs w:val="24"/>
        </w:rPr>
        <w:t>La Oficina Nacional para la Atención de Refugiados (ONPAR) es la Dirección adscrita al Ministerio de Gobierno que tiene como objetivo principal la coordinación interinstitucional del Estado, para garantizar la protección y los derechos de personas que solicitan refugio en el país y de las personas que ya han sido reconocidas como refugiadas dentro del territorio nacional.</w:t>
      </w:r>
    </w:p>
    <w:p w14:paraId="695E010F" w14:textId="77777777" w:rsidR="00874B25" w:rsidRPr="005970E9" w:rsidRDefault="00874B25" w:rsidP="00A33AA0">
      <w:pPr>
        <w:spacing w:before="120" w:after="120" w:line="276" w:lineRule="auto"/>
        <w:jc w:val="both"/>
        <w:rPr>
          <w:sz w:val="24"/>
          <w:szCs w:val="24"/>
        </w:rPr>
      </w:pPr>
      <w:r w:rsidRPr="005970E9">
        <w:rPr>
          <w:sz w:val="24"/>
          <w:szCs w:val="24"/>
        </w:rPr>
        <w:t>Según ACNUR el país ha reconocido un total de “2.467 personas como refugiadas desde 1990. Existen 17,048 solicitudes de asilo pendiente de resolución a diciembre de 2019.”</w:t>
      </w:r>
      <w:r w:rsidRPr="005970E9">
        <w:rPr>
          <w:rStyle w:val="FootnoteReference"/>
          <w:sz w:val="24"/>
          <w:szCs w:val="24"/>
        </w:rPr>
        <w:footnoteReference w:id="68"/>
      </w:r>
    </w:p>
    <w:p w14:paraId="565B8100" w14:textId="77777777" w:rsidR="00874B25" w:rsidRPr="005970E9" w:rsidRDefault="00874B25" w:rsidP="00A33AA0">
      <w:pPr>
        <w:spacing w:before="120" w:after="120" w:line="276" w:lineRule="auto"/>
        <w:jc w:val="both"/>
        <w:rPr>
          <w:sz w:val="24"/>
          <w:szCs w:val="24"/>
        </w:rPr>
      </w:pPr>
      <w:r w:rsidRPr="005970E9">
        <w:rPr>
          <w:sz w:val="24"/>
          <w:szCs w:val="24"/>
        </w:rPr>
        <w:t xml:space="preserve">La información recogida a través del monitoreo realizado por ACNUR y el Consejo Noruego nos dice que la “Oficina Nacional para la Atención de los Refugiados (ONPAR) ha recibido un total de 28,366 solicitudes de refugio entre junio de 2014 y diciembre de 2019. La población solicitante de asilo está compuesta principalmente por nicaragüenses, venezolanos, cubanos y personas del norte de Centroamérica (Guatemala, Honduras y El Salvador). Particularmente, durante el último año, el número de solicitudes de asilo de </w:t>
      </w:r>
      <w:r w:rsidRPr="005970E9">
        <w:rPr>
          <w:sz w:val="24"/>
          <w:szCs w:val="24"/>
        </w:rPr>
        <w:lastRenderedPageBreak/>
        <w:t>Nicaragua ha crecido considerablemente, convirtiéndolos hasta el momento en la principal nacionalidad solicitando asilo en Panamá en 2019”</w:t>
      </w:r>
      <w:r w:rsidRPr="005970E9">
        <w:rPr>
          <w:rStyle w:val="FootnoteReference"/>
          <w:sz w:val="24"/>
          <w:szCs w:val="24"/>
        </w:rPr>
        <w:footnoteReference w:id="69"/>
      </w:r>
      <w:r w:rsidRPr="005970E9">
        <w:rPr>
          <w:sz w:val="24"/>
          <w:szCs w:val="24"/>
        </w:rPr>
        <w:t xml:space="preserve">. </w:t>
      </w:r>
    </w:p>
    <w:p w14:paraId="0F70D410" w14:textId="77777777" w:rsidR="00874B25" w:rsidRPr="005970E9" w:rsidRDefault="00874B25" w:rsidP="00A33AA0">
      <w:pPr>
        <w:spacing w:before="120" w:after="120" w:line="276" w:lineRule="auto"/>
        <w:jc w:val="both"/>
        <w:rPr>
          <w:sz w:val="24"/>
          <w:szCs w:val="24"/>
        </w:rPr>
      </w:pPr>
      <w:r w:rsidRPr="005970E9">
        <w:rPr>
          <w:sz w:val="24"/>
          <w:szCs w:val="24"/>
        </w:rPr>
        <w:t xml:space="preserve">La ONPAR en el año 2019 recibió un total de 9,884 solicitudes de refugio, de las cuales solo 235 (2.38%) han sido admitidas para el trámite. La información a la cual se ha tenido acceso en este tema no se encuentra desagregada por sexo, ni por edad y el único dato con el cual se cuenta de manera pública es la nacionalidad. </w:t>
      </w:r>
    </w:p>
    <w:p w14:paraId="76843556" w14:textId="77777777" w:rsidR="00874B25" w:rsidRPr="005970E9" w:rsidRDefault="00874B25" w:rsidP="00A33AA0">
      <w:pPr>
        <w:spacing w:before="120" w:after="120" w:line="276" w:lineRule="auto"/>
        <w:jc w:val="both"/>
        <w:rPr>
          <w:sz w:val="24"/>
          <w:szCs w:val="24"/>
        </w:rPr>
      </w:pPr>
      <w:r w:rsidRPr="005970E9">
        <w:rPr>
          <w:sz w:val="24"/>
          <w:szCs w:val="24"/>
        </w:rPr>
        <w:t>En cuanto a la población de menores de edad con necesidad de protección, el informe de Situación de la Niñez en Panamá de UNICEF, tomando en cuenta las estadísticas de ONPAR, expresa que “La Comisión Nacional de Protección para Refugiados (CONARE) en el periodo de 2014 al 2018 ha otorgado la condición de refugiado a 64 niños, niñas y adolescentes, de estos la mayoría fueron colombianos (49), seguidos por venezolanos (7), salvadoreños (6) y haitianos (2). El 63% fueron niños y el 38% niñas; el 73% tenía entre 11 y 17 años en el momento de ser reconocido como refugiado.”</w:t>
      </w:r>
      <w:r w:rsidRPr="005970E9">
        <w:rPr>
          <w:rStyle w:val="FootnoteReference"/>
          <w:sz w:val="24"/>
          <w:szCs w:val="24"/>
        </w:rPr>
        <w:footnoteReference w:id="70"/>
      </w:r>
      <w:r w:rsidRPr="005970E9">
        <w:rPr>
          <w:sz w:val="24"/>
          <w:szCs w:val="24"/>
        </w:rPr>
        <w:t xml:space="preserve"> Según la misma fuente entre los años 2016 y 2018 se presentaron 3,322 solicitudes del total de estas solitudes entre ese periodo la CONARE otorgó la condición de refugio a 30 personas menores de 18 años de edad, lo que representa un porcentaje del 0.9%, este porcentaje no toma en cuenta todas aquellas solitudes que no fueron admitidas a tramites, ni aquellas donde hubo desistimiento y las que caducaron, si se tomarán en cuenta el porcentaje puede aumentar. </w:t>
      </w:r>
    </w:p>
    <w:p w14:paraId="48FF280A" w14:textId="77777777" w:rsidR="00874B25" w:rsidRPr="005970E9" w:rsidRDefault="00874B25" w:rsidP="00874B25">
      <w:pPr>
        <w:spacing w:before="120" w:after="120"/>
        <w:jc w:val="both"/>
        <w:rPr>
          <w:b/>
          <w:sz w:val="24"/>
          <w:szCs w:val="24"/>
        </w:rPr>
      </w:pPr>
      <w:r w:rsidRPr="005970E9">
        <w:rPr>
          <w:b/>
          <w:sz w:val="24"/>
          <w:szCs w:val="24"/>
        </w:rPr>
        <w:t xml:space="preserve">Permiso laboral </w:t>
      </w:r>
    </w:p>
    <w:p w14:paraId="7FAFF4F3" w14:textId="3B233F86" w:rsidR="00874B25" w:rsidRPr="005970E9" w:rsidRDefault="00874B25" w:rsidP="00A33AA0">
      <w:pPr>
        <w:spacing w:before="120" w:after="120" w:line="276" w:lineRule="auto"/>
        <w:jc w:val="both"/>
        <w:rPr>
          <w:sz w:val="24"/>
          <w:szCs w:val="24"/>
        </w:rPr>
      </w:pPr>
      <w:r w:rsidRPr="005970E9">
        <w:rPr>
          <w:sz w:val="24"/>
          <w:szCs w:val="24"/>
        </w:rPr>
        <w:t>Los permisos laborales son otorgados por el Ministerio de Trabajo y Desarrollo Laboral (MITRADEL) hasta febrero del 2020 se han otorgado 11,720 permisos de trabajo, 6,743 (57%) se han otorgado por causas humanitarias; seguida de la categoría residencia permanente que representó el 10.7% con 1,254 permisos otorgados, y un 5.2% dentro de la reglamentación del 10% de personal extranjero permitido dentro de la empresa, bajo esta categoría se otorgaron 605 permisos laborales. Los datos del MITRADEL no se encuentran desagregados por sexo, ni por lugar de origen, ni por edad.  Para informes futuro es necesario que se cuente con datos desagregados lo cual permite saber en qué sectores se insertan las personas migrantes en la fuerza laboral panameña.</w:t>
      </w:r>
    </w:p>
    <w:p w14:paraId="27578A3F" w14:textId="10B116CD" w:rsidR="00B76B0C" w:rsidRPr="005970E9" w:rsidRDefault="003B5C05" w:rsidP="00D478B6">
      <w:pPr>
        <w:pStyle w:val="Heading2"/>
        <w:numPr>
          <w:ilvl w:val="1"/>
          <w:numId w:val="56"/>
        </w:numPr>
      </w:pPr>
      <w:bookmarkStart w:id="271" w:name="_Toc42159243"/>
      <w:bookmarkStart w:id="272" w:name="_Toc42549474"/>
      <w:r w:rsidRPr="005970E9">
        <w:lastRenderedPageBreak/>
        <w:t>Privadas de libertad.</w:t>
      </w:r>
      <w:bookmarkEnd w:id="271"/>
      <w:bookmarkEnd w:id="272"/>
      <w:r w:rsidRPr="005970E9">
        <w:t xml:space="preserve"> </w:t>
      </w:r>
    </w:p>
    <w:p w14:paraId="108967AB" w14:textId="16385278" w:rsidR="00CB054C" w:rsidRPr="005970E9" w:rsidRDefault="00CB054C" w:rsidP="00D478B6">
      <w:pPr>
        <w:pStyle w:val="Heading3"/>
        <w:numPr>
          <w:ilvl w:val="2"/>
          <w:numId w:val="56"/>
        </w:numPr>
        <w:spacing w:before="120" w:line="276" w:lineRule="auto"/>
        <w:rPr>
          <w:lang w:val="es-ES_tradnl"/>
        </w:rPr>
      </w:pPr>
      <w:bookmarkStart w:id="273" w:name="_Toc42159244"/>
      <w:bookmarkStart w:id="274" w:name="_Toc42549475"/>
      <w:bookmarkStart w:id="275" w:name="_Toc32838589"/>
      <w:r w:rsidRPr="005970E9">
        <w:rPr>
          <w:lang w:val="es-ES_tradnl"/>
        </w:rPr>
        <w:t>Marco normativo</w:t>
      </w:r>
      <w:bookmarkEnd w:id="273"/>
      <w:bookmarkEnd w:id="274"/>
      <w:r w:rsidRPr="005970E9">
        <w:rPr>
          <w:lang w:val="es-ES_tradnl"/>
        </w:rPr>
        <w:t xml:space="preserve">  </w:t>
      </w:r>
    </w:p>
    <w:p w14:paraId="025AC62B" w14:textId="184E4DAA" w:rsidR="00CB054C" w:rsidRPr="005970E9" w:rsidRDefault="00CB054C" w:rsidP="00CB054C">
      <w:pPr>
        <w:spacing w:before="120" w:after="120" w:line="276" w:lineRule="auto"/>
        <w:jc w:val="both"/>
        <w:rPr>
          <w:color w:val="000000" w:themeColor="text1"/>
          <w:lang w:val="es-ES_tradnl"/>
        </w:rPr>
      </w:pPr>
      <w:r w:rsidRPr="005970E9">
        <w:rPr>
          <w:noProof/>
        </w:rPr>
        <mc:AlternateContent>
          <mc:Choice Requires="wps">
            <w:drawing>
              <wp:anchor distT="45720" distB="45720" distL="114300" distR="114300" simplePos="0" relativeHeight="251758633" behindDoc="0" locked="0" layoutInCell="1" allowOverlap="1" wp14:anchorId="1F8FB596" wp14:editId="7AB9069D">
                <wp:simplePos x="0" y="0"/>
                <wp:positionH relativeFrom="column">
                  <wp:posOffset>3364865</wp:posOffset>
                </wp:positionH>
                <wp:positionV relativeFrom="paragraph">
                  <wp:posOffset>20320</wp:posOffset>
                </wp:positionV>
                <wp:extent cx="2247900" cy="2120900"/>
                <wp:effectExtent l="0" t="0" r="19050" b="12700"/>
                <wp:wrapSquare wrapText="bothSides"/>
                <wp:docPr id="242" name="Cuadro de texto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7900" cy="2120900"/>
                        </a:xfrm>
                        <a:prstGeom prst="rect">
                          <a:avLst/>
                        </a:prstGeom>
                        <a:solidFill>
                          <a:srgbClr val="E8D9F3"/>
                        </a:solidFill>
                        <a:ln w="9525">
                          <a:solidFill>
                            <a:srgbClr val="000000"/>
                          </a:solidFill>
                          <a:miter lim="800000"/>
                          <a:headEnd/>
                          <a:tailEnd/>
                        </a:ln>
                      </wps:spPr>
                      <wps:txbx>
                        <w:txbxContent>
                          <w:p w14:paraId="7ED75417" w14:textId="77777777" w:rsidR="00DC0EAB" w:rsidRDefault="00DC0EAB" w:rsidP="00CB054C">
                            <w:pPr>
                              <w:jc w:val="both"/>
                              <w:rPr>
                                <w:bCs/>
                                <w:sz w:val="20"/>
                                <w:szCs w:val="20"/>
                              </w:rPr>
                            </w:pPr>
                            <w:r>
                              <w:rPr>
                                <w:b/>
                                <w:bCs/>
                                <w:sz w:val="20"/>
                                <w:szCs w:val="20"/>
                              </w:rPr>
                              <w:t>“</w:t>
                            </w:r>
                            <w:r>
                              <w:rPr>
                                <w:bCs/>
                                <w:sz w:val="20"/>
                                <w:szCs w:val="20"/>
                              </w:rPr>
                              <w:t>Suele decirse que nadie conoce realmente cómo es una nación hasta haber estado en una de sus cárceles. Una nación no debe juzgarse por cómo trata a sus ciudadanos con mejor posición, sino por cómo trata a los que tienen poco o nada.”</w:t>
                            </w:r>
                          </w:p>
                          <w:p w14:paraId="25C1EE05" w14:textId="77777777" w:rsidR="00DC0EAB" w:rsidRDefault="00DC0EAB" w:rsidP="00CB054C">
                            <w:pPr>
                              <w:jc w:val="both"/>
                              <w:rPr>
                                <w:bCs/>
                                <w:sz w:val="20"/>
                                <w:szCs w:val="20"/>
                              </w:rPr>
                            </w:pPr>
                          </w:p>
                          <w:p w14:paraId="1BD4EC71" w14:textId="77777777" w:rsidR="00DC0EAB" w:rsidRDefault="00DC0EAB" w:rsidP="00CB054C">
                            <w:pPr>
                              <w:jc w:val="both"/>
                              <w:rPr>
                                <w:bCs/>
                                <w:sz w:val="20"/>
                                <w:szCs w:val="20"/>
                              </w:rPr>
                            </w:pPr>
                            <w:r>
                              <w:rPr>
                                <w:bCs/>
                                <w:sz w:val="20"/>
                                <w:szCs w:val="20"/>
                              </w:rPr>
                              <w:t>Nelson Rolihlahla Mandela.</w:t>
                            </w:r>
                          </w:p>
                          <w:p w14:paraId="527F6E7C" w14:textId="77777777" w:rsidR="00DC0EAB" w:rsidRDefault="00DC0EAB" w:rsidP="00CB054C">
                            <w:pPr>
                              <w:jc w:val="both"/>
                              <w:rPr>
                                <w:b/>
                                <w:bCs/>
                                <w:sz w:val="20"/>
                                <w:szCs w:val="20"/>
                              </w:rPr>
                            </w:pPr>
                            <w:r>
                              <w:rPr>
                                <w:b/>
                                <w:bCs/>
                                <w:sz w:val="20"/>
                                <w:szCs w:val="20"/>
                              </w:rPr>
                              <w:t>Las personas privadas de libertad, ¿son sujetos de derechos?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FB596" id="Cuadro de texto 87" o:spid="_x0000_s1038" type="#_x0000_t202" style="position:absolute;left:0;text-align:left;margin-left:264.95pt;margin-top:1.6pt;width:177pt;height:167pt;flip:x;z-index:2517586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" fillcolor="#e8d9f3">
                <v:textbox>
                  <w:txbxContent>
                    <w:p w14:paraId="7ED75417" w14:textId="77777777" w:rsidR="00DC0EAB" w:rsidRDefault="00DC0EAB" w:rsidP="00CB054C">
                      <w:pPr>
                        <w:jc w:val="both"/>
                        <w:rPr>
                          <w:bCs/>
                          <w:sz w:val="20"/>
                          <w:szCs w:val="20"/>
                        </w:rPr>
                      </w:pPr>
                      <w:r>
                        <w:rPr>
                          <w:b/>
                          <w:bCs/>
                          <w:sz w:val="20"/>
                          <w:szCs w:val="20"/>
                        </w:rPr>
                        <w:t>“</w:t>
                      </w:r>
                      <w:r>
                        <w:rPr>
                          <w:bCs/>
                          <w:sz w:val="20"/>
                          <w:szCs w:val="20"/>
                        </w:rPr>
                        <w:t>Suele decirse que nadie conoce realmente cómo es una nación hasta haber estado en una de sus cárceles. Una nación no debe juzgarse por cómo trata a sus ciudadanos con mejor posición, sino por cómo trata a los que tienen poco o nada.”</w:t>
                      </w:r>
                    </w:p>
                    <w:p w14:paraId="25C1EE05" w14:textId="77777777" w:rsidR="00DC0EAB" w:rsidRDefault="00DC0EAB" w:rsidP="00CB054C">
                      <w:pPr>
                        <w:jc w:val="both"/>
                        <w:rPr>
                          <w:bCs/>
                          <w:sz w:val="20"/>
                          <w:szCs w:val="20"/>
                        </w:rPr>
                      </w:pPr>
                    </w:p>
                    <w:p w14:paraId="1BD4EC71" w14:textId="77777777" w:rsidR="00DC0EAB" w:rsidRDefault="00DC0EAB" w:rsidP="00CB054C">
                      <w:pPr>
                        <w:jc w:val="both"/>
                        <w:rPr>
                          <w:bCs/>
                          <w:sz w:val="20"/>
                          <w:szCs w:val="20"/>
                        </w:rPr>
                      </w:pPr>
                      <w:r>
                        <w:rPr>
                          <w:bCs/>
                          <w:sz w:val="20"/>
                          <w:szCs w:val="20"/>
                        </w:rPr>
                        <w:t>Nelson Rolihlahla Mandela.</w:t>
                      </w:r>
                    </w:p>
                    <w:p w14:paraId="527F6E7C" w14:textId="77777777" w:rsidR="00DC0EAB" w:rsidRDefault="00DC0EAB" w:rsidP="00CB054C">
                      <w:pPr>
                        <w:jc w:val="both"/>
                        <w:rPr>
                          <w:b/>
                          <w:bCs/>
                          <w:sz w:val="20"/>
                          <w:szCs w:val="20"/>
                        </w:rPr>
                      </w:pPr>
                      <w:r>
                        <w:rPr>
                          <w:b/>
                          <w:bCs/>
                          <w:sz w:val="20"/>
                          <w:szCs w:val="20"/>
                        </w:rPr>
                        <w:t>Las personas privadas de libertad, ¿son sujetos de derechos?</w:t>
                      </w:r>
                    </w:p>
                  </w:txbxContent>
                </v:textbox>
                <w10:wrap type="square"/>
              </v:shape>
            </w:pict>
          </mc:Fallback>
        </mc:AlternateContent>
      </w:r>
      <w:r w:rsidRPr="005970E9">
        <w:rPr>
          <w:noProof/>
        </w:rPr>
        <mc:AlternateContent>
          <mc:Choice Requires="wps">
            <w:drawing>
              <wp:anchor distT="45720" distB="45720" distL="114300" distR="114300" simplePos="0" relativeHeight="251658274" behindDoc="0" locked="0" layoutInCell="1" allowOverlap="1" wp14:anchorId="1F8FB596" wp14:editId="77FCE936">
                <wp:simplePos x="0" y="0"/>
                <wp:positionH relativeFrom="column">
                  <wp:posOffset>3362325</wp:posOffset>
                </wp:positionH>
                <wp:positionV relativeFrom="paragraph">
                  <wp:posOffset>19685</wp:posOffset>
                </wp:positionV>
                <wp:extent cx="2247900" cy="2085975"/>
                <wp:effectExtent l="0" t="0" r="19050" b="28575"/>
                <wp:wrapSquare wrapText="bothSides"/>
                <wp:docPr id="87" name="Cuadro de texto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7900" cy="2085975"/>
                        </a:xfrm>
                        <a:prstGeom prst="rect">
                          <a:avLst/>
                        </a:prstGeom>
                        <a:solidFill>
                          <a:srgbClr val="E8D9F3"/>
                        </a:solidFill>
                        <a:ln w="9525">
                          <a:solidFill>
                            <a:srgbClr val="000000"/>
                          </a:solidFill>
                          <a:miter lim="800000"/>
                          <a:headEnd/>
                          <a:tailEnd/>
                        </a:ln>
                      </wps:spPr>
                      <wps:txbx>
                        <w:txbxContent>
                          <w:p w14:paraId="1CF10935" w14:textId="77777777" w:rsidR="00DC0EAB" w:rsidRDefault="00DC0EAB" w:rsidP="00CB054C">
                            <w:pPr>
                              <w:jc w:val="both"/>
                              <w:rPr>
                                <w:bCs/>
                                <w:sz w:val="20"/>
                                <w:szCs w:val="20"/>
                              </w:rPr>
                            </w:pPr>
                            <w:r>
                              <w:rPr>
                                <w:b/>
                                <w:bCs/>
                                <w:sz w:val="20"/>
                                <w:szCs w:val="20"/>
                              </w:rPr>
                              <w:t>“</w:t>
                            </w:r>
                            <w:r>
                              <w:rPr>
                                <w:bCs/>
                                <w:sz w:val="20"/>
                                <w:szCs w:val="20"/>
                              </w:rPr>
                              <w:t>Suele decirse que nadie conoce realmente cómo es una nación hasta haber estado en una de sus cárceles. Una nación no debe juzgarse por cómo trata a sus ciudadanos con mejor posición, sino por cómo trata a los que tienen poco o nada.”</w:t>
                            </w:r>
                          </w:p>
                          <w:p w14:paraId="65FAEE73" w14:textId="77777777" w:rsidR="00DC0EAB" w:rsidRDefault="00DC0EAB" w:rsidP="00CB054C">
                            <w:pPr>
                              <w:jc w:val="both"/>
                              <w:rPr>
                                <w:bCs/>
                                <w:sz w:val="20"/>
                                <w:szCs w:val="20"/>
                              </w:rPr>
                            </w:pPr>
                          </w:p>
                          <w:p w14:paraId="669A9475" w14:textId="77777777" w:rsidR="00DC0EAB" w:rsidRDefault="00DC0EAB" w:rsidP="00CB054C">
                            <w:pPr>
                              <w:jc w:val="both"/>
                              <w:rPr>
                                <w:bCs/>
                                <w:sz w:val="20"/>
                                <w:szCs w:val="20"/>
                              </w:rPr>
                            </w:pPr>
                            <w:r>
                              <w:rPr>
                                <w:bCs/>
                                <w:sz w:val="20"/>
                                <w:szCs w:val="20"/>
                              </w:rPr>
                              <w:t>Nelson Rolihlahla Mandela.</w:t>
                            </w:r>
                          </w:p>
                          <w:p w14:paraId="533E2ECF" w14:textId="77777777" w:rsidR="00DC0EAB" w:rsidRDefault="00DC0EAB" w:rsidP="00CB054C">
                            <w:pPr>
                              <w:jc w:val="both"/>
                              <w:rPr>
                                <w:b/>
                                <w:bCs/>
                                <w:sz w:val="20"/>
                                <w:szCs w:val="20"/>
                              </w:rPr>
                            </w:pPr>
                            <w:r>
                              <w:rPr>
                                <w:b/>
                                <w:bCs/>
                                <w:sz w:val="20"/>
                                <w:szCs w:val="20"/>
                              </w:rPr>
                              <w:t>Las personas privadas de libertad, ¿son sujetos de derechos?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FB596" id="_x0000_s1039" type="#_x0000_t202" style="position:absolute;left:0;text-align:left;margin-left:264.75pt;margin-top:1.55pt;width:177pt;height:164.25pt;flip:x;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" fillcolor="#e8d9f3">
                <v:textbox>
                  <w:txbxContent>
                    <w:p w14:paraId="1CF10935" w14:textId="77777777" w:rsidR="00DC0EAB" w:rsidRDefault="00DC0EAB" w:rsidP="00CB054C">
                      <w:pPr>
                        <w:jc w:val="both"/>
                        <w:rPr>
                          <w:bCs/>
                          <w:sz w:val="20"/>
                          <w:szCs w:val="20"/>
                        </w:rPr>
                      </w:pPr>
                      <w:r>
                        <w:rPr>
                          <w:b/>
                          <w:bCs/>
                          <w:sz w:val="20"/>
                          <w:szCs w:val="20"/>
                        </w:rPr>
                        <w:t>“</w:t>
                      </w:r>
                      <w:r>
                        <w:rPr>
                          <w:bCs/>
                          <w:sz w:val="20"/>
                          <w:szCs w:val="20"/>
                        </w:rPr>
                        <w:t>Suele decirse que nadie conoce realmente cómo es una nación hasta haber estado en una de sus cárceles. Una nación no debe juzgarse por cómo trata a sus ciudadanos con mejor posición, sino por cómo trata a los que tienen poco o nada.”</w:t>
                      </w:r>
                    </w:p>
                    <w:p w14:paraId="65FAEE73" w14:textId="77777777" w:rsidR="00DC0EAB" w:rsidRDefault="00DC0EAB" w:rsidP="00CB054C">
                      <w:pPr>
                        <w:jc w:val="both"/>
                        <w:rPr>
                          <w:bCs/>
                          <w:sz w:val="20"/>
                          <w:szCs w:val="20"/>
                        </w:rPr>
                      </w:pPr>
                    </w:p>
                    <w:p w14:paraId="669A9475" w14:textId="77777777" w:rsidR="00DC0EAB" w:rsidRDefault="00DC0EAB" w:rsidP="00CB054C">
                      <w:pPr>
                        <w:jc w:val="both"/>
                        <w:rPr>
                          <w:bCs/>
                          <w:sz w:val="20"/>
                          <w:szCs w:val="20"/>
                        </w:rPr>
                      </w:pPr>
                      <w:r>
                        <w:rPr>
                          <w:bCs/>
                          <w:sz w:val="20"/>
                          <w:szCs w:val="20"/>
                        </w:rPr>
                        <w:t>Nelson Rolihlahla Mandela.</w:t>
                      </w:r>
                    </w:p>
                    <w:p w14:paraId="533E2ECF" w14:textId="77777777" w:rsidR="00DC0EAB" w:rsidRDefault="00DC0EAB" w:rsidP="00CB054C">
                      <w:pPr>
                        <w:jc w:val="both"/>
                        <w:rPr>
                          <w:b/>
                          <w:bCs/>
                          <w:sz w:val="20"/>
                          <w:szCs w:val="20"/>
                        </w:rPr>
                      </w:pPr>
                      <w:r>
                        <w:rPr>
                          <w:b/>
                          <w:bCs/>
                          <w:sz w:val="20"/>
                          <w:szCs w:val="20"/>
                        </w:rPr>
                        <w:t>Las personas privadas de libertad, ¿son sujetos de derechos?</w:t>
                      </w:r>
                    </w:p>
                  </w:txbxContent>
                </v:textbox>
                <w10:wrap type="square"/>
              </v:shape>
            </w:pict>
          </mc:Fallback>
        </mc:AlternateContent>
      </w:r>
      <w:r w:rsidRPr="005970E9">
        <w:rPr>
          <w:color w:val="000000" w:themeColor="text1"/>
          <w:lang w:val="es-ES_tradnl"/>
        </w:rPr>
        <w:t>La base legal del sistema penitenciario panameño es</w:t>
      </w:r>
      <w:r w:rsidR="00611352" w:rsidRPr="005970E9">
        <w:rPr>
          <w:color w:val="000000" w:themeColor="text1"/>
          <w:lang w:val="es-ES_tradnl"/>
        </w:rPr>
        <w:t>tá en</w:t>
      </w:r>
      <w:r w:rsidRPr="005970E9">
        <w:rPr>
          <w:color w:val="000000" w:themeColor="text1"/>
          <w:lang w:val="es-ES_tradnl"/>
        </w:rPr>
        <w:t xml:space="preserve"> la Constitución la cual refleja</w:t>
      </w:r>
      <w:r w:rsidRPr="005970E9">
        <w:rPr>
          <w:noProof/>
          <w:lang w:val="es-ES_tradnl"/>
        </w:rPr>
        <w:t xml:space="preserve"> </w:t>
      </w:r>
      <w:r w:rsidRPr="005970E9">
        <w:rPr>
          <w:color w:val="000000" w:themeColor="text1"/>
          <w:lang w:val="es-ES_tradnl"/>
        </w:rPr>
        <w:t>en su Artículo 28</w:t>
      </w:r>
      <w:r w:rsidR="00611352" w:rsidRPr="005970E9">
        <w:rPr>
          <w:color w:val="000000" w:themeColor="text1"/>
          <w:lang w:val="es-ES_tradnl"/>
        </w:rPr>
        <w:t>, q</w:t>
      </w:r>
      <w:r w:rsidRPr="005970E9">
        <w:rPr>
          <w:color w:val="000000" w:themeColor="text1"/>
          <w:lang w:val="es-ES_tradnl"/>
        </w:rPr>
        <w:t xml:space="preserve">ue “El sistema penitenciario se funda en principios de seguridad, rehabilitación y defensa social” (Constitución </w:t>
      </w:r>
      <w:r w:rsidRPr="005970E9">
        <w:t>de la República</w:t>
      </w:r>
      <w:r w:rsidRPr="005970E9">
        <w:rPr>
          <w:color w:val="000000" w:themeColor="text1"/>
          <w:lang w:val="es-ES_tradnl"/>
        </w:rPr>
        <w:t>, 1974) y a nivel internacional la Declaración de los Derechos Humanos, las Reglas Mínimas para el tratamiento del Recluso (Las Reglas Nelson Mandela) las Reglas de las Naciones Unidas para el tratamiento de las reclusas y medidas no privativas de la libertad para las mujeres delincuentes (Reglas de Bangkok) y otros convenios internacionales.</w:t>
      </w:r>
    </w:p>
    <w:p w14:paraId="6F711830" w14:textId="77777777" w:rsidR="00CB054C" w:rsidRPr="005970E9" w:rsidRDefault="00CB054C" w:rsidP="00CB054C">
      <w:pPr>
        <w:spacing w:before="120" w:after="120" w:line="276" w:lineRule="auto"/>
        <w:jc w:val="both"/>
        <w:rPr>
          <w:color w:val="000000" w:themeColor="text1"/>
          <w:lang w:val="es-ES_tradnl"/>
        </w:rPr>
      </w:pPr>
      <w:r w:rsidRPr="005970E9">
        <w:rPr>
          <w:color w:val="000000" w:themeColor="text1"/>
          <w:lang w:val="es-ES_tradnl"/>
        </w:rPr>
        <w:t xml:space="preserve">El Sistema Penitenciario panameño se rige por la Ley N°55 de julio del 2003, la cual establece un conjunto organizado, funcional y estructurado de elementos normativos, técnicos y científicos que definen la naturaleza de los centros penitenciarios establecidos en la Constitución (Articulo 28) y en el Decreto Ejecutivo No. 393 de julio de 2005, que establece el Reglamento Penitenciario. </w:t>
      </w:r>
    </w:p>
    <w:p w14:paraId="60B9EEF6" w14:textId="10E90123" w:rsidR="00CB054C" w:rsidRPr="005970E9" w:rsidRDefault="00CB054C" w:rsidP="00D478B6">
      <w:pPr>
        <w:pStyle w:val="Heading3"/>
        <w:numPr>
          <w:ilvl w:val="2"/>
          <w:numId w:val="56"/>
        </w:numPr>
        <w:spacing w:before="120" w:line="276" w:lineRule="auto"/>
        <w:rPr>
          <w:lang w:val="es-ES_tradnl"/>
        </w:rPr>
      </w:pPr>
      <w:bookmarkStart w:id="276" w:name="_Toc42159245"/>
      <w:bookmarkStart w:id="277" w:name="_Toc42549476"/>
      <w:r w:rsidRPr="005970E9">
        <w:rPr>
          <w:lang w:val="es-ES_tradnl"/>
        </w:rPr>
        <w:t>Densidad y distribución de la población penitenciaria.</w:t>
      </w:r>
      <w:bookmarkEnd w:id="276"/>
      <w:bookmarkEnd w:id="277"/>
      <w:r w:rsidRPr="005970E9">
        <w:rPr>
          <w:lang w:val="es-ES_tradnl"/>
        </w:rPr>
        <w:t xml:space="preserve"> </w:t>
      </w:r>
    </w:p>
    <w:p w14:paraId="58113825" w14:textId="77777777" w:rsidR="00CB054C" w:rsidRPr="005970E9" w:rsidRDefault="00CB054C" w:rsidP="00CB054C">
      <w:pPr>
        <w:widowControl w:val="0"/>
        <w:autoSpaceDE w:val="0"/>
        <w:autoSpaceDN w:val="0"/>
        <w:adjustRightInd w:val="0"/>
        <w:spacing w:before="120" w:after="120" w:line="276" w:lineRule="auto"/>
        <w:jc w:val="both"/>
        <w:rPr>
          <w:rFonts w:eastAsiaTheme="minorEastAsia"/>
          <w:lang w:eastAsia="en-US"/>
        </w:rPr>
      </w:pPr>
      <w:r w:rsidRPr="005970E9">
        <w:rPr>
          <w:lang w:val="es-ES_tradnl"/>
        </w:rPr>
        <w:t>Panamá cuenta desde hace algunos años con un alto número de privados/as de libertad en relación al contexto de otros países de la región. La tasa de encarcelamiento de Panamá es de 430 por 100.000 habitantes, en 2020 (MINGOB. 2020), comparado con una tasa de 204 en México, 124 en Guatemala, 104 en Haití y 236 en Colombia. Sólo supera a Cuba, que tiene el índice más alto de encarcelamiento en América Latina.</w:t>
      </w:r>
      <w:r w:rsidRPr="005970E9">
        <w:rPr>
          <w:rStyle w:val="FootnoteReference"/>
          <w:rFonts w:eastAsiaTheme="minorEastAsia"/>
          <w:lang w:eastAsia="en-US"/>
        </w:rPr>
        <w:footnoteReference w:id="71"/>
      </w:r>
    </w:p>
    <w:p w14:paraId="27A3C90C" w14:textId="54889296" w:rsidR="00CB054C" w:rsidRPr="005970E9" w:rsidRDefault="00CB054C" w:rsidP="281BE7A6">
      <w:pPr>
        <w:widowControl w:val="0"/>
        <w:autoSpaceDE w:val="0"/>
        <w:autoSpaceDN w:val="0"/>
        <w:adjustRightInd w:val="0"/>
        <w:spacing w:before="120" w:after="120" w:line="276" w:lineRule="auto"/>
        <w:jc w:val="both"/>
        <w:rPr>
          <w:lang w:val="es-ES"/>
        </w:rPr>
      </w:pPr>
      <w:r w:rsidRPr="005970E9">
        <w:rPr>
          <w:lang w:val="es-ES"/>
        </w:rPr>
        <w:t xml:space="preserve">Actualmente (febrero 2020) la población </w:t>
      </w:r>
      <w:r w:rsidR="00314322" w:rsidRPr="005970E9">
        <w:rPr>
          <w:lang w:val="es-ES"/>
        </w:rPr>
        <w:t>privada de libertad (</w:t>
      </w:r>
      <w:r w:rsidRPr="005970E9">
        <w:rPr>
          <w:lang w:val="es-ES"/>
        </w:rPr>
        <w:t>PL</w:t>
      </w:r>
      <w:r w:rsidR="00314322" w:rsidRPr="005970E9">
        <w:rPr>
          <w:lang w:val="es-ES"/>
        </w:rPr>
        <w:t>)</w:t>
      </w:r>
      <w:r w:rsidRPr="005970E9">
        <w:rPr>
          <w:lang w:val="es-ES"/>
        </w:rPr>
        <w:t xml:space="preserve"> en los Centros Penitenciarios de Panamá es mayoritariamente masculina (95%) hombres y mujeres sólo el 5%, pero con similares condiciones de deshumanización, invisibilización y poca atención para ambos sexos (MINGOB. 2020)</w:t>
      </w:r>
      <w:r w:rsidR="00314322" w:rsidRPr="005970E9">
        <w:rPr>
          <w:lang w:val="es-ES"/>
        </w:rPr>
        <w:t>.</w:t>
      </w:r>
    </w:p>
    <w:p w14:paraId="51649086" w14:textId="5B139DE0"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 xml:space="preserve">Según la misma fuente, del total de población privada de libertad (hombres y mujeres) en Panamá, un 68% se encuentra en la provincia de Panamá con 12,369 hombres y mujeres, distribuidos en </w:t>
      </w:r>
      <w:r w:rsidR="00314322" w:rsidRPr="005970E9">
        <w:rPr>
          <w:lang w:val="es-ES_tradnl"/>
        </w:rPr>
        <w:t>siete (</w:t>
      </w:r>
      <w:r w:rsidRPr="005970E9">
        <w:rPr>
          <w:lang w:val="es-ES_tradnl"/>
        </w:rPr>
        <w:t>7</w:t>
      </w:r>
      <w:r w:rsidR="00314322" w:rsidRPr="005970E9">
        <w:rPr>
          <w:lang w:val="es-ES_tradnl"/>
        </w:rPr>
        <w:t>)</w:t>
      </w:r>
      <w:r w:rsidRPr="005970E9">
        <w:rPr>
          <w:lang w:val="es-ES_tradnl"/>
        </w:rPr>
        <w:t xml:space="preserve"> centros penitenciarios; le sigue la provincia de Chiriquí   con un 10% (1,809) distribuida en dos centros y Colón con un 9% (1,653). Estas tres provincias suman el 87% de las personas privadas de libertad, el 13% sobrante se dispersa en el resto de las provincias del </w:t>
      </w:r>
      <w:r w:rsidR="00872D66" w:rsidRPr="005970E9">
        <w:rPr>
          <w:lang w:val="es-ES_tradnl"/>
        </w:rPr>
        <w:t>país (</w:t>
      </w:r>
      <w:r w:rsidRPr="005970E9">
        <w:rPr>
          <w:lang w:val="es-ES_tradnl"/>
        </w:rPr>
        <w:t xml:space="preserve">Observar la gráfica </w:t>
      </w:r>
      <w:r w:rsidR="00872D66">
        <w:rPr>
          <w:lang w:val="es-ES_tradnl"/>
        </w:rPr>
        <w:t>35</w:t>
      </w:r>
      <w:r w:rsidRPr="005970E9">
        <w:rPr>
          <w:lang w:val="es-ES_tradnl"/>
        </w:rPr>
        <w:t>)</w:t>
      </w:r>
      <w:r w:rsidR="00314322" w:rsidRPr="005970E9">
        <w:rPr>
          <w:lang w:val="es-ES_tradnl"/>
        </w:rPr>
        <w:t>.</w:t>
      </w:r>
    </w:p>
    <w:p w14:paraId="1A09433E" w14:textId="77777777" w:rsidR="00CB054C" w:rsidRPr="005970E9" w:rsidRDefault="00CB054C" w:rsidP="00CB054C">
      <w:pPr>
        <w:spacing w:before="120" w:after="120" w:line="276" w:lineRule="auto"/>
        <w:jc w:val="both"/>
        <w:rPr>
          <w:color w:val="000000" w:themeColor="text1"/>
          <w:lang w:val="es-ES_tradnl"/>
        </w:rPr>
      </w:pPr>
    </w:p>
    <w:p w14:paraId="70655DD7" w14:textId="6EC5AC68" w:rsidR="00CB054C" w:rsidRPr="005970E9" w:rsidRDefault="00296FD9" w:rsidP="00296FD9">
      <w:pPr>
        <w:pStyle w:val="Caption"/>
        <w:keepNext/>
        <w:jc w:val="both"/>
        <w:rPr>
          <w:rFonts w:ascii="Century Schoolbook" w:hAnsi="Century Schoolbook"/>
        </w:rPr>
      </w:pPr>
      <w:bookmarkStart w:id="278" w:name="_Toc42549267"/>
      <w:r w:rsidRPr="005970E9">
        <w:rPr>
          <w:rFonts w:ascii="Century Schoolbook" w:hAnsi="Century Schoolbook"/>
          <w:bCs/>
          <w:noProof/>
          <w:sz w:val="20"/>
          <w:szCs w:val="20"/>
        </w:rPr>
        <w:drawing>
          <wp:anchor distT="0" distB="0" distL="114300" distR="114300" simplePos="0" relativeHeight="251658277" behindDoc="1" locked="0" layoutInCell="1" allowOverlap="1" wp14:anchorId="673607FE" wp14:editId="58E4307E">
            <wp:simplePos x="0" y="0"/>
            <wp:positionH relativeFrom="margin">
              <wp:posOffset>-6985</wp:posOffset>
            </wp:positionH>
            <wp:positionV relativeFrom="paragraph">
              <wp:posOffset>227330</wp:posOffset>
            </wp:positionV>
            <wp:extent cx="3816350" cy="2249805"/>
            <wp:effectExtent l="0" t="0" r="12700" b="17145"/>
            <wp:wrapTight wrapText="bothSides">
              <wp:wrapPolygon edited="0">
                <wp:start x="0" y="0"/>
                <wp:lineTo x="0" y="21582"/>
                <wp:lineTo x="21564" y="21582"/>
                <wp:lineTo x="21564" y="0"/>
                <wp:lineTo x="0" y="0"/>
              </wp:wrapPolygon>
            </wp:wrapTight>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Pr="005970E9">
        <w:rPr>
          <w:rFonts w:ascii="Century Schoolbook" w:hAnsi="Century Schoolbook"/>
        </w:rPr>
        <w:t xml:space="preserve">Gráfica </w:t>
      </w:r>
      <w:r w:rsidR="00F202BE" w:rsidRPr="005970E9">
        <w:rPr>
          <w:rFonts w:ascii="Century Schoolbook" w:hAnsi="Century Schoolbook"/>
        </w:rPr>
        <w:fldChar w:fldCharType="begin"/>
      </w:r>
      <w:r w:rsidR="00F202BE" w:rsidRPr="005970E9">
        <w:rPr>
          <w:rFonts w:ascii="Century Schoolbook" w:hAnsi="Century Schoolbook"/>
        </w:rPr>
        <w:instrText xml:space="preserve"> SEQ Gráfica \* ARABIC </w:instrText>
      </w:r>
      <w:r w:rsidR="00F202BE" w:rsidRPr="005970E9">
        <w:rPr>
          <w:rFonts w:ascii="Century Schoolbook" w:hAnsi="Century Schoolbook"/>
        </w:rPr>
        <w:fldChar w:fldCharType="separate"/>
      </w:r>
      <w:r w:rsidR="00973E88" w:rsidRPr="005970E9">
        <w:rPr>
          <w:rFonts w:ascii="Century Schoolbook" w:hAnsi="Century Schoolbook"/>
          <w:noProof/>
        </w:rPr>
        <w:t>35</w:t>
      </w:r>
      <w:r w:rsidR="00F202BE" w:rsidRPr="005970E9">
        <w:rPr>
          <w:rFonts w:ascii="Century Schoolbook" w:hAnsi="Century Schoolbook"/>
        </w:rPr>
        <w:fldChar w:fldCharType="end"/>
      </w:r>
      <w:r w:rsidRPr="005970E9">
        <w:rPr>
          <w:rFonts w:ascii="Century Schoolbook" w:hAnsi="Century Schoolbook"/>
        </w:rPr>
        <w:t xml:space="preserve">. </w:t>
      </w:r>
      <w:r w:rsidRPr="005970E9">
        <w:rPr>
          <w:rFonts w:ascii="Century Schoolbook" w:hAnsi="Century Schoolbook"/>
          <w:bCs/>
          <w:sz w:val="20"/>
          <w:szCs w:val="20"/>
          <w:lang w:val="es-ES_tradnl"/>
        </w:rPr>
        <w:t xml:space="preserve">Población adulta privada de libertad en la república, según provincia: año </w:t>
      </w:r>
      <w:r w:rsidR="00CB054C" w:rsidRPr="005970E9">
        <w:rPr>
          <w:rFonts w:ascii="Century Schoolbook" w:hAnsi="Century Schoolbook"/>
          <w:bCs/>
          <w:sz w:val="20"/>
          <w:szCs w:val="20"/>
          <w:lang w:val="es-ES_tradnl"/>
        </w:rPr>
        <w:t>2020</w:t>
      </w:r>
      <w:r w:rsidR="00CB054C" w:rsidRPr="005970E9">
        <w:rPr>
          <w:rFonts w:ascii="Century Schoolbook" w:hAnsi="Century Schoolbook"/>
          <w:b/>
          <w:lang w:val="es-ES_tradnl"/>
        </w:rPr>
        <w:t>.</w:t>
      </w:r>
      <w:bookmarkEnd w:id="278"/>
    </w:p>
    <w:p w14:paraId="48627F54" w14:textId="59311D11" w:rsidR="00A86795" w:rsidRPr="005970E9" w:rsidRDefault="00A86795" w:rsidP="00CB054C">
      <w:pPr>
        <w:widowControl w:val="0"/>
        <w:autoSpaceDE w:val="0"/>
        <w:autoSpaceDN w:val="0"/>
        <w:adjustRightInd w:val="0"/>
        <w:spacing w:before="120" w:after="120" w:line="276" w:lineRule="auto"/>
        <w:jc w:val="both"/>
        <w:rPr>
          <w:b/>
          <w:bCs/>
          <w:lang w:val="es-ES_tradnl"/>
        </w:rPr>
      </w:pPr>
    </w:p>
    <w:p w14:paraId="4C34F6CF" w14:textId="77777777" w:rsidR="00A86795" w:rsidRPr="005970E9" w:rsidRDefault="00A86795" w:rsidP="00CB054C">
      <w:pPr>
        <w:widowControl w:val="0"/>
        <w:autoSpaceDE w:val="0"/>
        <w:autoSpaceDN w:val="0"/>
        <w:adjustRightInd w:val="0"/>
        <w:spacing w:before="120" w:after="120" w:line="276" w:lineRule="auto"/>
        <w:jc w:val="both"/>
        <w:rPr>
          <w:b/>
          <w:bCs/>
          <w:lang w:val="es-ES_tradnl"/>
        </w:rPr>
      </w:pPr>
    </w:p>
    <w:p w14:paraId="249A18F9" w14:textId="0A570B8B"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b/>
          <w:bCs/>
          <w:lang w:val="es-ES_tradnl"/>
        </w:rPr>
        <w:t>Fuente</w:t>
      </w:r>
      <w:r w:rsidRPr="005970E9">
        <w:rPr>
          <w:lang w:val="es-ES_tradnl"/>
        </w:rPr>
        <w:t>: Elaboración propia a partir de los datos del Ministerio del Gobierno, Dirección General del Sistema Penitenciario. Estadística mensual, febrero 2020.</w:t>
      </w:r>
    </w:p>
    <w:p w14:paraId="3C61ADD8" w14:textId="05BB9D53" w:rsidR="00A86795" w:rsidRPr="005970E9" w:rsidRDefault="00A86795" w:rsidP="00CB054C">
      <w:pPr>
        <w:widowControl w:val="0"/>
        <w:autoSpaceDE w:val="0"/>
        <w:autoSpaceDN w:val="0"/>
        <w:adjustRightInd w:val="0"/>
        <w:spacing w:before="120" w:after="120" w:line="276" w:lineRule="auto"/>
        <w:jc w:val="both"/>
        <w:rPr>
          <w:lang w:val="es-ES_tradnl"/>
        </w:rPr>
      </w:pPr>
    </w:p>
    <w:p w14:paraId="098F2A89" w14:textId="545F71C8" w:rsidR="00A86795" w:rsidRPr="005970E9" w:rsidRDefault="00A86795" w:rsidP="00CB054C">
      <w:pPr>
        <w:widowControl w:val="0"/>
        <w:autoSpaceDE w:val="0"/>
        <w:autoSpaceDN w:val="0"/>
        <w:adjustRightInd w:val="0"/>
        <w:spacing w:before="120" w:after="120" w:line="276" w:lineRule="auto"/>
        <w:jc w:val="both"/>
        <w:rPr>
          <w:lang w:val="es-ES_tradnl"/>
        </w:rPr>
      </w:pPr>
    </w:p>
    <w:p w14:paraId="46BCDC9A" w14:textId="57FE76B9" w:rsidR="00CB054C" w:rsidRPr="005970E9" w:rsidRDefault="00CB054C" w:rsidP="00CB054C">
      <w:pPr>
        <w:widowControl w:val="0"/>
        <w:autoSpaceDE w:val="0"/>
        <w:autoSpaceDN w:val="0"/>
        <w:adjustRightInd w:val="0"/>
        <w:spacing w:before="120" w:after="120" w:line="276" w:lineRule="auto"/>
        <w:jc w:val="both"/>
        <w:rPr>
          <w:lang w:val="es-ES_tradnl"/>
        </w:rPr>
      </w:pPr>
      <w:r w:rsidRPr="005970E9">
        <w:t>En el diagnóstico de mujeres privadas de libertad nos dice que “</w:t>
      </w:r>
      <w:r w:rsidRPr="005970E9">
        <w:rPr>
          <w:lang w:val="es-ES_tradnl"/>
        </w:rPr>
        <w:t>existen tres tipos de establecimientos penitenciarios diferentes donde se mantiene recluida a la población femenina privada de libertad: Centros Femeninos de Rehabilitación o cárceles exclusivas para mujeres, como es el caso de: CEFERE</w:t>
      </w:r>
      <w:r w:rsidRPr="005970E9">
        <w:rPr>
          <w:rStyle w:val="FootnoteReference"/>
          <w:lang w:val="es-ES_tradnl"/>
        </w:rPr>
        <w:footnoteReference w:id="72"/>
      </w:r>
      <w:r w:rsidRPr="005970E9">
        <w:rPr>
          <w:lang w:val="es-ES_tradnl"/>
        </w:rPr>
        <w:t>, Llano Marín y Los Algarrobos; anexos a cárceles de hombres o pabellones separados para mujeres en Centros de varones, como es el caso de Colón; y cuarteles con celdas, como es el caso de Guararé”</w:t>
      </w:r>
      <w:r w:rsidRPr="005970E9">
        <w:rPr>
          <w:rStyle w:val="FootnoteReference"/>
          <w:lang w:val="es-ES_tradnl"/>
        </w:rPr>
        <w:footnoteReference w:id="73"/>
      </w:r>
      <w:r w:rsidRPr="005970E9">
        <w:rPr>
          <w:lang w:val="es-ES_tradnl"/>
        </w:rPr>
        <w:t>. En la provincia de Panamá está ubicado el centro que acoge a la mayoría de mujeres en esta condición (CEFERE)</w:t>
      </w:r>
      <w:r w:rsidRPr="005970E9">
        <w:t xml:space="preserve"> </w:t>
      </w:r>
      <w:r w:rsidRPr="005970E9">
        <w:rPr>
          <w:lang w:val="es-ES_tradnl"/>
        </w:rPr>
        <w:t>(Observar la gráfica</w:t>
      </w:r>
      <w:r w:rsidR="00872D66">
        <w:rPr>
          <w:lang w:val="es-ES_tradnl"/>
        </w:rPr>
        <w:t xml:space="preserve"> 36</w:t>
      </w:r>
      <w:r w:rsidRPr="005970E9">
        <w:rPr>
          <w:lang w:val="es-ES_tradnl"/>
        </w:rPr>
        <w:t xml:space="preserve">). </w:t>
      </w:r>
    </w:p>
    <w:p w14:paraId="4DF59510" w14:textId="25C37E94" w:rsidR="00296FD9" w:rsidRPr="005970E9" w:rsidRDefault="00296FD9" w:rsidP="00A86795">
      <w:pPr>
        <w:pStyle w:val="Caption"/>
        <w:keepNext/>
        <w:spacing w:before="0" w:after="0"/>
        <w:ind w:left="4320"/>
        <w:jc w:val="center"/>
        <w:rPr>
          <w:rFonts w:ascii="Century Schoolbook" w:hAnsi="Century Schoolbook"/>
          <w:sz w:val="20"/>
          <w:szCs w:val="20"/>
        </w:rPr>
      </w:pPr>
      <w:bookmarkStart w:id="279" w:name="_Toc42549268"/>
      <w:r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973E88" w:rsidRPr="005970E9">
        <w:rPr>
          <w:rFonts w:ascii="Century Schoolbook" w:hAnsi="Century Schoolbook"/>
          <w:noProof/>
          <w:sz w:val="20"/>
          <w:szCs w:val="20"/>
        </w:rPr>
        <w:t>36</w:t>
      </w:r>
      <w:r w:rsidR="00F202BE" w:rsidRPr="005970E9">
        <w:rPr>
          <w:rFonts w:ascii="Century Schoolbook" w:hAnsi="Century Schoolbook"/>
          <w:sz w:val="20"/>
          <w:szCs w:val="20"/>
        </w:rPr>
        <w:fldChar w:fldCharType="end"/>
      </w:r>
      <w:r w:rsidRPr="005970E9">
        <w:rPr>
          <w:rFonts w:ascii="Century Schoolbook" w:hAnsi="Century Schoolbook"/>
          <w:sz w:val="20"/>
          <w:szCs w:val="20"/>
        </w:rPr>
        <w:t>. Porcentaje de mujeres privadas de libertad por centro penitenciario</w:t>
      </w:r>
      <w:bookmarkEnd w:id="279"/>
    </w:p>
    <w:p w14:paraId="5667D91C" w14:textId="2EC8C1D1" w:rsidR="00CB054C" w:rsidRPr="005970E9" w:rsidRDefault="008651BE" w:rsidP="00A86795">
      <w:pPr>
        <w:widowControl w:val="0"/>
        <w:autoSpaceDE w:val="0"/>
        <w:autoSpaceDN w:val="0"/>
        <w:adjustRightInd w:val="0"/>
        <w:spacing w:line="276" w:lineRule="auto"/>
        <w:jc w:val="both"/>
        <w:rPr>
          <w:lang w:val="es-ES_tradnl"/>
        </w:rPr>
      </w:pPr>
      <w:r w:rsidRPr="005970E9">
        <w:rPr>
          <w:b/>
          <w:bCs/>
          <w:noProof/>
          <w:sz w:val="20"/>
          <w:szCs w:val="20"/>
          <w:lang w:val="es-ES_tradnl"/>
        </w:rPr>
        <mc:AlternateContent>
          <mc:Choice Requires="wps">
            <w:drawing>
              <wp:anchor distT="45720" distB="45720" distL="114300" distR="114300" simplePos="0" relativeHeight="251795497" behindDoc="0" locked="0" layoutInCell="1" allowOverlap="1" wp14:anchorId="5D7E562B" wp14:editId="31EDE870">
                <wp:simplePos x="0" y="0"/>
                <wp:positionH relativeFrom="column">
                  <wp:posOffset>2653665</wp:posOffset>
                </wp:positionH>
                <wp:positionV relativeFrom="paragraph">
                  <wp:posOffset>1971675</wp:posOffset>
                </wp:positionV>
                <wp:extent cx="3016250" cy="1404620"/>
                <wp:effectExtent l="0" t="0" r="12700" b="1270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404620"/>
                        </a:xfrm>
                        <a:prstGeom prst="rect">
                          <a:avLst/>
                        </a:prstGeom>
                        <a:solidFill>
                          <a:srgbClr val="FFFFFF"/>
                        </a:solidFill>
                        <a:ln w="9525">
                          <a:solidFill>
                            <a:srgbClr val="000000"/>
                          </a:solidFill>
                          <a:miter lim="800000"/>
                          <a:headEnd/>
                          <a:tailEnd/>
                        </a:ln>
                      </wps:spPr>
                      <wps:txbx>
                        <w:txbxContent>
                          <w:p w14:paraId="6906831B" w14:textId="2E8E06DD" w:rsidR="00DC0EAB" w:rsidRPr="008651BE" w:rsidRDefault="00DC0EAB">
                            <w:pPr>
                              <w:rPr>
                                <w:sz w:val="20"/>
                                <w:szCs w:val="20"/>
                              </w:rPr>
                            </w:pPr>
                            <w:r w:rsidRPr="008651BE">
                              <w:rPr>
                                <w:sz w:val="20"/>
                                <w:szCs w:val="20"/>
                              </w:rPr>
                              <w:t>Fuente: Elaboración propia datos del Ministerio del Gobierno, Dirección General del Sistema Penitenciario. Estadística mensual. Febrero 2020. Nota. No aparece el centro de Guararé.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E562B" id="_x0000_s1040" type="#_x0000_t202" style="position:absolute;left:0;text-align:left;margin-left:208.95pt;margin-top:155.25pt;width:237.5pt;height:110.6pt;z-index:2517954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">
                <v:textbox style="mso-fit-shape-to-text:t">
                  <w:txbxContent>
                    <w:p w14:paraId="6906831B" w14:textId="2E8E06DD" w:rsidR="00DC0EAB" w:rsidRPr="008651BE" w:rsidRDefault="00DC0EAB">
                      <w:pPr>
                        <w:rPr>
                          <w:sz w:val="20"/>
                          <w:szCs w:val="20"/>
                        </w:rPr>
                      </w:pPr>
                      <w:r w:rsidRPr="008651BE">
                        <w:rPr>
                          <w:sz w:val="20"/>
                          <w:szCs w:val="20"/>
                        </w:rPr>
                        <w:t>Fuente: Elaboración propia datos del Ministerio del Gobierno, Dirección General del Sistema Penitenciario. Estadística mensual. Febrero 2020. Nota. No aparece el centro de Guararé.</w:t>
                      </w:r>
                    </w:p>
                  </w:txbxContent>
                </v:textbox>
                <w10:wrap type="square"/>
              </v:shape>
            </w:pict>
          </mc:Fallback>
        </mc:AlternateContent>
      </w:r>
      <w:r w:rsidR="00A86795" w:rsidRPr="005970E9">
        <w:rPr>
          <w:noProof/>
        </w:rPr>
        <w:drawing>
          <wp:anchor distT="0" distB="0" distL="114300" distR="114300" simplePos="0" relativeHeight="251658276" behindDoc="1" locked="0" layoutInCell="1" allowOverlap="1" wp14:anchorId="1EDD8693" wp14:editId="1131086D">
            <wp:simplePos x="0" y="0"/>
            <wp:positionH relativeFrom="column">
              <wp:posOffset>2653665</wp:posOffset>
            </wp:positionH>
            <wp:positionV relativeFrom="paragraph">
              <wp:posOffset>2540</wp:posOffset>
            </wp:positionV>
            <wp:extent cx="3016250" cy="2103120"/>
            <wp:effectExtent l="0" t="0" r="0" b="0"/>
            <wp:wrapSquare wrapText="bothSides"/>
            <wp:docPr id="85" name="Gráfico 85">
              <a:extLst xmlns:a="http://schemas.openxmlformats.org/drawingml/2006/main">
                <a:ext uri="{FF2B5EF4-FFF2-40B4-BE49-F238E27FC236}">
                  <a16:creationId xmlns:a16="http://schemas.microsoft.com/office/drawing/2014/main" id="{1412C9E1-3585-47CB-B5FD-09CCA5F5E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00CB054C" w:rsidRPr="005970E9">
        <w:t>Estos</w:t>
      </w:r>
      <w:r w:rsidR="00CB054C" w:rsidRPr="005970E9">
        <w:rPr>
          <w:lang w:val="es-ES_tradnl"/>
        </w:rPr>
        <w:t xml:space="preserve"> espacios, según los diagnósticos e informes que se han realizados</w:t>
      </w:r>
      <w:r w:rsidR="00CB054C" w:rsidRPr="005970E9">
        <w:rPr>
          <w:rStyle w:val="FootnoteReference"/>
          <w:lang w:val="es-ES_tradnl"/>
        </w:rPr>
        <w:footnoteReference w:id="74"/>
      </w:r>
      <w:r w:rsidR="00CB054C" w:rsidRPr="005970E9">
        <w:rPr>
          <w:lang w:val="es-ES_tradnl"/>
        </w:rPr>
        <w:t xml:space="preserve">, no guardan las condiciones que permitan responder a las necesidades particulares de las mujeres privadas de libertad en el país. Además, la ubicación geográfica de los mismos, provoca que estas mujeres cumplan las sentencias lejos de sus hogares, afectando los vínculos familiares y afectivos, ya que las visitas no pueden </w:t>
      </w:r>
      <w:r w:rsidR="00CB054C" w:rsidRPr="005970E9">
        <w:rPr>
          <w:lang w:val="es-ES_tradnl"/>
        </w:rPr>
        <w:lastRenderedPageBreak/>
        <w:t xml:space="preserve">ser tan </w:t>
      </w:r>
      <w:r w:rsidRPr="005970E9">
        <w:rPr>
          <w:lang w:val="es-ES_tradnl"/>
        </w:rPr>
        <w:t>periódicas</w:t>
      </w:r>
      <w:r w:rsidR="00CB054C" w:rsidRPr="005970E9">
        <w:rPr>
          <w:lang w:val="es-ES_tradnl"/>
        </w:rPr>
        <w:t>.</w:t>
      </w:r>
    </w:p>
    <w:p w14:paraId="7755B2B3" w14:textId="77777777"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El “modelo de anexo” en un centro masculino no cuenta con condiciones para tratar la rehabilitación y resocialización de las mujeres porqué:</w:t>
      </w:r>
    </w:p>
    <w:p w14:paraId="2DB5687A" w14:textId="77777777" w:rsidR="00CB054C" w:rsidRPr="005970E9" w:rsidRDefault="00CB054C" w:rsidP="00CB054C">
      <w:pPr>
        <w:widowControl w:val="0"/>
        <w:autoSpaceDE w:val="0"/>
        <w:autoSpaceDN w:val="0"/>
        <w:adjustRightInd w:val="0"/>
        <w:spacing w:before="120" w:after="120" w:line="276" w:lineRule="auto"/>
        <w:ind w:left="720"/>
        <w:jc w:val="both"/>
        <w:rPr>
          <w:lang w:val="es-ES_tradnl"/>
        </w:rPr>
      </w:pPr>
      <w:r w:rsidRPr="005970E9">
        <w:rPr>
          <w:lang w:val="es-ES_tradnl"/>
        </w:rPr>
        <w:t>“</w:t>
      </w:r>
      <w:r w:rsidRPr="005970E9">
        <w:rPr>
          <w:i/>
          <w:lang w:val="es-ES_tradnl"/>
        </w:rPr>
        <w:t>Las cárceles de mujeres generalmente son pequeños edificios improvisados, equipados con menos instalaciones que las prisiones para varones y poco espacio para actividades educativas, culturales o recreativas o son viejas infraestructuras hacinadas</w:t>
      </w:r>
      <w:r w:rsidRPr="005970E9">
        <w:rPr>
          <w:lang w:val="es-ES_tradnl"/>
        </w:rPr>
        <w:t>”. (Rodríguez, 2009).</w:t>
      </w:r>
    </w:p>
    <w:p w14:paraId="2375D615" w14:textId="77DD10D6" w:rsidR="00CB054C" w:rsidRPr="005970E9" w:rsidRDefault="00CB054C" w:rsidP="00D478B6">
      <w:pPr>
        <w:pStyle w:val="Heading3"/>
        <w:numPr>
          <w:ilvl w:val="2"/>
          <w:numId w:val="56"/>
        </w:numPr>
        <w:spacing w:line="276" w:lineRule="auto"/>
      </w:pPr>
      <w:bookmarkStart w:id="280" w:name="_Toc42159246"/>
      <w:bookmarkStart w:id="281" w:name="_Toc42549477"/>
      <w:r w:rsidRPr="005970E9">
        <w:t>Perfil sociodemográfico de las mujeres privadas de libertad (PL).</w:t>
      </w:r>
      <w:bookmarkEnd w:id="280"/>
      <w:bookmarkEnd w:id="281"/>
      <w:r w:rsidRPr="005970E9">
        <w:t xml:space="preserve">  </w:t>
      </w:r>
    </w:p>
    <w:p w14:paraId="46F39227" w14:textId="5C24FFCF" w:rsidR="00296FD9"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 xml:space="preserve">Según el censo de población privada de libertad (2019) el fenómeno de la pobreza, la falta de recursos y de oportunidades a una educación de calidad y un trabajo digno, se traduce en situaciones de violencia y delincuencia creando a su vez un problema mayor en el seno familiar y social. </w:t>
      </w:r>
    </w:p>
    <w:p w14:paraId="4B29D15E" w14:textId="491F7582" w:rsidR="00CB054C" w:rsidRPr="005970E9" w:rsidRDefault="00296FD9" w:rsidP="00296FD9">
      <w:pPr>
        <w:pStyle w:val="Caption"/>
        <w:rPr>
          <w:rFonts w:ascii="Century Schoolbook" w:hAnsi="Century Schoolbook"/>
          <w:sz w:val="20"/>
          <w:szCs w:val="20"/>
        </w:rPr>
      </w:pPr>
      <w:bookmarkStart w:id="282" w:name="_Toc42549269"/>
      <w:r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973E88" w:rsidRPr="005970E9">
        <w:rPr>
          <w:rFonts w:ascii="Century Schoolbook" w:hAnsi="Century Schoolbook"/>
          <w:noProof/>
          <w:sz w:val="20"/>
          <w:szCs w:val="20"/>
        </w:rPr>
        <w:t>37</w:t>
      </w:r>
      <w:r w:rsidR="00F202BE" w:rsidRPr="005970E9">
        <w:rPr>
          <w:rFonts w:ascii="Century Schoolbook" w:hAnsi="Century Schoolbook"/>
          <w:sz w:val="20"/>
          <w:szCs w:val="20"/>
        </w:rPr>
        <w:fldChar w:fldCharType="end"/>
      </w:r>
      <w:r w:rsidRPr="005970E9">
        <w:rPr>
          <w:rFonts w:ascii="Century Schoolbook" w:hAnsi="Century Schoolbook"/>
          <w:sz w:val="20"/>
          <w:szCs w:val="20"/>
        </w:rPr>
        <w:t xml:space="preserve">. </w:t>
      </w:r>
      <w:r w:rsidR="00CB054C" w:rsidRPr="005970E9">
        <w:rPr>
          <w:rFonts w:ascii="Century Schoolbook" w:hAnsi="Century Schoolbook"/>
          <w:sz w:val="20"/>
          <w:szCs w:val="20"/>
        </w:rPr>
        <w:t>Población femenina y masculina privada de libertad en el 2020</w:t>
      </w:r>
      <w:bookmarkEnd w:id="282"/>
      <w:r w:rsidR="00CB054C" w:rsidRPr="005970E9">
        <w:rPr>
          <w:rFonts w:ascii="Century Schoolbook" w:hAnsi="Century Schoolbook"/>
          <w:sz w:val="20"/>
          <w:szCs w:val="20"/>
        </w:rPr>
        <w:t xml:space="preserve"> </w:t>
      </w:r>
    </w:p>
    <w:p w14:paraId="1E51E023" w14:textId="0A71CEAC" w:rsidR="00CB054C" w:rsidRPr="005970E9" w:rsidRDefault="00CB054C" w:rsidP="00CB054C">
      <w:pPr>
        <w:widowControl w:val="0"/>
        <w:autoSpaceDE w:val="0"/>
        <w:autoSpaceDN w:val="0"/>
        <w:adjustRightInd w:val="0"/>
        <w:spacing w:before="240" w:after="120" w:line="276" w:lineRule="auto"/>
        <w:jc w:val="both"/>
        <w:rPr>
          <w:lang w:val="es-ES_tradnl"/>
        </w:rPr>
      </w:pPr>
      <w:r w:rsidRPr="005970E9">
        <w:rPr>
          <w:noProof/>
        </w:rPr>
        <w:drawing>
          <wp:anchor distT="0" distB="0" distL="114300" distR="114300" simplePos="0" relativeHeight="251658272" behindDoc="1" locked="0" layoutInCell="1" allowOverlap="1" wp14:anchorId="33806D13" wp14:editId="49901815">
            <wp:simplePos x="0" y="0"/>
            <wp:positionH relativeFrom="column">
              <wp:posOffset>0</wp:posOffset>
            </wp:positionH>
            <wp:positionV relativeFrom="paragraph">
              <wp:posOffset>57150</wp:posOffset>
            </wp:positionV>
            <wp:extent cx="2688590" cy="1761490"/>
            <wp:effectExtent l="0" t="0" r="0" b="0"/>
            <wp:wrapTight wrapText="bothSides">
              <wp:wrapPolygon edited="0">
                <wp:start x="0" y="0"/>
                <wp:lineTo x="0" y="21257"/>
                <wp:lineTo x="21427" y="21257"/>
                <wp:lineTo x="21427" y="0"/>
                <wp:lineTo x="0" y="0"/>
              </wp:wrapPolygon>
            </wp:wrapTight>
            <wp:docPr id="84" name="Gráfico 84">
              <a:extLst xmlns:a="http://schemas.openxmlformats.org/drawingml/2006/main">
                <a:ext uri="{FF2B5EF4-FFF2-40B4-BE49-F238E27FC236}">
                  <a16:creationId xmlns:a16="http://schemas.microsoft.com/office/drawing/2014/main" id="{D7A523FD-8047-4986-9C90-265E2448D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sidRPr="005970E9">
        <w:rPr>
          <w:lang w:val="es-ES_tradnl"/>
        </w:rPr>
        <w:t>Las mujeres PL, nunca han rebasado el 7% de la población penal: en el año 2015 fue del 7%, baja a 5,0% en 2017, 5.7% en 2018 y 5.0 % en 2020 (Observar la gráfica</w:t>
      </w:r>
      <w:r w:rsidR="00594BB7">
        <w:rPr>
          <w:lang w:val="es-ES_tradnl"/>
        </w:rPr>
        <w:t xml:space="preserve"> 37</w:t>
      </w:r>
      <w:r w:rsidRPr="005970E9">
        <w:rPr>
          <w:lang w:val="es-ES_tradnl"/>
        </w:rPr>
        <w:t>)</w:t>
      </w:r>
      <w:r w:rsidR="00594BB7">
        <w:rPr>
          <w:lang w:val="es-ES_tradnl"/>
        </w:rPr>
        <w:t>.</w:t>
      </w:r>
    </w:p>
    <w:p w14:paraId="6D785D0E" w14:textId="534FDDD7" w:rsidR="00CB054C" w:rsidRPr="005970E9" w:rsidRDefault="00EB1439" w:rsidP="00594BB7">
      <w:pPr>
        <w:widowControl w:val="0"/>
        <w:autoSpaceDE w:val="0"/>
        <w:autoSpaceDN w:val="0"/>
        <w:adjustRightInd w:val="0"/>
        <w:spacing w:before="240" w:after="240" w:line="276" w:lineRule="auto"/>
        <w:jc w:val="both"/>
        <w:rPr>
          <w:lang w:val="es-ES_tradnl"/>
        </w:rPr>
      </w:pPr>
      <w:r w:rsidRPr="005970E9">
        <w:rPr>
          <w:noProof/>
          <w:sz w:val="20"/>
          <w:szCs w:val="20"/>
        </w:rPr>
        <mc:AlternateContent>
          <mc:Choice Requires="wps">
            <w:drawing>
              <wp:anchor distT="45720" distB="45720" distL="114300" distR="114300" simplePos="0" relativeHeight="251797545" behindDoc="0" locked="0" layoutInCell="1" allowOverlap="1" wp14:anchorId="6229B918" wp14:editId="602AF357">
                <wp:simplePos x="0" y="0"/>
                <wp:positionH relativeFrom="column">
                  <wp:posOffset>31115</wp:posOffset>
                </wp:positionH>
                <wp:positionV relativeFrom="paragraph">
                  <wp:posOffset>972185</wp:posOffset>
                </wp:positionV>
                <wp:extent cx="2616200" cy="1404620"/>
                <wp:effectExtent l="0" t="0" r="12700" b="13335"/>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404620"/>
                        </a:xfrm>
                        <a:prstGeom prst="rect">
                          <a:avLst/>
                        </a:prstGeom>
                        <a:solidFill>
                          <a:srgbClr val="FFFFFF"/>
                        </a:solidFill>
                        <a:ln w="9525">
                          <a:solidFill>
                            <a:srgbClr val="000000"/>
                          </a:solidFill>
                          <a:miter lim="800000"/>
                          <a:headEnd/>
                          <a:tailEnd/>
                        </a:ln>
                      </wps:spPr>
                      <wps:txbx>
                        <w:txbxContent>
                          <w:p w14:paraId="774FBE9F" w14:textId="1EC1F0DB" w:rsidR="00DC0EAB" w:rsidRPr="00EB1439" w:rsidRDefault="00DC0EAB">
                            <w:pPr>
                              <w:rPr>
                                <w:sz w:val="20"/>
                                <w:szCs w:val="20"/>
                              </w:rPr>
                            </w:pPr>
                            <w:r w:rsidRPr="00EB1439">
                              <w:rPr>
                                <w:b/>
                                <w:bCs/>
                                <w:sz w:val="20"/>
                                <w:szCs w:val="20"/>
                                <w:lang w:val="es-ES_tradnl"/>
                              </w:rPr>
                              <w:t>Fuente</w:t>
                            </w:r>
                            <w:r w:rsidRPr="00EB1439">
                              <w:rPr>
                                <w:sz w:val="20"/>
                                <w:szCs w:val="20"/>
                                <w:lang w:val="es-ES_tradnl"/>
                              </w:rPr>
                              <w:t>: Elaboración propia con datos del Ministerio del Gobierno, Dirección General del Sistema Penitenciario.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9B918" id="_x0000_s1041" type="#_x0000_t202" style="position:absolute;left:0;text-align:left;margin-left:2.45pt;margin-top:76.55pt;width:206pt;height:110.6pt;z-index:2517975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">
                <v:textbox style="mso-fit-shape-to-text:t">
                  <w:txbxContent>
                    <w:p w14:paraId="774FBE9F" w14:textId="1EC1F0DB" w:rsidR="00DC0EAB" w:rsidRPr="00EB1439" w:rsidRDefault="00DC0EAB">
                      <w:pPr>
                        <w:rPr>
                          <w:sz w:val="20"/>
                          <w:szCs w:val="20"/>
                        </w:rPr>
                      </w:pPr>
                      <w:r w:rsidRPr="00EB1439">
                        <w:rPr>
                          <w:b/>
                          <w:bCs/>
                          <w:sz w:val="20"/>
                          <w:szCs w:val="20"/>
                          <w:lang w:val="es-ES_tradnl"/>
                        </w:rPr>
                        <w:t>Fuente</w:t>
                      </w:r>
                      <w:r w:rsidRPr="00EB1439">
                        <w:rPr>
                          <w:sz w:val="20"/>
                          <w:szCs w:val="20"/>
                          <w:lang w:val="es-ES_tradnl"/>
                        </w:rPr>
                        <w:t>: Elaboración propia con datos del Ministerio del Gobierno, Dirección General del Sistema Penitenciario.</w:t>
                      </w:r>
                    </w:p>
                  </w:txbxContent>
                </v:textbox>
                <w10:wrap type="square"/>
              </v:shape>
            </w:pict>
          </mc:Fallback>
        </mc:AlternateContent>
      </w:r>
      <w:r w:rsidR="00CB054C" w:rsidRPr="005970E9">
        <w:rPr>
          <w:lang w:val="es-ES_tradnl"/>
        </w:rPr>
        <w:t xml:space="preserve">El censo del 2019 </w:t>
      </w:r>
      <w:r w:rsidRPr="005970E9">
        <w:rPr>
          <w:lang w:val="es-ES_tradnl"/>
        </w:rPr>
        <w:t xml:space="preserve">respecto </w:t>
      </w:r>
      <w:r w:rsidR="00CB054C" w:rsidRPr="005970E9">
        <w:rPr>
          <w:lang w:val="es-ES_tradnl"/>
        </w:rPr>
        <w:t>a las PL reveló que el 85% de la población de mujeres adultas privadas de libertad tenían entre 20 y 44 años, con un promedio de edad de 34.4 años, muy parecida a la de los hombres que es de 32.5; el 83.4% son de nacionalidad panameña, mientras que en la población masculina es de 90.8%; de acuerdo a</w:t>
      </w:r>
      <w:r w:rsidRPr="005970E9">
        <w:rPr>
          <w:lang w:val="es-ES_tradnl"/>
        </w:rPr>
        <w:t xml:space="preserve"> </w:t>
      </w:r>
      <w:r w:rsidR="00CB054C" w:rsidRPr="005970E9">
        <w:rPr>
          <w:lang w:val="es-ES_tradnl"/>
        </w:rPr>
        <w:t>l</w:t>
      </w:r>
      <w:r w:rsidRPr="005970E9">
        <w:rPr>
          <w:lang w:val="es-ES_tradnl"/>
        </w:rPr>
        <w:t xml:space="preserve">a identidad </w:t>
      </w:r>
      <w:r w:rsidR="00CB054C" w:rsidRPr="005970E9">
        <w:rPr>
          <w:lang w:val="es-ES_tradnl"/>
        </w:rPr>
        <w:t>étnic</w:t>
      </w:r>
      <w:r w:rsidRPr="005970E9">
        <w:rPr>
          <w:lang w:val="es-ES_tradnl"/>
        </w:rPr>
        <w:t>a</w:t>
      </w:r>
      <w:r w:rsidR="00CB054C" w:rsidRPr="005970E9">
        <w:rPr>
          <w:lang w:val="es-ES_tradnl"/>
        </w:rPr>
        <w:t xml:space="preserve"> hay menos mujeres (35.2%) que hombres (39.1%) afrodescendientes, igual que indígenas</w:t>
      </w:r>
      <w:r w:rsidR="00304821" w:rsidRPr="005970E9">
        <w:rPr>
          <w:lang w:val="es-ES_tradnl"/>
        </w:rPr>
        <w:t xml:space="preserve">. Las </w:t>
      </w:r>
      <w:r w:rsidR="00CB054C" w:rsidRPr="005970E9">
        <w:rPr>
          <w:lang w:val="es-ES_tradnl"/>
        </w:rPr>
        <w:t xml:space="preserve">mujeres </w:t>
      </w:r>
      <w:r w:rsidR="00304821" w:rsidRPr="005970E9">
        <w:rPr>
          <w:lang w:val="es-ES_tradnl"/>
        </w:rPr>
        <w:t xml:space="preserve">tienen una proporción de </w:t>
      </w:r>
      <w:r w:rsidR="00CB054C" w:rsidRPr="005970E9">
        <w:rPr>
          <w:lang w:val="es-ES_tradnl"/>
        </w:rPr>
        <w:t xml:space="preserve">(4.8%) </w:t>
      </w:r>
      <w:r w:rsidR="00304821" w:rsidRPr="005970E9">
        <w:rPr>
          <w:lang w:val="es-ES_tradnl"/>
        </w:rPr>
        <w:t>y los</w:t>
      </w:r>
      <w:r w:rsidR="00CB054C" w:rsidRPr="005970E9">
        <w:rPr>
          <w:lang w:val="es-ES_tradnl"/>
        </w:rPr>
        <w:t xml:space="preserve"> hombres (6.2%), mientras que hay más mujeres asiáticas (3.5%) que hombres (0.8%). En la categoría “otro” donde se puede incluir a tipos de poblaciones diversas como la “no racializada o blanca”, aparece el porcentaje más alto, un 59% de todas las mujeres privadas de libertad</w:t>
      </w:r>
      <w:r w:rsidR="00CB054C" w:rsidRPr="005970E9">
        <w:rPr>
          <w:rFonts w:eastAsiaTheme="minorEastAsia"/>
          <w:lang w:val="es-ES_tradnl" w:eastAsia="en-US"/>
        </w:rPr>
        <w:t xml:space="preserve"> (Observar l</w:t>
      </w:r>
      <w:r w:rsidR="00594BB7">
        <w:rPr>
          <w:rFonts w:eastAsiaTheme="minorEastAsia"/>
          <w:lang w:val="es-ES_tradnl" w:eastAsia="en-US"/>
        </w:rPr>
        <w:t>a</w:t>
      </w:r>
      <w:r w:rsidR="00CB054C" w:rsidRPr="005970E9">
        <w:rPr>
          <w:rFonts w:eastAsiaTheme="minorEastAsia"/>
          <w:lang w:val="es-ES_tradnl" w:eastAsia="en-US"/>
        </w:rPr>
        <w:t xml:space="preserve"> </w:t>
      </w:r>
      <w:r w:rsidR="00594BB7">
        <w:rPr>
          <w:rFonts w:eastAsiaTheme="minorEastAsia"/>
          <w:lang w:val="es-ES_tradnl" w:eastAsia="en-US"/>
        </w:rPr>
        <w:t>tabla 27</w:t>
      </w:r>
      <w:r w:rsidR="00CB054C" w:rsidRPr="005970E9">
        <w:rPr>
          <w:rFonts w:eastAsiaTheme="minorEastAsia"/>
          <w:lang w:val="es-ES_tradnl" w:eastAsia="en-US"/>
        </w:rPr>
        <w:t>)</w:t>
      </w:r>
      <w:r w:rsidR="00304821" w:rsidRPr="005970E9">
        <w:rPr>
          <w:rFonts w:eastAsiaTheme="minorEastAsia"/>
          <w:lang w:val="es-ES_tradnl" w:eastAsia="en-US"/>
        </w:rPr>
        <w:t>.</w:t>
      </w:r>
    </w:p>
    <w:p w14:paraId="3D96D9E6" w14:textId="60CC3660" w:rsidR="00CB054C" w:rsidRPr="005970E9" w:rsidRDefault="008A61AF" w:rsidP="00D824B6">
      <w:pPr>
        <w:pStyle w:val="Caption"/>
        <w:rPr>
          <w:rFonts w:ascii="Century Schoolbook" w:hAnsi="Century Schoolbook"/>
          <w:i w:val="0"/>
          <w:iCs w:val="0"/>
          <w:sz w:val="20"/>
          <w:szCs w:val="20"/>
        </w:rPr>
      </w:pPr>
      <w:bookmarkStart w:id="283" w:name="_Toc42549221"/>
      <w:r w:rsidRPr="005970E9">
        <w:rPr>
          <w:rFonts w:ascii="Century Schoolbook" w:hAnsi="Century Schoolbook"/>
          <w:i w:val="0"/>
          <w:iCs w:val="0"/>
          <w:sz w:val="20"/>
          <w:szCs w:val="20"/>
        </w:rPr>
        <w:t>Tabla</w:t>
      </w:r>
      <w:r w:rsidR="00D824B6" w:rsidRPr="005970E9">
        <w:rPr>
          <w:rFonts w:ascii="Century Schoolbook" w:hAnsi="Century Schoolbook"/>
          <w:i w:val="0"/>
          <w:iCs w:val="0"/>
          <w:sz w:val="20"/>
          <w:szCs w:val="20"/>
        </w:rPr>
        <w:t xml:space="preserve">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0E7B3A">
        <w:rPr>
          <w:rFonts w:ascii="Century Schoolbook" w:hAnsi="Century Schoolbook"/>
          <w:i w:val="0"/>
          <w:iCs w:val="0"/>
          <w:noProof/>
          <w:sz w:val="20"/>
          <w:szCs w:val="20"/>
        </w:rPr>
        <w:t>27</w:t>
      </w:r>
      <w:r w:rsidRPr="005970E9">
        <w:rPr>
          <w:rFonts w:ascii="Century Schoolbook" w:hAnsi="Century Schoolbook"/>
          <w:i w:val="0"/>
          <w:iCs w:val="0"/>
          <w:sz w:val="20"/>
          <w:szCs w:val="20"/>
        </w:rPr>
        <w:fldChar w:fldCharType="end"/>
      </w:r>
      <w:r w:rsidR="00D824B6" w:rsidRPr="005970E9">
        <w:rPr>
          <w:rFonts w:ascii="Century Schoolbook" w:hAnsi="Century Schoolbook"/>
          <w:i w:val="0"/>
          <w:iCs w:val="0"/>
          <w:sz w:val="20"/>
          <w:szCs w:val="20"/>
        </w:rPr>
        <w:t xml:space="preserve">. </w:t>
      </w:r>
      <w:r w:rsidR="00D824B6" w:rsidRPr="005970E9">
        <w:rPr>
          <w:rFonts w:ascii="Century Schoolbook" w:hAnsi="Century Schoolbook"/>
          <w:i w:val="0"/>
          <w:iCs w:val="0"/>
          <w:sz w:val="20"/>
          <w:szCs w:val="20"/>
          <w:lang w:val="es-ES_tradnl"/>
        </w:rPr>
        <w:t xml:space="preserve">Población adulta privada de libertad en la república, por sexo, según estado conyugal actual. </w:t>
      </w:r>
      <w:r w:rsidR="00A86795" w:rsidRPr="005970E9">
        <w:rPr>
          <w:rFonts w:ascii="Century Schoolbook" w:hAnsi="Century Schoolbook"/>
          <w:i w:val="0"/>
          <w:iCs w:val="0"/>
          <w:sz w:val="20"/>
          <w:szCs w:val="20"/>
          <w:lang w:val="es-ES_tradnl"/>
        </w:rPr>
        <w:t>2018</w:t>
      </w:r>
      <w:bookmarkEnd w:id="283"/>
    </w:p>
    <w:p w14:paraId="1EC76718" w14:textId="1B12E9AC" w:rsidR="00CB054C" w:rsidRPr="005970E9" w:rsidRDefault="00CB054C" w:rsidP="00CB054C">
      <w:pPr>
        <w:spacing w:before="120" w:after="120" w:line="276" w:lineRule="auto"/>
        <w:jc w:val="center"/>
        <w:rPr>
          <w:lang w:val="es-ES_tradnl"/>
        </w:rPr>
      </w:pPr>
      <w:r w:rsidRPr="005970E9">
        <w:rPr>
          <w:noProof/>
        </w:rPr>
        <w:lastRenderedPageBreak/>
        <w:drawing>
          <wp:inline distT="0" distB="0" distL="0" distR="0" wp14:anchorId="188EEC12" wp14:editId="718BCBB6">
            <wp:extent cx="4922520" cy="2667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22520" cy="2667000"/>
                    </a:xfrm>
                    <a:prstGeom prst="rect">
                      <a:avLst/>
                    </a:prstGeom>
                    <a:noFill/>
                    <a:ln>
                      <a:noFill/>
                    </a:ln>
                  </pic:spPr>
                </pic:pic>
              </a:graphicData>
            </a:graphic>
          </wp:inline>
        </w:drawing>
      </w:r>
    </w:p>
    <w:p w14:paraId="62CACA39" w14:textId="0AFCC1CB"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Fuente: Elaboración propia, basada en el Censo de adultos privados de libertad a nivel nacional. Panamá</w:t>
      </w:r>
      <w:r w:rsidR="00594BB7">
        <w:rPr>
          <w:lang w:val="es-ES_tradnl"/>
        </w:rPr>
        <w:t>,</w:t>
      </w:r>
      <w:r w:rsidRPr="005970E9">
        <w:rPr>
          <w:lang w:val="es-ES_tradnl"/>
        </w:rPr>
        <w:t xml:space="preserve"> 2018</w:t>
      </w:r>
      <w:r w:rsidR="00594BB7">
        <w:rPr>
          <w:lang w:val="es-ES_tradnl"/>
        </w:rPr>
        <w:t>.</w:t>
      </w:r>
    </w:p>
    <w:p w14:paraId="18BCE9FD" w14:textId="6CE25B4E" w:rsidR="00CB054C" w:rsidRPr="005970E9" w:rsidRDefault="00CB054C" w:rsidP="00594BB7">
      <w:pPr>
        <w:widowControl w:val="0"/>
        <w:autoSpaceDE w:val="0"/>
        <w:autoSpaceDN w:val="0"/>
        <w:adjustRightInd w:val="0"/>
        <w:spacing w:before="120" w:after="240" w:line="276" w:lineRule="auto"/>
        <w:jc w:val="both"/>
        <w:rPr>
          <w:lang w:val="es-ES_tradnl"/>
        </w:rPr>
      </w:pPr>
      <w:r w:rsidRPr="005970E9">
        <w:rPr>
          <w:bCs/>
          <w:lang w:val="es-ES_tradnl"/>
        </w:rPr>
        <w:t xml:space="preserve">El estado conyugal </w:t>
      </w:r>
      <w:r w:rsidR="00304821" w:rsidRPr="005970E9">
        <w:rPr>
          <w:bCs/>
          <w:lang w:val="es-ES_tradnl"/>
        </w:rPr>
        <w:t xml:space="preserve">permite </w:t>
      </w:r>
      <w:r w:rsidRPr="005970E9">
        <w:rPr>
          <w:lang w:val="es-ES_tradnl"/>
        </w:rPr>
        <w:t>apreciar que alrededor de la mitad (49.0%) de las mujeres PL se encuentran separadas de matrimonio o de unión o divorciadas</w:t>
      </w:r>
      <w:r w:rsidR="00304821" w:rsidRPr="005970E9">
        <w:rPr>
          <w:lang w:val="es-ES_tradnl"/>
        </w:rPr>
        <w:t xml:space="preserve">. Los hombres en igual condición son el </w:t>
      </w:r>
      <w:r w:rsidRPr="005970E9">
        <w:rPr>
          <w:lang w:val="es-ES_tradnl"/>
        </w:rPr>
        <w:t>42.0%; un 31% de las mujeres se encuentran en unión o casadas, frente al 40.0% de hombres (Censo de PL 2019)</w:t>
      </w:r>
      <w:r w:rsidR="00304821" w:rsidRPr="005970E9">
        <w:rPr>
          <w:lang w:val="es-ES_tradnl"/>
        </w:rPr>
        <w:t>.</w:t>
      </w:r>
    </w:p>
    <w:p w14:paraId="22695D5D" w14:textId="2AD04F26" w:rsidR="00CB054C" w:rsidRPr="005970E9" w:rsidRDefault="008A61AF" w:rsidP="00D824B6">
      <w:pPr>
        <w:pStyle w:val="Caption"/>
        <w:keepNext/>
        <w:jc w:val="both"/>
        <w:rPr>
          <w:rFonts w:ascii="Century Schoolbook" w:hAnsi="Century Schoolbook"/>
          <w:bCs/>
          <w:i w:val="0"/>
          <w:iCs w:val="0"/>
          <w:sz w:val="20"/>
          <w:szCs w:val="20"/>
          <w:lang w:val="es-ES_tradnl"/>
        </w:rPr>
      </w:pPr>
      <w:bookmarkStart w:id="284" w:name="_Toc42549222"/>
      <w:r w:rsidRPr="005970E9">
        <w:rPr>
          <w:rFonts w:ascii="Century Schoolbook" w:hAnsi="Century Schoolbook"/>
          <w:i w:val="0"/>
          <w:iCs w:val="0"/>
          <w:sz w:val="20"/>
          <w:szCs w:val="20"/>
        </w:rPr>
        <w:t>Tabla</w:t>
      </w:r>
      <w:r w:rsidR="00D824B6" w:rsidRPr="005970E9">
        <w:rPr>
          <w:rFonts w:ascii="Century Schoolbook" w:hAnsi="Century Schoolbook"/>
          <w:i w:val="0"/>
          <w:iCs w:val="0"/>
          <w:sz w:val="20"/>
          <w:szCs w:val="20"/>
        </w:rPr>
        <w:t xml:space="preserve">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0E7B3A">
        <w:rPr>
          <w:rFonts w:ascii="Century Schoolbook" w:hAnsi="Century Schoolbook"/>
          <w:i w:val="0"/>
          <w:iCs w:val="0"/>
          <w:noProof/>
          <w:sz w:val="20"/>
          <w:szCs w:val="20"/>
        </w:rPr>
        <w:t>28</w:t>
      </w:r>
      <w:r w:rsidRPr="005970E9">
        <w:rPr>
          <w:rFonts w:ascii="Century Schoolbook" w:hAnsi="Century Schoolbook"/>
          <w:i w:val="0"/>
          <w:iCs w:val="0"/>
          <w:sz w:val="20"/>
          <w:szCs w:val="20"/>
        </w:rPr>
        <w:fldChar w:fldCharType="end"/>
      </w:r>
      <w:r w:rsidR="00D824B6" w:rsidRPr="005970E9">
        <w:rPr>
          <w:rFonts w:ascii="Century Schoolbook" w:hAnsi="Century Schoolbook"/>
          <w:i w:val="0"/>
          <w:iCs w:val="0"/>
          <w:sz w:val="20"/>
          <w:szCs w:val="20"/>
        </w:rPr>
        <w:t xml:space="preserve">. </w:t>
      </w:r>
      <w:r w:rsidR="00CB054C" w:rsidRPr="005970E9">
        <w:rPr>
          <w:rFonts w:ascii="Century Schoolbook" w:hAnsi="Century Schoolbook"/>
          <w:bCs/>
          <w:i w:val="0"/>
          <w:iCs w:val="0"/>
          <w:sz w:val="20"/>
          <w:szCs w:val="20"/>
          <w:lang w:val="es-ES_tradnl"/>
        </w:rPr>
        <w:t>Población adulta privada de libertad en la república, por sexo, según grupo étnico al que se considera perteneciente. 2018</w:t>
      </w:r>
      <w:bookmarkEnd w:id="284"/>
    </w:p>
    <w:p w14:paraId="3F2F7314" w14:textId="75B20FA6" w:rsidR="00CB054C" w:rsidRPr="005970E9" w:rsidRDefault="00CB054C" w:rsidP="00CB054C">
      <w:pPr>
        <w:spacing w:before="120" w:after="120" w:line="276" w:lineRule="auto"/>
        <w:jc w:val="both"/>
        <w:rPr>
          <w:b/>
          <w:lang w:val="es-ES_tradnl"/>
        </w:rPr>
      </w:pPr>
      <w:r w:rsidRPr="005970E9">
        <w:rPr>
          <w:noProof/>
        </w:rPr>
        <w:drawing>
          <wp:inline distT="0" distB="0" distL="0" distR="0" wp14:anchorId="3E031F05" wp14:editId="16F2A509">
            <wp:extent cx="5273040" cy="2019300"/>
            <wp:effectExtent l="0" t="0" r="381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3040" cy="2019300"/>
                    </a:xfrm>
                    <a:prstGeom prst="rect">
                      <a:avLst/>
                    </a:prstGeom>
                    <a:noFill/>
                    <a:ln>
                      <a:noFill/>
                    </a:ln>
                  </pic:spPr>
                </pic:pic>
              </a:graphicData>
            </a:graphic>
          </wp:inline>
        </w:drawing>
      </w:r>
    </w:p>
    <w:p w14:paraId="1A5EAC3F" w14:textId="77777777"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Fuente: Elaboración propia, basada en el Censo de adultos privados de libertad a nivel nacional. Panamá. 2018</w:t>
      </w:r>
    </w:p>
    <w:p w14:paraId="3D02A888" w14:textId="77777777" w:rsidR="00CB054C" w:rsidRPr="005970E9" w:rsidRDefault="00CB054C" w:rsidP="00594BB7">
      <w:pPr>
        <w:widowControl w:val="0"/>
        <w:autoSpaceDE w:val="0"/>
        <w:autoSpaceDN w:val="0"/>
        <w:adjustRightInd w:val="0"/>
        <w:spacing w:before="240" w:after="120" w:line="276" w:lineRule="auto"/>
        <w:jc w:val="both"/>
        <w:rPr>
          <w:lang w:val="es-ES_tradnl"/>
        </w:rPr>
      </w:pPr>
      <w:r w:rsidRPr="005970E9">
        <w:rPr>
          <w:bCs/>
          <w:lang w:val="es-ES_tradnl"/>
        </w:rPr>
        <w:t xml:space="preserve">Los datos del citado censo (2018) </w:t>
      </w:r>
      <w:r w:rsidRPr="005970E9">
        <w:rPr>
          <w:lang w:val="es-ES_tradnl"/>
        </w:rPr>
        <w:t xml:space="preserve">identificaron que un alto porcentaje (48%) de las mujeres privadas de libertad han sido madres adolescentes, mientras que sólo 20% de los hombres está en esta categoría.  </w:t>
      </w:r>
    </w:p>
    <w:p w14:paraId="2A08335D" w14:textId="3D97614C"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 xml:space="preserve">En los primeros años de la edad adulta (de 25 a 34 años) sólo el 8,3% de las mujeres tuvo su primer hijo o hija, frente al 20,5% de los hombres. (Observar </w:t>
      </w:r>
      <w:r w:rsidR="00594BB7">
        <w:rPr>
          <w:lang w:val="es-ES_tradnl"/>
        </w:rPr>
        <w:t>tabla 29</w:t>
      </w:r>
      <w:r w:rsidRPr="005970E9">
        <w:rPr>
          <w:lang w:val="es-ES_tradnl"/>
        </w:rPr>
        <w:t>)</w:t>
      </w:r>
    </w:p>
    <w:p w14:paraId="17A734FA" w14:textId="0D6629AC" w:rsidR="00CB054C" w:rsidRPr="005970E9" w:rsidRDefault="008A61AF" w:rsidP="00D824B6">
      <w:pPr>
        <w:pStyle w:val="Caption"/>
        <w:keepNext/>
        <w:jc w:val="both"/>
        <w:rPr>
          <w:rFonts w:ascii="Century Schoolbook" w:hAnsi="Century Schoolbook"/>
          <w:i w:val="0"/>
          <w:iCs w:val="0"/>
          <w:sz w:val="20"/>
          <w:szCs w:val="20"/>
        </w:rPr>
      </w:pPr>
      <w:bookmarkStart w:id="285" w:name="_Toc42549223"/>
      <w:r w:rsidRPr="005970E9">
        <w:rPr>
          <w:rFonts w:ascii="Century Schoolbook" w:hAnsi="Century Schoolbook"/>
          <w:i w:val="0"/>
          <w:iCs w:val="0"/>
          <w:sz w:val="20"/>
          <w:szCs w:val="20"/>
        </w:rPr>
        <w:lastRenderedPageBreak/>
        <w:t>Tabla</w:t>
      </w:r>
      <w:r w:rsidR="00D824B6" w:rsidRPr="005970E9">
        <w:rPr>
          <w:rFonts w:ascii="Century Schoolbook" w:hAnsi="Century Schoolbook"/>
          <w:i w:val="0"/>
          <w:iCs w:val="0"/>
          <w:sz w:val="20"/>
          <w:szCs w:val="20"/>
        </w:rPr>
        <w:t xml:space="preserve">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0E7B3A">
        <w:rPr>
          <w:rFonts w:ascii="Century Schoolbook" w:hAnsi="Century Schoolbook"/>
          <w:i w:val="0"/>
          <w:iCs w:val="0"/>
          <w:noProof/>
          <w:sz w:val="20"/>
          <w:szCs w:val="20"/>
        </w:rPr>
        <w:t>29</w:t>
      </w:r>
      <w:r w:rsidRPr="005970E9">
        <w:rPr>
          <w:rFonts w:ascii="Century Schoolbook" w:hAnsi="Century Schoolbook"/>
          <w:i w:val="0"/>
          <w:iCs w:val="0"/>
          <w:sz w:val="20"/>
          <w:szCs w:val="20"/>
        </w:rPr>
        <w:fldChar w:fldCharType="end"/>
      </w:r>
      <w:r w:rsidR="00D824B6" w:rsidRPr="005970E9">
        <w:rPr>
          <w:rFonts w:ascii="Century Schoolbook" w:hAnsi="Century Schoolbook"/>
          <w:i w:val="0"/>
          <w:iCs w:val="0"/>
          <w:sz w:val="20"/>
          <w:szCs w:val="20"/>
        </w:rPr>
        <w:t xml:space="preserve">. </w:t>
      </w:r>
      <w:r w:rsidR="00CB054C" w:rsidRPr="005970E9">
        <w:rPr>
          <w:rFonts w:ascii="Century Schoolbook" w:hAnsi="Century Schoolbook"/>
          <w:i w:val="0"/>
          <w:iCs w:val="0"/>
          <w:sz w:val="20"/>
          <w:szCs w:val="20"/>
          <w:lang w:val="es-ES_tradnl"/>
        </w:rPr>
        <w:t>Población adulta privada de libertad en la república con hijos, por sexo, según edad que tenía cuando nació su primer hijo</w:t>
      </w:r>
      <w:r w:rsidR="00594BB7">
        <w:rPr>
          <w:rFonts w:ascii="Century Schoolbook" w:hAnsi="Century Schoolbook"/>
          <w:i w:val="0"/>
          <w:iCs w:val="0"/>
          <w:sz w:val="20"/>
          <w:szCs w:val="20"/>
          <w:lang w:val="es-ES_tradnl"/>
        </w:rPr>
        <w:t>,</w:t>
      </w:r>
      <w:r w:rsidR="00CB054C" w:rsidRPr="005970E9">
        <w:rPr>
          <w:rFonts w:ascii="Century Schoolbook" w:hAnsi="Century Schoolbook"/>
          <w:i w:val="0"/>
          <w:iCs w:val="0"/>
          <w:sz w:val="20"/>
          <w:szCs w:val="20"/>
          <w:lang w:val="es-ES_tradnl"/>
        </w:rPr>
        <w:t xml:space="preserve"> 2018</w:t>
      </w:r>
      <w:r w:rsidR="00594BB7">
        <w:rPr>
          <w:rFonts w:ascii="Century Schoolbook" w:hAnsi="Century Schoolbook"/>
          <w:i w:val="0"/>
          <w:iCs w:val="0"/>
          <w:sz w:val="20"/>
          <w:szCs w:val="20"/>
          <w:lang w:val="es-ES_tradnl"/>
        </w:rPr>
        <w:t>.</w:t>
      </w:r>
      <w:bookmarkEnd w:id="285"/>
    </w:p>
    <w:p w14:paraId="429A58D8" w14:textId="5A752A81"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noProof/>
        </w:rPr>
        <w:drawing>
          <wp:inline distT="0" distB="0" distL="0" distR="0" wp14:anchorId="18C9CA4D" wp14:editId="68608903">
            <wp:extent cx="5612130" cy="2272030"/>
            <wp:effectExtent l="0" t="0" r="762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2130" cy="2272030"/>
                    </a:xfrm>
                    <a:prstGeom prst="rect">
                      <a:avLst/>
                    </a:prstGeom>
                    <a:noFill/>
                    <a:ln>
                      <a:noFill/>
                    </a:ln>
                  </pic:spPr>
                </pic:pic>
              </a:graphicData>
            </a:graphic>
          </wp:inline>
        </w:drawing>
      </w:r>
    </w:p>
    <w:p w14:paraId="364F33E8" w14:textId="77777777" w:rsidR="00CB054C" w:rsidRPr="005970E9" w:rsidRDefault="00CB054C" w:rsidP="00474ECD">
      <w:pPr>
        <w:widowControl w:val="0"/>
        <w:autoSpaceDE w:val="0"/>
        <w:autoSpaceDN w:val="0"/>
        <w:adjustRightInd w:val="0"/>
        <w:spacing w:after="120" w:line="276" w:lineRule="auto"/>
        <w:jc w:val="both"/>
        <w:rPr>
          <w:lang w:val="es-ES_tradnl"/>
        </w:rPr>
      </w:pPr>
      <w:r w:rsidRPr="005970E9">
        <w:rPr>
          <w:lang w:val="es-ES_tradnl"/>
        </w:rPr>
        <w:t>Fuente: Elaboración propia, con datos del Censo de adultos privados de libertad a nivel nacional. Panamá. 2018</w:t>
      </w:r>
    </w:p>
    <w:p w14:paraId="1787122B" w14:textId="77777777" w:rsidR="00CB054C" w:rsidRPr="005970E9" w:rsidRDefault="00CB054C" w:rsidP="00CB054C">
      <w:pPr>
        <w:spacing w:before="120" w:after="120" w:line="276" w:lineRule="auto"/>
        <w:jc w:val="both"/>
        <w:rPr>
          <w:lang w:val="es-ES_tradnl"/>
        </w:rPr>
      </w:pPr>
      <w:r w:rsidRPr="005970E9">
        <w:rPr>
          <w:lang w:val="es-ES_tradnl"/>
        </w:rPr>
        <w:t>Según el mismo Censo, un 80.2% de las mujeres privadas de libertad tenían hijos. Un 75% con hijos menores de 6 años, y de ellas un 55.6% con niños muy pequeños, entre 1 y 3 años; el 19.4% entre 4 y 6 años. Como se evidencia la gran mayoría en su reclusión tienen hijos bastante pequeños de edad.</w:t>
      </w:r>
    </w:p>
    <w:p w14:paraId="33D0A8A7" w14:textId="5D329FF4"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Otro dato relevante de subrayar es el nivel de dependencia de los hijos hacia sus madres ya que el 94% de las mujeres tenían hijos dependientes y un 90% tenían hijos que vivían con ellas antes de estar recluidas (Censo a PL 2018)</w:t>
      </w:r>
      <w:r w:rsidR="00474ECD" w:rsidRPr="005970E9">
        <w:rPr>
          <w:lang w:val="es-ES_tradnl"/>
        </w:rPr>
        <w:t>.</w:t>
      </w:r>
    </w:p>
    <w:p w14:paraId="66E2EEE0" w14:textId="77777777"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Para las mujeres que han sido madres adolescentes, antes o después de estar privadas de libertad, con hijos dependientes, la vida es más compleja, con situaciones difíciles de enfrentar permeadas por un contexto social donde prima el patriarcado y la no responsabilidad paterna ante la familia y los hijos.</w:t>
      </w:r>
    </w:p>
    <w:p w14:paraId="2AF2E9E8" w14:textId="2C1B16C9" w:rsidR="00CB054C" w:rsidRPr="005970E9" w:rsidRDefault="00CB054C" w:rsidP="00594BB7">
      <w:pPr>
        <w:widowControl w:val="0"/>
        <w:autoSpaceDE w:val="0"/>
        <w:autoSpaceDN w:val="0"/>
        <w:adjustRightInd w:val="0"/>
        <w:spacing w:before="120" w:after="240" w:line="276" w:lineRule="auto"/>
        <w:jc w:val="both"/>
        <w:rPr>
          <w:rFonts w:eastAsiaTheme="minorEastAsia" w:cs="CIDFont+F1"/>
        </w:rPr>
      </w:pPr>
      <w:r w:rsidRPr="005970E9">
        <w:rPr>
          <w:b/>
          <w:lang w:val="es-ES"/>
        </w:rPr>
        <w:t xml:space="preserve">Nivel académico: </w:t>
      </w:r>
      <w:r w:rsidRPr="005970E9">
        <w:rPr>
          <w:rFonts w:eastAsiaTheme="minorEastAsia" w:cs="CIDFont+F1"/>
        </w:rPr>
        <w:t>Según el censo de privados de libertad realizado en el 2018, s</w:t>
      </w:r>
      <w:r w:rsidR="3EE3D258" w:rsidRPr="005970E9">
        <w:rPr>
          <w:rFonts w:eastAsiaTheme="minorEastAsia" w:cs="CIDFont+F1"/>
        </w:rPr>
        <w:t>ó</w:t>
      </w:r>
      <w:r w:rsidRPr="005970E9">
        <w:rPr>
          <w:rFonts w:eastAsiaTheme="minorEastAsia" w:cs="CIDFont+F1"/>
        </w:rPr>
        <w:t>lo el 11% de las PL estaban asistiendo a una escuela o centro educativo el resto</w:t>
      </w:r>
      <w:r w:rsidR="00474ECD" w:rsidRPr="005970E9">
        <w:rPr>
          <w:rFonts w:eastAsiaTheme="minorEastAsia" w:cs="CIDFont+F1"/>
        </w:rPr>
        <w:t xml:space="preserve">, </w:t>
      </w:r>
      <w:r w:rsidRPr="005970E9">
        <w:rPr>
          <w:rFonts w:eastAsiaTheme="minorEastAsia" w:cs="CIDFont+F1"/>
        </w:rPr>
        <w:t>89%</w:t>
      </w:r>
      <w:r w:rsidR="00474ECD" w:rsidRPr="005970E9">
        <w:rPr>
          <w:rFonts w:eastAsiaTheme="minorEastAsia" w:cs="CIDFont+F1"/>
        </w:rPr>
        <w:t xml:space="preserve"> no</w:t>
      </w:r>
      <w:r w:rsidRPr="005970E9">
        <w:rPr>
          <w:rFonts w:eastAsiaTheme="minorEastAsia" w:cs="CIDFont+F1"/>
        </w:rPr>
        <w:t>. Del 11% que asistía a un centro educativo un 51% contaba con secundaria incompleta. Son pocas las personas privadas de libertad que no cuentan con ningún grado de escolaridad, este porcentaje fue de 1.3%, lo que nos lleva a concluir que la mayoría</w:t>
      </w:r>
      <w:r w:rsidR="00474ECD" w:rsidRPr="005970E9">
        <w:rPr>
          <w:rFonts w:eastAsiaTheme="minorEastAsia" w:cs="CIDFont+F1"/>
        </w:rPr>
        <w:t xml:space="preserve"> (97%)</w:t>
      </w:r>
      <w:r w:rsidRPr="005970E9">
        <w:rPr>
          <w:rFonts w:eastAsiaTheme="minorEastAsia" w:cs="CIDFont+F1"/>
        </w:rPr>
        <w:t xml:space="preserve"> de las personas privadas de libertad saben leer y escribir. </w:t>
      </w:r>
      <w:r w:rsidR="00474ECD" w:rsidRPr="005970E9">
        <w:rPr>
          <w:rFonts w:eastAsiaTheme="minorEastAsia" w:cs="CIDFont+F1"/>
        </w:rPr>
        <w:t>S</w:t>
      </w:r>
      <w:r w:rsidRPr="005970E9">
        <w:rPr>
          <w:rFonts w:eastAsiaTheme="minorEastAsia" w:cs="CIDFont+F1"/>
        </w:rPr>
        <w:t xml:space="preserve">olo un 3% no </w:t>
      </w:r>
      <w:r w:rsidR="00474ECD" w:rsidRPr="005970E9">
        <w:rPr>
          <w:rFonts w:eastAsiaTheme="minorEastAsia" w:cs="CIDFont+F1"/>
        </w:rPr>
        <w:t xml:space="preserve">tiene dominio de la lecto escritura </w:t>
      </w:r>
      <w:r w:rsidRPr="005970E9">
        <w:rPr>
          <w:rFonts w:eastAsiaTheme="minorEastAsia" w:cs="CIDFont+F1"/>
        </w:rPr>
        <w:t>(MING. 2018. Censo. pág. 51)</w:t>
      </w:r>
      <w:r w:rsidR="00474ECD" w:rsidRPr="005970E9">
        <w:rPr>
          <w:rFonts w:eastAsiaTheme="minorEastAsia" w:cs="CIDFont+F1"/>
        </w:rPr>
        <w:t>.</w:t>
      </w:r>
    </w:p>
    <w:p w14:paraId="44043DA7" w14:textId="3AEDAD5D" w:rsidR="00CB054C" w:rsidRPr="005970E9" w:rsidRDefault="008A61AF" w:rsidP="00D824B6">
      <w:pPr>
        <w:pStyle w:val="Caption"/>
        <w:keepNext/>
        <w:rPr>
          <w:rFonts w:ascii="Century Schoolbook" w:hAnsi="Century Schoolbook" w:cs="Times New Roman"/>
          <w:i w:val="0"/>
          <w:iCs w:val="0"/>
          <w:sz w:val="20"/>
          <w:szCs w:val="20"/>
        </w:rPr>
      </w:pPr>
      <w:bookmarkStart w:id="286" w:name="_Toc42549224"/>
      <w:r w:rsidRPr="005970E9">
        <w:rPr>
          <w:rFonts w:ascii="Century Schoolbook" w:hAnsi="Century Schoolbook"/>
          <w:i w:val="0"/>
          <w:iCs w:val="0"/>
          <w:sz w:val="20"/>
          <w:szCs w:val="20"/>
        </w:rPr>
        <w:t>Tabla</w:t>
      </w:r>
      <w:r w:rsidR="00D824B6" w:rsidRPr="005970E9">
        <w:rPr>
          <w:rFonts w:ascii="Century Schoolbook" w:hAnsi="Century Schoolbook"/>
          <w:i w:val="0"/>
          <w:iCs w:val="0"/>
          <w:sz w:val="20"/>
          <w:szCs w:val="20"/>
        </w:rPr>
        <w:t xml:space="preserve">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0E7B3A">
        <w:rPr>
          <w:rFonts w:ascii="Century Schoolbook" w:hAnsi="Century Schoolbook"/>
          <w:i w:val="0"/>
          <w:iCs w:val="0"/>
          <w:noProof/>
          <w:sz w:val="20"/>
          <w:szCs w:val="20"/>
        </w:rPr>
        <w:t>30</w:t>
      </w:r>
      <w:r w:rsidRPr="005970E9">
        <w:rPr>
          <w:rFonts w:ascii="Century Schoolbook" w:hAnsi="Century Schoolbook"/>
          <w:i w:val="0"/>
          <w:iCs w:val="0"/>
          <w:sz w:val="20"/>
          <w:szCs w:val="20"/>
        </w:rPr>
        <w:fldChar w:fldCharType="end"/>
      </w:r>
      <w:r w:rsidR="003F1C4D" w:rsidRPr="005970E9">
        <w:rPr>
          <w:rFonts w:ascii="Century Schoolbook" w:hAnsi="Century Schoolbook"/>
          <w:i w:val="0"/>
          <w:iCs w:val="0"/>
          <w:sz w:val="20"/>
          <w:szCs w:val="20"/>
        </w:rPr>
        <w:t>.</w:t>
      </w:r>
      <w:r w:rsidR="00D824B6" w:rsidRPr="005970E9">
        <w:rPr>
          <w:rFonts w:ascii="Century Schoolbook" w:hAnsi="Century Schoolbook"/>
          <w:i w:val="0"/>
          <w:iCs w:val="0"/>
          <w:sz w:val="20"/>
          <w:szCs w:val="20"/>
        </w:rPr>
        <w:t xml:space="preserve"> </w:t>
      </w:r>
      <w:r w:rsidR="00CB054C" w:rsidRPr="005970E9">
        <w:rPr>
          <w:rFonts w:ascii="Century Schoolbook" w:hAnsi="Century Schoolbook"/>
          <w:i w:val="0"/>
          <w:iCs w:val="0"/>
          <w:sz w:val="20"/>
          <w:szCs w:val="20"/>
        </w:rPr>
        <w:t>Población adulta privada de libertad en la República, por asistencia a la escuela o centro educativo al momento de ser detenido, según grado escolar más alto aprobado. 2018</w:t>
      </w:r>
      <w:bookmarkEnd w:id="286"/>
    </w:p>
    <w:tbl>
      <w:tblPr>
        <w:tblStyle w:val="TableGrid"/>
        <w:tblW w:w="8359" w:type="dxa"/>
        <w:tblLayout w:type="fixed"/>
        <w:tblLook w:val="04A0" w:firstRow="1" w:lastRow="0" w:firstColumn="1" w:lastColumn="0" w:noHBand="0" w:noVBand="1"/>
      </w:tblPr>
      <w:tblGrid>
        <w:gridCol w:w="3256"/>
        <w:gridCol w:w="850"/>
        <w:gridCol w:w="992"/>
        <w:gridCol w:w="709"/>
        <w:gridCol w:w="851"/>
        <w:gridCol w:w="850"/>
        <w:gridCol w:w="851"/>
      </w:tblGrid>
      <w:tr w:rsidR="00CB054C" w:rsidRPr="005970E9" w14:paraId="547CE467" w14:textId="77777777" w:rsidTr="000B36D8">
        <w:trPr>
          <w:trHeight w:val="274"/>
        </w:trPr>
        <w:tc>
          <w:tcPr>
            <w:tcW w:w="3256"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1BDF75F" w14:textId="77777777" w:rsidR="00CB054C" w:rsidRPr="005970E9" w:rsidRDefault="00CB054C" w:rsidP="000B36D8">
            <w:pPr>
              <w:jc w:val="center"/>
              <w:rPr>
                <w:lang w:val="es-ES_tradnl"/>
              </w:rPr>
            </w:pPr>
            <w:r w:rsidRPr="005970E9">
              <w:rPr>
                <w:lang w:val="es-ES_tradnl"/>
              </w:rPr>
              <w:t>Grado máximo aprobado</w:t>
            </w:r>
          </w:p>
        </w:tc>
        <w:tc>
          <w:tcPr>
            <w:tcW w:w="5103" w:type="dxa"/>
            <w:gridSpan w:val="6"/>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1FC7F133" w14:textId="77777777" w:rsidR="00CB054C" w:rsidRPr="005970E9" w:rsidRDefault="00CB054C" w:rsidP="000B36D8">
            <w:pPr>
              <w:rPr>
                <w:lang w:val="es-ES_tradnl"/>
              </w:rPr>
            </w:pPr>
            <w:r w:rsidRPr="005970E9">
              <w:rPr>
                <w:lang w:val="es-ES_tradnl"/>
              </w:rPr>
              <w:t>Población adulta privada de libertad</w:t>
            </w:r>
          </w:p>
        </w:tc>
      </w:tr>
      <w:tr w:rsidR="00CB054C" w:rsidRPr="005970E9" w14:paraId="5E07F090" w14:textId="77777777" w:rsidTr="000B36D8">
        <w:trPr>
          <w:trHeight w:val="274"/>
        </w:trPr>
        <w:tc>
          <w:tcPr>
            <w:tcW w:w="325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6532A12" w14:textId="77777777" w:rsidR="00CB054C" w:rsidRPr="005970E9" w:rsidRDefault="00CB054C" w:rsidP="000B36D8">
            <w:pPr>
              <w:rPr>
                <w:rFonts w:cs="Times New Roman"/>
                <w:lang w:val="es-ES_tradnl"/>
              </w:rPr>
            </w:pP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4F81C888" w14:textId="77777777" w:rsidR="00CB054C" w:rsidRPr="005970E9" w:rsidRDefault="00CB054C" w:rsidP="000B36D8">
            <w:pPr>
              <w:jc w:val="center"/>
              <w:rPr>
                <w:lang w:val="es-ES_tradnl"/>
              </w:rPr>
            </w:pPr>
            <w:r w:rsidRPr="005970E9">
              <w:rPr>
                <w:lang w:val="es-ES_tradnl"/>
              </w:rPr>
              <w:t>Total</w:t>
            </w:r>
          </w:p>
        </w:tc>
        <w:tc>
          <w:tcPr>
            <w:tcW w:w="3261" w:type="dxa"/>
            <w:gridSpan w:val="4"/>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40F6FAFF" w14:textId="4D2260A0" w:rsidR="00CB054C" w:rsidRPr="005970E9" w:rsidRDefault="00CB054C" w:rsidP="000B36D8">
            <w:pPr>
              <w:rPr>
                <w:lang w:val="es-ES_tradnl"/>
              </w:rPr>
            </w:pPr>
            <w:r w:rsidRPr="005970E9">
              <w:rPr>
                <w:lang w:val="es-ES_tradnl"/>
              </w:rPr>
              <w:t>Asistía a la escuela al momento de ser</w:t>
            </w:r>
            <w:r w:rsidR="00065678" w:rsidRPr="005970E9">
              <w:rPr>
                <w:lang w:val="es-ES_tradnl"/>
              </w:rPr>
              <w:t xml:space="preserve"> </w:t>
            </w:r>
            <w:r w:rsidRPr="005970E9">
              <w:rPr>
                <w:lang w:val="es-ES_tradnl"/>
              </w:rPr>
              <w:t>detenido</w:t>
            </w:r>
          </w:p>
        </w:tc>
      </w:tr>
      <w:tr w:rsidR="00CB054C" w:rsidRPr="005970E9" w14:paraId="3745C441" w14:textId="77777777" w:rsidTr="000B36D8">
        <w:trPr>
          <w:trHeight w:val="50"/>
        </w:trPr>
        <w:tc>
          <w:tcPr>
            <w:tcW w:w="325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1A49BAD" w14:textId="77777777" w:rsidR="00CB054C" w:rsidRPr="005970E9" w:rsidRDefault="00CB054C" w:rsidP="000B36D8">
            <w:pPr>
              <w:rPr>
                <w:rFonts w:cs="Times New Roman"/>
                <w:lang w:val="es-ES_tradnl"/>
              </w:rPr>
            </w:pPr>
          </w:p>
        </w:tc>
        <w:tc>
          <w:tcPr>
            <w:tcW w:w="1842" w:type="dxa"/>
            <w:gridSpan w:val="2"/>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2F5341B" w14:textId="77777777" w:rsidR="00CB054C" w:rsidRPr="005970E9" w:rsidRDefault="00CB054C" w:rsidP="000B36D8">
            <w:pPr>
              <w:rPr>
                <w:rFonts w:cs="Times New Roman"/>
                <w:lang w:val="es-ES_tradnl"/>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23DCDE2E" w14:textId="2CE68351" w:rsidR="00CB054C" w:rsidRPr="005970E9" w:rsidRDefault="00CB054C" w:rsidP="000B36D8">
            <w:pPr>
              <w:jc w:val="center"/>
              <w:rPr>
                <w:lang w:val="es-ES_tradnl"/>
              </w:rPr>
            </w:pPr>
            <w:r w:rsidRPr="005970E9">
              <w:rPr>
                <w:lang w:val="es-ES_tradnl"/>
              </w:rPr>
              <w:t>Si</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6B44538A" w14:textId="571A30A9" w:rsidR="00CB054C" w:rsidRPr="005970E9" w:rsidRDefault="00CB054C" w:rsidP="000B36D8">
            <w:pPr>
              <w:jc w:val="center"/>
              <w:rPr>
                <w:lang w:val="es-ES_tradnl"/>
              </w:rPr>
            </w:pPr>
            <w:r w:rsidRPr="005970E9">
              <w:rPr>
                <w:lang w:val="es-ES_tradnl"/>
              </w:rPr>
              <w:t>No</w:t>
            </w:r>
          </w:p>
        </w:tc>
      </w:tr>
      <w:tr w:rsidR="00CB054C" w:rsidRPr="005970E9" w14:paraId="50D059E6" w14:textId="77777777" w:rsidTr="000B36D8">
        <w:trPr>
          <w:trHeight w:val="274"/>
        </w:trPr>
        <w:tc>
          <w:tcPr>
            <w:tcW w:w="325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A86B37B" w14:textId="77777777" w:rsidR="00CB054C" w:rsidRPr="005970E9" w:rsidRDefault="00CB054C" w:rsidP="000B36D8">
            <w:pPr>
              <w:rPr>
                <w:rFonts w:cs="Times New Roman"/>
                <w:lang w:val="es-ES_tradnl"/>
              </w:rPr>
            </w:pP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6CA01C32" w14:textId="77777777" w:rsidR="00CB054C" w:rsidRPr="005970E9" w:rsidRDefault="00CB054C" w:rsidP="000B36D8">
            <w:pPr>
              <w:rPr>
                <w:lang w:val="es-ES_tradnl"/>
              </w:rPr>
            </w:pPr>
            <w:r w:rsidRPr="005970E9">
              <w:rPr>
                <w:lang w:val="es-ES_tradnl"/>
              </w:rPr>
              <w:t>No.</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556691F0" w14:textId="77777777" w:rsidR="00CB054C" w:rsidRPr="005970E9" w:rsidRDefault="00CB054C" w:rsidP="000B36D8">
            <w:pPr>
              <w:rPr>
                <w:lang w:val="es-ES_tradnl"/>
              </w:rPr>
            </w:pPr>
            <w:r w:rsidRPr="005970E9">
              <w:rPr>
                <w:lang w:val="es-ES_tradnl"/>
              </w:rPr>
              <w:t>%</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5AF9940E" w14:textId="77777777" w:rsidR="00CB054C" w:rsidRPr="005970E9" w:rsidRDefault="00CB054C" w:rsidP="000B36D8">
            <w:pPr>
              <w:rPr>
                <w:lang w:val="es-ES_tradnl"/>
              </w:rPr>
            </w:pPr>
            <w:r w:rsidRPr="005970E9">
              <w:rPr>
                <w:lang w:val="es-ES_tradnl"/>
              </w:rPr>
              <w:t>No.</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33B1BE32" w14:textId="77777777" w:rsidR="00CB054C" w:rsidRPr="005970E9" w:rsidRDefault="00CB054C" w:rsidP="000B36D8">
            <w:pPr>
              <w:rPr>
                <w:lang w:val="es-ES_tradnl"/>
              </w:rPr>
            </w:pPr>
            <w:r w:rsidRPr="005970E9">
              <w:rPr>
                <w:lang w:val="es-ES_tradnl"/>
              </w:rPr>
              <w:t>%</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44DA473A" w14:textId="77777777" w:rsidR="00CB054C" w:rsidRPr="005970E9" w:rsidRDefault="00CB054C" w:rsidP="000B36D8">
            <w:pPr>
              <w:rPr>
                <w:lang w:val="es-ES_tradnl"/>
              </w:rPr>
            </w:pPr>
            <w:r w:rsidRPr="005970E9">
              <w:rPr>
                <w:lang w:val="es-ES_tradnl"/>
              </w:rPr>
              <w:t>No.</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04EB455B" w14:textId="77777777" w:rsidR="00CB054C" w:rsidRPr="005970E9" w:rsidRDefault="00CB054C" w:rsidP="000B36D8">
            <w:pPr>
              <w:rPr>
                <w:lang w:val="es-ES_tradnl"/>
              </w:rPr>
            </w:pPr>
            <w:r w:rsidRPr="005970E9">
              <w:rPr>
                <w:lang w:val="es-ES_tradnl"/>
              </w:rPr>
              <w:t>%</w:t>
            </w:r>
          </w:p>
        </w:tc>
      </w:tr>
      <w:tr w:rsidR="00CB054C" w:rsidRPr="005970E9" w14:paraId="5C0D1A61" w14:textId="77777777" w:rsidTr="00D824B6">
        <w:trPr>
          <w:trHeight w:val="274"/>
        </w:trPr>
        <w:tc>
          <w:tcPr>
            <w:tcW w:w="3256" w:type="dxa"/>
            <w:tcBorders>
              <w:top w:val="single" w:sz="4" w:space="0" w:color="auto"/>
              <w:left w:val="single" w:sz="4" w:space="0" w:color="auto"/>
              <w:bottom w:val="single" w:sz="4" w:space="0" w:color="auto"/>
              <w:right w:val="single" w:sz="4" w:space="0" w:color="auto"/>
            </w:tcBorders>
            <w:hideMark/>
          </w:tcPr>
          <w:p w14:paraId="64159BFA" w14:textId="77777777" w:rsidR="00CB054C" w:rsidRPr="005970E9" w:rsidRDefault="00CB054C" w:rsidP="000B36D8">
            <w:pPr>
              <w:rPr>
                <w:lang w:val="es-ES_tradnl"/>
              </w:rPr>
            </w:pPr>
            <w:r w:rsidRPr="005970E9">
              <w:rPr>
                <w:lang w:val="es-ES_tradnl"/>
              </w:rPr>
              <w:t>Total</w:t>
            </w:r>
          </w:p>
        </w:tc>
        <w:tc>
          <w:tcPr>
            <w:tcW w:w="850" w:type="dxa"/>
            <w:tcBorders>
              <w:top w:val="single" w:sz="4" w:space="0" w:color="auto"/>
              <w:left w:val="single" w:sz="4" w:space="0" w:color="auto"/>
              <w:bottom w:val="single" w:sz="4" w:space="0" w:color="auto"/>
              <w:right w:val="single" w:sz="4" w:space="0" w:color="auto"/>
            </w:tcBorders>
            <w:noWrap/>
            <w:hideMark/>
          </w:tcPr>
          <w:p w14:paraId="2C0DB457" w14:textId="77777777" w:rsidR="00CB054C" w:rsidRPr="005970E9" w:rsidRDefault="00CB054C" w:rsidP="000B36D8">
            <w:pPr>
              <w:rPr>
                <w:lang w:val="es-ES_tradnl"/>
              </w:rPr>
            </w:pPr>
            <w:r w:rsidRPr="005970E9">
              <w:rPr>
                <w:lang w:val="es-ES_tradnl"/>
              </w:rPr>
              <w:t>16051</w:t>
            </w:r>
          </w:p>
        </w:tc>
        <w:tc>
          <w:tcPr>
            <w:tcW w:w="992" w:type="dxa"/>
            <w:tcBorders>
              <w:top w:val="single" w:sz="4" w:space="0" w:color="auto"/>
              <w:left w:val="single" w:sz="4" w:space="0" w:color="auto"/>
              <w:bottom w:val="single" w:sz="4" w:space="0" w:color="auto"/>
              <w:right w:val="single" w:sz="4" w:space="0" w:color="auto"/>
            </w:tcBorders>
            <w:noWrap/>
            <w:hideMark/>
          </w:tcPr>
          <w:p w14:paraId="24CC4460" w14:textId="77777777" w:rsidR="00CB054C" w:rsidRPr="005970E9" w:rsidRDefault="00CB054C" w:rsidP="000B36D8">
            <w:pPr>
              <w:rPr>
                <w:lang w:val="es-ES_tradnl"/>
              </w:rPr>
            </w:pPr>
            <w:r w:rsidRPr="005970E9">
              <w:rPr>
                <w:lang w:val="es-ES_tradnl"/>
              </w:rPr>
              <w:t>100.00</w:t>
            </w:r>
          </w:p>
        </w:tc>
        <w:tc>
          <w:tcPr>
            <w:tcW w:w="709" w:type="dxa"/>
            <w:tcBorders>
              <w:top w:val="single" w:sz="4" w:space="0" w:color="auto"/>
              <w:left w:val="single" w:sz="4" w:space="0" w:color="auto"/>
              <w:bottom w:val="single" w:sz="4" w:space="0" w:color="auto"/>
              <w:right w:val="single" w:sz="4" w:space="0" w:color="auto"/>
            </w:tcBorders>
            <w:noWrap/>
            <w:hideMark/>
          </w:tcPr>
          <w:p w14:paraId="4B67D763" w14:textId="77777777" w:rsidR="00CB054C" w:rsidRPr="005970E9" w:rsidRDefault="00CB054C" w:rsidP="000B36D8">
            <w:pPr>
              <w:rPr>
                <w:lang w:val="es-ES_tradnl"/>
              </w:rPr>
            </w:pPr>
            <w:r w:rsidRPr="005970E9">
              <w:rPr>
                <w:lang w:val="es-ES_tradnl"/>
              </w:rPr>
              <w:t>1762</w:t>
            </w:r>
          </w:p>
        </w:tc>
        <w:tc>
          <w:tcPr>
            <w:tcW w:w="851" w:type="dxa"/>
            <w:tcBorders>
              <w:top w:val="single" w:sz="4" w:space="0" w:color="auto"/>
              <w:left w:val="single" w:sz="4" w:space="0" w:color="auto"/>
              <w:bottom w:val="single" w:sz="4" w:space="0" w:color="auto"/>
              <w:right w:val="single" w:sz="4" w:space="0" w:color="auto"/>
            </w:tcBorders>
            <w:noWrap/>
            <w:hideMark/>
          </w:tcPr>
          <w:p w14:paraId="69BED9DD" w14:textId="77777777" w:rsidR="00CB054C" w:rsidRPr="005970E9" w:rsidRDefault="00CB054C" w:rsidP="000B36D8">
            <w:pPr>
              <w:rPr>
                <w:lang w:val="es-ES_tradnl"/>
              </w:rPr>
            </w:pPr>
            <w:r w:rsidRPr="005970E9">
              <w:rPr>
                <w:lang w:val="es-ES_tradnl"/>
              </w:rPr>
              <w:t>10.98</w:t>
            </w:r>
          </w:p>
        </w:tc>
        <w:tc>
          <w:tcPr>
            <w:tcW w:w="850" w:type="dxa"/>
            <w:tcBorders>
              <w:top w:val="single" w:sz="4" w:space="0" w:color="auto"/>
              <w:left w:val="single" w:sz="4" w:space="0" w:color="auto"/>
              <w:bottom w:val="single" w:sz="4" w:space="0" w:color="auto"/>
              <w:right w:val="single" w:sz="4" w:space="0" w:color="auto"/>
            </w:tcBorders>
            <w:noWrap/>
            <w:hideMark/>
          </w:tcPr>
          <w:p w14:paraId="59B8D883" w14:textId="77777777" w:rsidR="00CB054C" w:rsidRPr="005970E9" w:rsidRDefault="00CB054C" w:rsidP="000B36D8">
            <w:pPr>
              <w:rPr>
                <w:lang w:val="es-ES_tradnl"/>
              </w:rPr>
            </w:pPr>
            <w:r w:rsidRPr="005970E9">
              <w:rPr>
                <w:lang w:val="es-ES_tradnl"/>
              </w:rPr>
              <w:t>14289</w:t>
            </w:r>
          </w:p>
        </w:tc>
        <w:tc>
          <w:tcPr>
            <w:tcW w:w="851" w:type="dxa"/>
            <w:tcBorders>
              <w:top w:val="single" w:sz="4" w:space="0" w:color="auto"/>
              <w:left w:val="single" w:sz="4" w:space="0" w:color="auto"/>
              <w:bottom w:val="single" w:sz="4" w:space="0" w:color="auto"/>
              <w:right w:val="single" w:sz="4" w:space="0" w:color="auto"/>
            </w:tcBorders>
            <w:noWrap/>
            <w:hideMark/>
          </w:tcPr>
          <w:p w14:paraId="235702A4" w14:textId="77777777" w:rsidR="00CB054C" w:rsidRPr="005970E9" w:rsidRDefault="00CB054C" w:rsidP="000B36D8">
            <w:pPr>
              <w:rPr>
                <w:lang w:val="es-ES_tradnl"/>
              </w:rPr>
            </w:pPr>
            <w:r w:rsidRPr="005970E9">
              <w:rPr>
                <w:lang w:val="es-ES_tradnl"/>
              </w:rPr>
              <w:t>89.02</w:t>
            </w:r>
          </w:p>
        </w:tc>
      </w:tr>
      <w:tr w:rsidR="00CB054C" w:rsidRPr="005970E9" w14:paraId="4E07E8E0" w14:textId="77777777" w:rsidTr="00D824B6">
        <w:trPr>
          <w:trHeight w:val="394"/>
        </w:trPr>
        <w:tc>
          <w:tcPr>
            <w:tcW w:w="3256" w:type="dxa"/>
            <w:tcBorders>
              <w:top w:val="single" w:sz="4" w:space="0" w:color="auto"/>
              <w:left w:val="single" w:sz="4" w:space="0" w:color="auto"/>
              <w:bottom w:val="single" w:sz="4" w:space="0" w:color="auto"/>
              <w:right w:val="single" w:sz="4" w:space="0" w:color="auto"/>
            </w:tcBorders>
            <w:hideMark/>
          </w:tcPr>
          <w:p w14:paraId="7DB9DC0B" w14:textId="77777777" w:rsidR="00CB054C" w:rsidRPr="005970E9" w:rsidRDefault="00CB054C" w:rsidP="000B36D8">
            <w:pPr>
              <w:rPr>
                <w:lang w:val="es-ES_tradnl"/>
              </w:rPr>
            </w:pPr>
            <w:r w:rsidRPr="005970E9">
              <w:rPr>
                <w:lang w:val="es-ES_tradnl"/>
              </w:rPr>
              <w:t>Ninguna escolaridad</w:t>
            </w:r>
          </w:p>
        </w:tc>
        <w:tc>
          <w:tcPr>
            <w:tcW w:w="850" w:type="dxa"/>
            <w:tcBorders>
              <w:top w:val="single" w:sz="4" w:space="0" w:color="auto"/>
              <w:left w:val="single" w:sz="4" w:space="0" w:color="auto"/>
              <w:bottom w:val="single" w:sz="4" w:space="0" w:color="auto"/>
              <w:right w:val="single" w:sz="4" w:space="0" w:color="auto"/>
            </w:tcBorders>
            <w:noWrap/>
            <w:hideMark/>
          </w:tcPr>
          <w:p w14:paraId="5E3B85E9" w14:textId="77777777" w:rsidR="00CB054C" w:rsidRPr="005970E9" w:rsidRDefault="00CB054C" w:rsidP="000B36D8">
            <w:pPr>
              <w:rPr>
                <w:lang w:val="es-ES_tradnl"/>
              </w:rPr>
            </w:pPr>
            <w:r w:rsidRPr="005970E9">
              <w:rPr>
                <w:lang w:val="es-ES_tradnl"/>
              </w:rPr>
              <w:t>201</w:t>
            </w:r>
          </w:p>
        </w:tc>
        <w:tc>
          <w:tcPr>
            <w:tcW w:w="992" w:type="dxa"/>
            <w:tcBorders>
              <w:top w:val="single" w:sz="4" w:space="0" w:color="auto"/>
              <w:left w:val="single" w:sz="4" w:space="0" w:color="auto"/>
              <w:bottom w:val="single" w:sz="4" w:space="0" w:color="auto"/>
              <w:right w:val="single" w:sz="4" w:space="0" w:color="auto"/>
            </w:tcBorders>
            <w:noWrap/>
            <w:hideMark/>
          </w:tcPr>
          <w:p w14:paraId="2C8D157C" w14:textId="77777777" w:rsidR="00CB054C" w:rsidRPr="005970E9" w:rsidRDefault="00CB054C" w:rsidP="000B36D8">
            <w:pPr>
              <w:rPr>
                <w:lang w:val="es-ES_tradnl"/>
              </w:rPr>
            </w:pPr>
            <w:r w:rsidRPr="005970E9">
              <w:rPr>
                <w:lang w:val="es-ES_tradnl"/>
              </w:rPr>
              <w:t>1.25</w:t>
            </w:r>
          </w:p>
        </w:tc>
        <w:tc>
          <w:tcPr>
            <w:tcW w:w="709" w:type="dxa"/>
            <w:tcBorders>
              <w:top w:val="single" w:sz="4" w:space="0" w:color="auto"/>
              <w:left w:val="single" w:sz="4" w:space="0" w:color="auto"/>
              <w:bottom w:val="single" w:sz="4" w:space="0" w:color="auto"/>
              <w:right w:val="single" w:sz="4" w:space="0" w:color="auto"/>
            </w:tcBorders>
            <w:noWrap/>
            <w:hideMark/>
          </w:tcPr>
          <w:p w14:paraId="3B7E07B8" w14:textId="77777777" w:rsidR="00CB054C" w:rsidRPr="005970E9" w:rsidRDefault="00CB054C" w:rsidP="000B36D8">
            <w:pPr>
              <w:rPr>
                <w:lang w:val="es-ES_tradnl"/>
              </w:rPr>
            </w:pPr>
            <w:r w:rsidRPr="005970E9">
              <w:rPr>
                <w:lang w:val="es-ES_tradnl"/>
              </w:rPr>
              <w:t>3</w:t>
            </w:r>
          </w:p>
        </w:tc>
        <w:tc>
          <w:tcPr>
            <w:tcW w:w="851" w:type="dxa"/>
            <w:tcBorders>
              <w:top w:val="single" w:sz="4" w:space="0" w:color="auto"/>
              <w:left w:val="single" w:sz="4" w:space="0" w:color="auto"/>
              <w:bottom w:val="single" w:sz="4" w:space="0" w:color="auto"/>
              <w:right w:val="single" w:sz="4" w:space="0" w:color="auto"/>
            </w:tcBorders>
            <w:noWrap/>
            <w:hideMark/>
          </w:tcPr>
          <w:p w14:paraId="6CFAF73B" w14:textId="77777777" w:rsidR="00CB054C" w:rsidRPr="005970E9" w:rsidRDefault="00CB054C" w:rsidP="000B36D8">
            <w:pPr>
              <w:rPr>
                <w:lang w:val="es-ES_tradnl"/>
              </w:rPr>
            </w:pPr>
            <w:r w:rsidRPr="005970E9">
              <w:rPr>
                <w:lang w:val="es-ES_tradnl"/>
              </w:rPr>
              <w:t>0.02</w:t>
            </w:r>
          </w:p>
        </w:tc>
        <w:tc>
          <w:tcPr>
            <w:tcW w:w="850" w:type="dxa"/>
            <w:tcBorders>
              <w:top w:val="single" w:sz="4" w:space="0" w:color="auto"/>
              <w:left w:val="single" w:sz="4" w:space="0" w:color="auto"/>
              <w:bottom w:val="single" w:sz="4" w:space="0" w:color="auto"/>
              <w:right w:val="single" w:sz="4" w:space="0" w:color="auto"/>
            </w:tcBorders>
            <w:noWrap/>
            <w:hideMark/>
          </w:tcPr>
          <w:p w14:paraId="72EB8705" w14:textId="77777777" w:rsidR="00CB054C" w:rsidRPr="005970E9" w:rsidRDefault="00CB054C" w:rsidP="000B36D8">
            <w:pPr>
              <w:rPr>
                <w:lang w:val="es-ES_tradnl"/>
              </w:rPr>
            </w:pPr>
            <w:r w:rsidRPr="005970E9">
              <w:rPr>
                <w:lang w:val="es-ES_tradnl"/>
              </w:rPr>
              <w:t>198</w:t>
            </w:r>
          </w:p>
        </w:tc>
        <w:tc>
          <w:tcPr>
            <w:tcW w:w="851" w:type="dxa"/>
            <w:tcBorders>
              <w:top w:val="single" w:sz="4" w:space="0" w:color="auto"/>
              <w:left w:val="single" w:sz="4" w:space="0" w:color="auto"/>
              <w:bottom w:val="single" w:sz="4" w:space="0" w:color="auto"/>
              <w:right w:val="single" w:sz="4" w:space="0" w:color="auto"/>
            </w:tcBorders>
            <w:noWrap/>
            <w:hideMark/>
          </w:tcPr>
          <w:p w14:paraId="50A7BCEE" w14:textId="77777777" w:rsidR="00CB054C" w:rsidRPr="005970E9" w:rsidRDefault="00CB054C" w:rsidP="000B36D8">
            <w:pPr>
              <w:rPr>
                <w:lang w:val="es-ES_tradnl"/>
              </w:rPr>
            </w:pPr>
            <w:r w:rsidRPr="005970E9">
              <w:rPr>
                <w:lang w:val="es-ES_tradnl"/>
              </w:rPr>
              <w:t>1.23</w:t>
            </w:r>
          </w:p>
        </w:tc>
      </w:tr>
      <w:tr w:rsidR="00CB054C" w:rsidRPr="005970E9" w14:paraId="10CD7ABE" w14:textId="77777777" w:rsidTr="000B36D8">
        <w:trPr>
          <w:trHeight w:val="272"/>
        </w:trPr>
        <w:tc>
          <w:tcPr>
            <w:tcW w:w="3256" w:type="dxa"/>
            <w:tcBorders>
              <w:top w:val="single" w:sz="4" w:space="0" w:color="auto"/>
              <w:left w:val="single" w:sz="4" w:space="0" w:color="auto"/>
              <w:bottom w:val="single" w:sz="4" w:space="0" w:color="auto"/>
              <w:right w:val="single" w:sz="4" w:space="0" w:color="auto"/>
            </w:tcBorders>
            <w:hideMark/>
          </w:tcPr>
          <w:p w14:paraId="207DC13A" w14:textId="77777777" w:rsidR="00CB054C" w:rsidRPr="005970E9" w:rsidRDefault="00CB054C" w:rsidP="000B36D8">
            <w:pPr>
              <w:rPr>
                <w:lang w:val="es-ES_tradnl"/>
              </w:rPr>
            </w:pPr>
            <w:r w:rsidRPr="005970E9">
              <w:rPr>
                <w:lang w:val="es-ES_tradnl"/>
              </w:rPr>
              <w:t>Prekinder o Kinder</w:t>
            </w:r>
          </w:p>
        </w:tc>
        <w:tc>
          <w:tcPr>
            <w:tcW w:w="850" w:type="dxa"/>
            <w:tcBorders>
              <w:top w:val="single" w:sz="4" w:space="0" w:color="auto"/>
              <w:left w:val="single" w:sz="4" w:space="0" w:color="auto"/>
              <w:bottom w:val="single" w:sz="4" w:space="0" w:color="auto"/>
              <w:right w:val="single" w:sz="4" w:space="0" w:color="auto"/>
            </w:tcBorders>
            <w:noWrap/>
            <w:hideMark/>
          </w:tcPr>
          <w:p w14:paraId="136A9E79" w14:textId="77777777" w:rsidR="00CB054C" w:rsidRPr="005970E9" w:rsidRDefault="00CB054C" w:rsidP="000B36D8">
            <w:pPr>
              <w:rPr>
                <w:lang w:val="es-ES_tradnl"/>
              </w:rPr>
            </w:pPr>
            <w:r w:rsidRPr="005970E9">
              <w:rPr>
                <w:lang w:val="es-ES_tradnl"/>
              </w:rPr>
              <w:t>19</w:t>
            </w:r>
          </w:p>
        </w:tc>
        <w:tc>
          <w:tcPr>
            <w:tcW w:w="992" w:type="dxa"/>
            <w:tcBorders>
              <w:top w:val="single" w:sz="4" w:space="0" w:color="auto"/>
              <w:left w:val="single" w:sz="4" w:space="0" w:color="auto"/>
              <w:bottom w:val="single" w:sz="4" w:space="0" w:color="auto"/>
              <w:right w:val="single" w:sz="4" w:space="0" w:color="auto"/>
            </w:tcBorders>
            <w:noWrap/>
            <w:hideMark/>
          </w:tcPr>
          <w:p w14:paraId="7C4E379C" w14:textId="77777777" w:rsidR="00CB054C" w:rsidRPr="005970E9" w:rsidRDefault="00CB054C" w:rsidP="000B36D8">
            <w:pPr>
              <w:rPr>
                <w:lang w:val="es-ES_tradnl"/>
              </w:rPr>
            </w:pPr>
            <w:r w:rsidRPr="005970E9">
              <w:rPr>
                <w:lang w:val="es-ES_tradnl"/>
              </w:rPr>
              <w:t>0.12</w:t>
            </w:r>
          </w:p>
        </w:tc>
        <w:tc>
          <w:tcPr>
            <w:tcW w:w="709" w:type="dxa"/>
            <w:tcBorders>
              <w:top w:val="single" w:sz="4" w:space="0" w:color="auto"/>
              <w:left w:val="single" w:sz="4" w:space="0" w:color="auto"/>
              <w:bottom w:val="single" w:sz="4" w:space="0" w:color="auto"/>
              <w:right w:val="single" w:sz="4" w:space="0" w:color="auto"/>
            </w:tcBorders>
            <w:noWrap/>
            <w:hideMark/>
          </w:tcPr>
          <w:p w14:paraId="5FB84997" w14:textId="77777777" w:rsidR="00CB054C" w:rsidRPr="005970E9" w:rsidRDefault="00CB054C" w:rsidP="000B36D8">
            <w:pPr>
              <w:rPr>
                <w:lang w:val="es-ES_tradnl"/>
              </w:rPr>
            </w:pPr>
            <w:r w:rsidRPr="005970E9">
              <w:rPr>
                <w:lang w:val="es-ES_tradnl"/>
              </w:rPr>
              <w:t>2</w:t>
            </w:r>
          </w:p>
        </w:tc>
        <w:tc>
          <w:tcPr>
            <w:tcW w:w="851" w:type="dxa"/>
            <w:tcBorders>
              <w:top w:val="single" w:sz="4" w:space="0" w:color="auto"/>
              <w:left w:val="single" w:sz="4" w:space="0" w:color="auto"/>
              <w:bottom w:val="single" w:sz="4" w:space="0" w:color="auto"/>
              <w:right w:val="single" w:sz="4" w:space="0" w:color="auto"/>
            </w:tcBorders>
            <w:noWrap/>
            <w:hideMark/>
          </w:tcPr>
          <w:p w14:paraId="3BEC11AE" w14:textId="77777777" w:rsidR="00CB054C" w:rsidRPr="005970E9" w:rsidRDefault="00CB054C" w:rsidP="000B36D8">
            <w:pPr>
              <w:rPr>
                <w:lang w:val="es-ES_tradnl"/>
              </w:rPr>
            </w:pPr>
            <w:r w:rsidRPr="005970E9">
              <w:rPr>
                <w:lang w:val="es-ES_tradnl"/>
              </w:rPr>
              <w:t>0.01</w:t>
            </w:r>
          </w:p>
        </w:tc>
        <w:tc>
          <w:tcPr>
            <w:tcW w:w="850" w:type="dxa"/>
            <w:tcBorders>
              <w:top w:val="single" w:sz="4" w:space="0" w:color="auto"/>
              <w:left w:val="single" w:sz="4" w:space="0" w:color="auto"/>
              <w:bottom w:val="single" w:sz="4" w:space="0" w:color="auto"/>
              <w:right w:val="single" w:sz="4" w:space="0" w:color="auto"/>
            </w:tcBorders>
            <w:noWrap/>
            <w:hideMark/>
          </w:tcPr>
          <w:p w14:paraId="6A6F024C" w14:textId="77777777" w:rsidR="00CB054C" w:rsidRPr="005970E9" w:rsidRDefault="00CB054C" w:rsidP="000B36D8">
            <w:pPr>
              <w:rPr>
                <w:lang w:val="es-ES_tradnl"/>
              </w:rPr>
            </w:pPr>
            <w:r w:rsidRPr="005970E9">
              <w:rPr>
                <w:lang w:val="es-ES_tradnl"/>
              </w:rPr>
              <w:t>17</w:t>
            </w:r>
          </w:p>
        </w:tc>
        <w:tc>
          <w:tcPr>
            <w:tcW w:w="851" w:type="dxa"/>
            <w:tcBorders>
              <w:top w:val="single" w:sz="4" w:space="0" w:color="auto"/>
              <w:left w:val="single" w:sz="4" w:space="0" w:color="auto"/>
              <w:bottom w:val="single" w:sz="4" w:space="0" w:color="auto"/>
              <w:right w:val="single" w:sz="4" w:space="0" w:color="auto"/>
            </w:tcBorders>
            <w:noWrap/>
            <w:hideMark/>
          </w:tcPr>
          <w:p w14:paraId="3FB7FF64" w14:textId="77777777" w:rsidR="00CB054C" w:rsidRPr="005970E9" w:rsidRDefault="00CB054C" w:rsidP="000B36D8">
            <w:pPr>
              <w:rPr>
                <w:lang w:val="es-ES_tradnl"/>
              </w:rPr>
            </w:pPr>
            <w:r w:rsidRPr="005970E9">
              <w:rPr>
                <w:lang w:val="es-ES_tradnl"/>
              </w:rPr>
              <w:t>0.11</w:t>
            </w:r>
          </w:p>
        </w:tc>
      </w:tr>
      <w:tr w:rsidR="00CB054C" w:rsidRPr="005970E9" w14:paraId="32121A39" w14:textId="77777777" w:rsidTr="00D824B6">
        <w:trPr>
          <w:trHeight w:val="278"/>
        </w:trPr>
        <w:tc>
          <w:tcPr>
            <w:tcW w:w="3256" w:type="dxa"/>
            <w:tcBorders>
              <w:top w:val="single" w:sz="4" w:space="0" w:color="auto"/>
              <w:left w:val="single" w:sz="4" w:space="0" w:color="auto"/>
              <w:bottom w:val="single" w:sz="4" w:space="0" w:color="auto"/>
              <w:right w:val="single" w:sz="4" w:space="0" w:color="auto"/>
            </w:tcBorders>
            <w:hideMark/>
          </w:tcPr>
          <w:p w14:paraId="35EA9594" w14:textId="77777777" w:rsidR="00CB054C" w:rsidRPr="005970E9" w:rsidRDefault="00CB054C" w:rsidP="000B36D8">
            <w:pPr>
              <w:rPr>
                <w:lang w:val="es-ES_tradnl"/>
              </w:rPr>
            </w:pPr>
            <w:r w:rsidRPr="005970E9">
              <w:rPr>
                <w:lang w:val="es-ES_tradnl"/>
              </w:rPr>
              <w:t>Primaria incompleta</w:t>
            </w:r>
          </w:p>
        </w:tc>
        <w:tc>
          <w:tcPr>
            <w:tcW w:w="850" w:type="dxa"/>
            <w:tcBorders>
              <w:top w:val="single" w:sz="4" w:space="0" w:color="auto"/>
              <w:left w:val="single" w:sz="4" w:space="0" w:color="auto"/>
              <w:bottom w:val="single" w:sz="4" w:space="0" w:color="auto"/>
              <w:right w:val="single" w:sz="4" w:space="0" w:color="auto"/>
            </w:tcBorders>
            <w:noWrap/>
            <w:hideMark/>
          </w:tcPr>
          <w:p w14:paraId="03791E58" w14:textId="77777777" w:rsidR="00CB054C" w:rsidRPr="005970E9" w:rsidRDefault="00CB054C" w:rsidP="000B36D8">
            <w:pPr>
              <w:rPr>
                <w:lang w:val="es-ES_tradnl"/>
              </w:rPr>
            </w:pPr>
            <w:r w:rsidRPr="005970E9">
              <w:rPr>
                <w:lang w:val="es-ES_tradnl"/>
              </w:rPr>
              <w:t>1166</w:t>
            </w:r>
          </w:p>
        </w:tc>
        <w:tc>
          <w:tcPr>
            <w:tcW w:w="992" w:type="dxa"/>
            <w:tcBorders>
              <w:top w:val="single" w:sz="4" w:space="0" w:color="auto"/>
              <w:left w:val="single" w:sz="4" w:space="0" w:color="auto"/>
              <w:bottom w:val="single" w:sz="4" w:space="0" w:color="auto"/>
              <w:right w:val="single" w:sz="4" w:space="0" w:color="auto"/>
            </w:tcBorders>
            <w:noWrap/>
            <w:hideMark/>
          </w:tcPr>
          <w:p w14:paraId="588DC5B2" w14:textId="77777777" w:rsidR="00CB054C" w:rsidRPr="005970E9" w:rsidRDefault="00CB054C" w:rsidP="000B36D8">
            <w:pPr>
              <w:rPr>
                <w:lang w:val="es-ES_tradnl"/>
              </w:rPr>
            </w:pPr>
            <w:r w:rsidRPr="005970E9">
              <w:rPr>
                <w:lang w:val="es-ES_tradnl"/>
              </w:rPr>
              <w:t>7.26</w:t>
            </w:r>
          </w:p>
        </w:tc>
        <w:tc>
          <w:tcPr>
            <w:tcW w:w="709" w:type="dxa"/>
            <w:tcBorders>
              <w:top w:val="single" w:sz="4" w:space="0" w:color="auto"/>
              <w:left w:val="single" w:sz="4" w:space="0" w:color="auto"/>
              <w:bottom w:val="single" w:sz="4" w:space="0" w:color="auto"/>
              <w:right w:val="single" w:sz="4" w:space="0" w:color="auto"/>
            </w:tcBorders>
            <w:noWrap/>
            <w:hideMark/>
          </w:tcPr>
          <w:p w14:paraId="51E6328D" w14:textId="77777777" w:rsidR="00CB054C" w:rsidRPr="005970E9" w:rsidRDefault="00CB054C" w:rsidP="000B36D8">
            <w:pPr>
              <w:rPr>
                <w:lang w:val="es-ES_tradnl"/>
              </w:rPr>
            </w:pPr>
            <w:r w:rsidRPr="005970E9">
              <w:rPr>
                <w:lang w:val="es-ES_tradnl"/>
              </w:rPr>
              <w:t>68</w:t>
            </w:r>
          </w:p>
        </w:tc>
        <w:tc>
          <w:tcPr>
            <w:tcW w:w="851" w:type="dxa"/>
            <w:tcBorders>
              <w:top w:val="single" w:sz="4" w:space="0" w:color="auto"/>
              <w:left w:val="single" w:sz="4" w:space="0" w:color="auto"/>
              <w:bottom w:val="single" w:sz="4" w:space="0" w:color="auto"/>
              <w:right w:val="single" w:sz="4" w:space="0" w:color="auto"/>
            </w:tcBorders>
            <w:noWrap/>
            <w:hideMark/>
          </w:tcPr>
          <w:p w14:paraId="072E32DA" w14:textId="77777777" w:rsidR="00CB054C" w:rsidRPr="005970E9" w:rsidRDefault="00CB054C" w:rsidP="000B36D8">
            <w:pPr>
              <w:rPr>
                <w:lang w:val="es-ES_tradnl"/>
              </w:rPr>
            </w:pPr>
            <w:r w:rsidRPr="005970E9">
              <w:rPr>
                <w:lang w:val="es-ES_tradnl"/>
              </w:rPr>
              <w:t>0.42</w:t>
            </w:r>
          </w:p>
        </w:tc>
        <w:tc>
          <w:tcPr>
            <w:tcW w:w="850" w:type="dxa"/>
            <w:tcBorders>
              <w:top w:val="single" w:sz="4" w:space="0" w:color="auto"/>
              <w:left w:val="single" w:sz="4" w:space="0" w:color="auto"/>
              <w:bottom w:val="single" w:sz="4" w:space="0" w:color="auto"/>
              <w:right w:val="single" w:sz="4" w:space="0" w:color="auto"/>
            </w:tcBorders>
            <w:noWrap/>
            <w:hideMark/>
          </w:tcPr>
          <w:p w14:paraId="126190B1" w14:textId="77777777" w:rsidR="00CB054C" w:rsidRPr="005970E9" w:rsidRDefault="00CB054C" w:rsidP="000B36D8">
            <w:pPr>
              <w:rPr>
                <w:lang w:val="es-ES_tradnl"/>
              </w:rPr>
            </w:pPr>
            <w:r w:rsidRPr="005970E9">
              <w:rPr>
                <w:lang w:val="es-ES_tradnl"/>
              </w:rPr>
              <w:t>1098</w:t>
            </w:r>
          </w:p>
        </w:tc>
        <w:tc>
          <w:tcPr>
            <w:tcW w:w="851" w:type="dxa"/>
            <w:tcBorders>
              <w:top w:val="single" w:sz="4" w:space="0" w:color="auto"/>
              <w:left w:val="single" w:sz="4" w:space="0" w:color="auto"/>
              <w:bottom w:val="single" w:sz="4" w:space="0" w:color="auto"/>
              <w:right w:val="single" w:sz="4" w:space="0" w:color="auto"/>
            </w:tcBorders>
            <w:noWrap/>
            <w:hideMark/>
          </w:tcPr>
          <w:p w14:paraId="43F89252" w14:textId="77777777" w:rsidR="00CB054C" w:rsidRPr="005970E9" w:rsidRDefault="00CB054C" w:rsidP="000B36D8">
            <w:pPr>
              <w:rPr>
                <w:lang w:val="es-ES_tradnl"/>
              </w:rPr>
            </w:pPr>
            <w:r w:rsidRPr="005970E9">
              <w:rPr>
                <w:lang w:val="es-ES_tradnl"/>
              </w:rPr>
              <w:t>6.84</w:t>
            </w:r>
          </w:p>
        </w:tc>
      </w:tr>
      <w:tr w:rsidR="00CB054C" w:rsidRPr="005970E9" w14:paraId="08C256DB" w14:textId="77777777" w:rsidTr="000B36D8">
        <w:trPr>
          <w:trHeight w:val="382"/>
        </w:trPr>
        <w:tc>
          <w:tcPr>
            <w:tcW w:w="3256" w:type="dxa"/>
            <w:tcBorders>
              <w:top w:val="single" w:sz="4" w:space="0" w:color="auto"/>
              <w:left w:val="single" w:sz="4" w:space="0" w:color="auto"/>
              <w:bottom w:val="single" w:sz="4" w:space="0" w:color="auto"/>
              <w:right w:val="single" w:sz="4" w:space="0" w:color="auto"/>
            </w:tcBorders>
            <w:hideMark/>
          </w:tcPr>
          <w:p w14:paraId="7B84CCA7" w14:textId="77777777" w:rsidR="00CB054C" w:rsidRPr="005970E9" w:rsidRDefault="00CB054C" w:rsidP="000B36D8">
            <w:pPr>
              <w:rPr>
                <w:lang w:val="es-ES_tradnl"/>
              </w:rPr>
            </w:pPr>
            <w:r w:rsidRPr="005970E9">
              <w:rPr>
                <w:lang w:val="es-ES_tradnl"/>
              </w:rPr>
              <w:t>Primaria completa</w:t>
            </w:r>
          </w:p>
        </w:tc>
        <w:tc>
          <w:tcPr>
            <w:tcW w:w="850" w:type="dxa"/>
            <w:tcBorders>
              <w:top w:val="single" w:sz="4" w:space="0" w:color="auto"/>
              <w:left w:val="single" w:sz="4" w:space="0" w:color="auto"/>
              <w:bottom w:val="single" w:sz="4" w:space="0" w:color="auto"/>
              <w:right w:val="single" w:sz="4" w:space="0" w:color="auto"/>
            </w:tcBorders>
            <w:noWrap/>
            <w:hideMark/>
          </w:tcPr>
          <w:p w14:paraId="30AC1B9A" w14:textId="77777777" w:rsidR="00CB054C" w:rsidRPr="005970E9" w:rsidRDefault="00CB054C" w:rsidP="000B36D8">
            <w:pPr>
              <w:rPr>
                <w:lang w:val="es-ES_tradnl"/>
              </w:rPr>
            </w:pPr>
            <w:r w:rsidRPr="005970E9">
              <w:rPr>
                <w:lang w:val="es-ES_tradnl"/>
              </w:rPr>
              <w:t>2335</w:t>
            </w:r>
          </w:p>
        </w:tc>
        <w:tc>
          <w:tcPr>
            <w:tcW w:w="992" w:type="dxa"/>
            <w:tcBorders>
              <w:top w:val="single" w:sz="4" w:space="0" w:color="auto"/>
              <w:left w:val="single" w:sz="4" w:space="0" w:color="auto"/>
              <w:bottom w:val="single" w:sz="4" w:space="0" w:color="auto"/>
              <w:right w:val="single" w:sz="4" w:space="0" w:color="auto"/>
            </w:tcBorders>
            <w:noWrap/>
            <w:hideMark/>
          </w:tcPr>
          <w:p w14:paraId="55ABC361" w14:textId="77777777" w:rsidR="00CB054C" w:rsidRPr="005970E9" w:rsidRDefault="00CB054C" w:rsidP="000B36D8">
            <w:pPr>
              <w:rPr>
                <w:lang w:val="es-ES_tradnl"/>
              </w:rPr>
            </w:pPr>
            <w:r w:rsidRPr="005970E9">
              <w:rPr>
                <w:lang w:val="es-ES_tradnl"/>
              </w:rPr>
              <w:t>14.55</w:t>
            </w:r>
          </w:p>
        </w:tc>
        <w:tc>
          <w:tcPr>
            <w:tcW w:w="709" w:type="dxa"/>
            <w:tcBorders>
              <w:top w:val="single" w:sz="4" w:space="0" w:color="auto"/>
              <w:left w:val="single" w:sz="4" w:space="0" w:color="auto"/>
              <w:bottom w:val="single" w:sz="4" w:space="0" w:color="auto"/>
              <w:right w:val="single" w:sz="4" w:space="0" w:color="auto"/>
            </w:tcBorders>
            <w:noWrap/>
            <w:hideMark/>
          </w:tcPr>
          <w:p w14:paraId="39733150" w14:textId="77777777" w:rsidR="00CB054C" w:rsidRPr="005970E9" w:rsidRDefault="00CB054C" w:rsidP="000B36D8">
            <w:pPr>
              <w:rPr>
                <w:lang w:val="es-ES_tradnl"/>
              </w:rPr>
            </w:pPr>
            <w:r w:rsidRPr="005970E9">
              <w:rPr>
                <w:lang w:val="es-ES_tradnl"/>
              </w:rPr>
              <w:t>171</w:t>
            </w:r>
          </w:p>
        </w:tc>
        <w:tc>
          <w:tcPr>
            <w:tcW w:w="851" w:type="dxa"/>
            <w:tcBorders>
              <w:top w:val="single" w:sz="4" w:space="0" w:color="auto"/>
              <w:left w:val="single" w:sz="4" w:space="0" w:color="auto"/>
              <w:bottom w:val="single" w:sz="4" w:space="0" w:color="auto"/>
              <w:right w:val="single" w:sz="4" w:space="0" w:color="auto"/>
            </w:tcBorders>
            <w:noWrap/>
            <w:hideMark/>
          </w:tcPr>
          <w:p w14:paraId="13379212" w14:textId="77777777" w:rsidR="00CB054C" w:rsidRPr="005970E9" w:rsidRDefault="00CB054C" w:rsidP="000B36D8">
            <w:pPr>
              <w:rPr>
                <w:lang w:val="es-ES_tradnl"/>
              </w:rPr>
            </w:pPr>
            <w:r w:rsidRPr="005970E9">
              <w:rPr>
                <w:lang w:val="es-ES_tradnl"/>
              </w:rPr>
              <w:t>1.07</w:t>
            </w:r>
          </w:p>
        </w:tc>
        <w:tc>
          <w:tcPr>
            <w:tcW w:w="850" w:type="dxa"/>
            <w:tcBorders>
              <w:top w:val="single" w:sz="4" w:space="0" w:color="auto"/>
              <w:left w:val="single" w:sz="4" w:space="0" w:color="auto"/>
              <w:bottom w:val="single" w:sz="4" w:space="0" w:color="auto"/>
              <w:right w:val="single" w:sz="4" w:space="0" w:color="auto"/>
            </w:tcBorders>
            <w:noWrap/>
            <w:hideMark/>
          </w:tcPr>
          <w:p w14:paraId="55EB855E" w14:textId="77777777" w:rsidR="00CB054C" w:rsidRPr="005970E9" w:rsidRDefault="00CB054C" w:rsidP="000B36D8">
            <w:pPr>
              <w:rPr>
                <w:lang w:val="es-ES_tradnl"/>
              </w:rPr>
            </w:pPr>
            <w:r w:rsidRPr="005970E9">
              <w:rPr>
                <w:lang w:val="es-ES_tradnl"/>
              </w:rPr>
              <w:t>2164</w:t>
            </w:r>
          </w:p>
        </w:tc>
        <w:tc>
          <w:tcPr>
            <w:tcW w:w="851" w:type="dxa"/>
            <w:tcBorders>
              <w:top w:val="single" w:sz="4" w:space="0" w:color="auto"/>
              <w:left w:val="single" w:sz="4" w:space="0" w:color="auto"/>
              <w:bottom w:val="single" w:sz="4" w:space="0" w:color="auto"/>
              <w:right w:val="single" w:sz="4" w:space="0" w:color="auto"/>
            </w:tcBorders>
            <w:noWrap/>
            <w:hideMark/>
          </w:tcPr>
          <w:p w14:paraId="47685644" w14:textId="77777777" w:rsidR="00CB054C" w:rsidRPr="005970E9" w:rsidRDefault="00CB054C" w:rsidP="000B36D8">
            <w:pPr>
              <w:rPr>
                <w:lang w:val="es-ES_tradnl"/>
              </w:rPr>
            </w:pPr>
            <w:r w:rsidRPr="005970E9">
              <w:rPr>
                <w:lang w:val="es-ES_tradnl"/>
              </w:rPr>
              <w:t>13.48</w:t>
            </w:r>
          </w:p>
        </w:tc>
      </w:tr>
      <w:tr w:rsidR="00CB054C" w:rsidRPr="005970E9" w14:paraId="18121F3B" w14:textId="77777777" w:rsidTr="000B36D8">
        <w:trPr>
          <w:trHeight w:val="274"/>
        </w:trPr>
        <w:tc>
          <w:tcPr>
            <w:tcW w:w="3256" w:type="dxa"/>
            <w:tcBorders>
              <w:top w:val="single" w:sz="4" w:space="0" w:color="auto"/>
              <w:left w:val="single" w:sz="4" w:space="0" w:color="auto"/>
              <w:bottom w:val="single" w:sz="4" w:space="0" w:color="auto"/>
              <w:right w:val="single" w:sz="4" w:space="0" w:color="auto"/>
            </w:tcBorders>
            <w:hideMark/>
          </w:tcPr>
          <w:p w14:paraId="228AD578" w14:textId="77777777" w:rsidR="00CB054C" w:rsidRPr="005970E9" w:rsidRDefault="00CB054C" w:rsidP="000B36D8">
            <w:pPr>
              <w:rPr>
                <w:lang w:val="es-ES_tradnl"/>
              </w:rPr>
            </w:pPr>
            <w:r w:rsidRPr="005970E9">
              <w:rPr>
                <w:lang w:val="es-ES_tradnl"/>
              </w:rPr>
              <w:t>Secundaria incompleta</w:t>
            </w:r>
          </w:p>
        </w:tc>
        <w:tc>
          <w:tcPr>
            <w:tcW w:w="850" w:type="dxa"/>
            <w:tcBorders>
              <w:top w:val="single" w:sz="4" w:space="0" w:color="auto"/>
              <w:left w:val="single" w:sz="4" w:space="0" w:color="auto"/>
              <w:bottom w:val="single" w:sz="4" w:space="0" w:color="auto"/>
              <w:right w:val="single" w:sz="4" w:space="0" w:color="auto"/>
            </w:tcBorders>
            <w:noWrap/>
            <w:hideMark/>
          </w:tcPr>
          <w:p w14:paraId="432C2221" w14:textId="77777777" w:rsidR="00CB054C" w:rsidRPr="005970E9" w:rsidRDefault="00CB054C" w:rsidP="000B36D8">
            <w:pPr>
              <w:rPr>
                <w:lang w:val="es-ES_tradnl"/>
              </w:rPr>
            </w:pPr>
            <w:r w:rsidRPr="005970E9">
              <w:rPr>
                <w:lang w:val="es-ES_tradnl"/>
              </w:rPr>
              <w:t>8224</w:t>
            </w:r>
          </w:p>
        </w:tc>
        <w:tc>
          <w:tcPr>
            <w:tcW w:w="992" w:type="dxa"/>
            <w:tcBorders>
              <w:top w:val="single" w:sz="4" w:space="0" w:color="auto"/>
              <w:left w:val="single" w:sz="4" w:space="0" w:color="auto"/>
              <w:bottom w:val="single" w:sz="4" w:space="0" w:color="auto"/>
              <w:right w:val="single" w:sz="4" w:space="0" w:color="auto"/>
            </w:tcBorders>
            <w:noWrap/>
            <w:hideMark/>
          </w:tcPr>
          <w:p w14:paraId="0F26150C" w14:textId="77777777" w:rsidR="00CB054C" w:rsidRPr="005970E9" w:rsidRDefault="00CB054C" w:rsidP="000B36D8">
            <w:pPr>
              <w:rPr>
                <w:lang w:val="es-ES_tradnl"/>
              </w:rPr>
            </w:pPr>
            <w:r w:rsidRPr="005970E9">
              <w:rPr>
                <w:lang w:val="es-ES_tradnl"/>
              </w:rPr>
              <w:t>51.24</w:t>
            </w:r>
          </w:p>
        </w:tc>
        <w:tc>
          <w:tcPr>
            <w:tcW w:w="709" w:type="dxa"/>
            <w:tcBorders>
              <w:top w:val="single" w:sz="4" w:space="0" w:color="auto"/>
              <w:left w:val="single" w:sz="4" w:space="0" w:color="auto"/>
              <w:bottom w:val="single" w:sz="4" w:space="0" w:color="auto"/>
              <w:right w:val="single" w:sz="4" w:space="0" w:color="auto"/>
            </w:tcBorders>
            <w:noWrap/>
            <w:hideMark/>
          </w:tcPr>
          <w:p w14:paraId="430224A8" w14:textId="77777777" w:rsidR="00CB054C" w:rsidRPr="005970E9" w:rsidRDefault="00CB054C" w:rsidP="000B36D8">
            <w:pPr>
              <w:rPr>
                <w:lang w:val="es-ES_tradnl"/>
              </w:rPr>
            </w:pPr>
            <w:r w:rsidRPr="005970E9">
              <w:rPr>
                <w:lang w:val="es-ES_tradnl"/>
              </w:rPr>
              <w:t>993</w:t>
            </w:r>
          </w:p>
        </w:tc>
        <w:tc>
          <w:tcPr>
            <w:tcW w:w="851" w:type="dxa"/>
            <w:tcBorders>
              <w:top w:val="single" w:sz="4" w:space="0" w:color="auto"/>
              <w:left w:val="single" w:sz="4" w:space="0" w:color="auto"/>
              <w:bottom w:val="single" w:sz="4" w:space="0" w:color="auto"/>
              <w:right w:val="single" w:sz="4" w:space="0" w:color="auto"/>
            </w:tcBorders>
            <w:noWrap/>
            <w:hideMark/>
          </w:tcPr>
          <w:p w14:paraId="44451CD2" w14:textId="77777777" w:rsidR="00CB054C" w:rsidRPr="005970E9" w:rsidRDefault="00CB054C" w:rsidP="000B36D8">
            <w:pPr>
              <w:rPr>
                <w:lang w:val="es-ES_tradnl"/>
              </w:rPr>
            </w:pPr>
            <w:r w:rsidRPr="005970E9">
              <w:rPr>
                <w:lang w:val="es-ES_tradnl"/>
              </w:rPr>
              <w:t>6.19</w:t>
            </w:r>
          </w:p>
        </w:tc>
        <w:tc>
          <w:tcPr>
            <w:tcW w:w="850" w:type="dxa"/>
            <w:tcBorders>
              <w:top w:val="single" w:sz="4" w:space="0" w:color="auto"/>
              <w:left w:val="single" w:sz="4" w:space="0" w:color="auto"/>
              <w:bottom w:val="single" w:sz="4" w:space="0" w:color="auto"/>
              <w:right w:val="single" w:sz="4" w:space="0" w:color="auto"/>
            </w:tcBorders>
            <w:noWrap/>
            <w:hideMark/>
          </w:tcPr>
          <w:p w14:paraId="2A6F6B53" w14:textId="77777777" w:rsidR="00CB054C" w:rsidRPr="005970E9" w:rsidRDefault="00CB054C" w:rsidP="000B36D8">
            <w:pPr>
              <w:rPr>
                <w:lang w:val="es-ES_tradnl"/>
              </w:rPr>
            </w:pPr>
            <w:r w:rsidRPr="005970E9">
              <w:rPr>
                <w:lang w:val="es-ES_tradnl"/>
              </w:rPr>
              <w:t>7231</w:t>
            </w:r>
          </w:p>
        </w:tc>
        <w:tc>
          <w:tcPr>
            <w:tcW w:w="851" w:type="dxa"/>
            <w:tcBorders>
              <w:top w:val="single" w:sz="4" w:space="0" w:color="auto"/>
              <w:left w:val="single" w:sz="4" w:space="0" w:color="auto"/>
              <w:bottom w:val="single" w:sz="4" w:space="0" w:color="auto"/>
              <w:right w:val="single" w:sz="4" w:space="0" w:color="auto"/>
            </w:tcBorders>
            <w:noWrap/>
            <w:hideMark/>
          </w:tcPr>
          <w:p w14:paraId="0F750A20" w14:textId="77777777" w:rsidR="00CB054C" w:rsidRPr="005970E9" w:rsidRDefault="00CB054C" w:rsidP="000B36D8">
            <w:pPr>
              <w:rPr>
                <w:lang w:val="es-ES_tradnl"/>
              </w:rPr>
            </w:pPr>
            <w:r w:rsidRPr="005970E9">
              <w:rPr>
                <w:lang w:val="es-ES_tradnl"/>
              </w:rPr>
              <w:t>45.05</w:t>
            </w:r>
          </w:p>
        </w:tc>
      </w:tr>
      <w:tr w:rsidR="00CB054C" w:rsidRPr="005970E9" w14:paraId="245714D5" w14:textId="77777777" w:rsidTr="000B36D8">
        <w:trPr>
          <w:trHeight w:val="250"/>
        </w:trPr>
        <w:tc>
          <w:tcPr>
            <w:tcW w:w="3256" w:type="dxa"/>
            <w:tcBorders>
              <w:top w:val="single" w:sz="4" w:space="0" w:color="auto"/>
              <w:left w:val="single" w:sz="4" w:space="0" w:color="auto"/>
              <w:bottom w:val="single" w:sz="4" w:space="0" w:color="auto"/>
              <w:right w:val="single" w:sz="4" w:space="0" w:color="auto"/>
            </w:tcBorders>
            <w:hideMark/>
          </w:tcPr>
          <w:p w14:paraId="0A44D75B" w14:textId="77777777" w:rsidR="00CB054C" w:rsidRPr="005970E9" w:rsidRDefault="00CB054C" w:rsidP="000B36D8">
            <w:pPr>
              <w:rPr>
                <w:lang w:val="es-ES_tradnl"/>
              </w:rPr>
            </w:pPr>
            <w:r w:rsidRPr="005970E9">
              <w:rPr>
                <w:lang w:val="es-ES_tradnl"/>
              </w:rPr>
              <w:t>Secundaria completa</w:t>
            </w:r>
          </w:p>
        </w:tc>
        <w:tc>
          <w:tcPr>
            <w:tcW w:w="850" w:type="dxa"/>
            <w:tcBorders>
              <w:top w:val="single" w:sz="4" w:space="0" w:color="auto"/>
              <w:left w:val="single" w:sz="4" w:space="0" w:color="auto"/>
              <w:bottom w:val="single" w:sz="4" w:space="0" w:color="auto"/>
              <w:right w:val="single" w:sz="4" w:space="0" w:color="auto"/>
            </w:tcBorders>
            <w:noWrap/>
            <w:hideMark/>
          </w:tcPr>
          <w:p w14:paraId="0E066506" w14:textId="77777777" w:rsidR="00CB054C" w:rsidRPr="005970E9" w:rsidRDefault="00CB054C" w:rsidP="000B36D8">
            <w:pPr>
              <w:rPr>
                <w:lang w:val="es-ES_tradnl"/>
              </w:rPr>
            </w:pPr>
            <w:r w:rsidRPr="005970E9">
              <w:rPr>
                <w:lang w:val="es-ES_tradnl"/>
              </w:rPr>
              <w:t>2700</w:t>
            </w:r>
          </w:p>
        </w:tc>
        <w:tc>
          <w:tcPr>
            <w:tcW w:w="992" w:type="dxa"/>
            <w:tcBorders>
              <w:top w:val="single" w:sz="4" w:space="0" w:color="auto"/>
              <w:left w:val="single" w:sz="4" w:space="0" w:color="auto"/>
              <w:bottom w:val="single" w:sz="4" w:space="0" w:color="auto"/>
              <w:right w:val="single" w:sz="4" w:space="0" w:color="auto"/>
            </w:tcBorders>
            <w:noWrap/>
            <w:hideMark/>
          </w:tcPr>
          <w:p w14:paraId="265E5C0A" w14:textId="77777777" w:rsidR="00CB054C" w:rsidRPr="005970E9" w:rsidRDefault="00CB054C" w:rsidP="000B36D8">
            <w:pPr>
              <w:rPr>
                <w:lang w:val="es-ES_tradnl"/>
              </w:rPr>
            </w:pPr>
            <w:r w:rsidRPr="005970E9">
              <w:rPr>
                <w:lang w:val="es-ES_tradnl"/>
              </w:rPr>
              <w:t>16.82</w:t>
            </w:r>
          </w:p>
        </w:tc>
        <w:tc>
          <w:tcPr>
            <w:tcW w:w="709" w:type="dxa"/>
            <w:tcBorders>
              <w:top w:val="single" w:sz="4" w:space="0" w:color="auto"/>
              <w:left w:val="single" w:sz="4" w:space="0" w:color="auto"/>
              <w:bottom w:val="single" w:sz="4" w:space="0" w:color="auto"/>
              <w:right w:val="single" w:sz="4" w:space="0" w:color="auto"/>
            </w:tcBorders>
            <w:noWrap/>
            <w:hideMark/>
          </w:tcPr>
          <w:p w14:paraId="0CFDC2B4" w14:textId="77777777" w:rsidR="00CB054C" w:rsidRPr="005970E9" w:rsidRDefault="00CB054C" w:rsidP="000B36D8">
            <w:pPr>
              <w:rPr>
                <w:lang w:val="es-ES_tradnl"/>
              </w:rPr>
            </w:pPr>
            <w:r w:rsidRPr="005970E9">
              <w:rPr>
                <w:lang w:val="es-ES_tradnl"/>
              </w:rPr>
              <w:t>252</w:t>
            </w:r>
          </w:p>
        </w:tc>
        <w:tc>
          <w:tcPr>
            <w:tcW w:w="851" w:type="dxa"/>
            <w:tcBorders>
              <w:top w:val="single" w:sz="4" w:space="0" w:color="auto"/>
              <w:left w:val="single" w:sz="4" w:space="0" w:color="auto"/>
              <w:bottom w:val="single" w:sz="4" w:space="0" w:color="auto"/>
              <w:right w:val="single" w:sz="4" w:space="0" w:color="auto"/>
            </w:tcBorders>
            <w:noWrap/>
            <w:hideMark/>
          </w:tcPr>
          <w:p w14:paraId="7E232969" w14:textId="77777777" w:rsidR="00CB054C" w:rsidRPr="005970E9" w:rsidRDefault="00CB054C" w:rsidP="000B36D8">
            <w:pPr>
              <w:rPr>
                <w:lang w:val="es-ES_tradnl"/>
              </w:rPr>
            </w:pPr>
            <w:r w:rsidRPr="005970E9">
              <w:rPr>
                <w:lang w:val="es-ES_tradnl"/>
              </w:rPr>
              <w:t>1.57</w:t>
            </w:r>
          </w:p>
        </w:tc>
        <w:tc>
          <w:tcPr>
            <w:tcW w:w="850" w:type="dxa"/>
            <w:tcBorders>
              <w:top w:val="single" w:sz="4" w:space="0" w:color="auto"/>
              <w:left w:val="single" w:sz="4" w:space="0" w:color="auto"/>
              <w:bottom w:val="single" w:sz="4" w:space="0" w:color="auto"/>
              <w:right w:val="single" w:sz="4" w:space="0" w:color="auto"/>
            </w:tcBorders>
            <w:noWrap/>
            <w:hideMark/>
          </w:tcPr>
          <w:p w14:paraId="25F89FED" w14:textId="77777777" w:rsidR="00CB054C" w:rsidRPr="005970E9" w:rsidRDefault="00CB054C" w:rsidP="000B36D8">
            <w:pPr>
              <w:rPr>
                <w:lang w:val="es-ES_tradnl"/>
              </w:rPr>
            </w:pPr>
            <w:r w:rsidRPr="005970E9">
              <w:rPr>
                <w:lang w:val="es-ES_tradnl"/>
              </w:rPr>
              <w:t>2448</w:t>
            </w:r>
          </w:p>
        </w:tc>
        <w:tc>
          <w:tcPr>
            <w:tcW w:w="851" w:type="dxa"/>
            <w:tcBorders>
              <w:top w:val="single" w:sz="4" w:space="0" w:color="auto"/>
              <w:left w:val="single" w:sz="4" w:space="0" w:color="auto"/>
              <w:bottom w:val="single" w:sz="4" w:space="0" w:color="auto"/>
              <w:right w:val="single" w:sz="4" w:space="0" w:color="auto"/>
            </w:tcBorders>
            <w:noWrap/>
            <w:hideMark/>
          </w:tcPr>
          <w:p w14:paraId="4E1C0776" w14:textId="77777777" w:rsidR="00CB054C" w:rsidRPr="005970E9" w:rsidRDefault="00CB054C" w:rsidP="000B36D8">
            <w:pPr>
              <w:rPr>
                <w:lang w:val="es-ES_tradnl"/>
              </w:rPr>
            </w:pPr>
            <w:r w:rsidRPr="005970E9">
              <w:rPr>
                <w:lang w:val="es-ES_tradnl"/>
              </w:rPr>
              <w:t>15.25</w:t>
            </w:r>
          </w:p>
        </w:tc>
      </w:tr>
      <w:tr w:rsidR="00CB054C" w:rsidRPr="005970E9" w14:paraId="7C1F34C6" w14:textId="77777777" w:rsidTr="000B36D8">
        <w:trPr>
          <w:trHeight w:val="338"/>
        </w:trPr>
        <w:tc>
          <w:tcPr>
            <w:tcW w:w="3256" w:type="dxa"/>
            <w:tcBorders>
              <w:top w:val="single" w:sz="4" w:space="0" w:color="auto"/>
              <w:left w:val="single" w:sz="4" w:space="0" w:color="auto"/>
              <w:bottom w:val="single" w:sz="4" w:space="0" w:color="auto"/>
              <w:right w:val="single" w:sz="4" w:space="0" w:color="auto"/>
            </w:tcBorders>
            <w:hideMark/>
          </w:tcPr>
          <w:p w14:paraId="3BC6F67D" w14:textId="77777777" w:rsidR="00CB054C" w:rsidRPr="005970E9" w:rsidRDefault="00CB054C" w:rsidP="000B36D8">
            <w:pPr>
              <w:rPr>
                <w:lang w:val="es-ES_tradnl"/>
              </w:rPr>
            </w:pPr>
            <w:r w:rsidRPr="005970E9">
              <w:rPr>
                <w:lang w:val="es-ES_tradnl"/>
              </w:rPr>
              <w:t>Algún grado Vocacional</w:t>
            </w:r>
          </w:p>
        </w:tc>
        <w:tc>
          <w:tcPr>
            <w:tcW w:w="850" w:type="dxa"/>
            <w:tcBorders>
              <w:top w:val="single" w:sz="4" w:space="0" w:color="auto"/>
              <w:left w:val="single" w:sz="4" w:space="0" w:color="auto"/>
              <w:bottom w:val="single" w:sz="4" w:space="0" w:color="auto"/>
              <w:right w:val="single" w:sz="4" w:space="0" w:color="auto"/>
            </w:tcBorders>
            <w:noWrap/>
            <w:hideMark/>
          </w:tcPr>
          <w:p w14:paraId="5AEADB59" w14:textId="77777777" w:rsidR="00CB054C" w:rsidRPr="005970E9" w:rsidRDefault="00CB054C" w:rsidP="000B36D8">
            <w:pPr>
              <w:rPr>
                <w:lang w:val="es-ES_tradnl"/>
              </w:rPr>
            </w:pPr>
            <w:r w:rsidRPr="005970E9">
              <w:rPr>
                <w:lang w:val="es-ES_tradnl"/>
              </w:rPr>
              <w:t>176</w:t>
            </w:r>
          </w:p>
        </w:tc>
        <w:tc>
          <w:tcPr>
            <w:tcW w:w="992" w:type="dxa"/>
            <w:tcBorders>
              <w:top w:val="single" w:sz="4" w:space="0" w:color="auto"/>
              <w:left w:val="single" w:sz="4" w:space="0" w:color="auto"/>
              <w:bottom w:val="single" w:sz="4" w:space="0" w:color="auto"/>
              <w:right w:val="single" w:sz="4" w:space="0" w:color="auto"/>
            </w:tcBorders>
            <w:noWrap/>
            <w:hideMark/>
          </w:tcPr>
          <w:p w14:paraId="7EEDB92C" w14:textId="77777777" w:rsidR="00CB054C" w:rsidRPr="005970E9" w:rsidRDefault="00CB054C" w:rsidP="000B36D8">
            <w:pPr>
              <w:rPr>
                <w:lang w:val="es-ES_tradnl"/>
              </w:rPr>
            </w:pPr>
            <w:r w:rsidRPr="005970E9">
              <w:rPr>
                <w:lang w:val="es-ES_tradnl"/>
              </w:rPr>
              <w:t>1.10</w:t>
            </w:r>
          </w:p>
        </w:tc>
        <w:tc>
          <w:tcPr>
            <w:tcW w:w="709" w:type="dxa"/>
            <w:tcBorders>
              <w:top w:val="single" w:sz="4" w:space="0" w:color="auto"/>
              <w:left w:val="single" w:sz="4" w:space="0" w:color="auto"/>
              <w:bottom w:val="single" w:sz="4" w:space="0" w:color="auto"/>
              <w:right w:val="single" w:sz="4" w:space="0" w:color="auto"/>
            </w:tcBorders>
            <w:noWrap/>
            <w:hideMark/>
          </w:tcPr>
          <w:p w14:paraId="00E5D702" w14:textId="77777777" w:rsidR="00CB054C" w:rsidRPr="005970E9" w:rsidRDefault="00CB054C" w:rsidP="000B36D8">
            <w:pPr>
              <w:rPr>
                <w:lang w:val="es-ES_tradnl"/>
              </w:rPr>
            </w:pPr>
            <w:r w:rsidRPr="005970E9">
              <w:rPr>
                <w:lang w:val="es-ES_tradnl"/>
              </w:rPr>
              <w:t>21</w:t>
            </w:r>
          </w:p>
        </w:tc>
        <w:tc>
          <w:tcPr>
            <w:tcW w:w="851" w:type="dxa"/>
            <w:tcBorders>
              <w:top w:val="single" w:sz="4" w:space="0" w:color="auto"/>
              <w:left w:val="single" w:sz="4" w:space="0" w:color="auto"/>
              <w:bottom w:val="single" w:sz="4" w:space="0" w:color="auto"/>
              <w:right w:val="single" w:sz="4" w:space="0" w:color="auto"/>
            </w:tcBorders>
            <w:noWrap/>
            <w:hideMark/>
          </w:tcPr>
          <w:p w14:paraId="0C760B52" w14:textId="77777777" w:rsidR="00CB054C" w:rsidRPr="005970E9" w:rsidRDefault="00CB054C" w:rsidP="000B36D8">
            <w:pPr>
              <w:rPr>
                <w:lang w:val="es-ES_tradnl"/>
              </w:rPr>
            </w:pPr>
            <w:r w:rsidRPr="005970E9">
              <w:rPr>
                <w:lang w:val="es-ES_tradnl"/>
              </w:rPr>
              <w:t>0.13</w:t>
            </w:r>
          </w:p>
        </w:tc>
        <w:tc>
          <w:tcPr>
            <w:tcW w:w="850" w:type="dxa"/>
            <w:tcBorders>
              <w:top w:val="single" w:sz="4" w:space="0" w:color="auto"/>
              <w:left w:val="single" w:sz="4" w:space="0" w:color="auto"/>
              <w:bottom w:val="single" w:sz="4" w:space="0" w:color="auto"/>
              <w:right w:val="single" w:sz="4" w:space="0" w:color="auto"/>
            </w:tcBorders>
            <w:noWrap/>
            <w:hideMark/>
          </w:tcPr>
          <w:p w14:paraId="279D06FC" w14:textId="77777777" w:rsidR="00CB054C" w:rsidRPr="005970E9" w:rsidRDefault="00CB054C" w:rsidP="000B36D8">
            <w:pPr>
              <w:rPr>
                <w:lang w:val="es-ES_tradnl"/>
              </w:rPr>
            </w:pPr>
            <w:r w:rsidRPr="005970E9">
              <w:rPr>
                <w:lang w:val="es-ES_tradnl"/>
              </w:rPr>
              <w:t>155</w:t>
            </w:r>
          </w:p>
        </w:tc>
        <w:tc>
          <w:tcPr>
            <w:tcW w:w="851" w:type="dxa"/>
            <w:tcBorders>
              <w:top w:val="single" w:sz="4" w:space="0" w:color="auto"/>
              <w:left w:val="single" w:sz="4" w:space="0" w:color="auto"/>
              <w:bottom w:val="single" w:sz="4" w:space="0" w:color="auto"/>
              <w:right w:val="single" w:sz="4" w:space="0" w:color="auto"/>
            </w:tcBorders>
            <w:noWrap/>
            <w:hideMark/>
          </w:tcPr>
          <w:p w14:paraId="4E21A762" w14:textId="77777777" w:rsidR="00CB054C" w:rsidRPr="005970E9" w:rsidRDefault="00CB054C" w:rsidP="000B36D8">
            <w:pPr>
              <w:rPr>
                <w:lang w:val="es-ES_tradnl"/>
              </w:rPr>
            </w:pPr>
            <w:r w:rsidRPr="005970E9">
              <w:rPr>
                <w:lang w:val="es-ES_tradnl"/>
              </w:rPr>
              <w:t>0.97</w:t>
            </w:r>
          </w:p>
        </w:tc>
      </w:tr>
      <w:tr w:rsidR="00CB054C" w:rsidRPr="005970E9" w14:paraId="444D4B45" w14:textId="77777777" w:rsidTr="000B36D8">
        <w:trPr>
          <w:trHeight w:val="608"/>
        </w:trPr>
        <w:tc>
          <w:tcPr>
            <w:tcW w:w="3256" w:type="dxa"/>
            <w:tcBorders>
              <w:top w:val="single" w:sz="4" w:space="0" w:color="auto"/>
              <w:left w:val="single" w:sz="4" w:space="0" w:color="auto"/>
              <w:bottom w:val="single" w:sz="4" w:space="0" w:color="auto"/>
              <w:right w:val="single" w:sz="4" w:space="0" w:color="auto"/>
            </w:tcBorders>
            <w:hideMark/>
          </w:tcPr>
          <w:p w14:paraId="5438941A" w14:textId="77777777" w:rsidR="00CB054C" w:rsidRPr="005970E9" w:rsidRDefault="00CB054C" w:rsidP="000B36D8">
            <w:pPr>
              <w:rPr>
                <w:lang w:val="es-ES_tradnl"/>
              </w:rPr>
            </w:pPr>
            <w:r w:rsidRPr="005970E9">
              <w:rPr>
                <w:lang w:val="es-ES_tradnl"/>
              </w:rPr>
              <w:t>Algún grado Superior no universitaria</w:t>
            </w:r>
          </w:p>
        </w:tc>
        <w:tc>
          <w:tcPr>
            <w:tcW w:w="850" w:type="dxa"/>
            <w:tcBorders>
              <w:top w:val="single" w:sz="4" w:space="0" w:color="auto"/>
              <w:left w:val="single" w:sz="4" w:space="0" w:color="auto"/>
              <w:bottom w:val="single" w:sz="4" w:space="0" w:color="auto"/>
              <w:right w:val="single" w:sz="4" w:space="0" w:color="auto"/>
            </w:tcBorders>
            <w:noWrap/>
            <w:hideMark/>
          </w:tcPr>
          <w:p w14:paraId="1996932C" w14:textId="77777777" w:rsidR="00CB054C" w:rsidRPr="005970E9" w:rsidRDefault="00CB054C" w:rsidP="000B36D8">
            <w:pPr>
              <w:rPr>
                <w:lang w:val="es-ES_tradnl"/>
              </w:rPr>
            </w:pPr>
            <w:r w:rsidRPr="005970E9">
              <w:rPr>
                <w:lang w:val="es-ES_tradnl"/>
              </w:rPr>
              <w:t>118</w:t>
            </w:r>
          </w:p>
        </w:tc>
        <w:tc>
          <w:tcPr>
            <w:tcW w:w="992" w:type="dxa"/>
            <w:tcBorders>
              <w:top w:val="single" w:sz="4" w:space="0" w:color="auto"/>
              <w:left w:val="single" w:sz="4" w:space="0" w:color="auto"/>
              <w:bottom w:val="single" w:sz="4" w:space="0" w:color="auto"/>
              <w:right w:val="single" w:sz="4" w:space="0" w:color="auto"/>
            </w:tcBorders>
            <w:noWrap/>
            <w:hideMark/>
          </w:tcPr>
          <w:p w14:paraId="4098BDC6" w14:textId="77777777" w:rsidR="00CB054C" w:rsidRPr="005970E9" w:rsidRDefault="00CB054C" w:rsidP="000B36D8">
            <w:pPr>
              <w:rPr>
                <w:lang w:val="es-ES_tradnl"/>
              </w:rPr>
            </w:pPr>
            <w:r w:rsidRPr="005970E9">
              <w:rPr>
                <w:lang w:val="es-ES_tradnl"/>
              </w:rPr>
              <w:t>0.74</w:t>
            </w:r>
          </w:p>
        </w:tc>
        <w:tc>
          <w:tcPr>
            <w:tcW w:w="709" w:type="dxa"/>
            <w:tcBorders>
              <w:top w:val="single" w:sz="4" w:space="0" w:color="auto"/>
              <w:left w:val="single" w:sz="4" w:space="0" w:color="auto"/>
              <w:bottom w:val="single" w:sz="4" w:space="0" w:color="auto"/>
              <w:right w:val="single" w:sz="4" w:space="0" w:color="auto"/>
            </w:tcBorders>
            <w:noWrap/>
            <w:hideMark/>
          </w:tcPr>
          <w:p w14:paraId="3EB53703" w14:textId="77777777" w:rsidR="00CB054C" w:rsidRPr="005970E9" w:rsidRDefault="00CB054C" w:rsidP="000B36D8">
            <w:pPr>
              <w:rPr>
                <w:lang w:val="es-ES_tradnl"/>
              </w:rPr>
            </w:pPr>
            <w:r w:rsidRPr="005970E9">
              <w:rPr>
                <w:lang w:val="es-ES_tradnl"/>
              </w:rPr>
              <w:t>22</w:t>
            </w:r>
          </w:p>
        </w:tc>
        <w:tc>
          <w:tcPr>
            <w:tcW w:w="851" w:type="dxa"/>
            <w:tcBorders>
              <w:top w:val="single" w:sz="4" w:space="0" w:color="auto"/>
              <w:left w:val="single" w:sz="4" w:space="0" w:color="auto"/>
              <w:bottom w:val="single" w:sz="4" w:space="0" w:color="auto"/>
              <w:right w:val="single" w:sz="4" w:space="0" w:color="auto"/>
            </w:tcBorders>
            <w:noWrap/>
            <w:hideMark/>
          </w:tcPr>
          <w:p w14:paraId="490C3F03" w14:textId="77777777" w:rsidR="00CB054C" w:rsidRPr="005970E9" w:rsidRDefault="00CB054C" w:rsidP="000B36D8">
            <w:pPr>
              <w:rPr>
                <w:lang w:val="es-ES_tradnl"/>
              </w:rPr>
            </w:pPr>
            <w:r w:rsidRPr="005970E9">
              <w:rPr>
                <w:lang w:val="es-ES_tradnl"/>
              </w:rPr>
              <w:t>0.14</w:t>
            </w:r>
          </w:p>
        </w:tc>
        <w:tc>
          <w:tcPr>
            <w:tcW w:w="850" w:type="dxa"/>
            <w:tcBorders>
              <w:top w:val="single" w:sz="4" w:space="0" w:color="auto"/>
              <w:left w:val="single" w:sz="4" w:space="0" w:color="auto"/>
              <w:bottom w:val="single" w:sz="4" w:space="0" w:color="auto"/>
              <w:right w:val="single" w:sz="4" w:space="0" w:color="auto"/>
            </w:tcBorders>
            <w:noWrap/>
            <w:hideMark/>
          </w:tcPr>
          <w:p w14:paraId="75DA3685" w14:textId="77777777" w:rsidR="00CB054C" w:rsidRPr="005970E9" w:rsidRDefault="00CB054C" w:rsidP="000B36D8">
            <w:pPr>
              <w:rPr>
                <w:lang w:val="es-ES_tradnl"/>
              </w:rPr>
            </w:pPr>
            <w:r w:rsidRPr="005970E9">
              <w:rPr>
                <w:lang w:val="es-ES_tradnl"/>
              </w:rPr>
              <w:t>96</w:t>
            </w:r>
          </w:p>
        </w:tc>
        <w:tc>
          <w:tcPr>
            <w:tcW w:w="851" w:type="dxa"/>
            <w:tcBorders>
              <w:top w:val="single" w:sz="4" w:space="0" w:color="auto"/>
              <w:left w:val="single" w:sz="4" w:space="0" w:color="auto"/>
              <w:bottom w:val="single" w:sz="4" w:space="0" w:color="auto"/>
              <w:right w:val="single" w:sz="4" w:space="0" w:color="auto"/>
            </w:tcBorders>
            <w:noWrap/>
            <w:hideMark/>
          </w:tcPr>
          <w:p w14:paraId="4F6A83C0" w14:textId="77777777" w:rsidR="00CB054C" w:rsidRPr="005970E9" w:rsidRDefault="00CB054C" w:rsidP="000B36D8">
            <w:pPr>
              <w:rPr>
                <w:lang w:val="es-ES_tradnl"/>
              </w:rPr>
            </w:pPr>
            <w:r w:rsidRPr="005970E9">
              <w:rPr>
                <w:lang w:val="es-ES_tradnl"/>
              </w:rPr>
              <w:t>0.60</w:t>
            </w:r>
          </w:p>
        </w:tc>
      </w:tr>
      <w:tr w:rsidR="00CB054C" w:rsidRPr="005970E9" w14:paraId="10504198" w14:textId="77777777" w:rsidTr="000B36D8">
        <w:trPr>
          <w:trHeight w:val="560"/>
        </w:trPr>
        <w:tc>
          <w:tcPr>
            <w:tcW w:w="3256" w:type="dxa"/>
            <w:tcBorders>
              <w:top w:val="single" w:sz="4" w:space="0" w:color="auto"/>
              <w:left w:val="single" w:sz="4" w:space="0" w:color="auto"/>
              <w:bottom w:val="single" w:sz="4" w:space="0" w:color="auto"/>
              <w:right w:val="single" w:sz="4" w:space="0" w:color="auto"/>
            </w:tcBorders>
            <w:hideMark/>
          </w:tcPr>
          <w:p w14:paraId="644D6CD5" w14:textId="77777777" w:rsidR="00CB054C" w:rsidRPr="005970E9" w:rsidRDefault="00CB054C" w:rsidP="000B36D8">
            <w:pPr>
              <w:rPr>
                <w:lang w:val="es-ES_tradnl"/>
              </w:rPr>
            </w:pPr>
            <w:r w:rsidRPr="005970E9">
              <w:rPr>
                <w:lang w:val="es-ES_tradnl"/>
              </w:rPr>
              <w:t>Algún Grado Superior Universitaria</w:t>
            </w:r>
          </w:p>
        </w:tc>
        <w:tc>
          <w:tcPr>
            <w:tcW w:w="850" w:type="dxa"/>
            <w:tcBorders>
              <w:top w:val="single" w:sz="4" w:space="0" w:color="auto"/>
              <w:left w:val="single" w:sz="4" w:space="0" w:color="auto"/>
              <w:bottom w:val="single" w:sz="4" w:space="0" w:color="auto"/>
              <w:right w:val="single" w:sz="4" w:space="0" w:color="auto"/>
            </w:tcBorders>
            <w:noWrap/>
            <w:hideMark/>
          </w:tcPr>
          <w:p w14:paraId="09550E42" w14:textId="77777777" w:rsidR="00CB054C" w:rsidRPr="005970E9" w:rsidRDefault="00CB054C" w:rsidP="000B36D8">
            <w:pPr>
              <w:rPr>
                <w:lang w:val="es-ES_tradnl"/>
              </w:rPr>
            </w:pPr>
            <w:r w:rsidRPr="005970E9">
              <w:rPr>
                <w:lang w:val="es-ES_tradnl"/>
              </w:rPr>
              <w:t>1058</w:t>
            </w:r>
          </w:p>
        </w:tc>
        <w:tc>
          <w:tcPr>
            <w:tcW w:w="992" w:type="dxa"/>
            <w:tcBorders>
              <w:top w:val="single" w:sz="4" w:space="0" w:color="auto"/>
              <w:left w:val="single" w:sz="4" w:space="0" w:color="auto"/>
              <w:bottom w:val="single" w:sz="4" w:space="0" w:color="auto"/>
              <w:right w:val="single" w:sz="4" w:space="0" w:color="auto"/>
            </w:tcBorders>
            <w:noWrap/>
            <w:hideMark/>
          </w:tcPr>
          <w:p w14:paraId="1F10BC84" w14:textId="77777777" w:rsidR="00CB054C" w:rsidRPr="005970E9" w:rsidRDefault="00CB054C" w:rsidP="000B36D8">
            <w:pPr>
              <w:rPr>
                <w:lang w:val="es-ES_tradnl"/>
              </w:rPr>
            </w:pPr>
            <w:r w:rsidRPr="005970E9">
              <w:rPr>
                <w:lang w:val="es-ES_tradnl"/>
              </w:rPr>
              <w:t>6.59</w:t>
            </w:r>
          </w:p>
        </w:tc>
        <w:tc>
          <w:tcPr>
            <w:tcW w:w="709" w:type="dxa"/>
            <w:tcBorders>
              <w:top w:val="single" w:sz="4" w:space="0" w:color="auto"/>
              <w:left w:val="single" w:sz="4" w:space="0" w:color="auto"/>
              <w:bottom w:val="single" w:sz="4" w:space="0" w:color="auto"/>
              <w:right w:val="single" w:sz="4" w:space="0" w:color="auto"/>
            </w:tcBorders>
            <w:noWrap/>
            <w:hideMark/>
          </w:tcPr>
          <w:p w14:paraId="601CD2D1" w14:textId="77777777" w:rsidR="00CB054C" w:rsidRPr="005970E9" w:rsidRDefault="00CB054C" w:rsidP="000B36D8">
            <w:pPr>
              <w:rPr>
                <w:lang w:val="es-ES_tradnl"/>
              </w:rPr>
            </w:pPr>
            <w:r w:rsidRPr="005970E9">
              <w:rPr>
                <w:lang w:val="es-ES_tradnl"/>
              </w:rPr>
              <w:t>222</w:t>
            </w:r>
          </w:p>
        </w:tc>
        <w:tc>
          <w:tcPr>
            <w:tcW w:w="851" w:type="dxa"/>
            <w:tcBorders>
              <w:top w:val="single" w:sz="4" w:space="0" w:color="auto"/>
              <w:left w:val="single" w:sz="4" w:space="0" w:color="auto"/>
              <w:bottom w:val="single" w:sz="4" w:space="0" w:color="auto"/>
              <w:right w:val="single" w:sz="4" w:space="0" w:color="auto"/>
            </w:tcBorders>
            <w:noWrap/>
            <w:hideMark/>
          </w:tcPr>
          <w:p w14:paraId="4CD084FA" w14:textId="77777777" w:rsidR="00CB054C" w:rsidRPr="005970E9" w:rsidRDefault="00CB054C" w:rsidP="000B36D8">
            <w:pPr>
              <w:rPr>
                <w:lang w:val="es-ES_tradnl"/>
              </w:rPr>
            </w:pPr>
            <w:r w:rsidRPr="005970E9">
              <w:rPr>
                <w:lang w:val="es-ES_tradnl"/>
              </w:rPr>
              <w:t>1.38</w:t>
            </w:r>
          </w:p>
        </w:tc>
        <w:tc>
          <w:tcPr>
            <w:tcW w:w="850" w:type="dxa"/>
            <w:tcBorders>
              <w:top w:val="single" w:sz="4" w:space="0" w:color="auto"/>
              <w:left w:val="single" w:sz="4" w:space="0" w:color="auto"/>
              <w:bottom w:val="single" w:sz="4" w:space="0" w:color="auto"/>
              <w:right w:val="single" w:sz="4" w:space="0" w:color="auto"/>
            </w:tcBorders>
            <w:noWrap/>
            <w:hideMark/>
          </w:tcPr>
          <w:p w14:paraId="768A379E" w14:textId="77777777" w:rsidR="00CB054C" w:rsidRPr="005970E9" w:rsidRDefault="00CB054C" w:rsidP="000B36D8">
            <w:pPr>
              <w:rPr>
                <w:lang w:val="es-ES_tradnl"/>
              </w:rPr>
            </w:pPr>
            <w:r w:rsidRPr="005970E9">
              <w:rPr>
                <w:lang w:val="es-ES_tradnl"/>
              </w:rPr>
              <w:t>836</w:t>
            </w:r>
          </w:p>
        </w:tc>
        <w:tc>
          <w:tcPr>
            <w:tcW w:w="851" w:type="dxa"/>
            <w:tcBorders>
              <w:top w:val="single" w:sz="4" w:space="0" w:color="auto"/>
              <w:left w:val="single" w:sz="4" w:space="0" w:color="auto"/>
              <w:bottom w:val="single" w:sz="4" w:space="0" w:color="auto"/>
              <w:right w:val="single" w:sz="4" w:space="0" w:color="auto"/>
            </w:tcBorders>
            <w:noWrap/>
            <w:hideMark/>
          </w:tcPr>
          <w:p w14:paraId="2F84AF92" w14:textId="77777777" w:rsidR="00CB054C" w:rsidRPr="005970E9" w:rsidRDefault="00CB054C" w:rsidP="000B36D8">
            <w:pPr>
              <w:rPr>
                <w:lang w:val="es-ES_tradnl"/>
              </w:rPr>
            </w:pPr>
            <w:r w:rsidRPr="005970E9">
              <w:rPr>
                <w:lang w:val="es-ES_tradnl"/>
              </w:rPr>
              <w:t>5.21</w:t>
            </w:r>
          </w:p>
        </w:tc>
      </w:tr>
      <w:tr w:rsidR="00CB054C" w:rsidRPr="005970E9" w14:paraId="715DA310" w14:textId="77777777" w:rsidTr="000B36D8">
        <w:trPr>
          <w:trHeight w:val="270"/>
        </w:trPr>
        <w:tc>
          <w:tcPr>
            <w:tcW w:w="3256" w:type="dxa"/>
            <w:tcBorders>
              <w:top w:val="single" w:sz="4" w:space="0" w:color="auto"/>
              <w:left w:val="single" w:sz="4" w:space="0" w:color="auto"/>
              <w:bottom w:val="single" w:sz="4" w:space="0" w:color="auto"/>
              <w:right w:val="single" w:sz="4" w:space="0" w:color="auto"/>
            </w:tcBorders>
            <w:hideMark/>
          </w:tcPr>
          <w:p w14:paraId="71F1179E" w14:textId="77777777" w:rsidR="00CB054C" w:rsidRPr="005970E9" w:rsidRDefault="00CB054C" w:rsidP="000B36D8">
            <w:pPr>
              <w:rPr>
                <w:lang w:val="es-ES_tradnl"/>
              </w:rPr>
            </w:pPr>
            <w:r w:rsidRPr="005970E9">
              <w:rPr>
                <w:lang w:val="es-ES_tradnl"/>
              </w:rPr>
              <w:t>Algún grado de Especialidad</w:t>
            </w:r>
          </w:p>
        </w:tc>
        <w:tc>
          <w:tcPr>
            <w:tcW w:w="850" w:type="dxa"/>
            <w:tcBorders>
              <w:top w:val="single" w:sz="4" w:space="0" w:color="auto"/>
              <w:left w:val="single" w:sz="4" w:space="0" w:color="auto"/>
              <w:bottom w:val="single" w:sz="4" w:space="0" w:color="auto"/>
              <w:right w:val="single" w:sz="4" w:space="0" w:color="auto"/>
            </w:tcBorders>
            <w:noWrap/>
            <w:hideMark/>
          </w:tcPr>
          <w:p w14:paraId="4923F977" w14:textId="77777777" w:rsidR="00CB054C" w:rsidRPr="005970E9" w:rsidRDefault="00CB054C" w:rsidP="000B36D8">
            <w:pPr>
              <w:rPr>
                <w:lang w:val="es-ES_tradnl"/>
              </w:rPr>
            </w:pPr>
            <w:r w:rsidRPr="005970E9">
              <w:rPr>
                <w:lang w:val="es-ES_tradnl"/>
              </w:rPr>
              <w:t>13</w:t>
            </w:r>
          </w:p>
        </w:tc>
        <w:tc>
          <w:tcPr>
            <w:tcW w:w="992" w:type="dxa"/>
            <w:tcBorders>
              <w:top w:val="single" w:sz="4" w:space="0" w:color="auto"/>
              <w:left w:val="single" w:sz="4" w:space="0" w:color="auto"/>
              <w:bottom w:val="single" w:sz="4" w:space="0" w:color="auto"/>
              <w:right w:val="single" w:sz="4" w:space="0" w:color="auto"/>
            </w:tcBorders>
            <w:noWrap/>
            <w:hideMark/>
          </w:tcPr>
          <w:p w14:paraId="042627D2" w14:textId="77777777" w:rsidR="00CB054C" w:rsidRPr="005970E9" w:rsidRDefault="00CB054C" w:rsidP="000B36D8">
            <w:pPr>
              <w:rPr>
                <w:lang w:val="es-ES_tradnl"/>
              </w:rPr>
            </w:pPr>
            <w:r w:rsidRPr="005970E9">
              <w:rPr>
                <w:lang w:val="es-ES_tradnl"/>
              </w:rPr>
              <w:t>0.08</w:t>
            </w:r>
          </w:p>
        </w:tc>
        <w:tc>
          <w:tcPr>
            <w:tcW w:w="709" w:type="dxa"/>
            <w:tcBorders>
              <w:top w:val="single" w:sz="4" w:space="0" w:color="auto"/>
              <w:left w:val="single" w:sz="4" w:space="0" w:color="auto"/>
              <w:bottom w:val="single" w:sz="4" w:space="0" w:color="auto"/>
              <w:right w:val="single" w:sz="4" w:space="0" w:color="auto"/>
            </w:tcBorders>
            <w:noWrap/>
            <w:hideMark/>
          </w:tcPr>
          <w:p w14:paraId="46D251BF" w14:textId="77777777" w:rsidR="00CB054C" w:rsidRPr="005970E9" w:rsidRDefault="00CB054C" w:rsidP="000B36D8">
            <w:pPr>
              <w:rPr>
                <w:lang w:val="es-ES_tradnl"/>
              </w:rPr>
            </w:pPr>
            <w:r w:rsidRPr="005970E9">
              <w:rPr>
                <w:lang w:val="es-ES_tradnl"/>
              </w:rPr>
              <w:t>1</w:t>
            </w:r>
          </w:p>
        </w:tc>
        <w:tc>
          <w:tcPr>
            <w:tcW w:w="851" w:type="dxa"/>
            <w:tcBorders>
              <w:top w:val="single" w:sz="4" w:space="0" w:color="auto"/>
              <w:left w:val="single" w:sz="4" w:space="0" w:color="auto"/>
              <w:bottom w:val="single" w:sz="4" w:space="0" w:color="auto"/>
              <w:right w:val="single" w:sz="4" w:space="0" w:color="auto"/>
            </w:tcBorders>
            <w:noWrap/>
            <w:hideMark/>
          </w:tcPr>
          <w:p w14:paraId="0D96D78B" w14:textId="77777777" w:rsidR="00CB054C" w:rsidRPr="005970E9" w:rsidRDefault="00CB054C" w:rsidP="000B36D8">
            <w:pPr>
              <w:rPr>
                <w:lang w:val="es-ES_tradnl"/>
              </w:rPr>
            </w:pPr>
            <w:r w:rsidRPr="005970E9">
              <w:rPr>
                <w:lang w:val="es-ES_tradnl"/>
              </w:rPr>
              <w:t>0.01</w:t>
            </w:r>
          </w:p>
        </w:tc>
        <w:tc>
          <w:tcPr>
            <w:tcW w:w="850" w:type="dxa"/>
            <w:tcBorders>
              <w:top w:val="single" w:sz="4" w:space="0" w:color="auto"/>
              <w:left w:val="single" w:sz="4" w:space="0" w:color="auto"/>
              <w:bottom w:val="single" w:sz="4" w:space="0" w:color="auto"/>
              <w:right w:val="single" w:sz="4" w:space="0" w:color="auto"/>
            </w:tcBorders>
            <w:noWrap/>
            <w:hideMark/>
          </w:tcPr>
          <w:p w14:paraId="6ED7AA16" w14:textId="77777777" w:rsidR="00CB054C" w:rsidRPr="005970E9" w:rsidRDefault="00CB054C" w:rsidP="000B36D8">
            <w:pPr>
              <w:rPr>
                <w:lang w:val="es-ES_tradnl"/>
              </w:rPr>
            </w:pPr>
            <w:r w:rsidRPr="005970E9">
              <w:rPr>
                <w:lang w:val="es-ES_tradnl"/>
              </w:rPr>
              <w:t>12</w:t>
            </w:r>
          </w:p>
        </w:tc>
        <w:tc>
          <w:tcPr>
            <w:tcW w:w="851" w:type="dxa"/>
            <w:tcBorders>
              <w:top w:val="single" w:sz="4" w:space="0" w:color="auto"/>
              <w:left w:val="single" w:sz="4" w:space="0" w:color="auto"/>
              <w:bottom w:val="single" w:sz="4" w:space="0" w:color="auto"/>
              <w:right w:val="single" w:sz="4" w:space="0" w:color="auto"/>
            </w:tcBorders>
            <w:noWrap/>
            <w:hideMark/>
          </w:tcPr>
          <w:p w14:paraId="62A50FD7" w14:textId="77777777" w:rsidR="00CB054C" w:rsidRPr="005970E9" w:rsidRDefault="00CB054C" w:rsidP="000B36D8">
            <w:pPr>
              <w:rPr>
                <w:lang w:val="es-ES_tradnl"/>
              </w:rPr>
            </w:pPr>
            <w:r w:rsidRPr="005970E9">
              <w:rPr>
                <w:lang w:val="es-ES_tradnl"/>
              </w:rPr>
              <w:t>0.07</w:t>
            </w:r>
          </w:p>
        </w:tc>
      </w:tr>
      <w:tr w:rsidR="00CB054C" w:rsidRPr="005970E9" w14:paraId="53DBCDBC" w14:textId="77777777" w:rsidTr="000B36D8">
        <w:trPr>
          <w:trHeight w:val="274"/>
        </w:trPr>
        <w:tc>
          <w:tcPr>
            <w:tcW w:w="3256" w:type="dxa"/>
            <w:tcBorders>
              <w:top w:val="single" w:sz="4" w:space="0" w:color="auto"/>
              <w:left w:val="single" w:sz="4" w:space="0" w:color="auto"/>
              <w:bottom w:val="single" w:sz="4" w:space="0" w:color="auto"/>
              <w:right w:val="single" w:sz="4" w:space="0" w:color="auto"/>
            </w:tcBorders>
            <w:hideMark/>
          </w:tcPr>
          <w:p w14:paraId="30459599" w14:textId="77777777" w:rsidR="00CB054C" w:rsidRPr="005970E9" w:rsidRDefault="00CB054C" w:rsidP="000B36D8">
            <w:pPr>
              <w:rPr>
                <w:lang w:val="es-ES_tradnl"/>
              </w:rPr>
            </w:pPr>
            <w:r w:rsidRPr="005970E9">
              <w:rPr>
                <w:lang w:val="es-ES_tradnl"/>
              </w:rPr>
              <w:t>Algún grado de Maestría</w:t>
            </w:r>
          </w:p>
        </w:tc>
        <w:tc>
          <w:tcPr>
            <w:tcW w:w="850" w:type="dxa"/>
            <w:tcBorders>
              <w:top w:val="single" w:sz="4" w:space="0" w:color="auto"/>
              <w:left w:val="single" w:sz="4" w:space="0" w:color="auto"/>
              <w:bottom w:val="single" w:sz="4" w:space="0" w:color="auto"/>
              <w:right w:val="single" w:sz="4" w:space="0" w:color="auto"/>
            </w:tcBorders>
            <w:noWrap/>
            <w:hideMark/>
          </w:tcPr>
          <w:p w14:paraId="7888E0ED" w14:textId="77777777" w:rsidR="00CB054C" w:rsidRPr="005970E9" w:rsidRDefault="00CB054C" w:rsidP="000B36D8">
            <w:pPr>
              <w:rPr>
                <w:lang w:val="es-ES_tradnl"/>
              </w:rPr>
            </w:pPr>
            <w:r w:rsidRPr="005970E9">
              <w:rPr>
                <w:lang w:val="es-ES_tradnl"/>
              </w:rPr>
              <w:t>30</w:t>
            </w:r>
          </w:p>
        </w:tc>
        <w:tc>
          <w:tcPr>
            <w:tcW w:w="992" w:type="dxa"/>
            <w:tcBorders>
              <w:top w:val="single" w:sz="4" w:space="0" w:color="auto"/>
              <w:left w:val="single" w:sz="4" w:space="0" w:color="auto"/>
              <w:bottom w:val="single" w:sz="4" w:space="0" w:color="auto"/>
              <w:right w:val="single" w:sz="4" w:space="0" w:color="auto"/>
            </w:tcBorders>
            <w:noWrap/>
            <w:hideMark/>
          </w:tcPr>
          <w:p w14:paraId="3629D5D7" w14:textId="77777777" w:rsidR="00CB054C" w:rsidRPr="005970E9" w:rsidRDefault="00CB054C" w:rsidP="000B36D8">
            <w:pPr>
              <w:rPr>
                <w:lang w:val="es-ES_tradnl"/>
              </w:rPr>
            </w:pPr>
            <w:r w:rsidRPr="005970E9">
              <w:rPr>
                <w:lang w:val="es-ES_tradnl"/>
              </w:rPr>
              <w:t>0.19</w:t>
            </w:r>
          </w:p>
        </w:tc>
        <w:tc>
          <w:tcPr>
            <w:tcW w:w="709" w:type="dxa"/>
            <w:tcBorders>
              <w:top w:val="single" w:sz="4" w:space="0" w:color="auto"/>
              <w:left w:val="single" w:sz="4" w:space="0" w:color="auto"/>
              <w:bottom w:val="single" w:sz="4" w:space="0" w:color="auto"/>
              <w:right w:val="single" w:sz="4" w:space="0" w:color="auto"/>
            </w:tcBorders>
            <w:noWrap/>
            <w:hideMark/>
          </w:tcPr>
          <w:p w14:paraId="7DFD68C0" w14:textId="77777777" w:rsidR="00CB054C" w:rsidRPr="005970E9" w:rsidRDefault="00CB054C" w:rsidP="000B36D8">
            <w:pPr>
              <w:rPr>
                <w:lang w:val="es-ES_tradnl"/>
              </w:rPr>
            </w:pPr>
            <w:r w:rsidRPr="005970E9">
              <w:rPr>
                <w:lang w:val="es-ES_tradnl"/>
              </w:rPr>
              <w:t>7</w:t>
            </w:r>
          </w:p>
        </w:tc>
        <w:tc>
          <w:tcPr>
            <w:tcW w:w="851" w:type="dxa"/>
            <w:tcBorders>
              <w:top w:val="single" w:sz="4" w:space="0" w:color="auto"/>
              <w:left w:val="single" w:sz="4" w:space="0" w:color="auto"/>
              <w:bottom w:val="single" w:sz="4" w:space="0" w:color="auto"/>
              <w:right w:val="single" w:sz="4" w:space="0" w:color="auto"/>
            </w:tcBorders>
            <w:noWrap/>
            <w:hideMark/>
          </w:tcPr>
          <w:p w14:paraId="7DA8912C" w14:textId="77777777" w:rsidR="00CB054C" w:rsidRPr="005970E9" w:rsidRDefault="00CB054C" w:rsidP="000B36D8">
            <w:pPr>
              <w:rPr>
                <w:lang w:val="es-ES_tradnl"/>
              </w:rPr>
            </w:pPr>
            <w:r w:rsidRPr="005970E9">
              <w:rPr>
                <w:lang w:val="es-ES_tradnl"/>
              </w:rPr>
              <w:t>0.04</w:t>
            </w:r>
          </w:p>
        </w:tc>
        <w:tc>
          <w:tcPr>
            <w:tcW w:w="850" w:type="dxa"/>
            <w:tcBorders>
              <w:top w:val="single" w:sz="4" w:space="0" w:color="auto"/>
              <w:left w:val="single" w:sz="4" w:space="0" w:color="auto"/>
              <w:bottom w:val="single" w:sz="4" w:space="0" w:color="auto"/>
              <w:right w:val="single" w:sz="4" w:space="0" w:color="auto"/>
            </w:tcBorders>
            <w:noWrap/>
            <w:hideMark/>
          </w:tcPr>
          <w:p w14:paraId="46D635E7" w14:textId="77777777" w:rsidR="00CB054C" w:rsidRPr="005970E9" w:rsidRDefault="00CB054C" w:rsidP="000B36D8">
            <w:pPr>
              <w:rPr>
                <w:lang w:val="es-ES_tradnl"/>
              </w:rPr>
            </w:pPr>
            <w:r w:rsidRPr="005970E9">
              <w:rPr>
                <w:lang w:val="es-ES_tradnl"/>
              </w:rPr>
              <w:t>23</w:t>
            </w:r>
          </w:p>
        </w:tc>
        <w:tc>
          <w:tcPr>
            <w:tcW w:w="851" w:type="dxa"/>
            <w:tcBorders>
              <w:top w:val="single" w:sz="4" w:space="0" w:color="auto"/>
              <w:left w:val="single" w:sz="4" w:space="0" w:color="auto"/>
              <w:bottom w:val="single" w:sz="4" w:space="0" w:color="auto"/>
              <w:right w:val="single" w:sz="4" w:space="0" w:color="auto"/>
            </w:tcBorders>
            <w:noWrap/>
            <w:hideMark/>
          </w:tcPr>
          <w:p w14:paraId="22DEAE92" w14:textId="77777777" w:rsidR="00CB054C" w:rsidRPr="005970E9" w:rsidRDefault="00CB054C" w:rsidP="000B36D8">
            <w:pPr>
              <w:rPr>
                <w:lang w:val="es-ES_tradnl"/>
              </w:rPr>
            </w:pPr>
            <w:r w:rsidRPr="005970E9">
              <w:rPr>
                <w:lang w:val="es-ES_tradnl"/>
              </w:rPr>
              <w:t>0.14</w:t>
            </w:r>
          </w:p>
        </w:tc>
      </w:tr>
      <w:tr w:rsidR="00CB054C" w:rsidRPr="005970E9" w14:paraId="19A31AC0" w14:textId="77777777" w:rsidTr="000B36D8">
        <w:trPr>
          <w:trHeight w:val="264"/>
        </w:trPr>
        <w:tc>
          <w:tcPr>
            <w:tcW w:w="3256" w:type="dxa"/>
            <w:tcBorders>
              <w:top w:val="single" w:sz="4" w:space="0" w:color="auto"/>
              <w:left w:val="single" w:sz="4" w:space="0" w:color="auto"/>
              <w:bottom w:val="single" w:sz="4" w:space="0" w:color="auto"/>
              <w:right w:val="single" w:sz="4" w:space="0" w:color="auto"/>
            </w:tcBorders>
            <w:hideMark/>
          </w:tcPr>
          <w:p w14:paraId="32709611" w14:textId="77777777" w:rsidR="00CB054C" w:rsidRPr="005970E9" w:rsidRDefault="00CB054C" w:rsidP="000B36D8">
            <w:pPr>
              <w:rPr>
                <w:lang w:val="es-ES_tradnl"/>
              </w:rPr>
            </w:pPr>
            <w:r w:rsidRPr="005970E9">
              <w:rPr>
                <w:lang w:val="es-ES_tradnl"/>
              </w:rPr>
              <w:t>Algún grado de Doctorado</w:t>
            </w:r>
          </w:p>
        </w:tc>
        <w:tc>
          <w:tcPr>
            <w:tcW w:w="850" w:type="dxa"/>
            <w:tcBorders>
              <w:top w:val="single" w:sz="4" w:space="0" w:color="auto"/>
              <w:left w:val="single" w:sz="4" w:space="0" w:color="auto"/>
              <w:bottom w:val="single" w:sz="4" w:space="0" w:color="auto"/>
              <w:right w:val="single" w:sz="4" w:space="0" w:color="auto"/>
            </w:tcBorders>
            <w:noWrap/>
            <w:hideMark/>
          </w:tcPr>
          <w:p w14:paraId="2439CBD1" w14:textId="77777777" w:rsidR="00CB054C" w:rsidRPr="005970E9" w:rsidRDefault="00CB054C" w:rsidP="000B36D8">
            <w:pPr>
              <w:rPr>
                <w:lang w:val="es-ES_tradnl"/>
              </w:rPr>
            </w:pPr>
            <w:r w:rsidRPr="005970E9">
              <w:rPr>
                <w:lang w:val="es-ES_tradnl"/>
              </w:rPr>
              <w:t>11</w:t>
            </w:r>
          </w:p>
        </w:tc>
        <w:tc>
          <w:tcPr>
            <w:tcW w:w="992" w:type="dxa"/>
            <w:tcBorders>
              <w:top w:val="single" w:sz="4" w:space="0" w:color="auto"/>
              <w:left w:val="single" w:sz="4" w:space="0" w:color="auto"/>
              <w:bottom w:val="single" w:sz="4" w:space="0" w:color="auto"/>
              <w:right w:val="single" w:sz="4" w:space="0" w:color="auto"/>
            </w:tcBorders>
            <w:noWrap/>
            <w:hideMark/>
          </w:tcPr>
          <w:p w14:paraId="584CC8E5" w14:textId="77777777" w:rsidR="00CB054C" w:rsidRPr="005970E9" w:rsidRDefault="00CB054C" w:rsidP="000B36D8">
            <w:pPr>
              <w:rPr>
                <w:lang w:val="es-ES_tradnl"/>
              </w:rPr>
            </w:pPr>
            <w:r w:rsidRPr="005970E9">
              <w:rPr>
                <w:lang w:val="es-ES_tradnl"/>
              </w:rPr>
              <w:t>0.07</w:t>
            </w:r>
          </w:p>
        </w:tc>
        <w:tc>
          <w:tcPr>
            <w:tcW w:w="709" w:type="dxa"/>
            <w:tcBorders>
              <w:top w:val="single" w:sz="4" w:space="0" w:color="auto"/>
              <w:left w:val="single" w:sz="4" w:space="0" w:color="auto"/>
              <w:bottom w:val="single" w:sz="4" w:space="0" w:color="auto"/>
              <w:right w:val="single" w:sz="4" w:space="0" w:color="auto"/>
            </w:tcBorders>
            <w:hideMark/>
          </w:tcPr>
          <w:p w14:paraId="14C3ED55" w14:textId="77777777" w:rsidR="00CB054C" w:rsidRPr="005970E9" w:rsidRDefault="00CB054C" w:rsidP="000B36D8">
            <w:pPr>
              <w:rPr>
                <w:lang w:val="es-ES_tradnl"/>
              </w:rPr>
            </w:pPr>
            <w:r w:rsidRPr="005970E9">
              <w:rPr>
                <w:lang w:val="es-ES_tradnl"/>
              </w:rPr>
              <w:t> </w:t>
            </w:r>
          </w:p>
        </w:tc>
        <w:tc>
          <w:tcPr>
            <w:tcW w:w="851" w:type="dxa"/>
            <w:tcBorders>
              <w:top w:val="single" w:sz="4" w:space="0" w:color="auto"/>
              <w:left w:val="single" w:sz="4" w:space="0" w:color="auto"/>
              <w:bottom w:val="single" w:sz="4" w:space="0" w:color="auto"/>
              <w:right w:val="single" w:sz="4" w:space="0" w:color="auto"/>
            </w:tcBorders>
            <w:noWrap/>
            <w:hideMark/>
          </w:tcPr>
          <w:p w14:paraId="3B749E2F" w14:textId="77777777" w:rsidR="00CB054C" w:rsidRPr="005970E9" w:rsidRDefault="00CB054C" w:rsidP="000B36D8">
            <w:pPr>
              <w:rPr>
                <w:lang w:val="es-ES_tradnl"/>
              </w:rPr>
            </w:pPr>
            <w:r w:rsidRPr="005970E9">
              <w:rPr>
                <w:lang w:val="es-ES_tradnl"/>
              </w:rPr>
              <w:t>0.00</w:t>
            </w:r>
          </w:p>
        </w:tc>
        <w:tc>
          <w:tcPr>
            <w:tcW w:w="850" w:type="dxa"/>
            <w:tcBorders>
              <w:top w:val="single" w:sz="4" w:space="0" w:color="auto"/>
              <w:left w:val="single" w:sz="4" w:space="0" w:color="auto"/>
              <w:bottom w:val="single" w:sz="4" w:space="0" w:color="auto"/>
              <w:right w:val="single" w:sz="4" w:space="0" w:color="auto"/>
            </w:tcBorders>
            <w:noWrap/>
            <w:hideMark/>
          </w:tcPr>
          <w:p w14:paraId="03E555C8" w14:textId="77777777" w:rsidR="00CB054C" w:rsidRPr="005970E9" w:rsidRDefault="00CB054C" w:rsidP="000B36D8">
            <w:pPr>
              <w:rPr>
                <w:lang w:val="es-ES_tradnl"/>
              </w:rPr>
            </w:pPr>
            <w:r w:rsidRPr="005970E9">
              <w:rPr>
                <w:lang w:val="es-ES_tradnl"/>
              </w:rPr>
              <w:t>11</w:t>
            </w:r>
          </w:p>
        </w:tc>
        <w:tc>
          <w:tcPr>
            <w:tcW w:w="851" w:type="dxa"/>
            <w:tcBorders>
              <w:top w:val="single" w:sz="4" w:space="0" w:color="auto"/>
              <w:left w:val="single" w:sz="4" w:space="0" w:color="auto"/>
              <w:bottom w:val="single" w:sz="4" w:space="0" w:color="auto"/>
              <w:right w:val="single" w:sz="4" w:space="0" w:color="auto"/>
            </w:tcBorders>
            <w:noWrap/>
            <w:hideMark/>
          </w:tcPr>
          <w:p w14:paraId="101891EE" w14:textId="77777777" w:rsidR="00CB054C" w:rsidRPr="005970E9" w:rsidRDefault="00CB054C" w:rsidP="000B36D8">
            <w:pPr>
              <w:rPr>
                <w:lang w:val="es-ES_tradnl"/>
              </w:rPr>
            </w:pPr>
            <w:r w:rsidRPr="005970E9">
              <w:rPr>
                <w:lang w:val="es-ES_tradnl"/>
              </w:rPr>
              <w:t>0.07</w:t>
            </w:r>
          </w:p>
        </w:tc>
      </w:tr>
    </w:tbl>
    <w:p w14:paraId="2145EF93" w14:textId="77777777" w:rsidR="00CB054C" w:rsidRPr="005970E9" w:rsidRDefault="00CB054C" w:rsidP="00CB054C">
      <w:pPr>
        <w:spacing w:before="120" w:after="120" w:line="276" w:lineRule="auto"/>
        <w:rPr>
          <w:rFonts w:eastAsiaTheme="minorHAnsi"/>
        </w:rPr>
      </w:pPr>
      <w:r w:rsidRPr="005970E9">
        <w:t xml:space="preserve">Fuente. Censos privados de libertad. MINGO.2018. </w:t>
      </w:r>
    </w:p>
    <w:p w14:paraId="13049A3F" w14:textId="34E2119E" w:rsidR="00CB054C" w:rsidRPr="005970E9" w:rsidRDefault="00CB054C" w:rsidP="00594BB7">
      <w:pPr>
        <w:widowControl w:val="0"/>
        <w:autoSpaceDE w:val="0"/>
        <w:autoSpaceDN w:val="0"/>
        <w:adjustRightInd w:val="0"/>
        <w:spacing w:before="240" w:after="120" w:line="276" w:lineRule="auto"/>
        <w:jc w:val="both"/>
        <w:rPr>
          <w:lang w:val="es-ES_tradnl"/>
        </w:rPr>
      </w:pPr>
      <w:r w:rsidRPr="005970E9">
        <w:rPr>
          <w:b/>
          <w:lang w:val="es-ES_tradnl"/>
        </w:rPr>
        <w:t>Superación académica</w:t>
      </w:r>
      <w:r w:rsidRPr="005970E9">
        <w:rPr>
          <w:bCs/>
          <w:lang w:val="es-ES_tradnl"/>
        </w:rPr>
        <w:t xml:space="preserve">: Entre los derechos que tienen las personas privadas de libertad está la superación académica. En este sentido las mujeres superan a los hombres, dado que el 43.8% de las mujeres asiste a algún nivel académico, mientras que entre los hombres solo un 17.5%. Entre las que estudian, el 5.3% está en el nivel primario (2.2% los hombres), el 25.9% en secundaria (12.5% los hombres) y </w:t>
      </w:r>
      <w:r w:rsidRPr="005970E9">
        <w:rPr>
          <w:lang w:val="es-ES_tradnl"/>
        </w:rPr>
        <w:t>un llamativo 12.6% cursa estudios universitarios (2.8% los hombres) (Censo a PL 2018)</w:t>
      </w:r>
      <w:r w:rsidR="005C4000" w:rsidRPr="005970E9">
        <w:rPr>
          <w:lang w:val="es-ES_tradnl"/>
        </w:rPr>
        <w:t>.</w:t>
      </w:r>
    </w:p>
    <w:p w14:paraId="329E0D13" w14:textId="047CFEB3" w:rsidR="00CB054C" w:rsidRPr="005970E9" w:rsidRDefault="00CB054C" w:rsidP="00CB054C">
      <w:pPr>
        <w:widowControl w:val="0"/>
        <w:autoSpaceDE w:val="0"/>
        <w:autoSpaceDN w:val="0"/>
        <w:adjustRightInd w:val="0"/>
        <w:spacing w:before="120" w:after="120" w:line="276" w:lineRule="auto"/>
        <w:jc w:val="both"/>
        <w:rPr>
          <w:color w:val="000000" w:themeColor="text1"/>
          <w:lang w:val="es-ES_tradnl"/>
        </w:rPr>
      </w:pPr>
      <w:r w:rsidRPr="005970E9">
        <w:rPr>
          <w:color w:val="000000" w:themeColor="text1"/>
          <w:lang w:val="es-ES_tradnl"/>
        </w:rPr>
        <w:t xml:space="preserve">Según información publicada en la sección de noticias del Sistema Penitenciario el 19 de diciembre del 2019, se reportó que 881 personas privadas de libertad se graduaron de los diferentes programas educativos que se ofrecen dentro de los centros penales. De estos graduados, 77 (7.74%) eran mujeres y 804 (91.25%) hombres. Las mujeres que se graduaron representaron un 7.8% </w:t>
      </w:r>
      <w:r w:rsidR="005C4000" w:rsidRPr="005970E9">
        <w:rPr>
          <w:color w:val="000000" w:themeColor="text1"/>
          <w:lang w:val="es-ES_tradnl"/>
        </w:rPr>
        <w:t xml:space="preserve">de </w:t>
      </w:r>
      <w:r w:rsidRPr="005970E9">
        <w:rPr>
          <w:color w:val="000000" w:themeColor="text1"/>
          <w:lang w:val="es-ES_tradnl"/>
        </w:rPr>
        <w:t xml:space="preserve">la población total de privadas de libertad en diciembre 2019 y los hombres un 4.9 %, </w:t>
      </w:r>
      <w:r w:rsidR="005C4000" w:rsidRPr="005970E9">
        <w:rPr>
          <w:color w:val="000000" w:themeColor="text1"/>
          <w:lang w:val="es-ES_tradnl"/>
        </w:rPr>
        <w:t xml:space="preserve">de </w:t>
      </w:r>
      <w:r w:rsidRPr="005970E9">
        <w:rPr>
          <w:color w:val="000000" w:themeColor="text1"/>
          <w:lang w:val="es-ES_tradnl"/>
        </w:rPr>
        <w:t xml:space="preserve">la población total de hombres privados de libertad. </w:t>
      </w:r>
    </w:p>
    <w:p w14:paraId="74684F7E" w14:textId="095080D6" w:rsidR="00CB054C" w:rsidRPr="005970E9" w:rsidRDefault="00CB054C" w:rsidP="00D478B6">
      <w:pPr>
        <w:pStyle w:val="Heading3"/>
        <w:numPr>
          <w:ilvl w:val="2"/>
          <w:numId w:val="56"/>
        </w:numPr>
        <w:spacing w:before="120" w:line="276" w:lineRule="auto"/>
        <w:rPr>
          <w:lang w:val="es-ES_tradnl"/>
        </w:rPr>
      </w:pPr>
      <w:bookmarkStart w:id="287" w:name="_Toc42159247"/>
      <w:bookmarkStart w:id="288" w:name="_Toc42549478"/>
      <w:r w:rsidRPr="005970E9">
        <w:rPr>
          <w:lang w:val="es-ES_tradnl"/>
        </w:rPr>
        <w:t>Causas delictivas y su feminización.</w:t>
      </w:r>
      <w:bookmarkEnd w:id="287"/>
      <w:bookmarkEnd w:id="288"/>
    </w:p>
    <w:p w14:paraId="60BE7A73" w14:textId="77777777" w:rsidR="00CB054C" w:rsidRPr="005970E9" w:rsidRDefault="00CB054C" w:rsidP="00CB054C">
      <w:pPr>
        <w:widowControl w:val="0"/>
        <w:autoSpaceDE w:val="0"/>
        <w:autoSpaceDN w:val="0"/>
        <w:adjustRightInd w:val="0"/>
        <w:spacing w:before="120" w:after="120" w:line="276" w:lineRule="auto"/>
        <w:jc w:val="both"/>
        <w:rPr>
          <w:rFonts w:eastAsiaTheme="minorEastAsia"/>
          <w:lang w:eastAsia="en-US"/>
        </w:rPr>
      </w:pPr>
      <w:r w:rsidRPr="005970E9">
        <w:rPr>
          <w:rFonts w:eastAsiaTheme="minorEastAsia"/>
          <w:lang w:eastAsia="en-US"/>
        </w:rPr>
        <w:t xml:space="preserve">El delito más común entre la población penitenciaria en general es la posesión o tráfico de drogas, tanto para hombres (29%) como mujeres (62%; seguidos del robo (23% hombres y 8% mujeres), homicidio doloso (14% hombres y 8% las mujeres). </w:t>
      </w:r>
    </w:p>
    <w:p w14:paraId="066C7A5A" w14:textId="77777777" w:rsidR="00CB054C" w:rsidRPr="005970E9" w:rsidRDefault="00CB054C" w:rsidP="00CB054C">
      <w:pPr>
        <w:autoSpaceDE w:val="0"/>
        <w:autoSpaceDN w:val="0"/>
        <w:adjustRightInd w:val="0"/>
        <w:spacing w:before="120" w:after="120" w:line="276" w:lineRule="auto"/>
        <w:jc w:val="both"/>
        <w:rPr>
          <w:rFonts w:eastAsiaTheme="minorEastAsia"/>
          <w:lang w:eastAsia="en-US"/>
        </w:rPr>
      </w:pPr>
      <w:r w:rsidRPr="005970E9">
        <w:rPr>
          <w:rFonts w:eastAsiaTheme="minorEastAsia"/>
          <w:lang w:eastAsia="en-US"/>
        </w:rPr>
        <w:t xml:space="preserve">“Los delitos contra la seguridad colectiva representan un 50% de los que imputan a las mujeres privadas de libertad en Panamá. Le siguen los delitos contra la salud pública, que representan un 21% del total. Si unimos ambos, tal y como se plantea en el Código Penal del país, un 70% de los delitos de las mujeres corresponden a esta categoría </w:t>
      </w:r>
      <w:r w:rsidRPr="005970E9">
        <w:rPr>
          <w:rFonts w:eastAsiaTheme="minorEastAsia"/>
          <w:lang w:eastAsia="en-US"/>
        </w:rPr>
        <w:lastRenderedPageBreak/>
        <w:t>genérica del delito contra la seguridad colectiva que suele concretarse en delitos relacionados con drogas (tráfico, posesión y venta de drogas)</w:t>
      </w:r>
      <w:r w:rsidRPr="005970E9">
        <w:rPr>
          <w:rStyle w:val="FootnoteReference"/>
          <w:rFonts w:eastAsiaTheme="minorEastAsia"/>
          <w:lang w:eastAsia="en-US"/>
        </w:rPr>
        <w:footnoteReference w:id="75"/>
      </w:r>
      <w:r w:rsidRPr="005970E9">
        <w:rPr>
          <w:rFonts w:eastAsiaTheme="minorEastAsia"/>
          <w:lang w:eastAsia="en-US"/>
        </w:rPr>
        <w:t xml:space="preserve">. </w:t>
      </w:r>
    </w:p>
    <w:p w14:paraId="0A9E89BE" w14:textId="77777777" w:rsidR="00CB054C" w:rsidRPr="005970E9" w:rsidRDefault="00CB054C" w:rsidP="00CB054C">
      <w:pPr>
        <w:autoSpaceDE w:val="0"/>
        <w:autoSpaceDN w:val="0"/>
        <w:adjustRightInd w:val="0"/>
        <w:spacing w:before="120" w:after="120" w:line="276" w:lineRule="auto"/>
        <w:jc w:val="both"/>
        <w:rPr>
          <w:rFonts w:eastAsiaTheme="minorHAnsi"/>
          <w:lang w:val="es-ES_tradnl"/>
        </w:rPr>
      </w:pPr>
      <w:r w:rsidRPr="005970E9">
        <w:rPr>
          <w:rFonts w:eastAsiaTheme="minorEastAsia"/>
          <w:lang w:eastAsia="en-US"/>
        </w:rPr>
        <w:t>En el censo penitenciario realizado en el año 2018 el porcentaje anterior (70%) de los delitos contra la seguridad colectiva cometidos por mujeres bajó a un 62%</w:t>
      </w:r>
      <w:r w:rsidRPr="005970E9">
        <w:rPr>
          <w:rStyle w:val="FootnoteReference"/>
          <w:rFonts w:eastAsiaTheme="minorEastAsia"/>
          <w:lang w:eastAsia="en-US"/>
        </w:rPr>
        <w:footnoteReference w:id="76"/>
      </w:r>
      <w:r w:rsidRPr="005970E9">
        <w:rPr>
          <w:rFonts w:eastAsiaTheme="minorEastAsia"/>
          <w:lang w:eastAsia="en-US"/>
        </w:rPr>
        <w:t>. Al respecto, otros estudios aseveran que este delito está relacionado con el</w:t>
      </w:r>
      <w:r w:rsidRPr="005970E9">
        <w:rPr>
          <w:lang w:val="es-ES_tradnl"/>
        </w:rPr>
        <w:t xml:space="preserve"> micro menudeo, venta a baja escala y a domicilio o por tráfico en los centros penitenciarios de varones.</w:t>
      </w:r>
      <w:r w:rsidRPr="005970E9">
        <w:rPr>
          <w:rStyle w:val="FootnoteReference"/>
          <w:lang w:val="es-ES_tradnl"/>
        </w:rPr>
        <w:footnoteReference w:id="77"/>
      </w:r>
    </w:p>
    <w:p w14:paraId="7F16F697" w14:textId="77777777"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Los estudios también muestran que las razones son diversas, pero imperan las relacionadas con el sistema patriarcal como son la violencia de pareja por medio de coacción o amenaza, la feminización de la pobreza y las cargas familiares. Por ejemplo, los delitos de homicidios cometidos por mujeres ya que en algunos casos existen razones de legítima defensa frente a la violencia machista de la pareja, sin que sea posible de probar, lo que desampara a las mujeres frente a las normas penales y de justicia.</w:t>
      </w:r>
    </w:p>
    <w:p w14:paraId="2EFF0461" w14:textId="175431D3" w:rsidR="00CB054C" w:rsidRPr="005970E9" w:rsidRDefault="00CB054C" w:rsidP="00594BB7">
      <w:pPr>
        <w:widowControl w:val="0"/>
        <w:autoSpaceDE w:val="0"/>
        <w:autoSpaceDN w:val="0"/>
        <w:adjustRightInd w:val="0"/>
        <w:spacing w:before="120" w:after="240" w:line="276" w:lineRule="auto"/>
        <w:jc w:val="both"/>
        <w:rPr>
          <w:lang w:val="es-ES_tradnl"/>
        </w:rPr>
      </w:pPr>
      <w:r w:rsidRPr="005970E9">
        <w:rPr>
          <w:lang w:val="es-ES_tradnl"/>
        </w:rPr>
        <w:t xml:space="preserve">Todos estos factores se deberían tomar en cuenta por el sistema de administración de justicia y leyes penales para la incorporación de la perspectiva de género y se </w:t>
      </w:r>
      <w:r w:rsidR="00E970D6" w:rsidRPr="005970E9">
        <w:rPr>
          <w:lang w:val="es-ES_tradnl"/>
        </w:rPr>
        <w:t>adopt</w:t>
      </w:r>
      <w:r w:rsidRPr="005970E9">
        <w:rPr>
          <w:lang w:val="es-ES_tradnl"/>
        </w:rPr>
        <w:t>en atenuantes o medidas alternas a la privación de libertad de acuerdo al género y al estado de la mujer, fundamentalmente de aquellas mujeres solas con hijos dependientes. Además, es necesario analizar las características sociales de las mujeres privadas de libertad desde una perspectiva de derechos humanos de las mujeres y las adolescentes.</w:t>
      </w:r>
    </w:p>
    <w:p w14:paraId="0857CB18" w14:textId="4C16850B" w:rsidR="00CB054C" w:rsidRPr="005970E9" w:rsidRDefault="00CB054C" w:rsidP="00D478B6">
      <w:pPr>
        <w:pStyle w:val="Heading3"/>
        <w:numPr>
          <w:ilvl w:val="2"/>
          <w:numId w:val="56"/>
        </w:numPr>
        <w:spacing w:before="120" w:line="276" w:lineRule="auto"/>
      </w:pPr>
      <w:bookmarkStart w:id="289" w:name="_Toc42159248"/>
      <w:bookmarkStart w:id="290" w:name="_Toc42549479"/>
      <w:r w:rsidRPr="005970E9">
        <w:t>Condiciones de hacinamiento y violencia de las mujeres privadas de libertad</w:t>
      </w:r>
      <w:bookmarkEnd w:id="289"/>
      <w:bookmarkEnd w:id="290"/>
    </w:p>
    <w:p w14:paraId="2B1700A2" w14:textId="196DA655" w:rsidR="00CB054C" w:rsidRPr="005970E9" w:rsidRDefault="00CB054C" w:rsidP="00195C8F">
      <w:pPr>
        <w:widowControl w:val="0"/>
        <w:autoSpaceDE w:val="0"/>
        <w:autoSpaceDN w:val="0"/>
        <w:adjustRightInd w:val="0"/>
        <w:spacing w:before="120" w:after="120" w:line="276" w:lineRule="auto"/>
        <w:jc w:val="both"/>
        <w:rPr>
          <w:lang w:val="es-ES"/>
        </w:rPr>
      </w:pPr>
      <w:r w:rsidRPr="005970E9">
        <w:rPr>
          <w:lang w:val="es-ES"/>
        </w:rPr>
        <w:t>Los datos del año 2020 nos muestran que la población penitenciar</w:t>
      </w:r>
      <w:r w:rsidR="7C3F85A9" w:rsidRPr="005970E9">
        <w:rPr>
          <w:lang w:val="es-ES"/>
        </w:rPr>
        <w:t>i</w:t>
      </w:r>
      <w:r w:rsidRPr="005970E9">
        <w:rPr>
          <w:lang w:val="es-ES"/>
        </w:rPr>
        <w:t>a en general ha aumentado, lo que ha agravado uno de los problemas más sensibles de la población penitenciaria: el hacinamiento existente en los distintos centros carcelarios del país.</w:t>
      </w:r>
    </w:p>
    <w:p w14:paraId="645468F4" w14:textId="77777777" w:rsidR="00E970D6" w:rsidRPr="005970E9" w:rsidRDefault="000B36D8" w:rsidP="00CB054C">
      <w:pPr>
        <w:widowControl w:val="0"/>
        <w:autoSpaceDE w:val="0"/>
        <w:autoSpaceDN w:val="0"/>
        <w:adjustRightInd w:val="0"/>
        <w:spacing w:before="120" w:after="120" w:line="276" w:lineRule="auto"/>
        <w:jc w:val="both"/>
        <w:rPr>
          <w:b/>
          <w:lang w:val="es-ES_tradnl"/>
        </w:rPr>
      </w:pPr>
      <w:r w:rsidRPr="005970E9">
        <w:rPr>
          <w:b/>
          <w:lang w:val="es-ES_tradnl"/>
        </w:rPr>
        <w:t>Hacinamiento</w:t>
      </w:r>
    </w:p>
    <w:p w14:paraId="4C886EF8" w14:textId="154B32C8" w:rsidR="000B36D8" w:rsidRPr="005970E9" w:rsidRDefault="000B36D8" w:rsidP="00CB054C">
      <w:pPr>
        <w:widowControl w:val="0"/>
        <w:autoSpaceDE w:val="0"/>
        <w:autoSpaceDN w:val="0"/>
        <w:adjustRightInd w:val="0"/>
        <w:spacing w:before="120" w:after="120" w:line="276" w:lineRule="auto"/>
        <w:jc w:val="both"/>
        <w:rPr>
          <w:lang w:val="es-ES_tradnl"/>
        </w:rPr>
      </w:pPr>
      <w:r w:rsidRPr="005970E9">
        <w:rPr>
          <w:lang w:val="es-ES_tradnl"/>
        </w:rPr>
        <w:t>Los datos del Sistema Penitenciario (febrero 2020), revelan que la mayoría de los centros penitenciarios del país están hacinados. El nivel más alto llega a un 393% en el centro penal de Aguadulce para población masculina.</w:t>
      </w:r>
    </w:p>
    <w:p w14:paraId="1ADA9A45" w14:textId="19A7D71B" w:rsidR="000B36D8" w:rsidRPr="005970E9" w:rsidRDefault="000B36D8" w:rsidP="000B36D8">
      <w:pPr>
        <w:widowControl w:val="0"/>
        <w:autoSpaceDE w:val="0"/>
        <w:autoSpaceDN w:val="0"/>
        <w:adjustRightInd w:val="0"/>
        <w:spacing w:before="120" w:after="120" w:line="276" w:lineRule="auto"/>
        <w:jc w:val="both"/>
        <w:rPr>
          <w:lang w:val="es-ES_tradnl"/>
        </w:rPr>
      </w:pPr>
      <w:r w:rsidRPr="005970E9">
        <w:t>Los</w:t>
      </w:r>
      <w:r w:rsidRPr="005970E9">
        <w:rPr>
          <w:lang w:val="es-ES_tradnl"/>
        </w:rPr>
        <w:t xml:space="preserve"> dos centros con más capacidad en el país para PL masculina son la Joyita y la Joya. El primero con una capacidad de 2,837 alberga a 3,682, reflejando un 130% de sobrepoblación; la Joya, con una capacidad de 1,568 alberga a 2,858, con una sobrepoblación de 1,290 PL y un nivel de hacinamiento de 182% (MINGOB. Feb. 2020).</w:t>
      </w:r>
    </w:p>
    <w:p w14:paraId="130F2B06" w14:textId="0A4A2ACF" w:rsidR="000B36D8" w:rsidRPr="005970E9" w:rsidRDefault="000B36D8" w:rsidP="00CB054C">
      <w:pPr>
        <w:widowControl w:val="0"/>
        <w:autoSpaceDE w:val="0"/>
        <w:autoSpaceDN w:val="0"/>
        <w:adjustRightInd w:val="0"/>
        <w:spacing w:before="120" w:after="120" w:line="276" w:lineRule="auto"/>
        <w:jc w:val="both"/>
        <w:rPr>
          <w:lang w:val="es-ES_tradnl"/>
        </w:rPr>
      </w:pPr>
      <w:r w:rsidRPr="005970E9">
        <w:rPr>
          <w:lang w:val="es-ES_tradnl"/>
        </w:rPr>
        <w:t xml:space="preserve">El centro penal femenino que suma el mayor nivel de hacinamiento es el de los Algarrobos en Chiriquí con un 256%. En CEFERE, se concentra la mayor población femenina con un nivel de hacimiento de 152% ya que cuenta con una capacidad de 433 </w:t>
      </w:r>
      <w:r w:rsidRPr="005970E9">
        <w:rPr>
          <w:lang w:val="es-ES_tradnl"/>
        </w:rPr>
        <w:lastRenderedPageBreak/>
        <w:t>mujeres y actualmente tiene 656 mujeres (MINGOB. Feb. 2020).</w:t>
      </w:r>
    </w:p>
    <w:p w14:paraId="1C4EF17E" w14:textId="7433CBB0" w:rsidR="00CB054C" w:rsidRPr="005970E9" w:rsidRDefault="00FB37B6" w:rsidP="000B36D8">
      <w:pPr>
        <w:widowControl w:val="0"/>
        <w:autoSpaceDE w:val="0"/>
        <w:autoSpaceDN w:val="0"/>
        <w:adjustRightInd w:val="0"/>
        <w:spacing w:before="120" w:after="120" w:line="276" w:lineRule="auto"/>
        <w:jc w:val="both"/>
        <w:rPr>
          <w:lang w:val="es-ES_tradnl"/>
        </w:rPr>
      </w:pPr>
      <w:r w:rsidRPr="005970E9">
        <w:rPr>
          <w:noProof/>
        </w:rPr>
        <mc:AlternateContent>
          <mc:Choice Requires="wps">
            <w:drawing>
              <wp:anchor distT="45720" distB="45720" distL="114300" distR="114300" simplePos="0" relativeHeight="251760681" behindDoc="1" locked="0" layoutInCell="1" allowOverlap="1" wp14:anchorId="60E54A2B" wp14:editId="60FEEB56">
                <wp:simplePos x="0" y="0"/>
                <wp:positionH relativeFrom="column">
                  <wp:posOffset>3171825</wp:posOffset>
                </wp:positionH>
                <wp:positionV relativeFrom="paragraph">
                  <wp:posOffset>1270</wp:posOffset>
                </wp:positionV>
                <wp:extent cx="2602230" cy="4160520"/>
                <wp:effectExtent l="0" t="0" r="26670" b="11430"/>
                <wp:wrapTight wrapText="bothSides">
                  <wp:wrapPolygon edited="0">
                    <wp:start x="0" y="0"/>
                    <wp:lineTo x="0" y="21560"/>
                    <wp:lineTo x="21663" y="21560"/>
                    <wp:lineTo x="21663" y="0"/>
                    <wp:lineTo x="0" y="0"/>
                  </wp:wrapPolygon>
                </wp:wrapTight>
                <wp:docPr id="24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4160520"/>
                        </a:xfrm>
                        <a:prstGeom prst="rect">
                          <a:avLst/>
                        </a:prstGeom>
                        <a:solidFill>
                          <a:srgbClr val="E8D9F3"/>
                        </a:solidFill>
                        <a:ln w="9525">
                          <a:solidFill>
                            <a:srgbClr val="000000"/>
                          </a:solidFill>
                          <a:miter lim="800000"/>
                          <a:headEnd/>
                          <a:tailEnd/>
                        </a:ln>
                      </wps:spPr>
                      <wps:txbx>
                        <w:txbxContent>
                          <w:p w14:paraId="7DBE772A" w14:textId="77777777" w:rsidR="00DC0EAB" w:rsidRDefault="00DC0EAB" w:rsidP="00CB054C">
                            <w:pPr>
                              <w:widowControl w:val="0"/>
                              <w:autoSpaceDE w:val="0"/>
                              <w:autoSpaceDN w:val="0"/>
                              <w:adjustRightInd w:val="0"/>
                              <w:jc w:val="both"/>
                              <w:rPr>
                                <w:sz w:val="20"/>
                                <w:szCs w:val="20"/>
                              </w:rPr>
                            </w:pPr>
                            <w:r>
                              <w:rPr>
                                <w:sz w:val="20"/>
                                <w:szCs w:val="20"/>
                              </w:rPr>
                              <w:t xml:space="preserve"> “</w:t>
                            </w:r>
                            <w:r>
                              <w:rPr>
                                <w:i/>
                                <w:sz w:val="20"/>
                                <w:szCs w:val="20"/>
                                <w:lang w:val="es-ES_tradnl"/>
                              </w:rPr>
                              <w:t>Condiciones lamentables en la gran mayoría de los centros de privación de libertad visitados. En La Joya y La Joyita en la Ciudad de Panamá y Nueva Esperanza en Colón, (…) en varios pabellones una grave situación de condiciones infrahumanas de habitabilidad, no solo en cuanto a hacinamiento, sino también … alta humedad, falta de ventilación, carencia absoluta de higiene, acumulación de basura …, cableados eléctricos precarios con alta peligrosidad, incluso con probabilidad de incendio. (…) Un número importante de internos duermen sin colchones, en el suelo y en hamacas improvisadas. En el pabellón 17 de La Joyita la situación de hacinamiento era tal que el Subcomité encontró personas … durmiendo debajo de una mesa en el área común del pabellón. Dichas condiciones, en su conjunto, se constituyen como un trato cruel, inhumano y degradante”.</w:t>
                            </w:r>
                            <w:r>
                              <w:rPr>
                                <w:sz w:val="20"/>
                                <w:szCs w:val="20"/>
                                <w:lang w:val="es-ES_tradnl"/>
                              </w:rPr>
                              <w:t xml:space="preserve"> </w:t>
                            </w:r>
                          </w:p>
                          <w:p w14:paraId="0EEE8A96" w14:textId="77777777" w:rsidR="00DC0EAB" w:rsidRDefault="00DC0EAB" w:rsidP="00CB054C">
                            <w:pPr>
                              <w:widowControl w:val="0"/>
                              <w:autoSpaceDE w:val="0"/>
                              <w:autoSpaceDN w:val="0"/>
                              <w:adjustRightInd w:val="0"/>
                              <w:jc w:val="both"/>
                              <w:rPr>
                                <w:i/>
                                <w:sz w:val="20"/>
                                <w:szCs w:val="20"/>
                              </w:rPr>
                            </w:pPr>
                            <w:r>
                              <w:rPr>
                                <w:sz w:val="20"/>
                                <w:szCs w:val="20"/>
                              </w:rPr>
                              <w:t>Fuente: Subcomité para la Prevención de la Tortura y Otros Tratos o Penas Crueles, Inhumanos o Degradantes. 2017</w:t>
                            </w:r>
                          </w:p>
                          <w:p w14:paraId="70474793" w14:textId="77777777" w:rsidR="00DC0EAB" w:rsidRDefault="00DC0EAB" w:rsidP="00CB054C">
                            <w:pPr>
                              <w:autoSpaceDE w:val="0"/>
                              <w:autoSpaceDN w:val="0"/>
                              <w:adjustRightInd w:val="0"/>
                              <w:spacing w:before="120" w:after="120"/>
                              <w:rPr>
                                <w:rFonts w:cs="TradeGothicLTCom-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54A2B" id="Cuadro de texto 83" o:spid="_x0000_s1042" type="#_x0000_t202" style="position:absolute;left:0;text-align:left;margin-left:249.75pt;margin-top:.1pt;width:204.9pt;height:327.6pt;z-index:-2515557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" fillcolor="#e8d9f3">
                <v:textbox>
                  <w:txbxContent>
                    <w:p w14:paraId="7DBE772A" w14:textId="77777777" w:rsidR="00DC0EAB" w:rsidRDefault="00DC0EAB" w:rsidP="00CB054C">
                      <w:pPr>
                        <w:widowControl w:val="0"/>
                        <w:autoSpaceDE w:val="0"/>
                        <w:autoSpaceDN w:val="0"/>
                        <w:adjustRightInd w:val="0"/>
                        <w:jc w:val="both"/>
                        <w:rPr>
                          <w:sz w:val="20"/>
                          <w:szCs w:val="20"/>
                        </w:rPr>
                      </w:pPr>
                      <w:r>
                        <w:rPr>
                          <w:sz w:val="20"/>
                          <w:szCs w:val="20"/>
                        </w:rPr>
                        <w:t xml:space="preserve"> “</w:t>
                      </w:r>
                      <w:r>
                        <w:rPr>
                          <w:i/>
                          <w:sz w:val="20"/>
                          <w:szCs w:val="20"/>
                          <w:lang w:val="es-ES_tradnl"/>
                        </w:rPr>
                        <w:t>Condiciones lamentables en la gran mayoría de los centros de privación de libertad visitados. En La Joya y La Joyita en la Ciudad de Panamá y Nueva Esperanza en Colón, (…) en varios pabellones una grave situación de condiciones infrahumanas de habitabilidad, no solo en cuanto a hacinamiento, sino también … alta humedad, falta de ventilación, carencia absoluta de higiene, acumulación de basura …, cableados eléctricos precarios con alta peligrosidad, incluso con probabilidad de incendio. (…) Un número importante de internos duermen sin colchones, en el suelo y en hamacas improvisadas. En el pabellón 17 de La Joyita la situación de hacinamiento era tal que el Subcomité encontró personas … durmiendo debajo de una mesa en el área común del pabellón. Dichas condiciones, en su conjunto, se constituyen como un trato cruel, inhumano y degradante”.</w:t>
                      </w:r>
                      <w:r>
                        <w:rPr>
                          <w:sz w:val="20"/>
                          <w:szCs w:val="20"/>
                          <w:lang w:val="es-ES_tradnl"/>
                        </w:rPr>
                        <w:t xml:space="preserve"> </w:t>
                      </w:r>
                    </w:p>
                    <w:p w14:paraId="0EEE8A96" w14:textId="77777777" w:rsidR="00DC0EAB" w:rsidRDefault="00DC0EAB" w:rsidP="00CB054C">
                      <w:pPr>
                        <w:widowControl w:val="0"/>
                        <w:autoSpaceDE w:val="0"/>
                        <w:autoSpaceDN w:val="0"/>
                        <w:adjustRightInd w:val="0"/>
                        <w:jc w:val="both"/>
                        <w:rPr>
                          <w:i/>
                          <w:sz w:val="20"/>
                          <w:szCs w:val="20"/>
                        </w:rPr>
                      </w:pPr>
                      <w:r>
                        <w:rPr>
                          <w:sz w:val="20"/>
                          <w:szCs w:val="20"/>
                        </w:rPr>
                        <w:t>Fuente: Subcomité para la Prevención de la Tortura y Otros Tratos o Penas Crueles, Inhumanos o Degradantes. 2017</w:t>
                      </w:r>
                    </w:p>
                    <w:p w14:paraId="70474793" w14:textId="77777777" w:rsidR="00DC0EAB" w:rsidRDefault="00DC0EAB" w:rsidP="00CB054C">
                      <w:pPr>
                        <w:autoSpaceDE w:val="0"/>
                        <w:autoSpaceDN w:val="0"/>
                        <w:adjustRightInd w:val="0"/>
                        <w:spacing w:before="120" w:after="120"/>
                        <w:rPr>
                          <w:rFonts w:cs="TradeGothicLTCom-Light"/>
                          <w:sz w:val="20"/>
                          <w:szCs w:val="20"/>
                        </w:rPr>
                      </w:pPr>
                    </w:p>
                  </w:txbxContent>
                </v:textbox>
                <w10:wrap type="tight"/>
              </v:shape>
            </w:pict>
          </mc:Fallback>
        </mc:AlternateContent>
      </w:r>
      <w:r w:rsidR="00CB054C" w:rsidRPr="006A2415">
        <w:rPr>
          <w:noProof/>
        </w:rPr>
        <mc:AlternateContent>
          <mc:Choice Requires="wps">
            <w:drawing>
              <wp:anchor distT="45720" distB="45720" distL="114300" distR="114300" simplePos="0" relativeHeight="251658270" behindDoc="1" locked="0" layoutInCell="1" allowOverlap="1" wp14:anchorId="60E54A2B" wp14:editId="0D4CDAFD">
                <wp:simplePos x="0" y="0"/>
                <wp:positionH relativeFrom="column">
                  <wp:posOffset>3171825</wp:posOffset>
                </wp:positionH>
                <wp:positionV relativeFrom="paragraph">
                  <wp:posOffset>0</wp:posOffset>
                </wp:positionV>
                <wp:extent cx="2602230" cy="4160520"/>
                <wp:effectExtent l="0" t="0" r="26670" b="11430"/>
                <wp:wrapTight wrapText="bothSides">
                  <wp:wrapPolygon edited="0">
                    <wp:start x="0" y="0"/>
                    <wp:lineTo x="0" y="21560"/>
                    <wp:lineTo x="21663" y="21560"/>
                    <wp:lineTo x="21663" y="0"/>
                    <wp:lineTo x="0" y="0"/>
                  </wp:wrapPolygon>
                </wp:wrapTight>
                <wp:docPr id="8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4160520"/>
                        </a:xfrm>
                        <a:prstGeom prst="rect">
                          <a:avLst/>
                        </a:prstGeom>
                        <a:solidFill>
                          <a:srgbClr val="E8D9F3"/>
                        </a:solidFill>
                        <a:ln w="9525">
                          <a:solidFill>
                            <a:srgbClr val="000000"/>
                          </a:solidFill>
                          <a:miter lim="800000"/>
                          <a:headEnd/>
                          <a:tailEnd/>
                        </a:ln>
                      </wps:spPr>
                      <wps:txbx>
                        <w:txbxContent>
                          <w:p w14:paraId="6F019CE6" w14:textId="77777777" w:rsidR="00DC0EAB" w:rsidRDefault="00DC0EAB" w:rsidP="00CB054C">
                            <w:pPr>
                              <w:widowControl w:val="0"/>
                              <w:autoSpaceDE w:val="0"/>
                              <w:autoSpaceDN w:val="0"/>
                              <w:adjustRightInd w:val="0"/>
                              <w:jc w:val="both"/>
                              <w:rPr>
                                <w:sz w:val="20"/>
                                <w:szCs w:val="20"/>
                              </w:rPr>
                            </w:pPr>
                            <w:r>
                              <w:rPr>
                                <w:sz w:val="20"/>
                                <w:szCs w:val="20"/>
                              </w:rPr>
                              <w:t xml:space="preserve"> “</w:t>
                            </w:r>
                            <w:r>
                              <w:rPr>
                                <w:i/>
                                <w:sz w:val="20"/>
                                <w:szCs w:val="20"/>
                                <w:lang w:val="es-ES_tradnl"/>
                              </w:rPr>
                              <w:t>Condiciones lamentables en la gran mayoría de los centros de privación de libertad visitados. En La Joya y La Joyita en la Ciudad de Panamá y Nueva Esperanza en Colón, (…) en varios pabellones una grave situación de condiciones infrahumanas de habitabilidad, no solo en cuanto a hacinamiento, sino también … alta humedad, falta de ventilación, carencia absoluta de higiene, acumulación de basura …, cableados eléctricos precarios con alta peligrosidad, incluso con probabilidad de incendio. (…) Un número importante de internos duermen sin colchones, en el suelo y en hamacas improvisadas. En el pabellón 17 de La Joyita la situación de hacinamiento era tal que el Subcomité encontró personas … durmiendo debajo de una mesa en el área común del pabellón. Dichas condiciones, en su conjunto, se constituyen como un trato cruel, inhumano y degradante”.</w:t>
                            </w:r>
                            <w:r>
                              <w:rPr>
                                <w:sz w:val="20"/>
                                <w:szCs w:val="20"/>
                                <w:lang w:val="es-ES_tradnl"/>
                              </w:rPr>
                              <w:t xml:space="preserve"> </w:t>
                            </w:r>
                          </w:p>
                          <w:p w14:paraId="2BED184B" w14:textId="77777777" w:rsidR="00DC0EAB" w:rsidRDefault="00DC0EAB" w:rsidP="00CB054C">
                            <w:pPr>
                              <w:widowControl w:val="0"/>
                              <w:autoSpaceDE w:val="0"/>
                              <w:autoSpaceDN w:val="0"/>
                              <w:adjustRightInd w:val="0"/>
                              <w:jc w:val="both"/>
                              <w:rPr>
                                <w:i/>
                                <w:sz w:val="20"/>
                                <w:szCs w:val="20"/>
                              </w:rPr>
                            </w:pPr>
                            <w:r>
                              <w:rPr>
                                <w:sz w:val="20"/>
                                <w:szCs w:val="20"/>
                              </w:rPr>
                              <w:t xml:space="preserve">Fuente: </w:t>
                            </w:r>
                            <w:bookmarkStart w:id="291" w:name="_Hlk37561681"/>
                            <w:r>
                              <w:rPr>
                                <w:sz w:val="20"/>
                                <w:szCs w:val="20"/>
                              </w:rPr>
                              <w:t>Subcomité para la Prevención de la Tortura y Otros Tratos o Penas Crueles, Inhumanos o Degradantes. 2017</w:t>
                            </w:r>
                          </w:p>
                          <w:bookmarkEnd w:id="291"/>
                          <w:p w14:paraId="41C9CF16" w14:textId="77777777" w:rsidR="00DC0EAB" w:rsidRDefault="00DC0EAB" w:rsidP="00CB054C">
                            <w:pPr>
                              <w:autoSpaceDE w:val="0"/>
                              <w:autoSpaceDN w:val="0"/>
                              <w:adjustRightInd w:val="0"/>
                              <w:spacing w:before="120" w:after="120"/>
                              <w:rPr>
                                <w:rFonts w:cs="TradeGothicLTCom-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54A2B" id="_x0000_s1043" type="#_x0000_t202" style="position:absolute;left:0;text-align:left;margin-left:249.75pt;margin-top:0;width:204.9pt;height:327.6pt;z-index:-2516582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" fillcolor="#e8d9f3">
                <v:textbox>
                  <w:txbxContent>
                    <w:p w14:paraId="6F019CE6" w14:textId="77777777" w:rsidR="00DC0EAB" w:rsidRDefault="00DC0EAB" w:rsidP="00CB054C">
                      <w:pPr>
                        <w:widowControl w:val="0"/>
                        <w:autoSpaceDE w:val="0"/>
                        <w:autoSpaceDN w:val="0"/>
                        <w:adjustRightInd w:val="0"/>
                        <w:jc w:val="both"/>
                        <w:rPr>
                          <w:sz w:val="20"/>
                          <w:szCs w:val="20"/>
                        </w:rPr>
                      </w:pPr>
                      <w:r>
                        <w:rPr>
                          <w:sz w:val="20"/>
                          <w:szCs w:val="20"/>
                        </w:rPr>
                        <w:t xml:space="preserve"> “</w:t>
                      </w:r>
                      <w:r>
                        <w:rPr>
                          <w:i/>
                          <w:sz w:val="20"/>
                          <w:szCs w:val="20"/>
                          <w:lang w:val="es-ES_tradnl"/>
                        </w:rPr>
                        <w:t>Condiciones lamentables en la gran mayoría de los centros de privación de libertad visitados. En La Joya y La Joyita en la Ciudad de Panamá y Nueva Esperanza en Colón, (…) en varios pabellones una grave situación de condiciones infrahumanas de habitabilidad, no solo en cuanto a hacinamiento, sino también … alta humedad, falta de ventilación, carencia absoluta de higiene, acumulación de basura …, cableados eléctricos precarios con alta peligrosidad, incluso con probabilidad de incendio. (…) Un número importante de internos duermen sin colchones, en el suelo y en hamacas improvisadas. En el pabellón 17 de La Joyita la situación de hacinamiento era tal que el Subcomité encontró personas … durmiendo debajo de una mesa en el área común del pabellón. Dichas condiciones, en su conjunto, se constituyen como un trato cruel, inhumano y degradante”.</w:t>
                      </w:r>
                      <w:r>
                        <w:rPr>
                          <w:sz w:val="20"/>
                          <w:szCs w:val="20"/>
                          <w:lang w:val="es-ES_tradnl"/>
                        </w:rPr>
                        <w:t xml:space="preserve"> </w:t>
                      </w:r>
                    </w:p>
                    <w:p w14:paraId="2BED184B" w14:textId="77777777" w:rsidR="00DC0EAB" w:rsidRDefault="00DC0EAB" w:rsidP="00CB054C">
                      <w:pPr>
                        <w:widowControl w:val="0"/>
                        <w:autoSpaceDE w:val="0"/>
                        <w:autoSpaceDN w:val="0"/>
                        <w:adjustRightInd w:val="0"/>
                        <w:jc w:val="both"/>
                        <w:rPr>
                          <w:i/>
                          <w:sz w:val="20"/>
                          <w:szCs w:val="20"/>
                        </w:rPr>
                      </w:pPr>
                      <w:r>
                        <w:rPr>
                          <w:sz w:val="20"/>
                          <w:szCs w:val="20"/>
                        </w:rPr>
                        <w:t xml:space="preserve">Fuente: </w:t>
                      </w:r>
                      <w:bookmarkStart w:id="292" w:name="_Hlk37561681"/>
                      <w:r>
                        <w:rPr>
                          <w:sz w:val="20"/>
                          <w:szCs w:val="20"/>
                        </w:rPr>
                        <w:t>Subcomité para la Prevención de la Tortura y Otros Tratos o Penas Crueles, Inhumanos o Degradantes. 2017</w:t>
                      </w:r>
                    </w:p>
                    <w:bookmarkEnd w:id="292"/>
                    <w:p w14:paraId="41C9CF16" w14:textId="77777777" w:rsidR="00DC0EAB" w:rsidRDefault="00DC0EAB" w:rsidP="00CB054C">
                      <w:pPr>
                        <w:autoSpaceDE w:val="0"/>
                        <w:autoSpaceDN w:val="0"/>
                        <w:adjustRightInd w:val="0"/>
                        <w:spacing w:before="120" w:after="120"/>
                        <w:rPr>
                          <w:rFonts w:cs="TradeGothicLTCom-Light"/>
                          <w:sz w:val="20"/>
                          <w:szCs w:val="20"/>
                        </w:rPr>
                      </w:pPr>
                    </w:p>
                  </w:txbxContent>
                </v:textbox>
                <w10:wrap type="tight"/>
              </v:shape>
            </w:pict>
          </mc:Fallback>
        </mc:AlternateContent>
      </w:r>
      <w:r w:rsidR="00CB054C" w:rsidRPr="005970E9">
        <w:rPr>
          <w:lang w:val="es-ES_tradnl"/>
        </w:rPr>
        <w:t>Las condiciones inhumanas y degradantes observadas durante la visita del subcomité para la Prevención de la Tortura y Otros Tratos, no han variado en los últimos años, especialmente en las tasas de hacinamiento en la mayoría de centros del país; así lo expresaron personas entrevistadas para la realización de este perfil, manifestando que el hacinamiento dentro de las cárceles del país impacta de manera diferencial en la vida de las mujeres y los hombres</w:t>
      </w:r>
    </w:p>
    <w:p w14:paraId="5C02A602" w14:textId="77777777" w:rsidR="00E970D6" w:rsidRPr="005970E9" w:rsidRDefault="00CB054C" w:rsidP="00CB054C">
      <w:pPr>
        <w:widowControl w:val="0"/>
        <w:autoSpaceDE w:val="0"/>
        <w:autoSpaceDN w:val="0"/>
        <w:adjustRightInd w:val="0"/>
        <w:spacing w:before="120" w:after="120" w:line="276" w:lineRule="auto"/>
        <w:jc w:val="both"/>
        <w:rPr>
          <w:b/>
          <w:lang w:val="es-ES_tradnl"/>
        </w:rPr>
      </w:pPr>
      <w:r w:rsidRPr="005970E9">
        <w:rPr>
          <w:b/>
          <w:lang w:val="es-ES_tradnl"/>
        </w:rPr>
        <w:t>Detención preventiva</w:t>
      </w:r>
    </w:p>
    <w:p w14:paraId="1B9330A3" w14:textId="24F11DE4" w:rsidR="00CB054C" w:rsidRPr="005970E9" w:rsidRDefault="00CB054C" w:rsidP="00594BB7">
      <w:pPr>
        <w:widowControl w:val="0"/>
        <w:autoSpaceDE w:val="0"/>
        <w:autoSpaceDN w:val="0"/>
        <w:adjustRightInd w:val="0"/>
        <w:spacing w:before="120" w:after="120" w:line="276" w:lineRule="auto"/>
        <w:jc w:val="both"/>
        <w:rPr>
          <w:lang w:val="es-ES_tradnl"/>
        </w:rPr>
      </w:pPr>
      <w:r w:rsidRPr="005970E9">
        <w:rPr>
          <w:lang w:val="es-ES_tradnl"/>
        </w:rPr>
        <w:t xml:space="preserve">En el mes de febrero del </w:t>
      </w:r>
      <w:r w:rsidR="00FB37B6" w:rsidRPr="005970E9">
        <w:rPr>
          <w:lang w:val="es-ES_tradnl"/>
        </w:rPr>
        <w:t xml:space="preserve">año </w:t>
      </w:r>
      <w:r w:rsidRPr="005970E9">
        <w:rPr>
          <w:lang w:val="es-ES_tradnl"/>
        </w:rPr>
        <w:t>2020 hubo un 42%</w:t>
      </w:r>
      <w:r w:rsidRPr="005970E9">
        <w:rPr>
          <w:rStyle w:val="FootnoteReference"/>
          <w:lang w:val="es-ES_tradnl"/>
        </w:rPr>
        <w:footnoteReference w:id="78"/>
      </w:r>
      <w:r w:rsidR="00FB37B6" w:rsidRPr="005970E9">
        <w:rPr>
          <w:lang w:val="es-ES_tradnl"/>
        </w:rPr>
        <w:t xml:space="preserve"> de detención preventiva, </w:t>
      </w:r>
      <w:r w:rsidRPr="005970E9">
        <w:rPr>
          <w:lang w:val="es-ES_tradnl"/>
        </w:rPr>
        <w:t xml:space="preserve">en comparación con el </w:t>
      </w:r>
      <w:r w:rsidR="00FB37B6" w:rsidRPr="005970E9">
        <w:rPr>
          <w:lang w:val="es-ES_tradnl"/>
        </w:rPr>
        <w:t xml:space="preserve">año </w:t>
      </w:r>
      <w:r w:rsidRPr="005970E9">
        <w:rPr>
          <w:lang w:val="es-ES_tradnl"/>
        </w:rPr>
        <w:t>2014, que era del 70%, el descenso debido básicamente a la implementación del sistema penal acusatorio en vez del sistema penal inquisitivo que regía previamente. A pesar que el porcentaje de personas privadas de libertad bajo investigación y detenidas haya disminuido significativamente comparado con años anteriores este porcentaje sigue siendo alto la mora judicial que provoca retrocesos a la hora de impartir justicia, y se recurre poco a las medidas alterna a la privación de libertad cuando se trate de delitos graves.</w:t>
      </w:r>
      <w:r w:rsidRPr="005970E9">
        <w:rPr>
          <w:rStyle w:val="FootnoteReference"/>
          <w:lang w:val="es-ES_tradnl"/>
        </w:rPr>
        <w:footnoteReference w:id="79"/>
      </w:r>
      <w:r w:rsidRPr="005970E9">
        <w:rPr>
          <w:lang w:val="es-ES_tradnl"/>
        </w:rPr>
        <w:t xml:space="preserve">  </w:t>
      </w:r>
    </w:p>
    <w:p w14:paraId="1F331C22" w14:textId="441E4E44" w:rsidR="00CB054C" w:rsidRPr="005970E9" w:rsidRDefault="000B36D8" w:rsidP="000B36D8">
      <w:pPr>
        <w:pStyle w:val="Caption"/>
        <w:rPr>
          <w:rFonts w:ascii="Century Schoolbook" w:hAnsi="Century Schoolbook"/>
          <w:bCs/>
          <w:sz w:val="20"/>
          <w:szCs w:val="20"/>
          <w:lang w:val="es-ES_tradnl"/>
        </w:rPr>
      </w:pPr>
      <w:bookmarkStart w:id="293" w:name="_Toc42549270"/>
      <w:r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973E88" w:rsidRPr="005970E9">
        <w:rPr>
          <w:rFonts w:ascii="Century Schoolbook" w:hAnsi="Century Schoolbook"/>
          <w:noProof/>
          <w:sz w:val="20"/>
          <w:szCs w:val="20"/>
        </w:rPr>
        <w:t>38</w:t>
      </w:r>
      <w:r w:rsidR="00F202BE" w:rsidRPr="005970E9">
        <w:rPr>
          <w:rFonts w:ascii="Century Schoolbook" w:hAnsi="Century Schoolbook"/>
          <w:sz w:val="20"/>
          <w:szCs w:val="20"/>
        </w:rPr>
        <w:fldChar w:fldCharType="end"/>
      </w:r>
      <w:r w:rsidR="00065678" w:rsidRPr="005970E9">
        <w:rPr>
          <w:rFonts w:ascii="Century Schoolbook" w:hAnsi="Century Schoolbook"/>
          <w:sz w:val="20"/>
          <w:szCs w:val="20"/>
        </w:rPr>
        <w:t xml:space="preserve">. </w:t>
      </w:r>
      <w:r w:rsidR="00CB054C" w:rsidRPr="005970E9">
        <w:rPr>
          <w:rFonts w:ascii="Century Schoolbook" w:hAnsi="Century Schoolbook"/>
          <w:bCs/>
          <w:sz w:val="20"/>
          <w:szCs w:val="20"/>
          <w:lang w:val="es-ES_tradnl"/>
        </w:rPr>
        <w:t>Población adulta privada de libertad, según procesada o condenada en porcentaje y por sexo. 2020</w:t>
      </w:r>
      <w:bookmarkEnd w:id="293"/>
    </w:p>
    <w:p w14:paraId="06CB0DDC" w14:textId="153E4C2A"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rFonts w:eastAsiaTheme="minorHAnsi" w:cs="Times New Roman"/>
          <w:noProof/>
        </w:rPr>
        <w:drawing>
          <wp:inline distT="0" distB="0" distL="0" distR="0" wp14:anchorId="1062AA64" wp14:editId="1945CDAE">
            <wp:extent cx="5288280" cy="2209800"/>
            <wp:effectExtent l="0" t="0" r="7620"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6DF6BAB" w14:textId="77777777"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lastRenderedPageBreak/>
        <w:t>Fuente: Elaboración propia a partir de los datos del Ministerio del Gobierno, Dirección General del Sistema Penitenciario. Estadística mensual.</w:t>
      </w:r>
    </w:p>
    <w:p w14:paraId="5F25AB4B" w14:textId="77777777" w:rsidR="00FB37B6" w:rsidRPr="005970E9" w:rsidRDefault="00CB054C" w:rsidP="00CB054C">
      <w:pPr>
        <w:spacing w:before="120" w:after="120" w:line="276" w:lineRule="auto"/>
        <w:jc w:val="both"/>
        <w:rPr>
          <w:b/>
          <w:lang w:val="es-ES_tradnl"/>
        </w:rPr>
      </w:pPr>
      <w:r w:rsidRPr="005970E9">
        <w:rPr>
          <w:b/>
          <w:lang w:val="es-ES_tradnl"/>
        </w:rPr>
        <w:t>Violencia o agresión en el centro penitenciario</w:t>
      </w:r>
    </w:p>
    <w:p w14:paraId="3432422F" w14:textId="20B62887" w:rsidR="00CB054C" w:rsidRPr="005970E9" w:rsidRDefault="00CB054C" w:rsidP="00CB054C">
      <w:pPr>
        <w:spacing w:before="120" w:after="120" w:line="276" w:lineRule="auto"/>
        <w:jc w:val="both"/>
        <w:rPr>
          <w:lang w:val="es-ES_tradnl"/>
        </w:rPr>
      </w:pPr>
      <w:r w:rsidRPr="005970E9">
        <w:rPr>
          <w:lang w:val="es-ES_tradnl"/>
        </w:rPr>
        <w:t xml:space="preserve">Tal como muestra el cuadro que sigue es muy grave que un 21% de las mujeres privadas de libertad reporten haber sufrido violencia o agresión (agresión física un 10% y en un 11% psicológica), frente a un 9% de los hombres, pero aún es más grave en el caso de 31 mujeres cuya agresión fue de parte del equipo vigilante que deberían velar por el cumplimiento de sus derechos.  </w:t>
      </w:r>
    </w:p>
    <w:p w14:paraId="0721CE5C" w14:textId="5C7CD80A" w:rsidR="00CB054C" w:rsidRPr="005970E9" w:rsidRDefault="00CB054C" w:rsidP="00CB054C">
      <w:pPr>
        <w:spacing w:before="120" w:after="120" w:line="276" w:lineRule="auto"/>
        <w:jc w:val="both"/>
        <w:rPr>
          <w:lang w:val="es-ES_tradnl"/>
        </w:rPr>
      </w:pPr>
      <w:r w:rsidRPr="005970E9">
        <w:rPr>
          <w:lang w:val="es-ES_tradnl"/>
        </w:rPr>
        <w:t>Entre las mujeres que han sufrido algún tipo de violencia, solo un 39.7% lo denunció, frente a un 60.3% que no hizo nada a pesar de haber sufrido la agresión (Censo. 2018)</w:t>
      </w:r>
      <w:r w:rsidR="00FB37B6" w:rsidRPr="005970E9">
        <w:rPr>
          <w:lang w:val="es-ES_tradnl"/>
        </w:rPr>
        <w:t>.</w:t>
      </w:r>
    </w:p>
    <w:p w14:paraId="36F64543" w14:textId="05B53C24" w:rsidR="00CB054C" w:rsidRPr="005970E9" w:rsidRDefault="008A61AF" w:rsidP="00065678">
      <w:pPr>
        <w:pStyle w:val="Caption"/>
        <w:rPr>
          <w:rFonts w:ascii="Century Schoolbook" w:hAnsi="Century Schoolbook"/>
          <w:i w:val="0"/>
          <w:iCs w:val="0"/>
          <w:sz w:val="20"/>
          <w:szCs w:val="20"/>
          <w:lang w:val="es-ES_tradnl"/>
        </w:rPr>
      </w:pPr>
      <w:bookmarkStart w:id="294" w:name="_Toc42549225"/>
      <w:r w:rsidRPr="005970E9">
        <w:rPr>
          <w:rFonts w:ascii="Century Schoolbook" w:hAnsi="Century Schoolbook"/>
          <w:i w:val="0"/>
          <w:iCs w:val="0"/>
          <w:sz w:val="20"/>
          <w:szCs w:val="20"/>
        </w:rPr>
        <w:t>Tabla</w:t>
      </w:r>
      <w:r w:rsidR="00065678" w:rsidRPr="005970E9">
        <w:rPr>
          <w:rFonts w:ascii="Century Schoolbook" w:hAnsi="Century Schoolbook"/>
          <w:i w:val="0"/>
          <w:iCs w:val="0"/>
          <w:sz w:val="20"/>
          <w:szCs w:val="20"/>
        </w:rPr>
        <w:t xml:space="preserve">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0E7B3A">
        <w:rPr>
          <w:rFonts w:ascii="Century Schoolbook" w:hAnsi="Century Schoolbook"/>
          <w:i w:val="0"/>
          <w:iCs w:val="0"/>
          <w:noProof/>
          <w:sz w:val="20"/>
          <w:szCs w:val="20"/>
        </w:rPr>
        <w:t>31</w:t>
      </w:r>
      <w:r w:rsidRPr="005970E9">
        <w:rPr>
          <w:rFonts w:ascii="Century Schoolbook" w:hAnsi="Century Schoolbook"/>
          <w:i w:val="0"/>
          <w:iCs w:val="0"/>
          <w:sz w:val="20"/>
          <w:szCs w:val="20"/>
        </w:rPr>
        <w:fldChar w:fldCharType="end"/>
      </w:r>
      <w:r w:rsidR="00065678" w:rsidRPr="005970E9">
        <w:rPr>
          <w:rFonts w:ascii="Century Schoolbook" w:hAnsi="Century Schoolbook"/>
          <w:i w:val="0"/>
          <w:iCs w:val="0"/>
          <w:sz w:val="20"/>
          <w:szCs w:val="20"/>
        </w:rPr>
        <w:t xml:space="preserve">. </w:t>
      </w:r>
      <w:r w:rsidR="00CB054C" w:rsidRPr="005970E9">
        <w:rPr>
          <w:rFonts w:ascii="Century Schoolbook" w:hAnsi="Century Schoolbook"/>
          <w:i w:val="0"/>
          <w:iCs w:val="0"/>
          <w:sz w:val="20"/>
          <w:szCs w:val="20"/>
          <w:lang w:val="es-ES_tradnl"/>
        </w:rPr>
        <w:t>Población adulta privada de libertad, por sexo, según si ha sufrido algún tipo de violencia o agresión.  2018</w:t>
      </w:r>
      <w:bookmarkEnd w:id="294"/>
    </w:p>
    <w:p w14:paraId="20CBEAC4" w14:textId="56DEC513" w:rsidR="00CB054C" w:rsidRPr="005970E9" w:rsidRDefault="00CB054C" w:rsidP="00CB054C">
      <w:pPr>
        <w:spacing w:before="120" w:after="120" w:line="276" w:lineRule="auto"/>
        <w:jc w:val="center"/>
        <w:rPr>
          <w:lang w:val="es-ES_tradnl"/>
        </w:rPr>
      </w:pPr>
      <w:r w:rsidRPr="005970E9">
        <w:rPr>
          <w:noProof/>
        </w:rPr>
        <w:drawing>
          <wp:inline distT="0" distB="0" distL="0" distR="0" wp14:anchorId="342F7D92" wp14:editId="313845E9">
            <wp:extent cx="4884420" cy="23241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84420" cy="2324100"/>
                    </a:xfrm>
                    <a:prstGeom prst="rect">
                      <a:avLst/>
                    </a:prstGeom>
                    <a:noFill/>
                    <a:ln>
                      <a:noFill/>
                    </a:ln>
                  </pic:spPr>
                </pic:pic>
              </a:graphicData>
            </a:graphic>
          </wp:inline>
        </w:drawing>
      </w:r>
    </w:p>
    <w:p w14:paraId="49FA295C" w14:textId="77777777" w:rsidR="00CB054C" w:rsidRPr="005970E9" w:rsidRDefault="00CB054C" w:rsidP="00594BB7">
      <w:pPr>
        <w:widowControl w:val="0"/>
        <w:autoSpaceDE w:val="0"/>
        <w:autoSpaceDN w:val="0"/>
        <w:adjustRightInd w:val="0"/>
        <w:spacing w:after="120" w:line="276" w:lineRule="auto"/>
        <w:jc w:val="both"/>
        <w:rPr>
          <w:lang w:val="es-ES_tradnl"/>
        </w:rPr>
      </w:pPr>
      <w:r w:rsidRPr="005970E9">
        <w:rPr>
          <w:lang w:val="es-ES_tradnl"/>
        </w:rPr>
        <w:t>Fuente: Elaboración propia, basada en el Censo de adultos privados de libertad a nivel nacional. Panamá. 2018</w:t>
      </w:r>
    </w:p>
    <w:p w14:paraId="1D118531" w14:textId="3A1B98C9" w:rsidR="00CB054C" w:rsidRPr="005970E9" w:rsidRDefault="00CB054C" w:rsidP="00D478B6">
      <w:pPr>
        <w:pStyle w:val="Heading3"/>
        <w:numPr>
          <w:ilvl w:val="2"/>
          <w:numId w:val="56"/>
        </w:numPr>
        <w:spacing w:before="120" w:line="276" w:lineRule="auto"/>
      </w:pPr>
      <w:bookmarkStart w:id="295" w:name="_Toc42159249"/>
      <w:bookmarkStart w:id="296" w:name="_Toc42549480"/>
      <w:r w:rsidRPr="005970E9">
        <w:t>Rehabilitación y reinserción social.</w:t>
      </w:r>
      <w:bookmarkEnd w:id="295"/>
      <w:bookmarkEnd w:id="296"/>
    </w:p>
    <w:p w14:paraId="442F6950" w14:textId="77777777" w:rsidR="00CB054C" w:rsidRPr="005970E9" w:rsidRDefault="00CB054C" w:rsidP="00CB054C">
      <w:pPr>
        <w:widowControl w:val="0"/>
        <w:autoSpaceDE w:val="0"/>
        <w:autoSpaceDN w:val="0"/>
        <w:adjustRightInd w:val="0"/>
        <w:spacing w:before="120" w:after="120" w:line="276" w:lineRule="auto"/>
        <w:jc w:val="both"/>
        <w:rPr>
          <w:color w:val="000000" w:themeColor="text1"/>
          <w:lang w:val="es-ES_tradnl"/>
        </w:rPr>
      </w:pPr>
      <w:r w:rsidRPr="005970E9">
        <w:rPr>
          <w:color w:val="000000" w:themeColor="text1"/>
          <w:lang w:val="es-ES_tradnl"/>
        </w:rPr>
        <w:t>El Sistema Penitenciario desarrolla diferentes programas y proyectos en mira de la rehabilitación y reinserción social de las personas PL, programas intramuros y extramuro buscando tener un impacto a nivel individual y social. La finalidad es resocializar a dichas personas y que regresen a su vida cotidiana alejadas de la delincuencia.</w:t>
      </w:r>
    </w:p>
    <w:p w14:paraId="69E80AF6" w14:textId="77777777" w:rsidR="00CB054C" w:rsidRPr="005970E9" w:rsidRDefault="00CB054C" w:rsidP="00CB054C">
      <w:pPr>
        <w:widowControl w:val="0"/>
        <w:autoSpaceDE w:val="0"/>
        <w:autoSpaceDN w:val="0"/>
        <w:adjustRightInd w:val="0"/>
        <w:spacing w:before="120" w:after="120" w:line="276" w:lineRule="auto"/>
        <w:jc w:val="both"/>
        <w:rPr>
          <w:color w:val="000000" w:themeColor="text1"/>
          <w:lang w:val="es-ES_tradnl"/>
        </w:rPr>
      </w:pPr>
      <w:r w:rsidRPr="005970E9">
        <w:rPr>
          <w:color w:val="000000" w:themeColor="text1"/>
          <w:lang w:val="es-ES_tradnl"/>
        </w:rPr>
        <w:t xml:space="preserve">Algunos de estos programas han sido desarrollados con al apoyo de proyectos tales como: Programa de Cooperación en Seguridad con Panamá financiado por la Unión Europea (SECOPA) cuyo objetivo es el fortalecimiento de los sectores de seguridad y justicia del país. Este Programa estuvo alineado con los ejes de la Estrategia de Seguridad Ciudadana, ha sido implementado por la Oficina Regional de las Naciones Unidas contra </w:t>
      </w:r>
      <w:r w:rsidRPr="005970E9">
        <w:rPr>
          <w:color w:val="000000" w:themeColor="text1"/>
          <w:lang w:val="es-ES_tradnl"/>
        </w:rPr>
        <w:lastRenderedPageBreak/>
        <w:t xml:space="preserve">la Droga y el Delito (UNODC) con sede regional en Panamá. </w:t>
      </w:r>
      <w:r w:rsidRPr="005970E9">
        <w:rPr>
          <w:rStyle w:val="FootnoteReference"/>
          <w:color w:val="000000" w:themeColor="text1"/>
          <w:lang w:val="es-ES_tradnl"/>
        </w:rPr>
        <w:footnoteReference w:id="80"/>
      </w:r>
    </w:p>
    <w:p w14:paraId="05F96499" w14:textId="47690225" w:rsidR="00CB054C" w:rsidRPr="005970E9" w:rsidRDefault="00CB054C" w:rsidP="00CB054C">
      <w:pPr>
        <w:widowControl w:val="0"/>
        <w:autoSpaceDE w:val="0"/>
        <w:autoSpaceDN w:val="0"/>
        <w:adjustRightInd w:val="0"/>
        <w:spacing w:before="120" w:after="120" w:line="276" w:lineRule="auto"/>
        <w:jc w:val="both"/>
        <w:rPr>
          <w:color w:val="000000" w:themeColor="text1"/>
          <w:lang w:val="es-ES_tradnl"/>
        </w:rPr>
      </w:pPr>
      <w:r w:rsidRPr="005970E9">
        <w:rPr>
          <w:color w:val="000000" w:themeColor="text1"/>
          <w:lang w:val="es-ES_tradnl"/>
        </w:rPr>
        <w:t xml:space="preserve">Durante el periodo </w:t>
      </w:r>
      <w:r w:rsidR="00FB37B6" w:rsidRPr="005970E9">
        <w:rPr>
          <w:color w:val="000000" w:themeColor="text1"/>
          <w:lang w:val="es-ES_tradnl"/>
        </w:rPr>
        <w:t xml:space="preserve">en </w:t>
      </w:r>
      <w:r w:rsidRPr="005970E9">
        <w:rPr>
          <w:color w:val="000000" w:themeColor="text1"/>
          <w:lang w:val="es-ES_tradnl"/>
        </w:rPr>
        <w:t>que se desarrolló este proyecto se realizaron varias investigaciones</w:t>
      </w:r>
      <w:r w:rsidRPr="005970E9">
        <w:rPr>
          <w:rStyle w:val="FootnoteReference"/>
          <w:color w:val="000000" w:themeColor="text1"/>
          <w:lang w:val="es-ES_tradnl"/>
        </w:rPr>
        <w:footnoteReference w:id="81"/>
      </w:r>
      <w:r w:rsidRPr="005970E9">
        <w:rPr>
          <w:color w:val="000000" w:themeColor="text1"/>
          <w:lang w:val="es-ES_tradnl"/>
        </w:rPr>
        <w:t xml:space="preserve"> con enfoque de género, de cuyos resultados surgió el Programa Especial de Atención para Mujeres Privadas de Libertad, que tenía entre sus objetivos “realizar actividades de atención específica para la adaptación gradual de la mujer al medio social, con particularidades específicas de su género, velando por el cumplimiento de las Reglas de Bangkok, especialmente en lo relativo a las relaciones entre madre-hijo en prisión Este programa  contempla la atención técnica y profesional, entre los que se merece destacar el de “Educación académica, el Trabajo productivo y la salud”. Entre los Programas específicos están los de atención de las adicciones, sexualidad, violencia de género, y competencias sociales, entre otros así lo recoge la presentación del programa en la página web del Ministerio de Gobierno.</w:t>
      </w:r>
      <w:r w:rsidRPr="005970E9">
        <w:rPr>
          <w:rStyle w:val="FootnoteReference"/>
          <w:color w:val="000000" w:themeColor="text1"/>
          <w:lang w:val="es-ES_tradnl"/>
        </w:rPr>
        <w:footnoteReference w:id="82"/>
      </w:r>
      <w:r w:rsidRPr="005970E9">
        <w:rPr>
          <w:color w:val="000000" w:themeColor="text1"/>
          <w:lang w:val="es-ES_tradnl"/>
        </w:rPr>
        <w:t xml:space="preserve">. </w:t>
      </w:r>
    </w:p>
    <w:p w14:paraId="4B950445" w14:textId="77777777" w:rsidR="00CB054C" w:rsidRPr="005970E9" w:rsidRDefault="00CB054C" w:rsidP="00CB054C">
      <w:pPr>
        <w:widowControl w:val="0"/>
        <w:autoSpaceDE w:val="0"/>
        <w:autoSpaceDN w:val="0"/>
        <w:adjustRightInd w:val="0"/>
        <w:spacing w:before="120" w:after="120" w:line="276" w:lineRule="auto"/>
        <w:jc w:val="both"/>
        <w:rPr>
          <w:color w:val="000000" w:themeColor="text1"/>
          <w:lang w:val="es-ES_tradnl"/>
        </w:rPr>
      </w:pPr>
      <w:r w:rsidRPr="005970E9">
        <w:rPr>
          <w:color w:val="000000" w:themeColor="text1"/>
          <w:lang w:val="es-ES_tradnl"/>
        </w:rPr>
        <w:t>Esta oferta de programas diversos busca atender problemáticas específicas detectadas por los equipos técnicos, con miras al mejoramiento de la situación y generar en la mujer potenciales para su propio desarrollo integral y su autoestima.”</w:t>
      </w:r>
      <w:r w:rsidRPr="005970E9">
        <w:rPr>
          <w:rStyle w:val="FootnoteReference"/>
          <w:color w:val="000000" w:themeColor="text1"/>
          <w:lang w:val="es-ES_tradnl"/>
        </w:rPr>
        <w:footnoteReference w:id="83"/>
      </w:r>
    </w:p>
    <w:p w14:paraId="2ED197DF" w14:textId="52D283BE" w:rsidR="00CB054C" w:rsidRPr="005970E9" w:rsidRDefault="00CB054C" w:rsidP="281BE7A6">
      <w:pPr>
        <w:widowControl w:val="0"/>
        <w:autoSpaceDE w:val="0"/>
        <w:autoSpaceDN w:val="0"/>
        <w:adjustRightInd w:val="0"/>
        <w:spacing w:before="120" w:after="120" w:line="276" w:lineRule="auto"/>
        <w:jc w:val="both"/>
        <w:rPr>
          <w:color w:val="000000" w:themeColor="text1"/>
          <w:lang w:val="es-ES"/>
        </w:rPr>
      </w:pPr>
      <w:r w:rsidRPr="005970E9">
        <w:rPr>
          <w:color w:val="000000" w:themeColor="text1"/>
          <w:lang w:val="es-ES"/>
        </w:rPr>
        <w:t xml:space="preserve">Algunos toman en cuenta el trabajo que desde una perspectiva de género se realizó con anterioridad. Cabe mencionar el denominado </w:t>
      </w:r>
      <w:r w:rsidR="00B2458F" w:rsidRPr="005970E9">
        <w:rPr>
          <w:color w:val="000000" w:themeColor="text1"/>
          <w:lang w:val="es-ES"/>
        </w:rPr>
        <w:t>“</w:t>
      </w:r>
      <w:r w:rsidRPr="005970E9">
        <w:rPr>
          <w:color w:val="000000" w:themeColor="text1"/>
          <w:lang w:val="es-ES"/>
        </w:rPr>
        <w:t>IntegrArte”, donde participan hombre</w:t>
      </w:r>
      <w:r w:rsidR="37EDD896" w:rsidRPr="005970E9">
        <w:rPr>
          <w:color w:val="000000" w:themeColor="text1"/>
          <w:lang w:val="es-ES"/>
        </w:rPr>
        <w:t>s</w:t>
      </w:r>
      <w:r w:rsidRPr="005970E9">
        <w:rPr>
          <w:color w:val="000000" w:themeColor="text1"/>
          <w:lang w:val="es-ES"/>
        </w:rPr>
        <w:t xml:space="preserve"> y mujeres. Es el primer programa penitenciario que tiene la finalidad de resocializar a las personas privadas de libertad participantes con un enfoque de derechos humanos y de género, a través del desarrollo y comercialización de productos artesanales de calidad, con valor artístico y funcional, elaborados dentro de los centros penales. “</w:t>
      </w:r>
      <w:r w:rsidRPr="005970E9">
        <w:rPr>
          <w:rStyle w:val="FootnoteReference"/>
          <w:color w:val="000000" w:themeColor="text1"/>
          <w:lang w:val="es-ES"/>
        </w:rPr>
        <w:footnoteReference w:id="84"/>
      </w:r>
    </w:p>
    <w:p w14:paraId="39BC0075" w14:textId="77777777" w:rsidR="00CB054C" w:rsidRPr="005970E9" w:rsidRDefault="00CB054C" w:rsidP="00CB054C">
      <w:pPr>
        <w:widowControl w:val="0"/>
        <w:autoSpaceDE w:val="0"/>
        <w:autoSpaceDN w:val="0"/>
        <w:adjustRightInd w:val="0"/>
        <w:spacing w:before="120" w:after="120" w:line="276" w:lineRule="auto"/>
        <w:jc w:val="both"/>
        <w:rPr>
          <w:color w:val="000000" w:themeColor="text1"/>
          <w:lang w:val="es-ES_tradnl"/>
        </w:rPr>
      </w:pPr>
      <w:r w:rsidRPr="005970E9">
        <w:rPr>
          <w:color w:val="000000" w:themeColor="text1"/>
          <w:lang w:val="es-ES_tradnl"/>
        </w:rPr>
        <w:t xml:space="preserve">Otros de los programas de resocializan desarrollados por el Sistema Penitenciario es “Detrás del Muro”, obra musical que se realizó en CEFERE donde las participantes cuentan sus experiencias de vida dentro del penal, a través del canto y el teatro. </w:t>
      </w:r>
    </w:p>
    <w:p w14:paraId="7C6A560D" w14:textId="708AEBAC" w:rsidR="00CB054C" w:rsidRPr="005970E9" w:rsidRDefault="00CB054C" w:rsidP="00CB054C">
      <w:pPr>
        <w:widowControl w:val="0"/>
        <w:autoSpaceDE w:val="0"/>
        <w:autoSpaceDN w:val="0"/>
        <w:adjustRightInd w:val="0"/>
        <w:spacing w:before="120" w:after="120" w:line="276" w:lineRule="auto"/>
        <w:jc w:val="both"/>
        <w:rPr>
          <w:color w:val="000000" w:themeColor="text1"/>
          <w:lang w:val="es-ES_tradnl"/>
        </w:rPr>
      </w:pPr>
      <w:r w:rsidRPr="005970E9">
        <w:rPr>
          <w:color w:val="000000" w:themeColor="text1"/>
          <w:lang w:val="es-ES_tradnl"/>
        </w:rPr>
        <w:t>Este proyecto tiene una doble dimensión, la primera busca impactar en el plano personal de las privadas de libertad, aumentar el sentido de valía y autoestima, que se vean como artistas, que se sientan parte de una sociedad y que tengan algo que aportar pese a las circunstancias personales actuales. Y la segunda, busca generar conciencia en la sociedad sobre todo dentro de la juventud, trasladándoles las adversidades que se viven en un centro penal y de esta forma hacer trabajo preventivo contra el delito.</w:t>
      </w:r>
    </w:p>
    <w:p w14:paraId="167430DA" w14:textId="77777777" w:rsidR="00CB054C" w:rsidRPr="005970E9" w:rsidRDefault="00CB054C" w:rsidP="00CB054C">
      <w:pPr>
        <w:widowControl w:val="0"/>
        <w:autoSpaceDE w:val="0"/>
        <w:autoSpaceDN w:val="0"/>
        <w:adjustRightInd w:val="0"/>
        <w:spacing w:before="120" w:after="120" w:line="276" w:lineRule="auto"/>
        <w:jc w:val="both"/>
        <w:rPr>
          <w:color w:val="000000" w:themeColor="text1"/>
          <w:lang w:val="es-ES_tradnl"/>
        </w:rPr>
      </w:pPr>
      <w:r w:rsidRPr="005970E9">
        <w:rPr>
          <w:color w:val="000000" w:themeColor="text1"/>
          <w:lang w:val="es-ES_tradnl"/>
        </w:rPr>
        <w:t xml:space="preserve">En el programa ‘Mi Voz para tus Ojos (MVO)’ en alianza con SENADIS, desarrollado por el mismo centro, se inició en el 2006 con 25 mujeres PL que prestan su voz para </w:t>
      </w:r>
      <w:r w:rsidRPr="005970E9">
        <w:rPr>
          <w:color w:val="000000" w:themeColor="text1"/>
          <w:lang w:val="es-ES_tradnl"/>
        </w:rPr>
        <w:lastRenderedPageBreak/>
        <w:t xml:space="preserve">grabar audiolibros para personas con discapacidad audiovisual. Las mujeres que participan son capacitadas para que adquieran habilidades de locución, laborales, lectoras, locutoras y también se trabaja en el plano personal. </w:t>
      </w:r>
    </w:p>
    <w:p w14:paraId="0282E60E" w14:textId="0637781B" w:rsidR="00CB054C" w:rsidRPr="005970E9" w:rsidRDefault="00CB054C" w:rsidP="00195C8F">
      <w:pPr>
        <w:widowControl w:val="0"/>
        <w:autoSpaceDE w:val="0"/>
        <w:autoSpaceDN w:val="0"/>
        <w:adjustRightInd w:val="0"/>
        <w:spacing w:before="120" w:after="120" w:line="276" w:lineRule="auto"/>
        <w:jc w:val="both"/>
        <w:rPr>
          <w:color w:val="000000" w:themeColor="text1"/>
          <w:lang w:val="es-ES"/>
        </w:rPr>
      </w:pPr>
      <w:r w:rsidRPr="005970E9">
        <w:rPr>
          <w:color w:val="000000" w:themeColor="text1"/>
          <w:lang w:val="es-ES"/>
        </w:rPr>
        <w:t>En relación con los hombres, el Sistema Penitenciario cuenta con proyectos como: “Mi silla Primero” y “Mi Escuela Primero” en convenio con el MEDUCA</w:t>
      </w:r>
      <w:r w:rsidR="00B2458F" w:rsidRPr="005970E9">
        <w:rPr>
          <w:color w:val="000000" w:themeColor="text1"/>
          <w:lang w:val="es-ES"/>
        </w:rPr>
        <w:t>,</w:t>
      </w:r>
      <w:r w:rsidRPr="005970E9">
        <w:rPr>
          <w:color w:val="000000" w:themeColor="text1"/>
          <w:lang w:val="es-ES"/>
        </w:rPr>
        <w:t xml:space="preserve"> consiste en la reparación de sillas escolares y el mantenimiento de los centros educativos y las sedes regionales del Ministerio de Educación.  Otros proyectos tienen en común el cuidado y la relación con el medio ambiente como:  Proyecto agrícola Granja 2000, Sembrando Paz-Reforestando Vidas y </w:t>
      </w:r>
      <w:r w:rsidR="00B2458F" w:rsidRPr="005970E9">
        <w:rPr>
          <w:color w:val="000000" w:themeColor="text1"/>
          <w:lang w:val="es-ES"/>
        </w:rPr>
        <w:t>Ecosólido</w:t>
      </w:r>
      <w:r w:rsidRPr="005970E9">
        <w:rPr>
          <w:color w:val="000000" w:themeColor="text1"/>
          <w:lang w:val="es-ES"/>
        </w:rPr>
        <w:t xml:space="preserve"> (reciclaje). En todos estos proyectos se adquieren conocimientos que los participantes pueden aplicar una vez que salen en libertad.</w:t>
      </w:r>
    </w:p>
    <w:p w14:paraId="72C045CE" w14:textId="021A16C0" w:rsidR="00CB054C" w:rsidRPr="005970E9" w:rsidRDefault="00065678" w:rsidP="00CB054C">
      <w:pPr>
        <w:widowControl w:val="0"/>
        <w:autoSpaceDE w:val="0"/>
        <w:autoSpaceDN w:val="0"/>
        <w:adjustRightInd w:val="0"/>
        <w:spacing w:before="120" w:after="120" w:line="276" w:lineRule="auto"/>
        <w:jc w:val="both"/>
        <w:rPr>
          <w:b/>
          <w:lang w:val="es-ES_tradnl"/>
        </w:rPr>
      </w:pPr>
      <w:r w:rsidRPr="005970E9">
        <w:rPr>
          <w:noProof/>
        </w:rPr>
        <mc:AlternateContent>
          <mc:Choice Requires="wps">
            <w:drawing>
              <wp:anchor distT="45720" distB="45720" distL="114300" distR="114300" simplePos="0" relativeHeight="251762729" behindDoc="1" locked="0" layoutInCell="1" allowOverlap="1" wp14:anchorId="575B2C69" wp14:editId="19FF6A38">
                <wp:simplePos x="0" y="0"/>
                <wp:positionH relativeFrom="column">
                  <wp:posOffset>2649855</wp:posOffset>
                </wp:positionH>
                <wp:positionV relativeFrom="paragraph">
                  <wp:posOffset>955675</wp:posOffset>
                </wp:positionV>
                <wp:extent cx="3133725" cy="4086225"/>
                <wp:effectExtent l="0" t="0" r="28575" b="28575"/>
                <wp:wrapTight wrapText="bothSides">
                  <wp:wrapPolygon edited="0">
                    <wp:start x="0" y="0"/>
                    <wp:lineTo x="0" y="21650"/>
                    <wp:lineTo x="21666" y="21650"/>
                    <wp:lineTo x="21666" y="0"/>
                    <wp:lineTo x="0" y="0"/>
                  </wp:wrapPolygon>
                </wp:wrapTight>
                <wp:docPr id="244" name="Cuadro de texto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086225"/>
                        </a:xfrm>
                        <a:prstGeom prst="rect">
                          <a:avLst/>
                        </a:prstGeom>
                        <a:solidFill>
                          <a:srgbClr val="FFFFFF"/>
                        </a:solidFill>
                        <a:ln w="9525">
                          <a:solidFill>
                            <a:srgbClr val="7030A0"/>
                          </a:solidFill>
                          <a:miter lim="800000"/>
                          <a:headEnd/>
                          <a:tailEnd/>
                        </a:ln>
                      </wps:spPr>
                      <wps:txbx>
                        <w:txbxContent>
                          <w:p w14:paraId="7991BD3F"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En el año 2018 el Comité de los Derechos de los Niños le reitera al estado panameño lo siguiente en cuanto a la “</w:t>
                            </w:r>
                            <w:r>
                              <w:rPr>
                                <w:b/>
                                <w:sz w:val="20"/>
                                <w:szCs w:val="20"/>
                                <w:lang w:val="es-ES_tradnl"/>
                              </w:rPr>
                              <w:t xml:space="preserve">Administración de la justicia juvenil”: </w:t>
                            </w:r>
                          </w:p>
                          <w:p w14:paraId="67161AFC"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Eleve la edad mínima de responsabilidad penal hasta un nivel aceptado internacionalmente;</w:t>
                            </w:r>
                          </w:p>
                          <w:p w14:paraId="5616348D"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Restituya la disposición por la que se prohíbe la prórroga de la detención provisional sin excepciones;</w:t>
                            </w:r>
                          </w:p>
                          <w:p w14:paraId="2CEADA7E"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Garantice a los niños en conflicto con la ley acceso a asistencia letrada cualificada e independiente desde las etapas iniciales y a lo largo de todo el proceso judicial;</w:t>
                            </w:r>
                          </w:p>
                          <w:p w14:paraId="48CCE25F"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xml:space="preserve">- Siga promoviendo medidas no judiciales en el caso de niños acusados de delitos penales ampliando el programa de medidas reeducativas con medidas de remisión, mediación y asesoramiento y haciendo uso de medidas alternativas a la imposición de penas, como la libertad a prueba o trabajos comunitarios, siempre que sea posible; </w:t>
                            </w:r>
                          </w:p>
                          <w:p w14:paraId="7715451A"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xml:space="preserve">- Vele por que la detención se use como medida de último recurso y por un período de tiempo lo más breve posible, y porque se examine de manera periódica con miras a revocarla. </w:t>
                            </w:r>
                          </w:p>
                          <w:p w14:paraId="0608FA8C" w14:textId="77777777" w:rsidR="00DC0EAB" w:rsidRDefault="00DC0EAB" w:rsidP="00CB054C">
                            <w:pPr>
                              <w:shd w:val="clear" w:color="auto" w:fill="CCC0D9" w:themeFill="accent4" w:themeFillTint="66"/>
                              <w:rPr>
                                <w:rFonts w:asciiTheme="minorHAnsi" w:hAnsiTheme="minorHAnsi"/>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B2C69" id="Cuadro de texto 82" o:spid="_x0000_s1044" type="#_x0000_t202" style="position:absolute;left:0;text-align:left;margin-left:208.65pt;margin-top:75.25pt;width:246.75pt;height:321.75pt;z-index:-2515537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" strokecolor="#7030a0">
                <v:textbox>
                  <w:txbxContent>
                    <w:p w14:paraId="7991BD3F"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En el año 2018 el Comité de los Derechos de los Niños le reitera al estado panameño lo siguiente en cuanto a la “</w:t>
                      </w:r>
                      <w:r>
                        <w:rPr>
                          <w:b/>
                          <w:sz w:val="20"/>
                          <w:szCs w:val="20"/>
                          <w:lang w:val="es-ES_tradnl"/>
                        </w:rPr>
                        <w:t xml:space="preserve">Administración de la justicia juvenil”: </w:t>
                      </w:r>
                    </w:p>
                    <w:p w14:paraId="67161AFC"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Eleve la edad mínima de responsabilidad penal hasta un nivel aceptado internacionalmente;</w:t>
                      </w:r>
                    </w:p>
                    <w:p w14:paraId="5616348D"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Restituya la disposición por la que se prohíbe la prórroga de la detención provisional sin excepciones;</w:t>
                      </w:r>
                    </w:p>
                    <w:p w14:paraId="2CEADA7E"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Garantice a los niños en conflicto con la ley acceso a asistencia letrada cualificada e independiente desde las etapas iniciales y a lo largo de todo el proceso judicial;</w:t>
                      </w:r>
                    </w:p>
                    <w:p w14:paraId="48CCE25F"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xml:space="preserve">- Siga promoviendo medidas no judiciales en el caso de niños acusados de delitos penales ampliando el programa de medidas reeducativas con medidas de remisión, mediación y asesoramiento y haciendo uso de medidas alternativas a la imposición de penas, como la libertad a prueba o trabajos comunitarios, siempre que sea posible; </w:t>
                      </w:r>
                    </w:p>
                    <w:p w14:paraId="7715451A"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xml:space="preserve">- Vele por que la detención se use como medida de último recurso y por un período de tiempo lo más breve posible, y porque se examine de manera periódica con miras a revocarla. </w:t>
                      </w:r>
                    </w:p>
                    <w:p w14:paraId="0608FA8C" w14:textId="77777777" w:rsidR="00DC0EAB" w:rsidRDefault="00DC0EAB" w:rsidP="00CB054C">
                      <w:pPr>
                        <w:shd w:val="clear" w:color="auto" w:fill="CCC0D9" w:themeFill="accent4" w:themeFillTint="66"/>
                        <w:rPr>
                          <w:rFonts w:asciiTheme="minorHAnsi" w:hAnsiTheme="minorHAnsi"/>
                          <w:lang w:val="es-ES_tradnl"/>
                        </w:rPr>
                      </w:pPr>
                    </w:p>
                  </w:txbxContent>
                </v:textbox>
                <w10:wrap type="tight"/>
              </v:shape>
            </w:pict>
          </mc:Fallback>
        </mc:AlternateContent>
      </w:r>
      <w:r w:rsidRPr="005970E9">
        <w:rPr>
          <w:noProof/>
        </w:rPr>
        <mc:AlternateContent>
          <mc:Choice Requires="wps">
            <w:drawing>
              <wp:anchor distT="45720" distB="45720" distL="114300" distR="114300" simplePos="0" relativeHeight="251658271" behindDoc="1" locked="0" layoutInCell="1" allowOverlap="1" wp14:anchorId="575B2C69" wp14:editId="19FF6A38">
                <wp:simplePos x="0" y="0"/>
                <wp:positionH relativeFrom="column">
                  <wp:posOffset>2649855</wp:posOffset>
                </wp:positionH>
                <wp:positionV relativeFrom="paragraph">
                  <wp:posOffset>955675</wp:posOffset>
                </wp:positionV>
                <wp:extent cx="3133725" cy="4086225"/>
                <wp:effectExtent l="0" t="0" r="28575" b="28575"/>
                <wp:wrapTight wrapText="bothSides">
                  <wp:wrapPolygon edited="0">
                    <wp:start x="0" y="0"/>
                    <wp:lineTo x="0" y="21650"/>
                    <wp:lineTo x="21666" y="21650"/>
                    <wp:lineTo x="21666" y="0"/>
                    <wp:lineTo x="0" y="0"/>
                  </wp:wrapPolygon>
                </wp:wrapTight>
                <wp:docPr id="82" name="Cuadro de texto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086225"/>
                        </a:xfrm>
                        <a:prstGeom prst="rect">
                          <a:avLst/>
                        </a:prstGeom>
                        <a:solidFill>
                          <a:srgbClr val="FFFFFF"/>
                        </a:solidFill>
                        <a:ln w="9525">
                          <a:solidFill>
                            <a:srgbClr val="7030A0"/>
                          </a:solidFill>
                          <a:miter lim="800000"/>
                          <a:headEnd/>
                          <a:tailEnd/>
                        </a:ln>
                      </wps:spPr>
                      <wps:txbx>
                        <w:txbxContent>
                          <w:p w14:paraId="6A956325"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En el año 2018 el Comité de los Derechos de los Niños le reitera al estado panameño lo siguiente en cuanto a la “</w:t>
                            </w:r>
                            <w:r>
                              <w:rPr>
                                <w:b/>
                                <w:sz w:val="20"/>
                                <w:szCs w:val="20"/>
                                <w:lang w:val="es-ES_tradnl"/>
                              </w:rPr>
                              <w:t xml:space="preserve">Administración de la justicia juvenil”: </w:t>
                            </w:r>
                          </w:p>
                          <w:p w14:paraId="0009771C"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Eleve la edad mínima de responsabilidad penal hasta un nivel aceptado internacionalmente;</w:t>
                            </w:r>
                          </w:p>
                          <w:p w14:paraId="062B1989"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Restituya la disposición por la que se prohíbe la prórroga de la detención provisional sin excepciones;</w:t>
                            </w:r>
                          </w:p>
                          <w:p w14:paraId="3E7F3E44"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Garantice a los niños en conflicto con la ley acceso a asistencia letrada cualificada e independiente desde las etapas iniciales y a lo largo de todo el proceso judicial;</w:t>
                            </w:r>
                          </w:p>
                          <w:p w14:paraId="32847F41"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xml:space="preserve">- Siga promoviendo medidas no judiciales en el caso de niños acusados de delitos penales ampliando el programa de medidas reeducativas con medidas de remisión, mediación y asesoramiento y haciendo uso de medidas alternativas a la imposición de penas, como la libertad a prueba o trabajos comunitarios, siempre que sea posible; </w:t>
                            </w:r>
                          </w:p>
                          <w:p w14:paraId="2012ABFE"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xml:space="preserve">- Vele por que la detención se use como medida de último recurso y por un período de tiempo lo más breve posible, y porque se examine de manera periódica con miras a revocarla. </w:t>
                            </w:r>
                          </w:p>
                          <w:p w14:paraId="075CFEC7" w14:textId="77777777" w:rsidR="00DC0EAB" w:rsidRDefault="00DC0EAB" w:rsidP="00CB054C">
                            <w:pPr>
                              <w:shd w:val="clear" w:color="auto" w:fill="CCC0D9" w:themeFill="accent4" w:themeFillTint="66"/>
                              <w:rPr>
                                <w:rFonts w:asciiTheme="minorHAnsi" w:hAnsiTheme="minorHAnsi"/>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B2C69" id="_x0000_s1045" type="#_x0000_t202" style="position:absolute;left:0;text-align:left;margin-left:208.65pt;margin-top:75.25pt;width:246.75pt;height:321.75pt;z-index:-2516582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" strokecolor="#7030a0">
                <v:textbox>
                  <w:txbxContent>
                    <w:p w14:paraId="6A956325"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En el año 2018 el Comité de los Derechos de los Niños le reitera al estado panameño lo siguiente en cuanto a la “</w:t>
                      </w:r>
                      <w:r>
                        <w:rPr>
                          <w:b/>
                          <w:sz w:val="20"/>
                          <w:szCs w:val="20"/>
                          <w:lang w:val="es-ES_tradnl"/>
                        </w:rPr>
                        <w:t xml:space="preserve">Administración de la justicia juvenil”: </w:t>
                      </w:r>
                    </w:p>
                    <w:p w14:paraId="0009771C"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Eleve la edad mínima de responsabilidad penal hasta un nivel aceptado internacionalmente;</w:t>
                      </w:r>
                    </w:p>
                    <w:p w14:paraId="062B1989"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Restituya la disposición por la que se prohíbe la prórroga de la detención provisional sin excepciones;</w:t>
                      </w:r>
                    </w:p>
                    <w:p w14:paraId="3E7F3E44"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Garantice a los niños en conflicto con la ley acceso a asistencia letrada cualificada e independiente desde las etapas iniciales y a lo largo de todo el proceso judicial;</w:t>
                      </w:r>
                    </w:p>
                    <w:p w14:paraId="32847F41"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xml:space="preserve">- Siga promoviendo medidas no judiciales en el caso de niños acusados de delitos penales ampliando el programa de medidas reeducativas con medidas de remisión, mediación y asesoramiento y haciendo uso de medidas alternativas a la imposición de penas, como la libertad a prueba o trabajos comunitarios, siempre que sea posible; </w:t>
                      </w:r>
                    </w:p>
                    <w:p w14:paraId="2012ABFE" w14:textId="77777777" w:rsidR="00DC0EAB" w:rsidRDefault="00DC0EAB" w:rsidP="00CB054C">
                      <w:pPr>
                        <w:widowControl w:val="0"/>
                        <w:shd w:val="clear" w:color="auto" w:fill="CCC0D9" w:themeFill="accent4" w:themeFillTint="66"/>
                        <w:autoSpaceDE w:val="0"/>
                        <w:autoSpaceDN w:val="0"/>
                        <w:adjustRightInd w:val="0"/>
                        <w:jc w:val="both"/>
                        <w:rPr>
                          <w:sz w:val="20"/>
                          <w:szCs w:val="20"/>
                          <w:lang w:val="es-ES_tradnl"/>
                        </w:rPr>
                      </w:pPr>
                      <w:r>
                        <w:rPr>
                          <w:sz w:val="20"/>
                          <w:szCs w:val="20"/>
                          <w:lang w:val="es-ES_tradnl"/>
                        </w:rPr>
                        <w:t xml:space="preserve">- Vele por que la detención se use como medida de último recurso y por un período de tiempo lo más breve posible, y porque se examine de manera periódica con miras a revocarla. </w:t>
                      </w:r>
                    </w:p>
                    <w:p w14:paraId="075CFEC7" w14:textId="77777777" w:rsidR="00DC0EAB" w:rsidRDefault="00DC0EAB" w:rsidP="00CB054C">
                      <w:pPr>
                        <w:shd w:val="clear" w:color="auto" w:fill="CCC0D9" w:themeFill="accent4" w:themeFillTint="66"/>
                        <w:rPr>
                          <w:rFonts w:asciiTheme="minorHAnsi" w:hAnsiTheme="minorHAnsi"/>
                          <w:lang w:val="es-ES_tradnl"/>
                        </w:rPr>
                      </w:pPr>
                    </w:p>
                  </w:txbxContent>
                </v:textbox>
                <w10:wrap type="tight"/>
              </v:shape>
            </w:pict>
          </mc:Fallback>
        </mc:AlternateContent>
      </w:r>
      <w:r w:rsidR="00CB054C" w:rsidRPr="005970E9">
        <w:rPr>
          <w:color w:val="000000" w:themeColor="text1"/>
          <w:lang w:val="es-ES_tradnl"/>
        </w:rPr>
        <w:t xml:space="preserve">No obstante los beneficios que dichos programas tienen para la resocialización exclusivos de hombres y mujeres PL, se observan sesgos de género, ya que los hombres aprenden oficios específicos como la reforestación, agricultura sostenible etc., que los prepara para su incorporación a la sociedad, a la par que les pueden generar ingresos o puestos de trabajos, mientras que los de las mujeres tienen un enfoque más hacia el trabajo para otros/as, personal y reforzamiento de la autoestima, y no la preparación para obtener ingresos económicos que les permita  salir del entorno social que las llevó a perder su libertad. </w:t>
      </w:r>
    </w:p>
    <w:p w14:paraId="5542DBCF" w14:textId="3DDB4710" w:rsidR="00CB054C" w:rsidRPr="005970E9" w:rsidRDefault="00CB054C" w:rsidP="00D478B6">
      <w:pPr>
        <w:pStyle w:val="Heading3"/>
        <w:numPr>
          <w:ilvl w:val="2"/>
          <w:numId w:val="56"/>
        </w:numPr>
        <w:spacing w:before="120" w:line="276" w:lineRule="auto"/>
        <w:rPr>
          <w:lang w:val="es-ES_tradnl"/>
        </w:rPr>
      </w:pPr>
      <w:bookmarkStart w:id="297" w:name="_Toc42159250"/>
      <w:bookmarkStart w:id="298" w:name="_Toc42549481"/>
      <w:r w:rsidRPr="005970E9">
        <w:rPr>
          <w:lang w:val="es-ES_tradnl"/>
        </w:rPr>
        <w:t>Población adolescente con medidas de cumplimiento o custodia.</w:t>
      </w:r>
      <w:bookmarkEnd w:id="297"/>
      <w:bookmarkEnd w:id="298"/>
      <w:r w:rsidRPr="005970E9">
        <w:rPr>
          <w:lang w:val="es-ES_tradnl"/>
        </w:rPr>
        <w:t xml:space="preserve"> </w:t>
      </w:r>
    </w:p>
    <w:p w14:paraId="00F77B3B" w14:textId="72A36274"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En Panamá</w:t>
      </w:r>
      <w:r w:rsidR="00B2458F" w:rsidRPr="005970E9">
        <w:rPr>
          <w:lang w:val="es-ES_tradnl"/>
        </w:rPr>
        <w:t>,</w:t>
      </w:r>
      <w:r w:rsidRPr="005970E9">
        <w:rPr>
          <w:lang w:val="es-ES_tradnl"/>
        </w:rPr>
        <w:t xml:space="preserve"> hasta junio del 2019 se encontraba un total de 1,226 jóvenes en el sistema Penal Juvenil, de los cuales un 32% estaba con medidas socioeducativas, como alternativas a la privación de libertad; el 21% seguía las medidas de cumplimiento;  el 16% cumplía la sanción en centros penitenciaros de adultos, después de haber iniciado su cumplimento en algunos centros de menores; un 17% se encontraba con suspensión condicional de pena; 8% estaba en centros de custodia y el 6% </w:t>
      </w:r>
      <w:r w:rsidR="00B2458F" w:rsidRPr="005970E9">
        <w:rPr>
          <w:lang w:val="es-ES_tradnl"/>
        </w:rPr>
        <w:t>co</w:t>
      </w:r>
      <w:r w:rsidRPr="005970E9">
        <w:rPr>
          <w:lang w:val="es-ES_tradnl"/>
        </w:rPr>
        <w:t xml:space="preserve">n medida cautelar. Entre los PL había 366 adolescentes entre 15 y 17 años que se </w:t>
      </w:r>
      <w:r w:rsidRPr="005970E9">
        <w:rPr>
          <w:lang w:val="es-ES_tradnl"/>
        </w:rPr>
        <w:lastRenderedPageBreak/>
        <w:t xml:space="preserve">encuentran en los centros de custodia o de cumplimiento. </w:t>
      </w:r>
      <w:r w:rsidRPr="005970E9">
        <w:rPr>
          <w:rStyle w:val="FootnoteReference"/>
          <w:lang w:val="es-ES_tradnl"/>
        </w:rPr>
        <w:footnoteReference w:id="85"/>
      </w:r>
    </w:p>
    <w:p w14:paraId="1597EE6D" w14:textId="77777777" w:rsidR="00594BB7"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Del total de jóvenes en el Sistema Penal Juvenil, 29 eran mujeres lo que representa un 2.31%. De estas, la mayoría (19) estaba con medidas socioeducativas; 7 en cumplimiento, 2 en centros penitenciarios de adultas y 1 en Suspensión condicional de Pena</w:t>
      </w:r>
      <w:r w:rsidR="00594BB7">
        <w:rPr>
          <w:lang w:val="es-ES_tradnl"/>
        </w:rPr>
        <w:t>.</w:t>
      </w:r>
    </w:p>
    <w:p w14:paraId="6036217B" w14:textId="77777777"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Actualmente (febrero 2020) continúan las mismas jóvenes en el centro de cumplimiento (Defensoría del Pueblo). Según las fuentes entrevistadas, la baja población de adolescentes privadas de libertad en el residencial femenino hace que se organicen pocas actividades que ocupen el tiempo de las jóvenes lo cual obviamente repercute en su resocialización integral.</w:t>
      </w:r>
    </w:p>
    <w:p w14:paraId="17AF60FD" w14:textId="77777777" w:rsidR="00CB054C" w:rsidRPr="005970E9" w:rsidRDefault="00CB054C" w:rsidP="00594BB7">
      <w:pPr>
        <w:widowControl w:val="0"/>
        <w:autoSpaceDE w:val="0"/>
        <w:autoSpaceDN w:val="0"/>
        <w:adjustRightInd w:val="0"/>
        <w:spacing w:before="120" w:after="240" w:line="276" w:lineRule="auto"/>
        <w:jc w:val="both"/>
        <w:rPr>
          <w:lang w:val="es-ES_tradnl"/>
        </w:rPr>
      </w:pPr>
      <w:r w:rsidRPr="005970E9">
        <w:rPr>
          <w:lang w:val="es-ES_tradnl"/>
        </w:rPr>
        <w:t xml:space="preserve">Los siguientes datos muestran un cambio significativo comparándolo con años anterior donde había un alto porcentaje de adolescentes esperando sanción en los centros de custodia, sin embargo, a partir del 2016 </w:t>
      </w:r>
      <w:r w:rsidRPr="005970E9">
        <w:t xml:space="preserve">las cifras comienzan a invertirse, quizás por los cambios a nivel procesal penal que se han dado en todo el país. Al igual se observa que la población adolescente privada de libertad se ha reducido significativamente, en el 2019 (372), mientras que en el 2013 fue de 646, siendo el pico más alto de adolescentes en privación de libertad. </w:t>
      </w:r>
    </w:p>
    <w:p w14:paraId="3E2877EB" w14:textId="480F9A31" w:rsidR="00CB054C" w:rsidRPr="005970E9" w:rsidRDefault="008A61AF" w:rsidP="00065678">
      <w:pPr>
        <w:pStyle w:val="Caption"/>
        <w:keepNext/>
        <w:rPr>
          <w:rFonts w:ascii="Century Schoolbook" w:hAnsi="Century Schoolbook"/>
          <w:i w:val="0"/>
          <w:iCs w:val="0"/>
          <w:sz w:val="20"/>
          <w:szCs w:val="20"/>
        </w:rPr>
      </w:pPr>
      <w:bookmarkStart w:id="299" w:name="_Toc42549226"/>
      <w:bookmarkStart w:id="300" w:name="_Hlk39053770"/>
      <w:r w:rsidRPr="005970E9">
        <w:rPr>
          <w:rFonts w:ascii="Century Schoolbook" w:hAnsi="Century Schoolbook"/>
          <w:i w:val="0"/>
          <w:iCs w:val="0"/>
          <w:sz w:val="20"/>
          <w:szCs w:val="20"/>
        </w:rPr>
        <w:t>Tabla</w:t>
      </w:r>
      <w:r w:rsidR="00065678" w:rsidRPr="005970E9">
        <w:rPr>
          <w:rFonts w:ascii="Century Schoolbook" w:hAnsi="Century Schoolbook"/>
          <w:i w:val="0"/>
          <w:iCs w:val="0"/>
          <w:sz w:val="20"/>
          <w:szCs w:val="20"/>
        </w:rPr>
        <w:t xml:space="preserve">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3F0C50">
        <w:rPr>
          <w:rFonts w:ascii="Century Schoolbook" w:hAnsi="Century Schoolbook"/>
          <w:i w:val="0"/>
          <w:iCs w:val="0"/>
          <w:noProof/>
          <w:sz w:val="20"/>
          <w:szCs w:val="20"/>
        </w:rPr>
        <w:t>32</w:t>
      </w:r>
      <w:r w:rsidRPr="005970E9">
        <w:rPr>
          <w:rFonts w:ascii="Century Schoolbook" w:hAnsi="Century Schoolbook"/>
          <w:i w:val="0"/>
          <w:iCs w:val="0"/>
          <w:sz w:val="20"/>
          <w:szCs w:val="20"/>
        </w:rPr>
        <w:fldChar w:fldCharType="end"/>
      </w:r>
      <w:r w:rsidR="00884E23" w:rsidRPr="005970E9">
        <w:rPr>
          <w:rFonts w:ascii="Century Schoolbook" w:hAnsi="Century Schoolbook"/>
          <w:i w:val="0"/>
          <w:iCs w:val="0"/>
          <w:sz w:val="20"/>
          <w:szCs w:val="20"/>
        </w:rPr>
        <w:t>.</w:t>
      </w:r>
      <w:r w:rsidR="00065678" w:rsidRPr="005970E9">
        <w:rPr>
          <w:rFonts w:ascii="Century Schoolbook" w:hAnsi="Century Schoolbook"/>
          <w:i w:val="0"/>
          <w:iCs w:val="0"/>
          <w:sz w:val="20"/>
          <w:szCs w:val="20"/>
        </w:rPr>
        <w:t xml:space="preserve"> </w:t>
      </w:r>
      <w:r w:rsidR="00CB054C" w:rsidRPr="005970E9">
        <w:rPr>
          <w:rFonts w:ascii="Century Schoolbook" w:hAnsi="Century Schoolbook"/>
          <w:i w:val="0"/>
          <w:iCs w:val="0"/>
          <w:sz w:val="20"/>
          <w:szCs w:val="20"/>
        </w:rPr>
        <w:t>Evolución de la población adolescente en privación de libertad. En centros de custodia o cumplimiento. 2011-2019 junios.</w:t>
      </w:r>
      <w:bookmarkEnd w:id="299"/>
      <w:r w:rsidR="00CB054C" w:rsidRPr="005970E9">
        <w:rPr>
          <w:rFonts w:ascii="Century Schoolbook" w:hAnsi="Century Schoolbook"/>
          <w:i w:val="0"/>
          <w:iCs w:val="0"/>
          <w:sz w:val="20"/>
          <w:szCs w:val="20"/>
        </w:rPr>
        <w:t xml:space="preserve">  </w:t>
      </w:r>
    </w:p>
    <w:tbl>
      <w:tblPr>
        <w:tblStyle w:val="GridTable2-Accent4"/>
        <w:tblW w:w="8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66"/>
        <w:gridCol w:w="763"/>
        <w:gridCol w:w="763"/>
        <w:gridCol w:w="763"/>
        <w:gridCol w:w="761"/>
        <w:gridCol w:w="660"/>
        <w:gridCol w:w="659"/>
        <w:gridCol w:w="756"/>
        <w:gridCol w:w="763"/>
      </w:tblGrid>
      <w:tr w:rsidR="00CB054C" w:rsidRPr="005970E9" w14:paraId="62DAEE67" w14:textId="77777777" w:rsidTr="00976ACA">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318D3A14" w14:textId="77777777" w:rsidR="00CB054C" w:rsidRPr="005970E9" w:rsidRDefault="00CB054C">
            <w:pPr>
              <w:pStyle w:val="Default"/>
              <w:spacing w:before="120" w:after="120" w:line="276" w:lineRule="auto"/>
              <w:rPr>
                <w:rFonts w:ascii="Century Schoolbook" w:hAnsi="Century Schoolbook"/>
                <w:b w:val="0"/>
                <w:sz w:val="18"/>
                <w:szCs w:val="18"/>
              </w:rPr>
            </w:pPr>
            <w:r w:rsidRPr="005970E9">
              <w:rPr>
                <w:rFonts w:ascii="Century Schoolbook" w:hAnsi="Century Schoolbook"/>
                <w:sz w:val="18"/>
                <w:szCs w:val="18"/>
              </w:rPr>
              <w:t xml:space="preserve">Centro de Custodia o Cumplimiento </w:t>
            </w:r>
          </w:p>
        </w:tc>
        <w:tc>
          <w:tcPr>
            <w:tcW w:w="76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11F9E497" w14:textId="77777777" w:rsidR="00CB054C" w:rsidRPr="005970E9" w:rsidRDefault="00CB054C">
            <w:pPr>
              <w:pStyle w:val="Default"/>
              <w:spacing w:before="120" w:after="120" w:line="276" w:lineRule="auto"/>
              <w:ind w:left="42"/>
              <w:cnfStyle w:val="100000000000" w:firstRow="1" w:lastRow="0" w:firstColumn="0" w:lastColumn="0" w:oddVBand="0" w:evenVBand="0" w:oddHBand="0" w:evenHBand="0" w:firstRowFirstColumn="0" w:firstRowLastColumn="0" w:lastRowFirstColumn="0" w:lastRowLastColumn="0"/>
              <w:rPr>
                <w:rFonts w:ascii="Century Schoolbook" w:hAnsi="Century Schoolbook"/>
                <w:sz w:val="18"/>
                <w:szCs w:val="18"/>
              </w:rPr>
            </w:pPr>
            <w:r w:rsidRPr="005970E9">
              <w:rPr>
                <w:rFonts w:ascii="Century Schoolbook" w:hAnsi="Century Schoolbook"/>
                <w:bCs w:val="0"/>
                <w:sz w:val="18"/>
                <w:szCs w:val="18"/>
              </w:rPr>
              <w:t xml:space="preserve">2011 </w:t>
            </w:r>
          </w:p>
        </w:tc>
        <w:tc>
          <w:tcPr>
            <w:tcW w:w="763"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3AC327BC" w14:textId="77777777" w:rsidR="00CB054C" w:rsidRPr="005970E9" w:rsidRDefault="00CB054C">
            <w:pPr>
              <w:pStyle w:val="Default"/>
              <w:spacing w:before="120" w:after="120" w:line="276" w:lineRule="auto"/>
              <w:cnfStyle w:val="100000000000" w:firstRow="1" w:lastRow="0" w:firstColumn="0" w:lastColumn="0" w:oddVBand="0" w:evenVBand="0" w:oddHBand="0" w:evenHBand="0" w:firstRowFirstColumn="0" w:firstRowLastColumn="0" w:lastRowFirstColumn="0" w:lastRowLastColumn="0"/>
              <w:rPr>
                <w:rFonts w:ascii="Century Schoolbook" w:hAnsi="Century Schoolbook"/>
                <w:sz w:val="18"/>
                <w:szCs w:val="18"/>
              </w:rPr>
            </w:pPr>
            <w:r w:rsidRPr="005970E9">
              <w:rPr>
                <w:rFonts w:ascii="Century Schoolbook" w:hAnsi="Century Schoolbook"/>
                <w:bCs w:val="0"/>
                <w:sz w:val="18"/>
                <w:szCs w:val="18"/>
              </w:rPr>
              <w:t xml:space="preserve">2012 </w:t>
            </w:r>
          </w:p>
        </w:tc>
        <w:tc>
          <w:tcPr>
            <w:tcW w:w="763"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6BD81795" w14:textId="77777777" w:rsidR="00CB054C" w:rsidRPr="005970E9" w:rsidRDefault="00CB054C">
            <w:pPr>
              <w:pStyle w:val="Default"/>
              <w:spacing w:before="120" w:after="120" w:line="276" w:lineRule="auto"/>
              <w:cnfStyle w:val="100000000000" w:firstRow="1" w:lastRow="0" w:firstColumn="0" w:lastColumn="0" w:oddVBand="0" w:evenVBand="0" w:oddHBand="0" w:evenHBand="0" w:firstRowFirstColumn="0" w:firstRowLastColumn="0" w:lastRowFirstColumn="0" w:lastRowLastColumn="0"/>
              <w:rPr>
                <w:rFonts w:ascii="Century Schoolbook" w:hAnsi="Century Schoolbook"/>
                <w:sz w:val="18"/>
                <w:szCs w:val="18"/>
              </w:rPr>
            </w:pPr>
            <w:r w:rsidRPr="005970E9">
              <w:rPr>
                <w:rFonts w:ascii="Century Schoolbook" w:hAnsi="Century Schoolbook"/>
                <w:bCs w:val="0"/>
                <w:sz w:val="18"/>
                <w:szCs w:val="18"/>
              </w:rPr>
              <w:t xml:space="preserve">2013 </w:t>
            </w:r>
          </w:p>
        </w:tc>
        <w:tc>
          <w:tcPr>
            <w:tcW w:w="763"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5C0DA97C" w14:textId="77777777" w:rsidR="00CB054C" w:rsidRPr="005970E9" w:rsidRDefault="00CB054C">
            <w:pPr>
              <w:pStyle w:val="Default"/>
              <w:spacing w:before="120" w:after="120" w:line="276" w:lineRule="auto"/>
              <w:cnfStyle w:val="100000000000" w:firstRow="1" w:lastRow="0" w:firstColumn="0" w:lastColumn="0" w:oddVBand="0" w:evenVBand="0" w:oddHBand="0" w:evenHBand="0" w:firstRowFirstColumn="0" w:firstRowLastColumn="0" w:lastRowFirstColumn="0" w:lastRowLastColumn="0"/>
              <w:rPr>
                <w:rFonts w:ascii="Century Schoolbook" w:hAnsi="Century Schoolbook"/>
                <w:sz w:val="18"/>
                <w:szCs w:val="18"/>
              </w:rPr>
            </w:pPr>
            <w:r w:rsidRPr="005970E9">
              <w:rPr>
                <w:rFonts w:ascii="Century Schoolbook" w:hAnsi="Century Schoolbook"/>
                <w:bCs w:val="0"/>
                <w:sz w:val="18"/>
                <w:szCs w:val="18"/>
              </w:rPr>
              <w:t xml:space="preserve">2014 </w:t>
            </w:r>
          </w:p>
        </w:tc>
        <w:tc>
          <w:tcPr>
            <w:tcW w:w="761"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132BEBB7" w14:textId="77777777" w:rsidR="00CB054C" w:rsidRPr="005970E9" w:rsidRDefault="00CB054C">
            <w:pPr>
              <w:pStyle w:val="Default"/>
              <w:spacing w:before="120" w:after="120" w:line="276" w:lineRule="auto"/>
              <w:cnfStyle w:val="100000000000" w:firstRow="1" w:lastRow="0" w:firstColumn="0" w:lastColumn="0" w:oddVBand="0" w:evenVBand="0" w:oddHBand="0" w:evenHBand="0" w:firstRowFirstColumn="0" w:firstRowLastColumn="0" w:lastRowFirstColumn="0" w:lastRowLastColumn="0"/>
              <w:rPr>
                <w:rFonts w:ascii="Century Schoolbook" w:hAnsi="Century Schoolbook"/>
                <w:sz w:val="18"/>
                <w:szCs w:val="18"/>
              </w:rPr>
            </w:pPr>
            <w:r w:rsidRPr="005970E9">
              <w:rPr>
                <w:rFonts w:ascii="Century Schoolbook" w:hAnsi="Century Schoolbook"/>
                <w:bCs w:val="0"/>
                <w:sz w:val="18"/>
                <w:szCs w:val="18"/>
              </w:rPr>
              <w:t xml:space="preserve">2015 </w:t>
            </w:r>
          </w:p>
        </w:tc>
        <w:tc>
          <w:tcPr>
            <w:tcW w:w="66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16FE9404" w14:textId="77777777" w:rsidR="00CB054C" w:rsidRPr="005970E9" w:rsidRDefault="00CB054C">
            <w:pPr>
              <w:pStyle w:val="Default"/>
              <w:spacing w:before="120" w:after="120" w:line="276" w:lineRule="auto"/>
              <w:cnfStyle w:val="100000000000" w:firstRow="1" w:lastRow="0" w:firstColumn="0" w:lastColumn="0" w:oddVBand="0" w:evenVBand="0" w:oddHBand="0" w:evenHBand="0" w:firstRowFirstColumn="0" w:firstRowLastColumn="0" w:lastRowFirstColumn="0" w:lastRowLastColumn="0"/>
              <w:rPr>
                <w:rFonts w:ascii="Century Schoolbook" w:hAnsi="Century Schoolbook"/>
                <w:sz w:val="18"/>
                <w:szCs w:val="18"/>
              </w:rPr>
            </w:pPr>
            <w:r w:rsidRPr="005970E9">
              <w:rPr>
                <w:rFonts w:ascii="Century Schoolbook" w:hAnsi="Century Schoolbook"/>
                <w:bCs w:val="0"/>
                <w:sz w:val="18"/>
                <w:szCs w:val="18"/>
              </w:rPr>
              <w:t xml:space="preserve">2016 </w:t>
            </w:r>
          </w:p>
        </w:tc>
        <w:tc>
          <w:tcPr>
            <w:tcW w:w="659"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3F810A56" w14:textId="77777777" w:rsidR="00CB054C" w:rsidRPr="005970E9" w:rsidRDefault="00CB054C">
            <w:pPr>
              <w:pStyle w:val="Default"/>
              <w:spacing w:before="120" w:after="120" w:line="276" w:lineRule="auto"/>
              <w:cnfStyle w:val="100000000000" w:firstRow="1" w:lastRow="0" w:firstColumn="0" w:lastColumn="0" w:oddVBand="0" w:evenVBand="0" w:oddHBand="0" w:evenHBand="0" w:firstRowFirstColumn="0" w:firstRowLastColumn="0" w:lastRowFirstColumn="0" w:lastRowLastColumn="0"/>
              <w:rPr>
                <w:rFonts w:ascii="Century Schoolbook" w:hAnsi="Century Schoolbook"/>
                <w:sz w:val="18"/>
                <w:szCs w:val="18"/>
              </w:rPr>
            </w:pPr>
            <w:r w:rsidRPr="005970E9">
              <w:rPr>
                <w:rFonts w:ascii="Century Schoolbook" w:hAnsi="Century Schoolbook"/>
                <w:bCs w:val="0"/>
                <w:sz w:val="18"/>
                <w:szCs w:val="18"/>
              </w:rPr>
              <w:t xml:space="preserve">2017 </w:t>
            </w:r>
          </w:p>
        </w:tc>
        <w:tc>
          <w:tcPr>
            <w:tcW w:w="75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54765783" w14:textId="77777777" w:rsidR="00CB054C" w:rsidRPr="005970E9" w:rsidRDefault="00CB054C">
            <w:pPr>
              <w:pStyle w:val="Default"/>
              <w:spacing w:before="120" w:after="120" w:line="276" w:lineRule="auto"/>
              <w:cnfStyle w:val="100000000000" w:firstRow="1" w:lastRow="0" w:firstColumn="0" w:lastColumn="0" w:oddVBand="0" w:evenVBand="0" w:oddHBand="0" w:evenHBand="0" w:firstRowFirstColumn="0" w:firstRowLastColumn="0" w:lastRowFirstColumn="0" w:lastRowLastColumn="0"/>
              <w:rPr>
                <w:rFonts w:ascii="Century Schoolbook" w:hAnsi="Century Schoolbook"/>
                <w:sz w:val="18"/>
                <w:szCs w:val="18"/>
              </w:rPr>
            </w:pPr>
            <w:r w:rsidRPr="005970E9">
              <w:rPr>
                <w:rFonts w:ascii="Century Schoolbook" w:hAnsi="Century Schoolbook"/>
                <w:bCs w:val="0"/>
                <w:sz w:val="18"/>
                <w:szCs w:val="18"/>
              </w:rPr>
              <w:t xml:space="preserve">2018 </w:t>
            </w:r>
          </w:p>
        </w:tc>
        <w:tc>
          <w:tcPr>
            <w:tcW w:w="763"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5B08275D" w14:textId="77777777" w:rsidR="00CB054C" w:rsidRPr="005970E9" w:rsidRDefault="00CB054C">
            <w:pPr>
              <w:pStyle w:val="Default"/>
              <w:spacing w:before="120" w:after="120" w:line="276" w:lineRule="auto"/>
              <w:cnfStyle w:val="100000000000" w:firstRow="1" w:lastRow="0" w:firstColumn="0" w:lastColumn="0" w:oddVBand="0" w:evenVBand="0" w:oddHBand="0" w:evenHBand="0" w:firstRowFirstColumn="0" w:firstRowLastColumn="0" w:lastRowFirstColumn="0" w:lastRowLastColumn="0"/>
              <w:rPr>
                <w:rFonts w:ascii="Century Schoolbook" w:hAnsi="Century Schoolbook"/>
                <w:sz w:val="18"/>
                <w:szCs w:val="18"/>
              </w:rPr>
            </w:pPr>
            <w:r w:rsidRPr="005970E9">
              <w:rPr>
                <w:rFonts w:ascii="Century Schoolbook" w:hAnsi="Century Schoolbook"/>
                <w:bCs w:val="0"/>
                <w:sz w:val="18"/>
                <w:szCs w:val="18"/>
              </w:rPr>
              <w:t xml:space="preserve">2019 junio </w:t>
            </w:r>
          </w:p>
        </w:tc>
      </w:tr>
      <w:tr w:rsidR="00CB054C" w:rsidRPr="005970E9" w14:paraId="60779E10" w14:textId="77777777" w:rsidTr="00976AC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hideMark/>
          </w:tcPr>
          <w:p w14:paraId="03F8DA89" w14:textId="77777777" w:rsidR="00CB054C" w:rsidRPr="005970E9" w:rsidRDefault="00CB054C">
            <w:pPr>
              <w:pStyle w:val="Default"/>
              <w:spacing w:before="120" w:after="120" w:line="276" w:lineRule="auto"/>
              <w:rPr>
                <w:rFonts w:ascii="Century Schoolbook" w:hAnsi="Century Schoolbook"/>
                <w:bCs w:val="0"/>
                <w:sz w:val="22"/>
                <w:szCs w:val="22"/>
              </w:rPr>
            </w:pPr>
            <w:r w:rsidRPr="005970E9">
              <w:rPr>
                <w:rFonts w:ascii="Century Schoolbook" w:hAnsi="Century Schoolbook"/>
                <w:sz w:val="22"/>
                <w:szCs w:val="22"/>
              </w:rPr>
              <w:t xml:space="preserve">Custodia </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14:paraId="7CE46992"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318 </w:t>
            </w:r>
          </w:p>
        </w:tc>
        <w:tc>
          <w:tcPr>
            <w:tcW w:w="763" w:type="dxa"/>
            <w:tcBorders>
              <w:top w:val="single" w:sz="4" w:space="0" w:color="auto"/>
              <w:left w:val="single" w:sz="4" w:space="0" w:color="auto"/>
              <w:bottom w:val="single" w:sz="4" w:space="0" w:color="auto"/>
              <w:right w:val="single" w:sz="4" w:space="0" w:color="auto"/>
            </w:tcBorders>
            <w:shd w:val="clear" w:color="auto" w:fill="auto"/>
            <w:hideMark/>
          </w:tcPr>
          <w:p w14:paraId="61B301E5"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265 </w:t>
            </w:r>
          </w:p>
        </w:tc>
        <w:tc>
          <w:tcPr>
            <w:tcW w:w="763" w:type="dxa"/>
            <w:tcBorders>
              <w:top w:val="single" w:sz="4" w:space="0" w:color="auto"/>
              <w:left w:val="single" w:sz="4" w:space="0" w:color="auto"/>
              <w:bottom w:val="single" w:sz="4" w:space="0" w:color="auto"/>
              <w:right w:val="single" w:sz="4" w:space="0" w:color="auto"/>
            </w:tcBorders>
            <w:shd w:val="clear" w:color="auto" w:fill="auto"/>
            <w:hideMark/>
          </w:tcPr>
          <w:p w14:paraId="2B5C91C6"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423 </w:t>
            </w:r>
          </w:p>
        </w:tc>
        <w:tc>
          <w:tcPr>
            <w:tcW w:w="763" w:type="dxa"/>
            <w:tcBorders>
              <w:top w:val="single" w:sz="4" w:space="0" w:color="auto"/>
              <w:left w:val="single" w:sz="4" w:space="0" w:color="auto"/>
              <w:bottom w:val="single" w:sz="4" w:space="0" w:color="auto"/>
              <w:right w:val="single" w:sz="4" w:space="0" w:color="auto"/>
            </w:tcBorders>
            <w:shd w:val="clear" w:color="auto" w:fill="auto"/>
            <w:hideMark/>
          </w:tcPr>
          <w:p w14:paraId="19511BC5"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288 </w:t>
            </w: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57A308F1"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248 </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14:paraId="249ADE1E"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152 </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6447F332"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116 </w:t>
            </w:r>
          </w:p>
        </w:tc>
        <w:tc>
          <w:tcPr>
            <w:tcW w:w="756" w:type="dxa"/>
            <w:tcBorders>
              <w:top w:val="single" w:sz="4" w:space="0" w:color="auto"/>
              <w:left w:val="single" w:sz="4" w:space="0" w:color="auto"/>
              <w:bottom w:val="single" w:sz="4" w:space="0" w:color="auto"/>
              <w:right w:val="single" w:sz="4" w:space="0" w:color="auto"/>
            </w:tcBorders>
            <w:shd w:val="clear" w:color="auto" w:fill="auto"/>
            <w:hideMark/>
          </w:tcPr>
          <w:p w14:paraId="3749BE40"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123 </w:t>
            </w:r>
          </w:p>
        </w:tc>
        <w:tc>
          <w:tcPr>
            <w:tcW w:w="763" w:type="dxa"/>
            <w:tcBorders>
              <w:top w:val="single" w:sz="4" w:space="0" w:color="auto"/>
              <w:left w:val="single" w:sz="4" w:space="0" w:color="auto"/>
              <w:bottom w:val="single" w:sz="4" w:space="0" w:color="auto"/>
              <w:right w:val="single" w:sz="4" w:space="0" w:color="auto"/>
            </w:tcBorders>
            <w:shd w:val="clear" w:color="auto" w:fill="auto"/>
            <w:hideMark/>
          </w:tcPr>
          <w:p w14:paraId="2314651C"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91</w:t>
            </w:r>
          </w:p>
        </w:tc>
      </w:tr>
      <w:tr w:rsidR="00CB054C" w:rsidRPr="005970E9" w14:paraId="24A2BDC1" w14:textId="77777777" w:rsidTr="00884E23">
        <w:trPr>
          <w:trHeight w:val="42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hideMark/>
          </w:tcPr>
          <w:p w14:paraId="67F7C32C" w14:textId="77777777" w:rsidR="00CB054C" w:rsidRPr="005970E9" w:rsidRDefault="00CB054C">
            <w:pPr>
              <w:pStyle w:val="Default"/>
              <w:spacing w:before="120" w:after="120" w:line="276" w:lineRule="auto"/>
              <w:rPr>
                <w:rFonts w:ascii="Century Schoolbook" w:hAnsi="Century Schoolbook"/>
                <w:sz w:val="22"/>
                <w:szCs w:val="22"/>
              </w:rPr>
            </w:pPr>
            <w:r w:rsidRPr="005970E9">
              <w:rPr>
                <w:rFonts w:ascii="Century Schoolbook" w:hAnsi="Century Schoolbook"/>
                <w:sz w:val="22"/>
                <w:szCs w:val="22"/>
              </w:rPr>
              <w:t xml:space="preserve">Cumplimiento </w:t>
            </w:r>
          </w:p>
        </w:tc>
        <w:tc>
          <w:tcPr>
            <w:tcW w:w="766" w:type="dxa"/>
            <w:tcBorders>
              <w:top w:val="single" w:sz="4" w:space="0" w:color="auto"/>
              <w:left w:val="single" w:sz="4" w:space="0" w:color="auto"/>
              <w:bottom w:val="single" w:sz="4" w:space="0" w:color="auto"/>
              <w:right w:val="single" w:sz="4" w:space="0" w:color="auto"/>
            </w:tcBorders>
            <w:hideMark/>
          </w:tcPr>
          <w:p w14:paraId="27075663" w14:textId="77777777" w:rsidR="00CB054C" w:rsidRPr="005970E9" w:rsidRDefault="00CB054C">
            <w:pPr>
              <w:pStyle w:val="Default"/>
              <w:spacing w:before="120" w:after="120" w:line="276" w:lineRule="auto"/>
              <w:cnfStyle w:val="000000000000" w:firstRow="0" w:lastRow="0" w:firstColumn="0" w:lastColumn="0" w:oddVBand="0" w:evenVBand="0" w:oddHBand="0"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132 </w:t>
            </w:r>
          </w:p>
        </w:tc>
        <w:tc>
          <w:tcPr>
            <w:tcW w:w="763" w:type="dxa"/>
            <w:tcBorders>
              <w:top w:val="single" w:sz="4" w:space="0" w:color="auto"/>
              <w:left w:val="single" w:sz="4" w:space="0" w:color="auto"/>
              <w:bottom w:val="single" w:sz="4" w:space="0" w:color="auto"/>
              <w:right w:val="single" w:sz="4" w:space="0" w:color="auto"/>
            </w:tcBorders>
            <w:hideMark/>
          </w:tcPr>
          <w:p w14:paraId="5F89E0EA" w14:textId="77777777" w:rsidR="00CB054C" w:rsidRPr="005970E9" w:rsidRDefault="00CB054C">
            <w:pPr>
              <w:pStyle w:val="Default"/>
              <w:spacing w:before="120" w:after="120" w:line="276" w:lineRule="auto"/>
              <w:cnfStyle w:val="000000000000" w:firstRow="0" w:lastRow="0" w:firstColumn="0" w:lastColumn="0" w:oddVBand="0" w:evenVBand="0" w:oddHBand="0"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156 </w:t>
            </w:r>
          </w:p>
        </w:tc>
        <w:tc>
          <w:tcPr>
            <w:tcW w:w="763" w:type="dxa"/>
            <w:tcBorders>
              <w:top w:val="single" w:sz="4" w:space="0" w:color="auto"/>
              <w:left w:val="single" w:sz="4" w:space="0" w:color="auto"/>
              <w:bottom w:val="single" w:sz="4" w:space="0" w:color="auto"/>
              <w:right w:val="single" w:sz="4" w:space="0" w:color="auto"/>
            </w:tcBorders>
            <w:hideMark/>
          </w:tcPr>
          <w:p w14:paraId="47865FC0" w14:textId="77777777" w:rsidR="00CB054C" w:rsidRPr="005970E9" w:rsidRDefault="00CB054C">
            <w:pPr>
              <w:pStyle w:val="Default"/>
              <w:spacing w:before="120" w:after="120" w:line="276" w:lineRule="auto"/>
              <w:cnfStyle w:val="000000000000" w:firstRow="0" w:lastRow="0" w:firstColumn="0" w:lastColumn="0" w:oddVBand="0" w:evenVBand="0" w:oddHBand="0"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223 </w:t>
            </w:r>
          </w:p>
        </w:tc>
        <w:tc>
          <w:tcPr>
            <w:tcW w:w="763" w:type="dxa"/>
            <w:tcBorders>
              <w:top w:val="single" w:sz="4" w:space="0" w:color="auto"/>
              <w:left w:val="single" w:sz="4" w:space="0" w:color="auto"/>
              <w:bottom w:val="single" w:sz="4" w:space="0" w:color="auto"/>
              <w:right w:val="single" w:sz="4" w:space="0" w:color="auto"/>
            </w:tcBorders>
            <w:hideMark/>
          </w:tcPr>
          <w:p w14:paraId="0914346D" w14:textId="77777777" w:rsidR="00CB054C" w:rsidRPr="005970E9" w:rsidRDefault="00CB054C">
            <w:pPr>
              <w:pStyle w:val="Default"/>
              <w:spacing w:before="120" w:after="120" w:line="276" w:lineRule="auto"/>
              <w:cnfStyle w:val="000000000000" w:firstRow="0" w:lastRow="0" w:firstColumn="0" w:lastColumn="0" w:oddVBand="0" w:evenVBand="0" w:oddHBand="0"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187 </w:t>
            </w:r>
          </w:p>
        </w:tc>
        <w:tc>
          <w:tcPr>
            <w:tcW w:w="761" w:type="dxa"/>
            <w:tcBorders>
              <w:top w:val="single" w:sz="4" w:space="0" w:color="auto"/>
              <w:left w:val="single" w:sz="4" w:space="0" w:color="auto"/>
              <w:bottom w:val="single" w:sz="4" w:space="0" w:color="auto"/>
              <w:right w:val="single" w:sz="4" w:space="0" w:color="auto"/>
            </w:tcBorders>
            <w:hideMark/>
          </w:tcPr>
          <w:p w14:paraId="672BEDBF" w14:textId="77777777" w:rsidR="00CB054C" w:rsidRPr="005970E9" w:rsidRDefault="00CB054C">
            <w:pPr>
              <w:pStyle w:val="Default"/>
              <w:spacing w:before="120" w:after="120" w:line="276" w:lineRule="auto"/>
              <w:cnfStyle w:val="000000000000" w:firstRow="0" w:lastRow="0" w:firstColumn="0" w:lastColumn="0" w:oddVBand="0" w:evenVBand="0" w:oddHBand="0"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225 </w:t>
            </w:r>
          </w:p>
        </w:tc>
        <w:tc>
          <w:tcPr>
            <w:tcW w:w="660" w:type="dxa"/>
            <w:tcBorders>
              <w:top w:val="single" w:sz="4" w:space="0" w:color="auto"/>
              <w:left w:val="single" w:sz="4" w:space="0" w:color="auto"/>
              <w:bottom w:val="single" w:sz="4" w:space="0" w:color="auto"/>
              <w:right w:val="single" w:sz="4" w:space="0" w:color="auto"/>
            </w:tcBorders>
            <w:hideMark/>
          </w:tcPr>
          <w:p w14:paraId="1B4CA26A" w14:textId="77777777" w:rsidR="00CB054C" w:rsidRPr="005970E9" w:rsidRDefault="00CB054C">
            <w:pPr>
              <w:pStyle w:val="Default"/>
              <w:spacing w:before="120" w:after="120" w:line="276" w:lineRule="auto"/>
              <w:cnfStyle w:val="000000000000" w:firstRow="0" w:lastRow="0" w:firstColumn="0" w:lastColumn="0" w:oddVBand="0" w:evenVBand="0" w:oddHBand="0"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181 </w:t>
            </w:r>
          </w:p>
        </w:tc>
        <w:tc>
          <w:tcPr>
            <w:tcW w:w="659" w:type="dxa"/>
            <w:tcBorders>
              <w:top w:val="single" w:sz="4" w:space="0" w:color="auto"/>
              <w:left w:val="single" w:sz="4" w:space="0" w:color="auto"/>
              <w:bottom w:val="single" w:sz="4" w:space="0" w:color="auto"/>
              <w:right w:val="single" w:sz="4" w:space="0" w:color="auto"/>
            </w:tcBorders>
            <w:hideMark/>
          </w:tcPr>
          <w:p w14:paraId="65FF70CE" w14:textId="77777777" w:rsidR="00CB054C" w:rsidRPr="005970E9" w:rsidRDefault="00CB054C">
            <w:pPr>
              <w:pStyle w:val="Default"/>
              <w:spacing w:before="120" w:after="120" w:line="276" w:lineRule="auto"/>
              <w:cnfStyle w:val="000000000000" w:firstRow="0" w:lastRow="0" w:firstColumn="0" w:lastColumn="0" w:oddVBand="0" w:evenVBand="0" w:oddHBand="0"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213 </w:t>
            </w:r>
          </w:p>
        </w:tc>
        <w:tc>
          <w:tcPr>
            <w:tcW w:w="756" w:type="dxa"/>
            <w:tcBorders>
              <w:top w:val="single" w:sz="4" w:space="0" w:color="auto"/>
              <w:left w:val="single" w:sz="4" w:space="0" w:color="auto"/>
              <w:bottom w:val="single" w:sz="4" w:space="0" w:color="auto"/>
              <w:right w:val="single" w:sz="4" w:space="0" w:color="auto"/>
            </w:tcBorders>
            <w:hideMark/>
          </w:tcPr>
          <w:p w14:paraId="139786CD" w14:textId="77777777" w:rsidR="00CB054C" w:rsidRPr="005970E9" w:rsidRDefault="00CB054C">
            <w:pPr>
              <w:pStyle w:val="Default"/>
              <w:spacing w:before="120" w:after="120" w:line="276" w:lineRule="auto"/>
              <w:cnfStyle w:val="000000000000" w:firstRow="0" w:lastRow="0" w:firstColumn="0" w:lastColumn="0" w:oddVBand="0" w:evenVBand="0" w:oddHBand="0"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274 </w:t>
            </w:r>
          </w:p>
        </w:tc>
        <w:tc>
          <w:tcPr>
            <w:tcW w:w="763" w:type="dxa"/>
            <w:tcBorders>
              <w:top w:val="single" w:sz="4" w:space="0" w:color="auto"/>
              <w:left w:val="single" w:sz="4" w:space="0" w:color="auto"/>
              <w:bottom w:val="single" w:sz="4" w:space="0" w:color="auto"/>
              <w:right w:val="single" w:sz="4" w:space="0" w:color="auto"/>
            </w:tcBorders>
            <w:hideMark/>
          </w:tcPr>
          <w:p w14:paraId="371B1288" w14:textId="77777777" w:rsidR="00CB054C" w:rsidRPr="005970E9" w:rsidRDefault="00CB054C">
            <w:pPr>
              <w:pStyle w:val="Default"/>
              <w:spacing w:before="120" w:after="120" w:line="276" w:lineRule="auto"/>
              <w:cnfStyle w:val="000000000000" w:firstRow="0" w:lastRow="0" w:firstColumn="0" w:lastColumn="0" w:oddVBand="0" w:evenVBand="0" w:oddHBand="0"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281</w:t>
            </w:r>
          </w:p>
        </w:tc>
      </w:tr>
      <w:tr w:rsidR="00CB054C" w:rsidRPr="005970E9" w14:paraId="27A725E3" w14:textId="77777777" w:rsidTr="00884E2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hideMark/>
          </w:tcPr>
          <w:p w14:paraId="1256607F" w14:textId="77777777" w:rsidR="00CB054C" w:rsidRPr="005970E9" w:rsidRDefault="00CB054C">
            <w:pPr>
              <w:pStyle w:val="Default"/>
              <w:spacing w:before="120" w:after="120" w:line="276" w:lineRule="auto"/>
              <w:rPr>
                <w:rFonts w:ascii="Century Schoolbook" w:hAnsi="Century Schoolbook"/>
                <w:sz w:val="22"/>
                <w:szCs w:val="22"/>
              </w:rPr>
            </w:pPr>
            <w:r w:rsidRPr="005970E9">
              <w:rPr>
                <w:rFonts w:ascii="Century Schoolbook" w:hAnsi="Century Schoolbook"/>
                <w:sz w:val="22"/>
                <w:szCs w:val="22"/>
              </w:rPr>
              <w:t xml:space="preserve">Total </w:t>
            </w:r>
          </w:p>
        </w:tc>
        <w:tc>
          <w:tcPr>
            <w:tcW w:w="766" w:type="dxa"/>
            <w:tcBorders>
              <w:top w:val="single" w:sz="4" w:space="0" w:color="auto"/>
              <w:left w:val="single" w:sz="4" w:space="0" w:color="auto"/>
              <w:bottom w:val="single" w:sz="4" w:space="0" w:color="auto"/>
              <w:right w:val="single" w:sz="4" w:space="0" w:color="auto"/>
            </w:tcBorders>
            <w:hideMark/>
          </w:tcPr>
          <w:p w14:paraId="16C09146"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450 </w:t>
            </w:r>
          </w:p>
        </w:tc>
        <w:tc>
          <w:tcPr>
            <w:tcW w:w="763" w:type="dxa"/>
            <w:tcBorders>
              <w:top w:val="single" w:sz="4" w:space="0" w:color="auto"/>
              <w:left w:val="single" w:sz="4" w:space="0" w:color="auto"/>
              <w:bottom w:val="single" w:sz="4" w:space="0" w:color="auto"/>
              <w:right w:val="single" w:sz="4" w:space="0" w:color="auto"/>
            </w:tcBorders>
            <w:hideMark/>
          </w:tcPr>
          <w:p w14:paraId="7491F98D"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421 </w:t>
            </w:r>
          </w:p>
        </w:tc>
        <w:tc>
          <w:tcPr>
            <w:tcW w:w="763" w:type="dxa"/>
            <w:tcBorders>
              <w:top w:val="single" w:sz="4" w:space="0" w:color="auto"/>
              <w:left w:val="single" w:sz="4" w:space="0" w:color="auto"/>
              <w:bottom w:val="single" w:sz="4" w:space="0" w:color="auto"/>
              <w:right w:val="single" w:sz="4" w:space="0" w:color="auto"/>
            </w:tcBorders>
            <w:hideMark/>
          </w:tcPr>
          <w:p w14:paraId="1F1F8F3C"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646 </w:t>
            </w:r>
          </w:p>
        </w:tc>
        <w:tc>
          <w:tcPr>
            <w:tcW w:w="763" w:type="dxa"/>
            <w:tcBorders>
              <w:top w:val="single" w:sz="4" w:space="0" w:color="auto"/>
              <w:left w:val="single" w:sz="4" w:space="0" w:color="auto"/>
              <w:bottom w:val="single" w:sz="4" w:space="0" w:color="auto"/>
              <w:right w:val="single" w:sz="4" w:space="0" w:color="auto"/>
            </w:tcBorders>
            <w:hideMark/>
          </w:tcPr>
          <w:p w14:paraId="18C6B1C3"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475 </w:t>
            </w:r>
          </w:p>
        </w:tc>
        <w:tc>
          <w:tcPr>
            <w:tcW w:w="761" w:type="dxa"/>
            <w:tcBorders>
              <w:top w:val="single" w:sz="4" w:space="0" w:color="auto"/>
              <w:left w:val="single" w:sz="4" w:space="0" w:color="auto"/>
              <w:bottom w:val="single" w:sz="4" w:space="0" w:color="auto"/>
              <w:right w:val="single" w:sz="4" w:space="0" w:color="auto"/>
            </w:tcBorders>
            <w:hideMark/>
          </w:tcPr>
          <w:p w14:paraId="199E4BD3"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473 </w:t>
            </w:r>
          </w:p>
        </w:tc>
        <w:tc>
          <w:tcPr>
            <w:tcW w:w="660" w:type="dxa"/>
            <w:tcBorders>
              <w:top w:val="single" w:sz="4" w:space="0" w:color="auto"/>
              <w:left w:val="single" w:sz="4" w:space="0" w:color="auto"/>
              <w:bottom w:val="single" w:sz="4" w:space="0" w:color="auto"/>
              <w:right w:val="single" w:sz="4" w:space="0" w:color="auto"/>
            </w:tcBorders>
            <w:hideMark/>
          </w:tcPr>
          <w:p w14:paraId="68CFAA27"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333 </w:t>
            </w:r>
          </w:p>
        </w:tc>
        <w:tc>
          <w:tcPr>
            <w:tcW w:w="659" w:type="dxa"/>
            <w:tcBorders>
              <w:top w:val="single" w:sz="4" w:space="0" w:color="auto"/>
              <w:left w:val="single" w:sz="4" w:space="0" w:color="auto"/>
              <w:bottom w:val="single" w:sz="4" w:space="0" w:color="auto"/>
              <w:right w:val="single" w:sz="4" w:space="0" w:color="auto"/>
            </w:tcBorders>
            <w:hideMark/>
          </w:tcPr>
          <w:p w14:paraId="01BF8578"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329 </w:t>
            </w:r>
          </w:p>
        </w:tc>
        <w:tc>
          <w:tcPr>
            <w:tcW w:w="756" w:type="dxa"/>
            <w:tcBorders>
              <w:top w:val="single" w:sz="4" w:space="0" w:color="auto"/>
              <w:left w:val="single" w:sz="4" w:space="0" w:color="auto"/>
              <w:bottom w:val="single" w:sz="4" w:space="0" w:color="auto"/>
              <w:right w:val="single" w:sz="4" w:space="0" w:color="auto"/>
            </w:tcBorders>
            <w:hideMark/>
          </w:tcPr>
          <w:p w14:paraId="2B700444"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 xml:space="preserve">397 </w:t>
            </w:r>
          </w:p>
        </w:tc>
        <w:tc>
          <w:tcPr>
            <w:tcW w:w="763" w:type="dxa"/>
            <w:tcBorders>
              <w:top w:val="single" w:sz="4" w:space="0" w:color="auto"/>
              <w:left w:val="single" w:sz="4" w:space="0" w:color="auto"/>
              <w:bottom w:val="single" w:sz="4" w:space="0" w:color="auto"/>
              <w:right w:val="single" w:sz="4" w:space="0" w:color="auto"/>
            </w:tcBorders>
            <w:hideMark/>
          </w:tcPr>
          <w:p w14:paraId="03607CFA" w14:textId="77777777" w:rsidR="00CB054C" w:rsidRPr="005970E9" w:rsidRDefault="00CB054C">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sz w:val="22"/>
                <w:szCs w:val="22"/>
              </w:rPr>
            </w:pPr>
            <w:r w:rsidRPr="005970E9">
              <w:rPr>
                <w:rFonts w:ascii="Century Schoolbook" w:hAnsi="Century Schoolbook"/>
                <w:sz w:val="22"/>
                <w:szCs w:val="22"/>
              </w:rPr>
              <w:t>372</w:t>
            </w:r>
          </w:p>
        </w:tc>
      </w:tr>
      <w:bookmarkEnd w:id="300"/>
    </w:tbl>
    <w:p w14:paraId="52654F9A" w14:textId="77777777" w:rsidR="00CB054C" w:rsidRPr="005970E9" w:rsidRDefault="00CB054C" w:rsidP="00CB054C">
      <w:pPr>
        <w:widowControl w:val="0"/>
        <w:autoSpaceDE w:val="0"/>
        <w:autoSpaceDN w:val="0"/>
        <w:adjustRightInd w:val="0"/>
        <w:spacing w:before="120" w:after="120" w:line="276" w:lineRule="auto"/>
        <w:jc w:val="center"/>
        <w:rPr>
          <w:rFonts w:eastAsiaTheme="minorHAnsi"/>
          <w:lang w:val="es-ES_tradnl"/>
        </w:rPr>
      </w:pPr>
    </w:p>
    <w:p w14:paraId="13ABB47E" w14:textId="45258568" w:rsidR="00CB054C" w:rsidRPr="005970E9" w:rsidRDefault="4DF4B525" w:rsidP="00195C8F">
      <w:pPr>
        <w:spacing w:before="120" w:after="120" w:line="276" w:lineRule="auto"/>
        <w:jc w:val="both"/>
        <w:rPr>
          <w:lang w:val="es-ES"/>
        </w:rPr>
      </w:pPr>
      <w:r w:rsidRPr="005970E9">
        <w:rPr>
          <w:lang w:val="es-ES"/>
        </w:rPr>
        <w:t>L</w:t>
      </w:r>
      <w:r w:rsidR="00CB054C" w:rsidRPr="005970E9">
        <w:rPr>
          <w:lang w:val="es-ES"/>
        </w:rPr>
        <w:t xml:space="preserve">os datos también muestran un cambio en el último año, con respecto a años anteriores, donde el 76% (281) de los adolescentes en conflicto con la Ley se encuentra cumpliendo sanción, y un 24% (24) en espera de resultados de las investigaciones que puedan determinar qué tipo de medida deberá cumplir, este cambio repercute en mejoras en el sistema penal juvenil. </w:t>
      </w:r>
      <w:r w:rsidR="00CB054C" w:rsidRPr="005970E9">
        <w:rPr>
          <w:rStyle w:val="FootnoteReference"/>
          <w:lang w:val="es-ES"/>
        </w:rPr>
        <w:footnoteReference w:id="86"/>
      </w:r>
    </w:p>
    <w:p w14:paraId="2A97F8F0" w14:textId="731A4AC3" w:rsidR="00CB054C" w:rsidRPr="005970E9" w:rsidRDefault="008A61AF" w:rsidP="00065678">
      <w:pPr>
        <w:pStyle w:val="Caption"/>
        <w:rPr>
          <w:rFonts w:ascii="Century Schoolbook" w:hAnsi="Century Schoolbook"/>
          <w:i w:val="0"/>
          <w:iCs w:val="0"/>
          <w:sz w:val="20"/>
          <w:szCs w:val="20"/>
          <w:lang w:val="es-ES_tradnl"/>
        </w:rPr>
      </w:pPr>
      <w:bookmarkStart w:id="301" w:name="_Toc42549227"/>
      <w:r w:rsidRPr="005970E9">
        <w:rPr>
          <w:rFonts w:ascii="Century Schoolbook" w:hAnsi="Century Schoolbook"/>
          <w:i w:val="0"/>
          <w:iCs w:val="0"/>
          <w:sz w:val="20"/>
          <w:szCs w:val="20"/>
        </w:rPr>
        <w:lastRenderedPageBreak/>
        <w:t>Tabla</w:t>
      </w:r>
      <w:r w:rsidR="00065678" w:rsidRPr="005970E9">
        <w:rPr>
          <w:rFonts w:ascii="Century Schoolbook" w:hAnsi="Century Schoolbook"/>
          <w:i w:val="0"/>
          <w:iCs w:val="0"/>
          <w:sz w:val="20"/>
          <w:szCs w:val="20"/>
        </w:rPr>
        <w:t xml:space="preserve">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3F0C50">
        <w:rPr>
          <w:rFonts w:ascii="Century Schoolbook" w:hAnsi="Century Schoolbook"/>
          <w:i w:val="0"/>
          <w:iCs w:val="0"/>
          <w:noProof/>
          <w:sz w:val="20"/>
          <w:szCs w:val="20"/>
        </w:rPr>
        <w:t>33</w:t>
      </w:r>
      <w:r w:rsidRPr="005970E9">
        <w:rPr>
          <w:rFonts w:ascii="Century Schoolbook" w:hAnsi="Century Schoolbook"/>
          <w:i w:val="0"/>
          <w:iCs w:val="0"/>
          <w:sz w:val="20"/>
          <w:szCs w:val="20"/>
        </w:rPr>
        <w:fldChar w:fldCharType="end"/>
      </w:r>
      <w:r w:rsidR="00065678" w:rsidRPr="005970E9">
        <w:rPr>
          <w:rFonts w:ascii="Century Schoolbook" w:hAnsi="Century Schoolbook"/>
          <w:i w:val="0"/>
          <w:iCs w:val="0"/>
          <w:sz w:val="20"/>
          <w:szCs w:val="20"/>
        </w:rPr>
        <w:t xml:space="preserve">. </w:t>
      </w:r>
      <w:r w:rsidR="00CB054C" w:rsidRPr="005970E9">
        <w:rPr>
          <w:rFonts w:ascii="Century Schoolbook" w:eastAsiaTheme="minorEastAsia" w:hAnsi="Century Schoolbook"/>
          <w:i w:val="0"/>
          <w:iCs w:val="0"/>
          <w:color w:val="000000"/>
          <w:sz w:val="20"/>
          <w:szCs w:val="20"/>
          <w:lang w:eastAsia="en-US"/>
        </w:rPr>
        <w:t>Evolución de adolescentes privados de libertad según establecimiento (provincia). 2011-agosto 2019</w:t>
      </w:r>
      <w:bookmarkEnd w:id="301"/>
    </w:p>
    <w:tbl>
      <w:tblPr>
        <w:tblStyle w:val="ListTable3-Accent6"/>
        <w:tblW w:w="9390" w:type="dxa"/>
        <w:tblInd w:w="-431" w:type="dxa"/>
        <w:tblLayout w:type="fixed"/>
        <w:tblLook w:val="04A0" w:firstRow="1" w:lastRow="0" w:firstColumn="1" w:lastColumn="0" w:noHBand="0" w:noVBand="1"/>
      </w:tblPr>
      <w:tblGrid>
        <w:gridCol w:w="1584"/>
        <w:gridCol w:w="850"/>
        <w:gridCol w:w="851"/>
        <w:gridCol w:w="708"/>
        <w:gridCol w:w="861"/>
        <w:gridCol w:w="851"/>
        <w:gridCol w:w="850"/>
        <w:gridCol w:w="993"/>
        <w:gridCol w:w="850"/>
        <w:gridCol w:w="992"/>
      </w:tblGrid>
      <w:tr w:rsidR="001C716D" w:rsidRPr="005970E9" w14:paraId="43AEC966" w14:textId="77777777" w:rsidTr="00976ACA">
        <w:trPr>
          <w:cnfStyle w:val="100000000000" w:firstRow="1" w:lastRow="0" w:firstColumn="0" w:lastColumn="0" w:oddVBand="0" w:evenVBand="0" w:oddHBand="0" w:evenHBand="0" w:firstRowFirstColumn="0" w:firstRowLastColumn="0" w:lastRowFirstColumn="0" w:lastRowLastColumn="0"/>
          <w:trHeight w:val="108"/>
        </w:trPr>
        <w:tc>
          <w:tcPr>
            <w:cnfStyle w:val="001000000100" w:firstRow="0" w:lastRow="0" w:firstColumn="1" w:lastColumn="0" w:oddVBand="0" w:evenVBand="0" w:oddHBand="0" w:evenHBand="0" w:firstRowFirstColumn="1" w:firstRowLastColumn="0" w:lastRowFirstColumn="0" w:lastRowLastColumn="0"/>
            <w:tcW w:w="1583" w:type="dxa"/>
            <w:tcBorders>
              <w:left w:val="single" w:sz="4" w:space="0" w:color="F79646" w:themeColor="accent6"/>
              <w:right w:val="single" w:sz="4" w:space="0" w:color="F79646" w:themeColor="accent6"/>
            </w:tcBorders>
            <w:shd w:val="clear" w:color="auto" w:fill="B2A1C7" w:themeFill="accent4" w:themeFillTint="99"/>
          </w:tcPr>
          <w:p w14:paraId="2335CCDB" w14:textId="77777777" w:rsidR="00CB054C" w:rsidRPr="005970E9" w:rsidRDefault="00CB054C">
            <w:pPr>
              <w:autoSpaceDE w:val="0"/>
              <w:autoSpaceDN w:val="0"/>
              <w:adjustRightInd w:val="0"/>
              <w:spacing w:before="120" w:after="120" w:line="276" w:lineRule="auto"/>
              <w:rPr>
                <w:color w:val="000000"/>
                <w:sz w:val="20"/>
                <w:szCs w:val="20"/>
              </w:rPr>
            </w:pPr>
          </w:p>
        </w:tc>
        <w:tc>
          <w:tcPr>
            <w:tcW w:w="850" w:type="dxa"/>
            <w:tcBorders>
              <w:left w:val="nil"/>
              <w:right w:val="nil"/>
            </w:tcBorders>
            <w:shd w:val="clear" w:color="auto" w:fill="B2A1C7" w:themeFill="accent4" w:themeFillTint="99"/>
            <w:hideMark/>
          </w:tcPr>
          <w:p w14:paraId="6200B3D7" w14:textId="77777777" w:rsidR="00CB054C" w:rsidRPr="005970E9" w:rsidRDefault="00CB054C">
            <w:pPr>
              <w:autoSpaceDE w:val="0"/>
              <w:autoSpaceDN w:val="0"/>
              <w:adjustRightInd w:val="0"/>
              <w:spacing w:before="120" w:after="120" w:line="276" w:lineRule="auto"/>
              <w:cnfStyle w:val="100000000000" w:firstRow="1" w:lastRow="0" w:firstColumn="0" w:lastColumn="0" w:oddVBand="0" w:evenVBand="0" w:oddHBand="0" w:evenHBand="0" w:firstRowFirstColumn="0" w:firstRowLastColumn="0" w:lastRowFirstColumn="0" w:lastRowLastColumn="0"/>
              <w:rPr>
                <w:color w:val="000000"/>
                <w:sz w:val="20"/>
                <w:szCs w:val="20"/>
              </w:rPr>
            </w:pPr>
            <w:r w:rsidRPr="005970E9">
              <w:rPr>
                <w:b w:val="0"/>
                <w:bCs w:val="0"/>
                <w:color w:val="000000"/>
                <w:sz w:val="20"/>
                <w:szCs w:val="20"/>
              </w:rPr>
              <w:t>2011</w:t>
            </w:r>
          </w:p>
        </w:tc>
        <w:tc>
          <w:tcPr>
            <w:tcW w:w="851" w:type="dxa"/>
            <w:tcBorders>
              <w:left w:val="single" w:sz="4" w:space="0" w:color="F79646" w:themeColor="accent6"/>
              <w:right w:val="single" w:sz="4" w:space="0" w:color="F79646" w:themeColor="accent6"/>
            </w:tcBorders>
            <w:shd w:val="clear" w:color="auto" w:fill="B2A1C7" w:themeFill="accent4" w:themeFillTint="99"/>
            <w:hideMark/>
          </w:tcPr>
          <w:p w14:paraId="5000277B" w14:textId="77777777" w:rsidR="00CB054C" w:rsidRPr="005970E9" w:rsidRDefault="00CB054C">
            <w:pPr>
              <w:autoSpaceDE w:val="0"/>
              <w:autoSpaceDN w:val="0"/>
              <w:adjustRightInd w:val="0"/>
              <w:spacing w:before="120" w:after="120" w:line="276" w:lineRule="auto"/>
              <w:cnfStyle w:val="100000000000" w:firstRow="1" w:lastRow="0" w:firstColumn="0" w:lastColumn="0" w:oddVBand="0" w:evenVBand="0" w:oddHBand="0" w:evenHBand="0" w:firstRowFirstColumn="0" w:firstRowLastColumn="0" w:lastRowFirstColumn="0" w:lastRowLastColumn="0"/>
              <w:rPr>
                <w:color w:val="000000"/>
                <w:sz w:val="20"/>
                <w:szCs w:val="20"/>
              </w:rPr>
            </w:pPr>
            <w:r w:rsidRPr="005970E9">
              <w:rPr>
                <w:b w:val="0"/>
                <w:bCs w:val="0"/>
                <w:color w:val="000000"/>
                <w:sz w:val="20"/>
                <w:szCs w:val="20"/>
              </w:rPr>
              <w:t>2012</w:t>
            </w:r>
          </w:p>
        </w:tc>
        <w:tc>
          <w:tcPr>
            <w:tcW w:w="708" w:type="dxa"/>
            <w:tcBorders>
              <w:left w:val="nil"/>
              <w:right w:val="nil"/>
            </w:tcBorders>
            <w:shd w:val="clear" w:color="auto" w:fill="B2A1C7" w:themeFill="accent4" w:themeFillTint="99"/>
            <w:hideMark/>
          </w:tcPr>
          <w:p w14:paraId="30F7747F" w14:textId="77777777" w:rsidR="00CB054C" w:rsidRPr="005970E9" w:rsidRDefault="00CB054C">
            <w:pPr>
              <w:autoSpaceDE w:val="0"/>
              <w:autoSpaceDN w:val="0"/>
              <w:adjustRightInd w:val="0"/>
              <w:spacing w:before="120" w:after="120" w:line="276" w:lineRule="auto"/>
              <w:cnfStyle w:val="100000000000" w:firstRow="1" w:lastRow="0" w:firstColumn="0" w:lastColumn="0" w:oddVBand="0" w:evenVBand="0" w:oddHBand="0" w:evenHBand="0" w:firstRowFirstColumn="0" w:firstRowLastColumn="0" w:lastRowFirstColumn="0" w:lastRowLastColumn="0"/>
              <w:rPr>
                <w:color w:val="000000"/>
                <w:sz w:val="20"/>
                <w:szCs w:val="20"/>
              </w:rPr>
            </w:pPr>
            <w:r w:rsidRPr="005970E9">
              <w:rPr>
                <w:b w:val="0"/>
                <w:bCs w:val="0"/>
                <w:color w:val="000000"/>
                <w:sz w:val="20"/>
                <w:szCs w:val="20"/>
              </w:rPr>
              <w:t>2013</w:t>
            </w:r>
          </w:p>
        </w:tc>
        <w:tc>
          <w:tcPr>
            <w:tcW w:w="861" w:type="dxa"/>
            <w:tcBorders>
              <w:left w:val="single" w:sz="4" w:space="0" w:color="F79646" w:themeColor="accent6"/>
              <w:right w:val="single" w:sz="4" w:space="0" w:color="F79646" w:themeColor="accent6"/>
            </w:tcBorders>
            <w:shd w:val="clear" w:color="auto" w:fill="B2A1C7" w:themeFill="accent4" w:themeFillTint="99"/>
            <w:hideMark/>
          </w:tcPr>
          <w:p w14:paraId="203D0BAC" w14:textId="77777777" w:rsidR="00CB054C" w:rsidRPr="005970E9" w:rsidRDefault="00CB054C">
            <w:pPr>
              <w:autoSpaceDE w:val="0"/>
              <w:autoSpaceDN w:val="0"/>
              <w:adjustRightInd w:val="0"/>
              <w:spacing w:before="120" w:after="120" w:line="276" w:lineRule="auto"/>
              <w:cnfStyle w:val="100000000000" w:firstRow="1" w:lastRow="0" w:firstColumn="0" w:lastColumn="0" w:oddVBand="0" w:evenVBand="0" w:oddHBand="0" w:evenHBand="0" w:firstRowFirstColumn="0" w:firstRowLastColumn="0" w:lastRowFirstColumn="0" w:lastRowLastColumn="0"/>
              <w:rPr>
                <w:color w:val="000000"/>
                <w:sz w:val="20"/>
                <w:szCs w:val="20"/>
              </w:rPr>
            </w:pPr>
            <w:r w:rsidRPr="005970E9">
              <w:rPr>
                <w:b w:val="0"/>
                <w:bCs w:val="0"/>
                <w:color w:val="000000"/>
                <w:sz w:val="20"/>
                <w:szCs w:val="20"/>
              </w:rPr>
              <w:t>2014</w:t>
            </w:r>
          </w:p>
        </w:tc>
        <w:tc>
          <w:tcPr>
            <w:tcW w:w="851" w:type="dxa"/>
            <w:tcBorders>
              <w:left w:val="nil"/>
              <w:right w:val="nil"/>
            </w:tcBorders>
            <w:shd w:val="clear" w:color="auto" w:fill="B2A1C7" w:themeFill="accent4" w:themeFillTint="99"/>
            <w:hideMark/>
          </w:tcPr>
          <w:p w14:paraId="60F58FA9" w14:textId="77777777" w:rsidR="00CB054C" w:rsidRPr="005970E9" w:rsidRDefault="00CB054C">
            <w:pPr>
              <w:autoSpaceDE w:val="0"/>
              <w:autoSpaceDN w:val="0"/>
              <w:adjustRightInd w:val="0"/>
              <w:spacing w:before="120" w:after="120" w:line="276" w:lineRule="auto"/>
              <w:cnfStyle w:val="100000000000" w:firstRow="1" w:lastRow="0" w:firstColumn="0" w:lastColumn="0" w:oddVBand="0" w:evenVBand="0" w:oddHBand="0" w:evenHBand="0" w:firstRowFirstColumn="0" w:firstRowLastColumn="0" w:lastRowFirstColumn="0" w:lastRowLastColumn="0"/>
              <w:rPr>
                <w:color w:val="000000"/>
                <w:sz w:val="20"/>
                <w:szCs w:val="20"/>
              </w:rPr>
            </w:pPr>
            <w:r w:rsidRPr="005970E9">
              <w:rPr>
                <w:b w:val="0"/>
                <w:bCs w:val="0"/>
                <w:color w:val="000000"/>
                <w:sz w:val="20"/>
                <w:szCs w:val="20"/>
              </w:rPr>
              <w:t>2015</w:t>
            </w:r>
          </w:p>
        </w:tc>
        <w:tc>
          <w:tcPr>
            <w:tcW w:w="850" w:type="dxa"/>
            <w:tcBorders>
              <w:left w:val="single" w:sz="4" w:space="0" w:color="F79646" w:themeColor="accent6"/>
              <w:right w:val="single" w:sz="4" w:space="0" w:color="F79646" w:themeColor="accent6"/>
            </w:tcBorders>
            <w:shd w:val="clear" w:color="auto" w:fill="B2A1C7" w:themeFill="accent4" w:themeFillTint="99"/>
            <w:hideMark/>
          </w:tcPr>
          <w:p w14:paraId="47953FDA" w14:textId="77777777" w:rsidR="00CB054C" w:rsidRPr="005970E9" w:rsidRDefault="00CB054C">
            <w:pPr>
              <w:autoSpaceDE w:val="0"/>
              <w:autoSpaceDN w:val="0"/>
              <w:adjustRightInd w:val="0"/>
              <w:spacing w:before="120" w:after="120" w:line="276" w:lineRule="auto"/>
              <w:cnfStyle w:val="100000000000" w:firstRow="1" w:lastRow="0" w:firstColumn="0" w:lastColumn="0" w:oddVBand="0" w:evenVBand="0" w:oddHBand="0" w:evenHBand="0" w:firstRowFirstColumn="0" w:firstRowLastColumn="0" w:lastRowFirstColumn="0" w:lastRowLastColumn="0"/>
              <w:rPr>
                <w:color w:val="000000"/>
                <w:sz w:val="20"/>
                <w:szCs w:val="20"/>
              </w:rPr>
            </w:pPr>
            <w:r w:rsidRPr="005970E9">
              <w:rPr>
                <w:b w:val="0"/>
                <w:bCs w:val="0"/>
                <w:color w:val="000000"/>
                <w:sz w:val="20"/>
                <w:szCs w:val="20"/>
              </w:rPr>
              <w:t xml:space="preserve">   2016</w:t>
            </w:r>
          </w:p>
        </w:tc>
        <w:tc>
          <w:tcPr>
            <w:tcW w:w="993" w:type="dxa"/>
            <w:tcBorders>
              <w:left w:val="nil"/>
              <w:right w:val="nil"/>
            </w:tcBorders>
            <w:shd w:val="clear" w:color="auto" w:fill="B2A1C7" w:themeFill="accent4" w:themeFillTint="99"/>
            <w:hideMark/>
          </w:tcPr>
          <w:p w14:paraId="43BF78E5" w14:textId="77777777" w:rsidR="00CB054C" w:rsidRPr="005970E9" w:rsidRDefault="00CB054C">
            <w:pPr>
              <w:autoSpaceDE w:val="0"/>
              <w:autoSpaceDN w:val="0"/>
              <w:adjustRightInd w:val="0"/>
              <w:spacing w:before="120" w:after="120" w:line="276" w:lineRule="auto"/>
              <w:cnfStyle w:val="100000000000" w:firstRow="1" w:lastRow="0" w:firstColumn="0" w:lastColumn="0" w:oddVBand="0" w:evenVBand="0" w:oddHBand="0" w:evenHBand="0" w:firstRowFirstColumn="0" w:firstRowLastColumn="0" w:lastRowFirstColumn="0" w:lastRowLastColumn="0"/>
              <w:rPr>
                <w:color w:val="000000"/>
                <w:sz w:val="20"/>
                <w:szCs w:val="20"/>
              </w:rPr>
            </w:pPr>
            <w:r w:rsidRPr="005970E9">
              <w:rPr>
                <w:b w:val="0"/>
                <w:bCs w:val="0"/>
                <w:color w:val="000000"/>
                <w:sz w:val="20"/>
                <w:szCs w:val="20"/>
              </w:rPr>
              <w:t xml:space="preserve">2017 </w:t>
            </w:r>
          </w:p>
        </w:tc>
        <w:tc>
          <w:tcPr>
            <w:tcW w:w="850" w:type="dxa"/>
            <w:tcBorders>
              <w:left w:val="single" w:sz="4" w:space="0" w:color="F79646" w:themeColor="accent6"/>
              <w:right w:val="single" w:sz="4" w:space="0" w:color="F79646" w:themeColor="accent6"/>
            </w:tcBorders>
            <w:shd w:val="clear" w:color="auto" w:fill="B2A1C7" w:themeFill="accent4" w:themeFillTint="99"/>
            <w:hideMark/>
          </w:tcPr>
          <w:p w14:paraId="238DB5D8" w14:textId="77777777" w:rsidR="00CB054C" w:rsidRPr="005970E9" w:rsidRDefault="00CB054C">
            <w:pPr>
              <w:autoSpaceDE w:val="0"/>
              <w:autoSpaceDN w:val="0"/>
              <w:adjustRightInd w:val="0"/>
              <w:spacing w:before="120" w:after="120" w:line="276" w:lineRule="auto"/>
              <w:cnfStyle w:val="100000000000" w:firstRow="1" w:lastRow="0" w:firstColumn="0" w:lastColumn="0" w:oddVBand="0" w:evenVBand="0" w:oddHBand="0" w:evenHBand="0" w:firstRowFirstColumn="0" w:firstRowLastColumn="0" w:lastRowFirstColumn="0" w:lastRowLastColumn="0"/>
              <w:rPr>
                <w:color w:val="000000"/>
                <w:sz w:val="20"/>
                <w:szCs w:val="20"/>
              </w:rPr>
            </w:pPr>
            <w:r w:rsidRPr="005970E9">
              <w:rPr>
                <w:b w:val="0"/>
                <w:bCs w:val="0"/>
                <w:color w:val="000000"/>
                <w:sz w:val="20"/>
                <w:szCs w:val="20"/>
              </w:rPr>
              <w:t xml:space="preserve">2018 </w:t>
            </w:r>
          </w:p>
        </w:tc>
        <w:tc>
          <w:tcPr>
            <w:tcW w:w="992" w:type="dxa"/>
            <w:tcBorders>
              <w:left w:val="nil"/>
              <w:right w:val="single" w:sz="4" w:space="0" w:color="F79646" w:themeColor="accent6"/>
            </w:tcBorders>
            <w:shd w:val="clear" w:color="auto" w:fill="B2A1C7" w:themeFill="accent4" w:themeFillTint="99"/>
            <w:hideMark/>
          </w:tcPr>
          <w:p w14:paraId="0E85F258" w14:textId="77777777" w:rsidR="00CB054C" w:rsidRPr="005970E9" w:rsidRDefault="00CB054C">
            <w:pPr>
              <w:autoSpaceDE w:val="0"/>
              <w:autoSpaceDN w:val="0"/>
              <w:adjustRightInd w:val="0"/>
              <w:spacing w:before="120" w:after="120" w:line="276" w:lineRule="auto"/>
              <w:cnfStyle w:val="100000000000" w:firstRow="1" w:lastRow="0" w:firstColumn="0" w:lastColumn="0" w:oddVBand="0" w:evenVBand="0" w:oddHBand="0" w:evenHBand="0" w:firstRowFirstColumn="0" w:firstRowLastColumn="0" w:lastRowFirstColumn="0" w:lastRowLastColumn="0"/>
              <w:rPr>
                <w:color w:val="000000"/>
                <w:sz w:val="20"/>
                <w:szCs w:val="20"/>
              </w:rPr>
            </w:pPr>
            <w:r w:rsidRPr="005970E9">
              <w:rPr>
                <w:b w:val="0"/>
                <w:bCs w:val="0"/>
                <w:color w:val="000000"/>
                <w:sz w:val="20"/>
                <w:szCs w:val="20"/>
              </w:rPr>
              <w:t xml:space="preserve">Agosto 2019 </w:t>
            </w:r>
          </w:p>
        </w:tc>
      </w:tr>
      <w:tr w:rsidR="001C716D" w:rsidRPr="005970E9" w14:paraId="778D3DFD" w14:textId="77777777" w:rsidTr="00CB054C">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583" w:type="dxa"/>
            <w:tcBorders>
              <w:top w:val="nil"/>
              <w:left w:val="single" w:sz="4" w:space="0" w:color="F79646" w:themeColor="accent6"/>
              <w:bottom w:val="nil"/>
              <w:right w:val="single" w:sz="4" w:space="0" w:color="F79646" w:themeColor="accent6"/>
            </w:tcBorders>
            <w:hideMark/>
          </w:tcPr>
          <w:p w14:paraId="23712712" w14:textId="77777777" w:rsidR="00CB054C" w:rsidRPr="005970E9" w:rsidRDefault="00CB054C">
            <w:pPr>
              <w:autoSpaceDE w:val="0"/>
              <w:autoSpaceDN w:val="0"/>
              <w:adjustRightInd w:val="0"/>
              <w:spacing w:before="120" w:after="120" w:line="276" w:lineRule="auto"/>
              <w:rPr>
                <w:b w:val="0"/>
                <w:bCs w:val="0"/>
                <w:color w:val="000000"/>
                <w:sz w:val="20"/>
                <w:szCs w:val="20"/>
              </w:rPr>
            </w:pPr>
            <w:r w:rsidRPr="005970E9">
              <w:rPr>
                <w:color w:val="000000"/>
                <w:sz w:val="20"/>
                <w:szCs w:val="20"/>
              </w:rPr>
              <w:t xml:space="preserve">Centro de Cumplimiento de Pacora </w:t>
            </w:r>
          </w:p>
        </w:tc>
        <w:tc>
          <w:tcPr>
            <w:tcW w:w="850" w:type="dxa"/>
            <w:tcBorders>
              <w:top w:val="nil"/>
              <w:left w:val="nil"/>
              <w:bottom w:val="nil"/>
              <w:right w:val="nil"/>
            </w:tcBorders>
            <w:hideMark/>
          </w:tcPr>
          <w:p w14:paraId="46F4AF49"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81 </w:t>
            </w:r>
          </w:p>
        </w:tc>
        <w:tc>
          <w:tcPr>
            <w:tcW w:w="851" w:type="dxa"/>
            <w:tcBorders>
              <w:top w:val="nil"/>
              <w:left w:val="single" w:sz="4" w:space="0" w:color="F79646" w:themeColor="accent6"/>
              <w:bottom w:val="nil"/>
              <w:right w:val="single" w:sz="4" w:space="0" w:color="F79646" w:themeColor="accent6"/>
            </w:tcBorders>
            <w:hideMark/>
          </w:tcPr>
          <w:p w14:paraId="33F563E1"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80 </w:t>
            </w:r>
          </w:p>
        </w:tc>
        <w:tc>
          <w:tcPr>
            <w:tcW w:w="708" w:type="dxa"/>
            <w:tcBorders>
              <w:top w:val="nil"/>
              <w:left w:val="nil"/>
              <w:bottom w:val="nil"/>
              <w:right w:val="nil"/>
            </w:tcBorders>
            <w:hideMark/>
          </w:tcPr>
          <w:p w14:paraId="680578D7"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151 </w:t>
            </w:r>
          </w:p>
        </w:tc>
        <w:tc>
          <w:tcPr>
            <w:tcW w:w="861" w:type="dxa"/>
            <w:tcBorders>
              <w:top w:val="nil"/>
              <w:left w:val="single" w:sz="4" w:space="0" w:color="F79646" w:themeColor="accent6"/>
              <w:bottom w:val="nil"/>
              <w:right w:val="single" w:sz="4" w:space="0" w:color="F79646" w:themeColor="accent6"/>
            </w:tcBorders>
            <w:hideMark/>
          </w:tcPr>
          <w:p w14:paraId="34F9C299"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113 </w:t>
            </w:r>
          </w:p>
        </w:tc>
        <w:tc>
          <w:tcPr>
            <w:tcW w:w="851" w:type="dxa"/>
            <w:tcBorders>
              <w:top w:val="nil"/>
              <w:left w:val="nil"/>
              <w:bottom w:val="nil"/>
              <w:right w:val="nil"/>
            </w:tcBorders>
            <w:hideMark/>
          </w:tcPr>
          <w:p w14:paraId="6CAB3009"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148 </w:t>
            </w:r>
          </w:p>
        </w:tc>
        <w:tc>
          <w:tcPr>
            <w:tcW w:w="850" w:type="dxa"/>
            <w:tcBorders>
              <w:top w:val="nil"/>
              <w:left w:val="single" w:sz="4" w:space="0" w:color="F79646" w:themeColor="accent6"/>
              <w:bottom w:val="nil"/>
              <w:right w:val="single" w:sz="4" w:space="0" w:color="F79646" w:themeColor="accent6"/>
            </w:tcBorders>
            <w:hideMark/>
          </w:tcPr>
          <w:p w14:paraId="7E5EBBE8"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124 </w:t>
            </w:r>
          </w:p>
        </w:tc>
        <w:tc>
          <w:tcPr>
            <w:tcW w:w="993" w:type="dxa"/>
            <w:tcBorders>
              <w:top w:val="nil"/>
              <w:left w:val="nil"/>
              <w:bottom w:val="nil"/>
              <w:right w:val="nil"/>
            </w:tcBorders>
            <w:hideMark/>
          </w:tcPr>
          <w:p w14:paraId="135BB031"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143 </w:t>
            </w:r>
          </w:p>
        </w:tc>
        <w:tc>
          <w:tcPr>
            <w:tcW w:w="850" w:type="dxa"/>
            <w:tcBorders>
              <w:top w:val="nil"/>
              <w:left w:val="single" w:sz="4" w:space="0" w:color="F79646" w:themeColor="accent6"/>
              <w:bottom w:val="nil"/>
              <w:right w:val="single" w:sz="4" w:space="0" w:color="F79646" w:themeColor="accent6"/>
            </w:tcBorders>
            <w:hideMark/>
          </w:tcPr>
          <w:p w14:paraId="3F82F37C"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161 </w:t>
            </w:r>
          </w:p>
        </w:tc>
        <w:tc>
          <w:tcPr>
            <w:tcW w:w="992" w:type="dxa"/>
            <w:tcBorders>
              <w:top w:val="nil"/>
              <w:left w:val="nil"/>
              <w:bottom w:val="nil"/>
              <w:right w:val="single" w:sz="4" w:space="0" w:color="F79646" w:themeColor="accent6"/>
            </w:tcBorders>
            <w:hideMark/>
          </w:tcPr>
          <w:p w14:paraId="1DC3B1EB"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129</w:t>
            </w:r>
          </w:p>
        </w:tc>
      </w:tr>
      <w:tr w:rsidR="00CB054C" w:rsidRPr="005970E9" w14:paraId="693BD8A5" w14:textId="77777777" w:rsidTr="00CB054C">
        <w:trPr>
          <w:trHeight w:val="108"/>
        </w:trPr>
        <w:tc>
          <w:tcPr>
            <w:cnfStyle w:val="001000000000" w:firstRow="0" w:lastRow="0" w:firstColumn="1" w:lastColumn="0" w:oddVBand="0" w:evenVBand="0" w:oddHBand="0" w:evenHBand="0" w:firstRowFirstColumn="0" w:firstRowLastColumn="0" w:lastRowFirstColumn="0" w:lastRowLastColumn="0"/>
            <w:tcW w:w="1583" w:type="dxa"/>
            <w:tcBorders>
              <w:left w:val="single" w:sz="4" w:space="0" w:color="F79646" w:themeColor="accent6"/>
              <w:right w:val="single" w:sz="4" w:space="0" w:color="F79646" w:themeColor="accent6"/>
            </w:tcBorders>
            <w:hideMark/>
          </w:tcPr>
          <w:p w14:paraId="009006E7" w14:textId="77777777" w:rsidR="00CB054C" w:rsidRPr="005970E9" w:rsidRDefault="00CB054C">
            <w:pPr>
              <w:autoSpaceDE w:val="0"/>
              <w:autoSpaceDN w:val="0"/>
              <w:adjustRightInd w:val="0"/>
              <w:spacing w:before="120" w:after="120" w:line="276" w:lineRule="auto"/>
              <w:rPr>
                <w:color w:val="000000"/>
                <w:sz w:val="20"/>
                <w:szCs w:val="20"/>
              </w:rPr>
            </w:pPr>
            <w:r w:rsidRPr="005970E9">
              <w:rPr>
                <w:color w:val="000000"/>
                <w:sz w:val="20"/>
                <w:szCs w:val="20"/>
              </w:rPr>
              <w:t xml:space="preserve">Centro de Custodia de Arco Iris </w:t>
            </w:r>
          </w:p>
        </w:tc>
        <w:tc>
          <w:tcPr>
            <w:tcW w:w="850" w:type="dxa"/>
            <w:tcBorders>
              <w:left w:val="nil"/>
              <w:right w:val="nil"/>
            </w:tcBorders>
            <w:hideMark/>
          </w:tcPr>
          <w:p w14:paraId="3065864A"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124 </w:t>
            </w:r>
          </w:p>
        </w:tc>
        <w:tc>
          <w:tcPr>
            <w:tcW w:w="851" w:type="dxa"/>
            <w:tcBorders>
              <w:left w:val="single" w:sz="4" w:space="0" w:color="F79646" w:themeColor="accent6"/>
              <w:right w:val="single" w:sz="4" w:space="0" w:color="F79646" w:themeColor="accent6"/>
            </w:tcBorders>
            <w:hideMark/>
          </w:tcPr>
          <w:p w14:paraId="41DD8B77"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147 </w:t>
            </w:r>
          </w:p>
        </w:tc>
        <w:tc>
          <w:tcPr>
            <w:tcW w:w="708" w:type="dxa"/>
            <w:tcBorders>
              <w:left w:val="nil"/>
              <w:right w:val="nil"/>
            </w:tcBorders>
            <w:hideMark/>
          </w:tcPr>
          <w:p w14:paraId="6B3C3D9D"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298 </w:t>
            </w:r>
          </w:p>
        </w:tc>
        <w:tc>
          <w:tcPr>
            <w:tcW w:w="861" w:type="dxa"/>
            <w:tcBorders>
              <w:left w:val="single" w:sz="4" w:space="0" w:color="F79646" w:themeColor="accent6"/>
              <w:right w:val="single" w:sz="4" w:space="0" w:color="F79646" w:themeColor="accent6"/>
            </w:tcBorders>
            <w:hideMark/>
          </w:tcPr>
          <w:p w14:paraId="0114AF6B"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194 </w:t>
            </w:r>
          </w:p>
        </w:tc>
        <w:tc>
          <w:tcPr>
            <w:tcW w:w="851" w:type="dxa"/>
            <w:tcBorders>
              <w:left w:val="nil"/>
              <w:right w:val="nil"/>
            </w:tcBorders>
            <w:hideMark/>
          </w:tcPr>
          <w:p w14:paraId="119A4742"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154 </w:t>
            </w:r>
          </w:p>
        </w:tc>
        <w:tc>
          <w:tcPr>
            <w:tcW w:w="850" w:type="dxa"/>
            <w:tcBorders>
              <w:left w:val="single" w:sz="4" w:space="0" w:color="F79646" w:themeColor="accent6"/>
              <w:right w:val="single" w:sz="4" w:space="0" w:color="F79646" w:themeColor="accent6"/>
            </w:tcBorders>
            <w:hideMark/>
          </w:tcPr>
          <w:p w14:paraId="66AC68F8"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72 </w:t>
            </w:r>
          </w:p>
        </w:tc>
        <w:tc>
          <w:tcPr>
            <w:tcW w:w="993" w:type="dxa"/>
            <w:tcBorders>
              <w:left w:val="nil"/>
              <w:right w:val="nil"/>
            </w:tcBorders>
            <w:hideMark/>
          </w:tcPr>
          <w:p w14:paraId="7F43EE0F"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46 </w:t>
            </w:r>
          </w:p>
        </w:tc>
        <w:tc>
          <w:tcPr>
            <w:tcW w:w="850" w:type="dxa"/>
            <w:tcBorders>
              <w:left w:val="single" w:sz="4" w:space="0" w:color="F79646" w:themeColor="accent6"/>
              <w:right w:val="single" w:sz="4" w:space="0" w:color="F79646" w:themeColor="accent6"/>
            </w:tcBorders>
            <w:hideMark/>
          </w:tcPr>
          <w:p w14:paraId="6C10B6A0"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40 </w:t>
            </w:r>
          </w:p>
        </w:tc>
        <w:tc>
          <w:tcPr>
            <w:tcW w:w="992" w:type="dxa"/>
            <w:tcBorders>
              <w:left w:val="nil"/>
              <w:right w:val="single" w:sz="4" w:space="0" w:color="F79646" w:themeColor="accent6"/>
            </w:tcBorders>
            <w:hideMark/>
          </w:tcPr>
          <w:p w14:paraId="583AF7A8"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32</w:t>
            </w:r>
          </w:p>
        </w:tc>
      </w:tr>
      <w:tr w:rsidR="001C716D" w:rsidRPr="005970E9" w14:paraId="568E0608" w14:textId="77777777" w:rsidTr="00CB054C">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583" w:type="dxa"/>
            <w:tcBorders>
              <w:top w:val="nil"/>
              <w:left w:val="single" w:sz="4" w:space="0" w:color="F79646" w:themeColor="accent6"/>
              <w:bottom w:val="nil"/>
              <w:right w:val="single" w:sz="4" w:space="0" w:color="F79646" w:themeColor="accent6"/>
            </w:tcBorders>
            <w:hideMark/>
          </w:tcPr>
          <w:p w14:paraId="37F3325F" w14:textId="77777777" w:rsidR="00CB054C" w:rsidRPr="005970E9" w:rsidRDefault="00CB054C">
            <w:pPr>
              <w:autoSpaceDE w:val="0"/>
              <w:autoSpaceDN w:val="0"/>
              <w:adjustRightInd w:val="0"/>
              <w:spacing w:before="120" w:after="120" w:line="276" w:lineRule="auto"/>
              <w:rPr>
                <w:color w:val="000000"/>
                <w:sz w:val="20"/>
                <w:szCs w:val="20"/>
              </w:rPr>
            </w:pPr>
            <w:r w:rsidRPr="005970E9">
              <w:rPr>
                <w:color w:val="000000"/>
                <w:sz w:val="20"/>
                <w:szCs w:val="20"/>
              </w:rPr>
              <w:t xml:space="preserve">Centro Femenino </w:t>
            </w:r>
          </w:p>
        </w:tc>
        <w:tc>
          <w:tcPr>
            <w:tcW w:w="850" w:type="dxa"/>
            <w:tcBorders>
              <w:top w:val="nil"/>
              <w:left w:val="nil"/>
              <w:bottom w:val="nil"/>
              <w:right w:val="nil"/>
            </w:tcBorders>
            <w:hideMark/>
          </w:tcPr>
          <w:p w14:paraId="07E026BB"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12 </w:t>
            </w:r>
          </w:p>
        </w:tc>
        <w:tc>
          <w:tcPr>
            <w:tcW w:w="851" w:type="dxa"/>
            <w:tcBorders>
              <w:top w:val="nil"/>
              <w:left w:val="single" w:sz="4" w:space="0" w:color="F79646" w:themeColor="accent6"/>
              <w:bottom w:val="nil"/>
              <w:right w:val="single" w:sz="4" w:space="0" w:color="F79646" w:themeColor="accent6"/>
            </w:tcBorders>
            <w:hideMark/>
          </w:tcPr>
          <w:p w14:paraId="3D3A7A99"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15 </w:t>
            </w:r>
          </w:p>
        </w:tc>
        <w:tc>
          <w:tcPr>
            <w:tcW w:w="708" w:type="dxa"/>
            <w:tcBorders>
              <w:top w:val="nil"/>
              <w:left w:val="nil"/>
              <w:bottom w:val="nil"/>
              <w:right w:val="nil"/>
            </w:tcBorders>
            <w:hideMark/>
          </w:tcPr>
          <w:p w14:paraId="077E0EEF"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17 </w:t>
            </w:r>
          </w:p>
        </w:tc>
        <w:tc>
          <w:tcPr>
            <w:tcW w:w="861" w:type="dxa"/>
            <w:tcBorders>
              <w:top w:val="nil"/>
              <w:left w:val="single" w:sz="4" w:space="0" w:color="F79646" w:themeColor="accent6"/>
              <w:bottom w:val="nil"/>
              <w:right w:val="single" w:sz="4" w:space="0" w:color="F79646" w:themeColor="accent6"/>
            </w:tcBorders>
            <w:hideMark/>
          </w:tcPr>
          <w:p w14:paraId="0A0FA804"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10 </w:t>
            </w:r>
          </w:p>
        </w:tc>
        <w:tc>
          <w:tcPr>
            <w:tcW w:w="851" w:type="dxa"/>
            <w:tcBorders>
              <w:top w:val="nil"/>
              <w:left w:val="nil"/>
              <w:bottom w:val="nil"/>
              <w:right w:val="nil"/>
            </w:tcBorders>
            <w:hideMark/>
          </w:tcPr>
          <w:p w14:paraId="15AD55FB"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8 </w:t>
            </w:r>
          </w:p>
        </w:tc>
        <w:tc>
          <w:tcPr>
            <w:tcW w:w="850" w:type="dxa"/>
            <w:tcBorders>
              <w:top w:val="nil"/>
              <w:left w:val="single" w:sz="4" w:space="0" w:color="F79646" w:themeColor="accent6"/>
              <w:bottom w:val="nil"/>
              <w:right w:val="single" w:sz="4" w:space="0" w:color="F79646" w:themeColor="accent6"/>
            </w:tcBorders>
            <w:hideMark/>
          </w:tcPr>
          <w:p w14:paraId="35C83E53"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2 </w:t>
            </w:r>
          </w:p>
        </w:tc>
        <w:tc>
          <w:tcPr>
            <w:tcW w:w="993" w:type="dxa"/>
            <w:tcBorders>
              <w:top w:val="nil"/>
              <w:left w:val="nil"/>
              <w:bottom w:val="nil"/>
              <w:right w:val="nil"/>
            </w:tcBorders>
            <w:hideMark/>
          </w:tcPr>
          <w:p w14:paraId="5E0BBC35"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4 </w:t>
            </w:r>
          </w:p>
        </w:tc>
        <w:tc>
          <w:tcPr>
            <w:tcW w:w="850" w:type="dxa"/>
            <w:tcBorders>
              <w:top w:val="nil"/>
              <w:left w:val="single" w:sz="4" w:space="0" w:color="F79646" w:themeColor="accent6"/>
              <w:bottom w:val="nil"/>
              <w:right w:val="single" w:sz="4" w:space="0" w:color="F79646" w:themeColor="accent6"/>
            </w:tcBorders>
            <w:hideMark/>
          </w:tcPr>
          <w:p w14:paraId="03403717"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7 </w:t>
            </w:r>
          </w:p>
        </w:tc>
        <w:tc>
          <w:tcPr>
            <w:tcW w:w="992" w:type="dxa"/>
            <w:tcBorders>
              <w:top w:val="nil"/>
              <w:left w:val="nil"/>
              <w:bottom w:val="nil"/>
              <w:right w:val="single" w:sz="4" w:space="0" w:color="F79646" w:themeColor="accent6"/>
            </w:tcBorders>
            <w:hideMark/>
          </w:tcPr>
          <w:p w14:paraId="518E2E2B"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7</w:t>
            </w:r>
          </w:p>
        </w:tc>
      </w:tr>
      <w:tr w:rsidR="00CB054C" w:rsidRPr="005970E9" w14:paraId="722A7607" w14:textId="77777777" w:rsidTr="00CB054C">
        <w:trPr>
          <w:trHeight w:val="108"/>
        </w:trPr>
        <w:tc>
          <w:tcPr>
            <w:cnfStyle w:val="001000000000" w:firstRow="0" w:lastRow="0" w:firstColumn="1" w:lastColumn="0" w:oddVBand="0" w:evenVBand="0" w:oddHBand="0" w:evenHBand="0" w:firstRowFirstColumn="0" w:firstRowLastColumn="0" w:lastRowFirstColumn="0" w:lastRowLastColumn="0"/>
            <w:tcW w:w="1583" w:type="dxa"/>
            <w:tcBorders>
              <w:left w:val="single" w:sz="4" w:space="0" w:color="F79646" w:themeColor="accent6"/>
              <w:right w:val="single" w:sz="4" w:space="0" w:color="F79646" w:themeColor="accent6"/>
            </w:tcBorders>
            <w:hideMark/>
          </w:tcPr>
          <w:p w14:paraId="218A4CA8" w14:textId="77777777" w:rsidR="00CB054C" w:rsidRPr="005970E9" w:rsidRDefault="00CB054C">
            <w:pPr>
              <w:autoSpaceDE w:val="0"/>
              <w:autoSpaceDN w:val="0"/>
              <w:adjustRightInd w:val="0"/>
              <w:spacing w:before="120" w:after="120" w:line="276" w:lineRule="auto"/>
              <w:rPr>
                <w:color w:val="000000"/>
                <w:sz w:val="20"/>
                <w:szCs w:val="20"/>
              </w:rPr>
            </w:pPr>
            <w:r w:rsidRPr="005970E9">
              <w:rPr>
                <w:color w:val="000000"/>
                <w:sz w:val="20"/>
                <w:szCs w:val="20"/>
              </w:rPr>
              <w:t xml:space="preserve">Centro de Cumplimiento y Custodia-Colón </w:t>
            </w:r>
          </w:p>
        </w:tc>
        <w:tc>
          <w:tcPr>
            <w:tcW w:w="850" w:type="dxa"/>
            <w:tcBorders>
              <w:left w:val="nil"/>
              <w:right w:val="nil"/>
            </w:tcBorders>
            <w:hideMark/>
          </w:tcPr>
          <w:p w14:paraId="51AB8426"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100 </w:t>
            </w:r>
          </w:p>
        </w:tc>
        <w:tc>
          <w:tcPr>
            <w:tcW w:w="851" w:type="dxa"/>
            <w:tcBorders>
              <w:left w:val="single" w:sz="4" w:space="0" w:color="F79646" w:themeColor="accent6"/>
              <w:right w:val="single" w:sz="4" w:space="0" w:color="F79646" w:themeColor="accent6"/>
            </w:tcBorders>
            <w:hideMark/>
          </w:tcPr>
          <w:p w14:paraId="3BF98BB5"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65 </w:t>
            </w:r>
          </w:p>
        </w:tc>
        <w:tc>
          <w:tcPr>
            <w:tcW w:w="708" w:type="dxa"/>
            <w:tcBorders>
              <w:left w:val="nil"/>
              <w:right w:val="nil"/>
            </w:tcBorders>
            <w:hideMark/>
          </w:tcPr>
          <w:p w14:paraId="6F7179CA"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40 </w:t>
            </w:r>
          </w:p>
        </w:tc>
        <w:tc>
          <w:tcPr>
            <w:tcW w:w="861" w:type="dxa"/>
            <w:tcBorders>
              <w:left w:val="single" w:sz="4" w:space="0" w:color="F79646" w:themeColor="accent6"/>
              <w:right w:val="single" w:sz="4" w:space="0" w:color="F79646" w:themeColor="accent6"/>
            </w:tcBorders>
            <w:hideMark/>
          </w:tcPr>
          <w:p w14:paraId="6F5A2ED2"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47 </w:t>
            </w:r>
          </w:p>
        </w:tc>
        <w:tc>
          <w:tcPr>
            <w:tcW w:w="851" w:type="dxa"/>
            <w:tcBorders>
              <w:left w:val="nil"/>
              <w:right w:val="nil"/>
            </w:tcBorders>
            <w:hideMark/>
          </w:tcPr>
          <w:p w14:paraId="71C3129E"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54 </w:t>
            </w:r>
          </w:p>
        </w:tc>
        <w:tc>
          <w:tcPr>
            <w:tcW w:w="850" w:type="dxa"/>
            <w:tcBorders>
              <w:left w:val="single" w:sz="4" w:space="0" w:color="F79646" w:themeColor="accent6"/>
              <w:right w:val="single" w:sz="4" w:space="0" w:color="F79646" w:themeColor="accent6"/>
            </w:tcBorders>
            <w:hideMark/>
          </w:tcPr>
          <w:p w14:paraId="63AE19A1"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41 </w:t>
            </w:r>
          </w:p>
        </w:tc>
        <w:tc>
          <w:tcPr>
            <w:tcW w:w="993" w:type="dxa"/>
            <w:tcBorders>
              <w:left w:val="nil"/>
              <w:right w:val="nil"/>
            </w:tcBorders>
            <w:hideMark/>
          </w:tcPr>
          <w:p w14:paraId="291A146D"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41 </w:t>
            </w:r>
          </w:p>
        </w:tc>
        <w:tc>
          <w:tcPr>
            <w:tcW w:w="850" w:type="dxa"/>
            <w:tcBorders>
              <w:left w:val="single" w:sz="4" w:space="0" w:color="F79646" w:themeColor="accent6"/>
              <w:right w:val="single" w:sz="4" w:space="0" w:color="F79646" w:themeColor="accent6"/>
            </w:tcBorders>
            <w:hideMark/>
          </w:tcPr>
          <w:p w14:paraId="688E5264"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61 </w:t>
            </w:r>
          </w:p>
        </w:tc>
        <w:tc>
          <w:tcPr>
            <w:tcW w:w="992" w:type="dxa"/>
            <w:tcBorders>
              <w:left w:val="nil"/>
              <w:right w:val="single" w:sz="4" w:space="0" w:color="F79646" w:themeColor="accent6"/>
            </w:tcBorders>
            <w:hideMark/>
          </w:tcPr>
          <w:p w14:paraId="36FBBA65"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76</w:t>
            </w:r>
          </w:p>
        </w:tc>
      </w:tr>
      <w:tr w:rsidR="001C716D" w:rsidRPr="005970E9" w14:paraId="49C8F2E4" w14:textId="77777777" w:rsidTr="00CB054C">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583" w:type="dxa"/>
            <w:tcBorders>
              <w:top w:val="nil"/>
              <w:left w:val="single" w:sz="4" w:space="0" w:color="F79646" w:themeColor="accent6"/>
              <w:bottom w:val="nil"/>
              <w:right w:val="single" w:sz="4" w:space="0" w:color="F79646" w:themeColor="accent6"/>
            </w:tcBorders>
            <w:hideMark/>
          </w:tcPr>
          <w:p w14:paraId="61FED35E" w14:textId="77777777" w:rsidR="00CB054C" w:rsidRPr="005970E9" w:rsidRDefault="00CB054C">
            <w:pPr>
              <w:autoSpaceDE w:val="0"/>
              <w:autoSpaceDN w:val="0"/>
              <w:adjustRightInd w:val="0"/>
              <w:spacing w:before="120" w:after="120" w:line="276" w:lineRule="auto"/>
              <w:rPr>
                <w:color w:val="000000"/>
                <w:sz w:val="20"/>
                <w:szCs w:val="20"/>
              </w:rPr>
            </w:pPr>
            <w:r w:rsidRPr="005970E9">
              <w:rPr>
                <w:color w:val="000000"/>
                <w:sz w:val="20"/>
                <w:szCs w:val="20"/>
              </w:rPr>
              <w:t xml:space="preserve">Centro de Cumplimiento y Custodia-Herrera </w:t>
            </w:r>
          </w:p>
        </w:tc>
        <w:tc>
          <w:tcPr>
            <w:tcW w:w="850" w:type="dxa"/>
            <w:tcBorders>
              <w:top w:val="nil"/>
              <w:left w:val="nil"/>
              <w:bottom w:val="nil"/>
              <w:right w:val="nil"/>
            </w:tcBorders>
            <w:hideMark/>
          </w:tcPr>
          <w:p w14:paraId="07FF9B7D"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55 </w:t>
            </w:r>
          </w:p>
        </w:tc>
        <w:tc>
          <w:tcPr>
            <w:tcW w:w="851" w:type="dxa"/>
            <w:tcBorders>
              <w:top w:val="nil"/>
              <w:left w:val="single" w:sz="4" w:space="0" w:color="F79646" w:themeColor="accent6"/>
              <w:bottom w:val="nil"/>
              <w:right w:val="single" w:sz="4" w:space="0" w:color="F79646" w:themeColor="accent6"/>
            </w:tcBorders>
            <w:hideMark/>
          </w:tcPr>
          <w:p w14:paraId="73FCB1D2"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52 </w:t>
            </w:r>
          </w:p>
        </w:tc>
        <w:tc>
          <w:tcPr>
            <w:tcW w:w="708" w:type="dxa"/>
            <w:tcBorders>
              <w:top w:val="nil"/>
              <w:left w:val="nil"/>
              <w:bottom w:val="nil"/>
              <w:right w:val="nil"/>
            </w:tcBorders>
            <w:hideMark/>
          </w:tcPr>
          <w:p w14:paraId="403EB3F5"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36 </w:t>
            </w:r>
          </w:p>
        </w:tc>
        <w:tc>
          <w:tcPr>
            <w:tcW w:w="861" w:type="dxa"/>
            <w:tcBorders>
              <w:top w:val="nil"/>
              <w:left w:val="single" w:sz="4" w:space="0" w:color="F79646" w:themeColor="accent6"/>
              <w:bottom w:val="nil"/>
              <w:right w:val="single" w:sz="4" w:space="0" w:color="F79646" w:themeColor="accent6"/>
            </w:tcBorders>
            <w:hideMark/>
          </w:tcPr>
          <w:p w14:paraId="408AA2C8"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50 </w:t>
            </w:r>
          </w:p>
        </w:tc>
        <w:tc>
          <w:tcPr>
            <w:tcW w:w="851" w:type="dxa"/>
            <w:tcBorders>
              <w:top w:val="nil"/>
              <w:left w:val="nil"/>
              <w:bottom w:val="nil"/>
              <w:right w:val="nil"/>
            </w:tcBorders>
            <w:hideMark/>
          </w:tcPr>
          <w:p w14:paraId="2193B843"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46 </w:t>
            </w:r>
          </w:p>
        </w:tc>
        <w:tc>
          <w:tcPr>
            <w:tcW w:w="850" w:type="dxa"/>
            <w:tcBorders>
              <w:top w:val="nil"/>
              <w:left w:val="single" w:sz="4" w:space="0" w:color="F79646" w:themeColor="accent6"/>
              <w:bottom w:val="nil"/>
              <w:right w:val="single" w:sz="4" w:space="0" w:color="F79646" w:themeColor="accent6"/>
            </w:tcBorders>
            <w:hideMark/>
          </w:tcPr>
          <w:p w14:paraId="3B10A181"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42 </w:t>
            </w:r>
          </w:p>
        </w:tc>
        <w:tc>
          <w:tcPr>
            <w:tcW w:w="993" w:type="dxa"/>
            <w:tcBorders>
              <w:top w:val="nil"/>
              <w:left w:val="nil"/>
              <w:bottom w:val="nil"/>
              <w:right w:val="nil"/>
            </w:tcBorders>
            <w:hideMark/>
          </w:tcPr>
          <w:p w14:paraId="0810B06D"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49 </w:t>
            </w:r>
          </w:p>
        </w:tc>
        <w:tc>
          <w:tcPr>
            <w:tcW w:w="850" w:type="dxa"/>
            <w:tcBorders>
              <w:top w:val="nil"/>
              <w:left w:val="single" w:sz="4" w:space="0" w:color="F79646" w:themeColor="accent6"/>
              <w:bottom w:val="nil"/>
              <w:right w:val="single" w:sz="4" w:space="0" w:color="F79646" w:themeColor="accent6"/>
            </w:tcBorders>
            <w:hideMark/>
          </w:tcPr>
          <w:p w14:paraId="034D01EB"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49 </w:t>
            </w:r>
          </w:p>
        </w:tc>
        <w:tc>
          <w:tcPr>
            <w:tcW w:w="992" w:type="dxa"/>
            <w:tcBorders>
              <w:top w:val="nil"/>
              <w:left w:val="nil"/>
              <w:bottom w:val="nil"/>
              <w:right w:val="single" w:sz="4" w:space="0" w:color="F79646" w:themeColor="accent6"/>
            </w:tcBorders>
            <w:hideMark/>
          </w:tcPr>
          <w:p w14:paraId="3C4F5050"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58</w:t>
            </w:r>
          </w:p>
        </w:tc>
      </w:tr>
      <w:tr w:rsidR="00CB054C" w:rsidRPr="005970E9" w14:paraId="20816669" w14:textId="77777777" w:rsidTr="00CB054C">
        <w:trPr>
          <w:trHeight w:val="108"/>
        </w:trPr>
        <w:tc>
          <w:tcPr>
            <w:cnfStyle w:val="001000000000" w:firstRow="0" w:lastRow="0" w:firstColumn="1" w:lastColumn="0" w:oddVBand="0" w:evenVBand="0" w:oddHBand="0" w:evenHBand="0" w:firstRowFirstColumn="0" w:firstRowLastColumn="0" w:lastRowFirstColumn="0" w:lastRowLastColumn="0"/>
            <w:tcW w:w="1583" w:type="dxa"/>
            <w:tcBorders>
              <w:left w:val="single" w:sz="4" w:space="0" w:color="F79646" w:themeColor="accent6"/>
              <w:right w:val="single" w:sz="4" w:space="0" w:color="F79646" w:themeColor="accent6"/>
            </w:tcBorders>
            <w:hideMark/>
          </w:tcPr>
          <w:p w14:paraId="3D1AFFE7" w14:textId="77777777" w:rsidR="00CB054C" w:rsidRPr="005970E9" w:rsidRDefault="00CB054C">
            <w:pPr>
              <w:autoSpaceDE w:val="0"/>
              <w:autoSpaceDN w:val="0"/>
              <w:adjustRightInd w:val="0"/>
              <w:spacing w:before="120" w:after="120" w:line="276" w:lineRule="auto"/>
              <w:rPr>
                <w:color w:val="000000"/>
                <w:sz w:val="20"/>
                <w:szCs w:val="20"/>
              </w:rPr>
            </w:pPr>
            <w:r w:rsidRPr="005970E9">
              <w:rPr>
                <w:color w:val="000000"/>
                <w:sz w:val="20"/>
                <w:szCs w:val="20"/>
              </w:rPr>
              <w:t xml:space="preserve">Centro de Cumplimiento y Custodia-Chiriquí </w:t>
            </w:r>
          </w:p>
        </w:tc>
        <w:tc>
          <w:tcPr>
            <w:tcW w:w="850" w:type="dxa"/>
            <w:tcBorders>
              <w:left w:val="nil"/>
              <w:right w:val="nil"/>
            </w:tcBorders>
            <w:hideMark/>
          </w:tcPr>
          <w:p w14:paraId="4FD80A0C"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78 </w:t>
            </w:r>
          </w:p>
        </w:tc>
        <w:tc>
          <w:tcPr>
            <w:tcW w:w="851" w:type="dxa"/>
            <w:tcBorders>
              <w:left w:val="single" w:sz="4" w:space="0" w:color="F79646" w:themeColor="accent6"/>
              <w:right w:val="single" w:sz="4" w:space="0" w:color="F79646" w:themeColor="accent6"/>
            </w:tcBorders>
            <w:hideMark/>
          </w:tcPr>
          <w:p w14:paraId="2E0652FD"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62 </w:t>
            </w:r>
          </w:p>
        </w:tc>
        <w:tc>
          <w:tcPr>
            <w:tcW w:w="708" w:type="dxa"/>
            <w:tcBorders>
              <w:left w:val="nil"/>
              <w:right w:val="nil"/>
            </w:tcBorders>
            <w:hideMark/>
          </w:tcPr>
          <w:p w14:paraId="43AA8B94"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104 </w:t>
            </w:r>
          </w:p>
        </w:tc>
        <w:tc>
          <w:tcPr>
            <w:tcW w:w="861" w:type="dxa"/>
            <w:tcBorders>
              <w:left w:val="single" w:sz="4" w:space="0" w:color="F79646" w:themeColor="accent6"/>
              <w:right w:val="single" w:sz="4" w:space="0" w:color="F79646" w:themeColor="accent6"/>
            </w:tcBorders>
            <w:hideMark/>
          </w:tcPr>
          <w:p w14:paraId="00B9742D"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61 </w:t>
            </w:r>
          </w:p>
        </w:tc>
        <w:tc>
          <w:tcPr>
            <w:tcW w:w="851" w:type="dxa"/>
            <w:tcBorders>
              <w:left w:val="nil"/>
              <w:right w:val="nil"/>
            </w:tcBorders>
            <w:hideMark/>
          </w:tcPr>
          <w:p w14:paraId="65AA99CB"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63 </w:t>
            </w:r>
          </w:p>
        </w:tc>
        <w:tc>
          <w:tcPr>
            <w:tcW w:w="850" w:type="dxa"/>
            <w:tcBorders>
              <w:left w:val="single" w:sz="4" w:space="0" w:color="F79646" w:themeColor="accent6"/>
              <w:right w:val="single" w:sz="4" w:space="0" w:color="F79646" w:themeColor="accent6"/>
            </w:tcBorders>
            <w:hideMark/>
          </w:tcPr>
          <w:p w14:paraId="5CDAEA78"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52 </w:t>
            </w:r>
          </w:p>
        </w:tc>
        <w:tc>
          <w:tcPr>
            <w:tcW w:w="993" w:type="dxa"/>
            <w:tcBorders>
              <w:left w:val="nil"/>
              <w:right w:val="nil"/>
            </w:tcBorders>
            <w:hideMark/>
          </w:tcPr>
          <w:p w14:paraId="5561EE36"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46 </w:t>
            </w:r>
          </w:p>
        </w:tc>
        <w:tc>
          <w:tcPr>
            <w:tcW w:w="850" w:type="dxa"/>
            <w:tcBorders>
              <w:left w:val="single" w:sz="4" w:space="0" w:color="F79646" w:themeColor="accent6"/>
              <w:right w:val="single" w:sz="4" w:space="0" w:color="F79646" w:themeColor="accent6"/>
            </w:tcBorders>
            <w:hideMark/>
          </w:tcPr>
          <w:p w14:paraId="28FC67AF"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79 </w:t>
            </w:r>
          </w:p>
        </w:tc>
        <w:tc>
          <w:tcPr>
            <w:tcW w:w="992" w:type="dxa"/>
            <w:tcBorders>
              <w:left w:val="nil"/>
              <w:right w:val="single" w:sz="4" w:space="0" w:color="F79646" w:themeColor="accent6"/>
            </w:tcBorders>
            <w:hideMark/>
          </w:tcPr>
          <w:p w14:paraId="762264C9" w14:textId="77777777" w:rsidR="00CB054C" w:rsidRPr="005970E9" w:rsidRDefault="00CB054C">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70</w:t>
            </w:r>
          </w:p>
        </w:tc>
      </w:tr>
      <w:tr w:rsidR="004D05BD" w:rsidRPr="005970E9" w14:paraId="0F6DC314" w14:textId="77777777" w:rsidTr="00976ACA">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583" w:type="dxa"/>
            <w:tcBorders>
              <w:top w:val="nil"/>
              <w:left w:val="single" w:sz="4" w:space="0" w:color="F79646" w:themeColor="accent6"/>
              <w:right w:val="single" w:sz="4" w:space="0" w:color="F79646" w:themeColor="accent6"/>
            </w:tcBorders>
            <w:shd w:val="clear" w:color="auto" w:fill="E5DFEC" w:themeFill="accent4" w:themeFillTint="33"/>
            <w:hideMark/>
          </w:tcPr>
          <w:p w14:paraId="1F42997F" w14:textId="77777777" w:rsidR="00CB054C" w:rsidRPr="005970E9" w:rsidRDefault="00CB054C">
            <w:pPr>
              <w:autoSpaceDE w:val="0"/>
              <w:autoSpaceDN w:val="0"/>
              <w:adjustRightInd w:val="0"/>
              <w:spacing w:before="120" w:after="120" w:line="276" w:lineRule="auto"/>
              <w:rPr>
                <w:color w:val="000000"/>
                <w:sz w:val="20"/>
                <w:szCs w:val="20"/>
              </w:rPr>
            </w:pPr>
            <w:r w:rsidRPr="005970E9">
              <w:rPr>
                <w:color w:val="000000"/>
                <w:sz w:val="20"/>
                <w:szCs w:val="20"/>
              </w:rPr>
              <w:t xml:space="preserve">Totales </w:t>
            </w:r>
          </w:p>
        </w:tc>
        <w:tc>
          <w:tcPr>
            <w:tcW w:w="850" w:type="dxa"/>
            <w:tcBorders>
              <w:top w:val="nil"/>
              <w:left w:val="nil"/>
              <w:right w:val="nil"/>
            </w:tcBorders>
            <w:shd w:val="clear" w:color="auto" w:fill="E5DFEC" w:themeFill="accent4" w:themeFillTint="33"/>
            <w:hideMark/>
          </w:tcPr>
          <w:p w14:paraId="59075E53"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r w:rsidRPr="005970E9">
              <w:rPr>
                <w:b/>
                <w:color w:val="000000"/>
                <w:sz w:val="20"/>
                <w:szCs w:val="20"/>
              </w:rPr>
              <w:t xml:space="preserve">450 </w:t>
            </w:r>
          </w:p>
        </w:tc>
        <w:tc>
          <w:tcPr>
            <w:tcW w:w="851" w:type="dxa"/>
            <w:tcBorders>
              <w:top w:val="nil"/>
              <w:left w:val="single" w:sz="4" w:space="0" w:color="F79646" w:themeColor="accent6"/>
              <w:right w:val="single" w:sz="4" w:space="0" w:color="F79646" w:themeColor="accent6"/>
            </w:tcBorders>
            <w:shd w:val="clear" w:color="auto" w:fill="E5DFEC" w:themeFill="accent4" w:themeFillTint="33"/>
            <w:hideMark/>
          </w:tcPr>
          <w:p w14:paraId="0ABA710B"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r w:rsidRPr="005970E9">
              <w:rPr>
                <w:b/>
                <w:color w:val="000000"/>
                <w:sz w:val="20"/>
                <w:szCs w:val="20"/>
              </w:rPr>
              <w:t xml:space="preserve">421 </w:t>
            </w:r>
          </w:p>
        </w:tc>
        <w:tc>
          <w:tcPr>
            <w:tcW w:w="708" w:type="dxa"/>
            <w:tcBorders>
              <w:top w:val="nil"/>
              <w:left w:val="nil"/>
              <w:right w:val="nil"/>
            </w:tcBorders>
            <w:shd w:val="clear" w:color="auto" w:fill="E5DFEC" w:themeFill="accent4" w:themeFillTint="33"/>
            <w:hideMark/>
          </w:tcPr>
          <w:p w14:paraId="2D8F7323"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r w:rsidRPr="005970E9">
              <w:rPr>
                <w:b/>
                <w:color w:val="000000"/>
                <w:sz w:val="20"/>
                <w:szCs w:val="20"/>
              </w:rPr>
              <w:t xml:space="preserve">646 </w:t>
            </w:r>
          </w:p>
        </w:tc>
        <w:tc>
          <w:tcPr>
            <w:tcW w:w="861" w:type="dxa"/>
            <w:tcBorders>
              <w:top w:val="nil"/>
              <w:left w:val="single" w:sz="4" w:space="0" w:color="F79646" w:themeColor="accent6"/>
              <w:right w:val="single" w:sz="4" w:space="0" w:color="F79646" w:themeColor="accent6"/>
            </w:tcBorders>
            <w:shd w:val="clear" w:color="auto" w:fill="E5DFEC" w:themeFill="accent4" w:themeFillTint="33"/>
            <w:hideMark/>
          </w:tcPr>
          <w:p w14:paraId="7340CBC5"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r w:rsidRPr="005970E9">
              <w:rPr>
                <w:b/>
                <w:color w:val="000000"/>
                <w:sz w:val="20"/>
                <w:szCs w:val="20"/>
              </w:rPr>
              <w:t xml:space="preserve">475 </w:t>
            </w:r>
          </w:p>
        </w:tc>
        <w:tc>
          <w:tcPr>
            <w:tcW w:w="851" w:type="dxa"/>
            <w:tcBorders>
              <w:top w:val="nil"/>
              <w:left w:val="nil"/>
              <w:right w:val="nil"/>
            </w:tcBorders>
            <w:shd w:val="clear" w:color="auto" w:fill="E5DFEC" w:themeFill="accent4" w:themeFillTint="33"/>
            <w:hideMark/>
          </w:tcPr>
          <w:p w14:paraId="17D63E67"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r w:rsidRPr="005970E9">
              <w:rPr>
                <w:b/>
                <w:color w:val="000000"/>
                <w:sz w:val="20"/>
                <w:szCs w:val="20"/>
              </w:rPr>
              <w:t xml:space="preserve">473 </w:t>
            </w:r>
          </w:p>
        </w:tc>
        <w:tc>
          <w:tcPr>
            <w:tcW w:w="850" w:type="dxa"/>
            <w:tcBorders>
              <w:top w:val="nil"/>
              <w:left w:val="single" w:sz="4" w:space="0" w:color="F79646" w:themeColor="accent6"/>
              <w:right w:val="single" w:sz="4" w:space="0" w:color="F79646" w:themeColor="accent6"/>
            </w:tcBorders>
            <w:shd w:val="clear" w:color="auto" w:fill="E5DFEC" w:themeFill="accent4" w:themeFillTint="33"/>
            <w:hideMark/>
          </w:tcPr>
          <w:p w14:paraId="1124B662"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r w:rsidRPr="005970E9">
              <w:rPr>
                <w:b/>
                <w:color w:val="000000"/>
                <w:sz w:val="20"/>
                <w:szCs w:val="20"/>
              </w:rPr>
              <w:t xml:space="preserve">333 </w:t>
            </w:r>
          </w:p>
        </w:tc>
        <w:tc>
          <w:tcPr>
            <w:tcW w:w="993" w:type="dxa"/>
            <w:tcBorders>
              <w:top w:val="nil"/>
              <w:left w:val="nil"/>
              <w:right w:val="nil"/>
            </w:tcBorders>
            <w:shd w:val="clear" w:color="auto" w:fill="E5DFEC" w:themeFill="accent4" w:themeFillTint="33"/>
            <w:hideMark/>
          </w:tcPr>
          <w:p w14:paraId="48759396"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r w:rsidRPr="005970E9">
              <w:rPr>
                <w:b/>
                <w:color w:val="000000"/>
                <w:sz w:val="20"/>
                <w:szCs w:val="20"/>
              </w:rPr>
              <w:t xml:space="preserve">329 </w:t>
            </w:r>
          </w:p>
        </w:tc>
        <w:tc>
          <w:tcPr>
            <w:tcW w:w="850" w:type="dxa"/>
            <w:tcBorders>
              <w:top w:val="nil"/>
              <w:left w:val="single" w:sz="4" w:space="0" w:color="F79646" w:themeColor="accent6"/>
              <w:right w:val="single" w:sz="4" w:space="0" w:color="F79646" w:themeColor="accent6"/>
            </w:tcBorders>
            <w:shd w:val="clear" w:color="auto" w:fill="E5DFEC" w:themeFill="accent4" w:themeFillTint="33"/>
            <w:hideMark/>
          </w:tcPr>
          <w:p w14:paraId="61ABADFE"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r w:rsidRPr="005970E9">
              <w:rPr>
                <w:b/>
                <w:color w:val="000000"/>
                <w:sz w:val="20"/>
                <w:szCs w:val="20"/>
              </w:rPr>
              <w:t xml:space="preserve">397 </w:t>
            </w:r>
          </w:p>
        </w:tc>
        <w:tc>
          <w:tcPr>
            <w:tcW w:w="992" w:type="dxa"/>
            <w:tcBorders>
              <w:top w:val="nil"/>
              <w:left w:val="nil"/>
              <w:right w:val="single" w:sz="4" w:space="0" w:color="F79646" w:themeColor="accent6"/>
            </w:tcBorders>
            <w:shd w:val="clear" w:color="auto" w:fill="E5DFEC" w:themeFill="accent4" w:themeFillTint="33"/>
            <w:hideMark/>
          </w:tcPr>
          <w:p w14:paraId="123ED493" w14:textId="77777777" w:rsidR="00CB054C" w:rsidRPr="005970E9" w:rsidRDefault="00CB054C">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r w:rsidRPr="005970E9">
              <w:rPr>
                <w:b/>
                <w:color w:val="000000"/>
                <w:sz w:val="20"/>
                <w:szCs w:val="20"/>
              </w:rPr>
              <w:t>372</w:t>
            </w:r>
          </w:p>
        </w:tc>
      </w:tr>
    </w:tbl>
    <w:p w14:paraId="00E1882C" w14:textId="77777777" w:rsidR="00CB054C" w:rsidRPr="005970E9" w:rsidRDefault="00CB054C" w:rsidP="00CB054C">
      <w:pPr>
        <w:spacing w:before="120" w:after="120" w:line="276" w:lineRule="auto"/>
        <w:jc w:val="both"/>
        <w:rPr>
          <w:rFonts w:eastAsiaTheme="minorHAnsi" w:cs="Times New Roman"/>
          <w:lang w:val="es-ES_tradnl"/>
        </w:rPr>
      </w:pPr>
    </w:p>
    <w:p w14:paraId="6731B269" w14:textId="77777777" w:rsidR="00CB054C" w:rsidRPr="005970E9" w:rsidRDefault="00CB054C" w:rsidP="00D478B6">
      <w:pPr>
        <w:pStyle w:val="Heading3"/>
        <w:numPr>
          <w:ilvl w:val="2"/>
          <w:numId w:val="56"/>
        </w:numPr>
        <w:spacing w:before="120" w:line="276" w:lineRule="auto"/>
        <w:rPr>
          <w:lang w:val="es-ES_tradnl"/>
        </w:rPr>
      </w:pPr>
      <w:bookmarkStart w:id="302" w:name="_Toc42159251"/>
      <w:bookmarkStart w:id="303" w:name="_Toc42549482"/>
      <w:r w:rsidRPr="005970E9">
        <w:rPr>
          <w:lang w:val="es-ES_tradnl"/>
        </w:rPr>
        <w:t>Identificación étnica de las adolescentes privadas de libertad</w:t>
      </w:r>
      <w:bookmarkEnd w:id="302"/>
      <w:bookmarkEnd w:id="303"/>
    </w:p>
    <w:p w14:paraId="78964959" w14:textId="3129808E" w:rsidR="00CB054C" w:rsidRPr="005970E9" w:rsidRDefault="00CB054C" w:rsidP="281BE7A6">
      <w:pPr>
        <w:widowControl w:val="0"/>
        <w:autoSpaceDE w:val="0"/>
        <w:autoSpaceDN w:val="0"/>
        <w:adjustRightInd w:val="0"/>
        <w:spacing w:before="120" w:after="120" w:line="276" w:lineRule="auto"/>
        <w:jc w:val="both"/>
        <w:rPr>
          <w:lang w:val="es-ES"/>
        </w:rPr>
      </w:pPr>
      <w:r w:rsidRPr="005970E9">
        <w:rPr>
          <w:lang w:val="es-ES"/>
        </w:rPr>
        <w:t>En cuanto a la identificación étnica el 50% de la población dentro de los centros de cumplimiento y custodia de menores en ambas medidas se autoidentificó como afrodescendientes en el censo nacional de adolescentes privados de libertad y con medidas. Esto indica que este grupo tiene una composición casi idéntica a la población privada de libertad. La mitad de los adolescentes se declara “negro o afrodescendiente”, seguido por un 7,1% de “indígenas”, lo que muestra con elocuencia el sesgo racial del sistema penal juvenil. La posibilidad de poder configurar un diagnóstico de “sobre representación” sería de gran utilidad para una intervención focalizada con amplia participación de la sociedad civil organizada y de las políticas sectoriales vinculadas a la no discriminación racial.</w:t>
      </w:r>
    </w:p>
    <w:p w14:paraId="3888D385" w14:textId="350666B2" w:rsidR="00CB054C" w:rsidRPr="005970E9" w:rsidRDefault="008A61AF" w:rsidP="00065678">
      <w:pPr>
        <w:pStyle w:val="Caption"/>
        <w:keepNext/>
        <w:jc w:val="center"/>
        <w:rPr>
          <w:rFonts w:ascii="Century Schoolbook" w:hAnsi="Century Schoolbook"/>
          <w:i w:val="0"/>
          <w:iCs w:val="0"/>
        </w:rPr>
      </w:pPr>
      <w:bookmarkStart w:id="304" w:name="_Toc42549228"/>
      <w:r w:rsidRPr="005970E9">
        <w:rPr>
          <w:rFonts w:ascii="Century Schoolbook" w:hAnsi="Century Schoolbook"/>
          <w:i w:val="0"/>
          <w:iCs w:val="0"/>
        </w:rPr>
        <w:lastRenderedPageBreak/>
        <w:t>Tabla</w:t>
      </w:r>
      <w:r w:rsidR="00065678" w:rsidRPr="005970E9">
        <w:rPr>
          <w:rFonts w:ascii="Century Schoolbook" w:hAnsi="Century Schoolbook"/>
          <w:i w:val="0"/>
          <w:iCs w:val="0"/>
        </w:rPr>
        <w:t xml:space="preserve"> </w:t>
      </w:r>
      <w:r w:rsidRPr="005970E9">
        <w:rPr>
          <w:rFonts w:ascii="Century Schoolbook" w:hAnsi="Century Schoolbook"/>
          <w:i w:val="0"/>
          <w:iCs w:val="0"/>
        </w:rPr>
        <w:fldChar w:fldCharType="begin"/>
      </w:r>
      <w:r w:rsidRPr="005970E9">
        <w:rPr>
          <w:rFonts w:ascii="Century Schoolbook" w:hAnsi="Century Schoolbook"/>
          <w:i w:val="0"/>
          <w:iCs w:val="0"/>
        </w:rPr>
        <w:instrText xml:space="preserve"> SEQ Tabla \* ARABIC </w:instrText>
      </w:r>
      <w:r w:rsidRPr="005970E9">
        <w:rPr>
          <w:rFonts w:ascii="Century Schoolbook" w:hAnsi="Century Schoolbook"/>
          <w:i w:val="0"/>
          <w:iCs w:val="0"/>
        </w:rPr>
        <w:fldChar w:fldCharType="separate"/>
      </w:r>
      <w:r w:rsidR="003F0C50">
        <w:rPr>
          <w:rFonts w:ascii="Century Schoolbook" w:hAnsi="Century Schoolbook"/>
          <w:i w:val="0"/>
          <w:iCs w:val="0"/>
          <w:noProof/>
        </w:rPr>
        <w:t>34</w:t>
      </w:r>
      <w:r w:rsidRPr="005970E9">
        <w:rPr>
          <w:rFonts w:ascii="Century Schoolbook" w:hAnsi="Century Schoolbook"/>
          <w:i w:val="0"/>
          <w:iCs w:val="0"/>
        </w:rPr>
        <w:fldChar w:fldCharType="end"/>
      </w:r>
      <w:r w:rsidR="00065678" w:rsidRPr="005970E9">
        <w:rPr>
          <w:rFonts w:ascii="Century Schoolbook" w:hAnsi="Century Schoolbook"/>
          <w:i w:val="0"/>
          <w:iCs w:val="0"/>
        </w:rPr>
        <w:t xml:space="preserve">. </w:t>
      </w:r>
      <w:r w:rsidR="00CB054C" w:rsidRPr="005970E9">
        <w:rPr>
          <w:rFonts w:ascii="Century Schoolbook" w:eastAsiaTheme="minorEastAsia" w:hAnsi="Century Schoolbook"/>
          <w:i w:val="0"/>
          <w:iCs w:val="0"/>
          <w:color w:val="000000"/>
          <w:sz w:val="20"/>
          <w:szCs w:val="20"/>
          <w:lang w:eastAsia="en-US"/>
        </w:rPr>
        <w:t>Adolescentes privados de libertad y con medidas alternativas por Etnia</w:t>
      </w:r>
      <w:bookmarkEnd w:id="304"/>
    </w:p>
    <w:tbl>
      <w:tblPr>
        <w:tblStyle w:val="GridTable2-Accent1"/>
        <w:tblpPr w:leftFromText="141" w:rightFromText="141" w:vertAnchor="text" w:horzAnchor="margin" w:tblpX="-147" w:tblpY="39"/>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529"/>
        <w:gridCol w:w="1674"/>
        <w:gridCol w:w="1900"/>
      </w:tblGrid>
      <w:tr w:rsidR="00CB054C" w:rsidRPr="005970E9" w14:paraId="20CF63CE" w14:textId="77777777" w:rsidTr="00065678">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26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74275647" w14:textId="77777777" w:rsidR="00CB054C" w:rsidRPr="005970E9" w:rsidRDefault="00CB054C">
            <w:pPr>
              <w:autoSpaceDE w:val="0"/>
              <w:autoSpaceDN w:val="0"/>
              <w:adjustRightInd w:val="0"/>
              <w:spacing w:line="276" w:lineRule="auto"/>
              <w:rPr>
                <w:color w:val="000000"/>
                <w:sz w:val="20"/>
                <w:szCs w:val="20"/>
              </w:rPr>
            </w:pPr>
            <w:r w:rsidRPr="005970E9">
              <w:rPr>
                <w:color w:val="000000"/>
                <w:sz w:val="20"/>
                <w:szCs w:val="20"/>
              </w:rPr>
              <w:t>Autoidentificación etnia</w:t>
            </w:r>
          </w:p>
        </w:tc>
        <w:tc>
          <w:tcPr>
            <w:tcW w:w="3089"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2425CE24" w14:textId="3A43B2A6" w:rsidR="00CB054C" w:rsidRPr="005970E9" w:rsidRDefault="00065678">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P</w:t>
            </w:r>
            <w:r w:rsidR="00CB054C" w:rsidRPr="005970E9">
              <w:rPr>
                <w:color w:val="000000"/>
                <w:sz w:val="20"/>
                <w:szCs w:val="20"/>
              </w:rPr>
              <w:t>rivados de libertad</w:t>
            </w:r>
          </w:p>
        </w:tc>
        <w:tc>
          <w:tcPr>
            <w:tcW w:w="3574"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596207BB" w14:textId="19276ECA" w:rsidR="00CB054C" w:rsidRPr="005970E9" w:rsidRDefault="00065678">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M</w:t>
            </w:r>
            <w:r w:rsidR="00CB054C" w:rsidRPr="005970E9">
              <w:rPr>
                <w:color w:val="000000"/>
                <w:sz w:val="20"/>
                <w:szCs w:val="20"/>
              </w:rPr>
              <w:t>edidas alternativas</w:t>
            </w:r>
          </w:p>
        </w:tc>
      </w:tr>
      <w:tr w:rsidR="00CB054C" w:rsidRPr="005970E9" w14:paraId="71298737" w14:textId="77777777" w:rsidTr="00065678">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263" w:type="dxa"/>
            <w:vMerge/>
            <w:tcBorders>
              <w:top w:val="single" w:sz="4" w:space="0" w:color="auto"/>
              <w:left w:val="single" w:sz="4" w:space="0" w:color="auto"/>
              <w:bottom w:val="single" w:sz="4" w:space="0" w:color="auto"/>
              <w:right w:val="single" w:sz="4" w:space="0" w:color="auto"/>
            </w:tcBorders>
            <w:vAlign w:val="center"/>
            <w:hideMark/>
          </w:tcPr>
          <w:p w14:paraId="4F34ABA1" w14:textId="77777777" w:rsidR="00CB054C" w:rsidRPr="005970E9" w:rsidRDefault="00CB054C">
            <w:p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32A91881" w14:textId="77777777" w:rsidR="00CB054C" w:rsidRPr="005970E9" w:rsidRDefault="00CB054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5970E9">
              <w:rPr>
                <w:b/>
                <w:bCs/>
                <w:color w:val="000000"/>
                <w:sz w:val="20"/>
                <w:szCs w:val="20"/>
              </w:rPr>
              <w:t xml:space="preserve">Frecuencia </w:t>
            </w:r>
          </w:p>
        </w:tc>
        <w:tc>
          <w:tcPr>
            <w:tcW w:w="152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1C1DDE9D" w14:textId="77777777" w:rsidR="00CB054C" w:rsidRPr="005970E9" w:rsidRDefault="00CB054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5970E9">
              <w:rPr>
                <w:b/>
                <w:bCs/>
                <w:color w:val="000000"/>
                <w:sz w:val="20"/>
                <w:szCs w:val="20"/>
              </w:rPr>
              <w:t>Porcentaje</w:t>
            </w:r>
          </w:p>
        </w:tc>
        <w:tc>
          <w:tcPr>
            <w:tcW w:w="1674"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40F1E708" w14:textId="77777777" w:rsidR="00CB054C" w:rsidRPr="005970E9" w:rsidRDefault="00CB054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5970E9">
              <w:rPr>
                <w:b/>
                <w:bCs/>
                <w:color w:val="000000"/>
                <w:sz w:val="20"/>
                <w:szCs w:val="20"/>
              </w:rPr>
              <w:t xml:space="preserve">Frecuencia </w:t>
            </w:r>
          </w:p>
        </w:tc>
        <w:tc>
          <w:tcPr>
            <w:tcW w:w="190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1B38E803" w14:textId="77777777" w:rsidR="00CB054C" w:rsidRPr="005970E9" w:rsidRDefault="00CB054C">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5970E9">
              <w:rPr>
                <w:b/>
                <w:bCs/>
                <w:color w:val="000000"/>
                <w:sz w:val="20"/>
                <w:szCs w:val="20"/>
              </w:rPr>
              <w:t>Porcentaje</w:t>
            </w:r>
          </w:p>
        </w:tc>
      </w:tr>
      <w:tr w:rsidR="00CB054C" w:rsidRPr="005970E9" w14:paraId="14556E98" w14:textId="77777777" w:rsidTr="00976ACA">
        <w:trPr>
          <w:trHeight w:val="531"/>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hideMark/>
          </w:tcPr>
          <w:p w14:paraId="613537CC" w14:textId="77777777" w:rsidR="00CB054C" w:rsidRPr="005970E9" w:rsidRDefault="00CB054C">
            <w:pPr>
              <w:autoSpaceDE w:val="0"/>
              <w:autoSpaceDN w:val="0"/>
              <w:adjustRightInd w:val="0"/>
              <w:rPr>
                <w:b w:val="0"/>
                <w:bCs w:val="0"/>
                <w:color w:val="000000"/>
                <w:sz w:val="20"/>
                <w:szCs w:val="20"/>
              </w:rPr>
            </w:pPr>
            <w:r w:rsidRPr="005970E9">
              <w:rPr>
                <w:b w:val="0"/>
                <w:bCs w:val="0"/>
                <w:color w:val="000000"/>
                <w:sz w:val="20"/>
                <w:szCs w:val="20"/>
              </w:rPr>
              <w:t xml:space="preserve">Negro o afrodescendiente </w:t>
            </w:r>
          </w:p>
        </w:tc>
        <w:tc>
          <w:tcPr>
            <w:tcW w:w="1560" w:type="dxa"/>
            <w:tcBorders>
              <w:top w:val="single" w:sz="4" w:space="0" w:color="auto"/>
              <w:left w:val="single" w:sz="4" w:space="0" w:color="auto"/>
              <w:bottom w:val="single" w:sz="4" w:space="0" w:color="auto"/>
              <w:right w:val="single" w:sz="4" w:space="0" w:color="auto"/>
            </w:tcBorders>
            <w:hideMark/>
          </w:tcPr>
          <w:p w14:paraId="51AA7FD3" w14:textId="77777777" w:rsidR="00CB054C" w:rsidRPr="005970E9" w:rsidRDefault="00CB054C" w:rsidP="0006567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196 </w:t>
            </w:r>
          </w:p>
        </w:tc>
        <w:tc>
          <w:tcPr>
            <w:tcW w:w="1529" w:type="dxa"/>
            <w:tcBorders>
              <w:top w:val="single" w:sz="4" w:space="0" w:color="auto"/>
              <w:left w:val="single" w:sz="4" w:space="0" w:color="auto"/>
              <w:bottom w:val="single" w:sz="4" w:space="0" w:color="auto"/>
              <w:right w:val="single" w:sz="4" w:space="0" w:color="auto"/>
            </w:tcBorders>
            <w:hideMark/>
          </w:tcPr>
          <w:p w14:paraId="14F69F04" w14:textId="77777777" w:rsidR="00CB054C" w:rsidRPr="005970E9" w:rsidRDefault="00CB054C" w:rsidP="0006567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49,8 </w:t>
            </w:r>
          </w:p>
        </w:tc>
        <w:tc>
          <w:tcPr>
            <w:tcW w:w="1674" w:type="dxa"/>
            <w:tcBorders>
              <w:top w:val="single" w:sz="4" w:space="0" w:color="auto"/>
              <w:left w:val="single" w:sz="4" w:space="0" w:color="auto"/>
              <w:bottom w:val="single" w:sz="4" w:space="0" w:color="auto"/>
              <w:right w:val="single" w:sz="4" w:space="0" w:color="auto"/>
            </w:tcBorders>
            <w:hideMark/>
          </w:tcPr>
          <w:p w14:paraId="543F1C5E" w14:textId="77777777" w:rsidR="00CB054C" w:rsidRPr="005970E9" w:rsidRDefault="00CB054C" w:rsidP="0006567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sz w:val="20"/>
                <w:szCs w:val="20"/>
              </w:rPr>
              <w:t>169</w:t>
            </w:r>
          </w:p>
        </w:tc>
        <w:tc>
          <w:tcPr>
            <w:tcW w:w="1900" w:type="dxa"/>
            <w:tcBorders>
              <w:top w:val="single" w:sz="4" w:space="0" w:color="auto"/>
              <w:left w:val="single" w:sz="4" w:space="0" w:color="auto"/>
              <w:bottom w:val="single" w:sz="4" w:space="0" w:color="auto"/>
              <w:right w:val="single" w:sz="4" w:space="0" w:color="auto"/>
            </w:tcBorders>
            <w:hideMark/>
          </w:tcPr>
          <w:p w14:paraId="143019AB" w14:textId="77777777" w:rsidR="00CB054C" w:rsidRPr="005970E9" w:rsidRDefault="00CB054C" w:rsidP="0006567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sz w:val="20"/>
                <w:szCs w:val="20"/>
              </w:rPr>
              <w:t>49,7</w:t>
            </w:r>
          </w:p>
        </w:tc>
      </w:tr>
      <w:tr w:rsidR="00CB054C" w:rsidRPr="005970E9" w14:paraId="471F9B8B" w14:textId="77777777" w:rsidTr="00976AC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hideMark/>
          </w:tcPr>
          <w:p w14:paraId="2C807CE9" w14:textId="77777777" w:rsidR="00CB054C" w:rsidRPr="005970E9" w:rsidRDefault="00CB054C">
            <w:pPr>
              <w:autoSpaceDE w:val="0"/>
              <w:autoSpaceDN w:val="0"/>
              <w:adjustRightInd w:val="0"/>
              <w:rPr>
                <w:b w:val="0"/>
                <w:bCs w:val="0"/>
                <w:color w:val="000000"/>
                <w:sz w:val="20"/>
                <w:szCs w:val="20"/>
              </w:rPr>
            </w:pPr>
            <w:r w:rsidRPr="005970E9">
              <w:rPr>
                <w:b w:val="0"/>
                <w:bCs w:val="0"/>
                <w:color w:val="000000"/>
                <w:sz w:val="20"/>
                <w:szCs w:val="20"/>
              </w:rPr>
              <w:t xml:space="preserve">Asiático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844B941" w14:textId="77777777" w:rsidR="00CB054C" w:rsidRPr="005970E9" w:rsidRDefault="00CB054C" w:rsidP="0006567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5 </w:t>
            </w:r>
          </w:p>
        </w:tc>
        <w:tc>
          <w:tcPr>
            <w:tcW w:w="1529" w:type="dxa"/>
            <w:tcBorders>
              <w:top w:val="single" w:sz="4" w:space="0" w:color="auto"/>
              <w:left w:val="single" w:sz="4" w:space="0" w:color="auto"/>
              <w:bottom w:val="single" w:sz="4" w:space="0" w:color="auto"/>
              <w:right w:val="single" w:sz="4" w:space="0" w:color="auto"/>
            </w:tcBorders>
            <w:shd w:val="clear" w:color="auto" w:fill="auto"/>
            <w:hideMark/>
          </w:tcPr>
          <w:p w14:paraId="5F83DECF" w14:textId="77777777" w:rsidR="00CB054C" w:rsidRPr="005970E9" w:rsidRDefault="00CB054C" w:rsidP="0006567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1,3 </w:t>
            </w:r>
          </w:p>
        </w:tc>
        <w:tc>
          <w:tcPr>
            <w:tcW w:w="1674" w:type="dxa"/>
            <w:tcBorders>
              <w:top w:val="single" w:sz="4" w:space="0" w:color="auto"/>
              <w:left w:val="single" w:sz="4" w:space="0" w:color="auto"/>
              <w:bottom w:val="single" w:sz="4" w:space="0" w:color="auto"/>
              <w:right w:val="single" w:sz="4" w:space="0" w:color="auto"/>
            </w:tcBorders>
            <w:shd w:val="clear" w:color="auto" w:fill="auto"/>
            <w:hideMark/>
          </w:tcPr>
          <w:p w14:paraId="61079020" w14:textId="77777777" w:rsidR="00CB054C" w:rsidRPr="005970E9" w:rsidRDefault="00CB054C" w:rsidP="0006567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sz w:val="20"/>
                <w:szCs w:val="20"/>
              </w:rPr>
              <w:t>5</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7A310F29" w14:textId="77777777" w:rsidR="00CB054C" w:rsidRPr="005970E9" w:rsidRDefault="00CB054C" w:rsidP="0006567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sz w:val="20"/>
                <w:szCs w:val="20"/>
              </w:rPr>
              <w:t>1,5</w:t>
            </w:r>
          </w:p>
        </w:tc>
      </w:tr>
      <w:tr w:rsidR="00CB054C" w:rsidRPr="005970E9" w14:paraId="20A0BC72" w14:textId="77777777" w:rsidTr="00976ACA">
        <w:trPr>
          <w:trHeight w:val="43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hideMark/>
          </w:tcPr>
          <w:p w14:paraId="229F02E2" w14:textId="77777777" w:rsidR="00CB054C" w:rsidRPr="005970E9" w:rsidRDefault="00CB054C">
            <w:pPr>
              <w:autoSpaceDE w:val="0"/>
              <w:autoSpaceDN w:val="0"/>
              <w:adjustRightInd w:val="0"/>
              <w:rPr>
                <w:b w:val="0"/>
                <w:bCs w:val="0"/>
                <w:color w:val="000000"/>
                <w:sz w:val="20"/>
                <w:szCs w:val="20"/>
              </w:rPr>
            </w:pPr>
            <w:r w:rsidRPr="005970E9">
              <w:rPr>
                <w:b w:val="0"/>
                <w:bCs w:val="0"/>
                <w:color w:val="000000"/>
                <w:sz w:val="20"/>
                <w:szCs w:val="20"/>
              </w:rPr>
              <w:t xml:space="preserve">Indígena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93E5458" w14:textId="77777777" w:rsidR="00CB054C" w:rsidRPr="005970E9" w:rsidRDefault="00CB054C" w:rsidP="0006567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21 </w:t>
            </w:r>
          </w:p>
        </w:tc>
        <w:tc>
          <w:tcPr>
            <w:tcW w:w="1529" w:type="dxa"/>
            <w:tcBorders>
              <w:top w:val="single" w:sz="4" w:space="0" w:color="auto"/>
              <w:left w:val="single" w:sz="4" w:space="0" w:color="auto"/>
              <w:bottom w:val="single" w:sz="4" w:space="0" w:color="auto"/>
              <w:right w:val="single" w:sz="4" w:space="0" w:color="auto"/>
            </w:tcBorders>
            <w:shd w:val="clear" w:color="auto" w:fill="auto"/>
            <w:hideMark/>
          </w:tcPr>
          <w:p w14:paraId="77368F4E" w14:textId="77777777" w:rsidR="00CB054C" w:rsidRPr="005970E9" w:rsidRDefault="00CB054C" w:rsidP="0006567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5,3 </w:t>
            </w:r>
          </w:p>
        </w:tc>
        <w:tc>
          <w:tcPr>
            <w:tcW w:w="1674" w:type="dxa"/>
            <w:tcBorders>
              <w:top w:val="single" w:sz="4" w:space="0" w:color="auto"/>
              <w:left w:val="single" w:sz="4" w:space="0" w:color="auto"/>
              <w:bottom w:val="single" w:sz="4" w:space="0" w:color="auto"/>
              <w:right w:val="single" w:sz="4" w:space="0" w:color="auto"/>
            </w:tcBorders>
            <w:shd w:val="clear" w:color="auto" w:fill="auto"/>
            <w:hideMark/>
          </w:tcPr>
          <w:p w14:paraId="03248D4A" w14:textId="77777777" w:rsidR="00CB054C" w:rsidRPr="005970E9" w:rsidRDefault="00CB054C" w:rsidP="0006567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sz w:val="20"/>
                <w:szCs w:val="20"/>
              </w:rPr>
              <w:t>24</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2C4CFD5E" w14:textId="77777777" w:rsidR="00CB054C" w:rsidRPr="005970E9" w:rsidRDefault="00CB054C" w:rsidP="0006567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sz w:val="20"/>
                <w:szCs w:val="20"/>
              </w:rPr>
              <w:t>7,1</w:t>
            </w:r>
          </w:p>
        </w:tc>
      </w:tr>
      <w:tr w:rsidR="00CB054C" w:rsidRPr="005970E9" w14:paraId="6493DE29" w14:textId="77777777" w:rsidTr="00976AC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hideMark/>
          </w:tcPr>
          <w:p w14:paraId="516A1BDB" w14:textId="77777777" w:rsidR="00CB054C" w:rsidRPr="005970E9" w:rsidRDefault="00CB054C">
            <w:pPr>
              <w:autoSpaceDE w:val="0"/>
              <w:autoSpaceDN w:val="0"/>
              <w:adjustRightInd w:val="0"/>
              <w:rPr>
                <w:b w:val="0"/>
                <w:bCs w:val="0"/>
                <w:color w:val="000000"/>
                <w:sz w:val="20"/>
                <w:szCs w:val="20"/>
              </w:rPr>
            </w:pPr>
            <w:r w:rsidRPr="005970E9">
              <w:rPr>
                <w:b w:val="0"/>
                <w:bCs w:val="0"/>
                <w:color w:val="000000"/>
                <w:sz w:val="20"/>
                <w:szCs w:val="20"/>
              </w:rPr>
              <w:t xml:space="preserve">Otro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EBB9478" w14:textId="77777777" w:rsidR="00CB054C" w:rsidRPr="005970E9" w:rsidRDefault="00CB054C" w:rsidP="0006567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172 </w:t>
            </w:r>
          </w:p>
        </w:tc>
        <w:tc>
          <w:tcPr>
            <w:tcW w:w="1529" w:type="dxa"/>
            <w:tcBorders>
              <w:top w:val="single" w:sz="4" w:space="0" w:color="auto"/>
              <w:left w:val="single" w:sz="4" w:space="0" w:color="auto"/>
              <w:bottom w:val="single" w:sz="4" w:space="0" w:color="auto"/>
              <w:right w:val="single" w:sz="4" w:space="0" w:color="auto"/>
            </w:tcBorders>
            <w:shd w:val="clear" w:color="auto" w:fill="auto"/>
            <w:hideMark/>
          </w:tcPr>
          <w:p w14:paraId="2D3BBFB9" w14:textId="77777777" w:rsidR="00CB054C" w:rsidRPr="005970E9" w:rsidRDefault="00CB054C" w:rsidP="0006567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color w:val="000000"/>
                <w:sz w:val="20"/>
                <w:szCs w:val="20"/>
              </w:rPr>
              <w:t xml:space="preserve">43,6 </w:t>
            </w:r>
          </w:p>
        </w:tc>
        <w:tc>
          <w:tcPr>
            <w:tcW w:w="1674" w:type="dxa"/>
            <w:tcBorders>
              <w:top w:val="single" w:sz="4" w:space="0" w:color="auto"/>
              <w:left w:val="single" w:sz="4" w:space="0" w:color="auto"/>
              <w:bottom w:val="single" w:sz="4" w:space="0" w:color="auto"/>
              <w:right w:val="single" w:sz="4" w:space="0" w:color="auto"/>
            </w:tcBorders>
            <w:shd w:val="clear" w:color="auto" w:fill="auto"/>
            <w:hideMark/>
          </w:tcPr>
          <w:p w14:paraId="6836E70F" w14:textId="77777777" w:rsidR="00CB054C" w:rsidRPr="005970E9" w:rsidRDefault="00CB054C" w:rsidP="0006567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sz w:val="20"/>
                <w:szCs w:val="20"/>
              </w:rPr>
              <w:t>142</w:t>
            </w:r>
          </w:p>
        </w:tc>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1D4B15E6" w14:textId="77777777" w:rsidR="00CB054C" w:rsidRPr="005970E9" w:rsidRDefault="00CB054C" w:rsidP="00065678">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970E9">
              <w:rPr>
                <w:sz w:val="20"/>
                <w:szCs w:val="20"/>
              </w:rPr>
              <w:t>41,8</w:t>
            </w:r>
          </w:p>
        </w:tc>
      </w:tr>
      <w:tr w:rsidR="00CB054C" w:rsidRPr="005970E9" w14:paraId="4DD0FA47" w14:textId="77777777" w:rsidTr="00976ACA">
        <w:trPr>
          <w:trHeight w:val="43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7BEC149" w14:textId="77777777" w:rsidR="00CB054C" w:rsidRPr="005970E9" w:rsidRDefault="00CB054C">
            <w:pPr>
              <w:autoSpaceDE w:val="0"/>
              <w:autoSpaceDN w:val="0"/>
              <w:adjustRightInd w:val="0"/>
              <w:rPr>
                <w:b w:val="0"/>
                <w:bCs w:val="0"/>
                <w:color w:val="000000"/>
                <w:sz w:val="20"/>
                <w:szCs w:val="20"/>
              </w:rPr>
            </w:pPr>
            <w:r w:rsidRPr="005970E9">
              <w:rPr>
                <w:b w:val="0"/>
                <w:bCs w:val="0"/>
                <w:color w:val="000000"/>
                <w:sz w:val="20"/>
                <w:szCs w:val="20"/>
              </w:rPr>
              <w:t xml:space="preserve">Total </w:t>
            </w:r>
          </w:p>
        </w:tc>
        <w:tc>
          <w:tcPr>
            <w:tcW w:w="156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C09C0B3" w14:textId="77777777" w:rsidR="00CB054C" w:rsidRPr="005970E9" w:rsidRDefault="00CB054C" w:rsidP="0006567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394 </w:t>
            </w:r>
          </w:p>
        </w:tc>
        <w:tc>
          <w:tcPr>
            <w:tcW w:w="152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D3248D3" w14:textId="77777777" w:rsidR="00CB054C" w:rsidRPr="005970E9" w:rsidRDefault="00CB054C" w:rsidP="0006567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color w:val="000000"/>
                <w:sz w:val="20"/>
                <w:szCs w:val="20"/>
              </w:rPr>
              <w:t xml:space="preserve">100 </w:t>
            </w:r>
          </w:p>
        </w:tc>
        <w:tc>
          <w:tcPr>
            <w:tcW w:w="167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D20B087" w14:textId="77777777" w:rsidR="00CB054C" w:rsidRPr="005970E9" w:rsidRDefault="00CB054C" w:rsidP="0006567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970E9">
              <w:rPr>
                <w:sz w:val="20"/>
                <w:szCs w:val="20"/>
              </w:rPr>
              <w:t>340</w:t>
            </w:r>
          </w:p>
        </w:tc>
        <w:tc>
          <w:tcPr>
            <w:tcW w:w="1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A20F7D9" w14:textId="77777777" w:rsidR="00CB054C" w:rsidRPr="005970E9" w:rsidRDefault="00CB054C" w:rsidP="00065678">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bl>
    <w:p w14:paraId="651E4358" w14:textId="77777777" w:rsidR="00CB054C" w:rsidRPr="005970E9" w:rsidRDefault="00CB054C" w:rsidP="00065678">
      <w:pPr>
        <w:spacing w:after="120" w:line="276" w:lineRule="auto"/>
        <w:jc w:val="both"/>
        <w:rPr>
          <w:rFonts w:eastAsiaTheme="minorHAnsi" w:cs="Times New Roman"/>
          <w:lang w:val="es-ES_tradnl"/>
        </w:rPr>
      </w:pPr>
      <w:r w:rsidRPr="005970E9">
        <w:rPr>
          <w:lang w:val="es-ES_tradnl"/>
        </w:rPr>
        <w:t xml:space="preserve">Fuente: Censo </w:t>
      </w:r>
      <w:bookmarkStart w:id="305" w:name="_Hlk39054089"/>
      <w:r w:rsidRPr="005970E9">
        <w:rPr>
          <w:lang w:val="es-ES_tradnl"/>
        </w:rPr>
        <w:t xml:space="preserve">nacional de adolescentes privados de libertad </w:t>
      </w:r>
      <w:bookmarkEnd w:id="305"/>
      <w:r w:rsidRPr="005970E9">
        <w:rPr>
          <w:lang w:val="es-ES_tradnl"/>
        </w:rPr>
        <w:t xml:space="preserve">y con medidas-Panamá. 2018 MINGO. </w:t>
      </w:r>
    </w:p>
    <w:p w14:paraId="1B9DF883" w14:textId="774209EF" w:rsidR="00CB054C" w:rsidRPr="005970E9" w:rsidRDefault="00E15D55" w:rsidP="00594BB7">
      <w:pPr>
        <w:spacing w:before="120" w:after="240" w:line="276" w:lineRule="auto"/>
        <w:jc w:val="both"/>
        <w:rPr>
          <w:highlight w:val="yellow"/>
          <w:lang w:val="es-ES"/>
        </w:rPr>
      </w:pPr>
      <w:r w:rsidRPr="005970E9">
        <w:rPr>
          <w:lang w:val="es-ES"/>
        </w:rPr>
        <w:t xml:space="preserve">La autoidentificación de un </w:t>
      </w:r>
      <w:r w:rsidR="00CB054C" w:rsidRPr="005970E9">
        <w:rPr>
          <w:lang w:val="es-ES"/>
        </w:rPr>
        <w:t xml:space="preserve">49,7% de adolescentes negras o afrodescendientes privadas de libertad </w:t>
      </w:r>
      <w:r w:rsidRPr="005970E9">
        <w:rPr>
          <w:lang w:val="es-ES"/>
        </w:rPr>
        <w:t xml:space="preserve">implica </w:t>
      </w:r>
      <w:r w:rsidR="00CB054C" w:rsidRPr="005970E9">
        <w:rPr>
          <w:lang w:val="es-ES"/>
        </w:rPr>
        <w:t>un</w:t>
      </w:r>
      <w:r w:rsidR="00976ACA" w:rsidRPr="005970E9">
        <w:rPr>
          <w:lang w:val="es-ES"/>
        </w:rPr>
        <w:t>a llamada</w:t>
      </w:r>
      <w:r w:rsidR="00CB054C" w:rsidRPr="005970E9">
        <w:rPr>
          <w:lang w:val="es-ES"/>
        </w:rPr>
        <w:t xml:space="preserve"> alerta para el </w:t>
      </w:r>
      <w:r w:rsidR="00976ACA" w:rsidRPr="005970E9">
        <w:rPr>
          <w:lang w:val="es-ES"/>
        </w:rPr>
        <w:t>E</w:t>
      </w:r>
      <w:r w:rsidR="00CB054C" w:rsidRPr="005970E9">
        <w:rPr>
          <w:lang w:val="es-ES"/>
        </w:rPr>
        <w:t>stado panameño</w:t>
      </w:r>
      <w:r w:rsidRPr="005970E9">
        <w:rPr>
          <w:lang w:val="es-ES"/>
        </w:rPr>
        <w:t xml:space="preserve">. El sistema de justicia, y las instituciones que deben proteger los derechos de </w:t>
      </w:r>
      <w:r w:rsidR="00594BB7" w:rsidRPr="005970E9">
        <w:rPr>
          <w:lang w:val="es-ES"/>
        </w:rPr>
        <w:t>la juventud</w:t>
      </w:r>
      <w:r w:rsidRPr="005970E9">
        <w:rPr>
          <w:lang w:val="es-ES"/>
        </w:rPr>
        <w:t xml:space="preserve"> y de las mujeres con el propósito de llevar adelante el </w:t>
      </w:r>
      <w:r w:rsidR="00CB054C" w:rsidRPr="005970E9">
        <w:rPr>
          <w:lang w:val="es-ES"/>
        </w:rPr>
        <w:t xml:space="preserve">análisis </w:t>
      </w:r>
      <w:r w:rsidRPr="005970E9">
        <w:rPr>
          <w:lang w:val="es-ES"/>
        </w:rPr>
        <w:t xml:space="preserve">a profundidad </w:t>
      </w:r>
      <w:r w:rsidR="00CB054C" w:rsidRPr="005970E9">
        <w:rPr>
          <w:lang w:val="es-ES"/>
        </w:rPr>
        <w:t>de todos los factores que juegan un rol en esta realidad</w:t>
      </w:r>
      <w:r w:rsidRPr="005970E9">
        <w:rPr>
          <w:lang w:val="es-ES"/>
        </w:rPr>
        <w:t xml:space="preserve">. Identificar y valorar </w:t>
      </w:r>
      <w:r w:rsidR="00CB054C" w:rsidRPr="005970E9">
        <w:rPr>
          <w:lang w:val="es-ES"/>
        </w:rPr>
        <w:t xml:space="preserve">si </w:t>
      </w:r>
      <w:r w:rsidRPr="005970E9">
        <w:rPr>
          <w:lang w:val="es-ES"/>
        </w:rPr>
        <w:t xml:space="preserve">se está en presencia de </w:t>
      </w:r>
      <w:r w:rsidR="00CB054C" w:rsidRPr="005970E9">
        <w:rPr>
          <w:lang w:val="es-ES"/>
        </w:rPr>
        <w:t>pr</w:t>
      </w:r>
      <w:r w:rsidRPr="005970E9">
        <w:rPr>
          <w:lang w:val="es-ES"/>
        </w:rPr>
        <w:t>á</w:t>
      </w:r>
      <w:r w:rsidR="00CB054C" w:rsidRPr="005970E9">
        <w:rPr>
          <w:lang w:val="es-ES"/>
        </w:rPr>
        <w:t>ctica</w:t>
      </w:r>
      <w:r w:rsidRPr="005970E9">
        <w:rPr>
          <w:lang w:val="es-ES"/>
        </w:rPr>
        <w:t>s</w:t>
      </w:r>
      <w:r w:rsidR="00CB054C" w:rsidRPr="005970E9">
        <w:rPr>
          <w:lang w:val="es-ES"/>
        </w:rPr>
        <w:t xml:space="preserve"> </w:t>
      </w:r>
      <w:r w:rsidRPr="005970E9">
        <w:rPr>
          <w:lang w:val="es-ES"/>
        </w:rPr>
        <w:t xml:space="preserve">de </w:t>
      </w:r>
      <w:r w:rsidR="00CB054C" w:rsidRPr="005970E9">
        <w:rPr>
          <w:lang w:val="es-ES"/>
        </w:rPr>
        <w:t>perfilamiento racial</w:t>
      </w:r>
      <w:r w:rsidR="00CB054C" w:rsidRPr="005970E9">
        <w:rPr>
          <w:rStyle w:val="FootnoteReference"/>
          <w:lang w:val="es-ES"/>
        </w:rPr>
        <w:footnoteReference w:id="87"/>
      </w:r>
      <w:r w:rsidR="00CB054C" w:rsidRPr="005970E9">
        <w:rPr>
          <w:lang w:val="es-ES"/>
        </w:rPr>
        <w:t xml:space="preserve"> al momento de perseguir, juzgar y prevenir los delitos, pues tal como lo demuestra el censo nacional de adolescentes privados de libertad no se puede negar que existe una sobre representación de rostros afrodescendientes en las cárceles del país. </w:t>
      </w:r>
      <w:r w:rsidR="00065678" w:rsidRPr="005970E9">
        <w:rPr>
          <w:lang w:val="es-ES"/>
        </w:rPr>
        <w:t xml:space="preserve"> </w:t>
      </w:r>
    </w:p>
    <w:p w14:paraId="16538771" w14:textId="77777777" w:rsidR="00CB054C" w:rsidRPr="005970E9" w:rsidRDefault="00CB054C" w:rsidP="00D478B6">
      <w:pPr>
        <w:pStyle w:val="Heading3"/>
        <w:numPr>
          <w:ilvl w:val="2"/>
          <w:numId w:val="56"/>
        </w:numPr>
        <w:spacing w:before="120" w:line="276" w:lineRule="auto"/>
      </w:pPr>
      <w:bookmarkStart w:id="306" w:name="_Toc42159252"/>
      <w:bookmarkStart w:id="307" w:name="_Toc42549483"/>
      <w:bookmarkStart w:id="308" w:name="_Toc32838593"/>
      <w:bookmarkEnd w:id="275"/>
      <w:r w:rsidRPr="005970E9">
        <w:t>Problemática y derechos de las mujeres privadas de libertad</w:t>
      </w:r>
      <w:bookmarkEnd w:id="306"/>
      <w:bookmarkEnd w:id="307"/>
    </w:p>
    <w:p w14:paraId="1D7FC954" w14:textId="7E73E113"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Varios estudios sobre la situación carcelaria en Panamá</w:t>
      </w:r>
      <w:r w:rsidRPr="005970E9">
        <w:rPr>
          <w:rStyle w:val="FootnoteReference"/>
          <w:lang w:val="es-ES_tradnl"/>
        </w:rPr>
        <w:footnoteReference w:id="88"/>
      </w:r>
      <w:r w:rsidRPr="005970E9">
        <w:rPr>
          <w:lang w:val="es-ES_tradnl"/>
        </w:rPr>
        <w:t>, subrayan los altos niveles de violencia y drogas, que se detectan dentro de las cárceles panameñas; infraestructuras deficientes o inadecuadas que se ven agravadas por la alta tasa de encarcelamiento con un hacinamiento penitenciario que llega a niveles críticos.</w:t>
      </w:r>
    </w:p>
    <w:p w14:paraId="4A5B55BC" w14:textId="15236217"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Se da además cierto abuso de la prisión preventiva, que en febrero del 2020 representa un 42%</w:t>
      </w:r>
      <w:r w:rsidRPr="005970E9">
        <w:rPr>
          <w:rStyle w:val="FootnoteReference"/>
          <w:lang w:val="es-ES_tradnl"/>
        </w:rPr>
        <w:footnoteReference w:id="89"/>
      </w:r>
      <w:r w:rsidRPr="005970E9">
        <w:rPr>
          <w:lang w:val="es-ES_tradnl"/>
        </w:rPr>
        <w:t xml:space="preserve">, frente al 70% del año 2014, que si bien representa un descenso guarda relación con la implementación del sistema penal acusatorio que entró a regir en el año 2011 en </w:t>
      </w:r>
      <w:r w:rsidRPr="005970E9">
        <w:rPr>
          <w:lang w:val="es-ES_tradnl"/>
        </w:rPr>
        <w:lastRenderedPageBreak/>
        <w:t xml:space="preserve">el segundo distrito judicial y se terminó de implementar en el 2016. </w:t>
      </w:r>
    </w:p>
    <w:p w14:paraId="2CF4EC4F" w14:textId="54EF63F5"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Otra decisión que ha podido repercutir en la reducción de este porcentaje es la aprobación de la Ley 4 del 17 de febrero del 2017, la cual reformó el Código Judicial, el Código Penal y el Código Procesal Penal</w:t>
      </w:r>
      <w:r w:rsidR="00E15D55" w:rsidRPr="005970E9">
        <w:rPr>
          <w:lang w:val="es-ES_tradnl"/>
        </w:rPr>
        <w:t>, y</w:t>
      </w:r>
      <w:r w:rsidRPr="005970E9">
        <w:rPr>
          <w:lang w:val="es-ES_tradnl"/>
        </w:rPr>
        <w:t xml:space="preserve"> </w:t>
      </w:r>
      <w:r w:rsidR="00E15D55" w:rsidRPr="005970E9">
        <w:rPr>
          <w:lang w:val="es-ES_tradnl"/>
        </w:rPr>
        <w:t xml:space="preserve">se </w:t>
      </w:r>
      <w:r w:rsidRPr="005970E9">
        <w:rPr>
          <w:lang w:val="es-ES_tradnl"/>
        </w:rPr>
        <w:t>propone</w:t>
      </w:r>
      <w:r w:rsidR="00E15D55" w:rsidRPr="005970E9">
        <w:rPr>
          <w:lang w:val="es-ES_tradnl"/>
        </w:rPr>
        <w:t>n</w:t>
      </w:r>
      <w:r w:rsidRPr="005970E9">
        <w:rPr>
          <w:lang w:val="es-ES_tradnl"/>
        </w:rPr>
        <w:t xml:space="preserve"> medidas que eviten el hacinamiento en </w:t>
      </w:r>
      <w:r w:rsidR="00E15D55" w:rsidRPr="005970E9">
        <w:rPr>
          <w:lang w:val="es-ES_tradnl"/>
        </w:rPr>
        <w:t xml:space="preserve">los </w:t>
      </w:r>
      <w:r w:rsidRPr="005970E9">
        <w:rPr>
          <w:lang w:val="es-ES_tradnl"/>
        </w:rPr>
        <w:t>centros penitenciarios.</w:t>
      </w:r>
    </w:p>
    <w:p w14:paraId="4B1A5276" w14:textId="3DE7884F" w:rsidR="00CB054C" w:rsidRPr="005970E9" w:rsidRDefault="00065678" w:rsidP="00CB054C">
      <w:pPr>
        <w:widowControl w:val="0"/>
        <w:autoSpaceDE w:val="0"/>
        <w:autoSpaceDN w:val="0"/>
        <w:adjustRightInd w:val="0"/>
        <w:spacing w:before="120" w:after="120" w:line="276" w:lineRule="auto"/>
        <w:jc w:val="both"/>
        <w:rPr>
          <w:lang w:val="es-ES_tradnl"/>
        </w:rPr>
      </w:pPr>
      <w:r w:rsidRPr="005970E9">
        <w:rPr>
          <w:noProof/>
        </w:rPr>
        <mc:AlternateContent>
          <mc:Choice Requires="wps">
            <w:drawing>
              <wp:anchor distT="45720" distB="45720" distL="114300" distR="114300" simplePos="0" relativeHeight="251764777" behindDoc="0" locked="0" layoutInCell="1" allowOverlap="1" wp14:anchorId="5FC39B59" wp14:editId="435CFA57">
                <wp:simplePos x="0" y="0"/>
                <wp:positionH relativeFrom="column">
                  <wp:posOffset>3863340</wp:posOffset>
                </wp:positionH>
                <wp:positionV relativeFrom="paragraph">
                  <wp:posOffset>118745</wp:posOffset>
                </wp:positionV>
                <wp:extent cx="2320290" cy="3093085"/>
                <wp:effectExtent l="0" t="0" r="22225" b="27940"/>
                <wp:wrapSquare wrapText="bothSides"/>
                <wp:docPr id="245"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3093085"/>
                        </a:xfrm>
                        <a:prstGeom prst="rect">
                          <a:avLst/>
                        </a:prstGeom>
                        <a:solidFill>
                          <a:srgbClr val="FFFFFF"/>
                        </a:solidFill>
                        <a:ln w="9525">
                          <a:solidFill>
                            <a:srgbClr val="7030A0"/>
                          </a:solidFill>
                          <a:miter lim="800000"/>
                          <a:headEnd/>
                          <a:tailEnd/>
                        </a:ln>
                      </wps:spPr>
                      <wps:txbx>
                        <w:txbxContent>
                          <w:p w14:paraId="21808954" w14:textId="77777777" w:rsidR="00DC0EAB" w:rsidRDefault="00DC0EAB" w:rsidP="00CB054C">
                            <w:pPr>
                              <w:shd w:val="clear" w:color="auto" w:fill="E5DFEC" w:themeFill="accent4" w:themeFillTint="33"/>
                              <w:spacing w:before="120" w:after="120"/>
                              <w:rPr>
                                <w:sz w:val="20"/>
                                <w:szCs w:val="20"/>
                              </w:rPr>
                            </w:pPr>
                            <w:r>
                              <w:rPr>
                                <w:sz w:val="20"/>
                                <w:szCs w:val="20"/>
                              </w:rPr>
                              <w:t>Las personas privadas de libertad son también sujetos de derechos. La privación de libertad es el único derecho que le es suspendido o limitado. Por lo demás, según afirma el Artículo 4 de la Ley 55/2003 su condición jurídica es idéntica a la de las personas libres.</w:t>
                            </w:r>
                          </w:p>
                          <w:p w14:paraId="5B212565" w14:textId="77777777" w:rsidR="00DC0EAB" w:rsidRDefault="00DC0EAB" w:rsidP="00CB054C">
                            <w:pPr>
                              <w:shd w:val="clear" w:color="auto" w:fill="E5DFEC" w:themeFill="accent4" w:themeFillTint="33"/>
                              <w:spacing w:before="120" w:after="120"/>
                              <w:rPr>
                                <w:sz w:val="20"/>
                                <w:szCs w:val="20"/>
                              </w:rPr>
                            </w:pPr>
                            <w:r>
                              <w:rPr>
                                <w:sz w:val="20"/>
                                <w:szCs w:val="20"/>
                              </w:rPr>
                              <w:t>“Se consideran derechos humanos del privado o de la privada de libertad el conjunto de facultades y privilegios inherentes a todo ser humano por su condición de hombre o de mujer, que no le hayan sido suspendidos en la sentencia por la autoridad competente” (Artículo 12 Ley 55/2003)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C39B59" id="Cuadro de texto 81" o:spid="_x0000_s1046" type="#_x0000_t202" style="position:absolute;left:0;text-align:left;margin-left:304.2pt;margin-top:9.35pt;width:182.7pt;height:243.55pt;z-index:25176477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" strokecolor="#7030a0">
                <v:textbox style="mso-fit-shape-to-text:t">
                  <w:txbxContent>
                    <w:p w14:paraId="21808954" w14:textId="77777777" w:rsidR="00DC0EAB" w:rsidRDefault="00DC0EAB" w:rsidP="00CB054C">
                      <w:pPr>
                        <w:shd w:val="clear" w:color="auto" w:fill="E5DFEC" w:themeFill="accent4" w:themeFillTint="33"/>
                        <w:spacing w:before="120" w:after="120"/>
                        <w:rPr>
                          <w:sz w:val="20"/>
                          <w:szCs w:val="20"/>
                        </w:rPr>
                      </w:pPr>
                      <w:r>
                        <w:rPr>
                          <w:sz w:val="20"/>
                          <w:szCs w:val="20"/>
                        </w:rPr>
                        <w:t>Las personas privadas de libertad son también sujetos de derechos. La privación de libertad es el único derecho que le es suspendido o limitado. Por lo demás, según afirma el Artículo 4 de la Ley 55/2003 su condición jurídica es idéntica a la de las personas libres.</w:t>
                      </w:r>
                    </w:p>
                    <w:p w14:paraId="5B212565" w14:textId="77777777" w:rsidR="00DC0EAB" w:rsidRDefault="00DC0EAB" w:rsidP="00CB054C">
                      <w:pPr>
                        <w:shd w:val="clear" w:color="auto" w:fill="E5DFEC" w:themeFill="accent4" w:themeFillTint="33"/>
                        <w:spacing w:before="120" w:after="120"/>
                        <w:rPr>
                          <w:sz w:val="20"/>
                          <w:szCs w:val="20"/>
                        </w:rPr>
                      </w:pPr>
                      <w:r>
                        <w:rPr>
                          <w:sz w:val="20"/>
                          <w:szCs w:val="20"/>
                        </w:rPr>
                        <w:t>“Se consideran derechos humanos del privado o de la privada de libertad el conjunto de facultades y privilegios inherentes a todo ser humano por su condición de hombre o de mujer, que no le hayan sido suspendidos en la sentencia por la autoridad competente” (Artículo 12 Ley 55/2003)</w:t>
                      </w:r>
                    </w:p>
                  </w:txbxContent>
                </v:textbox>
                <w10:wrap type="square"/>
              </v:shape>
            </w:pict>
          </mc:Fallback>
        </mc:AlternateContent>
      </w:r>
      <w:r w:rsidRPr="005970E9">
        <w:rPr>
          <w:noProof/>
        </w:rPr>
        <mc:AlternateContent>
          <mc:Choice Requires="wps">
            <w:drawing>
              <wp:anchor distT="45720" distB="45720" distL="114300" distR="114300" simplePos="0" relativeHeight="251658275" behindDoc="0" locked="0" layoutInCell="1" allowOverlap="1" wp14:anchorId="5FC39B59" wp14:editId="435CFA57">
                <wp:simplePos x="0" y="0"/>
                <wp:positionH relativeFrom="column">
                  <wp:posOffset>3863340</wp:posOffset>
                </wp:positionH>
                <wp:positionV relativeFrom="paragraph">
                  <wp:posOffset>118745</wp:posOffset>
                </wp:positionV>
                <wp:extent cx="2320290" cy="3093085"/>
                <wp:effectExtent l="0" t="0" r="22225" b="27940"/>
                <wp:wrapSquare wrapText="bothSides"/>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3093085"/>
                        </a:xfrm>
                        <a:prstGeom prst="rect">
                          <a:avLst/>
                        </a:prstGeom>
                        <a:solidFill>
                          <a:srgbClr val="FFFFFF"/>
                        </a:solidFill>
                        <a:ln w="9525">
                          <a:solidFill>
                            <a:srgbClr val="7030A0"/>
                          </a:solidFill>
                          <a:miter lim="800000"/>
                          <a:headEnd/>
                          <a:tailEnd/>
                        </a:ln>
                      </wps:spPr>
                      <wps:txbx>
                        <w:txbxContent>
                          <w:p w14:paraId="394908BC" w14:textId="77777777" w:rsidR="00DC0EAB" w:rsidRDefault="00DC0EAB" w:rsidP="00CB054C">
                            <w:pPr>
                              <w:shd w:val="clear" w:color="auto" w:fill="E5DFEC" w:themeFill="accent4" w:themeFillTint="33"/>
                              <w:spacing w:before="120" w:after="120"/>
                              <w:rPr>
                                <w:sz w:val="20"/>
                                <w:szCs w:val="20"/>
                              </w:rPr>
                            </w:pPr>
                            <w:r>
                              <w:rPr>
                                <w:sz w:val="20"/>
                                <w:szCs w:val="20"/>
                              </w:rPr>
                              <w:t>Las personas privadas de libertad son también sujetos de derechos. La privación de libertad es el único derecho que le es suspendido o limitado. Por lo demás, según afirma el Artículo 4 de la Ley 55/2003 su condición jurídica es idéntica a la de las personas libres.</w:t>
                            </w:r>
                          </w:p>
                          <w:p w14:paraId="41E0D52F" w14:textId="77777777" w:rsidR="00DC0EAB" w:rsidRDefault="00DC0EAB" w:rsidP="00CB054C">
                            <w:pPr>
                              <w:shd w:val="clear" w:color="auto" w:fill="E5DFEC" w:themeFill="accent4" w:themeFillTint="33"/>
                              <w:spacing w:before="120" w:after="120"/>
                              <w:rPr>
                                <w:sz w:val="20"/>
                                <w:szCs w:val="20"/>
                              </w:rPr>
                            </w:pPr>
                            <w:r>
                              <w:rPr>
                                <w:sz w:val="20"/>
                                <w:szCs w:val="20"/>
                              </w:rPr>
                              <w:t>“Se consideran derechos humanos del privado o de la privada de libertad el conjunto de facultades y privilegios inherentes a todo ser humano por su condición de hombre o de mujer, que no le hayan sido suspendidos en la sentencia por la autoridad competente” (Artículo 12 Ley 55/2003)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C39B59" id="_x0000_s1047" type="#_x0000_t202" style="position:absolute;left:0;text-align:left;margin-left:304.2pt;margin-top:9.35pt;width:182.7pt;height:243.55pt;z-index:25165827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" strokecolor="#7030a0">
                <v:textbox style="mso-fit-shape-to-text:t">
                  <w:txbxContent>
                    <w:p w14:paraId="394908BC" w14:textId="77777777" w:rsidR="00DC0EAB" w:rsidRDefault="00DC0EAB" w:rsidP="00CB054C">
                      <w:pPr>
                        <w:shd w:val="clear" w:color="auto" w:fill="E5DFEC" w:themeFill="accent4" w:themeFillTint="33"/>
                        <w:spacing w:before="120" w:after="120"/>
                        <w:rPr>
                          <w:sz w:val="20"/>
                          <w:szCs w:val="20"/>
                        </w:rPr>
                      </w:pPr>
                      <w:r>
                        <w:rPr>
                          <w:sz w:val="20"/>
                          <w:szCs w:val="20"/>
                        </w:rPr>
                        <w:t>Las personas privadas de libertad son también sujetos de derechos. La privación de libertad es el único derecho que le es suspendido o limitado. Por lo demás, según afirma el Artículo 4 de la Ley 55/2003 su condición jurídica es idéntica a la de las personas libres.</w:t>
                      </w:r>
                    </w:p>
                    <w:p w14:paraId="41E0D52F" w14:textId="77777777" w:rsidR="00DC0EAB" w:rsidRDefault="00DC0EAB" w:rsidP="00CB054C">
                      <w:pPr>
                        <w:shd w:val="clear" w:color="auto" w:fill="E5DFEC" w:themeFill="accent4" w:themeFillTint="33"/>
                        <w:spacing w:before="120" w:after="120"/>
                        <w:rPr>
                          <w:sz w:val="20"/>
                          <w:szCs w:val="20"/>
                        </w:rPr>
                      </w:pPr>
                      <w:r>
                        <w:rPr>
                          <w:sz w:val="20"/>
                          <w:szCs w:val="20"/>
                        </w:rPr>
                        <w:t>“Se consideran derechos humanos del privado o de la privada de libertad el conjunto de facultades y privilegios inherentes a todo ser humano por su condición de hombre o de mujer, que no le hayan sido suspendidos en la sentencia por la autoridad competente” (Artículo 12 Ley 55/2003)</w:t>
                      </w:r>
                    </w:p>
                  </w:txbxContent>
                </v:textbox>
                <w10:wrap type="square"/>
              </v:shape>
            </w:pict>
          </mc:Fallback>
        </mc:AlternateContent>
      </w:r>
      <w:r w:rsidR="00CB054C" w:rsidRPr="005970E9">
        <w:rPr>
          <w:lang w:val="es-ES_tradnl"/>
        </w:rPr>
        <w:t>Dentro de las cárceles panameñas tanto hombres y mujeres comparten las deficientes condiciones de habitabilidad que pueden vulnerar los derechos humanos básicos como salud, alimentación, higiene, acceso a la justicia, entre otros.</w:t>
      </w:r>
    </w:p>
    <w:p w14:paraId="4BDA68CF" w14:textId="0E923E6D"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La vulneración de derechos a las personas privadas de libertad en el país ha sido recogida por diversas instituciones, como la Defensoría del Pueblo que en su Informe Anual 2018-2019</w:t>
      </w:r>
      <w:r w:rsidRPr="005970E9">
        <w:rPr>
          <w:rStyle w:val="FootnoteReference"/>
          <w:lang w:val="es-ES_tradnl"/>
        </w:rPr>
        <w:footnoteReference w:id="90"/>
      </w:r>
      <w:r w:rsidRPr="005970E9">
        <w:rPr>
          <w:lang w:val="es-ES_tradnl"/>
        </w:rPr>
        <w:t>, informa sobre las quejas presentadas en la Oficina de Supervisión de los Derechos Humanos de las personas Privadas de Libertad entre noviembre 2018</w:t>
      </w:r>
      <w:r w:rsidR="00F17331" w:rsidRPr="005970E9">
        <w:rPr>
          <w:lang w:val="es-ES_tradnl"/>
        </w:rPr>
        <w:t xml:space="preserve"> y </w:t>
      </w:r>
      <w:r w:rsidRPr="005970E9">
        <w:rPr>
          <w:lang w:val="es-ES_tradnl"/>
        </w:rPr>
        <w:t>octubre 2019.</w:t>
      </w:r>
    </w:p>
    <w:p w14:paraId="14F3B547" w14:textId="1B718F87"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De las 73 quejas recibidas, sobre los derechos que más se vulneran a las personas privadas de libertad, son:</w:t>
      </w:r>
    </w:p>
    <w:p w14:paraId="647E23BB" w14:textId="77777777" w:rsidR="00CB054C" w:rsidRPr="005970E9" w:rsidRDefault="00CB054C" w:rsidP="00CB054C">
      <w:pPr>
        <w:pStyle w:val="ListParagraph"/>
        <w:widowControl w:val="0"/>
        <w:numPr>
          <w:ilvl w:val="0"/>
          <w:numId w:val="44"/>
        </w:numPr>
        <w:autoSpaceDE w:val="0"/>
        <w:autoSpaceDN w:val="0"/>
        <w:adjustRightInd w:val="0"/>
        <w:spacing w:before="120" w:after="120" w:line="276" w:lineRule="auto"/>
        <w:jc w:val="both"/>
        <w:rPr>
          <w:rFonts w:ascii="Century Schoolbook" w:hAnsi="Century Schoolbook"/>
          <w:lang w:val="es-ES_tradnl"/>
        </w:rPr>
      </w:pPr>
      <w:r w:rsidRPr="005970E9">
        <w:rPr>
          <w:rFonts w:ascii="Century Schoolbook" w:hAnsi="Century Schoolbook"/>
          <w:lang w:val="es-ES_tradnl"/>
        </w:rPr>
        <w:t>El principal, el derecho a la salud, con 47 quejas (56%) de los casos;</w:t>
      </w:r>
    </w:p>
    <w:p w14:paraId="562DACF3" w14:textId="77777777" w:rsidR="00CB054C" w:rsidRPr="005970E9" w:rsidRDefault="00CB054C" w:rsidP="00CB054C">
      <w:pPr>
        <w:pStyle w:val="ListParagraph"/>
        <w:widowControl w:val="0"/>
        <w:numPr>
          <w:ilvl w:val="0"/>
          <w:numId w:val="44"/>
        </w:numPr>
        <w:autoSpaceDE w:val="0"/>
        <w:autoSpaceDN w:val="0"/>
        <w:adjustRightInd w:val="0"/>
        <w:spacing w:before="120" w:after="120" w:line="276" w:lineRule="auto"/>
        <w:jc w:val="both"/>
        <w:rPr>
          <w:rFonts w:ascii="Century Schoolbook" w:hAnsi="Century Schoolbook"/>
          <w:lang w:val="es-ES_tradnl"/>
        </w:rPr>
      </w:pPr>
      <w:r w:rsidRPr="005970E9">
        <w:rPr>
          <w:rFonts w:ascii="Century Schoolbook" w:hAnsi="Century Schoolbook"/>
          <w:lang w:val="es-ES_tradnl"/>
        </w:rPr>
        <w:t xml:space="preserve">el derecho de petición, con 17 quejas (20%); </w:t>
      </w:r>
    </w:p>
    <w:p w14:paraId="3150D553" w14:textId="77777777" w:rsidR="00CB054C" w:rsidRPr="005970E9" w:rsidRDefault="00CB054C" w:rsidP="00CB054C">
      <w:pPr>
        <w:pStyle w:val="ListParagraph"/>
        <w:widowControl w:val="0"/>
        <w:numPr>
          <w:ilvl w:val="0"/>
          <w:numId w:val="44"/>
        </w:numPr>
        <w:autoSpaceDE w:val="0"/>
        <w:autoSpaceDN w:val="0"/>
        <w:adjustRightInd w:val="0"/>
        <w:spacing w:before="120" w:after="120" w:line="276" w:lineRule="auto"/>
        <w:jc w:val="both"/>
        <w:rPr>
          <w:rFonts w:ascii="Century Schoolbook" w:hAnsi="Century Schoolbook"/>
          <w:lang w:val="es-ES_tradnl"/>
        </w:rPr>
      </w:pPr>
      <w:r w:rsidRPr="005970E9">
        <w:rPr>
          <w:rFonts w:ascii="Century Schoolbook" w:hAnsi="Century Schoolbook"/>
          <w:lang w:val="es-ES_tradnl"/>
        </w:rPr>
        <w:t>el derecho a la integridad 7 quejas (8%);</w:t>
      </w:r>
    </w:p>
    <w:p w14:paraId="05148BFA" w14:textId="77777777" w:rsidR="00CB054C" w:rsidRPr="005970E9" w:rsidRDefault="00CB054C" w:rsidP="00CB054C">
      <w:pPr>
        <w:pStyle w:val="ListParagraph"/>
        <w:widowControl w:val="0"/>
        <w:numPr>
          <w:ilvl w:val="0"/>
          <w:numId w:val="44"/>
        </w:numPr>
        <w:autoSpaceDE w:val="0"/>
        <w:autoSpaceDN w:val="0"/>
        <w:adjustRightInd w:val="0"/>
        <w:spacing w:before="120" w:after="120" w:line="276" w:lineRule="auto"/>
        <w:jc w:val="both"/>
        <w:rPr>
          <w:rFonts w:ascii="Century Schoolbook" w:hAnsi="Century Schoolbook"/>
          <w:lang w:val="es-ES_tradnl"/>
        </w:rPr>
      </w:pPr>
      <w:r w:rsidRPr="005970E9">
        <w:rPr>
          <w:rFonts w:ascii="Century Schoolbook" w:hAnsi="Century Schoolbook"/>
          <w:lang w:val="es-ES_tradnl"/>
        </w:rPr>
        <w:t xml:space="preserve">el derecho al debido proceso, con 6 quejas (7%); </w:t>
      </w:r>
    </w:p>
    <w:p w14:paraId="004A997E" w14:textId="77777777" w:rsidR="00CB054C" w:rsidRPr="005970E9" w:rsidRDefault="00CB054C" w:rsidP="00CB054C">
      <w:pPr>
        <w:pStyle w:val="ListParagraph"/>
        <w:widowControl w:val="0"/>
        <w:numPr>
          <w:ilvl w:val="0"/>
          <w:numId w:val="44"/>
        </w:numPr>
        <w:autoSpaceDE w:val="0"/>
        <w:autoSpaceDN w:val="0"/>
        <w:adjustRightInd w:val="0"/>
        <w:spacing w:before="120" w:after="120" w:line="276" w:lineRule="auto"/>
        <w:jc w:val="both"/>
        <w:rPr>
          <w:rFonts w:ascii="Century Schoolbook" w:hAnsi="Century Schoolbook"/>
          <w:lang w:val="es-ES_tradnl"/>
        </w:rPr>
      </w:pPr>
      <w:r w:rsidRPr="005970E9">
        <w:rPr>
          <w:rFonts w:ascii="Century Schoolbook" w:hAnsi="Century Schoolbook"/>
          <w:lang w:val="es-ES_tradnl"/>
        </w:rPr>
        <w:t xml:space="preserve">el derecho a la seguridad, con 4 quejas (5%); </w:t>
      </w:r>
    </w:p>
    <w:p w14:paraId="48EF1592" w14:textId="77777777" w:rsidR="00CB054C" w:rsidRPr="005970E9" w:rsidRDefault="00CB054C" w:rsidP="00CB054C">
      <w:pPr>
        <w:pStyle w:val="ListParagraph"/>
        <w:widowControl w:val="0"/>
        <w:numPr>
          <w:ilvl w:val="0"/>
          <w:numId w:val="44"/>
        </w:numPr>
        <w:autoSpaceDE w:val="0"/>
        <w:autoSpaceDN w:val="0"/>
        <w:adjustRightInd w:val="0"/>
        <w:spacing w:before="120" w:after="120" w:line="276" w:lineRule="auto"/>
        <w:jc w:val="both"/>
        <w:rPr>
          <w:rFonts w:ascii="Century Schoolbook" w:hAnsi="Century Schoolbook"/>
          <w:lang w:val="es-ES_tradnl"/>
        </w:rPr>
      </w:pPr>
      <w:r w:rsidRPr="005970E9">
        <w:rPr>
          <w:rFonts w:ascii="Century Schoolbook" w:hAnsi="Century Schoolbook"/>
          <w:lang w:val="es-ES_tradnl"/>
        </w:rPr>
        <w:t>y el derecho al agua, a la libertad de circulación y el derecho a la vida, cada uno con 1 queja (1%), respectivamente.</w:t>
      </w:r>
    </w:p>
    <w:p w14:paraId="171B4E9F" w14:textId="6E9BDCCC"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 xml:space="preserve">Los intereses femeninos están mediados por su condición de género, que viene dada no sólo por su sexualidad sino además por factores socio culturales, de ahí que el aprovisionamiento de espacios y artículos para su salud sexual y reproductiva y sus derechos sociales, quede mermada. Entre los que se pueden mencionar: la disposición de espacios y oportunidades para mantener el vínculo materno con sus hijas e hijos; atención específica para quienes han sido víctimas de violencia de género y sexual; programas de rehabilitación y reinserción social que les permitan oportunidades nuevas al fin de la reclusión, superando sexismos y rompiendo el círculo de la desigualdad y subordinación de género de sus contextos de origen. </w:t>
      </w:r>
    </w:p>
    <w:p w14:paraId="0DA3DDB1" w14:textId="1442AE5F"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 xml:space="preserve">Un porcentaje importante (48%) de las mujeres privadas de libertad eran madres de </w:t>
      </w:r>
      <w:r w:rsidRPr="005970E9">
        <w:rPr>
          <w:lang w:val="es-ES_tradnl"/>
        </w:rPr>
        <w:lastRenderedPageBreak/>
        <w:t>hijos menores de 18 años y un 0.1% (23 mujeres) parió estando en prisión. Sin embargo, los centros penitenciarios no cuentan con instalaciones adecuadas ni medios suficientes para dar cobertura y protección a las embarazadas, siendo nulos los hogares maternales y los programas de atención a hijos/as de las reclusas (Censo de adultos privados de libertad. 2018. pág. 33 y 36)</w:t>
      </w:r>
      <w:r w:rsidR="00F17331" w:rsidRPr="005970E9">
        <w:rPr>
          <w:lang w:val="es-ES_tradnl"/>
        </w:rPr>
        <w:t>.</w:t>
      </w:r>
      <w:r w:rsidRPr="005970E9">
        <w:rPr>
          <w:lang w:val="es-ES_tradnl"/>
        </w:rPr>
        <w:t xml:space="preserve"> </w:t>
      </w:r>
    </w:p>
    <w:p w14:paraId="627C7E0E" w14:textId="5D2838DE"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 xml:space="preserve">Como se mencionó antes, el poco espacio disponible dentro de los centros impide no sólo el derecho a la privacidad, sino que no se cuentan con los espacios necesarios dentro de los centros penitenciarios para atender las necesidades particulares de las mujeres como lo son las salas de lactancia (23 mujeres parieron en el centro penitenciario, según el censo del 2018) o espacios para la visitas familiares y conyugales de los centros femeninos. </w:t>
      </w:r>
    </w:p>
    <w:p w14:paraId="5CFCC61C" w14:textId="3672EEE8" w:rsidR="00CB054C" w:rsidRPr="005970E9" w:rsidRDefault="00CA4C29" w:rsidP="00CB054C">
      <w:pPr>
        <w:widowControl w:val="0"/>
        <w:autoSpaceDE w:val="0"/>
        <w:autoSpaceDN w:val="0"/>
        <w:adjustRightInd w:val="0"/>
        <w:spacing w:before="120" w:after="120" w:line="276" w:lineRule="auto"/>
        <w:jc w:val="both"/>
        <w:rPr>
          <w:lang w:val="es-ES_tradnl"/>
        </w:rPr>
      </w:pPr>
      <w:r w:rsidRPr="005970E9">
        <w:rPr>
          <w:noProof/>
        </w:rPr>
        <mc:AlternateContent>
          <mc:Choice Requires="wps">
            <w:drawing>
              <wp:anchor distT="45720" distB="45720" distL="114300" distR="114300" simplePos="0" relativeHeight="251766825" behindDoc="0" locked="0" layoutInCell="1" allowOverlap="1" wp14:anchorId="6E2B920D" wp14:editId="5D73593E">
                <wp:simplePos x="0" y="0"/>
                <wp:positionH relativeFrom="column">
                  <wp:posOffset>3315970</wp:posOffset>
                </wp:positionH>
                <wp:positionV relativeFrom="paragraph">
                  <wp:posOffset>1156335</wp:posOffset>
                </wp:positionV>
                <wp:extent cx="2190750" cy="4549140"/>
                <wp:effectExtent l="0" t="0" r="19050" b="22860"/>
                <wp:wrapSquare wrapText="bothSides"/>
                <wp:docPr id="246"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549140"/>
                        </a:xfrm>
                        <a:prstGeom prst="rect">
                          <a:avLst/>
                        </a:prstGeom>
                        <a:solidFill>
                          <a:srgbClr val="E8D9F3"/>
                        </a:solidFill>
                        <a:ln w="9525">
                          <a:solidFill>
                            <a:srgbClr val="000000"/>
                          </a:solidFill>
                          <a:miter lim="800000"/>
                          <a:headEnd/>
                          <a:tailEnd/>
                        </a:ln>
                      </wps:spPr>
                      <wps:txbx>
                        <w:txbxContent>
                          <w:p w14:paraId="21A47147" w14:textId="77777777" w:rsidR="00DC0EAB" w:rsidRDefault="00DC0EAB" w:rsidP="00CB054C">
                            <w:pPr>
                              <w:widowControl w:val="0"/>
                              <w:autoSpaceDE w:val="0"/>
                              <w:autoSpaceDN w:val="0"/>
                              <w:adjustRightInd w:val="0"/>
                              <w:rPr>
                                <w:sz w:val="18"/>
                                <w:szCs w:val="18"/>
                                <w:lang w:val="es-ES_tradnl"/>
                              </w:rPr>
                            </w:pPr>
                            <w:r>
                              <w:rPr>
                                <w:sz w:val="18"/>
                                <w:szCs w:val="18"/>
                              </w:rPr>
                              <w:t>“</w:t>
                            </w:r>
                            <w:r>
                              <w:rPr>
                                <w:sz w:val="18"/>
                                <w:szCs w:val="18"/>
                                <w:lang w:val="es-ES_tradnl"/>
                              </w:rPr>
                              <w:t>No existe en los Centros femeninos actualmente ningún hogar maternal o espacios específicos destinados la reclusión de mujeres embarazadas y madres con sus hijos e hijas de hasta seis meses, a pesar de lo estipulado en la normativa nacional y los acuerdos internacionales. En algunos Centros contaron en algún momento con un hogar maternal como en el caso de CEFERE y Algarrobos que actualmente no están funcionando. Ante esta situación tanto las propias internas como las Juntas</w:t>
                            </w:r>
                          </w:p>
                          <w:p w14:paraId="3C9A859D" w14:textId="77777777" w:rsidR="00DC0EAB" w:rsidRDefault="00DC0EAB" w:rsidP="00CB054C">
                            <w:pPr>
                              <w:widowControl w:val="0"/>
                              <w:autoSpaceDE w:val="0"/>
                              <w:autoSpaceDN w:val="0"/>
                              <w:adjustRightInd w:val="0"/>
                              <w:rPr>
                                <w:sz w:val="18"/>
                                <w:szCs w:val="18"/>
                                <w:lang w:val="es-ES_tradnl"/>
                              </w:rPr>
                            </w:pPr>
                            <w:r>
                              <w:rPr>
                                <w:sz w:val="18"/>
                                <w:szCs w:val="18"/>
                                <w:lang w:val="es-ES_tradnl"/>
                              </w:rPr>
                              <w:t xml:space="preserve">Técnicas de los Centros proponen y reclaman la instalación de dichos espacios específicos para las mujeres en esta situación. El único espacio existente actualmente en todos los Centros para recibir a niños y niñas menores de 5 años es la guardería (llamada COIF pero que no forma parte de la red de instituciones del MIDES) instalado en el CEFERE donde los hijos/as de las privadas pueden convivir durante cuatro horas al día con sus madres.” Diagnóstico de la Situación de las Mujeres Privadas de Libertad en Panamá. Eugenia Rodríguez Blanco. </w:t>
                            </w:r>
                          </w:p>
                          <w:p w14:paraId="0F04A331" w14:textId="77777777" w:rsidR="00DC0EAB" w:rsidRDefault="00DC0EAB" w:rsidP="00CB054C">
                            <w:pPr>
                              <w:widowControl w:val="0"/>
                              <w:autoSpaceDE w:val="0"/>
                              <w:autoSpaceDN w:val="0"/>
                              <w:adjustRightInd w:val="0"/>
                              <w:rPr>
                                <w:sz w:val="18"/>
                                <w:szCs w:val="18"/>
                                <w:lang w:val="es-ES_tradnl"/>
                              </w:rPr>
                            </w:pPr>
                            <w:r>
                              <w:rPr>
                                <w:sz w:val="18"/>
                                <w:szCs w:val="18"/>
                                <w:lang w:val="es-ES_tradnl"/>
                              </w:rPr>
                              <w:t>Desde un enfoque de género y derechos.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B920D" id="Cuadro de texto 80" o:spid="_x0000_s1048" type="#_x0000_t202" style="position:absolute;left:0;text-align:left;margin-left:261.1pt;margin-top:91.05pt;width:172.5pt;height:358.2pt;z-index:2517668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" fillcolor="#e8d9f3">
                <v:textbox>
                  <w:txbxContent>
                    <w:p w14:paraId="21A47147" w14:textId="77777777" w:rsidR="00DC0EAB" w:rsidRDefault="00DC0EAB" w:rsidP="00CB054C">
                      <w:pPr>
                        <w:widowControl w:val="0"/>
                        <w:autoSpaceDE w:val="0"/>
                        <w:autoSpaceDN w:val="0"/>
                        <w:adjustRightInd w:val="0"/>
                        <w:rPr>
                          <w:sz w:val="18"/>
                          <w:szCs w:val="18"/>
                          <w:lang w:val="es-ES_tradnl"/>
                        </w:rPr>
                      </w:pPr>
                      <w:r>
                        <w:rPr>
                          <w:sz w:val="18"/>
                          <w:szCs w:val="18"/>
                        </w:rPr>
                        <w:t>“</w:t>
                      </w:r>
                      <w:r>
                        <w:rPr>
                          <w:sz w:val="18"/>
                          <w:szCs w:val="18"/>
                          <w:lang w:val="es-ES_tradnl"/>
                        </w:rPr>
                        <w:t>No existe en los Centros femeninos actualmente ningún hogar maternal o espacios específicos destinados la reclusión de mujeres embarazadas y madres con sus hijos e hijas de hasta seis meses, a pesar de lo estipulado en la normativa nacional y los acuerdos internacionales. En algunos Centros contaron en algún momento con un hogar maternal como en el caso de CEFERE y Algarrobos que actualmente no están funcionando. Ante esta situación tanto las propias internas como las Juntas</w:t>
                      </w:r>
                    </w:p>
                    <w:p w14:paraId="3C9A859D" w14:textId="77777777" w:rsidR="00DC0EAB" w:rsidRDefault="00DC0EAB" w:rsidP="00CB054C">
                      <w:pPr>
                        <w:widowControl w:val="0"/>
                        <w:autoSpaceDE w:val="0"/>
                        <w:autoSpaceDN w:val="0"/>
                        <w:adjustRightInd w:val="0"/>
                        <w:rPr>
                          <w:sz w:val="18"/>
                          <w:szCs w:val="18"/>
                          <w:lang w:val="es-ES_tradnl"/>
                        </w:rPr>
                      </w:pPr>
                      <w:r>
                        <w:rPr>
                          <w:sz w:val="18"/>
                          <w:szCs w:val="18"/>
                          <w:lang w:val="es-ES_tradnl"/>
                        </w:rPr>
                        <w:t xml:space="preserve">Técnicas de los Centros proponen y reclaman la instalación de dichos espacios específicos para las mujeres en esta situación. El único espacio existente actualmente en todos los Centros para recibir a niños y niñas menores de 5 años es la guardería (llamada COIF pero que no forma parte de la red de instituciones del MIDES) instalado en el CEFERE donde los hijos/as de las privadas pueden convivir durante cuatro horas al día con sus madres.” Diagnóstico de la Situación de las Mujeres Privadas de Libertad en Panamá. Eugenia Rodríguez Blanco. </w:t>
                      </w:r>
                    </w:p>
                    <w:p w14:paraId="0F04A331" w14:textId="77777777" w:rsidR="00DC0EAB" w:rsidRDefault="00DC0EAB" w:rsidP="00CB054C">
                      <w:pPr>
                        <w:widowControl w:val="0"/>
                        <w:autoSpaceDE w:val="0"/>
                        <w:autoSpaceDN w:val="0"/>
                        <w:adjustRightInd w:val="0"/>
                        <w:rPr>
                          <w:sz w:val="18"/>
                          <w:szCs w:val="18"/>
                          <w:lang w:val="es-ES_tradnl"/>
                        </w:rPr>
                      </w:pPr>
                      <w:r>
                        <w:rPr>
                          <w:sz w:val="18"/>
                          <w:szCs w:val="18"/>
                          <w:lang w:val="es-ES_tradnl"/>
                        </w:rPr>
                        <w:t>Desde un enfoque de género y derechos.</w:t>
                      </w:r>
                    </w:p>
                  </w:txbxContent>
                </v:textbox>
                <w10:wrap type="square"/>
              </v:shape>
            </w:pict>
          </mc:Fallback>
        </mc:AlternateContent>
      </w:r>
      <w:r w:rsidR="00CB054C" w:rsidRPr="005970E9">
        <w:rPr>
          <w:lang w:val="es-ES_tradnl"/>
        </w:rPr>
        <w:t xml:space="preserve">El </w:t>
      </w:r>
      <w:r w:rsidR="00CB054C" w:rsidRPr="005970E9">
        <w:t>Subcomité</w:t>
      </w:r>
      <w:r w:rsidR="00CB054C" w:rsidRPr="005970E9">
        <w:rPr>
          <w:lang w:val="es-ES_tradnl"/>
        </w:rPr>
        <w:t xml:space="preserve"> para la Prevención de la Tortura y Otros Tratos o Penas Crueles, Inhumanos o Degradantes, realizaron importantes observaciones al Estado panameño en el 2018, a saber: no existe una política sistemática de otorgar medidas alternativas a la detención de las madres; no existe ninguna unidad maternal que permita que las mujeres puedan mantener a sus hijos con ellas, en ningún centro del país; las mujeres lactantes tampoco pueden amamantar a sus hijos. </w:t>
      </w:r>
    </w:p>
    <w:p w14:paraId="68491702" w14:textId="4289AB06"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 xml:space="preserve">En el precitado informe se planteaba que: </w:t>
      </w:r>
    </w:p>
    <w:p w14:paraId="570484B6" w14:textId="6B602A91"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i/>
          <w:lang w:val="es-ES_tradnl"/>
        </w:rPr>
        <w:t>“El hecho de que las mujeres no puedan cuidar a sus hijos constituye un estrés serio para la mayoría de las mujeres entrevistadas. La falta de asistencia social y psicológica y la dificultad de dar seguimiento a la situación de sus niños con las instituciones relevantes agrava la situación seriamente (Informe del Subcomité para la Prevención de la Tortura…2018)</w:t>
      </w:r>
      <w:r w:rsidR="00F17331" w:rsidRPr="005970E9">
        <w:rPr>
          <w:i/>
          <w:lang w:val="es-ES_tradnl"/>
        </w:rPr>
        <w:t>.</w:t>
      </w:r>
    </w:p>
    <w:p w14:paraId="636423EA" w14:textId="77777777"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 xml:space="preserve">En dicho informe se recuerda al Estado panameño el principio del interés superior del niño y </w:t>
      </w:r>
      <w:r w:rsidRPr="005970E9">
        <w:rPr>
          <w:color w:val="000000" w:themeColor="text1"/>
          <w:lang w:val="es-ES_tradnl"/>
        </w:rPr>
        <w:t xml:space="preserve">la regla 58 de las Reglas de Bangkok en donde se subrayan los derechos de los niños y de las mujeres privadas </w:t>
      </w:r>
      <w:r w:rsidRPr="005970E9">
        <w:rPr>
          <w:lang w:val="es-ES_tradnl"/>
        </w:rPr>
        <w:t xml:space="preserve">de libertad, en tanto que sujetas de derechos, y la necesidad de incluir medidas alternativas a la prisión preventiva y condena de mujeres. </w:t>
      </w:r>
    </w:p>
    <w:p w14:paraId="13C2B422" w14:textId="77777777" w:rsidR="00CB054C" w:rsidRPr="005970E9" w:rsidRDefault="00CB054C" w:rsidP="00CB054C">
      <w:pPr>
        <w:widowControl w:val="0"/>
        <w:autoSpaceDE w:val="0"/>
        <w:autoSpaceDN w:val="0"/>
        <w:adjustRightInd w:val="0"/>
        <w:spacing w:before="120" w:after="120" w:line="276" w:lineRule="auto"/>
        <w:jc w:val="both"/>
        <w:rPr>
          <w:lang w:val="es-ES_tradnl"/>
        </w:rPr>
      </w:pPr>
      <w:r w:rsidRPr="005970E9">
        <w:rPr>
          <w:lang w:val="es-ES_tradnl"/>
        </w:rPr>
        <w:t>Otro aspecto en donde, la inequidad de género y los estereotipos juegan un papel es en el control de la sexualidad femenina, que se traduce en las escasas oportunidades que tienen las mujeres para recibir visita conyugal en el centro penitenciario.</w:t>
      </w:r>
    </w:p>
    <w:bookmarkEnd w:id="308"/>
    <w:p w14:paraId="6EB0F278" w14:textId="2109F2C7" w:rsidR="00B76B0C" w:rsidRPr="005970E9" w:rsidRDefault="008338CA" w:rsidP="00F808BF">
      <w:pPr>
        <w:pStyle w:val="Heading2"/>
      </w:pPr>
      <w:r w:rsidRPr="005970E9">
        <w:rPr>
          <w:color w:val="000000" w:themeColor="text1"/>
          <w:lang w:val="es-ES_tradnl"/>
        </w:rPr>
        <w:lastRenderedPageBreak/>
        <w:t xml:space="preserve"> </w:t>
      </w:r>
      <w:bookmarkStart w:id="309" w:name="_Toc42159253"/>
      <w:bookmarkStart w:id="310" w:name="_Toc42549484"/>
      <w:r w:rsidR="00F808BF" w:rsidRPr="005970E9">
        <w:rPr>
          <w:lang w:val="es-ES_tradnl"/>
        </w:rPr>
        <w:t xml:space="preserve">4.7 </w:t>
      </w:r>
      <w:r w:rsidR="003B5C05" w:rsidRPr="005970E9">
        <w:t>Género y población adulta mayor</w:t>
      </w:r>
      <w:bookmarkEnd w:id="309"/>
      <w:bookmarkEnd w:id="310"/>
    </w:p>
    <w:p w14:paraId="1552D218" w14:textId="77777777" w:rsidR="00B76B0C" w:rsidRPr="005970E9" w:rsidRDefault="003B5C05" w:rsidP="008A7E66">
      <w:pPr>
        <w:spacing w:before="240" w:after="120" w:line="276" w:lineRule="auto"/>
        <w:jc w:val="both"/>
        <w:rPr>
          <w:rFonts w:eastAsia="Century Schoolbook" w:cs="Century Schoolbook"/>
        </w:rPr>
      </w:pPr>
      <w:r w:rsidRPr="005970E9">
        <w:rPr>
          <w:rFonts w:eastAsia="Century Schoolbook" w:cs="Century Schoolbook"/>
        </w:rPr>
        <w:t>En el pasado como en la actualidad se encuentra vigente el reto de responder a las necesidades de la población adulta mayor y lo que representa una población en continuo envejecimiento; diferentes proyecciones apuntan a un aumento progresivo y constante de la población adulta mayor, se estima que para el 2050 el 21.5% (2,092 millones de personas) serán adultos mayores a nivel global. Para ello hace falta una comprensión integral de las complejidades que esto acarrea. Una visión amplia de la mujer adulta mayor es necesaria para formular acciones encaminadas a mejorar su calidad de vida y garantizar el acceso a cada servicio básico.</w:t>
      </w:r>
    </w:p>
    <w:p w14:paraId="255296CC" w14:textId="77777777" w:rsidR="00B76B0C" w:rsidRPr="005970E9" w:rsidRDefault="003B5C05" w:rsidP="00C43B1D">
      <w:pPr>
        <w:spacing w:before="120" w:after="120" w:line="276" w:lineRule="auto"/>
        <w:jc w:val="both"/>
        <w:rPr>
          <w:rFonts w:eastAsia="Century Schoolbook" w:cs="Century Schoolbook"/>
        </w:rPr>
      </w:pPr>
      <w:r w:rsidRPr="005970E9">
        <w:rPr>
          <w:rFonts w:eastAsia="Century Schoolbook" w:cs="Century Schoolbook"/>
        </w:rPr>
        <w:t>La constitución de la República de Panamá establece la protección que el estado debe garantizar en particular a los grupos en condición de vulnerabilidad, siendo parte de estos la población adulta mayor. En específico el artículo 113 señala que: Todo individuo tiene derecho a la seguridad en caso de incapacidad para trabajar u obtener trabajo retribuido. Los servicios de seguridad social serán prestados o administrados por entidades autónomas y cubrirán los casos de enfermedad, maternidad, invalidez, subsidios de familia, vejez, viudez, orfandad, paro forzoso, accidentes de trabajo, enfermedades profesionales y además contingencias que puedan ser objetos de previsión y seguridad sociales. La ley proveerá la implantación de tales servicios a medida que las necesidades los exijan.</w:t>
      </w:r>
      <w:r w:rsidRPr="005970E9">
        <w:rPr>
          <w:rFonts w:eastAsia="Century Schoolbook" w:cs="Century Schoolbook"/>
          <w:vertAlign w:val="superscript"/>
        </w:rPr>
        <w:footnoteReference w:id="91"/>
      </w:r>
    </w:p>
    <w:p w14:paraId="6C6FCCCD" w14:textId="77777777" w:rsidR="00B76B0C" w:rsidRPr="005970E9" w:rsidRDefault="003B5C05" w:rsidP="00C43B1D">
      <w:pPr>
        <w:spacing w:before="120" w:after="120" w:line="276" w:lineRule="auto"/>
        <w:jc w:val="both"/>
        <w:rPr>
          <w:rFonts w:eastAsia="Century Schoolbook" w:cs="Century Schoolbook"/>
        </w:rPr>
      </w:pPr>
      <w:r w:rsidRPr="005970E9">
        <w:rPr>
          <w:rFonts w:eastAsia="Century Schoolbook" w:cs="Century Schoolbook"/>
        </w:rPr>
        <w:t xml:space="preserve">A pesar de esto en Panamá una condición casi implícita que conlleva el ser adulta mayor es la salida del mercado laboral formal o estructural si alguna vez lo estuvo o de igual forma la imposibilidad para desempeñar cualquier actividad económica informal que representa ingresos, no así del trabajo doméstico siendo este último en su mayoría no remunerado y socialmente impuesto. Al existir políticas económicas y laborales insuficientes que traten el tema de manera específica, es decir con un enfoque preventivo y no paliativo. La reinserción de la adulta mayor a través de programas de empoderamiento comunitario queda relegado a un segundo plano y existiendo sólo en programas comunitarios siendo incluido en planes macro como lo es el recientemente anunciado para el año 2020 ``Plan colmena``, que pretende atender de manera integral a la población vulnerable de los corregimientos más pobres del país, incluyendo a la población adulta mayor. Aunque a fecha de la elaboración de este perfil no se ha revelado aún el plan integral y la articulación entre las instituciones que este involucra. La oficina de la coordinación nacional del adulto mayor adelanta la existencia de un plan específico que atienda los problemas de la adulta mayor. </w:t>
      </w:r>
    </w:p>
    <w:p w14:paraId="3ED43EC6" w14:textId="77777777" w:rsidR="00C310FA" w:rsidRPr="005970E9" w:rsidRDefault="003B5C05" w:rsidP="00745E37">
      <w:pPr>
        <w:pStyle w:val="CommentText"/>
        <w:spacing w:before="120" w:after="120" w:line="276" w:lineRule="auto"/>
        <w:jc w:val="both"/>
        <w:rPr>
          <w:rFonts w:ascii="Century Schoolbook" w:eastAsia="Century Schoolbook" w:hAnsi="Century Schoolbook" w:cs="Century Schoolbook"/>
          <w:sz w:val="22"/>
          <w:szCs w:val="22"/>
        </w:rPr>
      </w:pPr>
      <w:r w:rsidRPr="005970E9">
        <w:rPr>
          <w:rFonts w:ascii="Century Schoolbook" w:eastAsia="Century Schoolbook" w:hAnsi="Century Schoolbook" w:cs="Century Schoolbook"/>
          <w:sz w:val="22"/>
          <w:szCs w:val="22"/>
        </w:rPr>
        <w:t xml:space="preserve">El principal programa gubernamental orientado a la atención del adulto mayor es el de 120 a los 65 concebido para asistir de manera económica a la población arriba de los 65 años que no mantenga jubilación ni recursos para cubrir necesidades básicas. Información del MIDES describe este programa como de ayuda condicionada contando </w:t>
      </w:r>
      <w:r w:rsidRPr="005970E9">
        <w:rPr>
          <w:rFonts w:ascii="Century Schoolbook" w:eastAsia="Century Schoolbook" w:hAnsi="Century Schoolbook" w:cs="Century Schoolbook"/>
          <w:sz w:val="22"/>
          <w:szCs w:val="22"/>
        </w:rPr>
        <w:lastRenderedPageBreak/>
        <w:t>con 125,569 beneficiarios concentrando la mayoría en la provincia de Panamá y encontrando una proporción de casi 50/50 entre hombres y mujeres.</w:t>
      </w:r>
      <w:r w:rsidR="00C310FA" w:rsidRPr="005970E9">
        <w:rPr>
          <w:rFonts w:ascii="Century Schoolbook" w:eastAsia="Century Schoolbook" w:hAnsi="Century Schoolbook" w:cs="Century Schoolbook"/>
          <w:sz w:val="22"/>
          <w:szCs w:val="22"/>
        </w:rPr>
        <w:t xml:space="preserve"> </w:t>
      </w:r>
    </w:p>
    <w:p w14:paraId="1091C414" w14:textId="77777777" w:rsidR="00C310FA" w:rsidRPr="005970E9" w:rsidRDefault="00C310FA" w:rsidP="00360090">
      <w:pPr>
        <w:pStyle w:val="CommentText"/>
        <w:rPr>
          <w:rFonts w:ascii="Century Schoolbook" w:eastAsia="Century Schoolbook" w:hAnsi="Century Schoolbook" w:cs="Century Schoolbook"/>
        </w:rPr>
      </w:pPr>
    </w:p>
    <w:p w14:paraId="1810B342" w14:textId="76652041" w:rsidR="00B76B0C" w:rsidRPr="005970E9" w:rsidRDefault="00C310FA" w:rsidP="00C310FA">
      <w:pPr>
        <w:spacing w:before="120" w:after="120" w:line="276" w:lineRule="auto"/>
        <w:jc w:val="both"/>
        <w:rPr>
          <w:rFonts w:eastAsia="Century Schoolbook" w:cs="Century Schoolbook"/>
        </w:rPr>
      </w:pPr>
      <w:r w:rsidRPr="005970E9" w:rsidDel="00C310FA">
        <w:rPr>
          <w:rStyle w:val="CommentReference"/>
        </w:rPr>
        <w:t xml:space="preserve"> </w:t>
      </w:r>
    </w:p>
    <w:p w14:paraId="47C28847" w14:textId="467E91D8" w:rsidR="0031633D" w:rsidRPr="005970E9" w:rsidRDefault="008A61AF" w:rsidP="00C310FA">
      <w:pPr>
        <w:pStyle w:val="Caption"/>
        <w:keepNext/>
        <w:jc w:val="both"/>
        <w:rPr>
          <w:rFonts w:ascii="Century Schoolbook" w:hAnsi="Century Schoolbook"/>
          <w:i w:val="0"/>
          <w:iCs w:val="0"/>
          <w:sz w:val="20"/>
          <w:szCs w:val="20"/>
        </w:rPr>
      </w:pPr>
      <w:bookmarkStart w:id="311" w:name="_Toc42549229"/>
      <w:r w:rsidRPr="005970E9">
        <w:rPr>
          <w:rFonts w:ascii="Century Schoolbook" w:hAnsi="Century Schoolbook"/>
          <w:i w:val="0"/>
          <w:iCs w:val="0"/>
          <w:sz w:val="20"/>
          <w:szCs w:val="20"/>
        </w:rPr>
        <w:t>Tabla</w:t>
      </w:r>
      <w:r w:rsidR="0031633D" w:rsidRPr="005970E9">
        <w:rPr>
          <w:rFonts w:ascii="Century Schoolbook" w:hAnsi="Century Schoolbook"/>
          <w:i w:val="0"/>
          <w:iCs w:val="0"/>
          <w:sz w:val="20"/>
          <w:szCs w:val="20"/>
        </w:rPr>
        <w:t xml:space="preserve"> </w:t>
      </w:r>
      <w:r w:rsidRPr="005970E9">
        <w:rPr>
          <w:rFonts w:ascii="Century Schoolbook" w:hAnsi="Century Schoolbook"/>
          <w:i w:val="0"/>
          <w:iCs w:val="0"/>
          <w:sz w:val="20"/>
          <w:szCs w:val="20"/>
        </w:rPr>
        <w:fldChar w:fldCharType="begin"/>
      </w:r>
      <w:r w:rsidRPr="005970E9">
        <w:rPr>
          <w:rFonts w:ascii="Century Schoolbook" w:hAnsi="Century Schoolbook"/>
          <w:i w:val="0"/>
          <w:iCs w:val="0"/>
          <w:sz w:val="20"/>
          <w:szCs w:val="20"/>
        </w:rPr>
        <w:instrText xml:space="preserve"> SEQ Tabla \* ARABIC </w:instrText>
      </w:r>
      <w:r w:rsidRPr="005970E9">
        <w:rPr>
          <w:rFonts w:ascii="Century Schoolbook" w:hAnsi="Century Schoolbook"/>
          <w:i w:val="0"/>
          <w:iCs w:val="0"/>
          <w:sz w:val="20"/>
          <w:szCs w:val="20"/>
        </w:rPr>
        <w:fldChar w:fldCharType="separate"/>
      </w:r>
      <w:r w:rsidR="003F0C50">
        <w:rPr>
          <w:rFonts w:ascii="Century Schoolbook" w:hAnsi="Century Schoolbook"/>
          <w:i w:val="0"/>
          <w:iCs w:val="0"/>
          <w:noProof/>
          <w:sz w:val="20"/>
          <w:szCs w:val="20"/>
        </w:rPr>
        <w:t>35</w:t>
      </w:r>
      <w:r w:rsidRPr="005970E9">
        <w:rPr>
          <w:rFonts w:ascii="Century Schoolbook" w:hAnsi="Century Schoolbook"/>
          <w:i w:val="0"/>
          <w:iCs w:val="0"/>
          <w:sz w:val="20"/>
          <w:szCs w:val="20"/>
        </w:rPr>
        <w:fldChar w:fldCharType="end"/>
      </w:r>
      <w:r w:rsidR="00884E23" w:rsidRPr="005970E9">
        <w:rPr>
          <w:rFonts w:ascii="Century Schoolbook" w:hAnsi="Century Schoolbook"/>
          <w:i w:val="0"/>
          <w:iCs w:val="0"/>
          <w:sz w:val="20"/>
          <w:szCs w:val="20"/>
        </w:rPr>
        <w:t>.</w:t>
      </w:r>
      <w:r w:rsidR="0031633D" w:rsidRPr="005970E9">
        <w:rPr>
          <w:rFonts w:ascii="Century Schoolbook" w:hAnsi="Century Schoolbook"/>
          <w:i w:val="0"/>
          <w:iCs w:val="0"/>
          <w:sz w:val="20"/>
          <w:szCs w:val="20"/>
        </w:rPr>
        <w:t xml:space="preserve"> </w:t>
      </w:r>
      <w:r w:rsidR="0031633D" w:rsidRPr="005970E9">
        <w:rPr>
          <w:rFonts w:ascii="Century Schoolbook" w:eastAsia="Century Schoolbook" w:hAnsi="Century Schoolbook" w:cs="Century Schoolbook"/>
          <w:i w:val="0"/>
          <w:iCs w:val="0"/>
          <w:sz w:val="20"/>
          <w:szCs w:val="20"/>
        </w:rPr>
        <w:t>Proporción de personas que reciben fondos del Programa 100 a 65 años, por sexo y según la edad. Año 2019</w:t>
      </w:r>
      <w:bookmarkEnd w:id="311"/>
    </w:p>
    <w:tbl>
      <w:tblPr>
        <w:tblW w:w="5806"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0" w:type="dxa"/>
          <w:right w:w="70" w:type="dxa"/>
        </w:tblCellMar>
        <w:tblLook w:val="0400" w:firstRow="0" w:lastRow="0" w:firstColumn="0" w:lastColumn="0" w:noHBand="0" w:noVBand="1"/>
      </w:tblPr>
      <w:tblGrid>
        <w:gridCol w:w="1501"/>
        <w:gridCol w:w="1523"/>
        <w:gridCol w:w="1506"/>
        <w:gridCol w:w="1276"/>
      </w:tblGrid>
      <w:tr w:rsidR="00E87B38" w:rsidRPr="005970E9" w14:paraId="46387F0C" w14:textId="77777777" w:rsidTr="0031633D">
        <w:trPr>
          <w:trHeight w:val="312"/>
          <w:jc w:val="center"/>
        </w:trPr>
        <w:tc>
          <w:tcPr>
            <w:tcW w:w="1501" w:type="dxa"/>
            <w:tcBorders>
              <w:top w:val="single" w:sz="4" w:space="0" w:color="000001"/>
              <w:left w:val="single" w:sz="4" w:space="0" w:color="000001"/>
              <w:bottom w:val="single" w:sz="4" w:space="0" w:color="000001"/>
              <w:right w:val="single" w:sz="4" w:space="0" w:color="000001"/>
            </w:tcBorders>
            <w:shd w:val="clear" w:color="auto" w:fill="CCC0D9" w:themeFill="accent4" w:themeFillTint="66"/>
            <w:tcMar>
              <w:left w:w="108" w:type="dxa"/>
            </w:tcMar>
            <w:vAlign w:val="bottom"/>
          </w:tcPr>
          <w:p w14:paraId="0A923A71"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Edad</w:t>
            </w:r>
          </w:p>
        </w:tc>
        <w:tc>
          <w:tcPr>
            <w:tcW w:w="1523" w:type="dxa"/>
            <w:tcBorders>
              <w:top w:val="single" w:sz="4" w:space="0" w:color="000001"/>
              <w:left w:val="single" w:sz="4" w:space="0" w:color="000001"/>
              <w:bottom w:val="single" w:sz="4" w:space="0" w:color="000001"/>
              <w:right w:val="single" w:sz="4" w:space="0" w:color="000001"/>
            </w:tcBorders>
            <w:shd w:val="clear" w:color="auto" w:fill="CCC0D9" w:themeFill="accent4" w:themeFillTint="66"/>
            <w:tcMar>
              <w:left w:w="108" w:type="dxa"/>
            </w:tcMar>
            <w:vAlign w:val="bottom"/>
          </w:tcPr>
          <w:p w14:paraId="26D8A492"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Hombres (%)</w:t>
            </w:r>
          </w:p>
        </w:tc>
        <w:tc>
          <w:tcPr>
            <w:tcW w:w="1506" w:type="dxa"/>
            <w:tcBorders>
              <w:top w:val="single" w:sz="4" w:space="0" w:color="000001"/>
              <w:left w:val="single" w:sz="4" w:space="0" w:color="000001"/>
              <w:bottom w:val="single" w:sz="4" w:space="0" w:color="000001"/>
              <w:right w:val="single" w:sz="4" w:space="0" w:color="000001"/>
            </w:tcBorders>
            <w:shd w:val="clear" w:color="auto" w:fill="CCC0D9" w:themeFill="accent4" w:themeFillTint="66"/>
            <w:tcMar>
              <w:left w:w="108" w:type="dxa"/>
            </w:tcMar>
            <w:vAlign w:val="bottom"/>
          </w:tcPr>
          <w:p w14:paraId="602E2C42"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Mujeres (%)</w:t>
            </w:r>
          </w:p>
        </w:tc>
        <w:tc>
          <w:tcPr>
            <w:tcW w:w="1276" w:type="dxa"/>
            <w:tcBorders>
              <w:top w:val="single" w:sz="4" w:space="0" w:color="000001"/>
              <w:left w:val="single" w:sz="4" w:space="0" w:color="000001"/>
              <w:bottom w:val="single" w:sz="4" w:space="0" w:color="000001"/>
              <w:right w:val="single" w:sz="4" w:space="0" w:color="000001"/>
            </w:tcBorders>
            <w:shd w:val="clear" w:color="auto" w:fill="CCC0D9" w:themeFill="accent4" w:themeFillTint="66"/>
            <w:tcMar>
              <w:left w:w="108" w:type="dxa"/>
            </w:tcMar>
            <w:vAlign w:val="bottom"/>
          </w:tcPr>
          <w:p w14:paraId="6664DB28"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Total (%)</w:t>
            </w:r>
          </w:p>
        </w:tc>
      </w:tr>
      <w:tr w:rsidR="00E87B38" w:rsidRPr="005970E9" w14:paraId="0D01CE9B" w14:textId="77777777">
        <w:trPr>
          <w:trHeight w:val="312"/>
          <w:jc w:val="center"/>
        </w:trPr>
        <w:tc>
          <w:tcPr>
            <w:tcW w:w="15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006ED052"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60-69</w:t>
            </w:r>
          </w:p>
        </w:tc>
        <w:tc>
          <w:tcPr>
            <w:tcW w:w="15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363A8EEA"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22.34</w:t>
            </w:r>
          </w:p>
        </w:tc>
        <w:tc>
          <w:tcPr>
            <w:tcW w:w="15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7F897887"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22.44</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57E1D052"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22.40</w:t>
            </w:r>
          </w:p>
        </w:tc>
      </w:tr>
      <w:tr w:rsidR="00E87B38" w:rsidRPr="005970E9" w14:paraId="7015935F" w14:textId="77777777">
        <w:trPr>
          <w:trHeight w:val="312"/>
          <w:jc w:val="center"/>
        </w:trPr>
        <w:tc>
          <w:tcPr>
            <w:tcW w:w="15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195FCA9B"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70-79</w:t>
            </w:r>
          </w:p>
        </w:tc>
        <w:tc>
          <w:tcPr>
            <w:tcW w:w="15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0AEC5BED"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50.54</w:t>
            </w:r>
          </w:p>
        </w:tc>
        <w:tc>
          <w:tcPr>
            <w:tcW w:w="15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288F4EBE"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51.09</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1CCC98FB"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50.85</w:t>
            </w:r>
          </w:p>
        </w:tc>
      </w:tr>
      <w:tr w:rsidR="00E87B38" w:rsidRPr="005970E9" w14:paraId="31F14549" w14:textId="77777777">
        <w:trPr>
          <w:trHeight w:val="312"/>
          <w:jc w:val="center"/>
        </w:trPr>
        <w:tc>
          <w:tcPr>
            <w:tcW w:w="15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06C39A94"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80-89</w:t>
            </w:r>
          </w:p>
        </w:tc>
        <w:tc>
          <w:tcPr>
            <w:tcW w:w="15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190DC502"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26.02</w:t>
            </w:r>
          </w:p>
        </w:tc>
        <w:tc>
          <w:tcPr>
            <w:tcW w:w="15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404B9BC4"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25.54</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2FA39754"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25.75</w:t>
            </w:r>
          </w:p>
        </w:tc>
      </w:tr>
      <w:tr w:rsidR="00E87B38" w:rsidRPr="005970E9" w14:paraId="379460D4" w14:textId="77777777">
        <w:trPr>
          <w:trHeight w:val="312"/>
          <w:jc w:val="center"/>
        </w:trPr>
        <w:tc>
          <w:tcPr>
            <w:tcW w:w="15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0FFBDE36" w14:textId="77777777" w:rsidR="00B76B0C" w:rsidRPr="005970E9" w:rsidRDefault="003B5C05">
            <w:pPr>
              <w:rPr>
                <w:rFonts w:eastAsia="Century Schoolbook" w:cs="Century Schoolbook"/>
                <w:sz w:val="20"/>
                <w:szCs w:val="20"/>
              </w:rPr>
            </w:pPr>
            <w:r w:rsidRPr="005970E9">
              <w:rPr>
                <w:rFonts w:eastAsia="Century Schoolbook" w:cs="Century Schoolbook"/>
                <w:sz w:val="20"/>
                <w:szCs w:val="20"/>
              </w:rPr>
              <w:t>90 ó más</w:t>
            </w:r>
          </w:p>
        </w:tc>
        <w:tc>
          <w:tcPr>
            <w:tcW w:w="15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4C88652E"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1.09</w:t>
            </w:r>
          </w:p>
        </w:tc>
        <w:tc>
          <w:tcPr>
            <w:tcW w:w="150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279E6BF5"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0.93</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bottom"/>
          </w:tcPr>
          <w:p w14:paraId="03A04C1B" w14:textId="77777777" w:rsidR="00B76B0C" w:rsidRPr="005970E9" w:rsidRDefault="003B5C05">
            <w:pPr>
              <w:jc w:val="right"/>
              <w:rPr>
                <w:rFonts w:eastAsia="Century Schoolbook" w:cs="Century Schoolbook"/>
                <w:sz w:val="20"/>
                <w:szCs w:val="20"/>
              </w:rPr>
            </w:pPr>
            <w:r w:rsidRPr="005970E9">
              <w:rPr>
                <w:rFonts w:eastAsia="Century Schoolbook" w:cs="Century Schoolbook"/>
                <w:sz w:val="20"/>
                <w:szCs w:val="20"/>
              </w:rPr>
              <w:t>1.00</w:t>
            </w:r>
          </w:p>
        </w:tc>
      </w:tr>
    </w:tbl>
    <w:p w14:paraId="034FEFDB" w14:textId="61AF4228" w:rsidR="00B451FF" w:rsidRPr="005970E9" w:rsidRDefault="003B5C05" w:rsidP="00C310FA">
      <w:pPr>
        <w:spacing w:after="360" w:line="259" w:lineRule="auto"/>
        <w:jc w:val="center"/>
        <w:rPr>
          <w:rFonts w:eastAsia="Century Schoolbook" w:cs="Century Schoolbook"/>
          <w:sz w:val="20"/>
          <w:szCs w:val="20"/>
        </w:rPr>
      </w:pPr>
      <w:bookmarkStart w:id="312" w:name="_111kx3o" w:colFirst="0" w:colLast="0"/>
      <w:bookmarkEnd w:id="312"/>
      <w:r w:rsidRPr="005970E9">
        <w:rPr>
          <w:rFonts w:eastAsia="Century Schoolbook" w:cs="Century Schoolbook"/>
          <w:sz w:val="20"/>
          <w:szCs w:val="20"/>
        </w:rPr>
        <w:t>Fuente: Encuesta Propósitos Múltiples, INEC. Análisis de microdatos</w:t>
      </w:r>
    </w:p>
    <w:p w14:paraId="70562EBB" w14:textId="777CC74C" w:rsidR="00745E37" w:rsidRPr="005970E9" w:rsidRDefault="005A75FA" w:rsidP="00745E37">
      <w:pPr>
        <w:pStyle w:val="CommentText"/>
        <w:spacing w:before="120" w:after="120" w:line="276" w:lineRule="auto"/>
        <w:jc w:val="both"/>
        <w:rPr>
          <w:rFonts w:ascii="Century Schoolbook" w:hAnsi="Century Schoolbook"/>
          <w:sz w:val="22"/>
          <w:szCs w:val="22"/>
        </w:rPr>
      </w:pPr>
      <w:r w:rsidRPr="005970E9">
        <w:rPr>
          <w:rFonts w:ascii="Century Schoolbook" w:hAnsi="Century Schoolbook"/>
          <w:sz w:val="22"/>
          <w:szCs w:val="22"/>
        </w:rPr>
        <w:t>Recientemente se aprobó la Ley 149 del 24 de abril de 2020, que modifica la Ley 36 de 2016 sobre la protección de los derechos humanos de los adultos mayores y adiciona un capítulo al Código Penal, establece siete aspectos que pueden ser considerados como maltrato al adulto mayor y por los cuales la persona puede ser penalizada</w:t>
      </w:r>
      <w:r w:rsidR="00745E37" w:rsidRPr="005970E9">
        <w:rPr>
          <w:rStyle w:val="FootnoteReference"/>
          <w:rFonts w:ascii="Century Schoolbook" w:hAnsi="Century Schoolbook"/>
          <w:sz w:val="22"/>
          <w:szCs w:val="22"/>
        </w:rPr>
        <w:footnoteReference w:id="92"/>
      </w:r>
      <w:r w:rsidRPr="005970E9">
        <w:rPr>
          <w:rFonts w:ascii="Century Schoolbook" w:hAnsi="Century Schoolbook"/>
          <w:sz w:val="22"/>
          <w:szCs w:val="22"/>
        </w:rPr>
        <w:t xml:space="preserve">. </w:t>
      </w:r>
    </w:p>
    <w:p w14:paraId="33F6DAE8" w14:textId="77777777" w:rsidR="005A75FA" w:rsidRPr="005970E9" w:rsidRDefault="005A75FA" w:rsidP="00745E37">
      <w:pPr>
        <w:pStyle w:val="CommentText"/>
        <w:spacing w:before="120" w:after="120" w:line="276" w:lineRule="auto"/>
        <w:jc w:val="both"/>
        <w:rPr>
          <w:rFonts w:ascii="Century Schoolbook" w:hAnsi="Century Schoolbook"/>
          <w:sz w:val="22"/>
          <w:szCs w:val="22"/>
        </w:rPr>
      </w:pPr>
      <w:r w:rsidRPr="005970E9">
        <w:rPr>
          <w:rFonts w:ascii="Century Schoolbook" w:hAnsi="Century Schoolbook"/>
          <w:sz w:val="22"/>
          <w:szCs w:val="22"/>
        </w:rPr>
        <w:t>Entre los aspectos considerados como maltrato están: causar, permitir o hacer que se le cause daño físico, mental o emocional, así como emplearlo o permitir que se le emplee en trabajo prohibido o que pongan en peligro su vida o salud. Además de tratos negligentes y someterlo a mala alimentación. Otros de los aspectos considerados, en la Ley, como maltrato al adulto mayor es obligarlo dentro del hogar a trabajo doméstico, limpieza, cuidar niños o realizar labores no adecuadas a la edad de la persona.</w:t>
      </w:r>
    </w:p>
    <w:p w14:paraId="1B89F42A" w14:textId="77777777" w:rsidR="005A75FA" w:rsidRPr="005970E9" w:rsidRDefault="005A75FA" w:rsidP="00745E37">
      <w:pPr>
        <w:spacing w:after="360" w:line="259" w:lineRule="auto"/>
        <w:rPr>
          <w:rFonts w:eastAsia="Century Schoolbook" w:cs="Century Schoolbook"/>
          <w:sz w:val="20"/>
          <w:szCs w:val="20"/>
        </w:rPr>
      </w:pPr>
    </w:p>
    <w:p w14:paraId="0510F3CD" w14:textId="3C4E7F86" w:rsidR="001F07BC" w:rsidRPr="005970E9" w:rsidRDefault="00B451FF" w:rsidP="00530738">
      <w:pPr>
        <w:pStyle w:val="Heading2"/>
        <w:numPr>
          <w:ilvl w:val="1"/>
          <w:numId w:val="57"/>
        </w:numPr>
      </w:pPr>
      <w:bookmarkStart w:id="313" w:name="_Toc42159254"/>
      <w:bookmarkStart w:id="314" w:name="_Toc42549485"/>
      <w:r w:rsidRPr="005970E9">
        <w:rPr>
          <w:noProof/>
        </w:rPr>
        <mc:AlternateContent>
          <mc:Choice Requires="wps">
            <w:drawing>
              <wp:anchor distT="45720" distB="45720" distL="114300" distR="114300" simplePos="0" relativeHeight="251768873" behindDoc="0" locked="0" layoutInCell="1" allowOverlap="1" wp14:anchorId="1A6F1DE2" wp14:editId="2B96181D">
                <wp:simplePos x="0" y="0"/>
                <wp:positionH relativeFrom="margin">
                  <wp:posOffset>13335</wp:posOffset>
                </wp:positionH>
                <wp:positionV relativeFrom="paragraph">
                  <wp:posOffset>366395</wp:posOffset>
                </wp:positionV>
                <wp:extent cx="5581650" cy="982980"/>
                <wp:effectExtent l="57150" t="38100" r="57150" b="83820"/>
                <wp:wrapSquare wrapText="bothSides"/>
                <wp:docPr id="24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982980"/>
                        </a:xfrm>
                        <a:prstGeom prst="rect">
                          <a:avLst/>
                        </a:prstGeom>
                        <a:ln>
                          <a:noFill/>
                          <a:headEnd/>
                          <a:tailEnd/>
                        </a:ln>
                      </wps:spPr>
                      <wps:style>
                        <a:lnRef idx="1">
                          <a:schemeClr val="accent6"/>
                        </a:lnRef>
                        <a:fillRef idx="1001">
                          <a:schemeClr val="lt1"/>
                        </a:fillRef>
                        <a:effectRef idx="1">
                          <a:schemeClr val="accent6"/>
                        </a:effectRef>
                        <a:fontRef idx="minor">
                          <a:schemeClr val="dk1"/>
                        </a:fontRef>
                      </wps:style>
                      <wps:txbx>
                        <w:txbxContent>
                          <w:p w14:paraId="3FF54965" w14:textId="77777777" w:rsidR="00DC0EAB" w:rsidRPr="005737F6" w:rsidRDefault="00DC0EAB" w:rsidP="00C310FA">
                            <w:pPr>
                              <w:shd w:val="clear" w:color="auto" w:fill="E6D5F3"/>
                              <w:autoSpaceDE w:val="0"/>
                              <w:autoSpaceDN w:val="0"/>
                              <w:adjustRightInd w:val="0"/>
                              <w:spacing w:before="120" w:after="120"/>
                              <w:rPr>
                                <w:rFonts w:cs="TimesNewRoman"/>
                                <w:sz w:val="20"/>
                                <w:szCs w:val="20"/>
                              </w:rPr>
                            </w:pPr>
                            <w:r w:rsidRPr="005737F6">
                              <w:rPr>
                                <w:rFonts w:cs="TimesNewRoman,Italic"/>
                                <w:i/>
                                <w:iCs/>
                                <w:sz w:val="20"/>
                                <w:szCs w:val="20"/>
                              </w:rPr>
                              <w:t xml:space="preserve">“Alentar </w:t>
                            </w:r>
                            <w:r w:rsidRPr="005737F6">
                              <w:rPr>
                                <w:rFonts w:cs="TimesNewRoman"/>
                                <w:sz w:val="20"/>
                                <w:szCs w:val="20"/>
                              </w:rPr>
                              <w:t>los esfuerzos sostenidos para aumentar la representación de las mujeres, incluidas las</w:t>
                            </w:r>
                            <w:r>
                              <w:rPr>
                                <w:rFonts w:cs="TimesNewRoman"/>
                                <w:sz w:val="20"/>
                                <w:szCs w:val="20"/>
                              </w:rPr>
                              <w:t xml:space="preserve"> </w:t>
                            </w:r>
                            <w:r w:rsidRPr="005737F6">
                              <w:rPr>
                                <w:rFonts w:cs="TimesNewRoman"/>
                                <w:sz w:val="20"/>
                                <w:szCs w:val="20"/>
                              </w:rPr>
                              <w:t>mujeres con discapacidad, en los procesos de toma de decisiones a fin de alcanzar la democracia paritaria, con un enfoque intercultural y étnico-racial, afianzando la presencia de mujeres en todos los poderes del Estado, niveles y ámbitos de gobierno…” (Santiago, 2010)</w:t>
                            </w:r>
                          </w:p>
                          <w:p w14:paraId="400D832E" w14:textId="77777777" w:rsidR="00DC0EAB" w:rsidRDefault="00DC0EAB" w:rsidP="00C310FA">
                            <w:pPr>
                              <w:shd w:val="clear" w:color="auto" w:fill="E6D5F3"/>
                              <w:rPr>
                                <w:rFonts w:asciiTheme="minorHAnsi" w:hAnsiTheme="minorHAnsi" w:cs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F1DE2" id="Cuadro de texto 217" o:spid="_x0000_s1049" type="#_x0000_t202" style="position:absolute;left:0;text-align:left;margin-left:1.05pt;margin-top:28.85pt;width:439.5pt;height:77.4pt;z-index:2517688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" fillcolor="white [3201]" stroked="f">
                <v:shadow on="t" color="black" opacity="24903f" origin=",.5" offset="0,.55556mm"/>
                <v:textbox>
                  <w:txbxContent>
                    <w:p w14:paraId="3FF54965" w14:textId="77777777" w:rsidR="00DC0EAB" w:rsidRPr="005737F6" w:rsidRDefault="00DC0EAB" w:rsidP="00C310FA">
                      <w:pPr>
                        <w:shd w:val="clear" w:color="auto" w:fill="E6D5F3"/>
                        <w:autoSpaceDE w:val="0"/>
                        <w:autoSpaceDN w:val="0"/>
                        <w:adjustRightInd w:val="0"/>
                        <w:spacing w:before="120" w:after="120"/>
                        <w:rPr>
                          <w:rFonts w:cs="TimesNewRoman"/>
                          <w:sz w:val="20"/>
                          <w:szCs w:val="20"/>
                        </w:rPr>
                      </w:pPr>
                      <w:r w:rsidRPr="005737F6">
                        <w:rPr>
                          <w:rFonts w:cs="TimesNewRoman,Italic"/>
                          <w:i/>
                          <w:iCs/>
                          <w:sz w:val="20"/>
                          <w:szCs w:val="20"/>
                        </w:rPr>
                        <w:t xml:space="preserve">“Alentar </w:t>
                      </w:r>
                      <w:r w:rsidRPr="005737F6">
                        <w:rPr>
                          <w:rFonts w:cs="TimesNewRoman"/>
                          <w:sz w:val="20"/>
                          <w:szCs w:val="20"/>
                        </w:rPr>
                        <w:t>los esfuerzos sostenidos para aumentar la representación de las mujeres, incluidas las</w:t>
                      </w:r>
                      <w:r>
                        <w:rPr>
                          <w:rFonts w:cs="TimesNewRoman"/>
                          <w:sz w:val="20"/>
                          <w:szCs w:val="20"/>
                        </w:rPr>
                        <w:t xml:space="preserve"> </w:t>
                      </w:r>
                      <w:r w:rsidRPr="005737F6">
                        <w:rPr>
                          <w:rFonts w:cs="TimesNewRoman"/>
                          <w:sz w:val="20"/>
                          <w:szCs w:val="20"/>
                        </w:rPr>
                        <w:t>mujeres con discapacidad, en los procesos de toma de decisiones a fin de alcanzar la democracia paritaria, con un enfoque intercultural y étnico-racial, afianzando la presencia de mujeres en todos los poderes del Estado, niveles y ámbitos de gobierno…” (Santiago, 2010)</w:t>
                      </w:r>
                    </w:p>
                    <w:p w14:paraId="400D832E" w14:textId="77777777" w:rsidR="00DC0EAB" w:rsidRDefault="00DC0EAB" w:rsidP="00C310FA">
                      <w:pPr>
                        <w:shd w:val="clear" w:color="auto" w:fill="E6D5F3"/>
                        <w:rPr>
                          <w:rFonts w:asciiTheme="minorHAnsi" w:hAnsiTheme="minorHAnsi" w:cstheme="minorBidi"/>
                        </w:rPr>
                      </w:pPr>
                    </w:p>
                  </w:txbxContent>
                </v:textbox>
                <w10:wrap type="square" anchorx="margin"/>
              </v:shape>
            </w:pict>
          </mc:Fallback>
        </mc:AlternateContent>
      </w:r>
      <w:r w:rsidRPr="005970E9">
        <w:rPr>
          <w:noProof/>
        </w:rPr>
        <mc:AlternateContent>
          <mc:Choice Requires="wps">
            <w:drawing>
              <wp:anchor distT="45720" distB="45720" distL="114300" distR="114300" simplePos="0" relativeHeight="251658253" behindDoc="0" locked="0" layoutInCell="1" allowOverlap="1" wp14:anchorId="1A6F1DE2" wp14:editId="2B96181D">
                <wp:simplePos x="0" y="0"/>
                <wp:positionH relativeFrom="margin">
                  <wp:posOffset>13335</wp:posOffset>
                </wp:positionH>
                <wp:positionV relativeFrom="paragraph">
                  <wp:posOffset>366395</wp:posOffset>
                </wp:positionV>
                <wp:extent cx="5581650" cy="982980"/>
                <wp:effectExtent l="57150" t="38100" r="57150" b="8382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982980"/>
                        </a:xfrm>
                        <a:prstGeom prst="rect">
                          <a:avLst/>
                        </a:prstGeom>
                        <a:ln>
                          <a:noFill/>
                          <a:headEnd/>
                          <a:tailEnd/>
                        </a:ln>
                      </wps:spPr>
                      <wps:style>
                        <a:lnRef idx="1">
                          <a:schemeClr val="accent6"/>
                        </a:lnRef>
                        <a:fillRef idx="1001">
                          <a:schemeClr val="lt1"/>
                        </a:fillRef>
                        <a:effectRef idx="1">
                          <a:schemeClr val="accent6"/>
                        </a:effectRef>
                        <a:fontRef idx="minor">
                          <a:schemeClr val="dk1"/>
                        </a:fontRef>
                      </wps:style>
                      <wps:txbx>
                        <w:txbxContent>
                          <w:p w14:paraId="43C454AF" w14:textId="77777777" w:rsidR="00DC0EAB" w:rsidRPr="005737F6" w:rsidRDefault="00DC0EAB" w:rsidP="00C310FA">
                            <w:pPr>
                              <w:shd w:val="clear" w:color="auto" w:fill="E6D5F3"/>
                              <w:autoSpaceDE w:val="0"/>
                              <w:autoSpaceDN w:val="0"/>
                              <w:adjustRightInd w:val="0"/>
                              <w:spacing w:before="120" w:after="120"/>
                              <w:rPr>
                                <w:rFonts w:cs="TimesNewRoman"/>
                                <w:sz w:val="20"/>
                                <w:szCs w:val="20"/>
                              </w:rPr>
                            </w:pPr>
                            <w:r w:rsidRPr="005737F6">
                              <w:rPr>
                                <w:rFonts w:cs="TimesNewRoman,Italic"/>
                                <w:i/>
                                <w:iCs/>
                                <w:sz w:val="20"/>
                                <w:szCs w:val="20"/>
                              </w:rPr>
                              <w:t xml:space="preserve">“Alentar </w:t>
                            </w:r>
                            <w:r w:rsidRPr="005737F6">
                              <w:rPr>
                                <w:rFonts w:cs="TimesNewRoman"/>
                                <w:sz w:val="20"/>
                                <w:szCs w:val="20"/>
                              </w:rPr>
                              <w:t>los esfuerzos sostenidos para aumentar la representación de las mujeres, incluidas las</w:t>
                            </w:r>
                            <w:r>
                              <w:rPr>
                                <w:rFonts w:cs="TimesNewRoman"/>
                                <w:sz w:val="20"/>
                                <w:szCs w:val="20"/>
                              </w:rPr>
                              <w:t xml:space="preserve"> </w:t>
                            </w:r>
                            <w:r w:rsidRPr="005737F6">
                              <w:rPr>
                                <w:rFonts w:cs="TimesNewRoman"/>
                                <w:sz w:val="20"/>
                                <w:szCs w:val="20"/>
                              </w:rPr>
                              <w:t>mujeres con discapacidad, en los procesos de toma de decisiones a fin de alcanzar la democracia paritaria, con un enfoque intercultural y étnico-racial, afianzando la presencia de mujeres en todos los poderes del Estado, niveles y ámbitos de gobierno…” (Santiago, 2010)</w:t>
                            </w:r>
                          </w:p>
                          <w:p w14:paraId="5DF1A14D" w14:textId="77777777" w:rsidR="00DC0EAB" w:rsidRDefault="00DC0EAB" w:rsidP="00C310FA">
                            <w:pPr>
                              <w:shd w:val="clear" w:color="auto" w:fill="E6D5F3"/>
                              <w:rPr>
                                <w:rFonts w:asciiTheme="minorHAnsi" w:hAnsiTheme="minorHAnsi" w:cs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F1DE2" id="_x0000_s1050" type="#_x0000_t202" style="position:absolute;left:0;text-align:left;margin-left:1.05pt;margin-top:28.85pt;width:439.5pt;height:77.4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" fillcolor="white [3201]" stroked="f">
                <v:shadow on="t" color="black" opacity="24903f" origin=",.5" offset="0,.55556mm"/>
                <v:textbox>
                  <w:txbxContent>
                    <w:p w14:paraId="43C454AF" w14:textId="77777777" w:rsidR="00DC0EAB" w:rsidRPr="005737F6" w:rsidRDefault="00DC0EAB" w:rsidP="00C310FA">
                      <w:pPr>
                        <w:shd w:val="clear" w:color="auto" w:fill="E6D5F3"/>
                        <w:autoSpaceDE w:val="0"/>
                        <w:autoSpaceDN w:val="0"/>
                        <w:adjustRightInd w:val="0"/>
                        <w:spacing w:before="120" w:after="120"/>
                        <w:rPr>
                          <w:rFonts w:cs="TimesNewRoman"/>
                          <w:sz w:val="20"/>
                          <w:szCs w:val="20"/>
                        </w:rPr>
                      </w:pPr>
                      <w:r w:rsidRPr="005737F6">
                        <w:rPr>
                          <w:rFonts w:cs="TimesNewRoman,Italic"/>
                          <w:i/>
                          <w:iCs/>
                          <w:sz w:val="20"/>
                          <w:szCs w:val="20"/>
                        </w:rPr>
                        <w:t xml:space="preserve">“Alentar </w:t>
                      </w:r>
                      <w:r w:rsidRPr="005737F6">
                        <w:rPr>
                          <w:rFonts w:cs="TimesNewRoman"/>
                          <w:sz w:val="20"/>
                          <w:szCs w:val="20"/>
                        </w:rPr>
                        <w:t>los esfuerzos sostenidos para aumentar la representación de las mujeres, incluidas las</w:t>
                      </w:r>
                      <w:r>
                        <w:rPr>
                          <w:rFonts w:cs="TimesNewRoman"/>
                          <w:sz w:val="20"/>
                          <w:szCs w:val="20"/>
                        </w:rPr>
                        <w:t xml:space="preserve"> </w:t>
                      </w:r>
                      <w:r w:rsidRPr="005737F6">
                        <w:rPr>
                          <w:rFonts w:cs="TimesNewRoman"/>
                          <w:sz w:val="20"/>
                          <w:szCs w:val="20"/>
                        </w:rPr>
                        <w:t>mujeres con discapacidad, en los procesos de toma de decisiones a fin de alcanzar la democracia paritaria, con un enfoque intercultural y étnico-racial, afianzando la presencia de mujeres en todos los poderes del Estado, niveles y ámbitos de gobierno…” (Santiago, 2010)</w:t>
                      </w:r>
                    </w:p>
                    <w:p w14:paraId="5DF1A14D" w14:textId="77777777" w:rsidR="00DC0EAB" w:rsidRDefault="00DC0EAB" w:rsidP="00C310FA">
                      <w:pPr>
                        <w:shd w:val="clear" w:color="auto" w:fill="E6D5F3"/>
                        <w:rPr>
                          <w:rFonts w:asciiTheme="minorHAnsi" w:hAnsiTheme="minorHAnsi" w:cstheme="minorBidi"/>
                        </w:rPr>
                      </w:pPr>
                    </w:p>
                  </w:txbxContent>
                </v:textbox>
                <w10:wrap type="square" anchorx="margin"/>
              </v:shape>
            </w:pict>
          </mc:Fallback>
        </mc:AlternateContent>
      </w:r>
      <w:r w:rsidR="003B5C05" w:rsidRPr="005970E9">
        <w:t>Discapacidad y género</w:t>
      </w:r>
      <w:bookmarkEnd w:id="313"/>
      <w:bookmarkEnd w:id="314"/>
    </w:p>
    <w:p w14:paraId="7665C5C1" w14:textId="09F13122" w:rsidR="001F07BC" w:rsidRPr="005970E9" w:rsidRDefault="001F07BC" w:rsidP="00530738">
      <w:pPr>
        <w:pStyle w:val="Heading3"/>
        <w:numPr>
          <w:ilvl w:val="2"/>
          <w:numId w:val="57"/>
        </w:numPr>
      </w:pPr>
      <w:bookmarkStart w:id="315" w:name="_Toc37505520"/>
      <w:bookmarkStart w:id="316" w:name="_Toc42159255"/>
      <w:bookmarkStart w:id="317" w:name="_Toc42549486"/>
      <w:r w:rsidRPr="005970E9">
        <w:t>Concepto de discapacidad</w:t>
      </w:r>
      <w:bookmarkEnd w:id="315"/>
      <w:bookmarkEnd w:id="316"/>
      <w:bookmarkEnd w:id="317"/>
      <w:r w:rsidRPr="005970E9">
        <w:t xml:space="preserve"> </w:t>
      </w:r>
    </w:p>
    <w:p w14:paraId="3960657D" w14:textId="77777777" w:rsidR="001F07BC" w:rsidRPr="005970E9" w:rsidRDefault="001F07BC" w:rsidP="00C310FA">
      <w:pPr>
        <w:autoSpaceDE w:val="0"/>
        <w:autoSpaceDN w:val="0"/>
        <w:adjustRightInd w:val="0"/>
        <w:spacing w:before="120" w:after="120" w:line="276" w:lineRule="auto"/>
        <w:jc w:val="both"/>
        <w:rPr>
          <w:rFonts w:cs="Helvetica-Oblique"/>
          <w:i/>
          <w:iCs/>
        </w:rPr>
      </w:pPr>
      <w:r w:rsidRPr="005970E9">
        <w:rPr>
          <w:rFonts w:cs="Helvetica"/>
        </w:rPr>
        <w:t xml:space="preserve">El concepto de discapacidad, en tanto fenómeno social, ha evolucionado históricamente, respondiendo actualmente a necesidades científicas, económicas, educativas y gerenciales, incorporando en el análisis un enfoque multi y transdisciplinario a nivel internacional y nacional. En Panamá, como en América, se acoge el concepto de </w:t>
      </w:r>
      <w:r w:rsidRPr="005970E9">
        <w:rPr>
          <w:rFonts w:cs="Helvetica"/>
        </w:rPr>
        <w:lastRenderedPageBreak/>
        <w:t xml:space="preserve">discapacidad promovido y recomendado por la Organización Panamericana de la Salud (OPS) que lo interpreta como: </w:t>
      </w:r>
      <w:r w:rsidRPr="005970E9">
        <w:rPr>
          <w:rFonts w:cs="Helvetica"/>
          <w:b/>
          <w:bCs/>
          <w:i/>
          <w:iCs/>
        </w:rPr>
        <w:t>“E</w:t>
      </w:r>
      <w:r w:rsidRPr="005970E9">
        <w:rPr>
          <w:rFonts w:cs="Helvetica-Oblique"/>
          <w:b/>
          <w:bCs/>
          <w:i/>
          <w:iCs/>
        </w:rPr>
        <w:t>s toda limitación en la actividad y restricción en la participación, que se origina en una deficiencia física, sensorial, psíquica y/o mental que afecta a una persona de forma permanente en su Desenvolvimiento cotidiano y en su relación con el entorno físico social”</w:t>
      </w:r>
      <w:r w:rsidRPr="005970E9">
        <w:rPr>
          <w:rFonts w:cs="Helvetica-Oblique"/>
          <w:i/>
          <w:iCs/>
        </w:rPr>
        <w:t>. (Informe PENDIS-2006. Pág. 13)</w:t>
      </w:r>
    </w:p>
    <w:p w14:paraId="4222474C" w14:textId="77777777" w:rsidR="001F07BC" w:rsidRPr="005970E9" w:rsidRDefault="001F07BC" w:rsidP="00530738">
      <w:pPr>
        <w:pStyle w:val="Heading3"/>
        <w:numPr>
          <w:ilvl w:val="2"/>
          <w:numId w:val="57"/>
        </w:numPr>
      </w:pPr>
      <w:bookmarkStart w:id="318" w:name="_Toc37505521"/>
      <w:bookmarkStart w:id="319" w:name="_Toc42159256"/>
      <w:bookmarkStart w:id="320" w:name="_Toc42549487"/>
      <w:r w:rsidRPr="005970E9">
        <w:t>Antecedentes</w:t>
      </w:r>
      <w:bookmarkEnd w:id="318"/>
      <w:bookmarkEnd w:id="319"/>
      <w:bookmarkEnd w:id="320"/>
      <w:r w:rsidRPr="005970E9">
        <w:t xml:space="preserve"> </w:t>
      </w:r>
    </w:p>
    <w:p w14:paraId="3816151D" w14:textId="77777777" w:rsidR="001F07BC" w:rsidRPr="005970E9" w:rsidRDefault="001F07BC" w:rsidP="001F07BC">
      <w:pPr>
        <w:autoSpaceDE w:val="0"/>
        <w:autoSpaceDN w:val="0"/>
        <w:adjustRightInd w:val="0"/>
        <w:spacing w:before="120" w:after="120" w:line="276" w:lineRule="auto"/>
        <w:jc w:val="both"/>
        <w:rPr>
          <w:rFonts w:cs="Helvetica"/>
        </w:rPr>
      </w:pPr>
      <w:r w:rsidRPr="005970E9">
        <w:rPr>
          <w:rFonts w:cs="TimesNewRomanPSMT"/>
        </w:rPr>
        <w:t xml:space="preserve">Los antecedentes nacionales de la defensa de los derechos humanos tienen su origen en la Constitución panameña que promueve la dignidad humana y la totalidad de todos los derechos humanos, independientes del sexo, procedencia, etnia, cultura, preferencia sexual, religiosa y política; considerando a todos los seres humanos como sujetos activos de </w:t>
      </w:r>
      <w:r w:rsidRPr="005970E9">
        <w:rPr>
          <w:rFonts w:cs="Helvetica"/>
        </w:rPr>
        <w:t xml:space="preserve">derechos y no como receptor pasivo. </w:t>
      </w:r>
    </w:p>
    <w:p w14:paraId="4234BF98" w14:textId="77777777" w:rsidR="001F07BC" w:rsidRPr="005970E9" w:rsidRDefault="001F07BC" w:rsidP="001F07BC">
      <w:pPr>
        <w:autoSpaceDE w:val="0"/>
        <w:autoSpaceDN w:val="0"/>
        <w:adjustRightInd w:val="0"/>
        <w:spacing w:before="120" w:after="120" w:line="276" w:lineRule="auto"/>
        <w:jc w:val="both"/>
        <w:rPr>
          <w:rFonts w:cs="Helvetica"/>
        </w:rPr>
      </w:pPr>
      <w:r w:rsidRPr="005970E9">
        <w:rPr>
          <w:rFonts w:cs="Helvetica"/>
        </w:rPr>
        <w:t xml:space="preserve">Directamente para las </w:t>
      </w:r>
      <w:bookmarkStart w:id="321" w:name="_Hlk36682085"/>
      <w:r w:rsidRPr="005970E9">
        <w:rPr>
          <w:rFonts w:cs="Helvetica"/>
        </w:rPr>
        <w:t>personas con discapacidad (</w:t>
      </w:r>
      <w:r w:rsidRPr="005970E9">
        <w:t>PcDs)</w:t>
      </w:r>
      <w:r w:rsidRPr="005970E9">
        <w:rPr>
          <w:rFonts w:cs="Helvetica"/>
        </w:rPr>
        <w:t xml:space="preserve"> </w:t>
      </w:r>
      <w:bookmarkEnd w:id="321"/>
      <w:r w:rsidRPr="005970E9">
        <w:rPr>
          <w:rFonts w:cs="Helvetica"/>
        </w:rPr>
        <w:t xml:space="preserve">existen muchas disposiciones legales desde 1992 hasta 1999 que se promulgó la ley más importante, a saber: </w:t>
      </w:r>
      <w:r w:rsidRPr="005970E9">
        <w:rPr>
          <w:rFonts w:cs="Helvetica-Bold"/>
        </w:rPr>
        <w:t>Ley 1 de 1992</w:t>
      </w:r>
      <w:r w:rsidRPr="005970E9">
        <w:rPr>
          <w:rFonts w:cs="Helvetica"/>
        </w:rPr>
        <w:t xml:space="preserve">, que protege a las personas con pérdidas auditivas; </w:t>
      </w:r>
      <w:r w:rsidRPr="005970E9">
        <w:rPr>
          <w:rFonts w:cs="Helvetica-Bold"/>
        </w:rPr>
        <w:t xml:space="preserve">Ley 18 de 1993, que </w:t>
      </w:r>
      <w:r w:rsidRPr="005970E9">
        <w:rPr>
          <w:rFonts w:cs="Helvetica"/>
        </w:rPr>
        <w:t xml:space="preserve">aprueba el Convenio 159 de la OIT sobre readaptación profesional y el empleo de personas inválidas; </w:t>
      </w:r>
      <w:r w:rsidRPr="005970E9">
        <w:rPr>
          <w:rFonts w:cs="Helvetica-Bold"/>
        </w:rPr>
        <w:t xml:space="preserve">Ley 3 de 1995, </w:t>
      </w:r>
      <w:r w:rsidRPr="005970E9">
        <w:rPr>
          <w:rFonts w:cs="Helvetica"/>
        </w:rPr>
        <w:t xml:space="preserve">Código de la Familia que protege, entre otros a los Menores en Circunstancias Especialmente Difíciles, define Discapacidad y establece iguales derechos a las </w:t>
      </w:r>
      <w:r w:rsidRPr="005970E9">
        <w:t>PcDs</w:t>
      </w:r>
      <w:r w:rsidRPr="005970E9">
        <w:rPr>
          <w:rFonts w:cs="Helvetica"/>
        </w:rPr>
        <w:t xml:space="preserve"> , y plantea que las Políticas Sociales tomen en cuenta a las </w:t>
      </w:r>
      <w:r w:rsidRPr="005970E9">
        <w:t>PcDs</w:t>
      </w:r>
      <w:r w:rsidRPr="005970E9">
        <w:rPr>
          <w:rFonts w:cs="Helvetica"/>
        </w:rPr>
        <w:t xml:space="preserve">; </w:t>
      </w:r>
      <w:r w:rsidRPr="005970E9">
        <w:rPr>
          <w:rFonts w:cs="Helvetica-Bold"/>
        </w:rPr>
        <w:t xml:space="preserve">Ley  27 de 1995 </w:t>
      </w:r>
      <w:r w:rsidRPr="005970E9">
        <w:rPr>
          <w:rFonts w:cs="Helvetica"/>
        </w:rPr>
        <w:t xml:space="preserve">modificada, reformada y adicionada por la </w:t>
      </w:r>
      <w:r w:rsidRPr="005970E9">
        <w:rPr>
          <w:rFonts w:cs="Helvetica-Bold"/>
        </w:rPr>
        <w:t>Ley 38 de 2001 de</w:t>
      </w:r>
      <w:r w:rsidRPr="005970E9">
        <w:rPr>
          <w:rFonts w:cs="Helvetica"/>
        </w:rPr>
        <w:t xml:space="preserve"> Violencia intrafamiliar y Violencia doméstica; </w:t>
      </w:r>
      <w:r w:rsidRPr="005970E9">
        <w:rPr>
          <w:rFonts w:cs="Helvetica-Bold"/>
        </w:rPr>
        <w:t xml:space="preserve">Ley 34 de 1995 que reforma </w:t>
      </w:r>
      <w:r w:rsidRPr="005970E9">
        <w:rPr>
          <w:rFonts w:cs="Helvetica"/>
        </w:rPr>
        <w:t xml:space="preserve">la Ley Orgánica de Educación y establece que la educación de los niños y niñas con necesidades educativas especiales será coordinada en el Ministerio de Educación a través de la Dirección Nacional de Educación Especial; </w:t>
      </w:r>
      <w:r w:rsidRPr="005970E9">
        <w:rPr>
          <w:rFonts w:cs="Helvetica-Bold"/>
        </w:rPr>
        <w:t xml:space="preserve">Ley 42 de 1997 que </w:t>
      </w:r>
      <w:r w:rsidRPr="005970E9">
        <w:rPr>
          <w:rFonts w:cs="Helvetica"/>
        </w:rPr>
        <w:t xml:space="preserve">crea el Ministerio de la Juventud, la Mujer, la Niñez y la Familia y la Dirección Nacional de Discapacidad como organismo responsable en la coordinación, planificación y ejecución de políticas sociales en materia de discapacidad; </w:t>
      </w:r>
      <w:r w:rsidRPr="005970E9">
        <w:rPr>
          <w:rFonts w:cs="Helvetica-Bold"/>
        </w:rPr>
        <w:t>Acuerdo Municipal 19 de 1998 que elimina las</w:t>
      </w:r>
      <w:r w:rsidRPr="005970E9">
        <w:rPr>
          <w:rFonts w:cs="Helvetica"/>
        </w:rPr>
        <w:t xml:space="preserve"> Barreras Arquitectónicas en el Distrito Capital; </w:t>
      </w:r>
      <w:r w:rsidRPr="005970E9">
        <w:rPr>
          <w:rFonts w:cs="Helvetica-Bold"/>
        </w:rPr>
        <w:t>Decreto Ejecutivo  46 de 1998</w:t>
      </w:r>
      <w:r w:rsidRPr="005970E9">
        <w:rPr>
          <w:rFonts w:cs="Helvetica"/>
        </w:rPr>
        <w:t xml:space="preserve">, establece las normas para la atención de </w:t>
      </w:r>
      <w:r w:rsidRPr="005970E9">
        <w:t>PcDs</w:t>
      </w:r>
      <w:r w:rsidRPr="005970E9">
        <w:rPr>
          <w:rFonts w:cs="Helvetica"/>
        </w:rPr>
        <w:t xml:space="preserve"> y se adoptan otras disposiciones con relación a la equiparación de oportunidades y facilidades que deben recibir.</w:t>
      </w:r>
    </w:p>
    <w:p w14:paraId="7CA6FDAF" w14:textId="77777777" w:rsidR="001F07BC" w:rsidRPr="005970E9" w:rsidRDefault="001F07BC" w:rsidP="001F07BC">
      <w:pPr>
        <w:autoSpaceDE w:val="0"/>
        <w:autoSpaceDN w:val="0"/>
        <w:adjustRightInd w:val="0"/>
        <w:spacing w:before="120" w:after="120" w:line="276" w:lineRule="auto"/>
        <w:jc w:val="both"/>
        <w:rPr>
          <w:rFonts w:cs="Helvetica"/>
        </w:rPr>
      </w:pPr>
      <w:r w:rsidRPr="005970E9">
        <w:rPr>
          <w:rFonts w:cs="Helvetica"/>
        </w:rPr>
        <w:t xml:space="preserve">En el año 1999 se da un salto cualitativo con la </w:t>
      </w:r>
      <w:r w:rsidRPr="005970E9">
        <w:rPr>
          <w:rFonts w:cs="Helvetica-Bold"/>
        </w:rPr>
        <w:t xml:space="preserve">Ley 42 que </w:t>
      </w:r>
      <w:r w:rsidRPr="005970E9">
        <w:rPr>
          <w:rFonts w:cs="Helvetica"/>
        </w:rPr>
        <w:t xml:space="preserve">establece la Equiparación de Oportunidades para las </w:t>
      </w:r>
      <w:r w:rsidRPr="005970E9">
        <w:t>PcDs</w:t>
      </w:r>
      <w:r w:rsidRPr="005970E9">
        <w:rPr>
          <w:rFonts w:cs="Helvetica"/>
        </w:rPr>
        <w:t xml:space="preserve"> y el</w:t>
      </w:r>
      <w:r w:rsidRPr="005970E9">
        <w:rPr>
          <w:rFonts w:cs="Symbol"/>
        </w:rPr>
        <w:t xml:space="preserve"> </w:t>
      </w:r>
      <w:r w:rsidRPr="005970E9">
        <w:rPr>
          <w:rFonts w:cs="Helvetica-Bold"/>
        </w:rPr>
        <w:t xml:space="preserve">Decreto Ejecutivo 88 de 2002 que </w:t>
      </w:r>
      <w:r w:rsidRPr="005970E9">
        <w:rPr>
          <w:rFonts w:cs="Helvetica"/>
        </w:rPr>
        <w:t xml:space="preserve">reglamenta la Ley anterior. En el 2004 se aprueba el Decreto Ejecutivo 103 que crea la Secretaría Nacional para la Integración Social de las Personas con Discapacidad (SENADIS) y el Consejo Nacional Consultivo para la Integración Social de las Personas con Discapacidad (CONADIS), con el fin de proponer estrategias destinadas a lograr la integración social de las </w:t>
      </w:r>
      <w:r w:rsidRPr="005970E9">
        <w:t>PcDs</w:t>
      </w:r>
      <w:r w:rsidRPr="005970E9">
        <w:rPr>
          <w:rFonts w:cs="Helvetica"/>
        </w:rPr>
        <w:t xml:space="preserve">, cumpliendo con los principios y acuerdos internacionales que el país ha suscrito sobre los derechos de las </w:t>
      </w:r>
      <w:r w:rsidRPr="005970E9">
        <w:t>PcDs</w:t>
      </w:r>
      <w:r w:rsidRPr="005970E9">
        <w:rPr>
          <w:rFonts w:cs="Helvetica"/>
        </w:rPr>
        <w:t>.</w:t>
      </w:r>
    </w:p>
    <w:p w14:paraId="2D5F301D" w14:textId="77777777" w:rsidR="001F07BC" w:rsidRPr="005970E9" w:rsidRDefault="001F07BC" w:rsidP="001F07BC">
      <w:pPr>
        <w:autoSpaceDE w:val="0"/>
        <w:autoSpaceDN w:val="0"/>
        <w:adjustRightInd w:val="0"/>
        <w:spacing w:before="120" w:after="120" w:line="276" w:lineRule="auto"/>
        <w:jc w:val="both"/>
        <w:rPr>
          <w:rFonts w:cs="Helvetica"/>
          <w:sz w:val="23"/>
          <w:szCs w:val="23"/>
        </w:rPr>
      </w:pPr>
      <w:r w:rsidRPr="005970E9">
        <w:rPr>
          <w:rFonts w:cs="Helvetica"/>
        </w:rPr>
        <w:t xml:space="preserve">Ambos organismos han desarrollado un trabajo intenso impulsando e implementando la Política Pública de Inclusión Social, con el fin preciso de responder a las necesidades </w:t>
      </w:r>
      <w:r w:rsidRPr="005970E9">
        <w:rPr>
          <w:rFonts w:cs="Helvetica"/>
        </w:rPr>
        <w:lastRenderedPageBreak/>
        <w:t xml:space="preserve">concretas de inserción social, visibilización y transversalización del tema de la discapacidad, dentro de todo el sistema del Estado panameño. En el 2004 se crea la Oficina de Igualdad de Oportunidades del Instituto Nacional de Cultura; en el 2005 se apertura varias oficinas: la Oficina Nacional de Salud Integral para la Población con Discapacidad del Ministerio, Oficina para el Desarrollo Socioeconómico de las </w:t>
      </w:r>
      <w:r w:rsidRPr="005970E9">
        <w:t>PcDs</w:t>
      </w:r>
      <w:r w:rsidRPr="005970E9">
        <w:rPr>
          <w:rFonts w:cs="Helvetica"/>
        </w:rPr>
        <w:t xml:space="preserve"> del MITRADEL</w:t>
      </w:r>
      <w:r w:rsidRPr="005970E9">
        <w:rPr>
          <w:rStyle w:val="FootnoteReference"/>
          <w:rFonts w:cs="Helvetica"/>
        </w:rPr>
        <w:footnoteReference w:id="93"/>
      </w:r>
      <w:r w:rsidRPr="005970E9">
        <w:rPr>
          <w:rFonts w:cs="Helvetica"/>
        </w:rPr>
        <w:t xml:space="preserve"> y la Oficina para la Igualdad de Oportunidades del MOP</w:t>
      </w:r>
      <w:r w:rsidRPr="005970E9">
        <w:rPr>
          <w:rStyle w:val="FootnoteReference"/>
          <w:rFonts w:cs="Helvetica"/>
        </w:rPr>
        <w:footnoteReference w:id="94"/>
      </w:r>
      <w:r w:rsidRPr="005970E9">
        <w:rPr>
          <w:rFonts w:cs="Helvetica"/>
        </w:rPr>
        <w:t xml:space="preserve">, entre otras iniciativas. </w:t>
      </w:r>
    </w:p>
    <w:p w14:paraId="37C5A705" w14:textId="77777777" w:rsidR="001F07BC" w:rsidRPr="005970E9" w:rsidRDefault="001F07BC" w:rsidP="001F07BC">
      <w:pPr>
        <w:autoSpaceDE w:val="0"/>
        <w:autoSpaceDN w:val="0"/>
        <w:adjustRightInd w:val="0"/>
        <w:spacing w:before="120" w:after="120" w:line="276" w:lineRule="auto"/>
        <w:jc w:val="both"/>
        <w:rPr>
          <w:rFonts w:cs="Helvetica"/>
          <w:sz w:val="23"/>
          <w:szCs w:val="23"/>
        </w:rPr>
      </w:pPr>
      <w:r w:rsidRPr="005970E9">
        <w:rPr>
          <w:rFonts w:cs="Helvetica"/>
        </w:rPr>
        <w:t xml:space="preserve">También existen comisiones interinstitucionales </w:t>
      </w:r>
      <w:r w:rsidRPr="005970E9">
        <w:rPr>
          <w:rFonts w:eastAsia="Times New Roman" w:cs="Times New Roman"/>
          <w:color w:val="000000"/>
        </w:rPr>
        <w:t>para el Reconocimiento de los Derechos Humanos de las PcDs</w:t>
      </w:r>
      <w:r w:rsidRPr="005970E9">
        <w:rPr>
          <w:rFonts w:cs="Helvetica"/>
        </w:rPr>
        <w:t xml:space="preserve"> coordinadas por SENADIS, </w:t>
      </w:r>
      <w:r w:rsidRPr="005970E9">
        <w:rPr>
          <w:rFonts w:eastAsia="Times New Roman" w:cs="Times New Roman"/>
          <w:color w:val="000000"/>
        </w:rPr>
        <w:t xml:space="preserve">en la cual está la Comisión de Asuntos Laborales que coordina el </w:t>
      </w:r>
      <w:bookmarkStart w:id="322" w:name="_Hlk36682135"/>
      <w:r w:rsidRPr="005970E9">
        <w:rPr>
          <w:rFonts w:eastAsia="Times New Roman" w:cs="Times New Roman"/>
          <w:color w:val="000000"/>
        </w:rPr>
        <w:t>MITRADEL y la integran: MICI</w:t>
      </w:r>
      <w:r w:rsidRPr="005970E9">
        <w:rPr>
          <w:rStyle w:val="FootnoteReference"/>
          <w:rFonts w:eastAsia="Times New Roman" w:cs="Times New Roman"/>
          <w:color w:val="000000"/>
        </w:rPr>
        <w:footnoteReference w:id="95"/>
      </w:r>
      <w:r w:rsidRPr="005970E9">
        <w:rPr>
          <w:rFonts w:eastAsia="Times New Roman" w:cs="Times New Roman"/>
          <w:color w:val="000000"/>
        </w:rPr>
        <w:t>, AMPYME</w:t>
      </w:r>
      <w:r w:rsidRPr="005970E9">
        <w:rPr>
          <w:rStyle w:val="FootnoteReference"/>
          <w:rFonts w:eastAsia="Times New Roman" w:cs="Times New Roman"/>
          <w:color w:val="000000"/>
        </w:rPr>
        <w:footnoteReference w:id="96"/>
      </w:r>
      <w:r w:rsidRPr="005970E9">
        <w:rPr>
          <w:rFonts w:eastAsia="Times New Roman" w:cs="Times New Roman"/>
          <w:color w:val="000000"/>
        </w:rPr>
        <w:t>, INADEH</w:t>
      </w:r>
      <w:r w:rsidRPr="005970E9">
        <w:rPr>
          <w:rStyle w:val="FootnoteReference"/>
          <w:rFonts w:eastAsia="Times New Roman" w:cs="Times New Roman"/>
          <w:color w:val="000000"/>
        </w:rPr>
        <w:footnoteReference w:id="97"/>
      </w:r>
      <w:r w:rsidRPr="005970E9">
        <w:rPr>
          <w:rFonts w:eastAsia="Times New Roman" w:cs="Times New Roman"/>
          <w:color w:val="000000"/>
        </w:rPr>
        <w:t>, IPACOOP</w:t>
      </w:r>
      <w:r w:rsidRPr="005970E9">
        <w:rPr>
          <w:rStyle w:val="FootnoteReference"/>
          <w:rFonts w:eastAsia="Times New Roman" w:cs="Times New Roman"/>
          <w:color w:val="000000"/>
        </w:rPr>
        <w:footnoteReference w:id="98"/>
      </w:r>
      <w:r w:rsidRPr="005970E9">
        <w:rPr>
          <w:rFonts w:eastAsia="Times New Roman" w:cs="Times New Roman"/>
          <w:color w:val="000000"/>
        </w:rPr>
        <w:t>, Universidad de Panamá, IPHE</w:t>
      </w:r>
      <w:r w:rsidRPr="005970E9">
        <w:rPr>
          <w:rStyle w:val="FootnoteReference"/>
          <w:rFonts w:eastAsia="Times New Roman" w:cs="Times New Roman"/>
          <w:color w:val="000000"/>
        </w:rPr>
        <w:footnoteReference w:id="99"/>
      </w:r>
      <w:r w:rsidRPr="005970E9">
        <w:rPr>
          <w:rFonts w:eastAsia="Times New Roman" w:cs="Times New Roman"/>
          <w:color w:val="000000"/>
        </w:rPr>
        <w:t xml:space="preserve"> – EVE</w:t>
      </w:r>
      <w:r w:rsidRPr="005970E9">
        <w:rPr>
          <w:rStyle w:val="FootnoteReference"/>
          <w:rFonts w:eastAsia="Times New Roman" w:cs="Times New Roman"/>
          <w:color w:val="000000"/>
        </w:rPr>
        <w:footnoteReference w:id="100"/>
      </w:r>
      <w:r w:rsidRPr="005970E9">
        <w:rPr>
          <w:rFonts w:eastAsia="Times New Roman" w:cs="Times New Roman"/>
          <w:color w:val="000000"/>
        </w:rPr>
        <w:t>,</w:t>
      </w:r>
      <w:bookmarkEnd w:id="322"/>
      <w:r w:rsidRPr="005970E9">
        <w:rPr>
          <w:rFonts w:eastAsia="Times New Roman" w:cs="Times New Roman"/>
          <w:color w:val="000000"/>
        </w:rPr>
        <w:t xml:space="preserve"> las cuales transversalizan acciones en beneficios de este grupo poblacional. Además, hay</w:t>
      </w:r>
      <w:r w:rsidRPr="005970E9">
        <w:rPr>
          <w:rFonts w:cs="Helvetica"/>
        </w:rPr>
        <w:t xml:space="preserve"> innumerables decretos, y normas </w:t>
      </w:r>
      <w:r w:rsidRPr="005970E9">
        <w:rPr>
          <w:rFonts w:cs="Helvetica"/>
          <w:sz w:val="23"/>
          <w:szCs w:val="23"/>
        </w:rPr>
        <w:t xml:space="preserve">que se han elaborado para la </w:t>
      </w:r>
      <w:r w:rsidRPr="005970E9">
        <w:rPr>
          <w:rFonts w:cs="Helvetica"/>
        </w:rPr>
        <w:t xml:space="preserve">protección e </w:t>
      </w:r>
      <w:r w:rsidRPr="005970E9">
        <w:rPr>
          <w:rFonts w:cs="Helvetica"/>
          <w:sz w:val="23"/>
          <w:szCs w:val="23"/>
        </w:rPr>
        <w:t>inclusión de las personas con discapacidad, sin embargo, su cumplimiento es endeble.</w:t>
      </w:r>
    </w:p>
    <w:p w14:paraId="34A54688" w14:textId="77777777" w:rsidR="001F07BC" w:rsidRPr="005970E9" w:rsidRDefault="001F07BC" w:rsidP="001F07BC">
      <w:pPr>
        <w:autoSpaceDE w:val="0"/>
        <w:autoSpaceDN w:val="0"/>
        <w:adjustRightInd w:val="0"/>
        <w:spacing w:before="120" w:after="120" w:line="276" w:lineRule="auto"/>
        <w:jc w:val="both"/>
        <w:rPr>
          <w:rFonts w:eastAsiaTheme="minorHAnsi" w:cs="TimesNewRomanPSMT"/>
          <w:lang w:eastAsia="en-US"/>
        </w:rPr>
      </w:pPr>
      <w:r w:rsidRPr="005970E9">
        <w:rPr>
          <w:rFonts w:cs="TimesNewRomanPSMT"/>
        </w:rPr>
        <w:t xml:space="preserve">A nivel internacional cabe resaltar que el primer tratado de Derechos Humanos del siglo XXI, es la aprobación el 13 de diciembre de 2006, por la Asamblea General de las Naciones Unidas de la Convención de los Derechos de las Personas con Discapacidad. Esta convención fue abierta a la firma de los países y ratificada el 30 de marzo de 2007, entrando en vigencia el 3 de mayo de 2008. Panamá firmó la Convención el 30 de marzo de 2007 y la ratificó el 7 de agosto del mismo año, lo cual comprometió al Estado a adoptar medidas y un Plan de Acción para la inclusión social de las personas con discapacidad. </w:t>
      </w:r>
    </w:p>
    <w:p w14:paraId="438F8F78" w14:textId="77777777" w:rsidR="001F07BC" w:rsidRPr="005970E9" w:rsidRDefault="001F07BC" w:rsidP="00530738">
      <w:pPr>
        <w:pStyle w:val="Heading3"/>
        <w:numPr>
          <w:ilvl w:val="2"/>
          <w:numId w:val="57"/>
        </w:numPr>
      </w:pPr>
      <w:bookmarkStart w:id="323" w:name="_Toc37505522"/>
      <w:bookmarkStart w:id="324" w:name="_Toc42159257"/>
      <w:bookmarkStart w:id="325" w:name="_Toc42549488"/>
      <w:r w:rsidRPr="005970E9">
        <w:lastRenderedPageBreak/>
        <w:t>Reconociendo a las personas con discapacidad</w:t>
      </w:r>
      <w:bookmarkEnd w:id="323"/>
      <w:bookmarkEnd w:id="324"/>
      <w:bookmarkEnd w:id="325"/>
      <w:r w:rsidRPr="005970E9">
        <w:t xml:space="preserve"> </w:t>
      </w:r>
    </w:p>
    <w:p w14:paraId="757FD40B" w14:textId="45041BF9" w:rsidR="001F07BC" w:rsidRPr="005970E9" w:rsidRDefault="001F07BC" w:rsidP="001F07BC">
      <w:pPr>
        <w:autoSpaceDE w:val="0"/>
        <w:autoSpaceDN w:val="0"/>
        <w:adjustRightInd w:val="0"/>
        <w:spacing w:before="120" w:after="120" w:line="276" w:lineRule="auto"/>
        <w:jc w:val="both"/>
        <w:rPr>
          <w:rFonts w:cs="Helvetica"/>
        </w:rPr>
      </w:pPr>
      <w:r w:rsidRPr="005970E9">
        <w:rPr>
          <w:rFonts w:cstheme="minorBidi"/>
          <w:noProof/>
        </w:rPr>
        <mc:AlternateContent>
          <mc:Choice Requires="wps">
            <w:drawing>
              <wp:anchor distT="45720" distB="45720" distL="114300" distR="114300" simplePos="0" relativeHeight="251770921" behindDoc="0" locked="0" layoutInCell="1" allowOverlap="1" wp14:anchorId="6F82A0C9" wp14:editId="62F383BB">
                <wp:simplePos x="0" y="0"/>
                <wp:positionH relativeFrom="column">
                  <wp:posOffset>3501027</wp:posOffset>
                </wp:positionH>
                <wp:positionV relativeFrom="paragraph">
                  <wp:posOffset>75112</wp:posOffset>
                </wp:positionV>
                <wp:extent cx="1860550" cy="3247390"/>
                <wp:effectExtent l="0" t="0" r="25400" b="10795"/>
                <wp:wrapSquare wrapText="bothSides"/>
                <wp:docPr id="248"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247390"/>
                        </a:xfrm>
                        <a:prstGeom prst="rect">
                          <a:avLst/>
                        </a:prstGeom>
                        <a:solidFill>
                          <a:srgbClr val="FFFFFF"/>
                        </a:solidFill>
                        <a:ln w="19050">
                          <a:solidFill>
                            <a:srgbClr val="7030A0"/>
                          </a:solidFill>
                          <a:miter lim="800000"/>
                          <a:headEnd/>
                          <a:tailEnd/>
                        </a:ln>
                      </wps:spPr>
                      <wps:txbx>
                        <w:txbxContent>
                          <w:p w14:paraId="616E4D3B" w14:textId="77777777" w:rsidR="00DC0EAB" w:rsidRPr="005737F6" w:rsidRDefault="00DC0EAB" w:rsidP="001F07BC">
                            <w:pPr>
                              <w:shd w:val="clear" w:color="auto" w:fill="E6D5F3"/>
                              <w:rPr>
                                <w:sz w:val="20"/>
                                <w:szCs w:val="20"/>
                              </w:rPr>
                            </w:pPr>
                            <w:r w:rsidRPr="005737F6">
                              <w:rPr>
                                <w:sz w:val="20"/>
                                <w:szCs w:val="20"/>
                              </w:rPr>
                              <w:t>Las personas con discapacidad enfrentan muchos retos para su plena inclusión en la sociedad panameña, no sólo las barreras físicas producto de la rigidez de la infraestructura pública, sino también barreras simbólicas como los prejuicios respecto a la Discapacidad. Aún no comprendemos que las personas que viven con condiciones especiales pueden trabajar, educarse y ser ciudadanos activos y productivos si se les</w:t>
                            </w:r>
                          </w:p>
                          <w:p w14:paraId="5F95C240" w14:textId="77777777" w:rsidR="00DC0EAB" w:rsidRPr="005737F6" w:rsidRDefault="00DC0EAB" w:rsidP="001F07BC">
                            <w:pPr>
                              <w:shd w:val="clear" w:color="auto" w:fill="E6D5F3"/>
                              <w:rPr>
                                <w:sz w:val="20"/>
                                <w:szCs w:val="20"/>
                              </w:rPr>
                            </w:pPr>
                            <w:r w:rsidRPr="005737F6">
                              <w:rPr>
                                <w:sz w:val="20"/>
                                <w:szCs w:val="20"/>
                              </w:rPr>
                              <w:t>brindan oportunidades y espacios adecuados a sus necesidades. (UP-PNUD.  2016. Página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82A0C9" id="Cuadro de texto 27" o:spid="_x0000_s1051" type="#_x0000_t202" style="position:absolute;left:0;text-align:left;margin-left:275.65pt;margin-top:5.9pt;width:146.5pt;height:255.7pt;z-index:25177092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" strokecolor="#7030a0" strokeweight="1.5pt">
                <v:textbox style="mso-fit-shape-to-text:t">
                  <w:txbxContent>
                    <w:p w14:paraId="616E4D3B" w14:textId="77777777" w:rsidR="00DC0EAB" w:rsidRPr="005737F6" w:rsidRDefault="00DC0EAB" w:rsidP="001F07BC">
                      <w:pPr>
                        <w:shd w:val="clear" w:color="auto" w:fill="E6D5F3"/>
                        <w:rPr>
                          <w:sz w:val="20"/>
                          <w:szCs w:val="20"/>
                        </w:rPr>
                      </w:pPr>
                      <w:r w:rsidRPr="005737F6">
                        <w:rPr>
                          <w:sz w:val="20"/>
                          <w:szCs w:val="20"/>
                        </w:rPr>
                        <w:t>Las personas con discapacidad enfrentan muchos retos para su plena inclusión en la sociedad panameña, no sólo las barreras físicas producto de la rigidez de la infraestructura pública, sino también barreras simbólicas como los prejuicios respecto a la Discapacidad. Aún no comprendemos que las personas que viven con condiciones especiales pueden trabajar, educarse y ser ciudadanos activos y productivos si se les</w:t>
                      </w:r>
                    </w:p>
                    <w:p w14:paraId="5F95C240" w14:textId="77777777" w:rsidR="00DC0EAB" w:rsidRPr="005737F6" w:rsidRDefault="00DC0EAB" w:rsidP="001F07BC">
                      <w:pPr>
                        <w:shd w:val="clear" w:color="auto" w:fill="E6D5F3"/>
                        <w:rPr>
                          <w:sz w:val="20"/>
                          <w:szCs w:val="20"/>
                        </w:rPr>
                      </w:pPr>
                      <w:r w:rsidRPr="005737F6">
                        <w:rPr>
                          <w:sz w:val="20"/>
                          <w:szCs w:val="20"/>
                        </w:rPr>
                        <w:t>brindan oportunidades y espacios adecuados a sus necesidades. (UP-PNUD.  2016. Página 9</w:t>
                      </w:r>
                    </w:p>
                  </w:txbxContent>
                </v:textbox>
                <w10:wrap type="square"/>
              </v:shape>
            </w:pict>
          </mc:Fallback>
        </mc:AlternateContent>
      </w:r>
      <w:r w:rsidRPr="005970E9">
        <w:rPr>
          <w:rFonts w:cstheme="minorBidi"/>
          <w:noProof/>
        </w:rPr>
        <mc:AlternateContent>
          <mc:Choice Requires="wps">
            <w:drawing>
              <wp:anchor distT="45720" distB="45720" distL="114300" distR="114300" simplePos="0" relativeHeight="251658281" behindDoc="0" locked="0" layoutInCell="1" allowOverlap="1" wp14:anchorId="6F82A0C9" wp14:editId="62F383BB">
                <wp:simplePos x="0" y="0"/>
                <wp:positionH relativeFrom="column">
                  <wp:posOffset>3501027</wp:posOffset>
                </wp:positionH>
                <wp:positionV relativeFrom="paragraph">
                  <wp:posOffset>75112</wp:posOffset>
                </wp:positionV>
                <wp:extent cx="1860550" cy="3247390"/>
                <wp:effectExtent l="0" t="0" r="25400" b="10795"/>
                <wp:wrapSquare wrapText="bothSides"/>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247390"/>
                        </a:xfrm>
                        <a:prstGeom prst="rect">
                          <a:avLst/>
                        </a:prstGeom>
                        <a:solidFill>
                          <a:srgbClr val="FFFFFF"/>
                        </a:solidFill>
                        <a:ln w="19050">
                          <a:solidFill>
                            <a:srgbClr val="7030A0"/>
                          </a:solidFill>
                          <a:miter lim="800000"/>
                          <a:headEnd/>
                          <a:tailEnd/>
                        </a:ln>
                      </wps:spPr>
                      <wps:txbx>
                        <w:txbxContent>
                          <w:p w14:paraId="7D099ED0" w14:textId="77777777" w:rsidR="00DC0EAB" w:rsidRPr="005737F6" w:rsidRDefault="00DC0EAB" w:rsidP="001F07BC">
                            <w:pPr>
                              <w:shd w:val="clear" w:color="auto" w:fill="E6D5F3"/>
                              <w:rPr>
                                <w:sz w:val="20"/>
                                <w:szCs w:val="20"/>
                              </w:rPr>
                            </w:pPr>
                            <w:r w:rsidRPr="005737F6">
                              <w:rPr>
                                <w:sz w:val="20"/>
                                <w:szCs w:val="20"/>
                              </w:rPr>
                              <w:t>Las personas con discapacidad enfrentan muchos retos para su plena inclusión en la sociedad panameña, no sólo las barreras físicas producto de la rigidez de la infraestructura pública, sino también barreras simbólicas como los prejuicios respecto a la Discapacidad. Aún no comprendemos que las personas que viven con condiciones especiales pueden trabajar, educarse y ser ciudadanos activos y productivos si se les</w:t>
                            </w:r>
                          </w:p>
                          <w:p w14:paraId="751E9E20" w14:textId="77777777" w:rsidR="00DC0EAB" w:rsidRPr="005737F6" w:rsidRDefault="00DC0EAB" w:rsidP="001F07BC">
                            <w:pPr>
                              <w:shd w:val="clear" w:color="auto" w:fill="E6D5F3"/>
                              <w:rPr>
                                <w:sz w:val="20"/>
                                <w:szCs w:val="20"/>
                              </w:rPr>
                            </w:pPr>
                            <w:r w:rsidRPr="005737F6">
                              <w:rPr>
                                <w:sz w:val="20"/>
                                <w:szCs w:val="20"/>
                              </w:rPr>
                              <w:t>brindan oportunidades y espacios adecuados a sus necesidades. (UP-PNUD.  2016. Página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82A0C9" id="_x0000_s1052" type="#_x0000_t202" style="position:absolute;left:0;text-align:left;margin-left:275.65pt;margin-top:5.9pt;width:146.5pt;height:255.7pt;z-index:2516582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" strokecolor="#7030a0" strokeweight="1.5pt">
                <v:textbox style="mso-fit-shape-to-text:t">
                  <w:txbxContent>
                    <w:p w14:paraId="7D099ED0" w14:textId="77777777" w:rsidR="00DC0EAB" w:rsidRPr="005737F6" w:rsidRDefault="00DC0EAB" w:rsidP="001F07BC">
                      <w:pPr>
                        <w:shd w:val="clear" w:color="auto" w:fill="E6D5F3"/>
                        <w:rPr>
                          <w:sz w:val="20"/>
                          <w:szCs w:val="20"/>
                        </w:rPr>
                      </w:pPr>
                      <w:r w:rsidRPr="005737F6">
                        <w:rPr>
                          <w:sz w:val="20"/>
                          <w:szCs w:val="20"/>
                        </w:rPr>
                        <w:t>Las personas con discapacidad enfrentan muchos retos para su plena inclusión en la sociedad panameña, no sólo las barreras físicas producto de la rigidez de la infraestructura pública, sino también barreras simbólicas como los prejuicios respecto a la Discapacidad. Aún no comprendemos que las personas que viven con condiciones especiales pueden trabajar, educarse y ser ciudadanos activos y productivos si se les</w:t>
                      </w:r>
                    </w:p>
                    <w:p w14:paraId="751E9E20" w14:textId="77777777" w:rsidR="00DC0EAB" w:rsidRPr="005737F6" w:rsidRDefault="00DC0EAB" w:rsidP="001F07BC">
                      <w:pPr>
                        <w:shd w:val="clear" w:color="auto" w:fill="E6D5F3"/>
                        <w:rPr>
                          <w:sz w:val="20"/>
                          <w:szCs w:val="20"/>
                        </w:rPr>
                      </w:pPr>
                      <w:r w:rsidRPr="005737F6">
                        <w:rPr>
                          <w:sz w:val="20"/>
                          <w:szCs w:val="20"/>
                        </w:rPr>
                        <w:t>brindan oportunidades y espacios adecuados a sus necesidades. (UP-PNUD.  2016. Página 9</w:t>
                      </w:r>
                    </w:p>
                  </w:txbxContent>
                </v:textbox>
                <w10:wrap type="square"/>
              </v:shape>
            </w:pict>
          </mc:Fallback>
        </mc:AlternateContent>
      </w:r>
      <w:r w:rsidRPr="005970E9">
        <w:rPr>
          <w:rFonts w:cs="Helvetica"/>
        </w:rPr>
        <w:t xml:space="preserve">Como un esfuerzo primario para comenzar a mitigar la enorme deuda moral y social que la nación tiene con este grupo vulnerabilizados y desplazados del desarrollo y del crecimiento nacional, se aplicó la primera encuesta para las personas con discapacidad que concluyó con el informe </w:t>
      </w:r>
      <w:bookmarkStart w:id="326" w:name="_Hlk36682197"/>
      <w:r w:rsidRPr="005970E9">
        <w:rPr>
          <w:rFonts w:cs="Helvetica"/>
        </w:rPr>
        <w:t>PENDIS</w:t>
      </w:r>
      <w:r w:rsidRPr="005970E9">
        <w:rPr>
          <w:rStyle w:val="FootnoteReference"/>
          <w:rFonts w:cs="Helvetica"/>
        </w:rPr>
        <w:footnoteReference w:id="101"/>
      </w:r>
      <w:r w:rsidRPr="005970E9">
        <w:rPr>
          <w:rFonts w:cs="Helvetica"/>
        </w:rPr>
        <w:t>-</w:t>
      </w:r>
      <w:bookmarkEnd w:id="326"/>
      <w:r w:rsidRPr="005970E9">
        <w:rPr>
          <w:rFonts w:cs="Helvetica"/>
        </w:rPr>
        <w:t>2006. La encuesta respondió a cuatro interrogantes sobre las personas con discapacidad y sus familias: ¿Cuántos son? ¿Cómo son? ¿Quiénes son? y ¿dónde están? (PENDIS-2006. Pág. 3)</w:t>
      </w:r>
    </w:p>
    <w:p w14:paraId="43F6A7F3" w14:textId="77777777" w:rsidR="001F07BC" w:rsidRPr="005970E9" w:rsidRDefault="001F07BC" w:rsidP="001F07BC">
      <w:pPr>
        <w:pStyle w:val="Default"/>
        <w:spacing w:before="120" w:after="120" w:line="276" w:lineRule="auto"/>
        <w:jc w:val="both"/>
        <w:rPr>
          <w:rFonts w:ascii="Century Schoolbook" w:hAnsi="Century Schoolbook" w:cs="IQZGNC+Balloon"/>
          <w:sz w:val="22"/>
          <w:szCs w:val="22"/>
        </w:rPr>
      </w:pPr>
      <w:r w:rsidRPr="005970E9">
        <w:rPr>
          <w:rFonts w:ascii="Century Schoolbook" w:hAnsi="Century Schoolbook"/>
          <w:sz w:val="22"/>
          <w:szCs w:val="22"/>
        </w:rPr>
        <w:t xml:space="preserve">El país cuenta con un subregistro histórico sobre las condiciones de las personas con discapacidad. Son muy pocos, incompletos y recientes los datos que tenemos para investigar la población con discapacidad, a saber: </w:t>
      </w:r>
      <w:r w:rsidRPr="005970E9">
        <w:rPr>
          <w:rFonts w:ascii="Century Schoolbook" w:hAnsi="Century Schoolbook" w:cs="Helvetica"/>
          <w:sz w:val="22"/>
          <w:szCs w:val="22"/>
        </w:rPr>
        <w:t xml:space="preserve">Instituto Panameño de Habilitación Especial (IPHE) - </w:t>
      </w:r>
      <w:r w:rsidRPr="005970E9">
        <w:rPr>
          <w:rFonts w:ascii="Century Schoolbook" w:hAnsi="Century Schoolbook"/>
          <w:sz w:val="22"/>
          <w:szCs w:val="22"/>
        </w:rPr>
        <w:t xml:space="preserve">Censos de Población y Vivienda; </w:t>
      </w:r>
      <w:r w:rsidRPr="005970E9">
        <w:rPr>
          <w:rFonts w:ascii="Century Schoolbook" w:hAnsi="Century Schoolbook" w:cs="IQZGNC+Balloon"/>
          <w:sz w:val="22"/>
          <w:szCs w:val="22"/>
        </w:rPr>
        <w:t>Primera Encuesta Nacional de la Discapacidad (PENDIS) 2006; Censo de Población y Vivienda 2010; Encuesta de Propósitos Múltiples 2019.</w:t>
      </w:r>
    </w:p>
    <w:p w14:paraId="6895FC27" w14:textId="77777777" w:rsidR="001F07BC" w:rsidRPr="005970E9" w:rsidRDefault="001F07BC" w:rsidP="001F07BC">
      <w:pPr>
        <w:pStyle w:val="Default"/>
        <w:spacing w:before="120" w:after="120" w:line="276" w:lineRule="auto"/>
        <w:jc w:val="both"/>
        <w:rPr>
          <w:rFonts w:ascii="Century Schoolbook" w:hAnsi="Century Schoolbook" w:cs="EFBIJK+BalloonBold"/>
          <w:sz w:val="22"/>
          <w:szCs w:val="22"/>
        </w:rPr>
      </w:pPr>
      <w:r w:rsidRPr="005970E9">
        <w:rPr>
          <w:rFonts w:ascii="Century Schoolbook" w:hAnsi="Century Schoolbook" w:cs="IQZGNC+Balloon"/>
          <w:sz w:val="22"/>
          <w:szCs w:val="22"/>
        </w:rPr>
        <w:t xml:space="preserve">Se espera que el próximo Censo </w:t>
      </w:r>
      <w:r w:rsidRPr="005970E9">
        <w:rPr>
          <w:rFonts w:ascii="Century Schoolbook" w:hAnsi="Century Schoolbook"/>
          <w:sz w:val="22"/>
          <w:szCs w:val="22"/>
        </w:rPr>
        <w:t>de Población y Vivienda (aún sin fecha para su realización) incluya 2 preguntas sobre discapacidades que fueron elaboradas en conjunto por personal técnico del INEC y SENADIS. Dichas preguntas tienen el objetivo, además de contar y caracterizar los distintos tipos de discapacidad, especificar el grado de la misma, y cuantificar las personas con discapacidades múltiples.</w:t>
      </w:r>
      <w:r w:rsidRPr="005970E9">
        <w:rPr>
          <w:rStyle w:val="FootnoteReference"/>
          <w:rFonts w:ascii="Century Schoolbook" w:hAnsi="Century Schoolbook"/>
          <w:sz w:val="22"/>
          <w:szCs w:val="22"/>
        </w:rPr>
        <w:footnoteReference w:id="102"/>
      </w:r>
      <w:r w:rsidRPr="005970E9">
        <w:rPr>
          <w:rFonts w:ascii="Century Schoolbook" w:hAnsi="Century Schoolbook"/>
          <w:sz w:val="22"/>
          <w:szCs w:val="22"/>
        </w:rPr>
        <w:t xml:space="preserve"> También se prepara la Segunda Encuesta de Discapacidad que estaba programada para realizarse </w:t>
      </w:r>
      <w:r w:rsidRPr="005970E9">
        <w:rPr>
          <w:rFonts w:ascii="Century Schoolbook" w:hAnsi="Century Schoolbook"/>
        </w:rPr>
        <w:t xml:space="preserve">en 2016, con un costo estimado en USD 2.5 millones, pero no se hizo por falta de presupuesto. </w:t>
      </w:r>
      <w:r w:rsidRPr="005970E9">
        <w:rPr>
          <w:rStyle w:val="FootnoteReference"/>
          <w:rFonts w:ascii="Century Schoolbook" w:hAnsi="Century Schoolbook"/>
          <w:sz w:val="22"/>
          <w:szCs w:val="22"/>
        </w:rPr>
        <w:footnoteReference w:id="103"/>
      </w:r>
      <w:r w:rsidRPr="005970E9">
        <w:rPr>
          <w:rFonts w:ascii="Century Schoolbook" w:hAnsi="Century Schoolbook"/>
          <w:sz w:val="22"/>
          <w:szCs w:val="22"/>
        </w:rPr>
        <w:t xml:space="preserve"> </w:t>
      </w:r>
    </w:p>
    <w:p w14:paraId="5CF74D11" w14:textId="77777777" w:rsidR="001F07BC" w:rsidRPr="005970E9" w:rsidRDefault="001F07BC" w:rsidP="001F07BC">
      <w:pPr>
        <w:autoSpaceDE w:val="0"/>
        <w:autoSpaceDN w:val="0"/>
        <w:adjustRightInd w:val="0"/>
        <w:spacing w:before="120" w:after="120" w:line="276" w:lineRule="auto"/>
        <w:jc w:val="both"/>
        <w:rPr>
          <w:rFonts w:cs="Helvetica"/>
        </w:rPr>
      </w:pPr>
      <w:r w:rsidRPr="005970E9">
        <w:rPr>
          <w:rFonts w:cs="Helvetica"/>
        </w:rPr>
        <w:t xml:space="preserve">El IPHE intentó en varios censos cuantificar a la población con algún tipo de discapacidad, a través de la pregunta: “Impedimentos Físico o Mental”. En el Censo del 2000 se cuantificaron a 52,197 personas con impedimentos, para una representatividad del 1.8% de la población total del país. Sin embargo, de acuerdo a las estimaciones de la Organización Mundial de la Salud en el 2006 (OMS -2006) el 10% de la población mundial posee algún tipo de discapacidad y que el 80% vive en países donde los servicios de atención son escasos y a veces nulos (PENDIS-2006. Pág. 38), es de suponer que en </w:t>
      </w:r>
      <w:r w:rsidRPr="005970E9">
        <w:rPr>
          <w:rFonts w:cs="Helvetica"/>
        </w:rPr>
        <w:lastRenderedPageBreak/>
        <w:t>el país había un descuido importante en la cuantificación y caracterización de este grupo humano, lo cual servía de base para la invisibilización y la exclusión social.</w:t>
      </w:r>
      <w:r w:rsidRPr="005970E9">
        <w:rPr>
          <w:rStyle w:val="FootnoteReference"/>
          <w:rFonts w:cs="Helvetica"/>
        </w:rPr>
        <w:footnoteReference w:id="104"/>
      </w:r>
      <w:r w:rsidRPr="005970E9">
        <w:rPr>
          <w:rFonts w:cs="Helvetica"/>
        </w:rPr>
        <w:t xml:space="preserve"> </w:t>
      </w:r>
    </w:p>
    <w:p w14:paraId="16546A68" w14:textId="77777777" w:rsidR="001F07BC" w:rsidRPr="005970E9" w:rsidRDefault="001F07BC" w:rsidP="001F07BC">
      <w:pPr>
        <w:autoSpaceDE w:val="0"/>
        <w:autoSpaceDN w:val="0"/>
        <w:adjustRightInd w:val="0"/>
        <w:spacing w:before="120" w:after="120" w:line="276" w:lineRule="auto"/>
        <w:jc w:val="both"/>
        <w:rPr>
          <w:rFonts w:cs="Helvetica"/>
        </w:rPr>
      </w:pPr>
      <w:r w:rsidRPr="005970E9">
        <w:t xml:space="preserve">La </w:t>
      </w:r>
      <w:r w:rsidRPr="005970E9">
        <w:rPr>
          <w:rFonts w:cs="IQZGNC+Balloon"/>
        </w:rPr>
        <w:t xml:space="preserve">Encuesta Nacional de la Discapacidad (PENDIS -2006), fue la primera encuesta especializada que se le aplicó a una muestra representativa de toda la población del país, logrando una caracterización </w:t>
      </w:r>
      <w:r w:rsidRPr="005970E9">
        <w:rPr>
          <w:rFonts w:cs="Helvetica"/>
        </w:rPr>
        <w:t xml:space="preserve">de la discapacidad y posibles causas, condición socioeconómica de la familia, accesibilidad a los servicios públicos (educativos, de salud, rehabilitación, recreación, etc.), y oportunidad de inserción en la fuerza laboral y otras actividades comunitarias (PENDIS 2006. Pág. 38). </w:t>
      </w:r>
    </w:p>
    <w:p w14:paraId="3F82DA78" w14:textId="77777777" w:rsidR="001F07BC" w:rsidRPr="005970E9" w:rsidRDefault="001F07BC" w:rsidP="001F07BC">
      <w:pPr>
        <w:autoSpaceDE w:val="0"/>
        <w:autoSpaceDN w:val="0"/>
        <w:adjustRightInd w:val="0"/>
        <w:spacing w:before="120" w:after="120" w:line="276" w:lineRule="auto"/>
        <w:jc w:val="both"/>
      </w:pPr>
      <w:r w:rsidRPr="005970E9">
        <w:rPr>
          <w:rFonts w:cs="Helvetica"/>
        </w:rPr>
        <w:t>Dicha encuesta</w:t>
      </w:r>
      <w:r w:rsidRPr="005970E9">
        <w:rPr>
          <w:sz w:val="23"/>
          <w:szCs w:val="23"/>
        </w:rPr>
        <w:t xml:space="preserve"> </w:t>
      </w:r>
      <w:r w:rsidRPr="005970E9">
        <w:rPr>
          <w:rFonts w:cs="IQZGNC+Balloon"/>
        </w:rPr>
        <w:t>mostró que el 1.2% (</w:t>
      </w:r>
      <w:r w:rsidRPr="005970E9">
        <w:rPr>
          <w:sz w:val="19"/>
          <w:szCs w:val="19"/>
        </w:rPr>
        <w:t>370,053</w:t>
      </w:r>
      <w:r w:rsidRPr="005970E9">
        <w:rPr>
          <w:rFonts w:cs="IQZGNC+Balloon"/>
        </w:rPr>
        <w:t>) de la población panameña tenía algún tipo de discapacidad, para una tasa de</w:t>
      </w:r>
      <w:r w:rsidRPr="005970E9">
        <w:rPr>
          <w:rFonts w:cs="IQZGNC+Balloon"/>
          <w:color w:val="000000"/>
        </w:rPr>
        <w:t xml:space="preserve"> prevalencia de la discapacidad en Panamá </w:t>
      </w:r>
      <w:r w:rsidRPr="005970E9">
        <w:rPr>
          <w:rFonts w:cs="Helvetica"/>
        </w:rPr>
        <w:t>(sin discriminar el tipo, la severidad o la causa)</w:t>
      </w:r>
      <w:r w:rsidRPr="005970E9">
        <w:rPr>
          <w:rFonts w:cs="IQZGNC+Balloon"/>
        </w:rPr>
        <w:t xml:space="preserve"> de 11.3% ubicando al país dentro de </w:t>
      </w:r>
      <w:r w:rsidRPr="005970E9">
        <w:rPr>
          <w:rFonts w:cs="Helvetica"/>
        </w:rPr>
        <w:t xml:space="preserve">los valores estimados por la Organización Panamericana de la Salud para la región, </w:t>
      </w:r>
      <w:r w:rsidRPr="005970E9">
        <w:t xml:space="preserve">con un rango de entre 2,7% en la comarca Emberá y un máximo de 15,6% en la provincia de Veraguas. </w:t>
      </w:r>
    </w:p>
    <w:p w14:paraId="1A03FA66" w14:textId="77777777" w:rsidR="001F07BC" w:rsidRPr="005970E9" w:rsidRDefault="001F07BC" w:rsidP="001F07BC">
      <w:pPr>
        <w:autoSpaceDE w:val="0"/>
        <w:autoSpaceDN w:val="0"/>
        <w:adjustRightInd w:val="0"/>
        <w:spacing w:before="120" w:after="120" w:line="276" w:lineRule="auto"/>
        <w:jc w:val="both"/>
        <w:rPr>
          <w:rFonts w:cs="IQZGNC+Balloon"/>
        </w:rPr>
      </w:pPr>
      <w:r w:rsidRPr="005970E9">
        <w:t xml:space="preserve">Las provincias y comarcas que superan la media nacional son la comarca Guna Yala, Herrera, Darién, Coclé, la comarca Ngäbe-Buglé, Chiriquí y Los Santos. </w:t>
      </w:r>
      <w:r w:rsidRPr="005970E9">
        <w:rPr>
          <w:rFonts w:cs="Helvetica"/>
        </w:rPr>
        <w:t xml:space="preserve">Una de cada tres viviendas en nuestro país tiene por lo menos una persona con alguna discapacidad. El nivel de afectación es mayor para las </w:t>
      </w:r>
      <w:r w:rsidRPr="005970E9">
        <w:rPr>
          <w:rFonts w:cs="IQZGNC+Balloon"/>
          <w:color w:val="000000"/>
        </w:rPr>
        <w:t xml:space="preserve">mujeres con 12.4% del total de la población y 10.4% en los varones, siendo mayor la diferencia entre hombres y mujeres en el área rural e indígena y en personas de 40-64 años, edad económicamente productiva y la mayoría son mujeres. </w:t>
      </w:r>
      <w:r w:rsidRPr="005970E9">
        <w:rPr>
          <w:rFonts w:cs="IQZGNC+Balloon"/>
        </w:rPr>
        <w:t xml:space="preserve">(MIDES, 2013. Pág. 273, informe PENDIS 2006. Pág. 11, y </w:t>
      </w:r>
      <w:r w:rsidRPr="005970E9">
        <w:rPr>
          <w:sz w:val="18"/>
          <w:szCs w:val="18"/>
        </w:rPr>
        <w:t>UNFPA 2014).</w:t>
      </w:r>
      <w:r w:rsidRPr="005970E9">
        <w:rPr>
          <w:rFonts w:cs="IQZGNC+Balloon"/>
        </w:rPr>
        <w:t>)</w:t>
      </w:r>
    </w:p>
    <w:p w14:paraId="25A9D580" w14:textId="77777777" w:rsidR="001F07BC" w:rsidRPr="005970E9" w:rsidRDefault="001F07BC" w:rsidP="001F07BC">
      <w:pPr>
        <w:autoSpaceDE w:val="0"/>
        <w:autoSpaceDN w:val="0"/>
        <w:adjustRightInd w:val="0"/>
        <w:spacing w:before="120" w:after="120" w:line="276" w:lineRule="auto"/>
        <w:jc w:val="both"/>
        <w:rPr>
          <w:rFonts w:cs="IQZGNC+Balloon"/>
        </w:rPr>
      </w:pPr>
      <w:r w:rsidRPr="005970E9">
        <w:rPr>
          <w:rFonts w:cs="IQZGNC+Balloon"/>
        </w:rPr>
        <w:t>El censo del 2010, tuvo como resultado un total de 106,375 personas con algún tipo de discapacidad, lo que representó el 3.1% de la población total del país. Estas dos últimas encuestas arrojaron grandes diferencias que responden a la metodología de obtención del dato: en el primer caso (PENDIS-2006) se consideraron todas las discapacidades, mientras que el censo no se registraron las discapacidades leves, las no visibles o las transitorias. (MIDES, 2013. Pág. 273)</w:t>
      </w:r>
    </w:p>
    <w:p w14:paraId="5A3A2F07" w14:textId="33117C78" w:rsidR="001F07BC" w:rsidRPr="005970E9" w:rsidRDefault="001F07BC" w:rsidP="001F07BC">
      <w:pPr>
        <w:pStyle w:val="Default"/>
        <w:spacing w:before="120" w:after="120" w:line="276" w:lineRule="auto"/>
        <w:jc w:val="both"/>
        <w:rPr>
          <w:rFonts w:ascii="Century Schoolbook" w:hAnsi="Century Schoolbook" w:cs="IQZGNC+Balloon"/>
          <w:sz w:val="22"/>
          <w:szCs w:val="22"/>
        </w:rPr>
      </w:pPr>
      <w:r w:rsidRPr="005970E9">
        <w:rPr>
          <w:rFonts w:ascii="Century Schoolbook" w:hAnsi="Century Schoolbook" w:cs="IQZGNC+Balloon"/>
        </w:rPr>
        <w:t xml:space="preserve">Este </w:t>
      </w:r>
      <w:r w:rsidRPr="005970E9">
        <w:rPr>
          <w:rFonts w:ascii="Century Schoolbook" w:hAnsi="Century Schoolbook" w:cs="IQZGNC+Balloon"/>
          <w:sz w:val="22"/>
          <w:szCs w:val="22"/>
        </w:rPr>
        <w:t xml:space="preserve">censo registró una tasa de discapacidad mayor para los hombres (30 por cada mil habitantes) que para las mujeres (27 por cada mil habitantes). Para los hombres las tasas superiores estuvieron en la Comarca Emberá (57), provincia de Darién (51), Loa Santos (49) y Herrera (48). Para las mujeres, fue similar, las tasas mayores estuvieron en Los Santos (45), Comarca Emberá (43) y Herrera (43). Esta situación está relacionada a que en estas áreas predomina la población de 50 y más años de edad.  Otro dato relevante del 2010 fue que el 28.5% de las personas con discapacidad no cuentan con seguro social, el 23.1% es beneficiaria/o y sólo el 9% es beneficiario/a directo. (MIDES, 2016. Pág. 318).  </w:t>
      </w:r>
    </w:p>
    <w:p w14:paraId="229653E5" w14:textId="1633C677" w:rsidR="0031633D" w:rsidRPr="005970E9" w:rsidRDefault="0031633D" w:rsidP="00130FFC">
      <w:pPr>
        <w:pStyle w:val="Caption"/>
        <w:jc w:val="center"/>
        <w:rPr>
          <w:rFonts w:ascii="Century Schoolbook" w:hAnsi="Century Schoolbook" w:cs="IQZGNC+Balloon"/>
          <w:color w:val="000000"/>
          <w:sz w:val="20"/>
          <w:szCs w:val="20"/>
        </w:rPr>
      </w:pPr>
      <w:bookmarkStart w:id="327" w:name="_Toc42549271"/>
      <w:r w:rsidRPr="005970E9">
        <w:rPr>
          <w:rFonts w:ascii="Century Schoolbook" w:hAnsi="Century Schoolbook"/>
          <w:sz w:val="20"/>
          <w:szCs w:val="20"/>
        </w:rPr>
        <w:lastRenderedPageBreak/>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973E88" w:rsidRPr="005970E9">
        <w:rPr>
          <w:rFonts w:ascii="Century Schoolbook" w:hAnsi="Century Schoolbook"/>
          <w:noProof/>
          <w:sz w:val="20"/>
          <w:szCs w:val="20"/>
        </w:rPr>
        <w:t>39</w:t>
      </w:r>
      <w:r w:rsidR="00F202BE" w:rsidRPr="005970E9">
        <w:rPr>
          <w:rFonts w:ascii="Century Schoolbook" w:hAnsi="Century Schoolbook"/>
          <w:sz w:val="20"/>
          <w:szCs w:val="20"/>
        </w:rPr>
        <w:fldChar w:fldCharType="end"/>
      </w:r>
      <w:r w:rsidRPr="005970E9">
        <w:rPr>
          <w:rFonts w:ascii="Century Schoolbook" w:hAnsi="Century Schoolbook"/>
          <w:sz w:val="20"/>
          <w:szCs w:val="20"/>
        </w:rPr>
        <w:t xml:space="preserve">. </w:t>
      </w:r>
      <w:r w:rsidRPr="005970E9">
        <w:rPr>
          <w:rFonts w:ascii="Century Schoolbook" w:hAnsi="Century Schoolbook" w:cs="IQZGNC+Balloon"/>
          <w:color w:val="000000"/>
          <w:sz w:val="20"/>
          <w:szCs w:val="20"/>
          <w:lang w:val="es-US"/>
        </w:rPr>
        <w:t>Población del país sin discapacidad y con discapacidad. Marzo 2019</w:t>
      </w:r>
      <w:bookmarkEnd w:id="327"/>
    </w:p>
    <w:p w14:paraId="19C66B24" w14:textId="33290D4D" w:rsidR="005737F6" w:rsidRPr="005970E9" w:rsidRDefault="0031633D" w:rsidP="005737F6">
      <w:pPr>
        <w:pStyle w:val="Default"/>
        <w:spacing w:before="120" w:after="120" w:line="276" w:lineRule="auto"/>
        <w:jc w:val="both"/>
        <w:rPr>
          <w:rFonts w:ascii="Century Schoolbook" w:hAnsi="Century Schoolbook" w:cs="EFBIJK+BalloonBold"/>
          <w:sz w:val="22"/>
          <w:szCs w:val="22"/>
        </w:rPr>
      </w:pPr>
      <w:r w:rsidRPr="005970E9">
        <w:rPr>
          <w:rFonts w:ascii="Century Schoolbook" w:hAnsi="Century Schoolbook" w:cs="EFBIJK+BalloonBold"/>
          <w:noProof/>
        </w:rPr>
        <w:drawing>
          <wp:anchor distT="0" distB="0" distL="114300" distR="114300" simplePos="0" relativeHeight="251658258" behindDoc="1" locked="0" layoutInCell="1" allowOverlap="1" wp14:anchorId="05B1CF7B" wp14:editId="5EA9C0FE">
            <wp:simplePos x="0" y="0"/>
            <wp:positionH relativeFrom="margin">
              <wp:posOffset>-226060</wp:posOffset>
            </wp:positionH>
            <wp:positionV relativeFrom="paragraph">
              <wp:posOffset>112395</wp:posOffset>
            </wp:positionV>
            <wp:extent cx="2481580" cy="1867535"/>
            <wp:effectExtent l="0" t="0" r="0" b="0"/>
            <wp:wrapTight wrapText="bothSides">
              <wp:wrapPolygon edited="0">
                <wp:start x="0" y="0"/>
                <wp:lineTo x="0" y="21372"/>
                <wp:lineTo x="21390" y="21372"/>
                <wp:lineTo x="21390" y="0"/>
                <wp:lineTo x="0" y="0"/>
              </wp:wrapPolygon>
            </wp:wrapTight>
            <wp:docPr id="26" name="Gráfico 26">
              <a:extLst xmlns:a="http://schemas.openxmlformats.org/drawingml/2006/main">
                <a:ext uri="{FF2B5EF4-FFF2-40B4-BE49-F238E27FC236}">
                  <a16:creationId xmlns:a16="http://schemas.microsoft.com/office/drawing/2014/main" id="{3E70B181-117E-4929-9CD7-0E2894D9D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r w:rsidR="005737F6" w:rsidRPr="005970E9">
        <w:rPr>
          <w:rFonts w:ascii="Century Schoolbook" w:hAnsi="Century Schoolbook" w:cs="IQZGNC+Balloon"/>
        </w:rPr>
        <w:t xml:space="preserve">La última </w:t>
      </w:r>
      <w:r w:rsidR="005737F6" w:rsidRPr="005970E9">
        <w:rPr>
          <w:rFonts w:ascii="Century Schoolbook" w:hAnsi="Century Schoolbook" w:cs="IQZGNC+Balloon"/>
          <w:sz w:val="22"/>
          <w:szCs w:val="22"/>
        </w:rPr>
        <w:t xml:space="preserve">medición </w:t>
      </w:r>
      <w:r w:rsidR="005737F6" w:rsidRPr="005970E9">
        <w:rPr>
          <w:rFonts w:ascii="Century Schoolbook" w:hAnsi="Century Schoolbook" w:cs="IQZGNC+Balloon"/>
        </w:rPr>
        <w:t xml:space="preserve">se </w:t>
      </w:r>
      <w:r w:rsidR="005737F6" w:rsidRPr="005970E9">
        <w:rPr>
          <w:rFonts w:ascii="Century Schoolbook" w:hAnsi="Century Schoolbook" w:cs="IQZGNC+Balloon"/>
          <w:sz w:val="22"/>
          <w:szCs w:val="22"/>
        </w:rPr>
        <w:t xml:space="preserve">efectuó en la Encuesta de Propósitos Múltiples en marzo de 2019, donde se registró un </w:t>
      </w:r>
      <w:r w:rsidR="005737F6" w:rsidRPr="005970E9">
        <w:rPr>
          <w:rFonts w:ascii="Century Schoolbook" w:hAnsi="Century Schoolbook"/>
          <w:sz w:val="22"/>
          <w:szCs w:val="22"/>
        </w:rPr>
        <w:t>5.5% (</w:t>
      </w:r>
      <w:r w:rsidR="005737F6" w:rsidRPr="005970E9">
        <w:rPr>
          <w:rFonts w:ascii="Century Schoolbook" w:eastAsia="Times New Roman" w:hAnsi="Century Schoolbook" w:cs="Arial"/>
          <w:sz w:val="22"/>
          <w:szCs w:val="22"/>
          <w:lang w:eastAsia="es-US"/>
        </w:rPr>
        <w:t>231,391)</w:t>
      </w:r>
      <w:r w:rsidR="005737F6" w:rsidRPr="005970E9">
        <w:rPr>
          <w:rFonts w:ascii="Century Schoolbook" w:eastAsia="Times New Roman" w:hAnsi="Century Schoolbook" w:cs="Arial"/>
          <w:b/>
          <w:bCs/>
          <w:sz w:val="22"/>
          <w:szCs w:val="22"/>
          <w:lang w:eastAsia="es-US"/>
        </w:rPr>
        <w:t xml:space="preserve"> </w:t>
      </w:r>
      <w:r w:rsidR="005737F6" w:rsidRPr="005970E9">
        <w:rPr>
          <w:rFonts w:ascii="Century Schoolbook" w:hAnsi="Century Schoolbook"/>
          <w:sz w:val="22"/>
          <w:szCs w:val="22"/>
        </w:rPr>
        <w:t xml:space="preserve">de personas con algún tipo de discapacidad (Gráfica </w:t>
      </w:r>
      <w:r w:rsidR="007E0E58">
        <w:rPr>
          <w:rFonts w:ascii="Century Schoolbook" w:hAnsi="Century Schoolbook"/>
          <w:sz w:val="22"/>
          <w:szCs w:val="22"/>
        </w:rPr>
        <w:t>39</w:t>
      </w:r>
      <w:r w:rsidR="005737F6" w:rsidRPr="005970E9">
        <w:rPr>
          <w:rFonts w:ascii="Century Schoolbook" w:hAnsi="Century Schoolbook"/>
          <w:sz w:val="22"/>
          <w:szCs w:val="22"/>
        </w:rPr>
        <w:t>) Dentro de este grupo el 49.9% son hombres y 50.1% son mujeres. (INEC. Encuesta de Hogares, 2019)</w:t>
      </w:r>
    </w:p>
    <w:p w14:paraId="31105D1C" w14:textId="299E1E0B" w:rsidR="005737F6" w:rsidRPr="005970E9" w:rsidRDefault="005737F6" w:rsidP="001F07BC">
      <w:pPr>
        <w:pStyle w:val="Default"/>
        <w:spacing w:line="276" w:lineRule="auto"/>
        <w:jc w:val="both"/>
        <w:rPr>
          <w:rFonts w:ascii="Century Schoolbook" w:hAnsi="Century Schoolbook"/>
        </w:rPr>
      </w:pPr>
      <w:r w:rsidRPr="005970E9">
        <w:rPr>
          <w:rFonts w:ascii="Century Schoolbook" w:hAnsi="Century Schoolbook"/>
        </w:rPr>
        <w:t>Entre las discapacidades</w:t>
      </w:r>
      <w:r w:rsidRPr="005970E9">
        <w:rPr>
          <w:rStyle w:val="FootnoteReference"/>
          <w:rFonts w:ascii="Century Schoolbook" w:hAnsi="Century Schoolbook"/>
        </w:rPr>
        <w:footnoteReference w:id="105"/>
      </w:r>
      <w:r w:rsidRPr="005970E9">
        <w:rPr>
          <w:rFonts w:ascii="Century Schoolbook" w:hAnsi="Century Schoolbook"/>
        </w:rPr>
        <w:t xml:space="preserve"> están en orden de frecuencia las siguientes: visual (33.10%), física (30.39%), auditiva (11.30%), intelectual (10.31%), mental (9.54%) y visceral (5.33%)</w:t>
      </w:r>
      <w:r w:rsidR="0031633D" w:rsidRPr="005970E9">
        <w:rPr>
          <w:rFonts w:ascii="Century Schoolbook" w:hAnsi="Century Schoolbook"/>
        </w:rPr>
        <w:t>.</w:t>
      </w:r>
    </w:p>
    <w:p w14:paraId="723F1C6A" w14:textId="0C0093F6" w:rsidR="0031633D" w:rsidRPr="005970E9" w:rsidRDefault="0031633D" w:rsidP="0031633D">
      <w:pPr>
        <w:pStyle w:val="Caption"/>
        <w:ind w:left="720" w:firstLine="720"/>
        <w:jc w:val="right"/>
        <w:rPr>
          <w:rFonts w:ascii="Century Schoolbook" w:hAnsi="Century Schoolbook" w:cs="Times New Roman"/>
          <w:color w:val="000000"/>
          <w:sz w:val="20"/>
          <w:szCs w:val="20"/>
        </w:rPr>
      </w:pPr>
      <w:bookmarkStart w:id="328" w:name="_Toc42549272"/>
      <w:r w:rsidRPr="005970E9">
        <w:rPr>
          <w:rFonts w:ascii="Century Schoolbook" w:hAnsi="Century Schoolbook"/>
          <w:sz w:val="20"/>
          <w:szCs w:val="20"/>
        </w:rPr>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973E88" w:rsidRPr="005970E9">
        <w:rPr>
          <w:rFonts w:ascii="Century Schoolbook" w:hAnsi="Century Schoolbook"/>
          <w:noProof/>
          <w:sz w:val="20"/>
          <w:szCs w:val="20"/>
        </w:rPr>
        <w:t>40</w:t>
      </w:r>
      <w:r w:rsidR="00F202BE" w:rsidRPr="005970E9">
        <w:rPr>
          <w:rFonts w:ascii="Century Schoolbook" w:hAnsi="Century Schoolbook"/>
          <w:sz w:val="20"/>
          <w:szCs w:val="20"/>
        </w:rPr>
        <w:fldChar w:fldCharType="end"/>
      </w:r>
      <w:r w:rsidRPr="005970E9">
        <w:rPr>
          <w:rFonts w:ascii="Century Schoolbook" w:hAnsi="Century Schoolbook"/>
          <w:sz w:val="20"/>
          <w:szCs w:val="20"/>
        </w:rPr>
        <w:t xml:space="preserve">. </w:t>
      </w:r>
      <w:r w:rsidRPr="005970E9">
        <w:rPr>
          <w:rFonts w:ascii="Century Schoolbook" w:hAnsi="Century Schoolbook" w:cs="Times New Roman"/>
          <w:color w:val="000000"/>
          <w:sz w:val="20"/>
          <w:szCs w:val="20"/>
          <w:lang w:val="es-US"/>
        </w:rPr>
        <w:t>Porcentaje de discapacidad por sexo. Marzo 2019</w:t>
      </w:r>
      <w:bookmarkEnd w:id="328"/>
    </w:p>
    <w:p w14:paraId="5BD0CBDE" w14:textId="04A3B400" w:rsidR="005737F6" w:rsidRPr="005970E9" w:rsidRDefault="0031633D" w:rsidP="001F07BC">
      <w:pPr>
        <w:spacing w:before="120" w:after="120" w:line="276" w:lineRule="auto"/>
        <w:jc w:val="both"/>
      </w:pPr>
      <w:r w:rsidRPr="005970E9">
        <w:rPr>
          <w:noProof/>
        </w:rPr>
        <w:drawing>
          <wp:anchor distT="0" distB="0" distL="114300" distR="114300" simplePos="0" relativeHeight="251658257" behindDoc="1" locked="0" layoutInCell="1" allowOverlap="1" wp14:anchorId="4463F17D" wp14:editId="16661549">
            <wp:simplePos x="0" y="0"/>
            <wp:positionH relativeFrom="margin">
              <wp:posOffset>1986280</wp:posOffset>
            </wp:positionH>
            <wp:positionV relativeFrom="paragraph">
              <wp:posOffset>61157</wp:posOffset>
            </wp:positionV>
            <wp:extent cx="3678555" cy="2435225"/>
            <wp:effectExtent l="0" t="0" r="0" b="3175"/>
            <wp:wrapTight wrapText="bothSides">
              <wp:wrapPolygon edited="0">
                <wp:start x="0" y="0"/>
                <wp:lineTo x="0" y="21459"/>
                <wp:lineTo x="21477" y="21459"/>
                <wp:lineTo x="21477" y="0"/>
                <wp:lineTo x="0" y="0"/>
              </wp:wrapPolygon>
            </wp:wrapTight>
            <wp:docPr id="18" name="Gráfico 18">
              <a:extLst xmlns:a="http://schemas.openxmlformats.org/drawingml/2006/main">
                <a:ext uri="{FF2B5EF4-FFF2-40B4-BE49-F238E27FC236}">
                  <a16:creationId xmlns:a16="http://schemas.microsoft.com/office/drawing/2014/main" id="{30E45FF7-D88F-4590-8642-0156144A5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r w:rsidR="005737F6" w:rsidRPr="005970E9">
        <w:t>En el tipo de discapacidad según el sexo, se destaca que las mujeres tienen un porcentaje mayor de discapacidad visual (18.49%) y física (14.77%), y menor porcentaje en la visceral (2.78%), mientras que entre los hombres la discapacidad más frecuente es la física (15.61%) y la visual (14.61%) y la de menos porcentaje la visceral (2.56%)</w:t>
      </w:r>
      <w:r w:rsidR="007E0E58">
        <w:t xml:space="preserve"> (Ver gráfica 40)</w:t>
      </w:r>
      <w:r w:rsidR="005737F6" w:rsidRPr="005970E9">
        <w:t xml:space="preserve">. </w:t>
      </w:r>
    </w:p>
    <w:p w14:paraId="7429F589" w14:textId="77777777" w:rsidR="005737F6" w:rsidRPr="005970E9" w:rsidRDefault="005737F6" w:rsidP="00530738">
      <w:pPr>
        <w:pStyle w:val="Heading3"/>
        <w:numPr>
          <w:ilvl w:val="2"/>
          <w:numId w:val="57"/>
        </w:numPr>
      </w:pPr>
      <w:bookmarkStart w:id="329" w:name="_Toc42159258"/>
      <w:bookmarkStart w:id="330" w:name="_Toc42549489"/>
      <w:r w:rsidRPr="005970E9">
        <w:t>Actividad económica y discapacidad</w:t>
      </w:r>
      <w:bookmarkEnd w:id="329"/>
      <w:bookmarkEnd w:id="330"/>
      <w:r w:rsidRPr="005970E9">
        <w:t xml:space="preserve">  </w:t>
      </w:r>
    </w:p>
    <w:p w14:paraId="09E606B0" w14:textId="77777777" w:rsidR="001F07BC" w:rsidRPr="005970E9" w:rsidRDefault="001F07BC" w:rsidP="001F07BC">
      <w:pPr>
        <w:tabs>
          <w:tab w:val="left" w:pos="6561"/>
        </w:tabs>
        <w:spacing w:before="120" w:after="120" w:line="276" w:lineRule="auto"/>
        <w:jc w:val="both"/>
        <w:rPr>
          <w:rFonts w:cstheme="minorBidi"/>
        </w:rPr>
      </w:pPr>
      <w:r w:rsidRPr="005970E9">
        <w:t xml:space="preserve">En el país existen disposiciones legales para la incorporación de PcDs al mundo laboral, sin embargo, no se cumple la Ley 15 aprobada en el 2016 que reformó la Ley 42 de 1999, que instituye la equiparación de oportunidades para las personas con discapacidad. La ley mandata a que las empresas con más de 25 empleados deben contratar el 2% de personas con discapacidad y pagar igual salario por igual trabajo, lo cual no se cumple. </w:t>
      </w:r>
    </w:p>
    <w:p w14:paraId="589B4828" w14:textId="77777777" w:rsidR="001F07BC" w:rsidRPr="005970E9" w:rsidRDefault="001F07BC" w:rsidP="001F07BC">
      <w:pPr>
        <w:tabs>
          <w:tab w:val="left" w:pos="6561"/>
        </w:tabs>
        <w:spacing w:before="120" w:after="120" w:line="276" w:lineRule="auto"/>
        <w:jc w:val="both"/>
      </w:pPr>
      <w:r w:rsidRPr="005970E9">
        <w:t>Muy pocas empresas declaran interés en contratar PcDs . En promedio, solo 10% de quienes acuden al Departamento de Integración Socioeconómica de las Personas con Discapacidad de MITRADEL en busca de apoyo para la inserción laboral, logran obtener empleo y las personas que tienen empleo por lo general es con salario mínimo.</w:t>
      </w:r>
      <w:r w:rsidRPr="005970E9">
        <w:rPr>
          <w:rStyle w:val="FootnoteReference"/>
        </w:rPr>
        <w:footnoteReference w:id="106"/>
      </w:r>
      <w:r w:rsidRPr="005970E9">
        <w:t xml:space="preserve"> </w:t>
      </w:r>
    </w:p>
    <w:p w14:paraId="18B5A036" w14:textId="640F7190" w:rsidR="009D598A" w:rsidRPr="005970E9" w:rsidRDefault="009D598A" w:rsidP="009D598A">
      <w:pPr>
        <w:pStyle w:val="Caption"/>
        <w:rPr>
          <w:rFonts w:ascii="Century Schoolbook" w:hAnsi="Century Schoolbook"/>
          <w:sz w:val="20"/>
          <w:szCs w:val="20"/>
        </w:rPr>
      </w:pPr>
      <w:bookmarkStart w:id="331" w:name="_Toc42549273"/>
      <w:r w:rsidRPr="005970E9">
        <w:rPr>
          <w:rFonts w:ascii="Century Schoolbook" w:hAnsi="Century Schoolbook"/>
          <w:sz w:val="20"/>
          <w:szCs w:val="20"/>
        </w:rPr>
        <w:lastRenderedPageBreak/>
        <w:t xml:space="preserve">Gráfica </w:t>
      </w:r>
      <w:r w:rsidR="00F202BE" w:rsidRPr="005970E9">
        <w:rPr>
          <w:rFonts w:ascii="Century Schoolbook" w:hAnsi="Century Schoolbook"/>
          <w:sz w:val="20"/>
          <w:szCs w:val="20"/>
        </w:rPr>
        <w:fldChar w:fldCharType="begin"/>
      </w:r>
      <w:r w:rsidR="00F202BE" w:rsidRPr="005970E9">
        <w:rPr>
          <w:rFonts w:ascii="Century Schoolbook" w:hAnsi="Century Schoolbook"/>
          <w:sz w:val="20"/>
          <w:szCs w:val="20"/>
        </w:rPr>
        <w:instrText xml:space="preserve"> SEQ Gráfica \* ARABIC </w:instrText>
      </w:r>
      <w:r w:rsidR="00F202BE" w:rsidRPr="005970E9">
        <w:rPr>
          <w:rFonts w:ascii="Century Schoolbook" w:hAnsi="Century Schoolbook"/>
          <w:sz w:val="20"/>
          <w:szCs w:val="20"/>
        </w:rPr>
        <w:fldChar w:fldCharType="separate"/>
      </w:r>
      <w:r w:rsidR="00973E88" w:rsidRPr="005970E9">
        <w:rPr>
          <w:rFonts w:ascii="Century Schoolbook" w:hAnsi="Century Schoolbook"/>
          <w:noProof/>
          <w:sz w:val="20"/>
          <w:szCs w:val="20"/>
        </w:rPr>
        <w:t>41</w:t>
      </w:r>
      <w:r w:rsidR="00F202BE" w:rsidRPr="005970E9">
        <w:rPr>
          <w:rFonts w:ascii="Century Schoolbook" w:hAnsi="Century Schoolbook"/>
          <w:sz w:val="20"/>
          <w:szCs w:val="20"/>
        </w:rPr>
        <w:fldChar w:fldCharType="end"/>
      </w:r>
      <w:r w:rsidRPr="005970E9">
        <w:rPr>
          <w:rFonts w:ascii="Century Schoolbook" w:hAnsi="Century Schoolbook"/>
          <w:sz w:val="20"/>
          <w:szCs w:val="20"/>
        </w:rPr>
        <w:t xml:space="preserve">. </w:t>
      </w:r>
      <w:r w:rsidRPr="005970E9">
        <w:rPr>
          <w:rFonts w:ascii="Century Schoolbook" w:hAnsi="Century Schoolbook"/>
          <w:sz w:val="20"/>
          <w:szCs w:val="20"/>
          <w:lang w:val="es-US"/>
        </w:rPr>
        <w:t>Distribución de la población con discapacidad, según sexo, por condición económica. PENDIS 2006</w:t>
      </w:r>
      <w:bookmarkEnd w:id="331"/>
    </w:p>
    <w:p w14:paraId="5CC2A800" w14:textId="0B88A0F3" w:rsidR="005737F6" w:rsidRPr="005970E9" w:rsidRDefault="005737F6" w:rsidP="005737F6">
      <w:pPr>
        <w:autoSpaceDE w:val="0"/>
        <w:autoSpaceDN w:val="0"/>
        <w:adjustRightInd w:val="0"/>
        <w:spacing w:before="120" w:after="120" w:line="276" w:lineRule="auto"/>
        <w:jc w:val="both"/>
        <w:rPr>
          <w:rFonts w:cs="Helvetica"/>
          <w:lang w:val="es-US"/>
        </w:rPr>
      </w:pPr>
      <w:r w:rsidRPr="005970E9">
        <w:rPr>
          <w:rFonts w:cs="Helvetica"/>
        </w:rPr>
        <w:t>La encuesta 2006 (PENDIS) registró que, de acuerdo a la condición económica de la población con discapacidad por sexo, a nivel nacional se encuestó a más mujeres con un 54.8%. Sin embargo, había más hombres (65.6%) que mujeres (34.4%) que pertenecían a la población económicamente activa y q</w:t>
      </w:r>
      <w:r w:rsidRPr="005970E9">
        <w:rPr>
          <w:noProof/>
        </w:rPr>
        <w:drawing>
          <wp:anchor distT="0" distB="0" distL="114300" distR="114300" simplePos="0" relativeHeight="251658259" behindDoc="1" locked="0" layoutInCell="1" allowOverlap="1" wp14:anchorId="6FB9A6EE" wp14:editId="2551EF6C">
            <wp:simplePos x="0" y="0"/>
            <wp:positionH relativeFrom="column">
              <wp:posOffset>72390</wp:posOffset>
            </wp:positionH>
            <wp:positionV relativeFrom="paragraph">
              <wp:posOffset>0</wp:posOffset>
            </wp:positionV>
            <wp:extent cx="2578735" cy="2529840"/>
            <wp:effectExtent l="0" t="0" r="0" b="3810"/>
            <wp:wrapTight wrapText="bothSides">
              <wp:wrapPolygon edited="0">
                <wp:start x="0" y="0"/>
                <wp:lineTo x="0" y="21470"/>
                <wp:lineTo x="21382" y="21470"/>
                <wp:lineTo x="21382" y="0"/>
                <wp:lineTo x="0" y="0"/>
              </wp:wrapPolygon>
            </wp:wrapTight>
            <wp:docPr id="1" name="Gráfico 1">
              <a:extLst xmlns:a="http://schemas.openxmlformats.org/drawingml/2006/main">
                <a:ext uri="{FF2B5EF4-FFF2-40B4-BE49-F238E27FC236}">
                  <a16:creationId xmlns:a16="http://schemas.microsoft.com/office/drawing/2014/main" id="{E551D8F7-D6C8-4CA8-A9F4-10AAF2249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rsidRPr="005970E9">
        <w:rPr>
          <w:rFonts w:cs="Helvetica"/>
        </w:rPr>
        <w:t>ue además estaban ocupados (67.6%)</w:t>
      </w:r>
      <w:r w:rsidR="007E0E58">
        <w:rPr>
          <w:rFonts w:cs="Helvetica"/>
        </w:rPr>
        <w:t xml:space="preserve"> (Ver gráfica 41)</w:t>
      </w:r>
      <w:r w:rsidRPr="005970E9">
        <w:rPr>
          <w:rFonts w:cs="Helvetica"/>
        </w:rPr>
        <w:t>.  En cuanto a la población desocupada se encontró casi la misma condición (hombres - 50.7%, mujeres 49.3%). (Informe PENDIS -2006. Pág. 97)</w:t>
      </w:r>
    </w:p>
    <w:p w14:paraId="32B3E43D" w14:textId="77777777" w:rsidR="005737F6" w:rsidRPr="005970E9" w:rsidRDefault="005737F6" w:rsidP="005737F6">
      <w:pPr>
        <w:autoSpaceDE w:val="0"/>
        <w:autoSpaceDN w:val="0"/>
        <w:adjustRightInd w:val="0"/>
        <w:spacing w:before="120" w:after="120" w:line="276" w:lineRule="auto"/>
        <w:rPr>
          <w:rFonts w:cstheme="minorBidi"/>
          <w:sz w:val="23"/>
          <w:szCs w:val="23"/>
        </w:rPr>
      </w:pPr>
    </w:p>
    <w:p w14:paraId="4AE5244C" w14:textId="2CE997CF" w:rsidR="001F07BC" w:rsidRPr="005970E9" w:rsidRDefault="001F07BC" w:rsidP="001F07BC">
      <w:pPr>
        <w:autoSpaceDE w:val="0"/>
        <w:autoSpaceDN w:val="0"/>
        <w:adjustRightInd w:val="0"/>
        <w:spacing w:before="120" w:after="120" w:line="276" w:lineRule="auto"/>
        <w:jc w:val="both"/>
      </w:pPr>
      <w:r w:rsidRPr="005970E9">
        <w:rPr>
          <w:rFonts w:cs="Helvetica"/>
        </w:rPr>
        <w:t>En la población con discapacidad no económicamente activa, se destacaron las mujeres con un 67.1%, lo que implica un alto grupo de mujeres que no tienen autonomía económica, con mayores niveles de vulnerabilidad social y con factores de riesgo psicosociales que agravan su condición de discapacidad al no poder acceder a los servicios de salud, educación y rehabilitación y estar restringidas en su participación. (Informe PENDIS-2006. Pág. 97)</w:t>
      </w:r>
      <w:r w:rsidR="007E0E58">
        <w:rPr>
          <w:rFonts w:cs="Helvetica"/>
        </w:rPr>
        <w:t>.</w:t>
      </w:r>
    </w:p>
    <w:p w14:paraId="53AE5E7C" w14:textId="3A14AAA1" w:rsidR="001F07BC" w:rsidRPr="005970E9" w:rsidRDefault="001F07BC" w:rsidP="001F07BC">
      <w:pPr>
        <w:tabs>
          <w:tab w:val="left" w:pos="6561"/>
        </w:tabs>
        <w:spacing w:before="120" w:after="120" w:line="276" w:lineRule="auto"/>
        <w:jc w:val="both"/>
        <w:rPr>
          <w:rFonts w:eastAsia="Times New Roman" w:cs="Arial"/>
          <w:color w:val="000000"/>
          <w:lang w:eastAsia="es-US"/>
        </w:rPr>
      </w:pPr>
      <w:r w:rsidRPr="005970E9">
        <w:rPr>
          <w:rFonts w:eastAsia="Times New Roman" w:cs="Arial"/>
          <w:color w:val="000000"/>
          <w:lang w:eastAsia="es-US"/>
        </w:rPr>
        <w:t xml:space="preserve">En la encuesta de propósitos múltiples, marzo 2019, encuestó a 206,022 personas de 15 y más años con discapacidad, por condición en la actividad económica, de estos 64,691 pertenecen a la población económicamente activa (31.40%) y 141,331 (68.59%) a la población no económicamente activa. De los y las activos económicamente 62,390 (96.44%) estaban empleados y el resto desempleado (2,301 – 3.56%). </w:t>
      </w:r>
    </w:p>
    <w:p w14:paraId="636BA3F2" w14:textId="77777777" w:rsidR="001F07BC" w:rsidRPr="005970E9" w:rsidRDefault="001F07BC" w:rsidP="001F07BC">
      <w:pPr>
        <w:tabs>
          <w:tab w:val="left" w:pos="6561"/>
        </w:tabs>
        <w:spacing w:before="120" w:after="120" w:line="276" w:lineRule="auto"/>
        <w:jc w:val="both"/>
        <w:rPr>
          <w:rFonts w:eastAsiaTheme="minorHAnsi" w:cstheme="minorBidi"/>
          <w:lang w:eastAsia="en-US"/>
        </w:rPr>
      </w:pPr>
      <w:r w:rsidRPr="005970E9">
        <w:t>Actualmente se desconoce la tasa de desempleo de las PcDs, mientras que la general del país es de 6.4%, lo que impide evidenciar la desigualdad que indudablemente existe en un ámbito tan imprescindible para la adquisición de todo tipo de bienes y servicios, lo cual demuestra que es una tarea prioritaria desarrollar “un sistema integral que permita sistematizar la información de todas las personas con discapacidad” en el país</w:t>
      </w:r>
      <w:r w:rsidRPr="005970E9">
        <w:rPr>
          <w:rStyle w:val="FootnoteReference"/>
        </w:rPr>
        <w:footnoteReference w:id="107"/>
      </w:r>
      <w:r w:rsidRPr="005970E9">
        <w:t>.</w:t>
      </w:r>
    </w:p>
    <w:p w14:paraId="337D6025" w14:textId="77777777" w:rsidR="001F07BC" w:rsidRPr="005970E9" w:rsidRDefault="001F07BC" w:rsidP="001F07BC">
      <w:pPr>
        <w:shd w:val="clear" w:color="auto" w:fill="FFFFFF"/>
        <w:spacing w:before="120" w:after="120" w:line="276" w:lineRule="auto"/>
        <w:jc w:val="both"/>
        <w:rPr>
          <w:rFonts w:eastAsia="Times New Roman" w:cs="Times New Roman"/>
          <w:color w:val="000000"/>
          <w:lang w:val="es-US"/>
        </w:rPr>
      </w:pPr>
      <w:r w:rsidRPr="005970E9">
        <w:rPr>
          <w:rFonts w:eastAsia="Times New Roman" w:cs="Times New Roman"/>
          <w:color w:val="000000"/>
        </w:rPr>
        <w:t xml:space="preserve">Sobre las brechas de género de las mujeres con discapacidad la </w:t>
      </w:r>
      <w:r w:rsidRPr="005970E9">
        <w:t>jefa del Departamento de Integración Socioeconómica de las Personas con Discapacidad del MITRADEL, en entrevista realizada planteó que: “a</w:t>
      </w:r>
      <w:r w:rsidRPr="005970E9">
        <w:rPr>
          <w:rFonts w:eastAsia="Times New Roman" w:cs="Times New Roman"/>
          <w:color w:val="000000"/>
        </w:rPr>
        <w:t xml:space="preserve">unque no existen los datos para demostrarlo, una de las principales brechas es la Salarial, para el caso que nos ocupa, las empresas que </w:t>
      </w:r>
      <w:r w:rsidRPr="005970E9">
        <w:rPr>
          <w:rFonts w:eastAsia="Times New Roman" w:cs="Times New Roman"/>
          <w:color w:val="000000"/>
        </w:rPr>
        <w:lastRenderedPageBreak/>
        <w:t>contratan PcDs usan como base la escala salarial establecida en la Ley de Salario Mínimo.”</w:t>
      </w:r>
      <w:r w:rsidRPr="005970E9">
        <w:rPr>
          <w:rStyle w:val="FootnoteReference"/>
          <w:rFonts w:eastAsia="Times New Roman" w:cs="Times New Roman"/>
          <w:color w:val="000000"/>
        </w:rPr>
        <w:footnoteReference w:id="108"/>
      </w:r>
    </w:p>
    <w:p w14:paraId="6BDE2E20" w14:textId="77777777" w:rsidR="001F07BC" w:rsidRPr="005970E9" w:rsidRDefault="001F07BC" w:rsidP="001F07BC">
      <w:pPr>
        <w:tabs>
          <w:tab w:val="left" w:pos="6561"/>
        </w:tabs>
        <w:spacing w:before="120" w:after="120" w:line="276" w:lineRule="auto"/>
        <w:jc w:val="both"/>
        <w:rPr>
          <w:rFonts w:eastAsiaTheme="minorHAnsi" w:cstheme="minorBidi"/>
          <w:lang w:eastAsia="en-US"/>
        </w:rPr>
      </w:pPr>
      <w:r w:rsidRPr="005970E9">
        <w:t>Al respecto, la expectativa de la dirección del SENADIS es que se apruebe la Reglamentación de la Ley 15 en reunión del Consejo Nacional Consultivo para la Integración de las Personas con Discapacidad. (UNFPA-2019. Pág. 40-41)</w:t>
      </w:r>
    </w:p>
    <w:p w14:paraId="301F1479" w14:textId="02D9CAD9" w:rsidR="005737F6" w:rsidRPr="005970E9" w:rsidRDefault="005737F6" w:rsidP="00530738">
      <w:pPr>
        <w:pStyle w:val="Heading3"/>
        <w:numPr>
          <w:ilvl w:val="2"/>
          <w:numId w:val="57"/>
        </w:numPr>
        <w:rPr>
          <w:lang w:val="es-US"/>
        </w:rPr>
      </w:pPr>
      <w:bookmarkStart w:id="332" w:name="_Toc42159259"/>
      <w:bookmarkStart w:id="333" w:name="_Toc42549490"/>
      <w:r w:rsidRPr="005970E9">
        <w:t>Población infantil y adolescente</w:t>
      </w:r>
      <w:r w:rsidR="00766DDA" w:rsidRPr="005970E9">
        <w:t>s</w:t>
      </w:r>
      <w:r w:rsidRPr="005970E9">
        <w:t xml:space="preserve"> con discapacidad</w:t>
      </w:r>
      <w:bookmarkEnd w:id="332"/>
      <w:bookmarkEnd w:id="333"/>
      <w:r w:rsidRPr="005970E9">
        <w:t xml:space="preserve"> </w:t>
      </w:r>
    </w:p>
    <w:p w14:paraId="766FF7FF" w14:textId="33703E7E" w:rsidR="009D598A" w:rsidRPr="005970E9" w:rsidRDefault="008A61AF" w:rsidP="00AB700B">
      <w:pPr>
        <w:pStyle w:val="Caption"/>
        <w:rPr>
          <w:rFonts w:ascii="Century Schoolbook" w:hAnsi="Century Schoolbook"/>
          <w:i w:val="0"/>
          <w:iCs w:val="0"/>
          <w:sz w:val="20"/>
          <w:szCs w:val="20"/>
        </w:rPr>
      </w:pPr>
      <w:bookmarkStart w:id="334" w:name="_Toc42549230"/>
      <w:r w:rsidRPr="005970E9">
        <w:rPr>
          <w:rFonts w:ascii="Century Schoolbook" w:hAnsi="Century Schoolbook"/>
          <w:i w:val="0"/>
          <w:iCs w:val="0"/>
        </w:rPr>
        <w:t>Tabla</w:t>
      </w:r>
      <w:r w:rsidR="00AB700B" w:rsidRPr="005970E9">
        <w:rPr>
          <w:rFonts w:ascii="Century Schoolbook" w:hAnsi="Century Schoolbook"/>
          <w:i w:val="0"/>
          <w:iCs w:val="0"/>
        </w:rPr>
        <w:t xml:space="preserve"> </w:t>
      </w:r>
      <w:r w:rsidRPr="005970E9">
        <w:rPr>
          <w:rFonts w:ascii="Century Schoolbook" w:hAnsi="Century Schoolbook"/>
          <w:i w:val="0"/>
          <w:iCs w:val="0"/>
        </w:rPr>
        <w:fldChar w:fldCharType="begin"/>
      </w:r>
      <w:r w:rsidRPr="005970E9">
        <w:rPr>
          <w:rFonts w:ascii="Century Schoolbook" w:hAnsi="Century Schoolbook"/>
          <w:i w:val="0"/>
          <w:iCs w:val="0"/>
        </w:rPr>
        <w:instrText>SEQ Tabla \* ARABIC</w:instrText>
      </w:r>
      <w:r w:rsidRPr="005970E9">
        <w:rPr>
          <w:rFonts w:ascii="Century Schoolbook" w:hAnsi="Century Schoolbook"/>
          <w:i w:val="0"/>
          <w:iCs w:val="0"/>
        </w:rPr>
        <w:fldChar w:fldCharType="separate"/>
      </w:r>
      <w:r w:rsidR="003F0C50">
        <w:rPr>
          <w:rFonts w:ascii="Century Schoolbook" w:hAnsi="Century Schoolbook"/>
          <w:i w:val="0"/>
          <w:iCs w:val="0"/>
          <w:noProof/>
        </w:rPr>
        <w:t>36</w:t>
      </w:r>
      <w:r w:rsidRPr="005970E9">
        <w:rPr>
          <w:rFonts w:ascii="Century Schoolbook" w:hAnsi="Century Schoolbook"/>
          <w:i w:val="0"/>
          <w:iCs w:val="0"/>
        </w:rPr>
        <w:fldChar w:fldCharType="end"/>
      </w:r>
      <w:r w:rsidR="009D598A" w:rsidRPr="005970E9">
        <w:rPr>
          <w:rFonts w:ascii="Century Schoolbook" w:hAnsi="Century Schoolbook"/>
          <w:i w:val="0"/>
          <w:iCs w:val="0"/>
        </w:rPr>
        <w:t xml:space="preserve">. </w:t>
      </w:r>
      <w:r w:rsidR="00AB700B" w:rsidRPr="005970E9">
        <w:rPr>
          <w:rFonts w:ascii="Century Schoolbook" w:hAnsi="Century Schoolbook" w:cs="Helvetica-Bold"/>
          <w:i w:val="0"/>
          <w:iCs w:val="0"/>
          <w:sz w:val="20"/>
          <w:szCs w:val="20"/>
        </w:rPr>
        <w:t xml:space="preserve">Población </w:t>
      </w:r>
      <w:r w:rsidR="001F07BC" w:rsidRPr="005970E9">
        <w:rPr>
          <w:rFonts w:ascii="Century Schoolbook" w:hAnsi="Century Schoolbook" w:cs="Helvetica-Bold"/>
          <w:i w:val="0"/>
          <w:iCs w:val="0"/>
          <w:sz w:val="20"/>
          <w:szCs w:val="20"/>
        </w:rPr>
        <w:t xml:space="preserve">infantil </w:t>
      </w:r>
      <w:r w:rsidR="00AB700B" w:rsidRPr="005970E9">
        <w:rPr>
          <w:rFonts w:ascii="Century Schoolbook" w:hAnsi="Century Schoolbook" w:cs="Helvetica-Bold"/>
          <w:i w:val="0"/>
          <w:iCs w:val="0"/>
          <w:sz w:val="20"/>
          <w:szCs w:val="20"/>
        </w:rPr>
        <w:t>con discapacidad, por sexo</w:t>
      </w:r>
      <w:r w:rsidR="00766DDA" w:rsidRPr="005970E9">
        <w:rPr>
          <w:rFonts w:ascii="Century Schoolbook" w:hAnsi="Century Schoolbook" w:cs="Helvetica-Bold"/>
          <w:i w:val="0"/>
          <w:iCs w:val="0"/>
          <w:sz w:val="20"/>
          <w:szCs w:val="20"/>
        </w:rPr>
        <w:t>,</w:t>
      </w:r>
      <w:r w:rsidR="00AB700B" w:rsidRPr="005970E9">
        <w:rPr>
          <w:rFonts w:ascii="Century Schoolbook" w:hAnsi="Century Schoolbook" w:cs="Helvetica-Bold"/>
          <w:i w:val="0"/>
          <w:iCs w:val="0"/>
          <w:sz w:val="20"/>
          <w:szCs w:val="20"/>
        </w:rPr>
        <w:t xml:space="preserve"> según grupos de edad: enero 2006</w:t>
      </w:r>
      <w:bookmarkEnd w:id="334"/>
    </w:p>
    <w:tbl>
      <w:tblPr>
        <w:tblpPr w:leftFromText="141" w:rightFromText="141" w:vertAnchor="text" w:horzAnchor="margin" w:tblpY="95"/>
        <w:tblW w:w="0" w:type="auto"/>
        <w:tblLook w:val="04A0" w:firstRow="1" w:lastRow="0" w:firstColumn="1" w:lastColumn="0" w:noHBand="0" w:noVBand="1"/>
      </w:tblPr>
      <w:tblGrid>
        <w:gridCol w:w="1894"/>
        <w:gridCol w:w="789"/>
        <w:gridCol w:w="1196"/>
        <w:gridCol w:w="1097"/>
      </w:tblGrid>
      <w:tr w:rsidR="005737F6" w:rsidRPr="005970E9" w14:paraId="1370879B" w14:textId="77777777" w:rsidTr="005737F6">
        <w:trPr>
          <w:trHeight w:val="481"/>
        </w:trPr>
        <w:tc>
          <w:tcPr>
            <w:tcW w:w="0" w:type="auto"/>
            <w:vMerge w:val="restart"/>
            <w:tcBorders>
              <w:top w:val="single" w:sz="4" w:space="0" w:color="auto"/>
              <w:left w:val="single" w:sz="4" w:space="0" w:color="auto"/>
              <w:bottom w:val="single" w:sz="4" w:space="0" w:color="auto"/>
              <w:right w:val="single" w:sz="4" w:space="0" w:color="auto"/>
            </w:tcBorders>
            <w:shd w:val="clear" w:color="auto" w:fill="E6D5F3"/>
            <w:hideMark/>
          </w:tcPr>
          <w:p w14:paraId="34F47C3C" w14:textId="77777777" w:rsidR="005737F6" w:rsidRPr="005970E9" w:rsidRDefault="005737F6">
            <w:pPr>
              <w:spacing w:line="276" w:lineRule="auto"/>
              <w:rPr>
                <w:rFonts w:cstheme="minorHAnsi"/>
              </w:rPr>
            </w:pPr>
            <w:r w:rsidRPr="005970E9">
              <w:rPr>
                <w:rFonts w:cstheme="minorHAnsi"/>
              </w:rPr>
              <w:t xml:space="preserve">Grupos de edad </w:t>
            </w:r>
          </w:p>
        </w:tc>
        <w:tc>
          <w:tcPr>
            <w:tcW w:w="0" w:type="auto"/>
            <w:gridSpan w:val="3"/>
            <w:tcBorders>
              <w:top w:val="single" w:sz="4" w:space="0" w:color="auto"/>
              <w:left w:val="single" w:sz="4" w:space="0" w:color="auto"/>
              <w:bottom w:val="single" w:sz="4" w:space="0" w:color="auto"/>
              <w:right w:val="single" w:sz="4" w:space="0" w:color="auto"/>
            </w:tcBorders>
            <w:shd w:val="clear" w:color="auto" w:fill="E6D5F3"/>
            <w:hideMark/>
          </w:tcPr>
          <w:p w14:paraId="224EDDA5" w14:textId="77777777" w:rsidR="005737F6" w:rsidRPr="005970E9" w:rsidRDefault="005737F6">
            <w:pPr>
              <w:autoSpaceDE w:val="0"/>
              <w:autoSpaceDN w:val="0"/>
              <w:adjustRightInd w:val="0"/>
              <w:spacing w:line="276" w:lineRule="auto"/>
              <w:rPr>
                <w:sz w:val="19"/>
                <w:szCs w:val="19"/>
                <w:lang w:val="es-US"/>
              </w:rPr>
            </w:pPr>
            <w:r w:rsidRPr="005970E9">
              <w:rPr>
                <w:sz w:val="19"/>
                <w:szCs w:val="19"/>
              </w:rPr>
              <w:t>Población con Discapacidad</w:t>
            </w:r>
          </w:p>
          <w:p w14:paraId="4699C03C" w14:textId="77777777" w:rsidR="005737F6" w:rsidRPr="005970E9" w:rsidRDefault="005737F6">
            <w:pPr>
              <w:spacing w:line="276" w:lineRule="auto"/>
              <w:jc w:val="center"/>
              <w:rPr>
                <w:rFonts w:cstheme="minorHAnsi"/>
              </w:rPr>
            </w:pPr>
            <w:r w:rsidRPr="005970E9">
              <w:rPr>
                <w:rFonts w:cstheme="minorHAnsi"/>
              </w:rPr>
              <w:t>(Porcentaje)</w:t>
            </w:r>
          </w:p>
        </w:tc>
      </w:tr>
      <w:tr w:rsidR="005737F6" w:rsidRPr="005970E9" w14:paraId="7A421CED" w14:textId="77777777" w:rsidTr="005737F6">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0EF590" w14:textId="77777777" w:rsidR="005737F6" w:rsidRPr="005970E9" w:rsidRDefault="005737F6">
            <w:pPr>
              <w:rPr>
                <w:rFonts w:cs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E6D5F3"/>
            <w:hideMark/>
          </w:tcPr>
          <w:p w14:paraId="5BEF6E40" w14:textId="77777777" w:rsidR="005737F6" w:rsidRPr="005970E9" w:rsidRDefault="005737F6">
            <w:pPr>
              <w:spacing w:line="276" w:lineRule="auto"/>
              <w:rPr>
                <w:rFonts w:cstheme="minorHAnsi"/>
              </w:rPr>
            </w:pPr>
            <w:r w:rsidRPr="005970E9">
              <w:rPr>
                <w:rFonts w:cstheme="minorHAnsi"/>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E6D5F3"/>
            <w:hideMark/>
          </w:tcPr>
          <w:p w14:paraId="0B657E65" w14:textId="77777777" w:rsidR="005737F6" w:rsidRPr="005970E9" w:rsidRDefault="005737F6">
            <w:pPr>
              <w:spacing w:line="276" w:lineRule="auto"/>
              <w:rPr>
                <w:rFonts w:cstheme="minorHAnsi"/>
              </w:rPr>
            </w:pPr>
            <w:r w:rsidRPr="005970E9">
              <w:rPr>
                <w:rFonts w:cstheme="minorHAnsi"/>
              </w:rPr>
              <w:t xml:space="preserve">Hombres </w:t>
            </w:r>
          </w:p>
        </w:tc>
        <w:tc>
          <w:tcPr>
            <w:tcW w:w="0" w:type="auto"/>
            <w:tcBorders>
              <w:top w:val="single" w:sz="4" w:space="0" w:color="auto"/>
              <w:left w:val="single" w:sz="4" w:space="0" w:color="auto"/>
              <w:bottom w:val="single" w:sz="4" w:space="0" w:color="auto"/>
              <w:right w:val="single" w:sz="4" w:space="0" w:color="auto"/>
            </w:tcBorders>
            <w:shd w:val="clear" w:color="auto" w:fill="E6D5F3"/>
            <w:hideMark/>
          </w:tcPr>
          <w:p w14:paraId="4FAEA6CE" w14:textId="77777777" w:rsidR="005737F6" w:rsidRPr="005970E9" w:rsidRDefault="005737F6">
            <w:pPr>
              <w:spacing w:line="276" w:lineRule="auto"/>
              <w:rPr>
                <w:rFonts w:cstheme="minorHAnsi"/>
              </w:rPr>
            </w:pPr>
            <w:r w:rsidRPr="005970E9">
              <w:rPr>
                <w:rFonts w:cstheme="minorHAnsi"/>
              </w:rPr>
              <w:t xml:space="preserve">Mujeres </w:t>
            </w:r>
          </w:p>
        </w:tc>
      </w:tr>
      <w:tr w:rsidR="005737F6" w:rsidRPr="005970E9" w14:paraId="01E91E96" w14:textId="77777777" w:rsidTr="005737F6">
        <w:tc>
          <w:tcPr>
            <w:tcW w:w="0" w:type="auto"/>
            <w:tcBorders>
              <w:top w:val="single" w:sz="4" w:space="0" w:color="auto"/>
              <w:left w:val="single" w:sz="4" w:space="0" w:color="auto"/>
              <w:bottom w:val="single" w:sz="4" w:space="0" w:color="auto"/>
              <w:right w:val="single" w:sz="4" w:space="0" w:color="auto"/>
            </w:tcBorders>
            <w:hideMark/>
          </w:tcPr>
          <w:p w14:paraId="555CA61C" w14:textId="77777777" w:rsidR="005737F6" w:rsidRPr="005970E9" w:rsidRDefault="005737F6">
            <w:pPr>
              <w:spacing w:line="276" w:lineRule="auto"/>
              <w:rPr>
                <w:rFonts w:cstheme="minorHAnsi"/>
              </w:rPr>
            </w:pPr>
            <w:r w:rsidRPr="005970E9">
              <w:rPr>
                <w:rFonts w:cstheme="minorHAnsi"/>
              </w:rPr>
              <w:t xml:space="preserve">Total </w:t>
            </w:r>
          </w:p>
        </w:tc>
        <w:tc>
          <w:tcPr>
            <w:tcW w:w="0" w:type="auto"/>
            <w:tcBorders>
              <w:top w:val="single" w:sz="4" w:space="0" w:color="auto"/>
              <w:left w:val="single" w:sz="4" w:space="0" w:color="auto"/>
              <w:bottom w:val="single" w:sz="4" w:space="0" w:color="auto"/>
              <w:right w:val="single" w:sz="4" w:space="0" w:color="auto"/>
            </w:tcBorders>
            <w:vAlign w:val="bottom"/>
            <w:hideMark/>
          </w:tcPr>
          <w:p w14:paraId="5E5D5D4E" w14:textId="77777777" w:rsidR="005737F6" w:rsidRPr="005970E9" w:rsidRDefault="005737F6">
            <w:pPr>
              <w:spacing w:line="276" w:lineRule="auto"/>
              <w:rPr>
                <w:rFonts w:cstheme="minorHAnsi"/>
              </w:rPr>
            </w:pPr>
            <w:r w:rsidRPr="005970E9">
              <w:rPr>
                <w:rFonts w:eastAsia="Times New Roman" w:cs="Arial"/>
                <w:sz w:val="20"/>
                <w:szCs w:val="20"/>
                <w:lang w:eastAsia="es-US"/>
              </w:rPr>
              <w:t>11.3</w:t>
            </w:r>
          </w:p>
        </w:tc>
        <w:tc>
          <w:tcPr>
            <w:tcW w:w="0" w:type="auto"/>
            <w:tcBorders>
              <w:top w:val="single" w:sz="4" w:space="0" w:color="auto"/>
              <w:left w:val="single" w:sz="4" w:space="0" w:color="auto"/>
              <w:bottom w:val="single" w:sz="4" w:space="0" w:color="auto"/>
              <w:right w:val="single" w:sz="4" w:space="0" w:color="auto"/>
            </w:tcBorders>
            <w:vAlign w:val="bottom"/>
            <w:hideMark/>
          </w:tcPr>
          <w:p w14:paraId="3ED17112" w14:textId="77777777" w:rsidR="005737F6" w:rsidRPr="005970E9" w:rsidRDefault="005737F6">
            <w:pPr>
              <w:spacing w:line="276" w:lineRule="auto"/>
              <w:rPr>
                <w:rFonts w:cstheme="minorHAnsi"/>
              </w:rPr>
            </w:pPr>
            <w:r w:rsidRPr="005970E9">
              <w:rPr>
                <w:rFonts w:eastAsia="Times New Roman" w:cs="Arial"/>
                <w:sz w:val="20"/>
                <w:szCs w:val="20"/>
                <w:lang w:eastAsia="es-US"/>
              </w:rPr>
              <w:t>10.4</w:t>
            </w:r>
          </w:p>
        </w:tc>
        <w:tc>
          <w:tcPr>
            <w:tcW w:w="0" w:type="auto"/>
            <w:tcBorders>
              <w:top w:val="single" w:sz="4" w:space="0" w:color="auto"/>
              <w:left w:val="single" w:sz="4" w:space="0" w:color="auto"/>
              <w:bottom w:val="single" w:sz="4" w:space="0" w:color="auto"/>
              <w:right w:val="single" w:sz="4" w:space="0" w:color="auto"/>
            </w:tcBorders>
            <w:vAlign w:val="bottom"/>
            <w:hideMark/>
          </w:tcPr>
          <w:p w14:paraId="03EBA36C" w14:textId="77777777" w:rsidR="005737F6" w:rsidRPr="005970E9" w:rsidRDefault="005737F6">
            <w:pPr>
              <w:spacing w:line="276" w:lineRule="auto"/>
              <w:rPr>
                <w:rFonts w:cstheme="minorHAnsi"/>
              </w:rPr>
            </w:pPr>
            <w:r w:rsidRPr="005970E9">
              <w:rPr>
                <w:rFonts w:eastAsia="Times New Roman" w:cs="Arial"/>
                <w:sz w:val="20"/>
                <w:szCs w:val="20"/>
                <w:lang w:eastAsia="es-US"/>
              </w:rPr>
              <w:t>12.4</w:t>
            </w:r>
          </w:p>
        </w:tc>
      </w:tr>
      <w:tr w:rsidR="005737F6" w:rsidRPr="005970E9" w14:paraId="212663DA" w14:textId="77777777" w:rsidTr="005737F6">
        <w:tc>
          <w:tcPr>
            <w:tcW w:w="0" w:type="auto"/>
            <w:tcBorders>
              <w:top w:val="single" w:sz="4" w:space="0" w:color="auto"/>
              <w:left w:val="single" w:sz="4" w:space="0" w:color="auto"/>
              <w:bottom w:val="single" w:sz="4" w:space="0" w:color="auto"/>
              <w:right w:val="single" w:sz="4" w:space="0" w:color="auto"/>
            </w:tcBorders>
            <w:vAlign w:val="bottom"/>
            <w:hideMark/>
          </w:tcPr>
          <w:p w14:paraId="67470461" w14:textId="77777777" w:rsidR="005737F6" w:rsidRPr="005970E9" w:rsidRDefault="005737F6">
            <w:pPr>
              <w:spacing w:line="276" w:lineRule="auto"/>
              <w:rPr>
                <w:rFonts w:cstheme="minorHAnsi"/>
              </w:rPr>
            </w:pPr>
            <w:r w:rsidRPr="005970E9">
              <w:rPr>
                <w:rFonts w:eastAsia="Times New Roman" w:cs="Arial"/>
                <w:sz w:val="20"/>
                <w:szCs w:val="20"/>
                <w:lang w:eastAsia="es-US"/>
              </w:rPr>
              <w:t>0 a 4</w:t>
            </w:r>
          </w:p>
        </w:tc>
        <w:tc>
          <w:tcPr>
            <w:tcW w:w="0" w:type="auto"/>
            <w:tcBorders>
              <w:top w:val="single" w:sz="4" w:space="0" w:color="auto"/>
              <w:left w:val="single" w:sz="4" w:space="0" w:color="auto"/>
              <w:bottom w:val="single" w:sz="4" w:space="0" w:color="auto"/>
              <w:right w:val="single" w:sz="4" w:space="0" w:color="auto"/>
            </w:tcBorders>
            <w:vAlign w:val="bottom"/>
            <w:hideMark/>
          </w:tcPr>
          <w:p w14:paraId="2A7FFDAB" w14:textId="77777777" w:rsidR="005737F6" w:rsidRPr="005970E9" w:rsidRDefault="005737F6">
            <w:pPr>
              <w:spacing w:line="276" w:lineRule="auto"/>
              <w:rPr>
                <w:rFonts w:cstheme="minorHAnsi"/>
              </w:rPr>
            </w:pPr>
            <w:r w:rsidRPr="005970E9">
              <w:rPr>
                <w:rFonts w:eastAsia="Times New Roman" w:cs="Arial"/>
                <w:sz w:val="20"/>
                <w:szCs w:val="20"/>
                <w:lang w:eastAsia="es-US"/>
              </w:rPr>
              <w:t>3</w:t>
            </w:r>
          </w:p>
        </w:tc>
        <w:tc>
          <w:tcPr>
            <w:tcW w:w="0" w:type="auto"/>
            <w:tcBorders>
              <w:top w:val="single" w:sz="4" w:space="0" w:color="auto"/>
              <w:left w:val="single" w:sz="4" w:space="0" w:color="auto"/>
              <w:bottom w:val="single" w:sz="4" w:space="0" w:color="auto"/>
              <w:right w:val="single" w:sz="4" w:space="0" w:color="auto"/>
            </w:tcBorders>
            <w:vAlign w:val="bottom"/>
            <w:hideMark/>
          </w:tcPr>
          <w:p w14:paraId="0B336057" w14:textId="77777777" w:rsidR="005737F6" w:rsidRPr="005970E9" w:rsidRDefault="005737F6">
            <w:pPr>
              <w:spacing w:line="276" w:lineRule="auto"/>
              <w:rPr>
                <w:rFonts w:cstheme="minorHAnsi"/>
              </w:rPr>
            </w:pPr>
            <w:r w:rsidRPr="005970E9">
              <w:rPr>
                <w:rFonts w:eastAsia="Times New Roman" w:cs="Arial"/>
                <w:sz w:val="20"/>
                <w:szCs w:val="20"/>
                <w:lang w:eastAsia="es-US"/>
              </w:rPr>
              <w:t>4.3</w:t>
            </w:r>
          </w:p>
        </w:tc>
        <w:tc>
          <w:tcPr>
            <w:tcW w:w="0" w:type="auto"/>
            <w:tcBorders>
              <w:top w:val="single" w:sz="4" w:space="0" w:color="auto"/>
              <w:left w:val="single" w:sz="4" w:space="0" w:color="auto"/>
              <w:bottom w:val="single" w:sz="4" w:space="0" w:color="auto"/>
              <w:right w:val="single" w:sz="4" w:space="0" w:color="auto"/>
            </w:tcBorders>
            <w:vAlign w:val="bottom"/>
            <w:hideMark/>
          </w:tcPr>
          <w:p w14:paraId="4D03AD91" w14:textId="77777777" w:rsidR="005737F6" w:rsidRPr="005970E9" w:rsidRDefault="005737F6">
            <w:pPr>
              <w:spacing w:line="276" w:lineRule="auto"/>
              <w:rPr>
                <w:rFonts w:cstheme="minorHAnsi"/>
              </w:rPr>
            </w:pPr>
            <w:r w:rsidRPr="005970E9">
              <w:rPr>
                <w:rFonts w:eastAsia="Times New Roman" w:cs="Arial"/>
                <w:sz w:val="20"/>
                <w:szCs w:val="20"/>
                <w:lang w:eastAsia="es-US"/>
              </w:rPr>
              <w:t>1.9</w:t>
            </w:r>
          </w:p>
        </w:tc>
      </w:tr>
      <w:tr w:rsidR="005737F6" w:rsidRPr="005970E9" w14:paraId="3E8F7126" w14:textId="77777777" w:rsidTr="005737F6">
        <w:tc>
          <w:tcPr>
            <w:tcW w:w="0" w:type="auto"/>
            <w:tcBorders>
              <w:top w:val="single" w:sz="4" w:space="0" w:color="auto"/>
              <w:left w:val="single" w:sz="4" w:space="0" w:color="auto"/>
              <w:bottom w:val="single" w:sz="4" w:space="0" w:color="auto"/>
              <w:right w:val="single" w:sz="4" w:space="0" w:color="auto"/>
            </w:tcBorders>
            <w:vAlign w:val="bottom"/>
            <w:hideMark/>
          </w:tcPr>
          <w:p w14:paraId="58D1634F" w14:textId="77777777" w:rsidR="005737F6" w:rsidRPr="005970E9" w:rsidRDefault="005737F6">
            <w:pPr>
              <w:spacing w:line="276" w:lineRule="auto"/>
              <w:rPr>
                <w:rFonts w:cstheme="minorHAnsi"/>
              </w:rPr>
            </w:pPr>
            <w:r w:rsidRPr="005970E9">
              <w:rPr>
                <w:rFonts w:eastAsia="Times New Roman" w:cs="Arial"/>
                <w:sz w:val="20"/>
                <w:szCs w:val="20"/>
                <w:lang w:eastAsia="es-US"/>
              </w:rPr>
              <w:t>5 a 9</w:t>
            </w:r>
          </w:p>
        </w:tc>
        <w:tc>
          <w:tcPr>
            <w:tcW w:w="0" w:type="auto"/>
            <w:tcBorders>
              <w:top w:val="single" w:sz="4" w:space="0" w:color="auto"/>
              <w:left w:val="single" w:sz="4" w:space="0" w:color="auto"/>
              <w:bottom w:val="single" w:sz="4" w:space="0" w:color="auto"/>
              <w:right w:val="single" w:sz="4" w:space="0" w:color="auto"/>
            </w:tcBorders>
            <w:vAlign w:val="bottom"/>
            <w:hideMark/>
          </w:tcPr>
          <w:p w14:paraId="73DBA19E" w14:textId="77777777" w:rsidR="005737F6" w:rsidRPr="005970E9" w:rsidRDefault="005737F6">
            <w:pPr>
              <w:spacing w:line="276" w:lineRule="auto"/>
              <w:rPr>
                <w:rFonts w:cstheme="minorHAnsi"/>
              </w:rPr>
            </w:pPr>
            <w:r w:rsidRPr="005970E9">
              <w:rPr>
                <w:rFonts w:eastAsia="Times New Roman" w:cs="Arial"/>
                <w:sz w:val="20"/>
                <w:szCs w:val="20"/>
                <w:lang w:eastAsia="es-US"/>
              </w:rPr>
              <w:t>4.8</w:t>
            </w:r>
          </w:p>
        </w:tc>
        <w:tc>
          <w:tcPr>
            <w:tcW w:w="0" w:type="auto"/>
            <w:tcBorders>
              <w:top w:val="single" w:sz="4" w:space="0" w:color="auto"/>
              <w:left w:val="single" w:sz="4" w:space="0" w:color="auto"/>
              <w:bottom w:val="single" w:sz="4" w:space="0" w:color="auto"/>
              <w:right w:val="single" w:sz="4" w:space="0" w:color="auto"/>
            </w:tcBorders>
            <w:vAlign w:val="bottom"/>
            <w:hideMark/>
          </w:tcPr>
          <w:p w14:paraId="4BD41505" w14:textId="77777777" w:rsidR="005737F6" w:rsidRPr="005970E9" w:rsidRDefault="005737F6">
            <w:pPr>
              <w:spacing w:line="276" w:lineRule="auto"/>
              <w:rPr>
                <w:rFonts w:cstheme="minorHAnsi"/>
              </w:rPr>
            </w:pPr>
            <w:r w:rsidRPr="005970E9">
              <w:rPr>
                <w:rFonts w:eastAsia="Times New Roman" w:cs="Arial"/>
                <w:sz w:val="20"/>
                <w:szCs w:val="20"/>
                <w:lang w:eastAsia="es-US"/>
              </w:rPr>
              <w:t>4.5</w:t>
            </w:r>
          </w:p>
        </w:tc>
        <w:tc>
          <w:tcPr>
            <w:tcW w:w="0" w:type="auto"/>
            <w:tcBorders>
              <w:top w:val="single" w:sz="4" w:space="0" w:color="auto"/>
              <w:left w:val="single" w:sz="4" w:space="0" w:color="auto"/>
              <w:bottom w:val="single" w:sz="4" w:space="0" w:color="auto"/>
              <w:right w:val="single" w:sz="4" w:space="0" w:color="auto"/>
            </w:tcBorders>
            <w:vAlign w:val="bottom"/>
            <w:hideMark/>
          </w:tcPr>
          <w:p w14:paraId="22374CF1" w14:textId="77777777" w:rsidR="005737F6" w:rsidRPr="005970E9" w:rsidRDefault="005737F6">
            <w:pPr>
              <w:spacing w:line="276" w:lineRule="auto"/>
              <w:rPr>
                <w:rFonts w:cstheme="minorHAnsi"/>
              </w:rPr>
            </w:pPr>
            <w:r w:rsidRPr="005970E9">
              <w:rPr>
                <w:rFonts w:eastAsia="Times New Roman" w:cs="Arial"/>
                <w:sz w:val="20"/>
                <w:szCs w:val="20"/>
                <w:lang w:eastAsia="es-US"/>
              </w:rPr>
              <w:t>5.1</w:t>
            </w:r>
          </w:p>
        </w:tc>
      </w:tr>
      <w:tr w:rsidR="005737F6" w:rsidRPr="005970E9" w14:paraId="0BEF6858" w14:textId="77777777" w:rsidTr="005737F6">
        <w:tc>
          <w:tcPr>
            <w:tcW w:w="0" w:type="auto"/>
            <w:tcBorders>
              <w:top w:val="single" w:sz="4" w:space="0" w:color="auto"/>
              <w:left w:val="single" w:sz="4" w:space="0" w:color="auto"/>
              <w:bottom w:val="single" w:sz="4" w:space="0" w:color="auto"/>
              <w:right w:val="single" w:sz="4" w:space="0" w:color="auto"/>
            </w:tcBorders>
            <w:vAlign w:val="bottom"/>
            <w:hideMark/>
          </w:tcPr>
          <w:p w14:paraId="1FF4901B" w14:textId="77777777" w:rsidR="005737F6" w:rsidRPr="005970E9" w:rsidRDefault="005737F6">
            <w:pPr>
              <w:spacing w:line="276" w:lineRule="auto"/>
              <w:rPr>
                <w:rFonts w:cstheme="minorHAnsi"/>
              </w:rPr>
            </w:pPr>
            <w:r w:rsidRPr="005970E9">
              <w:rPr>
                <w:rFonts w:eastAsia="Times New Roman" w:cs="Arial"/>
                <w:sz w:val="20"/>
                <w:szCs w:val="20"/>
                <w:lang w:eastAsia="es-US"/>
              </w:rPr>
              <w:t>10 a 19</w:t>
            </w:r>
          </w:p>
        </w:tc>
        <w:tc>
          <w:tcPr>
            <w:tcW w:w="0" w:type="auto"/>
            <w:tcBorders>
              <w:top w:val="single" w:sz="4" w:space="0" w:color="auto"/>
              <w:left w:val="single" w:sz="4" w:space="0" w:color="auto"/>
              <w:bottom w:val="single" w:sz="4" w:space="0" w:color="auto"/>
              <w:right w:val="single" w:sz="4" w:space="0" w:color="auto"/>
            </w:tcBorders>
            <w:vAlign w:val="bottom"/>
            <w:hideMark/>
          </w:tcPr>
          <w:p w14:paraId="0449125C" w14:textId="77777777" w:rsidR="005737F6" w:rsidRPr="005970E9" w:rsidRDefault="005737F6">
            <w:pPr>
              <w:spacing w:line="276" w:lineRule="auto"/>
              <w:rPr>
                <w:rFonts w:cstheme="minorHAnsi"/>
              </w:rPr>
            </w:pPr>
            <w:r w:rsidRPr="005970E9">
              <w:rPr>
                <w:rFonts w:eastAsia="Times New Roman" w:cs="Arial"/>
                <w:sz w:val="20"/>
                <w:szCs w:val="20"/>
                <w:lang w:eastAsia="es-US"/>
              </w:rPr>
              <w:t>5.9</w:t>
            </w:r>
          </w:p>
        </w:tc>
        <w:tc>
          <w:tcPr>
            <w:tcW w:w="0" w:type="auto"/>
            <w:tcBorders>
              <w:top w:val="single" w:sz="4" w:space="0" w:color="auto"/>
              <w:left w:val="single" w:sz="4" w:space="0" w:color="auto"/>
              <w:bottom w:val="single" w:sz="4" w:space="0" w:color="auto"/>
              <w:right w:val="single" w:sz="4" w:space="0" w:color="auto"/>
            </w:tcBorders>
            <w:vAlign w:val="bottom"/>
            <w:hideMark/>
          </w:tcPr>
          <w:p w14:paraId="02520FE5" w14:textId="77777777" w:rsidR="005737F6" w:rsidRPr="005970E9" w:rsidRDefault="005737F6">
            <w:pPr>
              <w:spacing w:line="276" w:lineRule="auto"/>
              <w:rPr>
                <w:rFonts w:cstheme="minorHAnsi"/>
              </w:rPr>
            </w:pPr>
            <w:r w:rsidRPr="005970E9">
              <w:rPr>
                <w:rFonts w:eastAsia="Times New Roman" w:cs="Arial"/>
                <w:sz w:val="20"/>
                <w:szCs w:val="20"/>
                <w:lang w:eastAsia="es-US"/>
              </w:rPr>
              <w:t>5.9</w:t>
            </w:r>
          </w:p>
        </w:tc>
        <w:tc>
          <w:tcPr>
            <w:tcW w:w="0" w:type="auto"/>
            <w:tcBorders>
              <w:top w:val="single" w:sz="4" w:space="0" w:color="auto"/>
              <w:left w:val="single" w:sz="4" w:space="0" w:color="auto"/>
              <w:bottom w:val="single" w:sz="4" w:space="0" w:color="auto"/>
              <w:right w:val="single" w:sz="4" w:space="0" w:color="auto"/>
            </w:tcBorders>
            <w:vAlign w:val="bottom"/>
            <w:hideMark/>
          </w:tcPr>
          <w:p w14:paraId="213867B6" w14:textId="77777777" w:rsidR="005737F6" w:rsidRPr="005970E9" w:rsidRDefault="005737F6">
            <w:pPr>
              <w:spacing w:line="276" w:lineRule="auto"/>
              <w:rPr>
                <w:rFonts w:cstheme="minorHAnsi"/>
              </w:rPr>
            </w:pPr>
            <w:r w:rsidRPr="005970E9">
              <w:rPr>
                <w:rFonts w:eastAsia="Times New Roman" w:cs="Arial"/>
                <w:sz w:val="20"/>
                <w:szCs w:val="20"/>
                <w:lang w:eastAsia="es-US"/>
              </w:rPr>
              <w:t>6</w:t>
            </w:r>
          </w:p>
        </w:tc>
      </w:tr>
      <w:tr w:rsidR="005737F6" w:rsidRPr="005970E9" w14:paraId="2293E11C" w14:textId="77777777" w:rsidTr="005737F6">
        <w:tc>
          <w:tcPr>
            <w:tcW w:w="0" w:type="auto"/>
            <w:tcBorders>
              <w:top w:val="single" w:sz="4" w:space="0" w:color="auto"/>
              <w:left w:val="single" w:sz="4" w:space="0" w:color="auto"/>
              <w:bottom w:val="single" w:sz="4" w:space="0" w:color="auto"/>
              <w:right w:val="single" w:sz="4" w:space="0" w:color="auto"/>
            </w:tcBorders>
            <w:vAlign w:val="bottom"/>
            <w:hideMark/>
          </w:tcPr>
          <w:p w14:paraId="7A82BD6D" w14:textId="77777777" w:rsidR="005737F6" w:rsidRPr="005970E9" w:rsidRDefault="005737F6">
            <w:pPr>
              <w:spacing w:line="276" w:lineRule="auto"/>
              <w:rPr>
                <w:rFonts w:cstheme="minorHAnsi"/>
              </w:rPr>
            </w:pPr>
            <w:r w:rsidRPr="005970E9">
              <w:rPr>
                <w:rFonts w:eastAsia="Times New Roman" w:cs="Arial"/>
                <w:sz w:val="20"/>
                <w:szCs w:val="20"/>
                <w:lang w:eastAsia="es-US"/>
              </w:rPr>
              <w:t>20 a 39</w:t>
            </w:r>
          </w:p>
        </w:tc>
        <w:tc>
          <w:tcPr>
            <w:tcW w:w="0" w:type="auto"/>
            <w:tcBorders>
              <w:top w:val="single" w:sz="4" w:space="0" w:color="auto"/>
              <w:left w:val="single" w:sz="4" w:space="0" w:color="auto"/>
              <w:bottom w:val="single" w:sz="4" w:space="0" w:color="auto"/>
              <w:right w:val="single" w:sz="4" w:space="0" w:color="auto"/>
            </w:tcBorders>
            <w:vAlign w:val="bottom"/>
            <w:hideMark/>
          </w:tcPr>
          <w:p w14:paraId="04A9E70D" w14:textId="77777777" w:rsidR="005737F6" w:rsidRPr="005970E9" w:rsidRDefault="005737F6">
            <w:pPr>
              <w:spacing w:line="276" w:lineRule="auto"/>
              <w:rPr>
                <w:rFonts w:cstheme="minorHAnsi"/>
              </w:rPr>
            </w:pPr>
            <w:r w:rsidRPr="005970E9">
              <w:rPr>
                <w:rFonts w:eastAsia="Times New Roman" w:cs="Arial"/>
                <w:sz w:val="20"/>
                <w:szCs w:val="20"/>
                <w:lang w:eastAsia="es-US"/>
              </w:rPr>
              <w:t>7.2</w:t>
            </w:r>
          </w:p>
        </w:tc>
        <w:tc>
          <w:tcPr>
            <w:tcW w:w="0" w:type="auto"/>
            <w:tcBorders>
              <w:top w:val="single" w:sz="4" w:space="0" w:color="auto"/>
              <w:left w:val="single" w:sz="4" w:space="0" w:color="auto"/>
              <w:bottom w:val="single" w:sz="4" w:space="0" w:color="auto"/>
              <w:right w:val="single" w:sz="4" w:space="0" w:color="auto"/>
            </w:tcBorders>
            <w:vAlign w:val="bottom"/>
            <w:hideMark/>
          </w:tcPr>
          <w:p w14:paraId="0511994B" w14:textId="77777777" w:rsidR="005737F6" w:rsidRPr="005970E9" w:rsidRDefault="005737F6">
            <w:pPr>
              <w:spacing w:line="276" w:lineRule="auto"/>
              <w:rPr>
                <w:rFonts w:cstheme="minorHAnsi"/>
              </w:rPr>
            </w:pPr>
            <w:r w:rsidRPr="005970E9">
              <w:rPr>
                <w:rFonts w:eastAsia="Times New Roman" w:cs="Arial"/>
                <w:sz w:val="20"/>
                <w:szCs w:val="20"/>
                <w:lang w:eastAsia="es-US"/>
              </w:rPr>
              <w:t>6.6</w:t>
            </w:r>
          </w:p>
        </w:tc>
        <w:tc>
          <w:tcPr>
            <w:tcW w:w="0" w:type="auto"/>
            <w:tcBorders>
              <w:top w:val="single" w:sz="4" w:space="0" w:color="auto"/>
              <w:left w:val="single" w:sz="4" w:space="0" w:color="auto"/>
              <w:bottom w:val="single" w:sz="4" w:space="0" w:color="auto"/>
              <w:right w:val="single" w:sz="4" w:space="0" w:color="auto"/>
            </w:tcBorders>
            <w:vAlign w:val="bottom"/>
            <w:hideMark/>
          </w:tcPr>
          <w:p w14:paraId="0F32953C" w14:textId="77777777" w:rsidR="005737F6" w:rsidRPr="005970E9" w:rsidRDefault="005737F6">
            <w:pPr>
              <w:spacing w:line="276" w:lineRule="auto"/>
              <w:rPr>
                <w:rFonts w:cstheme="minorHAnsi"/>
              </w:rPr>
            </w:pPr>
            <w:r w:rsidRPr="005970E9">
              <w:rPr>
                <w:rFonts w:eastAsia="Times New Roman" w:cs="Arial"/>
                <w:sz w:val="20"/>
                <w:szCs w:val="20"/>
                <w:lang w:eastAsia="es-US"/>
              </w:rPr>
              <w:t>7.8</w:t>
            </w:r>
          </w:p>
        </w:tc>
      </w:tr>
      <w:tr w:rsidR="005737F6" w:rsidRPr="005970E9" w14:paraId="1F4CC749" w14:textId="77777777" w:rsidTr="005737F6">
        <w:tc>
          <w:tcPr>
            <w:tcW w:w="0" w:type="auto"/>
            <w:tcBorders>
              <w:top w:val="single" w:sz="4" w:space="0" w:color="auto"/>
              <w:left w:val="single" w:sz="4" w:space="0" w:color="auto"/>
              <w:bottom w:val="single" w:sz="4" w:space="0" w:color="auto"/>
              <w:right w:val="single" w:sz="4" w:space="0" w:color="auto"/>
            </w:tcBorders>
            <w:vAlign w:val="bottom"/>
            <w:hideMark/>
          </w:tcPr>
          <w:p w14:paraId="1E2FBF7F" w14:textId="77777777" w:rsidR="005737F6" w:rsidRPr="005970E9" w:rsidRDefault="005737F6">
            <w:pPr>
              <w:spacing w:line="276" w:lineRule="auto"/>
              <w:rPr>
                <w:rFonts w:cstheme="minorHAnsi"/>
              </w:rPr>
            </w:pPr>
            <w:r w:rsidRPr="005970E9">
              <w:rPr>
                <w:rFonts w:eastAsia="Times New Roman" w:cs="Arial"/>
                <w:sz w:val="20"/>
                <w:szCs w:val="20"/>
                <w:lang w:eastAsia="es-US"/>
              </w:rPr>
              <w:t>40 a 64</w:t>
            </w:r>
          </w:p>
        </w:tc>
        <w:tc>
          <w:tcPr>
            <w:tcW w:w="0" w:type="auto"/>
            <w:tcBorders>
              <w:top w:val="single" w:sz="4" w:space="0" w:color="auto"/>
              <w:left w:val="single" w:sz="4" w:space="0" w:color="auto"/>
              <w:bottom w:val="single" w:sz="4" w:space="0" w:color="auto"/>
              <w:right w:val="single" w:sz="4" w:space="0" w:color="auto"/>
            </w:tcBorders>
            <w:vAlign w:val="bottom"/>
            <w:hideMark/>
          </w:tcPr>
          <w:p w14:paraId="28D23A30" w14:textId="77777777" w:rsidR="005737F6" w:rsidRPr="005970E9" w:rsidRDefault="005737F6">
            <w:pPr>
              <w:spacing w:line="276" w:lineRule="auto"/>
              <w:rPr>
                <w:rFonts w:cstheme="minorHAnsi"/>
              </w:rPr>
            </w:pPr>
            <w:r w:rsidRPr="005970E9">
              <w:rPr>
                <w:rFonts w:eastAsia="Times New Roman" w:cs="Arial"/>
                <w:sz w:val="20"/>
                <w:szCs w:val="20"/>
                <w:lang w:eastAsia="es-US"/>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240F0F1E" w14:textId="77777777" w:rsidR="005737F6" w:rsidRPr="005970E9" w:rsidRDefault="005737F6">
            <w:pPr>
              <w:spacing w:line="276" w:lineRule="auto"/>
              <w:rPr>
                <w:rFonts w:cstheme="minorHAnsi"/>
              </w:rPr>
            </w:pPr>
            <w:r w:rsidRPr="005970E9">
              <w:rPr>
                <w:rFonts w:eastAsia="Times New Roman" w:cs="Arial"/>
                <w:sz w:val="20"/>
                <w:szCs w:val="20"/>
                <w:lang w:eastAsia="es-US"/>
              </w:rPr>
              <w:t>17.6</w:t>
            </w:r>
          </w:p>
        </w:tc>
        <w:tc>
          <w:tcPr>
            <w:tcW w:w="0" w:type="auto"/>
            <w:tcBorders>
              <w:top w:val="single" w:sz="4" w:space="0" w:color="auto"/>
              <w:left w:val="single" w:sz="4" w:space="0" w:color="auto"/>
              <w:bottom w:val="single" w:sz="4" w:space="0" w:color="auto"/>
              <w:right w:val="single" w:sz="4" w:space="0" w:color="auto"/>
            </w:tcBorders>
            <w:vAlign w:val="bottom"/>
            <w:hideMark/>
          </w:tcPr>
          <w:p w14:paraId="70C3B6E8" w14:textId="77777777" w:rsidR="005737F6" w:rsidRPr="005970E9" w:rsidRDefault="005737F6">
            <w:pPr>
              <w:spacing w:line="276" w:lineRule="auto"/>
              <w:rPr>
                <w:rFonts w:cstheme="minorHAnsi"/>
              </w:rPr>
            </w:pPr>
            <w:r w:rsidRPr="005970E9">
              <w:rPr>
                <w:rFonts w:eastAsia="Times New Roman" w:cs="Arial"/>
                <w:sz w:val="20"/>
                <w:szCs w:val="20"/>
                <w:lang w:eastAsia="es-US"/>
              </w:rPr>
              <w:t>22.4</w:t>
            </w:r>
          </w:p>
        </w:tc>
      </w:tr>
      <w:tr w:rsidR="005737F6" w:rsidRPr="005970E9" w14:paraId="1123D2C4" w14:textId="77777777" w:rsidTr="005737F6">
        <w:tc>
          <w:tcPr>
            <w:tcW w:w="0" w:type="auto"/>
            <w:tcBorders>
              <w:top w:val="single" w:sz="4" w:space="0" w:color="auto"/>
              <w:left w:val="single" w:sz="4" w:space="0" w:color="auto"/>
              <w:bottom w:val="single" w:sz="4" w:space="0" w:color="auto"/>
              <w:right w:val="single" w:sz="4" w:space="0" w:color="auto"/>
            </w:tcBorders>
            <w:vAlign w:val="bottom"/>
            <w:hideMark/>
          </w:tcPr>
          <w:p w14:paraId="5F860FAA" w14:textId="77777777" w:rsidR="005737F6" w:rsidRPr="005970E9" w:rsidRDefault="005737F6">
            <w:pPr>
              <w:spacing w:line="276" w:lineRule="auto"/>
              <w:rPr>
                <w:rFonts w:cstheme="minorHAnsi"/>
              </w:rPr>
            </w:pPr>
            <w:r w:rsidRPr="005970E9">
              <w:rPr>
                <w:rFonts w:eastAsia="Times New Roman" w:cs="Arial"/>
                <w:sz w:val="20"/>
                <w:szCs w:val="20"/>
                <w:lang w:eastAsia="es-US"/>
              </w:rPr>
              <w:t xml:space="preserve">65 y más </w:t>
            </w:r>
          </w:p>
        </w:tc>
        <w:tc>
          <w:tcPr>
            <w:tcW w:w="0" w:type="auto"/>
            <w:tcBorders>
              <w:top w:val="single" w:sz="4" w:space="0" w:color="auto"/>
              <w:left w:val="single" w:sz="4" w:space="0" w:color="auto"/>
              <w:bottom w:val="single" w:sz="4" w:space="0" w:color="auto"/>
              <w:right w:val="single" w:sz="4" w:space="0" w:color="auto"/>
            </w:tcBorders>
            <w:vAlign w:val="bottom"/>
            <w:hideMark/>
          </w:tcPr>
          <w:p w14:paraId="3513C5EC" w14:textId="77777777" w:rsidR="005737F6" w:rsidRPr="005970E9" w:rsidRDefault="005737F6">
            <w:pPr>
              <w:spacing w:line="276" w:lineRule="auto"/>
              <w:rPr>
                <w:rFonts w:cstheme="minorHAnsi"/>
              </w:rPr>
            </w:pPr>
            <w:r w:rsidRPr="005970E9">
              <w:rPr>
                <w:rFonts w:eastAsia="Times New Roman" w:cs="Arial"/>
                <w:sz w:val="20"/>
                <w:szCs w:val="20"/>
                <w:lang w:eastAsia="es-US"/>
              </w:rPr>
              <w:t>41.8</w:t>
            </w:r>
          </w:p>
        </w:tc>
        <w:tc>
          <w:tcPr>
            <w:tcW w:w="0" w:type="auto"/>
            <w:tcBorders>
              <w:top w:val="single" w:sz="4" w:space="0" w:color="auto"/>
              <w:left w:val="single" w:sz="4" w:space="0" w:color="auto"/>
              <w:bottom w:val="single" w:sz="4" w:space="0" w:color="auto"/>
              <w:right w:val="single" w:sz="4" w:space="0" w:color="auto"/>
            </w:tcBorders>
            <w:vAlign w:val="bottom"/>
            <w:hideMark/>
          </w:tcPr>
          <w:p w14:paraId="529CCE6B" w14:textId="77777777" w:rsidR="005737F6" w:rsidRPr="005970E9" w:rsidRDefault="005737F6">
            <w:pPr>
              <w:spacing w:line="276" w:lineRule="auto"/>
              <w:rPr>
                <w:rFonts w:cstheme="minorHAnsi"/>
              </w:rPr>
            </w:pPr>
            <w:r w:rsidRPr="005970E9">
              <w:rPr>
                <w:rFonts w:eastAsia="Times New Roman" w:cs="Arial"/>
                <w:sz w:val="20"/>
                <w:szCs w:val="20"/>
                <w:lang w:eastAsia="es-US"/>
              </w:rPr>
              <w:t>37.1</w:t>
            </w:r>
          </w:p>
        </w:tc>
        <w:tc>
          <w:tcPr>
            <w:tcW w:w="0" w:type="auto"/>
            <w:tcBorders>
              <w:top w:val="single" w:sz="4" w:space="0" w:color="auto"/>
              <w:left w:val="single" w:sz="4" w:space="0" w:color="auto"/>
              <w:bottom w:val="single" w:sz="4" w:space="0" w:color="auto"/>
              <w:right w:val="single" w:sz="4" w:space="0" w:color="auto"/>
            </w:tcBorders>
            <w:vAlign w:val="bottom"/>
            <w:hideMark/>
          </w:tcPr>
          <w:p w14:paraId="64A7B6FC" w14:textId="77777777" w:rsidR="005737F6" w:rsidRPr="005970E9" w:rsidRDefault="005737F6">
            <w:pPr>
              <w:spacing w:line="276" w:lineRule="auto"/>
              <w:rPr>
                <w:rFonts w:cstheme="minorHAnsi"/>
              </w:rPr>
            </w:pPr>
            <w:r w:rsidRPr="005970E9">
              <w:rPr>
                <w:rFonts w:eastAsia="Times New Roman" w:cs="Arial"/>
                <w:sz w:val="20"/>
                <w:szCs w:val="20"/>
                <w:lang w:eastAsia="es-US"/>
              </w:rPr>
              <w:t>46.5</w:t>
            </w:r>
          </w:p>
        </w:tc>
      </w:tr>
      <w:tr w:rsidR="005737F6" w:rsidRPr="005970E9" w14:paraId="4FE8D27E" w14:textId="77777777" w:rsidTr="005737F6">
        <w:tc>
          <w:tcPr>
            <w:tcW w:w="0" w:type="auto"/>
            <w:gridSpan w:val="4"/>
            <w:tcBorders>
              <w:top w:val="single" w:sz="4" w:space="0" w:color="auto"/>
              <w:left w:val="single" w:sz="4" w:space="0" w:color="auto"/>
              <w:bottom w:val="single" w:sz="4" w:space="0" w:color="auto"/>
              <w:right w:val="single" w:sz="4" w:space="0" w:color="auto"/>
            </w:tcBorders>
            <w:shd w:val="clear" w:color="auto" w:fill="E6D5F3"/>
            <w:hideMark/>
          </w:tcPr>
          <w:p w14:paraId="26596E4A" w14:textId="77777777" w:rsidR="005737F6" w:rsidRPr="005970E9" w:rsidRDefault="005737F6">
            <w:pPr>
              <w:spacing w:line="276" w:lineRule="auto"/>
              <w:rPr>
                <w:rFonts w:cstheme="minorHAnsi"/>
              </w:rPr>
            </w:pPr>
            <w:r w:rsidRPr="005970E9">
              <w:rPr>
                <w:rFonts w:cstheme="minorHAnsi"/>
              </w:rPr>
              <w:t>Fuente: Informe PENDIS. Enero 2006. Pág. 47</w:t>
            </w:r>
          </w:p>
        </w:tc>
      </w:tr>
    </w:tbl>
    <w:p w14:paraId="31DFFBCC" w14:textId="77777777" w:rsidR="005737F6" w:rsidRPr="005970E9" w:rsidRDefault="005737F6" w:rsidP="005737F6">
      <w:pPr>
        <w:autoSpaceDE w:val="0"/>
        <w:autoSpaceDN w:val="0"/>
        <w:adjustRightInd w:val="0"/>
        <w:spacing w:line="276" w:lineRule="auto"/>
        <w:jc w:val="both"/>
        <w:rPr>
          <w:rFonts w:cs="Helvetica"/>
          <w:lang w:val="es-US" w:eastAsia="en-US"/>
        </w:rPr>
      </w:pPr>
      <w:r w:rsidRPr="005970E9">
        <w:rPr>
          <w:rFonts w:cs="Helvetica"/>
        </w:rPr>
        <w:t xml:space="preserve"> La encuesta (PENDIS 2006) reveló que en general hay un porcentaje mayor de mujeres (12.4) con discapacidad que hombres (10.4%). Por grupos de edad, para los infantes (0 - 4 años) es mayor la prevalencia para los hombres (4.3%) que en las mujeres (1.9%); entre los 5 - 9 años es ligeramente superior en las mujeres (5.1%) y en el tramo de los 10 -19 años (edad escolar y adolescencia) la situación es casi igual (hombres 5.9% y mujeres 6%). </w:t>
      </w:r>
    </w:p>
    <w:p w14:paraId="7BEFFC8B" w14:textId="45E2C2D9" w:rsidR="001F07BC" w:rsidRPr="005970E9" w:rsidRDefault="001F07BC" w:rsidP="001F07BC">
      <w:pPr>
        <w:autoSpaceDE w:val="0"/>
        <w:autoSpaceDN w:val="0"/>
        <w:adjustRightInd w:val="0"/>
        <w:spacing w:before="240" w:after="120" w:line="276" w:lineRule="auto"/>
        <w:jc w:val="both"/>
        <w:rPr>
          <w:rFonts w:cs="Helvetica"/>
        </w:rPr>
      </w:pPr>
      <w:r w:rsidRPr="005970E9">
        <w:rPr>
          <w:rFonts w:cs="Helvetica"/>
        </w:rPr>
        <w:t>Para los adultos jóvenes, o sea de 20 a 39 años, se observa una mayor prevalencia de Discapacidad entre las mujeres (7.8%) marcando un punto más que los hombres (6.6%), situación que sobresale más en la etapa de adultos medios (40 a 64 años) hasta adultos mayores (65 y más), donde las mujeres tienen porcentajes muchos más altos, 22.4% y 64.5% respectivamente, mientras que los hombres marcaron 17.6% y 37.1%. (ver cuadro No. 3</w:t>
      </w:r>
      <w:r w:rsidR="007E0E58">
        <w:rPr>
          <w:rFonts w:cs="Helvetica"/>
        </w:rPr>
        <w:t>6</w:t>
      </w:r>
      <w:r w:rsidRPr="005970E9">
        <w:rPr>
          <w:rFonts w:cs="Helvetica"/>
        </w:rPr>
        <w:t>).</w:t>
      </w:r>
    </w:p>
    <w:p w14:paraId="35F8AE78" w14:textId="77777777" w:rsidR="005737F6" w:rsidRPr="005970E9" w:rsidRDefault="005737F6" w:rsidP="00530738">
      <w:pPr>
        <w:pStyle w:val="Heading3"/>
        <w:numPr>
          <w:ilvl w:val="2"/>
          <w:numId w:val="57"/>
        </w:numPr>
      </w:pPr>
      <w:bookmarkStart w:id="335" w:name="_Toc42159260"/>
      <w:bookmarkStart w:id="336" w:name="_Toc42549491"/>
      <w:r w:rsidRPr="005970E9">
        <w:t>Mujeres afrodescendientes y discapacidad</w:t>
      </w:r>
      <w:bookmarkEnd w:id="335"/>
      <w:bookmarkEnd w:id="336"/>
    </w:p>
    <w:p w14:paraId="3112C289" w14:textId="27F4F571" w:rsidR="001F07BC" w:rsidRPr="005970E9" w:rsidRDefault="001F07BC" w:rsidP="00FC4996">
      <w:pPr>
        <w:shd w:val="clear" w:color="auto" w:fill="FFFFFF" w:themeFill="background1"/>
        <w:spacing w:before="120" w:after="120" w:line="276" w:lineRule="auto"/>
        <w:jc w:val="both"/>
        <w:rPr>
          <w:rFonts w:cstheme="minorBidi"/>
        </w:rPr>
      </w:pPr>
      <w:r w:rsidRPr="005970E9">
        <w:rPr>
          <w:rFonts w:cstheme="minorBidi"/>
        </w:rPr>
        <w:t xml:space="preserve">Para las mujeres afrodescendientes discapacitadas la situación se torna mucho más compleja al sufrir una discriminación </w:t>
      </w:r>
      <w:r w:rsidR="598B4EE1" w:rsidRPr="005970E9">
        <w:rPr>
          <w:rFonts w:cstheme="minorBidi"/>
        </w:rPr>
        <w:t>múltiple</w:t>
      </w:r>
      <w:r w:rsidRPr="005970E9">
        <w:rPr>
          <w:rFonts w:cstheme="minorBidi"/>
        </w:rPr>
        <w:t xml:space="preserve">, primero por ser mujer, después por ser negra y además discapacitada, a lo que se suma la falta de datos estadísticos e investigaciones que estén dirigidas especialmente a develar su realidad, lo que dificulta la formulación de programas y proyectos dirigidas especialmente a satisfacer sus necesidades. </w:t>
      </w:r>
    </w:p>
    <w:p w14:paraId="37BDDE15" w14:textId="6B3B737E" w:rsidR="001F07BC" w:rsidRPr="005970E9" w:rsidRDefault="001F07BC" w:rsidP="001F07BC">
      <w:pPr>
        <w:shd w:val="clear" w:color="auto" w:fill="FFFFFF"/>
        <w:spacing w:before="120" w:after="120" w:line="276" w:lineRule="auto"/>
        <w:jc w:val="both"/>
        <w:rPr>
          <w:rFonts w:eastAsia="Times New Roman" w:cs="Times New Roman"/>
          <w:color w:val="000000"/>
          <w:lang w:val="es-US"/>
        </w:rPr>
      </w:pPr>
      <w:r w:rsidRPr="005970E9">
        <w:rPr>
          <w:rFonts w:cstheme="minorHAnsi"/>
        </w:rPr>
        <w:t xml:space="preserve">Pocas instituciones, además de las involucradas directamente como SENADIS y MIDES, recogen estadísticas sobre el tema de discapacidad y las que lo hacen por lo general no segregan por etnia. Un ejemplo está en el caso del MITRADEL que cuenta con el </w:t>
      </w:r>
      <w:r w:rsidRPr="005970E9">
        <w:t xml:space="preserve">Departamento de Integración Socioeconómica de las Personas con Discapacidad, </w:t>
      </w:r>
      <w:r w:rsidRPr="005970E9">
        <w:lastRenderedPageBreak/>
        <w:t>que acopia los datos de las personas que son atendidos por ellos sin anotar la etnia. Para contribuir a llenar este vacío “</w:t>
      </w:r>
      <w:r w:rsidRPr="005970E9">
        <w:rPr>
          <w:rFonts w:cstheme="minorHAnsi"/>
        </w:rPr>
        <w:t>l</w:t>
      </w:r>
      <w:r w:rsidRPr="005970E9">
        <w:rPr>
          <w:rFonts w:eastAsia="Times New Roman" w:cs="Times New Roman"/>
          <w:color w:val="000000"/>
        </w:rPr>
        <w:t>a institución inicia este año (2020) un plan para disponer de una Base de datos más robusta que vincule aspectos propios de la temática de Discapacidad y temas vinculantes en pro del reconocimiento de derechos humanos, incluido la definición étnica” (Baloy. 2020)</w:t>
      </w:r>
      <w:r w:rsidR="007E0E58">
        <w:rPr>
          <w:rFonts w:eastAsia="Times New Roman" w:cs="Times New Roman"/>
          <w:color w:val="000000"/>
        </w:rPr>
        <w:t>.</w:t>
      </w:r>
    </w:p>
    <w:p w14:paraId="0BCF0A65" w14:textId="27CD2CF4" w:rsidR="005737F6" w:rsidRPr="005970E9" w:rsidRDefault="001F07BC" w:rsidP="005737F6">
      <w:pPr>
        <w:autoSpaceDE w:val="0"/>
        <w:autoSpaceDN w:val="0"/>
        <w:adjustRightInd w:val="0"/>
        <w:spacing w:before="120" w:after="120" w:line="276" w:lineRule="auto"/>
        <w:jc w:val="both"/>
        <w:rPr>
          <w:rFonts w:eastAsiaTheme="minorHAnsi" w:cs="Arial"/>
          <w:lang w:val="es-ES_tradnl" w:eastAsia="en-US"/>
        </w:rPr>
      </w:pPr>
      <w:r w:rsidRPr="005970E9">
        <w:rPr>
          <w:rFonts w:cs="Arial"/>
          <w:lang w:val="es-ES_tradnl"/>
        </w:rPr>
        <w:t xml:space="preserve">Los datos disponibles más completos para la población afrodescendiente que presenta alguna discapacidad es el Censo del 2010. Los mismos indican que </w:t>
      </w:r>
      <w:r w:rsidRPr="005970E9">
        <w:rPr>
          <w:rFonts w:cs="Arial"/>
        </w:rPr>
        <w:t xml:space="preserve">la población afrodescendiente está más afectada por la prevalencia de algún tipo de discapacidad física o mental (4.0%) que los otros grupos (2.8%). Según las dimensiones de análisis por sexo y grupos de edad no hay grandes diferencias, pero sí por área: en la rural, el 5.8% padece de alguna discapacidad, mientras que disminuye a 3.7% en la urbana. </w:t>
      </w:r>
    </w:p>
    <w:p w14:paraId="20CE70C0" w14:textId="77777777" w:rsidR="005737F6" w:rsidRPr="005970E9" w:rsidRDefault="005737F6" w:rsidP="00530738">
      <w:pPr>
        <w:pStyle w:val="Heading3"/>
        <w:numPr>
          <w:ilvl w:val="2"/>
          <w:numId w:val="57"/>
        </w:numPr>
        <w:rPr>
          <w:rFonts w:cstheme="minorBidi"/>
        </w:rPr>
      </w:pPr>
      <w:bookmarkStart w:id="337" w:name="_Toc42159261"/>
      <w:bookmarkStart w:id="338" w:name="_Toc42549492"/>
      <w:r w:rsidRPr="005970E9">
        <w:t>Políticas públicas para la inclusión de las personas con discapacidad</w:t>
      </w:r>
      <w:bookmarkEnd w:id="337"/>
      <w:bookmarkEnd w:id="338"/>
    </w:p>
    <w:p w14:paraId="7A367DEF" w14:textId="142E8BA8" w:rsidR="001F07BC" w:rsidRPr="005970E9" w:rsidRDefault="001F07BC" w:rsidP="001F07BC">
      <w:pPr>
        <w:tabs>
          <w:tab w:val="left" w:pos="6561"/>
        </w:tabs>
        <w:spacing w:before="120" w:after="120" w:line="276" w:lineRule="auto"/>
        <w:jc w:val="both"/>
      </w:pPr>
      <w:r w:rsidRPr="005970E9">
        <w:t xml:space="preserve">La Primera Encuesta Nacional de Discapacidad (2006) sigue siendo la base estadística del país para desarrollar los programas y planes para la población con discapacidad y las políticas públicas vigentes datan del 2009. Los cambios que se han realizado han sido el resultado del acompañamiento de organismos internacionales y la exposición a las experiencias, discusiones y agendas de otros países, así como la existencia del Observatorio Nacional de Discapacidad (ONDIS-Panamá) ubicado en la Universidad de Panamá y coordinado por el Departamento de Psicología. El Consejo Consultivo del Observatorio es el responsable de la recolección, sistematización, análisis de los datos y la preparación de informes periódicos. También realizará las investigaciones que sustenten las políticas públicas que contribuyan a la plena inclusión de las </w:t>
      </w:r>
      <w:r w:rsidR="00702CFC" w:rsidRPr="005970E9">
        <w:t>PcDs en</w:t>
      </w:r>
      <w:r w:rsidRPr="005970E9">
        <w:t xml:space="preserve"> todas las esferas de la sociedad. (UNFPA-2019. Pág. 45) </w:t>
      </w:r>
    </w:p>
    <w:p w14:paraId="178A3589" w14:textId="77777777" w:rsidR="001F07BC" w:rsidRPr="005970E9" w:rsidRDefault="001F07BC" w:rsidP="001F07BC">
      <w:pPr>
        <w:tabs>
          <w:tab w:val="left" w:pos="6561"/>
        </w:tabs>
        <w:spacing w:before="120" w:after="120" w:line="276" w:lineRule="auto"/>
        <w:jc w:val="both"/>
      </w:pPr>
      <w:r w:rsidRPr="005970E9">
        <w:t xml:space="preserve">Las relaciones con los organismos internacionales también han propiciado “…una mejor comprensión y centralidad a las discapacidades mentales y al fenómeno de la intersección de las discapacidades con otras muchas categorías que plantean situaciones diferentes y exigen abordajes diferentes. Por ej., el niño pobre en una comarca, la migrante negra lesbiana, la mujer mayor en una situación de maltrato, el hombre trans indígena y pobre y así sucesivamente.” (UNFPA-2019. Pág. 45) </w:t>
      </w:r>
    </w:p>
    <w:p w14:paraId="2C34780D" w14:textId="77777777" w:rsidR="001F07BC" w:rsidRPr="005970E9" w:rsidRDefault="001F07BC" w:rsidP="001F07BC">
      <w:pPr>
        <w:pStyle w:val="PlainText"/>
        <w:spacing w:before="120" w:after="120" w:line="276" w:lineRule="auto"/>
        <w:jc w:val="both"/>
      </w:pPr>
      <w:r w:rsidRPr="005970E9">
        <w:t xml:space="preserve">Una de las instituciones que realiza aportes concretos para la incorporación de las PcDs al mundo laboral es el MITRADEL a través del Departamento de Integración Socioeconómica de las Personas con Discapacidad, ubicado en la Dirección de Empleo, que desarrolla la iniciativa denominada “Programa para la Empleabilidad de las Personas con Discapacidad” con el objetivo de insertarlas al mercado laboral y sensibilizar al sector empleador. Dicha acción se inicia contactando empresas que son visitadas por el personal técnico del departamento con el objeto de orientar y sensibilizar sobre los derechos consagrados en el ordenamiento legal nacional e internacional (Ley 15 de 31 de mayo de 2016; su reglamentación – Decreto Ejecutivo 333 de 5 de diciembre de 2019, entre otros y la Convención de Derechos Humanos de las PcDs). A lo interno, </w:t>
      </w:r>
      <w:r w:rsidRPr="005970E9">
        <w:lastRenderedPageBreak/>
        <w:t xml:space="preserve">la institución a través de la Oficina de Recursos Humanos, cuenta con un programa dirigido a sus servidores/as públicos que tengan alguna condición de discapacidad o enfermedad crónica, degenerativa e involutiva y a padres, madres o tutores de PcDs. </w:t>
      </w:r>
    </w:p>
    <w:p w14:paraId="73EE55CC" w14:textId="32F5305E" w:rsidR="001F07BC" w:rsidRPr="005970E9" w:rsidRDefault="001F07BC" w:rsidP="001F07BC">
      <w:pPr>
        <w:shd w:val="clear" w:color="auto" w:fill="FFFFFF"/>
        <w:spacing w:before="120" w:after="120" w:line="276" w:lineRule="auto"/>
        <w:jc w:val="both"/>
      </w:pPr>
      <w:r w:rsidRPr="005970E9">
        <w:t xml:space="preserve">Otra de las iniciativas de dicha institución es la </w:t>
      </w:r>
      <w:r w:rsidRPr="005970E9">
        <w:rPr>
          <w:rFonts w:eastAsia="Times New Roman" w:cs="Times New Roman"/>
          <w:color w:val="000000"/>
        </w:rPr>
        <w:t>creación de la Dirección de Equiparación de Oportunidades, que impulsa el proyecto “Si Incluyo” que consiste en la sensibilización a empresas y la Implantación de un sistema de Generación de Datos sobre las PcDs. También en las inspecciones realizadas a las empresas se verifica el cumplimiento de la cuota establecida en la norma (</w:t>
      </w:r>
      <w:r w:rsidRPr="005970E9">
        <w:t>empresas con cincuenta (50) o más trabajadores deberán tener un 2% de PcDs y las que tengan veinticinco (25) deberán tener el 1%) (Baloy. 2020)</w:t>
      </w:r>
      <w:r w:rsidR="00702CFC">
        <w:t>.</w:t>
      </w:r>
    </w:p>
    <w:p w14:paraId="195E7377" w14:textId="40CCC244" w:rsidR="001F07BC" w:rsidRPr="005970E9" w:rsidRDefault="001F07BC" w:rsidP="001F07BC">
      <w:pPr>
        <w:shd w:val="clear" w:color="auto" w:fill="FFFFFF"/>
        <w:spacing w:before="120" w:after="120" w:line="276" w:lineRule="auto"/>
        <w:jc w:val="both"/>
        <w:rPr>
          <w:rFonts w:eastAsia="Times New Roman" w:cs="Times New Roman"/>
          <w:color w:val="000000"/>
        </w:rPr>
      </w:pPr>
      <w:r w:rsidRPr="005970E9">
        <w:rPr>
          <w:rFonts w:eastAsia="Times New Roman" w:cs="Times New Roman"/>
          <w:color w:val="000000"/>
        </w:rPr>
        <w:t xml:space="preserve">En opinión de la directora del </w:t>
      </w:r>
      <w:r w:rsidRPr="005970E9">
        <w:t>Departamento de Integración Socioeconómica de las PcDs, uno de los retos de la institución es contar con una base de datos amplia de PcDs que buscan empleos, para impulsar las estrategias de inserción cónsonas con las demandas de empresas y una de las acciones positivas debe ser “</w:t>
      </w:r>
      <w:r w:rsidRPr="005970E9">
        <w:rPr>
          <w:rFonts w:eastAsia="Times New Roman" w:cs="Times New Roman"/>
          <w:color w:val="000000"/>
        </w:rPr>
        <w:t xml:space="preserve">divulgar más sobre la importancia de la colaboración intrainstitucional y asegurar que todos/as comprendan la temática y su importancia” para contribuir a solucionar la problemática de este grupo invisibilizado y vulnerabilizados socialmente </w:t>
      </w:r>
      <w:r w:rsidRPr="005970E9">
        <w:t>(Baloy. 2020)</w:t>
      </w:r>
      <w:r w:rsidR="00702CFC">
        <w:t>.</w:t>
      </w:r>
    </w:p>
    <w:p w14:paraId="5780558D" w14:textId="3A46BF53" w:rsidR="001F07BC" w:rsidRPr="005970E9" w:rsidRDefault="001F07BC" w:rsidP="001F07BC">
      <w:pPr>
        <w:shd w:val="clear" w:color="auto" w:fill="FFFFFF"/>
        <w:spacing w:before="120" w:after="120" w:line="276" w:lineRule="auto"/>
        <w:jc w:val="both"/>
        <w:rPr>
          <w:rFonts w:eastAsiaTheme="minorHAnsi" w:cstheme="minorBidi"/>
          <w:lang w:eastAsia="en-US"/>
        </w:rPr>
      </w:pPr>
      <w:r w:rsidRPr="005970E9">
        <w:t xml:space="preserve">Entre el año 2018 y 2019 el Departamento de Integración Socioeconómica de las PcDs atendió a 1,250 hombres y 669 mujeres. De acuerdo a la edad acudieron más, tanto mujeres como hombres, entre los de 20 a los 34 años.  En cuanto al tipo de discapacidad que tenían las personas que acudieron a dicho departamento se destacaron las auditivas, intelectuales y </w:t>
      </w:r>
      <w:r w:rsidR="00702CFC" w:rsidRPr="005970E9">
        <w:t>físicas (</w:t>
      </w:r>
      <w:r w:rsidRPr="005970E9">
        <w:t>Baloy. 2020)</w:t>
      </w:r>
      <w:r w:rsidR="00702CFC">
        <w:t>.</w:t>
      </w:r>
    </w:p>
    <w:p w14:paraId="715EDA56" w14:textId="77777777" w:rsidR="001F07BC" w:rsidRPr="005970E9" w:rsidRDefault="001F07BC" w:rsidP="001F07BC">
      <w:pPr>
        <w:tabs>
          <w:tab w:val="left" w:pos="6561"/>
        </w:tabs>
        <w:spacing w:before="120" w:after="120" w:line="276" w:lineRule="auto"/>
        <w:jc w:val="both"/>
      </w:pPr>
      <w:r w:rsidRPr="005970E9">
        <w:t xml:space="preserve">El MIDES continúa el Programa Ángel Guardián iniciado en el 2012 que brinda subsidio de USD 80.00 mensuales a personas con discapacidad severa que viven en condición de dependencia y pobreza extrema y que son panameñas o de padres panameños. </w:t>
      </w:r>
    </w:p>
    <w:p w14:paraId="5EEB0675" w14:textId="4CC3614E" w:rsidR="001F07BC" w:rsidRPr="005970E9" w:rsidRDefault="001F07BC" w:rsidP="001F07BC">
      <w:pPr>
        <w:tabs>
          <w:tab w:val="left" w:pos="6561"/>
        </w:tabs>
        <w:spacing w:before="120" w:after="120" w:line="276" w:lineRule="auto"/>
        <w:jc w:val="both"/>
      </w:pPr>
      <w:r w:rsidRPr="005970E9">
        <w:t xml:space="preserve">La encuesta de Propósitos Múltiples (2019) registró un total de 699 becas otorgadas por instituciones públicas a estudiantes con discapacidad desde los 5 hasta los 59 años de B/50 y B/100, concentrándose mucho más en las edades de 5 a 24 años con una representatividad de 98.42%. De acuerdo al sexo y al área geográfica, las mujeres son más beneficiadas (57.52%) que los hombres (42.48%) y el área urbana (57.93%) más que la rural (39.77%) y la indígena (2.28%). También hay un total de </w:t>
      </w:r>
      <w:r w:rsidRPr="005970E9">
        <w:rPr>
          <w:rFonts w:eastAsia="Times New Roman" w:cs="Times New Roman"/>
          <w:color w:val="000000"/>
        </w:rPr>
        <w:t>7428 estudiantes que tienen alguna discapacidad que reciben beca universal</w:t>
      </w:r>
      <w:r w:rsidRPr="005970E9">
        <w:rPr>
          <w:rFonts w:eastAsia="Times New Roman" w:cs="Times New Roman"/>
          <w:color w:val="000000"/>
          <w:sz w:val="16"/>
          <w:szCs w:val="16"/>
        </w:rPr>
        <w:t xml:space="preserve"> </w:t>
      </w:r>
      <w:r w:rsidRPr="005970E9">
        <w:rPr>
          <w:rFonts w:eastAsia="Times New Roman" w:cs="Times New Roman"/>
          <w:color w:val="000000"/>
        </w:rPr>
        <w:t xml:space="preserve">(3795 hombres y 3633 mujeres.  </w:t>
      </w:r>
      <w:r w:rsidR="00702CFC">
        <w:rPr>
          <w:rFonts w:eastAsia="Times New Roman" w:cs="Times New Roman"/>
          <w:color w:val="000000"/>
        </w:rPr>
        <w:t>(</w:t>
      </w:r>
      <w:r w:rsidRPr="005970E9">
        <w:t>INEC. EPM. Marzo 2019).</w:t>
      </w:r>
    </w:p>
    <w:p w14:paraId="7963A206" w14:textId="77777777" w:rsidR="001F07BC" w:rsidRPr="005970E9" w:rsidRDefault="001F07BC" w:rsidP="00530738">
      <w:pPr>
        <w:pStyle w:val="Heading3"/>
        <w:numPr>
          <w:ilvl w:val="2"/>
          <w:numId w:val="57"/>
        </w:numPr>
        <w:rPr>
          <w:lang w:val="es-US"/>
        </w:rPr>
      </w:pPr>
      <w:bookmarkStart w:id="339" w:name="_Toc37505527"/>
      <w:bookmarkStart w:id="340" w:name="_Toc42159262"/>
      <w:bookmarkStart w:id="341" w:name="_Toc42549493"/>
      <w:r w:rsidRPr="005970E9">
        <w:t>La deuda continúa</w:t>
      </w:r>
      <w:bookmarkEnd w:id="339"/>
      <w:bookmarkEnd w:id="340"/>
      <w:bookmarkEnd w:id="341"/>
      <w:r w:rsidRPr="005970E9">
        <w:t xml:space="preserve"> </w:t>
      </w:r>
    </w:p>
    <w:p w14:paraId="7E4BB31E" w14:textId="7A445D9A" w:rsidR="001F07BC" w:rsidRPr="005970E9" w:rsidRDefault="001F07BC" w:rsidP="001F07BC">
      <w:pPr>
        <w:suppressAutoHyphens/>
        <w:spacing w:before="120" w:after="120" w:line="276" w:lineRule="auto"/>
        <w:jc w:val="both"/>
        <w:rPr>
          <w:bCs/>
        </w:rPr>
      </w:pPr>
      <w:r w:rsidRPr="005970E9">
        <w:rPr>
          <w:bCs/>
        </w:rPr>
        <w:t xml:space="preserve">Los esfuerzos realizados por el Estado panameño, han sido insuficientes para lograr los derechos humanos de las PcDs y para el cumplimiento de la agenda 2030. Al respecto el Comité sobre los Derechos de las Personas con Discapacidad, realizó agudas observaciones al Estado panameño (ONU. 2017). </w:t>
      </w:r>
    </w:p>
    <w:p w14:paraId="39237851" w14:textId="77777777" w:rsidR="001F07BC" w:rsidRPr="005970E9" w:rsidRDefault="001F07BC" w:rsidP="001F07BC">
      <w:pPr>
        <w:suppressAutoHyphens/>
        <w:spacing w:before="120" w:after="120" w:line="276" w:lineRule="auto"/>
        <w:jc w:val="both"/>
      </w:pPr>
      <w:r w:rsidRPr="005970E9">
        <w:t xml:space="preserve">Sobre los principios generales el informe expresa las siguientes preocupaciones: persiste el modelo médico en el Estado y la legislación, las políticas y los programas públicos no </w:t>
      </w:r>
      <w:r w:rsidRPr="005970E9">
        <w:lastRenderedPageBreak/>
        <w:t xml:space="preserve">están armonizados con el modelo de discapacidad basado en los derechos humanos; los criterios para calificar la discapacidad no están estandarizados ni en armonía con los principios de la Convención </w:t>
      </w:r>
      <w:r w:rsidRPr="005970E9">
        <w:rPr>
          <w:bCs/>
        </w:rPr>
        <w:t>sobre los Derechos de las Personas con Discapacidad</w:t>
      </w:r>
      <w:r w:rsidRPr="005970E9">
        <w:t>; las consultas a PcDs no llevan a la adopción de políticas y programas; y escasos recursos económicos, materiales y humanos para implementar el Plan Estratégico Nacional.</w:t>
      </w:r>
    </w:p>
    <w:p w14:paraId="20CB7CFE" w14:textId="77777777" w:rsidR="001F07BC" w:rsidRPr="005970E9" w:rsidRDefault="001F07BC" w:rsidP="001F07BC">
      <w:pPr>
        <w:suppressAutoHyphens/>
        <w:spacing w:before="120" w:after="120" w:line="276" w:lineRule="auto"/>
        <w:jc w:val="both"/>
        <w:rPr>
          <w:rFonts w:eastAsia="Malgun Gothic"/>
        </w:rPr>
      </w:pPr>
      <w:r w:rsidRPr="005970E9">
        <w:t xml:space="preserve">Sobre los derechos específicos de las </w:t>
      </w:r>
      <w:bookmarkStart w:id="342" w:name="_Hlk36699111"/>
      <w:r w:rsidRPr="005970E9">
        <w:t>PcDs</w:t>
      </w:r>
      <w:bookmarkEnd w:id="342"/>
      <w:r w:rsidRPr="005970E9">
        <w:t xml:space="preserve"> se realizaron las observaron siguientes:  existe la Ley  42 de 1999 sobre la discriminación por razón de discapacidad, pero no se realizaron los ajustes necesarios para la no discriminación y hay </w:t>
      </w:r>
      <w:bookmarkStart w:id="343" w:name="_Hlk36692466"/>
      <w:r w:rsidRPr="005970E9">
        <w:t>ausencia de políticas contra la discriminación múltiple e interseccional, especialmente de mujeres, indígenas y afrodescendientes</w:t>
      </w:r>
      <w:bookmarkEnd w:id="343"/>
      <w:r w:rsidRPr="005970E9">
        <w:t xml:space="preserve">; no hay un plan de igualdad de oportunidades, ni políticas de discapacidad que incluyan específicamente a las mujeres y niñas,  y estrategias para la prevención y sanción de la violencia; </w:t>
      </w:r>
      <w:r w:rsidRPr="005970E9">
        <w:rPr>
          <w:rFonts w:eastAsia="Malgun Gothic"/>
        </w:rPr>
        <w:t>invisibilidad de la discriminación y violencia y la vulnerabilidad en zonas rurales y comarcas indígenas.</w:t>
      </w:r>
    </w:p>
    <w:p w14:paraId="3986CD47" w14:textId="77777777" w:rsidR="001F07BC" w:rsidRPr="005970E9" w:rsidRDefault="001F07BC" w:rsidP="001F07BC">
      <w:pPr>
        <w:suppressAutoHyphens/>
        <w:spacing w:before="120" w:after="120" w:line="276" w:lineRule="auto"/>
        <w:jc w:val="both"/>
      </w:pPr>
      <w:r w:rsidRPr="005970E9">
        <w:rPr>
          <w:rFonts w:eastAsia="Malgun Gothic"/>
        </w:rPr>
        <w:t xml:space="preserve">Sobre la misma Ley, también se llamó la atención sobre la inaccesibilidad  a los albergues para las mujeres víctimas de violencia y la ausencia de datos;  la desigualdad que afecta a los niños con discapacidad y la existencia de discriminación, violencia, abandono, maltrato e institucionalización, especial la vulnerabilidad de los niños indígenas y afrodescendientes; </w:t>
      </w:r>
      <w:r w:rsidRPr="005970E9">
        <w:t xml:space="preserve">no cuenta con medidas para proteger a niñas y niños con discapacidad del maltrato, el abuso, la explotación, prevenir el abandono, el descuido y la institucionalización; no prohíbe los castigos corporales en el hogar, las escuelas, las guarderías y entornos de cuidado alternativo; insuficientes esfuerzos para combatir los prejuicios y estereotipos negativos de las personas con discapacidad (campañas públicas como Teletón, que refuerzan el modelo asistencialista hacia las PcDs). </w:t>
      </w:r>
    </w:p>
    <w:p w14:paraId="037DEEB2" w14:textId="77777777" w:rsidR="001F07BC" w:rsidRPr="005970E9" w:rsidRDefault="001F07BC" w:rsidP="001F07BC">
      <w:pPr>
        <w:suppressAutoHyphens/>
        <w:spacing w:before="120" w:after="120" w:line="276" w:lineRule="auto"/>
        <w:jc w:val="both"/>
      </w:pPr>
      <w:r w:rsidRPr="005970E9">
        <w:t xml:space="preserve">Otros aspectos fueron: la falta de accesibilidad en espacios públicos; ausencia de un protocolo para la atención en situaciones de riesgo y emergencias humanitarias y la poca divulgación de los manuales existentes y guías prácticas; restricciones a la capacidad jurídica de las personas con discapacidad; no hay acceso seguro  a la justicia y existen barreras  para que las personas interdictas o institucionalizadas; persistencia de la institucionalización y la ausencia de datos; no existen instrumentos jurídicos  que abordan la prevención de tortura; uso de tratamientos sin el consentimiento libre e informado; </w:t>
      </w:r>
      <w:r w:rsidRPr="005970E9">
        <w:rPr>
          <w:rFonts w:eastAsia="Malgun Gothic"/>
        </w:rPr>
        <w:t xml:space="preserve">existencia de explotación, violencia y abuso, especialmente mujeres, niños y niñas, afrodescendientes e indígenas; uso prolongado de los lugares seguros; ausencia de información sobre la esterilización forzada y los abortos forzados; </w:t>
      </w:r>
      <w:r w:rsidRPr="005970E9">
        <w:t>pocos avances en el modelo de vida independiente y no se tienen programas ni servicios de  asistencia personal a quien lo requiera, para realizar una vida independiente y a ser incluidos en su comunidad.</w:t>
      </w:r>
    </w:p>
    <w:p w14:paraId="113AC43C" w14:textId="77777777" w:rsidR="001F07BC" w:rsidRPr="005970E9" w:rsidRDefault="001F07BC" w:rsidP="001F07BC">
      <w:pPr>
        <w:suppressAutoHyphens/>
        <w:spacing w:before="120" w:after="120" w:line="276" w:lineRule="auto"/>
        <w:jc w:val="both"/>
        <w:rPr>
          <w:rFonts w:eastAsia="Malgun Gothic"/>
        </w:rPr>
      </w:pPr>
      <w:r w:rsidRPr="005970E9">
        <w:rPr>
          <w:rFonts w:eastAsia="Malgun Gothic"/>
        </w:rPr>
        <w:t xml:space="preserve">Bajo nivel de información pública y accesibilidad; </w:t>
      </w:r>
      <w:r w:rsidRPr="005970E9">
        <w:t>normas contra el derecho al matrimonio, ausencia de apoyos para ejercer sus derechos reproductivos; no se prioriza la educación inclusiva, prevaleciendo la educación especial y segregada; no hay suficientes esfuerzos para la educación inclusiva superior; no hay atención prioritaria y expedita siempre; falta de acceso a servicios de salud; in</w:t>
      </w:r>
      <w:r w:rsidRPr="005970E9">
        <w:rPr>
          <w:rFonts w:eastAsia="Malgun Gothic"/>
        </w:rPr>
        <w:t xml:space="preserve">cumplimiento de la cuota del </w:t>
      </w:r>
      <w:r w:rsidRPr="005970E9">
        <w:rPr>
          <w:rFonts w:eastAsia="Malgun Gothic"/>
        </w:rPr>
        <w:lastRenderedPageBreak/>
        <w:t xml:space="preserve">2%, </w:t>
      </w:r>
      <w:r w:rsidRPr="005970E9">
        <w:t xml:space="preserve">bajo nivel de inclusión laboral y escasez de estadísticas sobre el nivel de salarios; </w:t>
      </w:r>
      <w:r w:rsidRPr="005970E9">
        <w:rPr>
          <w:rFonts w:eastAsia="Malgun Gothic"/>
        </w:rPr>
        <w:t>ausencia de mecanismos para asegurar la no discriminación en el mercado laboral; alto número de PcDs que viven en situación de pobreza y extrema pobreza, especialmente mujeres, niños, afrodescendientes e indígenas.</w:t>
      </w:r>
    </w:p>
    <w:p w14:paraId="1686F3A9" w14:textId="3236C80D" w:rsidR="001F07BC" w:rsidRPr="005970E9" w:rsidRDefault="001F07BC" w:rsidP="001F07BC">
      <w:pPr>
        <w:suppressAutoHyphens/>
        <w:spacing w:before="120" w:after="120" w:line="276" w:lineRule="auto"/>
        <w:jc w:val="both"/>
      </w:pPr>
      <w:r w:rsidRPr="005970E9">
        <w:rPr>
          <w:rFonts w:eastAsia="Malgun Gothic"/>
        </w:rPr>
        <w:t xml:space="preserve">Inexistencia de un sistema social inclusivo, falta de un programa de jubilación y apoyos financieros para compensar los gastos adicionales por motivo de su discapacidad; poca </w:t>
      </w:r>
      <w:r w:rsidRPr="005970E9">
        <w:t xml:space="preserve">participación en la vida política y pública, y en cargos de elección popular; falta de accesibilidad en todas las etapas del proceso electoral; falta de implementación efectiva del Tratado de Marrakech; poco acceso a las actividades deportivas; ausencia de datos e información desglosados y comparables en todos los sectores del Estado; escasez de información sobre la transversalización en los Objetivos de Desarrollo Sostenible y proyectos de la cooperación internacional; y por último no hay un mecanismo independiente de monitoreo de la aplicación de la Convención sobre los </w:t>
      </w:r>
      <w:r w:rsidR="006A6390" w:rsidRPr="005970E9">
        <w:t>Derechos de</w:t>
      </w:r>
      <w:r w:rsidRPr="005970E9">
        <w:t xml:space="preserve"> las PcDs en el Estado. (Convención sobre los Derechos de las Personas con Discapacidad. 2017. pág. 1-10)</w:t>
      </w:r>
    </w:p>
    <w:p w14:paraId="523E6745" w14:textId="77777777" w:rsidR="001F07BC" w:rsidRPr="005970E9" w:rsidRDefault="001F07BC" w:rsidP="00530738">
      <w:pPr>
        <w:pStyle w:val="Heading3"/>
        <w:numPr>
          <w:ilvl w:val="2"/>
          <w:numId w:val="57"/>
        </w:numPr>
      </w:pPr>
      <w:bookmarkStart w:id="344" w:name="_Toc37505528"/>
      <w:bookmarkStart w:id="345" w:name="_Toc42159263"/>
      <w:bookmarkStart w:id="346" w:name="_Toc42549494"/>
      <w:r w:rsidRPr="005970E9">
        <w:t>Líneas de acción</w:t>
      </w:r>
      <w:bookmarkEnd w:id="344"/>
      <w:bookmarkEnd w:id="345"/>
      <w:bookmarkEnd w:id="346"/>
      <w:r w:rsidRPr="005970E9">
        <w:t xml:space="preserve"> </w:t>
      </w:r>
    </w:p>
    <w:p w14:paraId="3F0CA9D8" w14:textId="77777777" w:rsidR="001F07BC" w:rsidRPr="005970E9" w:rsidRDefault="001F07BC" w:rsidP="001F07BC">
      <w:pPr>
        <w:pStyle w:val="ListParagraph"/>
        <w:numPr>
          <w:ilvl w:val="0"/>
          <w:numId w:val="28"/>
        </w:numPr>
        <w:shd w:val="clear" w:color="auto" w:fill="FFFFFF"/>
        <w:autoSpaceDE w:val="0"/>
        <w:autoSpaceDN w:val="0"/>
        <w:adjustRightInd w:val="0"/>
        <w:spacing w:before="240" w:after="120" w:line="276" w:lineRule="auto"/>
        <w:jc w:val="both"/>
        <w:rPr>
          <w:rFonts w:ascii="Century Schoolbook" w:hAnsi="Century Schoolbook" w:cstheme="minorBidi"/>
        </w:rPr>
      </w:pPr>
      <w:r w:rsidRPr="005970E9">
        <w:rPr>
          <w:rFonts w:ascii="Century Schoolbook" w:eastAsia="Times New Roman" w:hAnsi="Century Schoolbook"/>
          <w:color w:val="000000"/>
        </w:rPr>
        <w:t xml:space="preserve">Obtener estadísticas desagregadas por sexo, etnia, edad, y área de residencia. </w:t>
      </w:r>
    </w:p>
    <w:p w14:paraId="63DC8CE6" w14:textId="77777777" w:rsidR="001F07BC" w:rsidRPr="005970E9" w:rsidRDefault="001F07BC" w:rsidP="001F07BC">
      <w:pPr>
        <w:pStyle w:val="ListParagraph"/>
        <w:numPr>
          <w:ilvl w:val="0"/>
          <w:numId w:val="28"/>
        </w:numPr>
        <w:shd w:val="clear" w:color="auto" w:fill="FFFFFF"/>
        <w:autoSpaceDE w:val="0"/>
        <w:autoSpaceDN w:val="0"/>
        <w:adjustRightInd w:val="0"/>
        <w:spacing w:before="120" w:after="120" w:line="276" w:lineRule="auto"/>
        <w:jc w:val="both"/>
        <w:rPr>
          <w:rFonts w:ascii="Century Schoolbook" w:hAnsi="Century Schoolbook"/>
        </w:rPr>
      </w:pPr>
      <w:r w:rsidRPr="005970E9">
        <w:rPr>
          <w:rFonts w:ascii="Century Schoolbook" w:eastAsia="Times New Roman" w:hAnsi="Century Schoolbook"/>
          <w:color w:val="000000"/>
        </w:rPr>
        <w:t xml:space="preserve">Unificar variables e indicadores para todas las instituciones que generan estadísticas con el objetivo de poder hacer comparaciones o dar seguimiento a la situación de las PcDs. </w:t>
      </w:r>
    </w:p>
    <w:p w14:paraId="1F162DB2" w14:textId="77777777" w:rsidR="001F07BC" w:rsidRPr="005970E9" w:rsidRDefault="001F07BC" w:rsidP="001F07BC">
      <w:pPr>
        <w:pStyle w:val="ListParagraph"/>
        <w:numPr>
          <w:ilvl w:val="0"/>
          <w:numId w:val="28"/>
        </w:numPr>
        <w:shd w:val="clear" w:color="auto" w:fill="FFFFFF"/>
        <w:autoSpaceDE w:val="0"/>
        <w:autoSpaceDN w:val="0"/>
        <w:adjustRightInd w:val="0"/>
        <w:spacing w:before="120" w:after="120" w:line="276" w:lineRule="auto"/>
        <w:jc w:val="both"/>
        <w:rPr>
          <w:rFonts w:ascii="Century Schoolbook" w:hAnsi="Century Schoolbook"/>
        </w:rPr>
      </w:pPr>
      <w:r w:rsidRPr="005970E9">
        <w:rPr>
          <w:rFonts w:ascii="Century Schoolbook" w:eastAsia="Times New Roman" w:hAnsi="Century Schoolbook"/>
          <w:color w:val="000000"/>
        </w:rPr>
        <w:t xml:space="preserve">Fortalecer el cumplimiento de la normativa nacional con respecto a la inclusión de las personas con alguna discapacidad. </w:t>
      </w:r>
    </w:p>
    <w:p w14:paraId="30E3CCD9" w14:textId="77777777" w:rsidR="001F07BC" w:rsidRPr="005970E9" w:rsidRDefault="001F07BC" w:rsidP="006A6390">
      <w:pPr>
        <w:pStyle w:val="ListParagraph"/>
        <w:numPr>
          <w:ilvl w:val="0"/>
          <w:numId w:val="28"/>
        </w:numPr>
        <w:shd w:val="clear" w:color="auto" w:fill="FFFFFF" w:themeFill="background1"/>
        <w:autoSpaceDE w:val="0"/>
        <w:autoSpaceDN w:val="0"/>
        <w:adjustRightInd w:val="0"/>
        <w:spacing w:before="120" w:after="120" w:line="276" w:lineRule="auto"/>
        <w:jc w:val="both"/>
        <w:rPr>
          <w:rFonts w:ascii="Century Schoolbook" w:hAnsi="Century Schoolbook" w:cs="Helvetica"/>
        </w:rPr>
      </w:pPr>
      <w:r w:rsidRPr="005970E9">
        <w:rPr>
          <w:rFonts w:ascii="Century Schoolbook" w:hAnsi="Century Schoolbook" w:cs="Helvetica"/>
        </w:rPr>
        <w:t xml:space="preserve">Fortalecer políticas de visibilización e inclusión en el sistema educativo en todos los niveles, mercado laboral, en la política y en los puestos de elección pública de las </w:t>
      </w:r>
      <w:r w:rsidRPr="005970E9">
        <w:rPr>
          <w:rFonts w:ascii="Century Schoolbook" w:eastAsia="Malgun Gothic" w:hAnsi="Century Schoolbook"/>
        </w:rPr>
        <w:t>PcDs</w:t>
      </w:r>
      <w:r w:rsidRPr="005970E9">
        <w:rPr>
          <w:rFonts w:ascii="Century Schoolbook" w:hAnsi="Century Schoolbook" w:cs="Helvetica"/>
        </w:rPr>
        <w:t xml:space="preserve">. </w:t>
      </w:r>
    </w:p>
    <w:p w14:paraId="56C6A5D6" w14:textId="6F768EBF" w:rsidR="005737F6" w:rsidRPr="005970E9" w:rsidRDefault="001F07BC" w:rsidP="001F07BC">
      <w:pPr>
        <w:pStyle w:val="ListParagraph"/>
        <w:numPr>
          <w:ilvl w:val="0"/>
          <w:numId w:val="28"/>
        </w:numPr>
        <w:shd w:val="clear" w:color="auto" w:fill="FFFFFF"/>
        <w:autoSpaceDE w:val="0"/>
        <w:autoSpaceDN w:val="0"/>
        <w:adjustRightInd w:val="0"/>
        <w:spacing w:before="120" w:after="120" w:line="276" w:lineRule="auto"/>
        <w:jc w:val="both"/>
        <w:rPr>
          <w:rFonts w:ascii="Century Schoolbook" w:hAnsi="Century Schoolbook" w:cs="Helvetica"/>
        </w:rPr>
      </w:pPr>
      <w:r w:rsidRPr="005970E9">
        <w:rPr>
          <w:rFonts w:ascii="Century Schoolbook" w:hAnsi="Century Schoolbook" w:cs="Helvetica"/>
        </w:rPr>
        <w:t>Aplicar la segunda encuesta para las PcDs para contar con estadísticas actualizadas y confiables.</w:t>
      </w:r>
    </w:p>
    <w:p w14:paraId="1DD4E87F" w14:textId="77777777" w:rsidR="005737F6" w:rsidRPr="005970E9" w:rsidRDefault="005737F6" w:rsidP="005737F6">
      <w:pPr>
        <w:spacing w:line="276" w:lineRule="auto"/>
        <w:jc w:val="both"/>
        <w:rPr>
          <w:rFonts w:cstheme="minorBidi"/>
        </w:rPr>
      </w:pPr>
    </w:p>
    <w:p w14:paraId="0BE81D3E" w14:textId="77777777" w:rsidR="00B76B0C" w:rsidRPr="005970E9" w:rsidRDefault="00B76B0C">
      <w:pPr>
        <w:spacing w:line="276" w:lineRule="auto"/>
        <w:rPr>
          <w:rFonts w:eastAsia="Century Schoolbook" w:cs="Century Schoolbook"/>
          <w:color w:val="7030A0"/>
        </w:rPr>
      </w:pPr>
    </w:p>
    <w:p w14:paraId="62B6837A" w14:textId="77777777" w:rsidR="00B76B0C" w:rsidRPr="005970E9" w:rsidRDefault="003B5C05" w:rsidP="00530738">
      <w:pPr>
        <w:pStyle w:val="Heading1"/>
        <w:numPr>
          <w:ilvl w:val="0"/>
          <w:numId w:val="57"/>
        </w:numPr>
      </w:pPr>
      <w:bookmarkStart w:id="347" w:name="_Toc42159264"/>
      <w:bookmarkStart w:id="348" w:name="_Toc42549495"/>
      <w:r w:rsidRPr="005970E9">
        <w:lastRenderedPageBreak/>
        <w:t>DIMENSIÓN AMBIENTAL</w:t>
      </w:r>
      <w:bookmarkEnd w:id="347"/>
      <w:bookmarkEnd w:id="348"/>
    </w:p>
    <w:p w14:paraId="12E21B04" w14:textId="6BB3324F" w:rsidR="00B76B0C" w:rsidRPr="005970E9" w:rsidRDefault="003B5C05" w:rsidP="00D9032C">
      <w:pPr>
        <w:pStyle w:val="Heading2"/>
        <w:numPr>
          <w:ilvl w:val="1"/>
          <w:numId w:val="43"/>
        </w:numPr>
      </w:pPr>
      <w:bookmarkStart w:id="349" w:name="_Toc42159265"/>
      <w:bookmarkStart w:id="350" w:name="_Toc42549496"/>
      <w:r w:rsidRPr="005970E9">
        <w:t>Género y cambio climático</w:t>
      </w:r>
      <w:bookmarkEnd w:id="349"/>
      <w:bookmarkEnd w:id="350"/>
    </w:p>
    <w:p w14:paraId="1B361DAF" w14:textId="0AC7D0AA" w:rsidR="00D9032C" w:rsidRPr="005970E9" w:rsidRDefault="00D9032C" w:rsidP="00D9032C">
      <w:pPr>
        <w:spacing w:before="120" w:after="120" w:line="276" w:lineRule="auto"/>
        <w:jc w:val="both"/>
        <w:rPr>
          <w:rFonts w:eastAsia="Century Schoolbook" w:cs="Century Schoolbook"/>
          <w:lang w:val="es-ES"/>
        </w:rPr>
      </w:pPr>
      <w:r w:rsidRPr="005970E9">
        <w:rPr>
          <w:noProof/>
        </w:rPr>
        <mc:AlternateContent>
          <mc:Choice Requires="wps">
            <w:drawing>
              <wp:anchor distT="45720" distB="45720" distL="114300" distR="114300" simplePos="0" relativeHeight="251772969" behindDoc="0" locked="0" layoutInCell="1" allowOverlap="1" wp14:anchorId="225B90A3" wp14:editId="4E4FFDBF">
                <wp:simplePos x="0" y="0"/>
                <wp:positionH relativeFrom="column">
                  <wp:posOffset>3748405</wp:posOffset>
                </wp:positionH>
                <wp:positionV relativeFrom="paragraph">
                  <wp:posOffset>97155</wp:posOffset>
                </wp:positionV>
                <wp:extent cx="2329815" cy="5437505"/>
                <wp:effectExtent l="0" t="0" r="22225" b="19050"/>
                <wp:wrapSquare wrapText="bothSides"/>
                <wp:docPr id="249"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273040"/>
                        </a:xfrm>
                        <a:prstGeom prst="rect">
                          <a:avLst/>
                        </a:prstGeom>
                        <a:solidFill>
                          <a:srgbClr val="FFFFFF"/>
                        </a:solidFill>
                        <a:ln w="9525">
                          <a:solidFill>
                            <a:srgbClr val="000000"/>
                          </a:solidFill>
                          <a:miter lim="800000"/>
                          <a:headEnd/>
                          <a:tailEnd/>
                        </a:ln>
                      </wps:spPr>
                      <wps:txbx>
                        <w:txbxContent>
                          <w:p w14:paraId="0F49E7B8" w14:textId="77777777" w:rsidR="00DC0EAB" w:rsidRDefault="00DC0EAB" w:rsidP="00D9032C">
                            <w:pPr>
                              <w:shd w:val="clear" w:color="auto" w:fill="CCC0D9" w:themeFill="accent4" w:themeFillTint="66"/>
                              <w:jc w:val="both"/>
                              <w:rPr>
                                <w:b/>
                                <w:lang w:val="es-ES"/>
                              </w:rPr>
                            </w:pPr>
                            <w:r>
                              <w:rPr>
                                <w:b/>
                                <w:lang w:val="es-ES"/>
                              </w:rPr>
                              <w:t>Enfermedades y riesgos asociados a las deficiencias en los servicios de agua y saneamiento</w:t>
                            </w:r>
                          </w:p>
                          <w:p w14:paraId="214B48D9" w14:textId="77777777" w:rsidR="00DC0EAB" w:rsidRDefault="00DC0EAB" w:rsidP="00D9032C">
                            <w:pPr>
                              <w:shd w:val="clear" w:color="auto" w:fill="CCC0D9" w:themeFill="accent4" w:themeFillTint="66"/>
                              <w:jc w:val="both"/>
                              <w:rPr>
                                <w:lang w:val="es-ES"/>
                              </w:rPr>
                            </w:pPr>
                            <w:r>
                              <w:rPr>
                                <w:lang w:val="es-ES"/>
                              </w:rPr>
                              <w:t>El acceso a servicios de agua, saneamiento e higiene sin riesgos podría evitar que muchas personas sufran enfermedades. Se calcula que las enfermedades diarreicas causan alrededor del 3,6% del total de los años de vida ajustados en función de la discapacidad debidos a enfermedades y causan 1,5 millones de fallecimientos cada año (OMS, 2012). De acuerdo con las estimaciones, el 58% de esa carga de enfermedad —es decir, 842 000 muertes anuales— se debe a la ausencia de agua salubre y a un saneamiento y una higiene deficientes, e incluyen 361 000 fallecimientos de niños menores de 5 años, la mayor parte de ellos en países de ingresos bajos (OMS, 2014).</w:t>
                            </w:r>
                          </w:p>
                          <w:p w14:paraId="60367FDA" w14:textId="77777777" w:rsidR="00DC0EAB" w:rsidRDefault="00062ABE" w:rsidP="00D9032C">
                            <w:pPr>
                              <w:shd w:val="clear" w:color="auto" w:fill="CCC0D9" w:themeFill="accent4" w:themeFillTint="66"/>
                              <w:jc w:val="both"/>
                              <w:rPr>
                                <w:lang w:val="es-ES"/>
                              </w:rPr>
                            </w:pPr>
                            <w:hyperlink r:id="rId85" w:history="1">
                              <w:r w:rsidR="00DC0EAB">
                                <w:rPr>
                                  <w:rStyle w:val="Hyperlink"/>
                                  <w:lang w:val="es-ES"/>
                                </w:rPr>
                                <w:t>https://www.who.int/water_sanitation_health/diseases-risks/es/</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5B90A3" id="Cuadro de texto 64" o:spid="_x0000_s1053" type="#_x0000_t202" style="position:absolute;left:0;text-align:left;margin-left:295.15pt;margin-top:7.65pt;width:183.45pt;height:428.15pt;z-index:25177296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">
                <v:textbox style="mso-fit-shape-to-text:t">
                  <w:txbxContent>
                    <w:p w14:paraId="0F49E7B8" w14:textId="77777777" w:rsidR="00DC0EAB" w:rsidRDefault="00DC0EAB" w:rsidP="00D9032C">
                      <w:pPr>
                        <w:shd w:val="clear" w:color="auto" w:fill="CCC0D9" w:themeFill="accent4" w:themeFillTint="66"/>
                        <w:jc w:val="both"/>
                        <w:rPr>
                          <w:b/>
                          <w:lang w:val="es-ES"/>
                        </w:rPr>
                      </w:pPr>
                      <w:r>
                        <w:rPr>
                          <w:b/>
                          <w:lang w:val="es-ES"/>
                        </w:rPr>
                        <w:t>Enfermedades y riesgos asociados a las deficiencias en los servicios de agua y saneamiento</w:t>
                      </w:r>
                    </w:p>
                    <w:p w14:paraId="214B48D9" w14:textId="77777777" w:rsidR="00DC0EAB" w:rsidRDefault="00DC0EAB" w:rsidP="00D9032C">
                      <w:pPr>
                        <w:shd w:val="clear" w:color="auto" w:fill="CCC0D9" w:themeFill="accent4" w:themeFillTint="66"/>
                        <w:jc w:val="both"/>
                        <w:rPr>
                          <w:lang w:val="es-ES"/>
                        </w:rPr>
                      </w:pPr>
                      <w:r>
                        <w:rPr>
                          <w:lang w:val="es-ES"/>
                        </w:rPr>
                        <w:t>El acceso a servicios de agua, saneamiento e higiene sin riesgos podría evitar que muchas personas sufran enfermedades. Se calcula que las enfermedades diarreicas causan alrededor del 3,6% del total de los años de vida ajustados en función de la discapacidad debidos a enfermedades y causan 1,5 millones de fallecimientos cada año (OMS, 2012). De acuerdo con las estimaciones, el 58% de esa carga de enfermedad —es decir, 842 000 muertes anuales— se debe a la ausencia de agua salubre y a un saneamiento y una higiene deficientes, e incluyen 361 000 fallecimientos de niños menores de 5 años, la mayor parte de ellos en países de ingresos bajos (OMS, 2014).</w:t>
                      </w:r>
                    </w:p>
                    <w:p w14:paraId="60367FDA" w14:textId="77777777" w:rsidR="00DC0EAB" w:rsidRDefault="00062ABE" w:rsidP="00D9032C">
                      <w:pPr>
                        <w:shd w:val="clear" w:color="auto" w:fill="CCC0D9" w:themeFill="accent4" w:themeFillTint="66"/>
                        <w:jc w:val="both"/>
                        <w:rPr>
                          <w:lang w:val="es-ES"/>
                        </w:rPr>
                      </w:pPr>
                      <w:hyperlink r:id="rId86" w:history="1">
                        <w:r w:rsidR="00DC0EAB">
                          <w:rPr>
                            <w:rStyle w:val="Hyperlink"/>
                            <w:lang w:val="es-ES"/>
                          </w:rPr>
                          <w:t>https://www.who.int/water_sanitation_health/diseases-risks/es/</w:t>
                        </w:r>
                      </w:hyperlink>
                    </w:p>
                  </w:txbxContent>
                </v:textbox>
                <w10:wrap type="square"/>
              </v:shape>
            </w:pict>
          </mc:Fallback>
        </mc:AlternateContent>
      </w:r>
      <w:r w:rsidRPr="005970E9">
        <w:rPr>
          <w:noProof/>
        </w:rPr>
        <mc:AlternateContent>
          <mc:Choice Requires="wps">
            <w:drawing>
              <wp:anchor distT="45720" distB="45720" distL="114300" distR="114300" simplePos="0" relativeHeight="251658268" behindDoc="0" locked="0" layoutInCell="1" allowOverlap="1" wp14:anchorId="225B90A3" wp14:editId="4E4FFDBF">
                <wp:simplePos x="0" y="0"/>
                <wp:positionH relativeFrom="column">
                  <wp:posOffset>3748405</wp:posOffset>
                </wp:positionH>
                <wp:positionV relativeFrom="paragraph">
                  <wp:posOffset>97155</wp:posOffset>
                </wp:positionV>
                <wp:extent cx="2329815" cy="5437505"/>
                <wp:effectExtent l="0" t="0" r="22225" b="19050"/>
                <wp:wrapSquare wrapText="bothSides"/>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273040"/>
                        </a:xfrm>
                        <a:prstGeom prst="rect">
                          <a:avLst/>
                        </a:prstGeom>
                        <a:solidFill>
                          <a:srgbClr val="FFFFFF"/>
                        </a:solidFill>
                        <a:ln w="9525">
                          <a:solidFill>
                            <a:srgbClr val="000000"/>
                          </a:solidFill>
                          <a:miter lim="800000"/>
                          <a:headEnd/>
                          <a:tailEnd/>
                        </a:ln>
                      </wps:spPr>
                      <wps:txbx>
                        <w:txbxContent>
                          <w:p w14:paraId="7F38D538" w14:textId="77777777" w:rsidR="00DC0EAB" w:rsidRDefault="00DC0EAB" w:rsidP="00D9032C">
                            <w:pPr>
                              <w:shd w:val="clear" w:color="auto" w:fill="CCC0D9" w:themeFill="accent4" w:themeFillTint="66"/>
                              <w:jc w:val="both"/>
                              <w:rPr>
                                <w:b/>
                                <w:lang w:val="es-ES"/>
                              </w:rPr>
                            </w:pPr>
                            <w:r>
                              <w:rPr>
                                <w:b/>
                                <w:lang w:val="es-ES"/>
                              </w:rPr>
                              <w:t>Enfermedades y riesgos asociados a las deficiencias en los servicios de agua y saneamiento</w:t>
                            </w:r>
                          </w:p>
                          <w:p w14:paraId="4258AEFE" w14:textId="77777777" w:rsidR="00DC0EAB" w:rsidRDefault="00DC0EAB" w:rsidP="00D9032C">
                            <w:pPr>
                              <w:shd w:val="clear" w:color="auto" w:fill="CCC0D9" w:themeFill="accent4" w:themeFillTint="66"/>
                              <w:jc w:val="both"/>
                              <w:rPr>
                                <w:lang w:val="es-ES"/>
                              </w:rPr>
                            </w:pPr>
                            <w:r>
                              <w:rPr>
                                <w:lang w:val="es-ES"/>
                              </w:rPr>
                              <w:t>El acceso a servicios de agua, saneamiento e higiene sin riesgos podría evitar que muchas personas sufran enfermedades. Se calcula que las enfermedades diarreicas causan alrededor del 3,6% del total de los años de vida ajustados en función de la discapacidad debidos a enfermedades y causan 1,5 millones de fallecimientos cada año (OMS, 2012). De acuerdo con las estimaciones, el 58% de esa carga de enfermedad —es decir, 842 000 muertes anuales— se debe a la ausencia de agua salubre y a un saneamiento y una higiene deficientes, e incluyen 361 000 fallecimientos de niños menores de 5 años, la mayor parte de ellos en países de ingresos bajos (OMS, 2014).</w:t>
                            </w:r>
                          </w:p>
                          <w:p w14:paraId="5F3E249B" w14:textId="77777777" w:rsidR="00DC0EAB" w:rsidRDefault="00062ABE" w:rsidP="00D9032C">
                            <w:pPr>
                              <w:shd w:val="clear" w:color="auto" w:fill="CCC0D9" w:themeFill="accent4" w:themeFillTint="66"/>
                              <w:jc w:val="both"/>
                              <w:rPr>
                                <w:lang w:val="es-ES"/>
                              </w:rPr>
                            </w:pPr>
                            <w:hyperlink r:id="rId87" w:history="1">
                              <w:r w:rsidR="00DC0EAB">
                                <w:rPr>
                                  <w:rStyle w:val="Hyperlink"/>
                                  <w:lang w:val="es-ES"/>
                                </w:rPr>
                                <w:t>https://www.who.int/water_sanitation_health/diseases-risks/es/</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5B90A3" id="_x0000_s1054" type="#_x0000_t202" style="position:absolute;left:0;text-align:left;margin-left:295.15pt;margin-top:7.65pt;width:183.45pt;height:428.15pt;z-index:2516582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">
                <v:textbox style="mso-fit-shape-to-text:t">
                  <w:txbxContent>
                    <w:p w14:paraId="7F38D538" w14:textId="77777777" w:rsidR="00DC0EAB" w:rsidRDefault="00DC0EAB" w:rsidP="00D9032C">
                      <w:pPr>
                        <w:shd w:val="clear" w:color="auto" w:fill="CCC0D9" w:themeFill="accent4" w:themeFillTint="66"/>
                        <w:jc w:val="both"/>
                        <w:rPr>
                          <w:b/>
                          <w:lang w:val="es-ES"/>
                        </w:rPr>
                      </w:pPr>
                      <w:r>
                        <w:rPr>
                          <w:b/>
                          <w:lang w:val="es-ES"/>
                        </w:rPr>
                        <w:t>Enfermedades y riesgos asociados a las deficiencias en los servicios de agua y saneamiento</w:t>
                      </w:r>
                    </w:p>
                    <w:p w14:paraId="4258AEFE" w14:textId="77777777" w:rsidR="00DC0EAB" w:rsidRDefault="00DC0EAB" w:rsidP="00D9032C">
                      <w:pPr>
                        <w:shd w:val="clear" w:color="auto" w:fill="CCC0D9" w:themeFill="accent4" w:themeFillTint="66"/>
                        <w:jc w:val="both"/>
                        <w:rPr>
                          <w:lang w:val="es-ES"/>
                        </w:rPr>
                      </w:pPr>
                      <w:r>
                        <w:rPr>
                          <w:lang w:val="es-ES"/>
                        </w:rPr>
                        <w:t>El acceso a servicios de agua, saneamiento e higiene sin riesgos podría evitar que muchas personas sufran enfermedades. Se calcula que las enfermedades diarreicas causan alrededor del 3,6% del total de los años de vida ajustados en función de la discapacidad debidos a enfermedades y causan 1,5 millones de fallecimientos cada año (OMS, 2012). De acuerdo con las estimaciones, el 58% de esa carga de enfermedad —es decir, 842 000 muertes anuales— se debe a la ausencia de agua salubre y a un saneamiento y una higiene deficientes, e incluyen 361 000 fallecimientos de niños menores de 5 años, la mayor parte de ellos en países de ingresos bajos (OMS, 2014).</w:t>
                      </w:r>
                    </w:p>
                    <w:p w14:paraId="5F3E249B" w14:textId="77777777" w:rsidR="00DC0EAB" w:rsidRDefault="00062ABE" w:rsidP="00D9032C">
                      <w:pPr>
                        <w:shd w:val="clear" w:color="auto" w:fill="CCC0D9" w:themeFill="accent4" w:themeFillTint="66"/>
                        <w:jc w:val="both"/>
                        <w:rPr>
                          <w:lang w:val="es-ES"/>
                        </w:rPr>
                      </w:pPr>
                      <w:hyperlink r:id="rId88" w:history="1">
                        <w:r w:rsidR="00DC0EAB">
                          <w:rPr>
                            <w:rStyle w:val="Hyperlink"/>
                            <w:lang w:val="es-ES"/>
                          </w:rPr>
                          <w:t>https://www.who.int/water_sanitation_health/diseases-risks/es/</w:t>
                        </w:r>
                      </w:hyperlink>
                    </w:p>
                  </w:txbxContent>
                </v:textbox>
                <w10:wrap type="square"/>
              </v:shape>
            </w:pict>
          </mc:Fallback>
        </mc:AlternateContent>
      </w:r>
      <w:r w:rsidRPr="005970E9">
        <w:rPr>
          <w:rFonts w:eastAsia="Century Schoolbook" w:cs="Century Schoolbook"/>
          <w:lang w:val="es-ES"/>
        </w:rPr>
        <w:t>Todas las intenciones progresistas de las que se precie un país soberano como lo es Panamá debe incluir la igualdad de género como una de sus causas más nobles, por cuanto al desarrollo social se refiere. En pleno siglo XXI no se puede concebir una sociedad que progrese si deja de lado la igualdad de género. La razón es incluso simple: no se progresa si se hace sin la mitad de la población.</w:t>
      </w:r>
    </w:p>
    <w:p w14:paraId="061D73F5" w14:textId="77777777"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El desarrollo sostenible como otra búsqueda impostergable de nuestro tiempo no escapa de la necesidad de abordar el tema integralmente desde la perspectiva de género, es decir de las relaciones complementarias entre hombres y mujeres y las actitudes de ambos en lo que a recursos naturales y ambiente en general se refiere.</w:t>
      </w:r>
    </w:p>
    <w:p w14:paraId="32F62604" w14:textId="00B79374"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 xml:space="preserve">Siendo más específicos la igualdad de derechos y oportunidades es una condición previa necesaria para la existencia del desarrollo sustentable. El ser humano en su mayoría se encuentra inmerso en una sociedad de estructuras y roles asignados que a su vez son determinados por distintos factores económicos, culturales etc. así como el género y en virtud de este hombres y mujeres asumen voluntaria u obligadamente diferentes funciones en la familia el trabajo o la comunidad. Esto implica que a diferencia de roles distintos manejos de recursos en diferentes entornos. Por ejemplo: en medio de una comunidad rural con escasez de agua es común que sea la mujer quien se encargue varias horas del día a recolectar, emplear y manejar este recurso, mientras que el hombre rara vez participa de esta actividad. </w:t>
      </w:r>
    </w:p>
    <w:p w14:paraId="281D4125" w14:textId="77777777"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Por simple que resulte el ejemplo anterior este se precia de un gran calado. Las actividades relacionadas con el manejo doméstico de recursos como el agua muchas veces se relegan a segundos planos priorizando la utilización óptima e industrializada de los recursos en fábricas o sistemas de riego; es decir, la economía productiva. Por lo general las mujeres no participan en estos procesos de toma de decisión que permitirían optar en tal caso por un suministro de agua potable para las comunidades.</w:t>
      </w:r>
    </w:p>
    <w:p w14:paraId="3F695BFB" w14:textId="77777777"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 xml:space="preserve">Para La República de Panamá la legislación en materia ambiental surge a partir de la conferencia de las naciones unidas sobre el medio ambiente celebrada en Estocolmo del 5 al 16 de junio de 1972. Antes de esto en la década del 60 todo lo referente a legislación </w:t>
      </w:r>
      <w:r w:rsidRPr="005970E9">
        <w:rPr>
          <w:rFonts w:eastAsia="Century Schoolbook" w:cs="Century Schoolbook"/>
          <w:lang w:val="es-ES"/>
        </w:rPr>
        <w:lastRenderedPageBreak/>
        <w:t xml:space="preserve">ambiental de Panamá se limitó a lo mencionado en el capítulo 7, artículos del 118 al 121 de la Constitución que hace alusión al medio ambiente, la contaminación y los recursos naturales. En 1998 mediante la Ley No. 41 del 1 de julio de este año se crea la Autoridad Nacional del Ambiente (ANAM) y a su vez se crea la ley General del Ambiente de la República de Panamá cuya función principal fue la de asegurar el complimiento y aplicación de las leyes, los reglamentos y las políticas nacionales en materia de ambiente; Luego, </w:t>
      </w:r>
      <w:r w:rsidRPr="005970E9">
        <w:rPr>
          <w:rFonts w:eastAsia="Century Schoolbook" w:cs="Century Schoolbook"/>
          <w:color w:val="222222"/>
          <w:highlight w:val="white"/>
          <w:lang w:val="es-ES"/>
        </w:rPr>
        <w:t xml:space="preserve">La </w:t>
      </w:r>
      <w:r w:rsidRPr="005970E9">
        <w:rPr>
          <w:rFonts w:eastAsia="Century Schoolbook" w:cs="Century Schoolbook"/>
          <w:lang w:val="es-ES"/>
        </w:rPr>
        <w:t>transición más importante de la legislación panameña para el periodo 2014-2016, fue el ascenso de la ANAM al grado de Ministerio de Ambiente entidad rectora estatal en materia de protección, conservación, preservación y restauración del ambiente y el uso sostenible de los recursos naturales para asegurar el cumplimiento y aplicación de las leyes y los reglamentos de la política nacional del ambiente (Ley 8 de 25 de mayo de 2015).</w:t>
      </w:r>
    </w:p>
    <w:p w14:paraId="47FA79A9" w14:textId="77777777" w:rsidR="00D9032C" w:rsidRPr="005970E9" w:rsidRDefault="00D9032C" w:rsidP="00D9032C">
      <w:pPr>
        <w:spacing w:before="120" w:after="120" w:line="276" w:lineRule="auto"/>
        <w:jc w:val="both"/>
        <w:rPr>
          <w:rFonts w:eastAsia="Century Schoolbook" w:cs="Century Schoolbook"/>
          <w:highlight w:val="white"/>
          <w:lang w:val="es-ES"/>
        </w:rPr>
      </w:pPr>
      <w:r w:rsidRPr="005970E9">
        <w:rPr>
          <w:rFonts w:eastAsia="Century Schoolbook" w:cs="Century Schoolbook"/>
          <w:highlight w:val="white"/>
          <w:lang w:val="es-ES"/>
        </w:rPr>
        <w:t>En el marco ambiental y su transversalidad con el tema igualdad de género en su momento la ANAM desarrollo el programa institucional de género y ambiente; a su vez, el Ministerio de Salud desarrolló acciones en el área de saneamiento ambiental con enfoque de género, además se realizaron publicaciones donde se involucran las variables de género y ambiente.</w:t>
      </w:r>
    </w:p>
    <w:p w14:paraId="6F1A1B30" w14:textId="59F8871C"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 xml:space="preserve">Desde la perspectiva del marco legal la no discriminación y la igualdad están interrelacionadas constituyen pilares fundamentales del derecho internacional y los derechos humanos. En muchos casos, la falta de acceso a un nivel adecuado de agua, saneamiento e higiene y la imposibilidad de participar en su gestión han dado lugar desde el punto de vista estructural a que muchos derechos queden fuera del alcance de las mujeres y las niñas. En ese sentido la legislación ambiental indistintamente de cualquier </w:t>
      </w:r>
      <w:r w:rsidR="4E748BF2" w:rsidRPr="005970E9">
        <w:rPr>
          <w:rFonts w:eastAsia="Century Schoolbook" w:cs="Century Schoolbook"/>
          <w:lang w:val="es-ES"/>
        </w:rPr>
        <w:t>otra</w:t>
      </w:r>
      <w:r w:rsidRPr="005970E9">
        <w:rPr>
          <w:rFonts w:eastAsia="Century Schoolbook" w:cs="Century Schoolbook"/>
          <w:lang w:val="es-ES"/>
        </w:rPr>
        <w:t xml:space="preserve"> debe ser integral e incluir todas las dimensiones sociales en que esta debe impactar.</w:t>
      </w:r>
    </w:p>
    <w:p w14:paraId="1588D844" w14:textId="77777777" w:rsidR="00D9032C" w:rsidRPr="005970E9" w:rsidRDefault="00D9032C" w:rsidP="00D9032C">
      <w:pPr>
        <w:pStyle w:val="Heading3"/>
        <w:numPr>
          <w:ilvl w:val="2"/>
          <w:numId w:val="43"/>
        </w:numPr>
        <w:rPr>
          <w:lang w:val="es-ES"/>
        </w:rPr>
      </w:pPr>
      <w:bookmarkStart w:id="351" w:name="_Toc42159266"/>
      <w:bookmarkStart w:id="352" w:name="_Toc42549497"/>
      <w:r w:rsidRPr="005970E9">
        <w:rPr>
          <w:lang w:val="es-ES"/>
        </w:rPr>
        <w:t>Género, agua y saneamiento rural</w:t>
      </w:r>
      <w:bookmarkEnd w:id="351"/>
      <w:bookmarkEnd w:id="352"/>
    </w:p>
    <w:p w14:paraId="6EE150FE" w14:textId="77777777" w:rsidR="00D9032C" w:rsidRPr="005970E9" w:rsidRDefault="00D9032C" w:rsidP="00D9032C">
      <w:pPr>
        <w:spacing w:before="120" w:after="120" w:line="276" w:lineRule="auto"/>
        <w:jc w:val="both"/>
        <w:rPr>
          <w:rFonts w:eastAsia="Century Schoolbook" w:cs="Century Schoolbook"/>
          <w:highlight w:val="white"/>
          <w:lang w:val="es-ES"/>
        </w:rPr>
      </w:pPr>
      <w:r w:rsidRPr="005970E9">
        <w:rPr>
          <w:rFonts w:eastAsia="Century Schoolbook" w:cs="Century Schoolbook"/>
          <w:highlight w:val="white"/>
          <w:lang w:val="es-ES"/>
        </w:rPr>
        <w:t>Las Políticas Públicas para garantizar el agua a toda la población inician desde la misma Constitución de la República</w:t>
      </w:r>
      <w:r w:rsidRPr="005970E9">
        <w:rPr>
          <w:rFonts w:eastAsia="Century Schoolbook" w:cs="Century Schoolbook"/>
          <w:highlight w:val="white"/>
          <w:vertAlign w:val="superscript"/>
          <w:lang w:val="es-ES"/>
        </w:rPr>
        <w:footnoteReference w:id="109"/>
      </w:r>
      <w:r w:rsidRPr="005970E9">
        <w:rPr>
          <w:rFonts w:eastAsia="Century Schoolbook" w:cs="Century Schoolbook"/>
          <w:highlight w:val="white"/>
          <w:lang w:val="es-ES"/>
        </w:rPr>
        <w:t xml:space="preserve"> que en su artículo 258 establece que el agua es un bien de uso público, que no puede ser privada, lo cual es concordante con el artículo 2 de la Ley 35 de 1966, el artículo 329 del Código Civil, y el artículo 81 de la Ley 41 de 1998 General del Ambiente.</w:t>
      </w:r>
    </w:p>
    <w:p w14:paraId="54ED2558" w14:textId="77777777" w:rsidR="00D9032C" w:rsidRPr="005970E9" w:rsidRDefault="00D9032C" w:rsidP="00D9032C">
      <w:pPr>
        <w:spacing w:before="120" w:after="120" w:line="276" w:lineRule="auto"/>
        <w:jc w:val="both"/>
        <w:rPr>
          <w:rFonts w:eastAsia="Century Schoolbook" w:cs="Century Schoolbook"/>
          <w:highlight w:val="white"/>
          <w:lang w:val="es-ES"/>
        </w:rPr>
      </w:pPr>
      <w:r w:rsidRPr="005970E9">
        <w:rPr>
          <w:rFonts w:eastAsia="Century Schoolbook" w:cs="Century Schoolbook"/>
          <w:highlight w:val="white"/>
          <w:lang w:val="es-ES"/>
        </w:rPr>
        <w:t>El Estado garantiza su adecuado uso, aprovechamiento y conservación, para asegurar su sostenibilidad, acceso y control. El artículo 81 de la Ley 41, General del Ambiente, establece que la conservación y uso del agua es de interés social y que sus usos se encuentran condicionados a la disponibilidad del recurso y a las necesidades reales del objeto a que se destinen.</w:t>
      </w:r>
    </w:p>
    <w:p w14:paraId="28BE9196" w14:textId="77777777" w:rsidR="00D9032C" w:rsidRPr="005970E9" w:rsidRDefault="00D9032C" w:rsidP="00D9032C">
      <w:pPr>
        <w:spacing w:before="120" w:after="120" w:line="276" w:lineRule="auto"/>
        <w:jc w:val="both"/>
        <w:rPr>
          <w:rFonts w:eastAsia="Century Schoolbook" w:cs="Century Schoolbook"/>
          <w:highlight w:val="white"/>
          <w:lang w:val="es-ES"/>
        </w:rPr>
      </w:pPr>
      <w:r w:rsidRPr="005970E9">
        <w:rPr>
          <w:rFonts w:eastAsia="Century Schoolbook" w:cs="Century Schoolbook"/>
          <w:highlight w:val="white"/>
          <w:lang w:val="es-ES"/>
        </w:rPr>
        <w:lastRenderedPageBreak/>
        <w:t>En el 2015 se elabora el Plan Nacional de Seguridad Hídrica 2015-2050</w:t>
      </w:r>
      <w:r w:rsidRPr="005970E9">
        <w:rPr>
          <w:rFonts w:eastAsia="Century Schoolbook" w:cs="Century Schoolbook"/>
          <w:highlight w:val="white"/>
          <w:vertAlign w:val="superscript"/>
          <w:lang w:val="es-ES"/>
        </w:rPr>
        <w:footnoteReference w:id="110"/>
      </w:r>
      <w:r w:rsidRPr="005970E9">
        <w:rPr>
          <w:rFonts w:eastAsia="Century Schoolbook" w:cs="Century Schoolbook"/>
          <w:highlight w:val="white"/>
          <w:lang w:val="es-ES"/>
        </w:rPr>
        <w:t xml:space="preserve"> por el Comité de Alto Nivel de Seguridad Hídrica. El Plan se plantea cinco retos: alcanzar el 100% de cobertura sostenida con agua de calidad y servicios básicos; garantizar nuestra seguridad hídrica en un clima cambiante; restaurar y mantener saludables las 52 cuencas hidrográficas del país; mantener en condiciones funcionales la creciente infraestructura nacional de agua y saneamiento; y evolucionar hacia una cultura de uso responsable y compartido del agua.</w:t>
      </w:r>
    </w:p>
    <w:p w14:paraId="131C8B2A" w14:textId="77777777" w:rsidR="00D9032C" w:rsidRPr="005970E9" w:rsidRDefault="00D9032C" w:rsidP="00D9032C">
      <w:pPr>
        <w:pStyle w:val="Heading3"/>
        <w:numPr>
          <w:ilvl w:val="2"/>
          <w:numId w:val="43"/>
        </w:numPr>
        <w:rPr>
          <w:highlight w:val="white"/>
          <w:lang w:val="es-ES"/>
        </w:rPr>
      </w:pPr>
      <w:bookmarkStart w:id="353" w:name="_Toc42159267"/>
      <w:bookmarkStart w:id="354" w:name="_Toc42549498"/>
      <w:r w:rsidRPr="005970E9">
        <w:rPr>
          <w:lang w:val="es-ES"/>
        </w:rPr>
        <w:t>Acceso y uso del agua potable en Panamá</w:t>
      </w:r>
      <w:bookmarkEnd w:id="353"/>
      <w:bookmarkEnd w:id="354"/>
    </w:p>
    <w:p w14:paraId="49139749" w14:textId="77777777" w:rsidR="00D9032C" w:rsidRPr="005970E9" w:rsidRDefault="00D9032C" w:rsidP="00D9032C">
      <w:pPr>
        <w:spacing w:before="120" w:after="120" w:line="276" w:lineRule="auto"/>
        <w:jc w:val="both"/>
        <w:rPr>
          <w:rFonts w:eastAsia="Century Schoolbook" w:cs="Century Schoolbook"/>
          <w:highlight w:val="white"/>
          <w:lang w:val="es-ES"/>
        </w:rPr>
      </w:pPr>
      <w:r w:rsidRPr="005970E9">
        <w:rPr>
          <w:rFonts w:eastAsia="Century Schoolbook" w:cs="Century Schoolbook"/>
          <w:highlight w:val="white"/>
          <w:lang w:val="es-ES"/>
        </w:rPr>
        <w:t>La mayor demanda de agua se concentra en la vertiente del pacífico donde habita el 83% de la población (2,96 millones de personas) y aglomera más del 70% de las actividades económicas del país, incluyendo la región metropolitana donde habita el 55% de la población total del país y se ubican la mayor cantidad de las industrias.</w:t>
      </w:r>
    </w:p>
    <w:p w14:paraId="0F9F9ADF" w14:textId="77777777" w:rsidR="00D9032C" w:rsidRPr="005970E9" w:rsidRDefault="00D9032C" w:rsidP="00D9032C">
      <w:pPr>
        <w:spacing w:before="120" w:after="120" w:line="276" w:lineRule="auto"/>
        <w:jc w:val="both"/>
        <w:rPr>
          <w:rFonts w:eastAsia="Century Schoolbook" w:cs="Century Schoolbook"/>
          <w:highlight w:val="white"/>
          <w:lang w:val="es-ES"/>
        </w:rPr>
      </w:pPr>
      <w:r w:rsidRPr="005970E9">
        <w:rPr>
          <w:rFonts w:eastAsia="Century Schoolbook" w:cs="Century Schoolbook"/>
          <w:highlight w:val="white"/>
          <w:lang w:val="es-ES"/>
        </w:rPr>
        <w:t>Según el INEC en el 2010 el país alcanzó una cobertura del 93,5% en agua potable y 92% de cobertura en saneamiento mejorado</w:t>
      </w:r>
      <w:r w:rsidRPr="005970E9">
        <w:rPr>
          <w:rFonts w:eastAsia="Century Schoolbook" w:cs="Century Schoolbook"/>
          <w:highlight w:val="white"/>
          <w:vertAlign w:val="superscript"/>
          <w:lang w:val="es-ES"/>
        </w:rPr>
        <w:footnoteReference w:id="111"/>
      </w:r>
      <w:r w:rsidRPr="005970E9">
        <w:rPr>
          <w:rFonts w:eastAsia="Century Schoolbook" w:cs="Century Schoolbook"/>
          <w:highlight w:val="white"/>
          <w:lang w:val="es-ES"/>
        </w:rPr>
        <w:t>.</w:t>
      </w:r>
    </w:p>
    <w:p w14:paraId="79051E32" w14:textId="77777777" w:rsidR="00D9032C" w:rsidRPr="005970E9" w:rsidRDefault="00D9032C" w:rsidP="00D9032C">
      <w:pPr>
        <w:spacing w:before="120" w:after="120" w:line="276" w:lineRule="auto"/>
        <w:jc w:val="both"/>
        <w:rPr>
          <w:rFonts w:eastAsia="Century Schoolbook" w:cs="Century Schoolbook"/>
          <w:highlight w:val="white"/>
          <w:lang w:val="es-ES"/>
        </w:rPr>
      </w:pPr>
      <w:r w:rsidRPr="005970E9">
        <w:rPr>
          <w:rFonts w:eastAsia="Century Schoolbook" w:cs="Century Schoolbook"/>
          <w:highlight w:val="white"/>
          <w:lang w:val="es-ES"/>
        </w:rPr>
        <w:t xml:space="preserve">En el año 2013, la encuesta INEC-UNICEF de indicadores múltiples por conglomerados </w:t>
      </w:r>
      <w:r w:rsidRPr="005970E9">
        <w:rPr>
          <w:rFonts w:eastAsia="Century Schoolbook" w:cs="Century Schoolbook"/>
          <w:highlight w:val="white"/>
          <w:vertAlign w:val="superscript"/>
          <w:lang w:val="es-ES"/>
        </w:rPr>
        <w:footnoteReference w:id="112"/>
      </w:r>
      <w:r w:rsidRPr="005970E9">
        <w:rPr>
          <w:rFonts w:eastAsia="Century Schoolbook" w:cs="Century Schoolbook"/>
          <w:highlight w:val="white"/>
          <w:lang w:val="es-ES"/>
        </w:rPr>
        <w:t>reportó un 95% de cobertura promedio de agua potable y un 85% de saneamiento.</w:t>
      </w:r>
    </w:p>
    <w:p w14:paraId="5464656A" w14:textId="2BC7E28B"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El Análisis Mundial y la Evaluación del Agua Potable y el Saneamiento (GLAAS en inglés) es una iniciativa de la oficina del Agua de las Naciones Unidas, implementada por la Organización Mundial de la Salud (OMS), para monitorear a nivel global, la provisión de los servicios de agua y saneamiento. Específicamente, la evaluación se enfoca en la naturaleza e impacto de las políticas e instituciones del gobierno; las inversiones en términos de los recursos humanos y financieros; este análisis no dice que para el año 2015 Panamá contaba con una cobertura de agua potable saludable del 94% a nivel nacional, para áreas urbanas este porcentaje fue del 97% y para áreas rurales de un 88%. Fuentes mejoradas de agua. Una fuente “mejorada” es aquella fuente que protege al agua que va ser consumida de materia fecal.”.</w:t>
      </w:r>
      <w:r w:rsidRPr="005970E9">
        <w:rPr>
          <w:rStyle w:val="FootnoteReference"/>
          <w:rFonts w:eastAsia="Century Schoolbook" w:cs="Century Schoolbook"/>
          <w:lang w:val="es-ES"/>
        </w:rPr>
        <w:footnoteReference w:id="113"/>
      </w:r>
    </w:p>
    <w:p w14:paraId="2A937A16" w14:textId="5DDFE66D"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highlight w:val="white"/>
          <w:lang w:val="es-ES"/>
        </w:rPr>
        <w:t xml:space="preserve">Sin embargo, el promedio nacional en estos indicadores oculta desigualdades que persisten entre el acceso, cantidad, continuidad y calidad en el ámbito urbano con respecto al rural especialmente en las comarcas indígenas. Las áreas geográficas con menos cobertura y acceso a los servicios de agua y saneamiento en Panamá son: Comarca Guna Yala, Comarca Ngäbe Buglé, Comarca Emberá y las provincias de Darién y Bocas del Toro regiones que se caracterizan por tener muchas áreas de difícil </w:t>
      </w:r>
      <w:r w:rsidRPr="005970E9">
        <w:rPr>
          <w:rFonts w:eastAsia="Century Schoolbook" w:cs="Century Schoolbook"/>
          <w:highlight w:val="white"/>
          <w:lang w:val="es-ES"/>
        </w:rPr>
        <w:lastRenderedPageBreak/>
        <w:t>acceso y una alta presencia de población indígena, además de coincidir con lugares donde hay mayor prevalencia de pobreza multidimensional</w:t>
      </w:r>
      <w:r w:rsidRPr="005970E9">
        <w:rPr>
          <w:rFonts w:eastAsia="Century Schoolbook" w:cs="Century Schoolbook"/>
          <w:highlight w:val="white"/>
          <w:vertAlign w:val="superscript"/>
          <w:lang w:val="es-ES"/>
        </w:rPr>
        <w:footnoteReference w:id="114"/>
      </w:r>
      <w:r w:rsidRPr="005970E9">
        <w:rPr>
          <w:rFonts w:eastAsia="Century Schoolbook" w:cs="Century Schoolbook"/>
          <w:highlight w:val="white"/>
          <w:lang w:val="es-ES"/>
        </w:rPr>
        <w:t>.</w:t>
      </w:r>
    </w:p>
    <w:p w14:paraId="28796E2B" w14:textId="06B5BBB7"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 xml:space="preserve">Los resultados de la encuesta MICS 2013 revelaron que el 1.7% de la población urbana no tiene agua para beber dentro de la vivienda, este mismo porcentaje fue de 8.8% para el área rural, dentro del área rural fueron las comarcas indígenas las que tienen los más altos porcentajes de viviendas que no cuentan con agua dentro de la vivienda a saber la Comarca Emberá con 53.9%, le sigue la Comarca Ngäbe Buglé con 31.4% y Kuna Yala con 21.1%. Esta misma encuesta revela que son las mujeres las que mayoritariamente se encargan de cargar el agua para la vivienda, y las niñas y niños menores de 15 años participan de esta recolección en áreas rurales. </w:t>
      </w:r>
      <w:r w:rsidRPr="005970E9">
        <w:rPr>
          <w:rStyle w:val="FootnoteReference"/>
          <w:rFonts w:eastAsia="Century Schoolbook" w:cs="Century Schoolbook"/>
          <w:lang w:val="es-ES"/>
        </w:rPr>
        <w:footnoteReference w:id="115"/>
      </w:r>
    </w:p>
    <w:p w14:paraId="4A2147F5" w14:textId="77777777"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El agua es un recurso que se reconoce como uno de los más importantes en las sociedades de todos los tiempos, la posesión, disposición y manejo de este constituye un elemento de poder y por tanto se encuentra sujeto a las dinámicas sociales así como de los esquemas de género; los proyectos de desarrollo que involucran este recurso pueden desencadenar cambios en la vida sociocultural, en los niveles de poder, toma de decisión, división social del trabajo; es por ello que estos proyectos deben incorporar todos estos elementos al esquema de análisis y a la metodología. Adecuar los proyectos y programas a la realidad concreta de existencia de cada individuo. Incluir la perspectiva de género donde hombres y mujeres aportan sus destrezas.</w:t>
      </w:r>
    </w:p>
    <w:p w14:paraId="79D26462" w14:textId="77777777"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Algunos elementos que se vislumbran en el manejo del agua a nivel doméstico:</w:t>
      </w:r>
    </w:p>
    <w:p w14:paraId="1761F066" w14:textId="77777777"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 Son las mujeres las principales usuarias del agua para el consumo familiar, las que se encargan de la salud y del saneamiento;</w:t>
      </w:r>
    </w:p>
    <w:p w14:paraId="23504901" w14:textId="77777777"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 Son las principales socializadoras sobre los usos y costumbres y fundamentalmente las actoras vitales en la sostenibilidad de los recursos hídricos;</w:t>
      </w:r>
    </w:p>
    <w:p w14:paraId="5A0D7DEF" w14:textId="77777777"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 Las mujeres son las que más utilizan los recursos hídricos naturales como los ríos, quebradas, ojos de agua, lagos, etc.;</w:t>
      </w:r>
    </w:p>
    <w:p w14:paraId="52A51A1B" w14:textId="77777777"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 Las mujeres no participan en los procesos de consulta por lo que a veces los proyectos no responden a las necesidades sentidas por las mujeres que son las que llevan la mayor carga de suministro del agua dentro de los hogares;</w:t>
      </w:r>
    </w:p>
    <w:p w14:paraId="22E7674F" w14:textId="77777777"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 Las mujeres no están comprometidas en la gestión o toma de decisiones;</w:t>
      </w:r>
    </w:p>
    <w:p w14:paraId="227311F3" w14:textId="77777777"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t>• Y no controlan los presupuestos ni participan en la planificación de los proyectos, entre otros aspectos.</w:t>
      </w:r>
      <w:r w:rsidRPr="005970E9">
        <w:rPr>
          <w:rFonts w:eastAsia="Century Schoolbook" w:cs="Century Schoolbook"/>
          <w:vertAlign w:val="superscript"/>
          <w:lang w:val="es-ES"/>
        </w:rPr>
        <w:footnoteReference w:id="116"/>
      </w:r>
    </w:p>
    <w:p w14:paraId="33845F5C" w14:textId="77777777" w:rsidR="00D9032C" w:rsidRPr="005970E9" w:rsidRDefault="00D9032C" w:rsidP="00D9032C">
      <w:pPr>
        <w:spacing w:before="120" w:after="120" w:line="276" w:lineRule="auto"/>
        <w:jc w:val="both"/>
        <w:rPr>
          <w:rFonts w:eastAsia="Century Schoolbook" w:cs="Century Schoolbook"/>
          <w:lang w:val="es-ES"/>
        </w:rPr>
      </w:pPr>
    </w:p>
    <w:p w14:paraId="784B1C38" w14:textId="361680DB" w:rsidR="00D9032C" w:rsidRPr="005970E9" w:rsidRDefault="00D9032C" w:rsidP="00D9032C">
      <w:pPr>
        <w:spacing w:before="120" w:after="120" w:line="276" w:lineRule="auto"/>
        <w:jc w:val="both"/>
        <w:rPr>
          <w:rFonts w:eastAsia="Century Schoolbook" w:cs="Century Schoolbook"/>
          <w:lang w:val="es-ES"/>
        </w:rPr>
      </w:pPr>
      <w:r w:rsidRPr="005970E9">
        <w:rPr>
          <w:rFonts w:eastAsia="Century Schoolbook" w:cs="Century Schoolbook"/>
          <w:lang w:val="es-ES"/>
        </w:rPr>
        <w:lastRenderedPageBreak/>
        <w:t xml:space="preserve">Es por ello que se hace necesario que se genere una estrategia desde una perspectiva de género que permita una gestión integral del agua con la participación y </w:t>
      </w:r>
      <w:r w:rsidR="0051547E" w:rsidRPr="005970E9">
        <w:rPr>
          <w:rFonts w:eastAsia="Century Schoolbook" w:cs="Century Schoolbook"/>
          <w:lang w:val="es-ES"/>
        </w:rPr>
        <w:t>liderazgos</w:t>
      </w:r>
      <w:r w:rsidRPr="005970E9">
        <w:rPr>
          <w:rFonts w:eastAsia="Century Schoolbook" w:cs="Century Schoolbook"/>
          <w:lang w:val="es-ES"/>
        </w:rPr>
        <w:t xml:space="preserve"> de las mujeres sobre todo en las áreas rurales, que es donde habita la gran mayoría de mujeres y niñas sin acceso agua potable dentro de sus viviendas y por las cuales debe dedicar tiempo en buscarla y generar las condiciones que permitan ser usada para el consumo doméstico. </w:t>
      </w:r>
    </w:p>
    <w:p w14:paraId="74867B57" w14:textId="77777777" w:rsidR="00D9032C" w:rsidRPr="005970E9" w:rsidRDefault="00D9032C" w:rsidP="00673F3F">
      <w:pPr>
        <w:pStyle w:val="Heading3"/>
        <w:numPr>
          <w:ilvl w:val="2"/>
          <w:numId w:val="43"/>
        </w:numPr>
        <w:rPr>
          <w:lang w:val="es-ES"/>
        </w:rPr>
      </w:pPr>
      <w:bookmarkStart w:id="355" w:name="_Toc42159268"/>
      <w:bookmarkStart w:id="356" w:name="_Toc42549499"/>
      <w:r w:rsidRPr="005970E9">
        <w:rPr>
          <w:lang w:val="es-ES"/>
        </w:rPr>
        <w:t>Saneamiento</w:t>
      </w:r>
      <w:bookmarkEnd w:id="355"/>
      <w:bookmarkEnd w:id="356"/>
      <w:r w:rsidRPr="005970E9">
        <w:rPr>
          <w:lang w:val="es-ES"/>
        </w:rPr>
        <w:t xml:space="preserve"> </w:t>
      </w:r>
    </w:p>
    <w:p w14:paraId="6636A121" w14:textId="280991F8" w:rsidR="00D9032C" w:rsidRPr="005970E9" w:rsidRDefault="00D9032C" w:rsidP="00D9032C">
      <w:pPr>
        <w:spacing w:line="276" w:lineRule="auto"/>
        <w:jc w:val="both"/>
        <w:rPr>
          <w:rFonts w:eastAsia="Century Schoolbook" w:cs="Century Schoolbook"/>
          <w:lang w:val="es-ES"/>
        </w:rPr>
      </w:pPr>
      <w:r w:rsidRPr="005970E9">
        <w:rPr>
          <w:rFonts w:eastAsia="Century Schoolbook" w:cs="Century Schoolbook"/>
          <w:lang w:val="es-ES"/>
        </w:rPr>
        <w:t xml:space="preserve">Según el censo 2010 las viviendas con algún tipo de servicio para dispones de las excretas fue de un </w:t>
      </w:r>
      <w:r w:rsidR="006A6390" w:rsidRPr="005970E9">
        <w:rPr>
          <w:rFonts w:eastAsia="Century Schoolbook" w:cs="Century Schoolbook"/>
          <w:lang w:val="es-ES"/>
        </w:rPr>
        <w:t>94%</w:t>
      </w:r>
      <w:r w:rsidRPr="005970E9">
        <w:rPr>
          <w:rFonts w:eastAsia="Century Schoolbook" w:cs="Century Schoolbook"/>
          <w:lang w:val="es-ES"/>
        </w:rPr>
        <w:t>, las comarcas indígenas estuvieron por debajo de este porcentaje Kuna Yala, Ngäbe Buglé fueron las comarcas con menos acceso a servicio de saneamiento</w:t>
      </w:r>
      <w:r w:rsidRPr="005970E9">
        <w:rPr>
          <w:rStyle w:val="FootnoteReference"/>
          <w:rFonts w:eastAsia="Century Schoolbook" w:cs="Century Schoolbook"/>
          <w:lang w:val="es-ES"/>
        </w:rPr>
        <w:footnoteReference w:id="117"/>
      </w:r>
      <w:r w:rsidRPr="005970E9">
        <w:rPr>
          <w:rFonts w:eastAsia="Century Schoolbook" w:cs="Century Schoolbook"/>
          <w:lang w:val="es-ES"/>
        </w:rPr>
        <w:t xml:space="preserve">. El </w:t>
      </w:r>
      <w:r w:rsidR="00673F3F" w:rsidRPr="005970E9">
        <w:rPr>
          <w:rFonts w:eastAsia="Century Schoolbook" w:cs="Century Schoolbook"/>
          <w:lang w:val="es-ES"/>
        </w:rPr>
        <w:t>diagnóstico</w:t>
      </w:r>
      <w:r w:rsidRPr="005970E9">
        <w:rPr>
          <w:rFonts w:eastAsia="Century Schoolbook" w:cs="Century Schoolbook"/>
          <w:lang w:val="es-ES"/>
        </w:rPr>
        <w:t xml:space="preserve"> realizado por el Banco Mundial sobre las Conexiones entre Pobreza y la Provisión de Agua, Saneamiento, e Higiene (ASH) en Panamá, un Diagnóstico, publicado en </w:t>
      </w:r>
      <w:r w:rsidR="0186C1E3" w:rsidRPr="005970E9">
        <w:rPr>
          <w:rFonts w:eastAsia="Century Schoolbook" w:cs="Century Schoolbook"/>
          <w:lang w:val="es-ES"/>
        </w:rPr>
        <w:t>el año</w:t>
      </w:r>
      <w:r w:rsidRPr="005970E9">
        <w:rPr>
          <w:rFonts w:eastAsia="Century Schoolbook" w:cs="Century Schoolbook"/>
          <w:lang w:val="es-ES"/>
        </w:rPr>
        <w:t xml:space="preserve"> 2017 reafirma esta realidad de las comunidades indígenas “</w:t>
      </w:r>
      <w:r w:rsidRPr="005970E9">
        <w:rPr>
          <w:rFonts w:cs="ITC Franklin Gothic Std Book"/>
          <w:color w:val="000000"/>
          <w:lang w:val="es-ES"/>
        </w:rPr>
        <w:t>Más del 60 por ciento de las comunidades indígenas estudiadas no cuenta con acceso a los sistemas de agua y saneamiento, comparado con solo el 19 por ciento de las comunidades rurales no indígenas.”</w:t>
      </w:r>
      <w:r w:rsidRPr="005970E9">
        <w:rPr>
          <w:rStyle w:val="FootnoteReference"/>
          <w:rFonts w:cs="ITC Franklin Gothic Std Book"/>
          <w:color w:val="000000"/>
          <w:lang w:val="es-ES"/>
        </w:rPr>
        <w:footnoteReference w:id="118"/>
      </w:r>
      <w:r w:rsidRPr="005970E9">
        <w:rPr>
          <w:rFonts w:cs="ITC Franklin Gothic Std Book"/>
          <w:color w:val="000000"/>
          <w:lang w:val="es-ES"/>
        </w:rPr>
        <w:t xml:space="preserve"> La carencia de un sistema de saneamiento adecuado tiene un impacto diferencia entre hombres y mujeres por que acarrea unas series de limitaciones a las mujeres y las niñas y a su vez aumenta los riesgos de sufrir algún tipo de violencia sexual en algunos casos.</w:t>
      </w:r>
    </w:p>
    <w:p w14:paraId="7850F975" w14:textId="77777777" w:rsidR="00D9032C" w:rsidRPr="005970E9" w:rsidRDefault="00D9032C" w:rsidP="00D9032C">
      <w:pPr>
        <w:spacing w:line="276" w:lineRule="auto"/>
        <w:jc w:val="both"/>
        <w:rPr>
          <w:rFonts w:eastAsia="Century Schoolbook" w:cs="Century Schoolbook"/>
          <w:lang w:val="es-ES"/>
        </w:rPr>
      </w:pPr>
    </w:p>
    <w:tbl>
      <w:tblPr>
        <w:tblW w:w="9030" w:type="dxa"/>
        <w:tblInd w:w="-108" w:type="dxa"/>
        <w:tblBorders>
          <w:insideH w:val="nil"/>
          <w:insideV w:val="nil"/>
        </w:tblBorders>
        <w:tblLayout w:type="fixed"/>
        <w:tblLook w:val="0600" w:firstRow="0" w:lastRow="0" w:firstColumn="0" w:lastColumn="0" w:noHBand="1" w:noVBand="1"/>
      </w:tblPr>
      <w:tblGrid>
        <w:gridCol w:w="1302"/>
        <w:gridCol w:w="3916"/>
        <w:gridCol w:w="3812"/>
      </w:tblGrid>
      <w:tr w:rsidR="00E87B38" w:rsidRPr="005970E9" w14:paraId="01D55194" w14:textId="77777777" w:rsidTr="00DE34CE">
        <w:trPr>
          <w:trHeight w:val="315"/>
        </w:trPr>
        <w:tc>
          <w:tcPr>
            <w:tcW w:w="90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CC0D9" w:themeFill="accent4" w:themeFillTint="66"/>
            <w:tcMar>
              <w:top w:w="40" w:type="dxa"/>
              <w:left w:w="40" w:type="dxa"/>
              <w:bottom w:w="40" w:type="dxa"/>
              <w:right w:w="40" w:type="dxa"/>
            </w:tcMar>
            <w:vAlign w:val="bottom"/>
            <w:hideMark/>
          </w:tcPr>
          <w:p w14:paraId="557EF04B" w14:textId="70C3077D" w:rsidR="00D9032C" w:rsidRPr="005970E9" w:rsidRDefault="00DE34CE" w:rsidP="00D9032C">
            <w:pPr>
              <w:widowControl w:val="0"/>
              <w:spacing w:line="276" w:lineRule="auto"/>
              <w:jc w:val="center"/>
              <w:rPr>
                <w:rFonts w:eastAsia="Arial" w:cs="Arial"/>
                <w:lang w:val="es-ES"/>
              </w:rPr>
            </w:pPr>
            <w:bookmarkStart w:id="357" w:name="_Toc42549231"/>
            <w:r w:rsidRPr="005970E9">
              <w:t xml:space="preserve">Tabla </w:t>
            </w:r>
            <w:r w:rsidR="00062ABE">
              <w:fldChar w:fldCharType="begin"/>
            </w:r>
            <w:r w:rsidR="00062ABE">
              <w:instrText xml:space="preserve"> SEQ Tabla \* ARABIC </w:instrText>
            </w:r>
            <w:r w:rsidR="00062ABE">
              <w:fldChar w:fldCharType="separate"/>
            </w:r>
            <w:r w:rsidR="00702CFC">
              <w:rPr>
                <w:noProof/>
              </w:rPr>
              <w:t>37</w:t>
            </w:r>
            <w:r w:rsidR="00062ABE">
              <w:rPr>
                <w:noProof/>
              </w:rPr>
              <w:fldChar w:fldCharType="end"/>
            </w:r>
            <w:r w:rsidRPr="005970E9">
              <w:t xml:space="preserve"> </w:t>
            </w:r>
            <w:r w:rsidR="00D9032C" w:rsidRPr="005970E9">
              <w:rPr>
                <w:lang w:val="es-ES"/>
              </w:rPr>
              <w:t>Objetivos de desarrollo sostenible (ODS) en relación a género y cambio climático</w:t>
            </w:r>
            <w:bookmarkEnd w:id="357"/>
          </w:p>
        </w:tc>
      </w:tr>
      <w:tr w:rsidR="001C716D" w:rsidRPr="005970E9" w14:paraId="6BBEC26B" w14:textId="77777777" w:rsidTr="00DE34CE">
        <w:trPr>
          <w:trHeight w:val="885"/>
        </w:trPr>
        <w:tc>
          <w:tcPr>
            <w:tcW w:w="130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CCC0D9" w:themeFill="accent4" w:themeFillTint="66"/>
            <w:tcMar>
              <w:top w:w="40" w:type="dxa"/>
              <w:left w:w="40" w:type="dxa"/>
              <w:bottom w:w="40" w:type="dxa"/>
              <w:right w:w="40" w:type="dxa"/>
            </w:tcMar>
            <w:vAlign w:val="bottom"/>
            <w:hideMark/>
          </w:tcPr>
          <w:p w14:paraId="6FA7568E" w14:textId="77777777" w:rsidR="00D9032C" w:rsidRPr="005970E9" w:rsidRDefault="00D9032C" w:rsidP="00D9032C">
            <w:pPr>
              <w:widowControl w:val="0"/>
              <w:spacing w:line="276" w:lineRule="auto"/>
              <w:jc w:val="center"/>
              <w:rPr>
                <w:lang w:val="es-ES"/>
              </w:rPr>
            </w:pPr>
            <w:r w:rsidRPr="005970E9">
              <w:rPr>
                <w:lang w:val="es-ES"/>
              </w:rPr>
              <w:t>Objetivo 6</w:t>
            </w:r>
          </w:p>
        </w:tc>
        <w:tc>
          <w:tcPr>
            <w:tcW w:w="7728" w:type="dxa"/>
            <w:gridSpan w:val="2"/>
            <w:tcBorders>
              <w:top w:val="single" w:sz="6" w:space="0" w:color="CCCCCC"/>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hideMark/>
          </w:tcPr>
          <w:p w14:paraId="01B083D9" w14:textId="77777777" w:rsidR="00D9032C" w:rsidRPr="005970E9" w:rsidRDefault="00D9032C" w:rsidP="00D9032C">
            <w:pPr>
              <w:widowControl w:val="0"/>
              <w:spacing w:line="276" w:lineRule="auto"/>
              <w:rPr>
                <w:lang w:val="es-ES"/>
              </w:rPr>
            </w:pPr>
            <w:r w:rsidRPr="005970E9">
              <w:rPr>
                <w:lang w:val="es-ES"/>
              </w:rPr>
              <w:t>Agua Limpia y saneamiento Los escenarios de cambio climático (escasez de lluvia, sequía o aumento de las mismas inundaciones), generan contaminaciones de las escorrentías del recurso hídrico. para lo cual se despliegan de planes de manejo.</w:t>
            </w:r>
          </w:p>
        </w:tc>
      </w:tr>
      <w:tr w:rsidR="00E87B38" w:rsidRPr="005970E9" w14:paraId="0E8B0A0E" w14:textId="77777777" w:rsidTr="00DE34CE">
        <w:trPr>
          <w:trHeight w:val="315"/>
        </w:trPr>
        <w:tc>
          <w:tcPr>
            <w:tcW w:w="130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CCC0D9" w:themeFill="accent4" w:themeFillTint="66"/>
            <w:tcMar>
              <w:top w:w="40" w:type="dxa"/>
              <w:left w:w="40" w:type="dxa"/>
              <w:bottom w:w="40" w:type="dxa"/>
              <w:right w:w="40" w:type="dxa"/>
            </w:tcMar>
            <w:vAlign w:val="bottom"/>
          </w:tcPr>
          <w:p w14:paraId="1035719F" w14:textId="77777777" w:rsidR="00D9032C" w:rsidRPr="005970E9" w:rsidRDefault="00D9032C" w:rsidP="00D9032C">
            <w:pPr>
              <w:widowControl w:val="0"/>
              <w:spacing w:line="276" w:lineRule="auto"/>
              <w:rPr>
                <w:lang w:val="es-ES"/>
              </w:rPr>
            </w:pPr>
          </w:p>
        </w:tc>
        <w:tc>
          <w:tcPr>
            <w:tcW w:w="3916" w:type="dxa"/>
            <w:tcBorders>
              <w:top w:val="single" w:sz="6" w:space="0" w:color="CCCCCC"/>
              <w:left w:val="single" w:sz="6" w:space="0" w:color="CCCCCC"/>
              <w:bottom w:val="single" w:sz="6" w:space="0" w:color="000000" w:themeColor="text1"/>
              <w:right w:val="single" w:sz="6" w:space="0" w:color="000000" w:themeColor="text1"/>
            </w:tcBorders>
            <w:shd w:val="clear" w:color="auto" w:fill="CCC0D9" w:themeFill="accent4" w:themeFillTint="66"/>
            <w:tcMar>
              <w:top w:w="40" w:type="dxa"/>
              <w:left w:w="40" w:type="dxa"/>
              <w:bottom w:w="40" w:type="dxa"/>
              <w:right w:w="40" w:type="dxa"/>
            </w:tcMar>
            <w:vAlign w:val="bottom"/>
            <w:hideMark/>
          </w:tcPr>
          <w:p w14:paraId="6D5496C8" w14:textId="77777777" w:rsidR="00D9032C" w:rsidRPr="005970E9" w:rsidRDefault="00D9032C" w:rsidP="00D9032C">
            <w:pPr>
              <w:widowControl w:val="0"/>
              <w:spacing w:line="276" w:lineRule="auto"/>
              <w:jc w:val="center"/>
              <w:rPr>
                <w:lang w:val="es-ES"/>
              </w:rPr>
            </w:pPr>
            <w:r w:rsidRPr="005970E9">
              <w:rPr>
                <w:lang w:val="es-ES"/>
              </w:rPr>
              <w:t>Meta</w:t>
            </w:r>
          </w:p>
        </w:tc>
        <w:tc>
          <w:tcPr>
            <w:tcW w:w="3812" w:type="dxa"/>
            <w:tcBorders>
              <w:top w:val="single" w:sz="6" w:space="0" w:color="CCCCCC"/>
              <w:left w:val="single" w:sz="6" w:space="0" w:color="CCCCCC"/>
              <w:bottom w:val="single" w:sz="6" w:space="0" w:color="000000" w:themeColor="text1"/>
              <w:right w:val="single" w:sz="6" w:space="0" w:color="000000" w:themeColor="text1"/>
            </w:tcBorders>
            <w:shd w:val="clear" w:color="auto" w:fill="CCC0D9" w:themeFill="accent4" w:themeFillTint="66"/>
            <w:tcMar>
              <w:top w:w="40" w:type="dxa"/>
              <w:left w:w="40" w:type="dxa"/>
              <w:bottom w:w="40" w:type="dxa"/>
              <w:right w:w="40" w:type="dxa"/>
            </w:tcMar>
            <w:vAlign w:val="bottom"/>
            <w:hideMark/>
          </w:tcPr>
          <w:p w14:paraId="6129756F" w14:textId="77777777" w:rsidR="00D9032C" w:rsidRPr="005970E9" w:rsidRDefault="00D9032C" w:rsidP="00D9032C">
            <w:pPr>
              <w:widowControl w:val="0"/>
              <w:spacing w:line="276" w:lineRule="auto"/>
              <w:jc w:val="center"/>
              <w:rPr>
                <w:lang w:val="es-ES"/>
              </w:rPr>
            </w:pPr>
            <w:r w:rsidRPr="005970E9">
              <w:rPr>
                <w:lang w:val="es-ES"/>
              </w:rPr>
              <w:t>situación actual</w:t>
            </w:r>
          </w:p>
        </w:tc>
      </w:tr>
      <w:tr w:rsidR="001C716D" w:rsidRPr="005970E9" w14:paraId="09F99775" w14:textId="77777777" w:rsidTr="00DE34CE">
        <w:trPr>
          <w:trHeight w:val="615"/>
        </w:trPr>
        <w:tc>
          <w:tcPr>
            <w:tcW w:w="130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CCC0D9" w:themeFill="accent4" w:themeFillTint="66"/>
            <w:tcMar>
              <w:top w:w="40" w:type="dxa"/>
              <w:left w:w="40" w:type="dxa"/>
              <w:bottom w:w="40" w:type="dxa"/>
              <w:right w:w="40" w:type="dxa"/>
            </w:tcMar>
            <w:vAlign w:val="bottom"/>
            <w:hideMark/>
          </w:tcPr>
          <w:p w14:paraId="070D6FB0" w14:textId="77777777" w:rsidR="00D9032C" w:rsidRPr="005970E9" w:rsidRDefault="00D9032C" w:rsidP="00D9032C">
            <w:pPr>
              <w:widowControl w:val="0"/>
              <w:spacing w:line="276" w:lineRule="auto"/>
              <w:jc w:val="center"/>
              <w:rPr>
                <w:lang w:val="es-ES"/>
              </w:rPr>
            </w:pPr>
            <w:r w:rsidRPr="005970E9">
              <w:rPr>
                <w:lang w:val="es-ES"/>
              </w:rPr>
              <w:t>6.1</w:t>
            </w:r>
          </w:p>
        </w:tc>
        <w:tc>
          <w:tcPr>
            <w:tcW w:w="3916" w:type="dxa"/>
            <w:tcBorders>
              <w:top w:val="single" w:sz="6" w:space="0" w:color="CCCCCC"/>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hideMark/>
          </w:tcPr>
          <w:p w14:paraId="29827A0C" w14:textId="77777777" w:rsidR="00D9032C" w:rsidRPr="005970E9" w:rsidRDefault="00D9032C" w:rsidP="00D9032C">
            <w:pPr>
              <w:widowControl w:val="0"/>
              <w:spacing w:line="276" w:lineRule="auto"/>
              <w:rPr>
                <w:lang w:val="es-ES"/>
              </w:rPr>
            </w:pPr>
            <w:r w:rsidRPr="005970E9">
              <w:rPr>
                <w:lang w:val="es-ES"/>
              </w:rPr>
              <w:t>En 2030, lograr el acceso universal y equitativo al agua potable y al alcance de todos</w:t>
            </w:r>
          </w:p>
        </w:tc>
        <w:tc>
          <w:tcPr>
            <w:tcW w:w="3812" w:type="dxa"/>
            <w:tcBorders>
              <w:top w:val="single" w:sz="6" w:space="0" w:color="CCCCCC"/>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center"/>
            <w:hideMark/>
          </w:tcPr>
          <w:p w14:paraId="0D90E04D" w14:textId="77777777" w:rsidR="00D9032C" w:rsidRPr="005970E9" w:rsidRDefault="00D9032C" w:rsidP="00D9032C">
            <w:pPr>
              <w:widowControl w:val="0"/>
              <w:spacing w:line="276" w:lineRule="auto"/>
              <w:rPr>
                <w:lang w:val="es-ES"/>
              </w:rPr>
            </w:pPr>
            <w:r w:rsidRPr="005970E9">
              <w:rPr>
                <w:lang w:val="es-ES"/>
              </w:rPr>
              <w:t>Actualmente no se brinda el acceso universal y equitativo al agua potable.</w:t>
            </w:r>
          </w:p>
        </w:tc>
      </w:tr>
      <w:tr w:rsidR="001C716D" w:rsidRPr="005970E9" w14:paraId="6F63CC1E" w14:textId="77777777" w:rsidTr="00DE34CE">
        <w:trPr>
          <w:trHeight w:val="1695"/>
        </w:trPr>
        <w:tc>
          <w:tcPr>
            <w:tcW w:w="130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CCC0D9" w:themeFill="accent4" w:themeFillTint="66"/>
            <w:tcMar>
              <w:top w:w="40" w:type="dxa"/>
              <w:left w:w="40" w:type="dxa"/>
              <w:bottom w:w="40" w:type="dxa"/>
              <w:right w:w="40" w:type="dxa"/>
            </w:tcMar>
            <w:vAlign w:val="bottom"/>
            <w:hideMark/>
          </w:tcPr>
          <w:p w14:paraId="473420CC" w14:textId="77777777" w:rsidR="00D9032C" w:rsidRPr="005970E9" w:rsidRDefault="00D9032C" w:rsidP="00D9032C">
            <w:pPr>
              <w:widowControl w:val="0"/>
              <w:spacing w:line="276" w:lineRule="auto"/>
              <w:jc w:val="center"/>
              <w:rPr>
                <w:lang w:val="es-ES"/>
              </w:rPr>
            </w:pPr>
            <w:r w:rsidRPr="005970E9">
              <w:rPr>
                <w:lang w:val="es-ES"/>
              </w:rPr>
              <w:t>6.2</w:t>
            </w:r>
          </w:p>
        </w:tc>
        <w:tc>
          <w:tcPr>
            <w:tcW w:w="3916" w:type="dxa"/>
            <w:tcBorders>
              <w:top w:val="single" w:sz="6" w:space="0" w:color="CCCCCC"/>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hideMark/>
          </w:tcPr>
          <w:p w14:paraId="35DAFBEA" w14:textId="77777777" w:rsidR="00D9032C" w:rsidRPr="005970E9" w:rsidRDefault="00D9032C" w:rsidP="00D9032C">
            <w:pPr>
              <w:widowControl w:val="0"/>
              <w:spacing w:line="276" w:lineRule="auto"/>
              <w:rPr>
                <w:lang w:val="es-ES"/>
              </w:rPr>
            </w:pPr>
            <w:r w:rsidRPr="005970E9">
              <w:rPr>
                <w:lang w:val="es-ES"/>
              </w:rPr>
              <w:t xml:space="preserve">En 2030, lograr el acceso adecuado y equitativo a servicios de saneamiento y la higiene para todos, y terminar con defecación al aire libre, con especial atención a las necesidades de las mujeres y las niñas y aquellos </w:t>
            </w:r>
            <w:r w:rsidRPr="005970E9">
              <w:rPr>
                <w:lang w:val="es-ES"/>
              </w:rPr>
              <w:lastRenderedPageBreak/>
              <w:t>en situación de vulnerabilidad.</w:t>
            </w:r>
          </w:p>
        </w:tc>
        <w:tc>
          <w:tcPr>
            <w:tcW w:w="3812" w:type="dxa"/>
            <w:tcBorders>
              <w:top w:val="single" w:sz="6" w:space="0" w:color="CCCCCC"/>
              <w:left w:val="single" w:sz="6" w:space="0" w:color="CCCCCC"/>
              <w:bottom w:val="single" w:sz="6" w:space="0" w:color="000000" w:themeColor="text1"/>
              <w:right w:val="single" w:sz="6" w:space="0" w:color="000000" w:themeColor="text1"/>
            </w:tcBorders>
            <w:tcMar>
              <w:top w:w="40" w:type="dxa"/>
              <w:left w:w="40" w:type="dxa"/>
              <w:bottom w:w="40" w:type="dxa"/>
              <w:right w:w="40" w:type="dxa"/>
            </w:tcMar>
            <w:vAlign w:val="bottom"/>
          </w:tcPr>
          <w:p w14:paraId="2CFF16A0" w14:textId="1258AC4F" w:rsidR="00D9032C" w:rsidRPr="005970E9" w:rsidRDefault="00D9032C" w:rsidP="00D9032C">
            <w:pPr>
              <w:widowControl w:val="0"/>
              <w:spacing w:line="276" w:lineRule="auto"/>
              <w:rPr>
                <w:lang w:val="es-ES"/>
              </w:rPr>
            </w:pPr>
            <w:r w:rsidRPr="005970E9">
              <w:rPr>
                <w:lang w:val="es-ES"/>
              </w:rPr>
              <w:lastRenderedPageBreak/>
              <w:t>En la actualidad en Panamá no se tiene un acceso universal al servicio de saneamiento y dentro de las comunidades rurales e indígenas se práctica la defecación al aire libre.</w:t>
            </w:r>
          </w:p>
          <w:p w14:paraId="5113D110" w14:textId="77777777" w:rsidR="00D9032C" w:rsidRPr="005970E9" w:rsidRDefault="00D9032C" w:rsidP="00D9032C">
            <w:pPr>
              <w:widowControl w:val="0"/>
              <w:spacing w:line="276" w:lineRule="auto"/>
              <w:rPr>
                <w:lang w:val="es-ES"/>
              </w:rPr>
            </w:pPr>
            <w:r w:rsidRPr="005970E9">
              <w:rPr>
                <w:lang w:val="es-ES"/>
              </w:rPr>
              <w:t xml:space="preserve"> </w:t>
            </w:r>
          </w:p>
          <w:p w14:paraId="004843F5" w14:textId="77777777" w:rsidR="00D9032C" w:rsidRPr="005970E9" w:rsidRDefault="00D9032C" w:rsidP="00D9032C">
            <w:pPr>
              <w:widowControl w:val="0"/>
              <w:spacing w:line="276" w:lineRule="auto"/>
              <w:rPr>
                <w:lang w:val="es-ES"/>
              </w:rPr>
            </w:pPr>
          </w:p>
        </w:tc>
      </w:tr>
    </w:tbl>
    <w:p w14:paraId="629A8AFE" w14:textId="77777777" w:rsidR="00D9032C" w:rsidRPr="005970E9" w:rsidRDefault="00D9032C" w:rsidP="00D9032C">
      <w:pPr>
        <w:spacing w:after="160" w:line="276" w:lineRule="auto"/>
        <w:jc w:val="both"/>
        <w:rPr>
          <w:rFonts w:eastAsia="Century Schoolbook" w:cs="Century Schoolbook"/>
          <w:lang w:val="es-ES"/>
        </w:rPr>
      </w:pPr>
    </w:p>
    <w:p w14:paraId="5DD3104F" w14:textId="77777777" w:rsidR="00D9032C" w:rsidRPr="005970E9" w:rsidRDefault="00D9032C" w:rsidP="00D9032C">
      <w:pPr>
        <w:spacing w:after="160" w:line="276" w:lineRule="auto"/>
        <w:jc w:val="both"/>
        <w:rPr>
          <w:rFonts w:eastAsia="Century Schoolbook" w:cs="Century Schoolbook"/>
          <w:b/>
          <w:highlight w:val="white"/>
          <w:lang w:val="es-ES"/>
        </w:rPr>
      </w:pPr>
      <w:r w:rsidRPr="005970E9">
        <w:rPr>
          <w:rFonts w:eastAsia="Century Schoolbook" w:cs="Century Schoolbook"/>
          <w:b/>
          <w:highlight w:val="white"/>
          <w:lang w:val="es-ES"/>
        </w:rPr>
        <w:t xml:space="preserve">Fondo ambiente y género. </w:t>
      </w:r>
    </w:p>
    <w:p w14:paraId="05257EF8" w14:textId="73D3A44E" w:rsidR="00D9032C" w:rsidRPr="005970E9" w:rsidRDefault="00673F3F" w:rsidP="00D9032C">
      <w:pPr>
        <w:spacing w:after="160" w:line="276" w:lineRule="auto"/>
        <w:jc w:val="both"/>
        <w:rPr>
          <w:rFonts w:eastAsia="Century Schoolbook" w:cs="Century Schoolbook"/>
          <w:highlight w:val="white"/>
          <w:lang w:val="es-ES"/>
        </w:rPr>
      </w:pPr>
      <w:r w:rsidRPr="005970E9">
        <w:rPr>
          <w:rFonts w:eastAsia="Arial" w:cs="Arial"/>
          <w:noProof/>
        </w:rPr>
        <mc:AlternateContent>
          <mc:Choice Requires="wpg">
            <w:drawing>
              <wp:anchor distT="0" distB="0" distL="0" distR="0" simplePos="0" relativeHeight="251658267" behindDoc="0" locked="0" layoutInCell="1" allowOverlap="1" wp14:anchorId="2DC87B8E" wp14:editId="735BB5D7">
                <wp:simplePos x="0" y="0"/>
                <wp:positionH relativeFrom="column">
                  <wp:posOffset>-36195</wp:posOffset>
                </wp:positionH>
                <wp:positionV relativeFrom="paragraph">
                  <wp:posOffset>314325</wp:posOffset>
                </wp:positionV>
                <wp:extent cx="2743200" cy="2376170"/>
                <wp:effectExtent l="0" t="0" r="0" b="0"/>
                <wp:wrapSquare wrapText="bothSides"/>
                <wp:docPr id="63" name="Grupo 63"/>
                <wp:cNvGraphicFramePr/>
                <a:graphic xmlns:a="http://schemas.openxmlformats.org/drawingml/2006/main">
                  <a:graphicData uri="http://schemas.microsoft.com/office/word/2010/wordprocessingGroup">
                    <wpg:wgp>
                      <wpg:cNvGrpSpPr/>
                      <wpg:grpSpPr>
                        <a:xfrm>
                          <a:off x="0" y="0"/>
                          <a:ext cx="2743200" cy="2376170"/>
                          <a:chOff x="0" y="0"/>
                          <a:chExt cx="4153700" cy="3258750"/>
                        </a:xfrm>
                      </wpg:grpSpPr>
                      <wpg:grpSp>
                        <wpg:cNvPr id="65" name="Grupo 65"/>
                        <wpg:cNvGrpSpPr/>
                        <wpg:grpSpPr>
                          <a:xfrm>
                            <a:off x="0" y="0"/>
                            <a:ext cx="4153700" cy="3258750"/>
                            <a:chOff x="0" y="0"/>
                            <a:chExt cx="4153700" cy="3258750"/>
                          </a:xfrm>
                        </wpg:grpSpPr>
                        <wps:wsp>
                          <wps:cNvPr id="66" name="Rectángulo 66"/>
                          <wps:cNvSpPr/>
                          <wps:spPr>
                            <a:xfrm>
                              <a:off x="0" y="0"/>
                              <a:ext cx="4153700" cy="3258750"/>
                            </a:xfrm>
                            <a:prstGeom prst="rect">
                              <a:avLst/>
                            </a:prstGeom>
                            <a:noFill/>
                            <a:ln>
                              <a:noFill/>
                            </a:ln>
                          </wps:spPr>
                          <wps:txbx>
                            <w:txbxContent>
                              <w:p w14:paraId="6E0F4272" w14:textId="77777777" w:rsidR="00DC0EAB" w:rsidRDefault="00DC0EAB" w:rsidP="00D9032C">
                                <w:pPr>
                                  <w:rPr>
                                    <w:lang w:val="es-ES"/>
                                  </w:rPr>
                                </w:pPr>
                              </w:p>
                            </w:txbxContent>
                          </wps:txbx>
                          <wps:bodyPr spcFirstLastPara="1" wrap="square" lIns="91425" tIns="91425" rIns="91425" bIns="91425" anchor="ctr" anchorCtr="0">
                            <a:noAutofit/>
                          </wps:bodyPr>
                        </wps:wsp>
                        <wps:wsp>
                          <wps:cNvPr id="67" name="Elipse 67"/>
                          <wps:cNvSpPr/>
                          <wps:spPr>
                            <a:xfrm>
                              <a:off x="1114385" y="954098"/>
                              <a:ext cx="2001722" cy="2001722"/>
                            </a:xfrm>
                            <a:prstGeom prst="ellipse">
                              <a:avLst/>
                            </a:prstGeom>
                            <a:solidFill>
                              <a:schemeClr val="accent4">
                                <a:alpha val="49803"/>
                              </a:schemeClr>
                            </a:solidFill>
                            <a:ln w="19050" cap="flat" cmpd="sng">
                              <a:solidFill>
                                <a:schemeClr val="lt1"/>
                              </a:solidFill>
                              <a:prstDash val="solid"/>
                              <a:miter lim="800000"/>
                              <a:headEnd type="none" w="sm" len="sm"/>
                              <a:tailEnd type="none" w="sm" len="sm"/>
                            </a:ln>
                          </wps:spPr>
                          <wps:txbx>
                            <w:txbxContent>
                              <w:p w14:paraId="5A74FE15" w14:textId="77777777" w:rsidR="00DC0EAB" w:rsidRDefault="00DC0EAB" w:rsidP="00D9032C">
                                <w:pPr>
                                  <w:rPr>
                                    <w:lang w:val="es-ES"/>
                                  </w:rPr>
                                </w:pPr>
                              </w:p>
                            </w:txbxContent>
                          </wps:txbx>
                          <wps:bodyPr spcFirstLastPara="1" wrap="square" lIns="91425" tIns="91425" rIns="91425" bIns="91425" anchor="ctr" anchorCtr="0">
                            <a:noAutofit/>
                          </wps:bodyPr>
                        </wps:wsp>
                        <wps:wsp>
                          <wps:cNvPr id="68" name="Cuadro de texto 5"/>
                          <wps:cNvSpPr txBox="1"/>
                          <wps:spPr>
                            <a:xfrm>
                              <a:off x="1407530" y="1247243"/>
                              <a:ext cx="1415432" cy="1415432"/>
                            </a:xfrm>
                            <a:prstGeom prst="rect">
                              <a:avLst/>
                            </a:prstGeom>
                            <a:noFill/>
                            <a:ln>
                              <a:noFill/>
                            </a:ln>
                          </wps:spPr>
                          <wps:txbx>
                            <w:txbxContent>
                              <w:p w14:paraId="55445068" w14:textId="77777777" w:rsidR="00DC0EAB" w:rsidRDefault="00DC0EAB" w:rsidP="00D9032C">
                                <w:pPr>
                                  <w:spacing w:line="213" w:lineRule="auto"/>
                                  <w:jc w:val="center"/>
                                  <w:rPr>
                                    <w:lang w:val="es-ES"/>
                                  </w:rPr>
                                </w:pPr>
                                <w:r>
                                  <w:rPr>
                                    <w:b/>
                                    <w:color w:val="000000"/>
                                    <w:sz w:val="24"/>
                                    <w:lang w:val="es-ES"/>
                                  </w:rPr>
                                  <w:t xml:space="preserve">Vínculo </w:t>
                                </w:r>
                              </w:p>
                            </w:txbxContent>
                          </wps:txbx>
                          <wps:bodyPr spcFirstLastPara="1" wrap="square" lIns="15225" tIns="15225" rIns="15225" bIns="15225" anchor="ctr" anchorCtr="0">
                            <a:noAutofit/>
                          </wps:bodyPr>
                        </wps:wsp>
                        <wps:wsp>
                          <wps:cNvPr id="69" name="Elipse 69"/>
                          <wps:cNvSpPr/>
                          <wps:spPr>
                            <a:xfrm>
                              <a:off x="1587452" y="350696"/>
                              <a:ext cx="1000861" cy="1000861"/>
                            </a:xfrm>
                            <a:prstGeom prst="ellipse">
                              <a:avLst/>
                            </a:prstGeom>
                            <a:solidFill>
                              <a:srgbClr val="51EB15">
                                <a:alpha val="49803"/>
                              </a:srgbClr>
                            </a:solidFill>
                            <a:ln w="19050" cap="flat" cmpd="sng">
                              <a:solidFill>
                                <a:schemeClr val="lt1"/>
                              </a:solidFill>
                              <a:prstDash val="solid"/>
                              <a:miter lim="800000"/>
                              <a:headEnd type="none" w="sm" len="sm"/>
                              <a:tailEnd type="none" w="sm" len="sm"/>
                            </a:ln>
                          </wps:spPr>
                          <wps:txbx>
                            <w:txbxContent>
                              <w:p w14:paraId="38CD8B63" w14:textId="77777777" w:rsidR="00DC0EAB" w:rsidRDefault="00DC0EAB" w:rsidP="00D9032C">
                                <w:pPr>
                                  <w:rPr>
                                    <w:lang w:val="es-ES"/>
                                  </w:rPr>
                                </w:pPr>
                              </w:p>
                            </w:txbxContent>
                          </wps:txbx>
                          <wps:bodyPr spcFirstLastPara="1" wrap="square" lIns="91425" tIns="91425" rIns="91425" bIns="91425" anchor="ctr" anchorCtr="0">
                            <a:noAutofit/>
                          </wps:bodyPr>
                        </wps:wsp>
                        <wps:wsp>
                          <wps:cNvPr id="70" name="Cuadro de texto 7"/>
                          <wps:cNvSpPr txBox="1"/>
                          <wps:spPr>
                            <a:xfrm>
                              <a:off x="1513411" y="428462"/>
                              <a:ext cx="1309551" cy="776523"/>
                            </a:xfrm>
                            <a:prstGeom prst="rect">
                              <a:avLst/>
                            </a:prstGeom>
                            <a:noFill/>
                            <a:ln>
                              <a:noFill/>
                            </a:ln>
                          </wps:spPr>
                          <wps:txbx>
                            <w:txbxContent>
                              <w:p w14:paraId="40691421" w14:textId="77777777" w:rsidR="00DC0EAB" w:rsidRDefault="00DC0EAB" w:rsidP="00D9032C">
                                <w:pPr>
                                  <w:spacing w:line="213" w:lineRule="auto"/>
                                  <w:jc w:val="center"/>
                                  <w:rPr>
                                    <w:lang w:val="es-ES"/>
                                  </w:rPr>
                                </w:pPr>
                                <w:r>
                                  <w:rPr>
                                    <w:b/>
                                    <w:color w:val="000000"/>
                                    <w:sz w:val="26"/>
                                    <w:lang w:val="es-ES"/>
                                  </w:rPr>
                                  <w:t xml:space="preserve">Igualdad de Género </w:t>
                                </w:r>
                              </w:p>
                            </w:txbxContent>
                          </wps:txbx>
                          <wps:bodyPr spcFirstLastPara="1" wrap="square" lIns="16500" tIns="16500" rIns="16500" bIns="16500" anchor="ctr" anchorCtr="0">
                            <a:noAutofit/>
                          </wps:bodyPr>
                        </wps:wsp>
                        <wps:wsp>
                          <wps:cNvPr id="71" name="Elipse 71"/>
                          <wps:cNvSpPr/>
                          <wps:spPr>
                            <a:xfrm>
                              <a:off x="2639268" y="1757480"/>
                              <a:ext cx="1000861" cy="1000861"/>
                            </a:xfrm>
                            <a:prstGeom prst="ellipse">
                              <a:avLst/>
                            </a:prstGeom>
                            <a:solidFill>
                              <a:srgbClr val="2CD79F">
                                <a:alpha val="49803"/>
                              </a:srgbClr>
                            </a:solidFill>
                            <a:ln w="19050" cap="flat" cmpd="sng">
                              <a:solidFill>
                                <a:schemeClr val="lt1"/>
                              </a:solidFill>
                              <a:prstDash val="solid"/>
                              <a:miter lim="800000"/>
                              <a:headEnd type="none" w="sm" len="sm"/>
                              <a:tailEnd type="none" w="sm" len="sm"/>
                            </a:ln>
                          </wps:spPr>
                          <wps:txbx>
                            <w:txbxContent>
                              <w:p w14:paraId="1A36148D" w14:textId="77777777" w:rsidR="00DC0EAB" w:rsidRDefault="00DC0EAB" w:rsidP="00D9032C">
                                <w:pPr>
                                  <w:rPr>
                                    <w:lang w:val="es-ES"/>
                                  </w:rPr>
                                </w:pPr>
                              </w:p>
                            </w:txbxContent>
                          </wps:txbx>
                          <wps:bodyPr spcFirstLastPara="1" wrap="square" lIns="91425" tIns="91425" rIns="91425" bIns="91425" anchor="ctr" anchorCtr="0">
                            <a:noAutofit/>
                          </wps:bodyPr>
                        </wps:wsp>
                        <wps:wsp>
                          <wps:cNvPr id="72" name="Cuadro de texto 9"/>
                          <wps:cNvSpPr txBox="1"/>
                          <wps:spPr>
                            <a:xfrm>
                              <a:off x="2454659" y="1758531"/>
                              <a:ext cx="1514432" cy="985038"/>
                            </a:xfrm>
                            <a:prstGeom prst="rect">
                              <a:avLst/>
                            </a:prstGeom>
                            <a:noFill/>
                            <a:ln>
                              <a:noFill/>
                            </a:ln>
                          </wps:spPr>
                          <wps:txbx>
                            <w:txbxContent>
                              <w:p w14:paraId="27BF218B" w14:textId="77777777" w:rsidR="00DC0EAB" w:rsidRDefault="00DC0EAB" w:rsidP="00D9032C">
                                <w:pPr>
                                  <w:spacing w:line="213" w:lineRule="auto"/>
                                  <w:jc w:val="center"/>
                                  <w:rPr>
                                    <w:lang w:val="es-ES"/>
                                  </w:rPr>
                                </w:pPr>
                                <w:r>
                                  <w:rPr>
                                    <w:b/>
                                    <w:color w:val="000000"/>
                                    <w:sz w:val="26"/>
                                    <w:lang w:val="es-ES"/>
                                  </w:rPr>
                                  <w:t>Inclusión</w:t>
                                </w:r>
                                <w:r>
                                  <w:rPr>
                                    <w:color w:val="000000"/>
                                    <w:sz w:val="26"/>
                                    <w:lang w:val="es-ES"/>
                                  </w:rPr>
                                  <w:t xml:space="preserve"> </w:t>
                                </w:r>
                                <w:r>
                                  <w:rPr>
                                    <w:b/>
                                    <w:color w:val="000000"/>
                                    <w:sz w:val="26"/>
                                    <w:lang w:val="es-ES"/>
                                  </w:rPr>
                                  <w:t xml:space="preserve">social </w:t>
                                </w:r>
                              </w:p>
                            </w:txbxContent>
                          </wps:txbx>
                          <wps:bodyPr spcFirstLastPara="1" wrap="square" lIns="16500" tIns="16500" rIns="16500" bIns="16500" anchor="ctr" anchorCtr="0">
                            <a:noAutofit/>
                          </wps:bodyPr>
                        </wps:wsp>
                        <wps:wsp>
                          <wps:cNvPr id="73" name="Elipse 73"/>
                          <wps:cNvSpPr/>
                          <wps:spPr>
                            <a:xfrm>
                              <a:off x="512549" y="1824210"/>
                              <a:ext cx="1000861" cy="1000861"/>
                            </a:xfrm>
                            <a:prstGeom prst="ellipse">
                              <a:avLst/>
                            </a:prstGeom>
                            <a:solidFill>
                              <a:srgbClr val="4371C3">
                                <a:alpha val="49803"/>
                              </a:srgbClr>
                            </a:solidFill>
                            <a:ln w="19050" cap="flat" cmpd="sng">
                              <a:solidFill>
                                <a:schemeClr val="lt1"/>
                              </a:solidFill>
                              <a:prstDash val="solid"/>
                              <a:miter lim="800000"/>
                              <a:headEnd type="none" w="sm" len="sm"/>
                              <a:tailEnd type="none" w="sm" len="sm"/>
                            </a:ln>
                          </wps:spPr>
                          <wps:txbx>
                            <w:txbxContent>
                              <w:p w14:paraId="6A768D70" w14:textId="77777777" w:rsidR="00DC0EAB" w:rsidRDefault="00DC0EAB" w:rsidP="00D9032C">
                                <w:pPr>
                                  <w:rPr>
                                    <w:lang w:val="es-ES"/>
                                  </w:rPr>
                                </w:pPr>
                              </w:p>
                            </w:txbxContent>
                          </wps:txbx>
                          <wps:bodyPr spcFirstLastPara="1" wrap="square" lIns="91425" tIns="91425" rIns="91425" bIns="91425" anchor="ctr" anchorCtr="0">
                            <a:noAutofit/>
                          </wps:bodyPr>
                        </wps:wsp>
                        <wps:wsp>
                          <wps:cNvPr id="74" name="Cuadro de texto 11"/>
                          <wps:cNvSpPr txBox="1"/>
                          <wps:spPr>
                            <a:xfrm>
                              <a:off x="392295" y="1918531"/>
                              <a:ext cx="1472071" cy="691892"/>
                            </a:xfrm>
                            <a:prstGeom prst="rect">
                              <a:avLst/>
                            </a:prstGeom>
                            <a:noFill/>
                            <a:ln>
                              <a:noFill/>
                            </a:ln>
                          </wps:spPr>
                          <wps:txbx>
                            <w:txbxContent>
                              <w:p w14:paraId="611CE783" w14:textId="77777777" w:rsidR="00DC0EAB" w:rsidRDefault="00DC0EAB" w:rsidP="00D9032C">
                                <w:pPr>
                                  <w:spacing w:line="213" w:lineRule="auto"/>
                                  <w:jc w:val="center"/>
                                  <w:rPr>
                                    <w:lang w:val="es-ES"/>
                                  </w:rPr>
                                </w:pPr>
                                <w:r>
                                  <w:rPr>
                                    <w:b/>
                                    <w:color w:val="000000"/>
                                    <w:sz w:val="26"/>
                                    <w:lang w:val="es-ES"/>
                                  </w:rPr>
                                  <w:t xml:space="preserve">Cambio Climático </w:t>
                                </w:r>
                              </w:p>
                            </w:txbxContent>
                          </wps:txbx>
                          <wps:bodyPr spcFirstLastPara="1" wrap="square" lIns="16500" tIns="16500" rIns="16500" bIns="1650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DC87B8E" id="Grupo 63" o:spid="_x0000_s1055" style="position:absolute;left:0;text-align:left;margin-left:-2.85pt;margin-top:24.75pt;width:3in;height:187.1pt;z-index:251658267;mso-wrap-distance-left:0;mso-wrap-distance-right:0" coordsize="41537,3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">
                <v:group id="Grupo 65" o:spid="_x0000_s1056" style="position:absolute;width:41537;height:32587" coordsize="41537,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ángulo 66" o:spid="_x0000_s1057" style="position:absolute;width:41537;height:3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" filled="f" stroked="f">
                    <v:textbox inset="2.53958mm,2.53958mm,2.53958mm,2.53958mm">
                      <w:txbxContent>
                        <w:p w14:paraId="6E0F4272" w14:textId="77777777" w:rsidR="00DC0EAB" w:rsidRDefault="00DC0EAB" w:rsidP="00D9032C">
                          <w:pPr>
                            <w:rPr>
                              <w:lang w:val="es-ES"/>
                            </w:rPr>
                          </w:pPr>
                        </w:p>
                      </w:txbxContent>
                    </v:textbox>
                  </v:rect>
                  <v:oval id="Elipse 67" o:spid="_x0000_s1058" style="position:absolute;left:11143;top:9540;width:20018;height:20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" fillcolor="#8064a2 [3207]" strokecolor="white [3201]" strokeweight="1.5pt">
                    <v:fill opacity="32639f"/>
                    <v:stroke startarrowwidth="narrow" startarrowlength="short" endarrowwidth="narrow" endarrowlength="short" joinstyle="miter"/>
                    <v:textbox inset="2.53958mm,2.53958mm,2.53958mm,2.53958mm">
                      <w:txbxContent>
                        <w:p w14:paraId="5A74FE15" w14:textId="77777777" w:rsidR="00DC0EAB" w:rsidRDefault="00DC0EAB" w:rsidP="00D9032C">
                          <w:pPr>
                            <w:rPr>
                              <w:lang w:val="es-ES"/>
                            </w:rPr>
                          </w:pPr>
                        </w:p>
                      </w:txbxContent>
                    </v:textbox>
                  </v:oval>
                  <v:shape id="Cuadro de texto 5" o:spid="_x0000_s1059" type="#_x0000_t202" style="position:absolute;left:14075;top:12472;width:14154;height:14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" filled="f" stroked="f">
                    <v:textbox inset=".42292mm,.42292mm,.42292mm,.42292mm">
                      <w:txbxContent>
                        <w:p w14:paraId="55445068" w14:textId="77777777" w:rsidR="00DC0EAB" w:rsidRDefault="00DC0EAB" w:rsidP="00D9032C">
                          <w:pPr>
                            <w:spacing w:line="213" w:lineRule="auto"/>
                            <w:jc w:val="center"/>
                            <w:rPr>
                              <w:lang w:val="es-ES"/>
                            </w:rPr>
                          </w:pPr>
                          <w:r>
                            <w:rPr>
                              <w:b/>
                              <w:color w:val="000000"/>
                              <w:sz w:val="24"/>
                              <w:lang w:val="es-ES"/>
                            </w:rPr>
                            <w:t xml:space="preserve">Vínculo </w:t>
                          </w:r>
                        </w:p>
                      </w:txbxContent>
                    </v:textbox>
                  </v:shape>
                  <v:oval id="Elipse 69" o:spid="_x0000_s1060" style="position:absolute;left:15874;top:3506;width:10009;height:10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" fillcolor="#51eb15" strokecolor="white [3201]" strokeweight="1.5pt">
                    <v:fill opacity="32639f"/>
                    <v:stroke startarrowwidth="narrow" startarrowlength="short" endarrowwidth="narrow" endarrowlength="short" joinstyle="miter"/>
                    <v:textbox inset="2.53958mm,2.53958mm,2.53958mm,2.53958mm">
                      <w:txbxContent>
                        <w:p w14:paraId="38CD8B63" w14:textId="77777777" w:rsidR="00DC0EAB" w:rsidRDefault="00DC0EAB" w:rsidP="00D9032C">
                          <w:pPr>
                            <w:rPr>
                              <w:lang w:val="es-ES"/>
                            </w:rPr>
                          </w:pPr>
                        </w:p>
                      </w:txbxContent>
                    </v:textbox>
                  </v:oval>
                  <v:shape id="Cuadro de texto 7" o:spid="_x0000_s1061" type="#_x0000_t202" style="position:absolute;left:15134;top:4284;width:13095;height:7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" filled="f" stroked="f">
                    <v:textbox inset=".45833mm,.45833mm,.45833mm,.45833mm">
                      <w:txbxContent>
                        <w:p w14:paraId="40691421" w14:textId="77777777" w:rsidR="00DC0EAB" w:rsidRDefault="00DC0EAB" w:rsidP="00D9032C">
                          <w:pPr>
                            <w:spacing w:line="213" w:lineRule="auto"/>
                            <w:jc w:val="center"/>
                            <w:rPr>
                              <w:lang w:val="es-ES"/>
                            </w:rPr>
                          </w:pPr>
                          <w:r>
                            <w:rPr>
                              <w:b/>
                              <w:color w:val="000000"/>
                              <w:sz w:val="26"/>
                              <w:lang w:val="es-ES"/>
                            </w:rPr>
                            <w:t xml:space="preserve">Igualdad de Género </w:t>
                          </w:r>
                        </w:p>
                      </w:txbxContent>
                    </v:textbox>
                  </v:shape>
                  <v:oval id="Elipse 71" o:spid="_x0000_s1062" style="position:absolute;left:26392;top:17574;width:10009;height:10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" fillcolor="#2cd79f" strokecolor="white [3201]" strokeweight="1.5pt">
                    <v:fill opacity="32639f"/>
                    <v:stroke startarrowwidth="narrow" startarrowlength="short" endarrowwidth="narrow" endarrowlength="short" joinstyle="miter"/>
                    <v:textbox inset="2.53958mm,2.53958mm,2.53958mm,2.53958mm">
                      <w:txbxContent>
                        <w:p w14:paraId="1A36148D" w14:textId="77777777" w:rsidR="00DC0EAB" w:rsidRDefault="00DC0EAB" w:rsidP="00D9032C">
                          <w:pPr>
                            <w:rPr>
                              <w:lang w:val="es-ES"/>
                            </w:rPr>
                          </w:pPr>
                        </w:p>
                      </w:txbxContent>
                    </v:textbox>
                  </v:oval>
                  <v:shape id="_x0000_s1063" type="#_x0000_t202" style="position:absolute;left:24546;top:17585;width:15144;height: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" filled="f" stroked="f">
                    <v:textbox inset=".45833mm,.45833mm,.45833mm,.45833mm">
                      <w:txbxContent>
                        <w:p w14:paraId="27BF218B" w14:textId="77777777" w:rsidR="00DC0EAB" w:rsidRDefault="00DC0EAB" w:rsidP="00D9032C">
                          <w:pPr>
                            <w:spacing w:line="213" w:lineRule="auto"/>
                            <w:jc w:val="center"/>
                            <w:rPr>
                              <w:lang w:val="es-ES"/>
                            </w:rPr>
                          </w:pPr>
                          <w:r>
                            <w:rPr>
                              <w:b/>
                              <w:color w:val="000000"/>
                              <w:sz w:val="26"/>
                              <w:lang w:val="es-ES"/>
                            </w:rPr>
                            <w:t>Inclusión</w:t>
                          </w:r>
                          <w:r>
                            <w:rPr>
                              <w:color w:val="000000"/>
                              <w:sz w:val="26"/>
                              <w:lang w:val="es-ES"/>
                            </w:rPr>
                            <w:t xml:space="preserve"> </w:t>
                          </w:r>
                          <w:r>
                            <w:rPr>
                              <w:b/>
                              <w:color w:val="000000"/>
                              <w:sz w:val="26"/>
                              <w:lang w:val="es-ES"/>
                            </w:rPr>
                            <w:t xml:space="preserve">social </w:t>
                          </w:r>
                        </w:p>
                      </w:txbxContent>
                    </v:textbox>
                  </v:shape>
                  <v:oval id="Elipse 73" o:spid="_x0000_s1064" style="position:absolute;left:5125;top:18242;width:10009;height:10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" fillcolor="#4371c3" strokecolor="white [3201]" strokeweight="1.5pt">
                    <v:fill opacity="32639f"/>
                    <v:stroke startarrowwidth="narrow" startarrowlength="short" endarrowwidth="narrow" endarrowlength="short" joinstyle="miter"/>
                    <v:textbox inset="2.53958mm,2.53958mm,2.53958mm,2.53958mm">
                      <w:txbxContent>
                        <w:p w14:paraId="6A768D70" w14:textId="77777777" w:rsidR="00DC0EAB" w:rsidRDefault="00DC0EAB" w:rsidP="00D9032C">
                          <w:pPr>
                            <w:rPr>
                              <w:lang w:val="es-ES"/>
                            </w:rPr>
                          </w:pPr>
                        </w:p>
                      </w:txbxContent>
                    </v:textbox>
                  </v:oval>
                  <v:shape id="Cuadro de texto 11" o:spid="_x0000_s1065" type="#_x0000_t202" style="position:absolute;left:3922;top:19185;width:14721;height:6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" filled="f" stroked="f">
                    <v:textbox inset=".45833mm,.45833mm,.45833mm,.45833mm">
                      <w:txbxContent>
                        <w:p w14:paraId="611CE783" w14:textId="77777777" w:rsidR="00DC0EAB" w:rsidRDefault="00DC0EAB" w:rsidP="00D9032C">
                          <w:pPr>
                            <w:spacing w:line="213" w:lineRule="auto"/>
                            <w:jc w:val="center"/>
                            <w:rPr>
                              <w:lang w:val="es-ES"/>
                            </w:rPr>
                          </w:pPr>
                          <w:r>
                            <w:rPr>
                              <w:b/>
                              <w:color w:val="000000"/>
                              <w:sz w:val="26"/>
                              <w:lang w:val="es-ES"/>
                            </w:rPr>
                            <w:t xml:space="preserve">Cambio Climático </w:t>
                          </w:r>
                        </w:p>
                      </w:txbxContent>
                    </v:textbox>
                  </v:shape>
                </v:group>
                <w10:wrap type="square"/>
              </v:group>
            </w:pict>
          </mc:Fallback>
        </mc:AlternateContent>
      </w:r>
      <w:r w:rsidR="00D9032C" w:rsidRPr="005970E9">
        <w:rPr>
          <w:rFonts w:eastAsia="Century Schoolbook" w:cs="Century Schoolbook"/>
          <w:highlight w:val="white"/>
          <w:lang w:val="es-ES"/>
        </w:rPr>
        <w:t xml:space="preserve">Incorporar la perspectiva de género como un objetivo dentro de los proyectos financiados por los fondos ambientales más importante en la actualidad como lo son el Fondo de Adaptación, Fondo para el Medio Ambiente Mundial (GEF) y el Fondo Verde permite que todo proyecto que se desarrolle dentro de una institución u organización desde sus inicios análisis de género que permitan identificar las necesidades como los intereses que hombres y mujeres tengan en todas las etapas de proyecto. Los fondos internacionales de ambiente solicitan que se tome en cuenta las diferencias socialmente que socialmente han sido construidas entre hombres y </w:t>
      </w:r>
      <w:r w:rsidR="00217E87" w:rsidRPr="005970E9">
        <w:rPr>
          <w:rFonts w:eastAsia="Century Schoolbook" w:cs="Century Schoolbook"/>
          <w:highlight w:val="white"/>
          <w:lang w:val="es-ES"/>
        </w:rPr>
        <w:t>mujeres y</w:t>
      </w:r>
      <w:r w:rsidR="00D9032C" w:rsidRPr="005970E9">
        <w:rPr>
          <w:rFonts w:eastAsia="Century Schoolbook" w:cs="Century Schoolbook"/>
          <w:highlight w:val="white"/>
          <w:lang w:val="es-ES"/>
        </w:rPr>
        <w:t xml:space="preserve"> que estas diferencias se tomen en cuenta al momento </w:t>
      </w:r>
      <w:r w:rsidR="0051547E" w:rsidRPr="005970E9">
        <w:rPr>
          <w:rFonts w:eastAsia="Century Schoolbook" w:cs="Century Schoolbook"/>
          <w:highlight w:val="white"/>
          <w:lang w:val="es-ES"/>
        </w:rPr>
        <w:t>de diseñar las</w:t>
      </w:r>
      <w:r w:rsidR="00D9032C" w:rsidRPr="005970E9">
        <w:rPr>
          <w:rFonts w:eastAsia="Century Schoolbook" w:cs="Century Schoolbook"/>
          <w:highlight w:val="white"/>
          <w:lang w:val="es-ES"/>
        </w:rPr>
        <w:t xml:space="preserve"> políticas, programas, proyectos y presupuestos </w:t>
      </w:r>
      <w:r w:rsidR="0051547E" w:rsidRPr="005970E9">
        <w:rPr>
          <w:rFonts w:eastAsia="Century Schoolbook" w:cs="Century Schoolbook"/>
          <w:highlight w:val="white"/>
          <w:lang w:val="es-ES"/>
        </w:rPr>
        <w:t>dentro una</w:t>
      </w:r>
      <w:r w:rsidR="00D9032C" w:rsidRPr="005970E9">
        <w:rPr>
          <w:rFonts w:eastAsia="Century Schoolbook" w:cs="Century Schoolbook"/>
          <w:highlight w:val="white"/>
          <w:lang w:val="es-ES"/>
        </w:rPr>
        <w:t xml:space="preserve"> organización o institución que </w:t>
      </w:r>
      <w:r w:rsidR="38A2D5CF" w:rsidRPr="005970E9">
        <w:rPr>
          <w:rFonts w:eastAsia="Century Schoolbook" w:cs="Century Schoolbook"/>
          <w:highlight w:val="white"/>
          <w:lang w:val="es-ES"/>
        </w:rPr>
        <w:t>vaya a</w:t>
      </w:r>
      <w:r w:rsidR="00D9032C" w:rsidRPr="005970E9">
        <w:rPr>
          <w:rFonts w:eastAsia="Century Schoolbook" w:cs="Century Schoolbook"/>
          <w:highlight w:val="white"/>
          <w:lang w:val="es-ES"/>
        </w:rPr>
        <w:t xml:space="preserve"> ejecutar sus fondos, de esta manera garantizan que se aborden las inequidades existen en materia de género y ambiente. </w:t>
      </w:r>
    </w:p>
    <w:p w14:paraId="1D5BAB86" w14:textId="32633A2B" w:rsidR="00D9032C" w:rsidRPr="005970E9" w:rsidRDefault="00D9032C" w:rsidP="00D9032C">
      <w:pPr>
        <w:spacing w:after="160" w:line="276" w:lineRule="auto"/>
        <w:jc w:val="both"/>
        <w:rPr>
          <w:rFonts w:eastAsia="Century Schoolbook" w:cs="Century Schoolbook"/>
          <w:b/>
          <w:highlight w:val="white"/>
          <w:lang w:val="es-ES"/>
        </w:rPr>
      </w:pPr>
      <w:r w:rsidRPr="005970E9">
        <w:rPr>
          <w:rFonts w:eastAsia="Century Schoolbook" w:cs="Century Schoolbook"/>
          <w:highlight w:val="white"/>
          <w:lang w:val="es-ES"/>
        </w:rPr>
        <w:t xml:space="preserve">Cada uno de los fondos mencionados anteriormente  cuenta con una política, estrategia y un plan de género la cual se transversaliza el enfoque de género en todas sus ejecutorias tanto a lo interno como a lo externa, como  trabajar desde esta perspectiva genera un cambio de paradigma que permita   aumentar su capacidad de adaptación y reducir su vulnerabilidad a los impactos de cambio climático, contribuir a reducir la brecha de género y crear resiliencia de manera  equitativa entre mujeres y hombres a su vez  que se valora de una manera diferenciadas los impactos del cambio climática en la vida de ambos sexos. </w:t>
      </w:r>
      <w:r w:rsidR="00217E87" w:rsidRPr="005970E9">
        <w:rPr>
          <w:rFonts w:eastAsia="Century Schoolbook" w:cs="Century Schoolbook"/>
          <w:highlight w:val="white"/>
          <w:lang w:val="es-ES"/>
        </w:rPr>
        <w:t>Estos fondos tienen</w:t>
      </w:r>
      <w:r w:rsidRPr="005970E9">
        <w:rPr>
          <w:rFonts w:eastAsia="Century Schoolbook" w:cs="Century Schoolbook"/>
          <w:highlight w:val="white"/>
          <w:lang w:val="es-ES"/>
        </w:rPr>
        <w:t xml:space="preserve"> muy claro el entre la igualdad género, la inclusión social y el cambio climático</w:t>
      </w:r>
      <w:r w:rsidRPr="005970E9">
        <w:rPr>
          <w:rFonts w:eastAsia="Century Schoolbook" w:cs="Century Schoolbook"/>
          <w:b/>
          <w:highlight w:val="white"/>
          <w:lang w:val="es-ES"/>
        </w:rPr>
        <w:t>.</w:t>
      </w:r>
    </w:p>
    <w:p w14:paraId="60CFFA09" w14:textId="77777777" w:rsidR="00D9032C" w:rsidRPr="005970E9" w:rsidRDefault="00D9032C" w:rsidP="00D9032C">
      <w:pPr>
        <w:spacing w:after="160" w:line="276" w:lineRule="auto"/>
        <w:jc w:val="both"/>
        <w:rPr>
          <w:rFonts w:eastAsia="Century Schoolbook" w:cs="Century Schoolbook"/>
          <w:b/>
          <w:highlight w:val="white"/>
          <w:lang w:val="es-ES"/>
        </w:rPr>
      </w:pPr>
      <w:r w:rsidRPr="005970E9">
        <w:rPr>
          <w:rFonts w:eastAsia="Century Schoolbook" w:cs="Century Schoolbook"/>
          <w:b/>
          <w:highlight w:val="white"/>
          <w:lang w:val="es-ES"/>
        </w:rPr>
        <w:t xml:space="preserve">Fondo Mundial de Ambiente-Programa Pequeñas Donaciones y PNUD. </w:t>
      </w:r>
    </w:p>
    <w:p w14:paraId="25B81A9D" w14:textId="328EA9D5" w:rsidR="00D9032C" w:rsidRPr="005970E9" w:rsidRDefault="00D9032C" w:rsidP="00D9032C">
      <w:pPr>
        <w:spacing w:after="160" w:line="276" w:lineRule="auto"/>
        <w:jc w:val="both"/>
        <w:rPr>
          <w:rFonts w:eastAsia="Century Schoolbook" w:cs="Century Schoolbook"/>
          <w:lang w:val="es-ES"/>
        </w:rPr>
      </w:pPr>
      <w:r w:rsidRPr="005970E9">
        <w:rPr>
          <w:rFonts w:eastAsia="Century Schoolbook" w:cs="Century Schoolbook"/>
          <w:highlight w:val="white"/>
          <w:lang w:val="es-ES"/>
        </w:rPr>
        <w:t xml:space="preserve">Como se mencionó anteriormente </w:t>
      </w:r>
      <w:r w:rsidR="00217E87" w:rsidRPr="005970E9">
        <w:rPr>
          <w:rFonts w:eastAsia="Century Schoolbook" w:cs="Century Schoolbook"/>
          <w:highlight w:val="white"/>
          <w:lang w:val="es-ES"/>
        </w:rPr>
        <w:t>los fondos</w:t>
      </w:r>
      <w:r w:rsidRPr="005970E9">
        <w:rPr>
          <w:rFonts w:eastAsia="Century Schoolbook" w:cs="Century Schoolbook"/>
          <w:highlight w:val="white"/>
          <w:lang w:val="es-ES"/>
        </w:rPr>
        <w:t xml:space="preserve"> internacionales de ambiente junto con organismos internacionales, Instituciones Nacionales y organizaciones locales han implementados y </w:t>
      </w:r>
      <w:r w:rsidR="00217E87" w:rsidRPr="005970E9">
        <w:rPr>
          <w:rFonts w:eastAsia="Century Schoolbook" w:cs="Century Schoolbook"/>
          <w:highlight w:val="white"/>
          <w:lang w:val="es-ES"/>
        </w:rPr>
        <w:t>desarrollados proyectos</w:t>
      </w:r>
      <w:r w:rsidRPr="005970E9">
        <w:rPr>
          <w:rFonts w:eastAsia="Century Schoolbook" w:cs="Century Schoolbook"/>
          <w:highlight w:val="white"/>
          <w:lang w:val="es-ES"/>
        </w:rPr>
        <w:t xml:space="preserve"> que han incorporado la perspectiva de género a lo largo del proyecto. Uno de estos programas es: </w:t>
      </w:r>
      <w:r w:rsidRPr="005970E9">
        <w:rPr>
          <w:rFonts w:eastAsia="Century Schoolbook" w:cs="Century Schoolbook"/>
          <w:lang w:val="es-ES"/>
        </w:rPr>
        <w:t xml:space="preserve">“El Programa de Pequeñas </w:t>
      </w:r>
      <w:r w:rsidRPr="005970E9">
        <w:rPr>
          <w:rFonts w:eastAsia="Century Schoolbook" w:cs="Century Schoolbook"/>
          <w:lang w:val="es-ES"/>
        </w:rPr>
        <w:lastRenderedPageBreak/>
        <w:t>Donaciones (PPD) este es un programa del Fondo del Medio Ambiente Mundial (GEF en inglés), administrado por el Programa de Naciones Unidas para el Desarrollo (PNUD), que funciona en 126 países. Este programa financia proyectos a organizaciones de base comunitaria y ONG</w:t>
      </w:r>
      <w:r w:rsidR="00217E87" w:rsidRPr="005970E9">
        <w:rPr>
          <w:rFonts w:eastAsia="Century Schoolbook" w:cs="Century Schoolbook"/>
          <w:lang w:val="es-ES"/>
        </w:rPr>
        <w:t>’</w:t>
      </w:r>
      <w:r w:rsidRPr="005970E9">
        <w:rPr>
          <w:rFonts w:eastAsia="Century Schoolbook" w:cs="Century Schoolbook"/>
          <w:lang w:val="es-ES"/>
        </w:rPr>
        <w:t>s para conservación ambiental y mejoramiento de las condiciones de vida de las comunidades con las que trabaja. En Panamá funciona desde el año 2006 y ha financiado más de 210 proyectos a nivel nacional con una inversión aproximada de 4.6 millones de dólares”</w:t>
      </w:r>
      <w:r w:rsidRPr="005970E9">
        <w:rPr>
          <w:rStyle w:val="FootnoteReference"/>
          <w:rFonts w:eastAsia="Century Schoolbook" w:cs="Century Schoolbook"/>
          <w:lang w:val="es-ES"/>
        </w:rPr>
        <w:footnoteReference w:id="119"/>
      </w:r>
      <w:r w:rsidRPr="005970E9">
        <w:rPr>
          <w:rFonts w:eastAsia="Century Schoolbook" w:cs="Century Schoolbook"/>
          <w:lang w:val="es-ES"/>
        </w:rPr>
        <w:t xml:space="preserve">. </w:t>
      </w:r>
    </w:p>
    <w:p w14:paraId="22E1CFBB" w14:textId="71A5B991" w:rsidR="00D9032C" w:rsidRPr="005970E9" w:rsidRDefault="00D9032C" w:rsidP="00D9032C">
      <w:pPr>
        <w:spacing w:after="160" w:line="276" w:lineRule="auto"/>
        <w:jc w:val="both"/>
        <w:rPr>
          <w:rFonts w:eastAsia="Century Schoolbook" w:cs="Century Schoolbook"/>
          <w:highlight w:val="white"/>
          <w:lang w:val="es-ES"/>
        </w:rPr>
      </w:pPr>
      <w:r w:rsidRPr="005970E9">
        <w:rPr>
          <w:rFonts w:eastAsia="Century Schoolbook" w:cs="Century Schoolbook"/>
          <w:lang w:val="es-ES"/>
        </w:rPr>
        <w:t xml:space="preserve">Durante el desarrollo de los proyectos PPD en los años 2016-2019 el 45% (890) de las beneficiarias han sido mujeres, 71 mujeres fueron identificadas como </w:t>
      </w:r>
      <w:r w:rsidR="00217E87" w:rsidRPr="005970E9">
        <w:rPr>
          <w:rFonts w:eastAsia="Century Schoolbook" w:cs="Century Schoolbook"/>
          <w:lang w:val="es-ES"/>
        </w:rPr>
        <w:t>lideresas</w:t>
      </w:r>
      <w:r w:rsidRPr="005970E9">
        <w:rPr>
          <w:rFonts w:eastAsia="Century Schoolbook" w:cs="Century Schoolbook"/>
          <w:lang w:val="es-ES"/>
        </w:rPr>
        <w:t xml:space="preserve">, 367 mujeres participaron activamente en los proyectos y de 60 proyectos que se ejecutaron 6.6 fueron liderados por mujeres. Este programa ha trabajado en comunidades rurales y dentro de las comarcas indígena del país, este proyecto incorpora los principios que fueron actualizado en la Política de Género del Fondo GEF en </w:t>
      </w:r>
      <w:r w:rsidR="00217E87" w:rsidRPr="005970E9">
        <w:rPr>
          <w:rFonts w:eastAsia="Century Schoolbook" w:cs="Century Schoolbook"/>
          <w:lang w:val="es-ES"/>
        </w:rPr>
        <w:t>el año</w:t>
      </w:r>
      <w:r w:rsidRPr="005970E9">
        <w:rPr>
          <w:rFonts w:eastAsia="Century Schoolbook" w:cs="Century Schoolbook"/>
          <w:lang w:val="es-ES"/>
        </w:rPr>
        <w:t xml:space="preserve"> 2017 “la cual introduce nuevos principios y requerimientos para transversalizar el género, tanto en el diseño e implementación de proyectos GEF como en la etapa de evaluación, a partir de las recomendaciones realizadas por el Comité de Evaluación Independiente de esta institución. El GEF propone abordar temas como el acceso a los recursos y beneficios, la participación de mujeres en la toma de decisiones, el acceso a las tierras y recursos hídricos, y resaltar el rol de las mujeres como agentes clave del cambio.”</w:t>
      </w:r>
      <w:r w:rsidRPr="005970E9">
        <w:rPr>
          <w:rStyle w:val="FootnoteReference"/>
          <w:rFonts w:eastAsia="Century Schoolbook" w:cs="Century Schoolbook"/>
          <w:lang w:val="es-ES"/>
        </w:rPr>
        <w:footnoteReference w:id="120"/>
      </w:r>
    </w:p>
    <w:p w14:paraId="0F651F58" w14:textId="554CF064" w:rsidR="00D9032C" w:rsidRPr="005970E9" w:rsidRDefault="00217E87" w:rsidP="00217E87">
      <w:pPr>
        <w:pStyle w:val="Heading3"/>
        <w:numPr>
          <w:ilvl w:val="2"/>
          <w:numId w:val="43"/>
        </w:numPr>
        <w:rPr>
          <w:lang w:val="es-ES"/>
        </w:rPr>
      </w:pPr>
      <w:bookmarkStart w:id="358" w:name="_Toc42159269"/>
      <w:bookmarkStart w:id="359" w:name="_Toc42549500"/>
      <w:r w:rsidRPr="005970E9">
        <w:rPr>
          <w:lang w:val="es-ES"/>
        </w:rPr>
        <w:t xml:space="preserve">Avances en género en el </w:t>
      </w:r>
      <w:r w:rsidR="00D9032C" w:rsidRPr="005970E9">
        <w:rPr>
          <w:lang w:val="es-ES"/>
        </w:rPr>
        <w:t>Ministerio de Ambiente</w:t>
      </w:r>
      <w:bookmarkEnd w:id="358"/>
      <w:bookmarkEnd w:id="359"/>
      <w:r w:rsidR="00D9032C" w:rsidRPr="005970E9">
        <w:rPr>
          <w:lang w:val="es-ES"/>
        </w:rPr>
        <w:t xml:space="preserve"> </w:t>
      </w:r>
    </w:p>
    <w:p w14:paraId="35703176" w14:textId="77777777" w:rsidR="00D9032C" w:rsidRPr="005970E9" w:rsidRDefault="00D9032C" w:rsidP="00217E87">
      <w:pPr>
        <w:spacing w:before="120" w:after="120" w:line="276" w:lineRule="auto"/>
        <w:jc w:val="both"/>
        <w:rPr>
          <w:rFonts w:eastAsia="Century Schoolbook" w:cs="Century Schoolbook"/>
          <w:lang w:val="es-ES"/>
        </w:rPr>
      </w:pPr>
      <w:r w:rsidRPr="005970E9">
        <w:rPr>
          <w:rFonts w:eastAsia="Century Schoolbook" w:cs="Century Schoolbook"/>
          <w:lang w:val="es-ES"/>
        </w:rPr>
        <w:t>Para el ministerio de ambiente existe una política integral en materia de género que inicia desde la implementación de parámetros de igualdad en el aspecto de la integración laboral a través de la implementación de un plan de igualdad; programas integrales con perspectiva de género y evaluación de los puestos de trabajo.</w:t>
      </w:r>
    </w:p>
    <w:p w14:paraId="5995B6CE" w14:textId="21EDDAA6" w:rsidR="00D9032C" w:rsidRPr="005970E9" w:rsidRDefault="008A61AF" w:rsidP="00217E87">
      <w:pPr>
        <w:pStyle w:val="Caption"/>
        <w:keepNext/>
        <w:jc w:val="both"/>
        <w:rPr>
          <w:rFonts w:ascii="Century Schoolbook" w:hAnsi="Century Schoolbook"/>
        </w:rPr>
      </w:pPr>
      <w:bookmarkStart w:id="360" w:name="_Toc42549232"/>
      <w:r w:rsidRPr="005970E9">
        <w:rPr>
          <w:rFonts w:ascii="Century Schoolbook" w:hAnsi="Century Schoolbook"/>
        </w:rPr>
        <w:t>Tabla</w:t>
      </w:r>
      <w:r w:rsidR="00217E87" w:rsidRPr="005970E9">
        <w:rPr>
          <w:rFonts w:ascii="Century Schoolbook" w:hAnsi="Century Schoolbook"/>
        </w:rPr>
        <w:t xml:space="preserve"> </w:t>
      </w:r>
      <w:r w:rsidRPr="005970E9">
        <w:rPr>
          <w:rFonts w:ascii="Century Schoolbook" w:hAnsi="Century Schoolbook"/>
        </w:rPr>
        <w:fldChar w:fldCharType="begin"/>
      </w:r>
      <w:r w:rsidRPr="005970E9">
        <w:rPr>
          <w:rFonts w:ascii="Century Schoolbook" w:hAnsi="Century Schoolbook"/>
        </w:rPr>
        <w:instrText>SEQ Tabla \* ARABIC</w:instrText>
      </w:r>
      <w:r w:rsidRPr="005970E9">
        <w:rPr>
          <w:rFonts w:ascii="Century Schoolbook" w:hAnsi="Century Schoolbook"/>
        </w:rPr>
        <w:fldChar w:fldCharType="separate"/>
      </w:r>
      <w:r w:rsidR="003F0C50">
        <w:rPr>
          <w:rFonts w:ascii="Century Schoolbook" w:hAnsi="Century Schoolbook"/>
          <w:noProof/>
        </w:rPr>
        <w:t>38</w:t>
      </w:r>
      <w:r w:rsidRPr="005970E9">
        <w:rPr>
          <w:rFonts w:ascii="Century Schoolbook" w:hAnsi="Century Schoolbook"/>
        </w:rPr>
        <w:fldChar w:fldCharType="end"/>
      </w:r>
      <w:r w:rsidR="00217E87" w:rsidRPr="005970E9">
        <w:rPr>
          <w:rFonts w:ascii="Century Schoolbook" w:hAnsi="Century Schoolbook"/>
        </w:rPr>
        <w:t xml:space="preserve">. </w:t>
      </w:r>
      <w:r w:rsidR="00D9032C" w:rsidRPr="005970E9">
        <w:rPr>
          <w:rFonts w:ascii="Century Schoolbook" w:eastAsia="Century Schoolbook" w:hAnsi="Century Schoolbook" w:cs="Century Schoolbook"/>
          <w:lang w:val="es-ES"/>
        </w:rPr>
        <w:t>Coordinadores de proyecto ambientales dentro del ministerio de ambiente por sexo para el año 2020</w:t>
      </w:r>
      <w:bookmarkEnd w:id="360"/>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93"/>
        <w:gridCol w:w="1562"/>
        <w:gridCol w:w="2410"/>
        <w:gridCol w:w="1550"/>
        <w:gridCol w:w="1282"/>
        <w:gridCol w:w="1278"/>
      </w:tblGrid>
      <w:tr w:rsidR="00D9032C" w:rsidRPr="005970E9" w14:paraId="1C29801B" w14:textId="77777777" w:rsidTr="00217E87">
        <w:trPr>
          <w:trHeight w:val="795"/>
        </w:trPr>
        <w:tc>
          <w:tcPr>
            <w:tcW w:w="1093" w:type="dxa"/>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hideMark/>
          </w:tcPr>
          <w:p w14:paraId="5F92EE6D" w14:textId="77777777" w:rsidR="00D9032C" w:rsidRPr="005970E9" w:rsidRDefault="00D9032C" w:rsidP="00217E87">
            <w:pPr>
              <w:widowControl w:val="0"/>
              <w:jc w:val="center"/>
              <w:rPr>
                <w:rFonts w:eastAsia="Arial" w:cs="Arial"/>
                <w:sz w:val="20"/>
                <w:szCs w:val="20"/>
                <w:lang w:val="es-ES"/>
              </w:rPr>
            </w:pPr>
            <w:r w:rsidRPr="005970E9">
              <w:rPr>
                <w:rFonts w:eastAsia="Century Schoolbook" w:cs="Century Schoolbook"/>
                <w:sz w:val="20"/>
                <w:szCs w:val="20"/>
                <w:lang w:val="es-ES"/>
              </w:rPr>
              <w:t>No. de proyectos</w:t>
            </w:r>
          </w:p>
        </w:tc>
        <w:tc>
          <w:tcPr>
            <w:tcW w:w="1562" w:type="dxa"/>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hideMark/>
          </w:tcPr>
          <w:p w14:paraId="22D1B386" w14:textId="77777777" w:rsidR="00D9032C" w:rsidRPr="005970E9" w:rsidRDefault="00D9032C" w:rsidP="00217E87">
            <w:pPr>
              <w:widowControl w:val="0"/>
              <w:jc w:val="center"/>
              <w:rPr>
                <w:sz w:val="20"/>
                <w:szCs w:val="20"/>
                <w:lang w:val="es-ES"/>
              </w:rPr>
            </w:pPr>
            <w:r w:rsidRPr="005970E9">
              <w:rPr>
                <w:rFonts w:eastAsia="Century Schoolbook" w:cs="Century Schoolbook"/>
                <w:sz w:val="20"/>
                <w:szCs w:val="20"/>
                <w:lang w:val="es-ES"/>
              </w:rPr>
              <w:t>Áreas de acción de los proyectos</w:t>
            </w:r>
          </w:p>
        </w:tc>
        <w:tc>
          <w:tcPr>
            <w:tcW w:w="2410" w:type="dxa"/>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hideMark/>
          </w:tcPr>
          <w:p w14:paraId="61E0F30B" w14:textId="77777777" w:rsidR="00D9032C" w:rsidRPr="005970E9" w:rsidRDefault="00D9032C" w:rsidP="00217E87">
            <w:pPr>
              <w:widowControl w:val="0"/>
              <w:jc w:val="center"/>
              <w:rPr>
                <w:sz w:val="20"/>
                <w:szCs w:val="20"/>
                <w:lang w:val="es-ES"/>
              </w:rPr>
            </w:pPr>
            <w:r w:rsidRPr="005970E9">
              <w:rPr>
                <w:rFonts w:eastAsia="Century Schoolbook" w:cs="Century Schoolbook"/>
                <w:sz w:val="20"/>
                <w:szCs w:val="20"/>
                <w:lang w:val="es-ES"/>
              </w:rPr>
              <w:t>Organismos cooperantes</w:t>
            </w:r>
          </w:p>
        </w:tc>
        <w:tc>
          <w:tcPr>
            <w:tcW w:w="1550" w:type="dxa"/>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hideMark/>
          </w:tcPr>
          <w:p w14:paraId="0DD8E542" w14:textId="21E7FA54" w:rsidR="00D9032C" w:rsidRPr="005970E9" w:rsidRDefault="00D9032C" w:rsidP="00217E87">
            <w:pPr>
              <w:widowControl w:val="0"/>
              <w:jc w:val="center"/>
              <w:rPr>
                <w:sz w:val="18"/>
                <w:szCs w:val="18"/>
                <w:lang w:val="es-ES"/>
              </w:rPr>
            </w:pPr>
            <w:r w:rsidRPr="005970E9">
              <w:rPr>
                <w:rFonts w:eastAsia="Century Schoolbook" w:cs="Century Schoolbook"/>
                <w:sz w:val="18"/>
                <w:szCs w:val="18"/>
                <w:lang w:val="es-ES"/>
              </w:rPr>
              <w:t xml:space="preserve">No. </w:t>
            </w:r>
            <w:r w:rsidR="00217E87" w:rsidRPr="005970E9">
              <w:rPr>
                <w:rFonts w:eastAsia="Century Schoolbook" w:cs="Century Schoolbook"/>
                <w:sz w:val="18"/>
                <w:szCs w:val="18"/>
                <w:lang w:val="es-ES"/>
              </w:rPr>
              <w:t>total,</w:t>
            </w:r>
            <w:r w:rsidRPr="005970E9">
              <w:rPr>
                <w:rFonts w:eastAsia="Century Schoolbook" w:cs="Century Schoolbook"/>
                <w:sz w:val="18"/>
                <w:szCs w:val="18"/>
                <w:lang w:val="es-ES"/>
              </w:rPr>
              <w:t xml:space="preserve"> de coordinadores</w:t>
            </w:r>
          </w:p>
        </w:tc>
        <w:tc>
          <w:tcPr>
            <w:tcW w:w="1282" w:type="dxa"/>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hideMark/>
          </w:tcPr>
          <w:p w14:paraId="54DFDCE8" w14:textId="77777777" w:rsidR="00D9032C" w:rsidRPr="005970E9" w:rsidRDefault="00D9032C" w:rsidP="00217E87">
            <w:pPr>
              <w:widowControl w:val="0"/>
              <w:jc w:val="center"/>
              <w:rPr>
                <w:sz w:val="18"/>
                <w:szCs w:val="18"/>
                <w:lang w:val="es-ES"/>
              </w:rPr>
            </w:pPr>
            <w:r w:rsidRPr="005970E9">
              <w:rPr>
                <w:rFonts w:eastAsia="Century Schoolbook" w:cs="Century Schoolbook"/>
                <w:sz w:val="18"/>
                <w:szCs w:val="18"/>
                <w:lang w:val="es-ES"/>
              </w:rPr>
              <w:t>No. de coordinadores hombres</w:t>
            </w:r>
          </w:p>
        </w:tc>
        <w:tc>
          <w:tcPr>
            <w:tcW w:w="1278" w:type="dxa"/>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hideMark/>
          </w:tcPr>
          <w:p w14:paraId="2B2A9882" w14:textId="77777777" w:rsidR="00D9032C" w:rsidRPr="005970E9" w:rsidRDefault="00D9032C" w:rsidP="00217E87">
            <w:pPr>
              <w:widowControl w:val="0"/>
              <w:jc w:val="center"/>
              <w:rPr>
                <w:sz w:val="18"/>
                <w:szCs w:val="18"/>
                <w:lang w:val="es-ES"/>
              </w:rPr>
            </w:pPr>
            <w:r w:rsidRPr="005970E9">
              <w:rPr>
                <w:rFonts w:eastAsia="Century Schoolbook" w:cs="Century Schoolbook"/>
                <w:sz w:val="18"/>
                <w:szCs w:val="18"/>
                <w:lang w:val="es-ES"/>
              </w:rPr>
              <w:t>No. de coordinadoras mujeres</w:t>
            </w:r>
          </w:p>
        </w:tc>
      </w:tr>
      <w:tr w:rsidR="00D9032C" w:rsidRPr="005970E9" w14:paraId="03C9231C" w14:textId="77777777" w:rsidTr="00217E87">
        <w:trPr>
          <w:trHeight w:val="1995"/>
        </w:trPr>
        <w:tc>
          <w:tcPr>
            <w:tcW w:w="109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7F244D38" w14:textId="77777777" w:rsidR="00D9032C" w:rsidRPr="005970E9" w:rsidRDefault="00D9032C" w:rsidP="00217E87">
            <w:pPr>
              <w:widowControl w:val="0"/>
              <w:jc w:val="center"/>
              <w:rPr>
                <w:sz w:val="20"/>
                <w:szCs w:val="20"/>
                <w:lang w:val="es-ES"/>
              </w:rPr>
            </w:pPr>
            <w:r w:rsidRPr="005970E9">
              <w:rPr>
                <w:rFonts w:eastAsia="Century Schoolbook" w:cs="Century Schoolbook"/>
                <w:sz w:val="20"/>
                <w:szCs w:val="20"/>
                <w:lang w:val="es-ES"/>
              </w:rPr>
              <w:t>29</w:t>
            </w:r>
          </w:p>
        </w:tc>
        <w:tc>
          <w:tcPr>
            <w:tcW w:w="156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EB34D23" w14:textId="77777777" w:rsidR="00D9032C" w:rsidRPr="005970E9" w:rsidRDefault="00D9032C">
            <w:pPr>
              <w:widowControl w:val="0"/>
              <w:rPr>
                <w:sz w:val="20"/>
                <w:szCs w:val="20"/>
                <w:lang w:val="es-ES"/>
              </w:rPr>
            </w:pPr>
            <w:r w:rsidRPr="005970E9">
              <w:rPr>
                <w:rFonts w:eastAsia="Century Schoolbook" w:cs="Century Schoolbook"/>
                <w:sz w:val="20"/>
                <w:szCs w:val="20"/>
                <w:lang w:val="es-ES"/>
              </w:rPr>
              <w:t>Áreas protegidas, Gestión ambiental, Gestión integrada de cuencas hidrográficas</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vAlign w:val="bottom"/>
            <w:hideMark/>
          </w:tcPr>
          <w:p w14:paraId="2FA311DB" w14:textId="77777777" w:rsidR="00D9032C" w:rsidRPr="005970E9" w:rsidRDefault="00D9032C">
            <w:pPr>
              <w:widowControl w:val="0"/>
              <w:rPr>
                <w:sz w:val="20"/>
                <w:szCs w:val="20"/>
                <w:lang w:val="es-ES"/>
              </w:rPr>
            </w:pPr>
            <w:r w:rsidRPr="005970E9">
              <w:rPr>
                <w:rFonts w:eastAsia="Century Schoolbook" w:cs="Century Schoolbook"/>
                <w:sz w:val="20"/>
                <w:szCs w:val="20"/>
                <w:lang w:val="es-ES"/>
              </w:rPr>
              <w:t>Ministerio de Ambiente / Allied Energy Systems Corporation (AES Changuinola) / Bonyic / The Nature Conservancy (TNC) / GEF Fondo para el Medio Ambiente Mundial / PNUD</w:t>
            </w:r>
          </w:p>
        </w:tc>
        <w:tc>
          <w:tcPr>
            <w:tcW w:w="155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DF0C5BE" w14:textId="77777777" w:rsidR="00D9032C" w:rsidRPr="005970E9" w:rsidRDefault="00D9032C" w:rsidP="00217E87">
            <w:pPr>
              <w:widowControl w:val="0"/>
              <w:jc w:val="center"/>
              <w:rPr>
                <w:sz w:val="20"/>
                <w:szCs w:val="20"/>
                <w:lang w:val="es-ES"/>
              </w:rPr>
            </w:pPr>
            <w:r w:rsidRPr="005970E9">
              <w:rPr>
                <w:rFonts w:eastAsia="Century Schoolbook" w:cs="Century Schoolbook"/>
                <w:sz w:val="20"/>
                <w:szCs w:val="20"/>
                <w:lang w:val="es-ES"/>
              </w:rPr>
              <w:t>29</w:t>
            </w:r>
          </w:p>
        </w:tc>
        <w:tc>
          <w:tcPr>
            <w:tcW w:w="128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38DED2EE" w14:textId="77777777" w:rsidR="00D9032C" w:rsidRPr="005970E9" w:rsidRDefault="00D9032C" w:rsidP="00217E87">
            <w:pPr>
              <w:widowControl w:val="0"/>
              <w:jc w:val="center"/>
              <w:rPr>
                <w:sz w:val="20"/>
                <w:szCs w:val="20"/>
                <w:lang w:val="es-ES"/>
              </w:rPr>
            </w:pPr>
            <w:r w:rsidRPr="005970E9">
              <w:rPr>
                <w:rFonts w:eastAsia="Century Schoolbook" w:cs="Century Schoolbook"/>
                <w:sz w:val="20"/>
                <w:szCs w:val="20"/>
                <w:lang w:val="es-ES"/>
              </w:rPr>
              <w:t>12</w:t>
            </w:r>
          </w:p>
        </w:tc>
        <w:tc>
          <w:tcPr>
            <w:tcW w:w="127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574EC42F" w14:textId="77777777" w:rsidR="00D9032C" w:rsidRPr="005970E9" w:rsidRDefault="00D9032C" w:rsidP="00217E87">
            <w:pPr>
              <w:widowControl w:val="0"/>
              <w:jc w:val="center"/>
              <w:rPr>
                <w:sz w:val="20"/>
                <w:szCs w:val="20"/>
                <w:lang w:val="es-ES"/>
              </w:rPr>
            </w:pPr>
            <w:r w:rsidRPr="005970E9">
              <w:rPr>
                <w:rFonts w:eastAsia="Century Schoolbook" w:cs="Century Schoolbook"/>
                <w:sz w:val="20"/>
                <w:szCs w:val="20"/>
                <w:lang w:val="es-ES"/>
              </w:rPr>
              <w:t>17</w:t>
            </w:r>
          </w:p>
        </w:tc>
      </w:tr>
      <w:tr w:rsidR="00D9032C" w:rsidRPr="005970E9" w14:paraId="041C1FBC" w14:textId="77777777" w:rsidTr="00217E87">
        <w:trPr>
          <w:trHeight w:val="315"/>
        </w:trPr>
        <w:tc>
          <w:tcPr>
            <w:tcW w:w="9175" w:type="dxa"/>
            <w:gridSpan w:val="6"/>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14:paraId="56548917" w14:textId="77777777" w:rsidR="00D9032C" w:rsidRPr="005970E9" w:rsidRDefault="00D9032C">
            <w:pPr>
              <w:widowControl w:val="0"/>
              <w:rPr>
                <w:sz w:val="20"/>
                <w:szCs w:val="20"/>
                <w:lang w:val="es-ES"/>
              </w:rPr>
            </w:pPr>
            <w:r w:rsidRPr="005970E9">
              <w:rPr>
                <w:rFonts w:eastAsia="Century Schoolbook" w:cs="Century Schoolbook"/>
                <w:sz w:val="20"/>
                <w:szCs w:val="20"/>
                <w:lang w:val="es-ES"/>
              </w:rPr>
              <w:lastRenderedPageBreak/>
              <w:t>Fuente: https://www.miambiente.gob.pa/proyectos-institucionales/</w:t>
            </w:r>
          </w:p>
        </w:tc>
      </w:tr>
    </w:tbl>
    <w:p w14:paraId="45FA23BF" w14:textId="77777777" w:rsidR="00D9032C" w:rsidRPr="005970E9" w:rsidRDefault="00D9032C" w:rsidP="00D9032C">
      <w:pPr>
        <w:rPr>
          <w:rFonts w:eastAsia="Century Schoolbook" w:cs="Century Schoolbook"/>
          <w:lang w:val="es-ES"/>
        </w:rPr>
      </w:pPr>
    </w:p>
    <w:p w14:paraId="283A35EC" w14:textId="77777777" w:rsidR="00D9032C" w:rsidRPr="005970E9" w:rsidRDefault="00D9032C" w:rsidP="001C69C9">
      <w:pPr>
        <w:spacing w:before="120" w:after="120" w:line="276" w:lineRule="auto"/>
        <w:jc w:val="both"/>
        <w:rPr>
          <w:rFonts w:eastAsia="Century Schoolbook" w:cs="Century Schoolbook"/>
          <w:lang w:val="es-ES"/>
        </w:rPr>
      </w:pPr>
      <w:r w:rsidRPr="005970E9">
        <w:rPr>
          <w:rFonts w:eastAsia="Century Schoolbook" w:cs="Century Schoolbook"/>
          <w:lang w:val="es-ES"/>
        </w:rPr>
        <w:t>El Ministerio de Ambiente también incluye dentro del desarrollo de sus proyectos y políticas las metas trazadas por la Estrategia Nacional de Cambio Climático 2050, que incluyen entre otras cosas el cumplimiento de los ODS, con el logro de la igualdad de género (ODS 5) un eje transversal en los campos referentes al tema ambiente.</w:t>
      </w:r>
    </w:p>
    <w:p w14:paraId="3B4CAC1B" w14:textId="77777777" w:rsidR="00D9032C" w:rsidRPr="005970E9" w:rsidRDefault="00D9032C" w:rsidP="001C69C9">
      <w:pPr>
        <w:spacing w:before="120" w:after="120" w:line="276" w:lineRule="auto"/>
        <w:jc w:val="both"/>
        <w:rPr>
          <w:rFonts w:eastAsia="Century Schoolbook" w:cs="Century Schoolbook"/>
          <w:lang w:val="es-ES"/>
        </w:rPr>
      </w:pPr>
      <w:r w:rsidRPr="005970E9">
        <w:rPr>
          <w:rFonts w:eastAsia="Century Schoolbook" w:cs="Century Schoolbook"/>
          <w:lang w:val="es-ES"/>
        </w:rPr>
        <w:t>Siendo escasa la información que se encuentra en el Ministerio de Ambiente en referencia a la igualdad de género es necesario destacar que muchos de los proyectos en los que este participa conjuntamente con organismos internacionales involucran una perspectiva de género dentro de sus principios básicos.</w:t>
      </w:r>
    </w:p>
    <w:p w14:paraId="07734C26" w14:textId="77777777" w:rsidR="00D9032C" w:rsidRPr="005970E9" w:rsidRDefault="00D9032C" w:rsidP="00D9032C">
      <w:pPr>
        <w:jc w:val="both"/>
        <w:rPr>
          <w:rFonts w:eastAsia="Century Schoolbook" w:cs="Century Schoolbook"/>
          <w:lang w:val="es-ES"/>
        </w:rPr>
      </w:pPr>
    </w:p>
    <w:p w14:paraId="15DB9E7F" w14:textId="11D15B0B" w:rsidR="00FA1B58" w:rsidRPr="005970E9" w:rsidRDefault="00FA1B58" w:rsidP="00FA1B58">
      <w:pPr>
        <w:pStyle w:val="Heading1"/>
        <w:spacing w:before="120"/>
      </w:pPr>
      <w:bookmarkStart w:id="361" w:name="_Toc42159270"/>
      <w:bookmarkStart w:id="362" w:name="_Toc42549501"/>
      <w:r w:rsidRPr="005970E9">
        <w:t>V</w:t>
      </w:r>
      <w:r w:rsidR="00CC15A2" w:rsidRPr="005970E9">
        <w:t>I</w:t>
      </w:r>
      <w:r w:rsidRPr="005970E9">
        <w:t xml:space="preserve">.  SISTEMA DE NACIONES UNIDAS EN PANAMÁ </w:t>
      </w:r>
      <w:bookmarkEnd w:id="361"/>
      <w:bookmarkEnd w:id="362"/>
    </w:p>
    <w:p w14:paraId="320D0B20" w14:textId="6E00E3CD" w:rsidR="004122D1" w:rsidRPr="005970E9" w:rsidRDefault="004122D1" w:rsidP="004122D1">
      <w:pPr>
        <w:pStyle w:val="Heading2"/>
      </w:pPr>
      <w:bookmarkStart w:id="363" w:name="_Toc42159271"/>
      <w:bookmarkStart w:id="364" w:name="_Toc42549502"/>
      <w:r w:rsidRPr="005970E9">
        <w:t>6.1. Las</w:t>
      </w:r>
      <w:r w:rsidR="00F9437B" w:rsidRPr="005970E9">
        <w:t xml:space="preserve"> </w:t>
      </w:r>
      <w:r w:rsidRPr="005970E9">
        <w:rPr>
          <w:rStyle w:val="Emphasis"/>
        </w:rPr>
        <w:t>Naciones Unidas (ONU).</w:t>
      </w:r>
      <w:bookmarkEnd w:id="363"/>
      <w:bookmarkEnd w:id="364"/>
      <w:r w:rsidRPr="005970E9">
        <w:rPr>
          <w:rStyle w:val="Emphasis"/>
        </w:rPr>
        <w:t xml:space="preserve"> </w:t>
      </w:r>
    </w:p>
    <w:p w14:paraId="3970AA9C" w14:textId="7F7DEF7F" w:rsidR="004122D1" w:rsidRPr="005970E9" w:rsidRDefault="004122D1" w:rsidP="00BF6858">
      <w:pPr>
        <w:pStyle w:val="CommentText"/>
        <w:spacing w:before="120" w:after="120" w:line="276" w:lineRule="auto"/>
        <w:jc w:val="both"/>
        <w:rPr>
          <w:rFonts w:ascii="Century Schoolbook" w:hAnsi="Century Schoolbook"/>
          <w:color w:val="000000"/>
          <w:sz w:val="22"/>
          <w:szCs w:val="22"/>
        </w:rPr>
      </w:pPr>
      <w:r w:rsidRPr="005970E9">
        <w:rPr>
          <w:rFonts w:ascii="Century Schoolbook" w:hAnsi="Century Schoolbook"/>
          <w:color w:val="000000" w:themeColor="text1"/>
          <w:sz w:val="22"/>
        </w:rPr>
        <w:t xml:space="preserve">Panamá desde sus inicios forma parte del grupo de </w:t>
      </w:r>
      <w:r w:rsidRPr="005970E9">
        <w:rPr>
          <w:rFonts w:ascii="Century Schoolbook" w:hAnsi="Century Schoolbook" w:cs="Arial"/>
          <w:color w:val="000000" w:themeColor="text1"/>
          <w:sz w:val="22"/>
          <w:szCs w:val="22"/>
        </w:rPr>
        <w:t>19</w:t>
      </w:r>
      <w:r w:rsidR="75F0F3B9" w:rsidRPr="005970E9">
        <w:rPr>
          <w:rFonts w:ascii="Century Schoolbook" w:hAnsi="Century Schoolbook" w:cs="Arial"/>
          <w:color w:val="000000" w:themeColor="text1"/>
          <w:sz w:val="22"/>
          <w:szCs w:val="22"/>
        </w:rPr>
        <w:t>3</w:t>
      </w:r>
      <w:r w:rsidRPr="005970E9">
        <w:rPr>
          <w:rFonts w:ascii="Century Schoolbook" w:hAnsi="Century Schoolbook"/>
          <w:color w:val="000000" w:themeColor="text1"/>
          <w:sz w:val="22"/>
        </w:rPr>
        <w:t xml:space="preserve"> países que conforman hoy las Naciones Unidas</w:t>
      </w:r>
      <w:r w:rsidR="00C15123" w:rsidRPr="005970E9">
        <w:rPr>
          <w:rStyle w:val="FootnoteReference"/>
          <w:rFonts w:ascii="Century Schoolbook" w:hAnsi="Century Schoolbook"/>
          <w:color w:val="000000" w:themeColor="text1"/>
          <w:sz w:val="22"/>
        </w:rPr>
        <w:footnoteReference w:id="121"/>
      </w:r>
      <w:r w:rsidRPr="005970E9">
        <w:rPr>
          <w:rFonts w:ascii="Century Schoolbook" w:hAnsi="Century Schoolbook"/>
          <w:color w:val="000000" w:themeColor="text1"/>
          <w:sz w:val="22"/>
        </w:rPr>
        <w:t xml:space="preserve">. Cuenta actualmente con un Equipo de País, liderado por el Coordinador Residente (CR) y compuesto por los/las Representantes de las Agencias de Naciones Unidas que cooperan con Panamá. Tiene el objetivo de optimizar la cooperación, promover estrategias, determinar las prioridades, y crear mecanismos de coordinación interagencial, para la acción del Sistema de Naciones Unidas en Panamá. </w:t>
      </w:r>
    </w:p>
    <w:p w14:paraId="73087457" w14:textId="320348F0" w:rsidR="004122D1" w:rsidRPr="005970E9" w:rsidRDefault="004122D1" w:rsidP="00BF6858">
      <w:pPr>
        <w:spacing w:before="120" w:after="120" w:line="276" w:lineRule="auto"/>
        <w:jc w:val="both"/>
        <w:rPr>
          <w:b/>
          <w:bCs/>
        </w:rPr>
      </w:pPr>
      <w:bookmarkStart w:id="365" w:name="_Toc42159272"/>
      <w:r w:rsidRPr="005970E9">
        <w:t>Funciones:  el</w:t>
      </w:r>
      <w:r w:rsidR="00DD10F8" w:rsidRPr="005970E9">
        <w:t xml:space="preserve"> </w:t>
      </w:r>
      <w:r w:rsidRPr="005970E9">
        <w:rPr>
          <w:rStyle w:val="Strong"/>
          <w:rFonts w:cs="Arial"/>
          <w:color w:val="000000"/>
          <w:bdr w:val="none" w:sz="0" w:space="0" w:color="auto" w:frame="1"/>
        </w:rPr>
        <w:t>Coordinador Residente</w:t>
      </w:r>
      <w:r w:rsidRPr="00BF6858">
        <w:rPr>
          <w:rStyle w:val="Strong"/>
          <w:rFonts w:cs="Arial"/>
          <w:b w:val="0"/>
          <w:bCs w:val="0"/>
          <w:color w:val="000000"/>
          <w:bdr w:val="none" w:sz="0" w:space="0" w:color="auto" w:frame="1"/>
        </w:rPr>
        <w:t>, trabaja en</w:t>
      </w:r>
      <w:r w:rsidR="00DD10F8" w:rsidRPr="005970E9">
        <w:t xml:space="preserve"> </w:t>
      </w:r>
      <w:r w:rsidRPr="005970E9">
        <w:t>estrecha unión con los gobiernos nacionales y “facilita la coordinación, planificación, programación, organización, monitoreo, promoción y la retroalimentación. Además, lidera el trabajo de los miembros del Equipo de País y de la Oficina de Coordinación para lograr los resultados esperados y consensuados”. También impulsa la cooperación conjunta de las agencias de NU para optimizar (</w:t>
      </w:r>
      <w:bookmarkEnd w:id="365"/>
      <w:r w:rsidR="00BF6858" w:rsidRPr="005970E9">
        <w:rPr>
          <w:rStyle w:val="HTMLCite"/>
        </w:rPr>
        <w:t>www.onu.org.pa/FAO</w:t>
      </w:r>
      <w:r w:rsidR="00BF6858" w:rsidRPr="005970E9">
        <w:t>)</w:t>
      </w:r>
      <w:r w:rsidR="00C15123" w:rsidRPr="005970E9">
        <w:t>.</w:t>
      </w:r>
    </w:p>
    <w:p w14:paraId="3F53641C" w14:textId="489B2B33" w:rsidR="00C15123" w:rsidRPr="005970E9" w:rsidRDefault="004122D1" w:rsidP="00BF6858">
      <w:pPr>
        <w:spacing w:before="120" w:after="120" w:line="276" w:lineRule="auto"/>
        <w:jc w:val="both"/>
      </w:pPr>
      <w:bookmarkStart w:id="366" w:name="_Toc42159273"/>
      <w:r w:rsidRPr="005970E9">
        <w:t>Junto al CR, se encuentran los</w:t>
      </w:r>
      <w:r w:rsidR="00F9437B" w:rsidRPr="005970E9">
        <w:t xml:space="preserve"> </w:t>
      </w:r>
      <w:r w:rsidRPr="005970E9">
        <w:rPr>
          <w:rStyle w:val="Strong"/>
          <w:rFonts w:cs="Arial"/>
          <w:color w:val="000000"/>
          <w:bdr w:val="none" w:sz="0" w:space="0" w:color="auto" w:frame="1"/>
        </w:rPr>
        <w:t>Representantes de las Agencias, Fondos y Programas del Sistema de Naciones Unidas en Panamá,</w:t>
      </w:r>
      <w:r w:rsidR="00F9437B" w:rsidRPr="005970E9">
        <w:rPr>
          <w:rStyle w:val="Strong"/>
          <w:rFonts w:cs="Arial"/>
          <w:color w:val="000000"/>
          <w:bdr w:val="none" w:sz="0" w:space="0" w:color="auto" w:frame="1"/>
        </w:rPr>
        <w:t xml:space="preserve"> </w:t>
      </w:r>
      <w:r w:rsidRPr="005970E9">
        <w:t>que orientan y ejecutan planes para el desarrollo del país. El CR promueve el trabajo conjunto de las diferentes agencias de Naciones Unidas para mejorar la eficiencia y eficacia de las acciones programas y realizadas en el de país. (</w:t>
      </w:r>
      <w:bookmarkEnd w:id="366"/>
      <w:r w:rsidR="00BF6858" w:rsidRPr="005970E9">
        <w:rPr>
          <w:rStyle w:val="HTMLCite"/>
        </w:rPr>
        <w:t>www.onu.org.pa/FAO</w:t>
      </w:r>
      <w:r w:rsidR="00BF6858" w:rsidRPr="005970E9">
        <w:t>)</w:t>
      </w:r>
      <w:r w:rsidR="00C15123" w:rsidRPr="005970E9">
        <w:t>.</w:t>
      </w:r>
    </w:p>
    <w:p w14:paraId="695B7141" w14:textId="77777777" w:rsidR="004122D1" w:rsidRPr="005970E9" w:rsidRDefault="004122D1" w:rsidP="00BF6858">
      <w:pPr>
        <w:spacing w:before="120" w:after="120" w:line="276" w:lineRule="auto"/>
        <w:jc w:val="both"/>
        <w:textAlignment w:val="baseline"/>
        <w:rPr>
          <w:rFonts w:eastAsia="Times New Roman"/>
          <w:color w:val="000000"/>
          <w:lang w:val="es-US" w:eastAsia="es-US"/>
        </w:rPr>
      </w:pPr>
      <w:r w:rsidRPr="005970E9">
        <w:rPr>
          <w:color w:val="000000" w:themeColor="text1"/>
          <w:lang w:val="es-US"/>
        </w:rPr>
        <w:t>Además del Sistema de Naciones Unidas en Panamá, existen otros organismos y países que cooperan con el país y brindan su experiencia y apoyo para el impulso del desarrollo nacional como: el Banco Interamericano de Desarrollo (</w:t>
      </w:r>
      <w:r w:rsidRPr="005970E9">
        <w:rPr>
          <w:color w:val="000000" w:themeColor="text1"/>
        </w:rPr>
        <w:t>BID), el Banco Mundial (BM), el Banco de Desarrollo de América Latina, antes de Cooperación Andina de Fomento (CAF), la Unión Europea (UE) y cooperaciones bilaterales entre países como España, Canadá, y Japón.</w:t>
      </w:r>
    </w:p>
    <w:p w14:paraId="4737E07C" w14:textId="03E11859" w:rsidR="233AF4D5" w:rsidRPr="005970E9" w:rsidRDefault="233AF4D5" w:rsidP="00195C8F">
      <w:pPr>
        <w:spacing w:after="300"/>
        <w:jc w:val="both"/>
        <w:rPr>
          <w:color w:val="000000" w:themeColor="text1"/>
        </w:rPr>
      </w:pPr>
      <w:r w:rsidRPr="005970E9">
        <w:rPr>
          <w:color w:val="000000" w:themeColor="text1"/>
        </w:rPr>
        <w:lastRenderedPageBreak/>
        <w:t>Panamá tiene la particularidad que cuenta con el Centro Regional del Sistema de las Naciones Unidas, el país acoge a un número de sedes regionales para América Latina y el Caribe</w:t>
      </w:r>
      <w:r w:rsidR="5199ABF5" w:rsidRPr="005970E9">
        <w:rPr>
          <w:color w:val="000000" w:themeColor="text1"/>
        </w:rPr>
        <w:t>, así como el Hub Humanitario y Logístico para toda la región.</w:t>
      </w:r>
    </w:p>
    <w:p w14:paraId="7414C93D" w14:textId="77777777" w:rsidR="004122D1" w:rsidRPr="005970E9" w:rsidRDefault="004122D1" w:rsidP="004122D1">
      <w:pPr>
        <w:pStyle w:val="Heading2"/>
        <w:rPr>
          <w:rFonts w:eastAsia="Times New Roman"/>
          <w:lang w:val="es-US" w:eastAsia="es-US"/>
        </w:rPr>
      </w:pPr>
      <w:bookmarkStart w:id="367" w:name="_Toc42159274"/>
      <w:bookmarkStart w:id="368" w:name="_Toc42549503"/>
      <w:r w:rsidRPr="005970E9">
        <w:rPr>
          <w:rFonts w:eastAsia="Times New Roman"/>
          <w:lang w:val="es-US" w:eastAsia="es-US"/>
        </w:rPr>
        <w:t>6.2. Organización de las Naciones Unidas para la Alimentación y la Agricultura (FAO)</w:t>
      </w:r>
      <w:bookmarkEnd w:id="367"/>
      <w:bookmarkEnd w:id="368"/>
    </w:p>
    <w:p w14:paraId="5C792850" w14:textId="77777777" w:rsidR="004122D1" w:rsidRPr="005970E9" w:rsidRDefault="004122D1" w:rsidP="00BF6858">
      <w:pPr>
        <w:spacing w:before="120" w:after="120" w:line="276" w:lineRule="auto"/>
        <w:jc w:val="both"/>
        <w:textAlignment w:val="baseline"/>
        <w:rPr>
          <w:rFonts w:eastAsia="Times New Roman" w:cs="Arial"/>
          <w:color w:val="000000"/>
          <w:lang w:val="es-US" w:eastAsia="es-US"/>
        </w:rPr>
      </w:pPr>
      <w:r w:rsidRPr="005970E9">
        <w:rPr>
          <w:rFonts w:eastAsia="Times New Roman" w:cs="Arial"/>
          <w:color w:val="000000"/>
          <w:lang w:val="es-US" w:eastAsia="es-US"/>
        </w:rPr>
        <w:t>La FAO tiene como objetivo principal erradicar el hambre en todas sus formas para que todas las personas accedan a los alimentos en forma sostenible y equitativa, por medio de alianzas con diversas instancias regionales y con los Estados a través del sector público y privado, junto con la sociedad civil.</w:t>
      </w:r>
    </w:p>
    <w:p w14:paraId="2F0C6858" w14:textId="36D166F9" w:rsidR="004122D1" w:rsidRPr="005970E9" w:rsidRDefault="004122D1" w:rsidP="00BF6858">
      <w:pPr>
        <w:spacing w:before="120" w:after="120" w:line="276" w:lineRule="auto"/>
        <w:jc w:val="both"/>
        <w:rPr>
          <w:bCs/>
        </w:rPr>
      </w:pPr>
      <w:bookmarkStart w:id="369" w:name="_Toc42159275"/>
      <w:r w:rsidRPr="005970E9">
        <w:t>En Panamá trabaja en diferentes programas de apoyo a pequeños productores en las áreas rurales e indígenas en todo el territorio nacional en coordinación con el Ministerio de Desarrollo Agropecuario y otras instancias del Estado. A la vez brinda asistencia técnica a los países de Mesoamérica (</w:t>
      </w:r>
      <w:bookmarkEnd w:id="369"/>
      <w:r w:rsidR="00BF6858" w:rsidRPr="005970E9">
        <w:rPr>
          <w:rStyle w:val="HTMLCite"/>
          <w:b/>
        </w:rPr>
        <w:t>www.onu.org.pa/FAO</w:t>
      </w:r>
      <w:r w:rsidR="00BF6858" w:rsidRPr="005970E9">
        <w:t>)</w:t>
      </w:r>
      <w:r w:rsidR="00BF6858">
        <w:t>.</w:t>
      </w:r>
    </w:p>
    <w:p w14:paraId="0A0BC54C" w14:textId="2B642BDC" w:rsidR="004122D1" w:rsidRPr="005970E9" w:rsidRDefault="004122D1" w:rsidP="00BF6858">
      <w:pPr>
        <w:spacing w:before="120" w:after="120" w:line="276" w:lineRule="auto"/>
        <w:jc w:val="both"/>
      </w:pPr>
      <w:r w:rsidRPr="005970E9">
        <w:t xml:space="preserve">La FAO ha avanzado un proceso de fortalecimiento de sus marcos institucionales con enfoque género. Desde 2016 cuenta con una Estrategia de Género del Plan del Plan de Seguridad Alimentaria de la Comunidad de Estados Latinoamericanos y caribeños, constituidos por treinta y tres países.  El objetivo de este Plan es contribuir a “alcanzar resultados concretos que se traduzcan en mejoras significativas en la calidad de vida de nuestros pueblos, dirigidas a la erradicación de la pobreza, en especial de la pobreza extrema, que garanticen la seguridad alimentaria y la nutrición, con enfoque de género y respetando la diversidad de hábitos alimentarios, para afrontar los desafíos de la seguridad alimentaria y la nutrición con vistas a la erradicación del hambre y al disfrute del Derecho a la Alimentación, en especial de todos los sectores en situación de vulnerabilidad” Fao, 2016 (Entrevista </w:t>
      </w:r>
      <w:r w:rsidR="001E5CBF" w:rsidRPr="005970E9">
        <w:t>13 de febrero</w:t>
      </w:r>
      <w:r w:rsidRPr="005970E9">
        <w:t xml:space="preserve"> de 2020)</w:t>
      </w:r>
      <w:r w:rsidR="00BF6858">
        <w:t>.</w:t>
      </w:r>
    </w:p>
    <w:p w14:paraId="009CB979" w14:textId="301362B1" w:rsidR="004122D1" w:rsidRPr="005970E9" w:rsidRDefault="004122D1" w:rsidP="00BF6858">
      <w:pPr>
        <w:spacing w:before="120" w:after="120" w:line="276" w:lineRule="auto"/>
        <w:jc w:val="both"/>
      </w:pPr>
      <w:r w:rsidRPr="005970E9">
        <w:t xml:space="preserve">Para la FAO, la inclusión de género en la estrategia de seguridad alimentaria es para que la implementación del Plan SAN-CELAC garantice el empoderamiento de las mujeres y alcance por igual a mujeres y hombres. Igualmente se crearon marcos normativos, reforzaron la formulación de proyectos, incluyeron indicadores específicos de género en el marco lógico y que sirva para el monitoreo y la evaluación (Entrevista </w:t>
      </w:r>
      <w:r w:rsidR="001E5CBF" w:rsidRPr="005970E9">
        <w:t>13 de febrero</w:t>
      </w:r>
      <w:r w:rsidRPr="005970E9">
        <w:t xml:space="preserve"> de 2020)</w:t>
      </w:r>
      <w:r w:rsidR="00BF6858">
        <w:t>.</w:t>
      </w:r>
    </w:p>
    <w:p w14:paraId="178407AA" w14:textId="4DFBFA46" w:rsidR="004122D1" w:rsidRPr="005970E9" w:rsidRDefault="004122D1" w:rsidP="00BF6858">
      <w:pPr>
        <w:spacing w:before="120" w:after="120" w:line="276" w:lineRule="auto"/>
        <w:jc w:val="both"/>
      </w:pPr>
      <w:r w:rsidRPr="005970E9">
        <w:t xml:space="preserve">La política de género de FAO trabaja para actuar en el ambiente interno de la organización. También desarrolla su compromiso con el ODS 1 para la erradicación de la pobreza extrema y el hambre; garantizar la sostenibilidad del medio ambiente, por el cambio climático, resiliencia, desastre, en este marco solicitan incluir género en el GEF – fondo verde, en la evaluación socioeconómica. Los donantes presionan por inclusión enfoque de género lo que abre una ventana de oportunidad y realizan un monitoreo de gobernanza forestal (Entrevista a </w:t>
      </w:r>
      <w:r w:rsidR="001E5CBF" w:rsidRPr="005970E9">
        <w:t xml:space="preserve">13 de febrero </w:t>
      </w:r>
      <w:r w:rsidRPr="005970E9">
        <w:t>de 2020)</w:t>
      </w:r>
      <w:r w:rsidR="00BF6858">
        <w:t>.</w:t>
      </w:r>
    </w:p>
    <w:p w14:paraId="3F26BAC8" w14:textId="5F1FDEFA" w:rsidR="004122D1" w:rsidRPr="005970E9" w:rsidRDefault="004122D1" w:rsidP="00BF6858">
      <w:pPr>
        <w:spacing w:before="120" w:after="120" w:line="276" w:lineRule="auto"/>
        <w:jc w:val="both"/>
      </w:pPr>
      <w:r w:rsidRPr="005970E9">
        <w:t xml:space="preserve">Asume compromisos con la autonomía económica y contra la discriminación hacia indígenas y afrodescendientes con tal fin se realizan las evaluaciones de género. También desarrolló un acuerdo con mujeres indígenas organizadas en la CONAMUIP, </w:t>
      </w:r>
      <w:r w:rsidRPr="005970E9">
        <w:lastRenderedPageBreak/>
        <w:t xml:space="preserve">para crear capacidades en el enfoque de género, la producción de alimentos, de tejidos y artesanías. </w:t>
      </w:r>
      <w:r w:rsidR="005117E0" w:rsidRPr="005970E9">
        <w:t>Además,</w:t>
      </w:r>
      <w:r w:rsidRPr="005970E9">
        <w:t xml:space="preserve"> trabaja en el fortalecimiento de capacidades en socios como el MIDA, y MIAMBIENTE (formulación de proyectos con enfoque de género- alianza FAO – ONU </w:t>
      </w:r>
      <w:r w:rsidR="005117E0" w:rsidRPr="005970E9">
        <w:t>Mujeres. -</w:t>
      </w:r>
      <w:r w:rsidRPr="005970E9">
        <w:t xml:space="preserve">) (Entrevista </w:t>
      </w:r>
      <w:r w:rsidR="001E5CBF" w:rsidRPr="005970E9">
        <w:t xml:space="preserve">13 de febrero </w:t>
      </w:r>
      <w:r w:rsidRPr="005970E9">
        <w:t>de 2020)</w:t>
      </w:r>
      <w:r w:rsidR="00BF6858">
        <w:t>.</w:t>
      </w:r>
    </w:p>
    <w:p w14:paraId="4BD86E93" w14:textId="3B9DFF10" w:rsidR="004122D1" w:rsidRPr="005970E9" w:rsidRDefault="004122D1" w:rsidP="001E5CBF">
      <w:pPr>
        <w:pStyle w:val="Heading2"/>
        <w:numPr>
          <w:ilvl w:val="1"/>
          <w:numId w:val="50"/>
        </w:numPr>
      </w:pPr>
      <w:bookmarkStart w:id="370" w:name="_Toc42159276"/>
      <w:bookmarkStart w:id="371" w:name="_Toc42549504"/>
      <w:r w:rsidRPr="005970E9">
        <w:t>ONU Mujeres</w:t>
      </w:r>
      <w:bookmarkEnd w:id="370"/>
      <w:bookmarkEnd w:id="371"/>
    </w:p>
    <w:p w14:paraId="4916CC60" w14:textId="77777777" w:rsidR="004122D1" w:rsidRPr="005970E9" w:rsidRDefault="004122D1" w:rsidP="00BF6858">
      <w:pPr>
        <w:spacing w:before="120" w:after="120" w:line="276" w:lineRule="auto"/>
        <w:jc w:val="both"/>
        <w:rPr>
          <w:shd w:val="clear" w:color="auto" w:fill="FFFFFF"/>
        </w:rPr>
      </w:pPr>
      <w:bookmarkStart w:id="372" w:name="_Toc42159277"/>
      <w:r w:rsidRPr="005970E9">
        <w:rPr>
          <w:shd w:val="clear" w:color="auto" w:fill="FFFFFF"/>
        </w:rPr>
        <w:t>ONU Mujeres creada en julio del 2010 por la Asamblea General de las Naciones Unidas con el objetivo de promover la igualdad de género y el empoderamiento de las mujeres y como defensora mundial</w:t>
      </w:r>
      <w:r w:rsidRPr="005970E9">
        <w:t xml:space="preserve"> </w:t>
      </w:r>
      <w:r w:rsidRPr="005970E9">
        <w:rPr>
          <w:shd w:val="clear" w:color="auto" w:fill="FFFFFF"/>
        </w:rPr>
        <w:t>de mujeres y niñas, fue establecida para acelerar el progreso que</w:t>
      </w:r>
      <w:r w:rsidRPr="005970E9">
        <w:t xml:space="preserve"> </w:t>
      </w:r>
      <w:r w:rsidRPr="005970E9">
        <w:rPr>
          <w:shd w:val="clear" w:color="auto" w:fill="FFFFFF"/>
        </w:rPr>
        <w:t>conllevará a mejorar las condiciones de vida de las mujeres y para responder a</w:t>
      </w:r>
      <w:r w:rsidRPr="005970E9">
        <w:t xml:space="preserve"> </w:t>
      </w:r>
      <w:r w:rsidRPr="005970E9">
        <w:rPr>
          <w:shd w:val="clear" w:color="auto" w:fill="FFFFFF"/>
        </w:rPr>
        <w:t>las necesidades que enfrentan en el mundo.</w:t>
      </w:r>
      <w:bookmarkEnd w:id="372"/>
    </w:p>
    <w:p w14:paraId="6D0C5868" w14:textId="72BDE2C2" w:rsidR="004122D1" w:rsidRPr="005970E9" w:rsidRDefault="004122D1" w:rsidP="00BF6858">
      <w:pPr>
        <w:spacing w:before="120" w:after="120" w:line="276" w:lineRule="auto"/>
        <w:jc w:val="both"/>
        <w:rPr>
          <w:rFonts w:eastAsia="Times New Roman" w:cs="Tahoma"/>
          <w:color w:val="5E5A55"/>
          <w:sz w:val="24"/>
          <w:szCs w:val="24"/>
          <w:lang w:eastAsia="es-ES"/>
        </w:rPr>
      </w:pPr>
      <w:bookmarkStart w:id="373" w:name="_Toc42159278"/>
      <w:r w:rsidRPr="005970E9">
        <w:rPr>
          <w:shd w:val="clear" w:color="auto" w:fill="FFFFFF"/>
        </w:rPr>
        <w:t>La Entidad se centra en cinco áreas prioritarias: aumentar el liderazgo y la participación de las mujeres; poner fin a la violencia contra las mujeres; mejorar el empoderamiento económico de las mujeres; implicar a las mujeres en todos los aspectos de los procesos de paz y seguridad y hacer de la igualdad de género un aspecto central en la planificación y la elaboración de presupuestos nacionales para el desarrollo. (</w:t>
      </w:r>
      <w:hyperlink r:id="rId89" w:history="1">
        <w:r w:rsidRPr="005970E9">
          <w:rPr>
            <w:rStyle w:val="Hyperlink"/>
            <w:rFonts w:cstheme="minorHAnsi"/>
          </w:rPr>
          <w:t>https://lac.unwomen.org/es/conozcanos/acerca-de-onu-mujeres</w:t>
        </w:r>
      </w:hyperlink>
      <w:r w:rsidRPr="005970E9">
        <w:rPr>
          <w:rStyle w:val="Hyperlink"/>
          <w:rFonts w:cstheme="minorHAnsi"/>
        </w:rPr>
        <w:t>)</w:t>
      </w:r>
      <w:bookmarkEnd w:id="373"/>
      <w:r w:rsidR="00BF6858">
        <w:rPr>
          <w:rStyle w:val="Hyperlink"/>
          <w:rFonts w:cstheme="minorHAnsi"/>
        </w:rPr>
        <w:t>.</w:t>
      </w:r>
    </w:p>
    <w:p w14:paraId="1239FDE4" w14:textId="1DB57968" w:rsidR="004122D1" w:rsidRPr="005970E9" w:rsidRDefault="004122D1" w:rsidP="00BF6858">
      <w:pPr>
        <w:spacing w:before="120" w:after="120" w:line="276" w:lineRule="auto"/>
        <w:jc w:val="both"/>
        <w:rPr>
          <w:rFonts w:cs="Tahoma"/>
          <w:shd w:val="clear" w:color="auto" w:fill="FFFFFF"/>
        </w:rPr>
      </w:pPr>
      <w:r w:rsidRPr="005970E9">
        <w:rPr>
          <w:shd w:val="clear" w:color="auto" w:fill="FFFFFF"/>
        </w:rPr>
        <w:t>Durante muchas décadas, las Naciones Unidas logró importantes avances para igualdad de género, entre ellos, acuerdos históricos como la</w:t>
      </w:r>
      <w:r w:rsidR="00405D15" w:rsidRPr="005970E9">
        <w:rPr>
          <w:shd w:val="clear" w:color="auto" w:fill="FFFFFF"/>
        </w:rPr>
        <w:t xml:space="preserve"> </w:t>
      </w:r>
      <w:hyperlink r:id="rId90" w:history="1">
        <w:r w:rsidRPr="005970E9">
          <w:rPr>
            <w:rStyle w:val="Hyperlink"/>
            <w:rFonts w:cstheme="minorHAnsi"/>
            <w:color w:val="auto"/>
            <w:u w:val="none"/>
            <w:bdr w:val="none" w:sz="0" w:space="0" w:color="auto" w:frame="1"/>
            <w:shd w:val="clear" w:color="auto" w:fill="FFFFFF"/>
          </w:rPr>
          <w:t>Declaración y la Plataforma de Acción de Beijing</w:t>
        </w:r>
      </w:hyperlink>
      <w:r w:rsidRPr="005970E9">
        <w:rPr>
          <w:shd w:val="clear" w:color="auto" w:fill="FFFFFF"/>
        </w:rPr>
        <w:t>, y la</w:t>
      </w:r>
      <w:r w:rsidR="00405D15" w:rsidRPr="005970E9">
        <w:rPr>
          <w:shd w:val="clear" w:color="auto" w:fill="FFFFFF"/>
        </w:rPr>
        <w:t xml:space="preserve"> </w:t>
      </w:r>
      <w:hyperlink r:id="rId91" w:history="1">
        <w:r w:rsidRPr="005970E9">
          <w:rPr>
            <w:rStyle w:val="Hyperlink"/>
            <w:rFonts w:cstheme="minorHAnsi"/>
            <w:color w:val="auto"/>
            <w:u w:val="none"/>
            <w:bdr w:val="none" w:sz="0" w:space="0" w:color="auto" w:frame="1"/>
            <w:shd w:val="clear" w:color="auto" w:fill="FFFFFF"/>
          </w:rPr>
          <w:t>Convención sobre la Eliminación de Todas las Formas de Violencia contra la Mujer</w:t>
        </w:r>
      </w:hyperlink>
      <w:r w:rsidR="00405D15" w:rsidRPr="005970E9">
        <w:rPr>
          <w:rStyle w:val="Hyperlink"/>
          <w:rFonts w:cstheme="minorHAnsi"/>
          <w:color w:val="auto"/>
          <w:u w:val="none"/>
          <w:bdr w:val="none" w:sz="0" w:space="0" w:color="auto" w:frame="1"/>
          <w:shd w:val="clear" w:color="auto" w:fill="FFFFFF"/>
        </w:rPr>
        <w:t xml:space="preserve"> </w:t>
      </w:r>
      <w:r w:rsidRPr="005970E9">
        <w:rPr>
          <w:shd w:val="clear" w:color="auto" w:fill="FFFFFF"/>
        </w:rPr>
        <w:t>(CEDAW)</w:t>
      </w:r>
      <w:r w:rsidRPr="005970E9">
        <w:t xml:space="preserve"> (</w:t>
      </w:r>
      <w:hyperlink r:id="rId92" w:history="1">
        <w:r w:rsidRPr="005970E9">
          <w:rPr>
            <w:rStyle w:val="Hyperlink"/>
          </w:rPr>
          <w:t>https://lac.unwomen.org/es/que-hacemos/post-2015</w:t>
        </w:r>
      </w:hyperlink>
      <w:r w:rsidRPr="005970E9">
        <w:rPr>
          <w:rStyle w:val="Hyperlink"/>
        </w:rPr>
        <w:t>)</w:t>
      </w:r>
      <w:r w:rsidR="00BF6858">
        <w:rPr>
          <w:rStyle w:val="Hyperlink"/>
        </w:rPr>
        <w:t>.</w:t>
      </w:r>
    </w:p>
    <w:p w14:paraId="50AC00CB" w14:textId="7BA477D1" w:rsidR="004122D1" w:rsidRPr="005970E9" w:rsidRDefault="004122D1" w:rsidP="00BF6858">
      <w:pPr>
        <w:spacing w:before="120" w:after="120" w:line="276" w:lineRule="auto"/>
        <w:jc w:val="both"/>
        <w:rPr>
          <w:rFonts w:eastAsia="Times New Roman"/>
          <w:color w:val="000000"/>
          <w:lang w:val="es-US" w:eastAsia="es-US"/>
        </w:rPr>
      </w:pPr>
      <w:r w:rsidRPr="005970E9">
        <w:rPr>
          <w:rFonts w:eastAsia="Times New Roman"/>
          <w:color w:val="000000"/>
          <w:lang w:val="es-US" w:eastAsia="es-US"/>
        </w:rPr>
        <w:t>En la Agenda de Trabajo 2030 para el Desarrollo Sostenible se estableció un grupo de expertos en el que ONU Mujeres contribuye como entidad observadora, para supervisar el progreso alcanzado en los indicadores de los ODS.</w:t>
      </w:r>
    </w:p>
    <w:p w14:paraId="3B95211A" w14:textId="356C3EE7" w:rsidR="004122D1" w:rsidRPr="005970E9" w:rsidRDefault="004122D1" w:rsidP="00BF6858">
      <w:pPr>
        <w:spacing w:before="120" w:after="120" w:line="276" w:lineRule="auto"/>
        <w:jc w:val="both"/>
        <w:rPr>
          <w:shd w:val="clear" w:color="auto" w:fill="FFFFFF"/>
        </w:rPr>
      </w:pPr>
      <w:r w:rsidRPr="005970E9">
        <w:rPr>
          <w:shd w:val="clear" w:color="auto" w:fill="FFFFFF"/>
        </w:rPr>
        <w:t>En julio de 2015, la Tercera Conferencia Internacional sobre Financiamiento para el Desarrollo concluyó con un</w:t>
      </w:r>
      <w:r w:rsidR="00405D15" w:rsidRPr="005970E9">
        <w:rPr>
          <w:shd w:val="clear" w:color="auto" w:fill="FFFFFF"/>
        </w:rPr>
        <w:t xml:space="preserve"> </w:t>
      </w:r>
      <w:r w:rsidRPr="005970E9">
        <w:rPr>
          <w:shd w:val="clear" w:color="auto" w:fill="FFFFFF"/>
        </w:rPr>
        <w:t>reconocimiento</w:t>
      </w:r>
      <w:r w:rsidR="00405D15" w:rsidRPr="005970E9">
        <w:rPr>
          <w:shd w:val="clear" w:color="auto" w:fill="FFFFFF"/>
        </w:rPr>
        <w:t xml:space="preserve"> </w:t>
      </w:r>
      <w:r w:rsidRPr="005970E9">
        <w:rPr>
          <w:shd w:val="clear" w:color="auto" w:fill="FFFFFF"/>
        </w:rPr>
        <w:t>a la igualdad de género como elemento fundamental para el logro del desarrollo sostenible. ONU Mujeres tuvo una participación intensa en las negociaciones, donde bregó por un compromiso con un financiamiento trasformador para la igualdad de género. A partir de ahí ONU Mujeres trabaja con un grupo de Estados Miembros para implementar</w:t>
      </w:r>
      <w:r w:rsidR="00405D15" w:rsidRPr="005970E9">
        <w:rPr>
          <w:shd w:val="clear" w:color="auto" w:fill="FFFFFF"/>
        </w:rPr>
        <w:t xml:space="preserve"> </w:t>
      </w:r>
      <w:hyperlink r:id="rId93" w:history="1">
        <w:r w:rsidRPr="005970E9">
          <w:rPr>
            <w:rStyle w:val="Hyperlink"/>
            <w:rFonts w:cstheme="minorHAnsi"/>
            <w:bdr w:val="none" w:sz="0" w:space="0" w:color="auto" w:frame="1"/>
            <w:shd w:val="clear" w:color="auto" w:fill="FFFFFF"/>
          </w:rPr>
          <w:t>un “Plan de Acción sobre un Financiamiento Transformador para la Igualdad de Género y el Empoderamiento de las Mujeres</w:t>
        </w:r>
      </w:hyperlink>
      <w:r w:rsidRPr="005970E9">
        <w:rPr>
          <w:rStyle w:val="Hyperlink"/>
          <w:rFonts w:cstheme="minorHAnsi"/>
          <w:bdr w:val="none" w:sz="0" w:space="0" w:color="auto" w:frame="1"/>
          <w:shd w:val="clear" w:color="auto" w:fill="FFFFFF"/>
        </w:rPr>
        <w:t>”</w:t>
      </w:r>
      <w:r w:rsidRPr="005970E9">
        <w:rPr>
          <w:shd w:val="clear" w:color="auto" w:fill="FFFFFF"/>
        </w:rPr>
        <w:t>, con el fin de garantizar que los compromisos de género que se incluyeron en el texto acordado se conviertan en acciones concretas.</w:t>
      </w:r>
    </w:p>
    <w:p w14:paraId="6B23A366" w14:textId="77777777" w:rsidR="004122D1" w:rsidRPr="005970E9" w:rsidRDefault="004122D1" w:rsidP="00BF6858">
      <w:pPr>
        <w:spacing w:before="120" w:after="120" w:line="276" w:lineRule="auto"/>
        <w:jc w:val="both"/>
        <w:rPr>
          <w:rFonts w:eastAsia="Times New Roman" w:cstheme="minorBidi"/>
          <w:bdr w:val="none" w:sz="0" w:space="0" w:color="auto" w:frame="1"/>
          <w:lang w:val="es-US" w:eastAsia="es-US"/>
        </w:rPr>
      </w:pPr>
      <w:r w:rsidRPr="005970E9">
        <w:rPr>
          <w:rFonts w:eastAsia="Times New Roman" w:cstheme="minorBidi"/>
          <w:bdr w:val="none" w:sz="0" w:space="0" w:color="auto" w:frame="1"/>
          <w:lang w:val="es-US" w:eastAsia="es-US"/>
        </w:rPr>
        <w:t>En marzo de 2019 ONU en Panamá firmó el V Pacto “Mujeres, Desarrollo e Igualdad, Agenda de las Mujeres”, con el compromiso de algunos candidatos y candidatas a la Presidencia de incluirlo en sus planes de gobierno, como base para la implementación de las políticas públicas en función del derecho de las mujeres adultas, adolescentes, niñas.</w:t>
      </w:r>
    </w:p>
    <w:p w14:paraId="30408FD9" w14:textId="6F958482" w:rsidR="004122D1" w:rsidRPr="005970E9" w:rsidRDefault="004122D1" w:rsidP="00BF6858">
      <w:pPr>
        <w:spacing w:before="120" w:after="120" w:line="276" w:lineRule="auto"/>
        <w:jc w:val="both"/>
        <w:rPr>
          <w:lang w:val="es-US"/>
        </w:rPr>
      </w:pPr>
      <w:r w:rsidRPr="005970E9">
        <w:rPr>
          <w:rFonts w:eastAsia="Times New Roman" w:cstheme="minorBidi"/>
          <w:bdr w:val="none" w:sz="0" w:space="0" w:color="auto" w:frame="1"/>
          <w:lang w:val="es-US" w:eastAsia="es-US"/>
        </w:rPr>
        <w:t xml:space="preserve">El asesoramiento técnico de Naciones Unidas y las consultas que se iniciaron desde 2018 con la participación de organizaciones de mujeres base de todo el país, representando a </w:t>
      </w:r>
      <w:r w:rsidRPr="005970E9">
        <w:rPr>
          <w:rFonts w:eastAsia="Times New Roman" w:cstheme="minorBidi"/>
          <w:bdr w:val="none" w:sz="0" w:space="0" w:color="auto" w:frame="1"/>
          <w:lang w:val="es-US" w:eastAsia="es-US"/>
        </w:rPr>
        <w:lastRenderedPageBreak/>
        <w:t>las mujeres indígenas, afrodescendientes, rurales y militantes de todos</w:t>
      </w:r>
      <w:r w:rsidRPr="005970E9">
        <w:rPr>
          <w:rFonts w:eastAsia="Times New Roman" w:cstheme="minorBidi"/>
          <w:sz w:val="24"/>
          <w:szCs w:val="24"/>
          <w:bdr w:val="none" w:sz="0" w:space="0" w:color="auto" w:frame="1"/>
          <w:lang w:val="es-US" w:eastAsia="es-US"/>
        </w:rPr>
        <w:t xml:space="preserve"> lo</w:t>
      </w:r>
      <w:r w:rsidRPr="005970E9">
        <w:rPr>
          <w:lang w:val="es-US"/>
        </w:rPr>
        <w:t>s partidos, fue liderado por más de 13 organizaciones de la sociedad de mujeres en Panamá.</w:t>
      </w:r>
    </w:p>
    <w:p w14:paraId="73186DD1" w14:textId="77777777" w:rsidR="004122D1" w:rsidRPr="005970E9" w:rsidRDefault="004122D1" w:rsidP="00BF6858">
      <w:pPr>
        <w:spacing w:before="120" w:after="120" w:line="276" w:lineRule="auto"/>
        <w:jc w:val="both"/>
        <w:rPr>
          <w:rFonts w:eastAsia="Times New Roman"/>
          <w:bdr w:val="none" w:sz="0" w:space="0" w:color="auto" w:frame="1"/>
          <w:lang w:val="es-US" w:eastAsia="es-US"/>
        </w:rPr>
      </w:pPr>
      <w:r w:rsidRPr="005970E9">
        <w:rPr>
          <w:rFonts w:eastAsia="Times New Roman"/>
          <w:bdr w:val="none" w:sz="0" w:space="0" w:color="auto" w:frame="1"/>
          <w:lang w:val="es-US" w:eastAsia="es-US"/>
        </w:rPr>
        <w:t>El V Pacto tiene como objetivo fortalecer el marco jurídico e institucional para la igualdad, la mejora de la salud de la mujer, la reducción de la pobreza, garantizar la diversidad étnica y cultural, entro otros aspectos esenciales de la vida social de la mujer.</w:t>
      </w:r>
    </w:p>
    <w:p w14:paraId="490F3686" w14:textId="77777777" w:rsidR="004122D1" w:rsidRPr="005970E9" w:rsidRDefault="004122D1" w:rsidP="00BF6858">
      <w:pPr>
        <w:spacing w:before="120" w:after="120" w:line="276" w:lineRule="auto"/>
        <w:jc w:val="both"/>
        <w:rPr>
          <w:rFonts w:eastAsia="Times New Roman" w:cstheme="minorBidi"/>
          <w:bdr w:val="none" w:sz="0" w:space="0" w:color="auto" w:frame="1"/>
          <w:lang w:val="es-US" w:eastAsia="es-US"/>
        </w:rPr>
      </w:pPr>
      <w:r w:rsidRPr="005970E9">
        <w:rPr>
          <w:rFonts w:eastAsia="Times New Roman" w:cstheme="minorBidi"/>
          <w:bdr w:val="none" w:sz="0" w:space="0" w:color="auto" w:frame="1"/>
          <w:lang w:val="es-US" w:eastAsia="es-US"/>
        </w:rPr>
        <w:t>A través de estos Pactos se ha logrado fortalecer la institucionalidad en cuanto igualdad de derechos, ampliándose la participación política de la mujer y los marcos jurídicos.</w:t>
      </w:r>
    </w:p>
    <w:p w14:paraId="1EE307CF" w14:textId="1911101A" w:rsidR="37F3FBE8" w:rsidRPr="005970E9" w:rsidRDefault="37F3FBE8" w:rsidP="00BF6858">
      <w:pPr>
        <w:spacing w:before="120" w:after="120" w:line="276" w:lineRule="auto"/>
        <w:jc w:val="both"/>
        <w:rPr>
          <w:rFonts w:eastAsia="Times New Roman" w:cstheme="minorBidi"/>
          <w:lang w:val="es-US" w:eastAsia="es-US"/>
        </w:rPr>
      </w:pPr>
      <w:r w:rsidRPr="005970E9">
        <w:rPr>
          <w:rFonts w:eastAsia="Times New Roman" w:cstheme="minorBidi"/>
          <w:lang w:val="es-US" w:eastAsia="es-US"/>
        </w:rPr>
        <w:t>ONU Mujeres en alianza con el Foro de Mujeres de Partidos Políticos y la Embajada del Reino Unido en Panamá en 2020 iniciaron una serie de capacitaciones dirigidas a fortalecer el trabajo de las mujeres en el ámb</w:t>
      </w:r>
      <w:r w:rsidR="6B9F0171" w:rsidRPr="005970E9">
        <w:rPr>
          <w:rFonts w:eastAsia="Times New Roman" w:cstheme="minorBidi"/>
          <w:lang w:val="es-US" w:eastAsia="es-US"/>
        </w:rPr>
        <w:t>ito Político y a prevenir y rechazar la violencia contra las mujeres en dicho espacio.</w:t>
      </w:r>
    </w:p>
    <w:p w14:paraId="2120181A" w14:textId="5A3BB144" w:rsidR="004122D1" w:rsidRPr="005970E9" w:rsidRDefault="004122D1" w:rsidP="00BF6858">
      <w:pPr>
        <w:spacing w:before="120" w:after="120" w:line="276" w:lineRule="auto"/>
        <w:jc w:val="both"/>
        <w:rPr>
          <w:rFonts w:eastAsia="Times New Roman"/>
          <w:bdr w:val="none" w:sz="0" w:space="0" w:color="auto" w:frame="1"/>
          <w:lang w:val="es-US" w:eastAsia="es-US"/>
        </w:rPr>
      </w:pPr>
      <w:r w:rsidRPr="005970E9">
        <w:rPr>
          <w:rFonts w:eastAsia="Times New Roman"/>
          <w:bdr w:val="none" w:sz="0" w:space="0" w:color="auto" w:frame="1"/>
          <w:lang w:val="es-US" w:eastAsia="es-US"/>
        </w:rPr>
        <w:t xml:space="preserve">ONU Mujeres en alianza estratégica con Fundamorgan, la Agencia Española de Cooperación para el Desarrollo (AECID) y Sumarse Pacto Global Panamá, han realizado la campaña “La Igualdad es un buen negocio” para la promoción de los Principios de Empoderamiento de las Mujeres. Esta iniciativa cuenta con 7 principios que ofrecen orientación a las empresas sobre cómo promover la igualdad de género y el empoderamiento de las mujeres en su lugar de trabajo, comenzó en el 2010 y en Panamá se hizo su lanzamiento en enero de 2018, por lo que ya cumple dos años de ejecución. </w:t>
      </w:r>
    </w:p>
    <w:p w14:paraId="67496167" w14:textId="191ECE10" w:rsidR="004122D1" w:rsidRPr="005970E9" w:rsidRDefault="004122D1" w:rsidP="00BF6858">
      <w:pPr>
        <w:spacing w:before="120" w:after="120" w:line="276" w:lineRule="auto"/>
        <w:jc w:val="both"/>
        <w:rPr>
          <w:rFonts w:eastAsia="Times New Roman" w:cstheme="minorBidi"/>
          <w:lang w:eastAsia="es-ES"/>
        </w:rPr>
      </w:pPr>
      <w:r w:rsidRPr="005970E9">
        <w:rPr>
          <w:rFonts w:eastAsia="Times New Roman" w:cstheme="minorBidi"/>
          <w:bdr w:val="none" w:sz="0" w:space="0" w:color="auto" w:frame="1"/>
          <w:lang w:val="es-US" w:eastAsia="es-US"/>
        </w:rPr>
        <w:t xml:space="preserve">Esos principios están referidos a: </w:t>
      </w:r>
      <w:r w:rsidRPr="005970E9">
        <w:rPr>
          <w:rFonts w:eastAsia="Times New Roman" w:cstheme="minorBidi"/>
          <w:lang w:eastAsia="es-ES"/>
        </w:rPr>
        <w:t>promover la igualdad de género desde la dirección al más alto nivel; tratar a todos los hombres y mujeres de forma equitativa en el trabajo –respetar y defender los derechos humanos y la no discriminación; velar por la salud, la seguridad y el bienestar de todos los trabajadores y trabajadoras; promover la educación, la formación y el desarrollo profesional de las</w:t>
      </w:r>
      <w:r w:rsidR="1990C6D7" w:rsidRPr="005970E9">
        <w:rPr>
          <w:rFonts w:eastAsia="Times New Roman" w:cstheme="minorBidi"/>
          <w:lang w:eastAsia="es-ES"/>
        </w:rPr>
        <w:t xml:space="preserve"> </w:t>
      </w:r>
      <w:r w:rsidRPr="005970E9">
        <w:rPr>
          <w:rFonts w:eastAsia="Times New Roman" w:cstheme="minorBidi"/>
          <w:lang w:eastAsia="es-ES"/>
        </w:rPr>
        <w:t>mujeres, llevar a cabo prácticas de desarrollo empresarial, cadena de suministro y</w:t>
      </w:r>
      <w:r w:rsidR="00BF3F44" w:rsidRPr="005970E9">
        <w:rPr>
          <w:rFonts w:eastAsia="Times New Roman" w:cstheme="minorBidi"/>
          <w:lang w:eastAsia="es-ES"/>
        </w:rPr>
        <w:t xml:space="preserve"> </w:t>
      </w:r>
      <w:r w:rsidRPr="005970E9">
        <w:rPr>
          <w:rFonts w:eastAsia="Times New Roman" w:cstheme="minorBidi"/>
          <w:lang w:eastAsia="es-ES"/>
        </w:rPr>
        <w:t>marketing a favor del empoderamiento de las mujeres; promover la igualdad mediante iniciativas comunitarias y cabildeo y evaluar y difundir los progresos realizados a favor de la igualdad de género.</w:t>
      </w:r>
    </w:p>
    <w:p w14:paraId="052AA2F5" w14:textId="51DB9229" w:rsidR="004122D1" w:rsidRPr="005970E9" w:rsidRDefault="004122D1" w:rsidP="00BF6858">
      <w:pPr>
        <w:spacing w:before="120" w:after="120" w:line="276" w:lineRule="auto"/>
        <w:jc w:val="both"/>
        <w:rPr>
          <w:rFonts w:cstheme="minorBidi"/>
          <w:shd w:val="clear" w:color="auto" w:fill="FFFFFF"/>
        </w:rPr>
      </w:pPr>
      <w:r w:rsidRPr="005970E9">
        <w:rPr>
          <w:rFonts w:cstheme="minorBidi"/>
          <w:shd w:val="clear" w:color="auto" w:fill="FFFFFF"/>
        </w:rPr>
        <w:t xml:space="preserve">María Noel Vaeza, </w:t>
      </w:r>
      <w:r w:rsidR="1198F763" w:rsidRPr="005970E9">
        <w:rPr>
          <w:rFonts w:cstheme="minorBidi"/>
          <w:shd w:val="clear" w:color="auto" w:fill="FFFFFF"/>
        </w:rPr>
        <w:t>D</w:t>
      </w:r>
      <w:r w:rsidRPr="005970E9">
        <w:rPr>
          <w:rFonts w:cstheme="minorBidi"/>
          <w:shd w:val="clear" w:color="auto" w:fill="FFFFFF"/>
        </w:rPr>
        <w:t xml:space="preserve">irectora </w:t>
      </w:r>
      <w:r w:rsidR="7DD30B5A" w:rsidRPr="005970E9">
        <w:rPr>
          <w:rFonts w:cstheme="minorBidi"/>
          <w:shd w:val="clear" w:color="auto" w:fill="FFFFFF"/>
        </w:rPr>
        <w:t>R</w:t>
      </w:r>
      <w:r w:rsidRPr="005970E9">
        <w:rPr>
          <w:rFonts w:cstheme="minorBidi"/>
          <w:shd w:val="clear" w:color="auto" w:fill="FFFFFF"/>
        </w:rPr>
        <w:t>egional para las Américas y el Caribe de ONU Mujeres destacó en una rueda de prensa (02/2020), que “invertir en igualdad de género es un buen negocio y empoderar a la mujer es la clave para la transformación social y el crecimiento económico. Cuando más mujeres trabajan, las economías crecen. El empoderamiento económico de las mujeres potencia la productividad e impulsa la diversificación económica y la igualdad de ingresos. La Organización para la Cooperación y el Desarrollo Económico (OCDE) establece que, si la brecha de género se redujese un 50% en cuanto a la participación de las mujeres en la economía laborales de la OCDE, el PIB de dichos países incrementaría un 6%”.</w:t>
      </w:r>
      <w:r w:rsidRPr="005970E9">
        <w:rPr>
          <w:rStyle w:val="FootnoteReference"/>
          <w:rFonts w:cstheme="minorBidi"/>
          <w:shd w:val="clear" w:color="auto" w:fill="FFFFFF"/>
        </w:rPr>
        <w:footnoteReference w:id="122"/>
      </w:r>
      <w:r w:rsidRPr="005970E9">
        <w:rPr>
          <w:rFonts w:cstheme="minorBidi"/>
          <w:shd w:val="clear" w:color="auto" w:fill="FFFFFF"/>
        </w:rPr>
        <w:t xml:space="preserve"> </w:t>
      </w:r>
    </w:p>
    <w:p w14:paraId="10ABC42A" w14:textId="520AD5D8" w:rsidR="6F4618BF" w:rsidRPr="005970E9" w:rsidRDefault="6F4618BF" w:rsidP="00BF6858">
      <w:pPr>
        <w:spacing w:before="120" w:after="120" w:line="276" w:lineRule="auto"/>
        <w:jc w:val="both"/>
        <w:rPr>
          <w:rFonts w:cstheme="minorBidi"/>
        </w:rPr>
      </w:pPr>
      <w:r w:rsidRPr="005970E9">
        <w:rPr>
          <w:rFonts w:cstheme="minorBidi"/>
        </w:rPr>
        <w:lastRenderedPageBreak/>
        <w:t>ONU Mujeres también lanzó desde y con Panamá la Campaña Regional junto a OCDE y OIT por la Igualdad salarial (Equal Pay Coalition), cuya Champion Regional fue la entonces Vicepresidenta y Cancille</w:t>
      </w:r>
      <w:r w:rsidR="58E7DAE1" w:rsidRPr="005970E9">
        <w:rPr>
          <w:rFonts w:cstheme="minorBidi"/>
        </w:rPr>
        <w:t>r Isabel Saint Malo de Alvarado.</w:t>
      </w:r>
    </w:p>
    <w:p w14:paraId="4FBA521E" w14:textId="77777777" w:rsidR="004122D1" w:rsidRPr="005970E9" w:rsidRDefault="004122D1" w:rsidP="00BF6858">
      <w:pPr>
        <w:spacing w:before="120" w:after="120" w:line="276" w:lineRule="auto"/>
        <w:jc w:val="both"/>
        <w:rPr>
          <w:sz w:val="24"/>
          <w:szCs w:val="24"/>
        </w:rPr>
      </w:pPr>
    </w:p>
    <w:p w14:paraId="39ED1CD2" w14:textId="77777777" w:rsidR="004122D1" w:rsidRPr="005970E9" w:rsidRDefault="004122D1" w:rsidP="00BF6858">
      <w:pPr>
        <w:spacing w:before="120" w:after="120" w:line="276" w:lineRule="auto"/>
        <w:jc w:val="both"/>
        <w:rPr>
          <w:shd w:val="clear" w:color="auto" w:fill="FFFFFF"/>
        </w:rPr>
      </w:pPr>
      <w:r w:rsidRPr="005970E9">
        <w:t xml:space="preserve">En otras de sus direcciones de trabajo en el 2019, firmó con </w:t>
      </w:r>
      <w:r w:rsidRPr="005970E9">
        <w:rPr>
          <w:shd w:val="clear" w:color="auto" w:fill="FFFFFF"/>
        </w:rPr>
        <w:t>la Oficina de las Naciones Unidas de Servicios para Proyectos (UNOPS) un acuerdo para fortalecer la colaboración en sus actividades en función de la igualdad de género en América Latina y el Caribe.</w:t>
      </w:r>
    </w:p>
    <w:p w14:paraId="5877688C" w14:textId="77777777" w:rsidR="004122D1" w:rsidRPr="005970E9" w:rsidRDefault="004122D1" w:rsidP="00BF6858">
      <w:pPr>
        <w:spacing w:before="120" w:after="120" w:line="276" w:lineRule="auto"/>
        <w:jc w:val="both"/>
        <w:rPr>
          <w:shd w:val="clear" w:color="auto" w:fill="FFFFFF"/>
        </w:rPr>
      </w:pPr>
    </w:p>
    <w:p w14:paraId="77F2AEE7" w14:textId="77777777" w:rsidR="004122D1" w:rsidRPr="005970E9" w:rsidRDefault="004122D1" w:rsidP="00BF6858">
      <w:pPr>
        <w:spacing w:before="120" w:after="120" w:line="276" w:lineRule="auto"/>
        <w:jc w:val="both"/>
        <w:textAlignment w:val="baseline"/>
        <w:rPr>
          <w:rFonts w:cstheme="minorHAnsi"/>
          <w:shd w:val="clear" w:color="auto" w:fill="FFFFFF"/>
        </w:rPr>
      </w:pPr>
      <w:r w:rsidRPr="005970E9">
        <w:rPr>
          <w:rFonts w:cstheme="minorHAnsi"/>
          <w:shd w:val="clear" w:color="auto" w:fill="FFFFFF"/>
        </w:rPr>
        <w:t>Este acuerdo tiene como objetivo la</w:t>
      </w:r>
      <w:r w:rsidRPr="005970E9">
        <w:rPr>
          <w:rFonts w:cstheme="minorHAnsi"/>
        </w:rPr>
        <w:t xml:space="preserve"> implementación de acciones conjuntas, desarrollo de capacidades y el intercambio de buenas prácticas para fortalecer la transversalización de género y la paridad de ambas agencias y sus respectivas actividades en América Latina y el Caribe. ONU Mujeres y UNOPS se complementarán con su conocimiento y experiencia en la inclusión del enfoque de género en proyectos de infraestructura, compras públicas y gestión de proyectos que implementan junto a gobiernos de la región.</w:t>
      </w:r>
    </w:p>
    <w:p w14:paraId="342CD146" w14:textId="77777777" w:rsidR="004122D1" w:rsidRPr="005970E9" w:rsidRDefault="004122D1" w:rsidP="00BF6858">
      <w:pPr>
        <w:spacing w:before="120" w:after="120" w:line="276" w:lineRule="auto"/>
        <w:jc w:val="both"/>
        <w:textAlignment w:val="baseline"/>
      </w:pPr>
    </w:p>
    <w:p w14:paraId="3890B690" w14:textId="5437D487" w:rsidR="2C78780D" w:rsidRPr="005970E9" w:rsidRDefault="2C78780D" w:rsidP="00BF6858">
      <w:pPr>
        <w:spacing w:before="120" w:after="120" w:line="276" w:lineRule="auto"/>
        <w:jc w:val="both"/>
      </w:pPr>
      <w:r w:rsidRPr="005970E9">
        <w:t>En el ámbito de Reforma Constitucional, ONU Mujeres propició la consulta con organizaciones de la sociedad civil y mujeres independientes en la que se ha redactado una propuesta que incluye las necesidades y recomendaciones con enfoque de género</w:t>
      </w:r>
      <w:r w:rsidR="01BA4358" w:rsidRPr="005970E9">
        <w:t>.</w:t>
      </w:r>
    </w:p>
    <w:p w14:paraId="40FFC9ED" w14:textId="51B268CF" w:rsidR="00195C8F" w:rsidRPr="005970E9" w:rsidRDefault="00195C8F" w:rsidP="00BF6858">
      <w:pPr>
        <w:spacing w:before="120" w:after="120" w:line="276" w:lineRule="auto"/>
        <w:jc w:val="both"/>
      </w:pPr>
    </w:p>
    <w:p w14:paraId="766981E3" w14:textId="52B93417" w:rsidR="01BA4358" w:rsidRPr="005970E9" w:rsidRDefault="01BA4358" w:rsidP="00BF6858">
      <w:pPr>
        <w:spacing w:before="120" w:after="120" w:line="276" w:lineRule="auto"/>
        <w:jc w:val="both"/>
      </w:pPr>
      <w:r w:rsidRPr="005970E9">
        <w:t xml:space="preserve">Dicha agencia viene realizando y liderando la Campaña Únete para poner Fin a la </w:t>
      </w:r>
      <w:r w:rsidR="0C016357" w:rsidRPr="005970E9">
        <w:t>Violencia</w:t>
      </w:r>
      <w:r w:rsidRPr="005970E9">
        <w:t xml:space="preserve"> Contra las Mujeres del Secretario General de las Naciones Unidas</w:t>
      </w:r>
      <w:r w:rsidR="38F23465" w:rsidRPr="005970E9">
        <w:t xml:space="preserve"> junto con las demás agencias del SNU</w:t>
      </w:r>
      <w:r w:rsidRPr="005970E9">
        <w:t>, incorpora</w:t>
      </w:r>
      <w:r w:rsidR="1FE2791B" w:rsidRPr="005970E9">
        <w:t xml:space="preserve">ndo actividades </w:t>
      </w:r>
      <w:r w:rsidR="3286FE30" w:rsidRPr="005970E9">
        <w:t>educativas, de promoción y concienciación todos los 25 de cada mes, especialmente en noviembre.</w:t>
      </w:r>
    </w:p>
    <w:p w14:paraId="7D934496" w14:textId="46F50475" w:rsidR="00195C8F" w:rsidRPr="005970E9" w:rsidRDefault="00195C8F" w:rsidP="00BF6858">
      <w:pPr>
        <w:spacing w:before="120" w:after="120" w:line="276" w:lineRule="auto"/>
        <w:jc w:val="both"/>
      </w:pPr>
    </w:p>
    <w:p w14:paraId="221FE60D" w14:textId="0074C20B" w:rsidR="41A7C696" w:rsidRPr="005970E9" w:rsidRDefault="41A7C696" w:rsidP="00BF6858">
      <w:pPr>
        <w:spacing w:before="120" w:after="120" w:line="276" w:lineRule="auto"/>
        <w:jc w:val="both"/>
      </w:pPr>
      <w:r w:rsidRPr="005970E9">
        <w:t>En la actualidad</w:t>
      </w:r>
      <w:r w:rsidR="7A843225" w:rsidRPr="005970E9">
        <w:t xml:space="preserve"> la Oficina Regional de</w:t>
      </w:r>
      <w:r w:rsidRPr="005970E9">
        <w:t xml:space="preserve"> ONU Mujeres brinda Asistencia Técnica al Ministerio de Desarrollo Social (MIDES), al Instituto Nacional de la Mujer (INAMU), Ministerio de Gobierno (MIN</w:t>
      </w:r>
      <w:r w:rsidR="2EBEBD02" w:rsidRPr="005970E9">
        <w:t>GO) y la Cancillería de la República y se adelantan gestiones para la firma de un Acuerdo con el País que permita la ejecución de un Programa para Panamá.</w:t>
      </w:r>
    </w:p>
    <w:p w14:paraId="175FEFE9" w14:textId="5A2545F6" w:rsidR="00195C8F" w:rsidRPr="005970E9" w:rsidRDefault="00195C8F" w:rsidP="00BF6858">
      <w:pPr>
        <w:spacing w:before="120" w:after="120" w:line="276" w:lineRule="auto"/>
        <w:jc w:val="both"/>
      </w:pPr>
    </w:p>
    <w:p w14:paraId="36653FEC" w14:textId="77777777" w:rsidR="004122D1" w:rsidRPr="005970E9" w:rsidRDefault="004122D1" w:rsidP="00BF6858">
      <w:pPr>
        <w:pStyle w:val="Heading2"/>
        <w:spacing w:before="120" w:line="276" w:lineRule="auto"/>
      </w:pPr>
      <w:bookmarkStart w:id="374" w:name="_Toc42159279"/>
      <w:bookmarkStart w:id="375" w:name="_Toc42549505"/>
      <w:r w:rsidRPr="005970E9">
        <w:t>6.4. Programa de las Naciones Unidas para el Desarrollo (PNUD)</w:t>
      </w:r>
      <w:bookmarkEnd w:id="374"/>
      <w:bookmarkEnd w:id="375"/>
    </w:p>
    <w:p w14:paraId="6552243D" w14:textId="77777777" w:rsidR="004122D1" w:rsidRPr="005970E9" w:rsidRDefault="004122D1" w:rsidP="00BF6858">
      <w:pPr>
        <w:spacing w:before="120" w:after="120" w:line="276" w:lineRule="auto"/>
        <w:jc w:val="both"/>
        <w:textAlignment w:val="baseline"/>
        <w:rPr>
          <w:rFonts w:eastAsia="Times New Roman" w:cs="Arial"/>
          <w:color w:val="000000"/>
          <w:lang w:val="es-US" w:eastAsia="es-US"/>
        </w:rPr>
      </w:pPr>
      <w:r w:rsidRPr="005970E9">
        <w:rPr>
          <w:rFonts w:eastAsia="Times New Roman" w:cs="Arial"/>
          <w:color w:val="000000"/>
          <w:lang w:val="es-US" w:eastAsia="es-US"/>
        </w:rPr>
        <w:t>Establecido en Panamá en 1973, el </w:t>
      </w:r>
      <w:r w:rsidRPr="005970E9">
        <w:rPr>
          <w:rFonts w:eastAsia="Times New Roman" w:cs="Arial"/>
          <w:color w:val="000000"/>
          <w:bdr w:val="none" w:sz="0" w:space="0" w:color="auto" w:frame="1"/>
          <w:lang w:val="es-US" w:eastAsia="es-US"/>
        </w:rPr>
        <w:t>PNUD</w:t>
      </w:r>
      <w:r w:rsidRPr="005970E9">
        <w:rPr>
          <w:rFonts w:eastAsia="Times New Roman" w:cs="Arial"/>
          <w:color w:val="000000"/>
          <w:lang w:val="es-US" w:eastAsia="es-US"/>
        </w:rPr>
        <w:t xml:space="preserve"> apoya la gestión de implementación y ejecución de programas y proyectos de beneficio al país, orientados al logro de los Objetivos de Desarrollo Sostenibles y a consolidar el desarrollo humano del país, con énfasis en seis soluciones emblemáticas: mantener a las personas al margen de la pobreza; gobernanza por sociedades justas, pacíficas e inclusivas; prevención de crisis y </w:t>
      </w:r>
      <w:r w:rsidRPr="005970E9">
        <w:rPr>
          <w:rFonts w:eastAsia="Times New Roman" w:cs="Arial"/>
          <w:color w:val="000000"/>
          <w:lang w:val="es-US" w:eastAsia="es-US"/>
        </w:rPr>
        <w:lastRenderedPageBreak/>
        <w:t>aumento de las Resiliencia; medio ambiente, energía limpia y asequible; e igualdad de género de empoderamiento de la mujer. (www.pa.undp.org)</w:t>
      </w:r>
    </w:p>
    <w:p w14:paraId="45124D30" w14:textId="77777777" w:rsidR="004122D1" w:rsidRPr="005970E9" w:rsidRDefault="004122D1" w:rsidP="00BF6858">
      <w:pPr>
        <w:spacing w:before="120" w:after="120" w:line="276" w:lineRule="auto"/>
        <w:jc w:val="both"/>
        <w:textAlignment w:val="baseline"/>
        <w:rPr>
          <w:rFonts w:eastAsia="Times New Roman" w:cs="Arial"/>
          <w:color w:val="000000" w:themeColor="text1"/>
          <w:lang w:val="es-US" w:eastAsia="es-US"/>
        </w:rPr>
      </w:pPr>
      <w:r w:rsidRPr="005970E9">
        <w:rPr>
          <w:rFonts w:eastAsia="Times New Roman" w:cs="Arial"/>
          <w:color w:val="000000"/>
          <w:lang w:val="es-US" w:eastAsia="es-US"/>
        </w:rPr>
        <w:t xml:space="preserve">En este contexto, los ministerios y las instituciones descentralizadas o autónomas fungen como agencia de implementación (ejecución nacional) en el marco de una cartera de proyectos de desarrollo y asistencia técnica. El Ministerio de Economía y Finanzas (MEF), como responsable de la coordinación de la cooperación reembolsable y no reembolsable, participa en la formulación y seguimiento del Programa de País. Los fondos que emplea el PNUD provienen del Gobierno, aportes de la banca multilateral, así como de fondos propios del PNUD. </w:t>
      </w:r>
      <w:r w:rsidRPr="005970E9">
        <w:rPr>
          <w:rFonts w:eastAsia="Times New Roman" w:cs="Arial"/>
          <w:color w:val="000000" w:themeColor="text1"/>
          <w:lang w:val="es-US" w:eastAsia="es-US"/>
        </w:rPr>
        <w:t>(</w:t>
      </w:r>
      <w:hyperlink r:id="rId94" w:history="1">
        <w:r w:rsidRPr="005970E9">
          <w:rPr>
            <w:rStyle w:val="Hyperlink"/>
            <w:rFonts w:eastAsia="Times New Roman" w:cs="Arial"/>
            <w:color w:val="000000" w:themeColor="text1"/>
            <w:bdr w:val="none" w:sz="0" w:space="0" w:color="auto" w:frame="1"/>
            <w:lang w:val="es-US" w:eastAsia="es-US"/>
          </w:rPr>
          <w:t>www.undp.org.pa</w:t>
        </w:r>
      </w:hyperlink>
      <w:r w:rsidRPr="005970E9">
        <w:rPr>
          <w:rFonts w:eastAsia="Times New Roman" w:cs="Arial"/>
          <w:color w:val="000000" w:themeColor="text1"/>
          <w:bdr w:val="none" w:sz="0" w:space="0" w:color="auto" w:frame="1"/>
          <w:lang w:val="es-US" w:eastAsia="es-US"/>
        </w:rPr>
        <w:t>)</w:t>
      </w:r>
    </w:p>
    <w:p w14:paraId="6A2802A0" w14:textId="77777777" w:rsidR="004122D1" w:rsidRPr="005970E9" w:rsidRDefault="004122D1" w:rsidP="00BF6858">
      <w:pPr>
        <w:spacing w:before="120" w:after="120" w:line="276" w:lineRule="auto"/>
        <w:jc w:val="both"/>
        <w:rPr>
          <w:rFonts w:cstheme="minorHAnsi"/>
        </w:rPr>
      </w:pPr>
      <w:r w:rsidRPr="005970E9">
        <w:rPr>
          <w:rFonts w:cstheme="minorHAnsi"/>
        </w:rPr>
        <w:t>La pobreza en Panamá alcanza niveles muy superiores a las de otros países de la región, más en las zonas rurales o indígenas, donde llega a afectar al 90% de la población. Y los actuales niveles de desigualdad agravan este panorama, por lo que el crecimiento de la economía de Panamá contribuirá bien poco a la reducción de la pobreza si no disminuimos esos altos niveles de desigualdad.</w:t>
      </w:r>
    </w:p>
    <w:p w14:paraId="54543A06" w14:textId="77777777" w:rsidR="004122D1" w:rsidRPr="005970E9" w:rsidRDefault="004122D1" w:rsidP="00BF6858">
      <w:pPr>
        <w:spacing w:before="120" w:after="120" w:line="276" w:lineRule="auto"/>
        <w:jc w:val="both"/>
        <w:rPr>
          <w:rFonts w:cstheme="minorHAnsi"/>
          <w:color w:val="0A0A0A"/>
          <w:spacing w:val="4"/>
        </w:rPr>
      </w:pPr>
      <w:r w:rsidRPr="005970E9">
        <w:rPr>
          <w:rFonts w:cstheme="minorHAnsi"/>
          <w:color w:val="0A0A0A"/>
          <w:spacing w:val="4"/>
        </w:rPr>
        <w:t>El PNUD en el documento titulado: “COMPROMISO CON LA IGUALDAD”</w:t>
      </w:r>
      <w:r w:rsidRPr="005970E9">
        <w:rPr>
          <w:rStyle w:val="FootnoteReference"/>
          <w:rFonts w:cstheme="minorHAnsi"/>
          <w:color w:val="0A0A0A"/>
          <w:spacing w:val="4"/>
        </w:rPr>
        <w:footnoteReference w:id="123"/>
      </w:r>
      <w:r w:rsidRPr="005970E9">
        <w:rPr>
          <w:rFonts w:cstheme="minorHAnsi"/>
          <w:color w:val="0A0A0A"/>
          <w:spacing w:val="4"/>
        </w:rPr>
        <w:t xml:space="preserve"> expresa claramente que la igualdad de género y el empoderamiento de las mujeres son elementos fundamentales en el mandato del PNUD, y las establece como prioridades dentro de sus Programas. Así lo demuestran las políticas e iniciativas internas que garantizan su institucionalidad y transversalidad en todas las áreas de trabajo. Ejemplo de ellos es que lo señalado en el documento: “La Oficina de País cuenta con una serie de iniciativas, proyectos y productos de conocimiento que contribuyen a avanzar en las tres autonomías de las mujeres: la autonomía económica a través de la promoción de la igualdad de género en el mercado laboral y la generación de medios de vida; la autonomía física a través del trabajo en la prevención y atención de la Violencia contra las Mujeres y el fortalecimiento de los mecanismos nacionales y locales para tal fin; y la autonomía política promoviendo la participación política y ciudadana en los espacios de toma de decisiones a todos los niveles”.</w:t>
      </w:r>
      <w:r w:rsidRPr="005970E9">
        <w:rPr>
          <w:rStyle w:val="FootnoteReference"/>
          <w:rFonts w:cstheme="minorHAnsi"/>
          <w:color w:val="0A0A0A"/>
          <w:spacing w:val="4"/>
        </w:rPr>
        <w:footnoteReference w:id="124"/>
      </w:r>
    </w:p>
    <w:p w14:paraId="3E42E487" w14:textId="77777777" w:rsidR="004122D1" w:rsidRPr="005970E9" w:rsidRDefault="004122D1" w:rsidP="00BF6858">
      <w:pPr>
        <w:pStyle w:val="NormalWeb"/>
        <w:shd w:val="clear" w:color="auto" w:fill="FEFEFE"/>
        <w:spacing w:before="120" w:beforeAutospacing="0" w:after="120" w:afterAutospacing="0" w:line="276" w:lineRule="auto"/>
        <w:jc w:val="both"/>
        <w:rPr>
          <w:rFonts w:ascii="Century Schoolbook" w:hAnsi="Century Schoolbook" w:cstheme="minorHAnsi"/>
          <w:color w:val="0A0A0A"/>
          <w:spacing w:val="4"/>
          <w:sz w:val="22"/>
          <w:szCs w:val="22"/>
        </w:rPr>
      </w:pPr>
      <w:r w:rsidRPr="005970E9">
        <w:rPr>
          <w:rFonts w:ascii="Century Schoolbook" w:hAnsi="Century Schoolbook" w:cstheme="minorHAnsi"/>
          <w:color w:val="0A0A0A"/>
          <w:spacing w:val="4"/>
          <w:sz w:val="22"/>
          <w:szCs w:val="22"/>
        </w:rPr>
        <w:t xml:space="preserve">La Plataforma de Acción de Bijing, el CEDAW, Belem do Pará y la Agenda de desarrollo sostenible 2030, son aspectos que ha trabajado el PNUD para lograr que el Estado transversalice la perspectiva de género en sus políticas, programas, proyectos y servicios en cumplimiento con los marcos normativos internacionales asumidos </w:t>
      </w:r>
    </w:p>
    <w:p w14:paraId="2745DB8C" w14:textId="77777777" w:rsidR="004122D1" w:rsidRPr="005970E9" w:rsidRDefault="004122D1" w:rsidP="00BF6858">
      <w:pPr>
        <w:shd w:val="clear" w:color="auto" w:fill="FEFEFE"/>
        <w:spacing w:before="120" w:after="120" w:line="276" w:lineRule="auto"/>
        <w:jc w:val="both"/>
        <w:rPr>
          <w:rFonts w:eastAsia="Times New Roman" w:cstheme="minorHAnsi"/>
          <w:color w:val="0A0A0A"/>
          <w:spacing w:val="4"/>
          <w:lang w:eastAsia="es-ES"/>
        </w:rPr>
      </w:pPr>
      <w:r w:rsidRPr="005970E9">
        <w:rPr>
          <w:rFonts w:cstheme="minorHAnsi"/>
          <w:color w:val="0A0A0A"/>
          <w:spacing w:val="4"/>
        </w:rPr>
        <w:lastRenderedPageBreak/>
        <w:t>Un Proyecto realizado por el PNUD que se inició en agosto de 2015 hasta diciembre de 2016 en el área de igualdad de género, por el Instituto Nacional de la Mujer (INAMU), además de contribuir al fortalecimiento del INAMU consistió en la realización de una reestructuración organizacional a la luz de la legislación nacional y las políticas públicas en cuanto a la igualdad de género vigentes que le permitieron a la institución desarrollar sus objetivos, atribuciones y funciones eficientemente. Así el INAMU podrá canalizar recursos técnicos a través de la red de mecanismos gubernamentales establecidos para ello y de esa manera adquiere mayor fortaleza en su labor institucional.</w:t>
      </w:r>
      <w:r w:rsidRPr="005970E9">
        <w:rPr>
          <w:rFonts w:eastAsia="Times New Roman" w:cstheme="minorHAnsi"/>
          <w:color w:val="0A0A0A"/>
          <w:spacing w:val="4"/>
          <w:lang w:eastAsia="es-ES"/>
        </w:rPr>
        <w:t xml:space="preserve"> </w:t>
      </w:r>
    </w:p>
    <w:p w14:paraId="3E044ECB" w14:textId="77777777" w:rsidR="004122D1" w:rsidRPr="005970E9" w:rsidRDefault="004122D1" w:rsidP="00BF6858">
      <w:pPr>
        <w:pStyle w:val="NormalWeb"/>
        <w:shd w:val="clear" w:color="auto" w:fill="FEFEFE"/>
        <w:spacing w:before="120" w:beforeAutospacing="0" w:after="120" w:afterAutospacing="0" w:line="276" w:lineRule="auto"/>
        <w:jc w:val="both"/>
        <w:rPr>
          <w:rFonts w:ascii="Century Schoolbook" w:hAnsi="Century Schoolbook" w:cstheme="minorHAnsi"/>
          <w:color w:val="0A0A0A"/>
          <w:spacing w:val="4"/>
          <w:sz w:val="22"/>
          <w:szCs w:val="22"/>
        </w:rPr>
      </w:pPr>
      <w:r w:rsidRPr="005970E9">
        <w:rPr>
          <w:rFonts w:ascii="Century Schoolbook" w:hAnsi="Century Schoolbook" w:cstheme="minorHAnsi"/>
          <w:color w:val="0A0A0A"/>
          <w:spacing w:val="4"/>
          <w:sz w:val="22"/>
          <w:szCs w:val="22"/>
        </w:rPr>
        <w:t>Una muestra de las acciones realizadas fue la elaboración de un diagnóstico Interno de la institución, con hallazgos y recomendaciones en el marco normativo y político, misión, funciones, presupuesto, relaciones institucionales, alianzas y proyección de la Institución.</w:t>
      </w:r>
    </w:p>
    <w:p w14:paraId="464F9FC8" w14:textId="77777777" w:rsidR="004122D1" w:rsidRPr="005970E9" w:rsidRDefault="004122D1" w:rsidP="00BF6858">
      <w:pPr>
        <w:pStyle w:val="NormalWeb"/>
        <w:shd w:val="clear" w:color="auto" w:fill="FEFEFE"/>
        <w:spacing w:before="120" w:beforeAutospacing="0" w:after="120" w:afterAutospacing="0" w:line="276" w:lineRule="auto"/>
        <w:jc w:val="both"/>
        <w:rPr>
          <w:rFonts w:ascii="Century Schoolbook" w:hAnsi="Century Schoolbook" w:cstheme="minorHAnsi"/>
          <w:color w:val="0A0A0A"/>
          <w:spacing w:val="4"/>
          <w:sz w:val="22"/>
          <w:szCs w:val="22"/>
        </w:rPr>
      </w:pPr>
      <w:r w:rsidRPr="005970E9">
        <w:rPr>
          <w:rFonts w:ascii="Century Schoolbook" w:hAnsi="Century Schoolbook" w:cstheme="minorHAnsi"/>
          <w:color w:val="0A0A0A"/>
          <w:spacing w:val="4"/>
          <w:sz w:val="22"/>
          <w:szCs w:val="22"/>
        </w:rPr>
        <w:t xml:space="preserve">Por otro lado, se realizó diagnóstico participativo de actores vinculados a las políticas de Igualdad, entre ellos el Consejo Nacional de la Mujer (CONAMU), el </w:t>
      </w:r>
      <w:r w:rsidRPr="005970E9">
        <w:rPr>
          <w:rFonts w:ascii="Century Schoolbook" w:hAnsi="Century Schoolbook" w:cstheme="minorHAnsi"/>
          <w:color w:val="0A0A0A"/>
          <w:spacing w:val="4"/>
          <w:sz w:val="22"/>
          <w:szCs w:val="22"/>
          <w:lang w:eastAsia="es-ES"/>
        </w:rPr>
        <w:t>Comité Nacional contra la Violencia en la Mujer</w:t>
      </w:r>
      <w:r w:rsidRPr="005970E9">
        <w:rPr>
          <w:rFonts w:ascii="Century Schoolbook" w:hAnsi="Century Schoolbook" w:cstheme="minorHAnsi"/>
          <w:b/>
          <w:bCs/>
          <w:color w:val="0A0A0A"/>
          <w:spacing w:val="4"/>
          <w:sz w:val="22"/>
          <w:szCs w:val="22"/>
          <w:lang w:eastAsia="es-ES"/>
        </w:rPr>
        <w:t xml:space="preserve"> </w:t>
      </w:r>
      <w:r w:rsidRPr="005970E9">
        <w:rPr>
          <w:rFonts w:ascii="Century Schoolbook" w:hAnsi="Century Schoolbook" w:cstheme="minorHAnsi"/>
          <w:color w:val="0A0A0A"/>
          <w:spacing w:val="4"/>
          <w:sz w:val="22"/>
          <w:szCs w:val="22"/>
        </w:rPr>
        <w:t>(CONVIMU) y las Redes Locales de Prevención de la Violencia contra las Mujeres.</w:t>
      </w:r>
    </w:p>
    <w:p w14:paraId="77B193EB" w14:textId="77777777" w:rsidR="004122D1" w:rsidRPr="005970E9" w:rsidRDefault="004122D1" w:rsidP="00BF6858">
      <w:pPr>
        <w:pStyle w:val="NormalWeb"/>
        <w:shd w:val="clear" w:color="auto" w:fill="FEFEFE"/>
        <w:spacing w:before="120" w:beforeAutospacing="0" w:after="120" w:afterAutospacing="0" w:line="276" w:lineRule="auto"/>
        <w:jc w:val="both"/>
        <w:rPr>
          <w:rFonts w:ascii="Century Schoolbook" w:hAnsi="Century Schoolbook" w:cstheme="minorHAnsi"/>
          <w:color w:val="0A0A0A"/>
          <w:spacing w:val="4"/>
          <w:sz w:val="22"/>
          <w:szCs w:val="22"/>
        </w:rPr>
      </w:pPr>
      <w:r w:rsidRPr="005970E9">
        <w:rPr>
          <w:rFonts w:ascii="Century Schoolbook" w:hAnsi="Century Schoolbook" w:cstheme="minorHAnsi"/>
          <w:color w:val="0A0A0A"/>
          <w:spacing w:val="4"/>
          <w:sz w:val="22"/>
          <w:szCs w:val="22"/>
        </w:rPr>
        <w:t>El Gobierno de la República de Panamá en octubre de 2017, anunció la puesta en marcha de dos proyectos en materia de la igualdad de oportunidades entre hombres y mujeres, que fortalecen las políticas de empoderamiento femenino, impulsan la reducción de las brechas de género en el ámbito laboral y fortalecen las instituciones nacionales para la consecución del Objetivo de Desarrollo Sostenible Número 5: “Lograr la igualdad entre los géneros y empoderar a todas las mujeres y niñas”.</w:t>
      </w:r>
    </w:p>
    <w:p w14:paraId="72849D86" w14:textId="4148E336" w:rsidR="004122D1" w:rsidRPr="005970E9" w:rsidRDefault="004122D1" w:rsidP="00BF6858">
      <w:pPr>
        <w:pStyle w:val="NormalWeb"/>
        <w:shd w:val="clear" w:color="auto" w:fill="FEFEFE"/>
        <w:spacing w:before="120" w:beforeAutospacing="0" w:after="120" w:afterAutospacing="0" w:line="276" w:lineRule="auto"/>
        <w:jc w:val="both"/>
        <w:rPr>
          <w:rFonts w:ascii="Century Schoolbook" w:hAnsi="Century Schoolbook" w:cstheme="minorHAnsi"/>
          <w:color w:val="0A0A0A"/>
          <w:spacing w:val="4"/>
          <w:sz w:val="22"/>
          <w:szCs w:val="22"/>
        </w:rPr>
      </w:pPr>
      <w:r w:rsidRPr="005970E9">
        <w:rPr>
          <w:rFonts w:ascii="Century Schoolbook" w:hAnsi="Century Schoolbook" w:cstheme="minorHAnsi"/>
          <w:color w:val="0A0A0A"/>
          <w:spacing w:val="4"/>
          <w:sz w:val="22"/>
          <w:szCs w:val="22"/>
        </w:rPr>
        <w:t>Uno de ellos es el “Sello de Igualdad para Empresas”, que busca generar cambios que apunten a una mayor y más equitativa participación de las mujeres en la economía. Este “Sello de Igualdad en las Empresas” es una certificación para entidades públicas y privadas y Panamá sería el país número 13 a nivel mundial, en contar con este sello de género para las empresas.</w:t>
      </w:r>
    </w:p>
    <w:p w14:paraId="649C00F5" w14:textId="49718AF4" w:rsidR="004122D1" w:rsidRPr="005970E9" w:rsidRDefault="004122D1" w:rsidP="00BF6858">
      <w:pPr>
        <w:pStyle w:val="NormalWeb"/>
        <w:shd w:val="clear" w:color="auto" w:fill="FEFEFE"/>
        <w:spacing w:before="120" w:beforeAutospacing="0" w:after="120" w:afterAutospacing="0" w:line="276" w:lineRule="auto"/>
        <w:jc w:val="both"/>
        <w:rPr>
          <w:rFonts w:ascii="Century Schoolbook" w:hAnsi="Century Schoolbook" w:cstheme="minorHAnsi"/>
          <w:color w:val="0A0A0A"/>
          <w:spacing w:val="4"/>
          <w:sz w:val="22"/>
          <w:szCs w:val="22"/>
          <w:shd w:val="clear" w:color="auto" w:fill="FEFEFE"/>
        </w:rPr>
      </w:pPr>
      <w:r w:rsidRPr="005970E9">
        <w:rPr>
          <w:rFonts w:ascii="Century Schoolbook" w:hAnsi="Century Schoolbook" w:cstheme="minorHAnsi"/>
          <w:color w:val="0A0A0A"/>
          <w:spacing w:val="4"/>
          <w:sz w:val="22"/>
          <w:szCs w:val="22"/>
        </w:rPr>
        <w:t xml:space="preserve">Otros ejemplos elocuentes son los conversatorios sobre programas y proyectos cooperantes en Panamá, en el </w:t>
      </w:r>
      <w:r w:rsidRPr="005970E9">
        <w:rPr>
          <w:rFonts w:ascii="Century Schoolbook" w:hAnsi="Century Schoolbook" w:cstheme="minorHAnsi"/>
          <w:color w:val="0A0A0A"/>
          <w:spacing w:val="4"/>
          <w:sz w:val="22"/>
          <w:szCs w:val="22"/>
          <w:shd w:val="clear" w:color="auto" w:fill="FEFEFE"/>
        </w:rPr>
        <w:t>Foro Autonomía Económica de las Mujeres Indígenas en el Siglo XXI, llevado a cabo también en 2017. Representantes de Global Brigadas, Canal de Empresarias, el Banco Mundial,</w:t>
      </w:r>
      <w:r w:rsidR="003E29E5" w:rsidRPr="005970E9">
        <w:rPr>
          <w:rFonts w:ascii="Century Schoolbook" w:hAnsi="Century Schoolbook" w:cstheme="minorHAnsi"/>
          <w:color w:val="0A0A0A"/>
          <w:spacing w:val="4"/>
          <w:sz w:val="22"/>
          <w:szCs w:val="22"/>
          <w:shd w:val="clear" w:color="auto" w:fill="FEFEFE"/>
        </w:rPr>
        <w:t xml:space="preserve"> </w:t>
      </w:r>
      <w:r w:rsidRPr="005970E9">
        <w:rPr>
          <w:rFonts w:ascii="Century Schoolbook" w:hAnsi="Century Schoolbook" w:cstheme="minorHAnsi"/>
          <w:color w:val="0A0A0A"/>
          <w:spacing w:val="4"/>
          <w:sz w:val="22"/>
          <w:szCs w:val="22"/>
          <w:shd w:val="clear" w:color="auto" w:fill="FEFEFE"/>
        </w:rPr>
        <w:t>Programa de las Naciones Unidas para el Desarrollo</w:t>
      </w:r>
      <w:r w:rsidR="003E29E5" w:rsidRPr="005970E9">
        <w:rPr>
          <w:rFonts w:ascii="Century Schoolbook" w:hAnsi="Century Schoolbook" w:cstheme="minorHAnsi"/>
          <w:color w:val="0A0A0A"/>
          <w:spacing w:val="4"/>
          <w:sz w:val="22"/>
          <w:szCs w:val="22"/>
          <w:shd w:val="clear" w:color="auto" w:fill="FEFEFE"/>
        </w:rPr>
        <w:t xml:space="preserve"> </w:t>
      </w:r>
      <w:r w:rsidRPr="005970E9">
        <w:rPr>
          <w:rFonts w:ascii="Century Schoolbook" w:hAnsi="Century Schoolbook" w:cstheme="minorHAnsi"/>
          <w:color w:val="0A0A0A"/>
          <w:spacing w:val="4"/>
          <w:sz w:val="22"/>
          <w:szCs w:val="22"/>
          <w:shd w:val="clear" w:color="auto" w:fill="FEFEFE"/>
        </w:rPr>
        <w:t>(PNUD)</w:t>
      </w:r>
      <w:r w:rsidR="003E29E5" w:rsidRPr="005970E9">
        <w:rPr>
          <w:rFonts w:ascii="Century Schoolbook" w:hAnsi="Century Schoolbook" w:cstheme="minorHAnsi"/>
          <w:color w:val="0A0A0A"/>
          <w:spacing w:val="4"/>
          <w:sz w:val="22"/>
          <w:szCs w:val="22"/>
          <w:shd w:val="clear" w:color="auto" w:fill="FEFEFE"/>
        </w:rPr>
        <w:t xml:space="preserve"> </w:t>
      </w:r>
      <w:r w:rsidRPr="005970E9">
        <w:rPr>
          <w:rFonts w:ascii="Century Schoolbook" w:hAnsi="Century Schoolbook" w:cstheme="minorHAnsi"/>
          <w:color w:val="0A0A0A"/>
          <w:spacing w:val="4"/>
          <w:sz w:val="22"/>
          <w:szCs w:val="22"/>
          <w:shd w:val="clear" w:color="auto" w:fill="FEFEFE"/>
        </w:rPr>
        <w:t>y el Fondo de las Naciones Unidas para la Alimentación (FAO) compartieron experiencias sobre los proyectos que realizan en Panamá, dándose a conocer el beneficio de los mimos en la economía de las mujeres indígenas, impactos que ha tenido el proyecto de microfinanzas que están realizando en varias comunidades indígenas panameñas. Resultados: casi 500 socias de las cuales el 93% son mujeres indígenas; 20 cajas rurales administradas por mujeres, captación de más de 53 mil dólares de capital.</w:t>
      </w:r>
    </w:p>
    <w:p w14:paraId="4FDDAAC4" w14:textId="77777777" w:rsidR="004122D1" w:rsidRPr="005970E9" w:rsidRDefault="004122D1" w:rsidP="00BF6858">
      <w:pPr>
        <w:spacing w:before="120" w:after="120" w:line="276" w:lineRule="auto"/>
        <w:jc w:val="both"/>
        <w:rPr>
          <w:shd w:val="clear" w:color="auto" w:fill="FEFEFE"/>
        </w:rPr>
      </w:pPr>
      <w:r w:rsidRPr="005970E9">
        <w:rPr>
          <w:shd w:val="clear" w:color="auto" w:fill="FEFEFE"/>
        </w:rPr>
        <w:lastRenderedPageBreak/>
        <w:t xml:space="preserve">El Canal de Empresarias, un proyecto del Centro de Innovación de la Ciudad del Saber, desde hace tres años trabaja para colaborar con las mujeres emprendedoras y dentro de este grupo, mujeres indígenas han sido beneficiadas, incluso algunas de ellas contaron sus experiencias durante el foro.    </w:t>
      </w:r>
    </w:p>
    <w:p w14:paraId="05ED1366" w14:textId="77777777" w:rsidR="004122D1" w:rsidRPr="005970E9" w:rsidRDefault="004122D1" w:rsidP="00BF6858">
      <w:pPr>
        <w:spacing w:before="120" w:after="120" w:line="276" w:lineRule="auto"/>
        <w:jc w:val="both"/>
        <w:rPr>
          <w:bCs/>
          <w:lang w:eastAsia="es-ES"/>
        </w:rPr>
      </w:pPr>
      <w:bookmarkStart w:id="376" w:name="_Toc42159280"/>
      <w:r w:rsidRPr="005970E9">
        <w:rPr>
          <w:bCs/>
          <w:shd w:val="clear" w:color="auto" w:fill="FEFEFE"/>
        </w:rPr>
        <w:t>Aparecen más acciones: “Programa Conjunto Alianza Nacional y Local Interinstitucional Comunitaria para prevenir y atender la Violencia contra las mujeres en dos distritos de Panamá”, r</w:t>
      </w:r>
      <w:r w:rsidRPr="005970E9">
        <w:rPr>
          <w:bCs/>
          <w:lang w:eastAsia="es-ES"/>
        </w:rPr>
        <w:t>ealizado entre enero 2009 y diciembre de 2014. Tuvo como objetivo fortalecer las medidas frente a la violencia doméstica y sexual contra la mujer. El resultado fue la construcción de un modelo replicable.</w:t>
      </w:r>
      <w:bookmarkEnd w:id="376"/>
    </w:p>
    <w:p w14:paraId="730DDCA2" w14:textId="2D536AEB" w:rsidR="004122D1" w:rsidRPr="005970E9" w:rsidRDefault="004122D1" w:rsidP="00BF6858">
      <w:pPr>
        <w:spacing w:before="120" w:after="120" w:line="276" w:lineRule="auto"/>
        <w:jc w:val="both"/>
        <w:rPr>
          <w:rFonts w:cstheme="minorBidi"/>
          <w:shd w:val="clear" w:color="auto" w:fill="FEFEFE"/>
        </w:rPr>
      </w:pPr>
      <w:r w:rsidRPr="005970E9">
        <w:rPr>
          <w:rFonts w:cstheme="minorBidi"/>
          <w:lang w:eastAsia="es-ES"/>
        </w:rPr>
        <w:t>La participación conjunta de Organizaciones como la OMS/OPS,</w:t>
      </w:r>
      <w:r w:rsidR="1BCEABA7" w:rsidRPr="005970E9">
        <w:rPr>
          <w:rFonts w:cstheme="minorBidi"/>
          <w:lang w:eastAsia="es-ES"/>
        </w:rPr>
        <w:t xml:space="preserve"> PNUD y</w:t>
      </w:r>
      <w:r w:rsidRPr="005970E9">
        <w:rPr>
          <w:rFonts w:cstheme="minorBidi"/>
          <w:lang w:eastAsia="es-ES"/>
        </w:rPr>
        <w:t xml:space="preserve"> </w:t>
      </w:r>
      <w:r w:rsidR="35B13AFD" w:rsidRPr="005970E9">
        <w:rPr>
          <w:rFonts w:cstheme="minorBidi"/>
          <w:lang w:eastAsia="es-ES"/>
        </w:rPr>
        <w:t>el</w:t>
      </w:r>
      <w:r w:rsidRPr="005970E9">
        <w:rPr>
          <w:rFonts w:cstheme="minorBidi"/>
          <w:lang w:eastAsia="es-ES"/>
        </w:rPr>
        <w:t xml:space="preserve"> </w:t>
      </w:r>
      <w:r w:rsidR="00F9437B" w:rsidRPr="005970E9">
        <w:rPr>
          <w:rFonts w:cstheme="minorBidi"/>
          <w:lang w:eastAsia="es-ES"/>
        </w:rPr>
        <w:t>UNFPA bajo</w:t>
      </w:r>
      <w:r w:rsidRPr="005970E9">
        <w:rPr>
          <w:rFonts w:cstheme="minorBidi"/>
          <w:lang w:eastAsia="es-ES"/>
        </w:rPr>
        <w:t xml:space="preserve"> la ejecución operativa de este último, y la participación del Instituto de la Mujer pusieron de manifiesto la validez del trabajo coordinado</w:t>
      </w:r>
      <w:r w:rsidRPr="005970E9">
        <w:rPr>
          <w:rFonts w:cstheme="minorBidi"/>
          <w:shd w:val="clear" w:color="auto" w:fill="FEFEFE"/>
        </w:rPr>
        <w:t xml:space="preserve"> en cuatro ejes estratégicos, bajo el enfoque de los derechos humanos, con énfasis en la inclusión de los grupos de mayor vulnerabilidad, igualdad de género e implementación de políticas públicas contra la violencia de género.</w:t>
      </w:r>
    </w:p>
    <w:p w14:paraId="75D635F9" w14:textId="1B84AF15" w:rsidR="004122D1" w:rsidRPr="005970E9" w:rsidRDefault="004122D1" w:rsidP="00BF6858">
      <w:pPr>
        <w:shd w:val="clear" w:color="auto" w:fill="FEFEFE"/>
        <w:spacing w:before="120" w:after="120" w:line="276" w:lineRule="auto"/>
        <w:jc w:val="both"/>
        <w:rPr>
          <w:rFonts w:eastAsia="Times New Roman" w:cstheme="minorHAnsi"/>
          <w:color w:val="0A0A0A"/>
          <w:spacing w:val="4"/>
          <w:lang w:eastAsia="es-ES"/>
        </w:rPr>
      </w:pPr>
      <w:r w:rsidRPr="005970E9">
        <w:rPr>
          <w:rFonts w:cstheme="minorHAnsi"/>
          <w:color w:val="0A0A0A"/>
          <w:spacing w:val="4"/>
          <w:shd w:val="clear" w:color="auto" w:fill="FEFEFE"/>
        </w:rPr>
        <w:t xml:space="preserve">Los resultados de este programa son más que evidentes: </w:t>
      </w:r>
      <w:r w:rsidRPr="005970E9">
        <w:rPr>
          <w:rFonts w:eastAsia="Times New Roman" w:cstheme="minorHAnsi"/>
          <w:color w:val="0A0A0A"/>
          <w:spacing w:val="4"/>
          <w:lang w:eastAsia="es-ES"/>
        </w:rPr>
        <w:t>Más conocimientos sobre la temática; más acceso a la información sobre los puntos de denuncia; el “Plan Nacional contra la Violencia Doméstica y Políticas de Convivencia Ciudadana” (2004-2014); la creación del Comité Especializado mediante Resolución No. 10 DG del del Instituto Nacional de la Mujer (INAMU), y liderado por éste, de acuerdo con la Ley de</w:t>
      </w:r>
      <w:r w:rsidR="00BF3F44" w:rsidRPr="005970E9">
        <w:rPr>
          <w:rFonts w:eastAsia="Times New Roman" w:cstheme="minorHAnsi"/>
          <w:color w:val="0A0A0A"/>
          <w:spacing w:val="4"/>
          <w:lang w:eastAsia="es-ES"/>
        </w:rPr>
        <w:t xml:space="preserve"> </w:t>
      </w:r>
      <w:r w:rsidRPr="005970E9">
        <w:rPr>
          <w:rFonts w:eastAsia="Times New Roman" w:cstheme="minorHAnsi"/>
          <w:color w:val="0A0A0A"/>
          <w:spacing w:val="4"/>
          <w:lang w:eastAsia="es-ES"/>
        </w:rPr>
        <w:t>Igualdad de Oportunidades, y conformado por 23 instancias. Como resultado en el año 2013 se sancionó la Ley 82 de Femicidio y en ella quedó institucionalizado</w:t>
      </w:r>
      <w:r w:rsidR="00BF3F44" w:rsidRPr="005970E9">
        <w:rPr>
          <w:rFonts w:eastAsia="Times New Roman" w:cstheme="minorHAnsi"/>
          <w:color w:val="0A0A0A"/>
          <w:spacing w:val="4"/>
          <w:lang w:eastAsia="es-ES"/>
        </w:rPr>
        <w:t xml:space="preserve"> </w:t>
      </w:r>
      <w:r w:rsidRPr="005970E9">
        <w:rPr>
          <w:rFonts w:eastAsia="Times New Roman" w:cstheme="minorHAnsi"/>
          <w:color w:val="0A0A0A"/>
          <w:spacing w:val="4"/>
          <w:lang w:eastAsia="es-ES"/>
        </w:rPr>
        <w:t>Comité Nacional contra la Violencia en la Mujer (CONVIMU),</w:t>
      </w:r>
      <w:r w:rsidR="00BF3F44" w:rsidRPr="005970E9">
        <w:rPr>
          <w:rFonts w:eastAsia="Times New Roman" w:cstheme="minorHAnsi"/>
          <w:color w:val="0A0A0A"/>
          <w:spacing w:val="4"/>
          <w:lang w:eastAsia="es-ES"/>
        </w:rPr>
        <w:t xml:space="preserve"> </w:t>
      </w:r>
      <w:r w:rsidRPr="005970E9">
        <w:rPr>
          <w:rFonts w:eastAsia="Times New Roman" w:cstheme="minorHAnsi"/>
          <w:color w:val="0A0A0A"/>
          <w:spacing w:val="4"/>
          <w:lang w:eastAsia="es-ES"/>
        </w:rPr>
        <w:t>adscrito al INAMU; finalmente y no menos importante, se elaboró la Guía para la instalación de “Redes Locales de Prevención de la Violencia contra la Mujer”, un producto de conocimiento creado a partir de las experiencias y las lecciones aprendidas. El INAMU ha tomado como modelo de intervención estas experiencias y se replican en las 26 Redes que se han identificado en el país.</w:t>
      </w:r>
    </w:p>
    <w:p w14:paraId="35E18CDD" w14:textId="77777777" w:rsidR="004122D1" w:rsidRPr="005970E9" w:rsidRDefault="004122D1" w:rsidP="00BF6858">
      <w:pPr>
        <w:pStyle w:val="NormalWeb"/>
        <w:shd w:val="clear" w:color="auto" w:fill="FEFEFE"/>
        <w:spacing w:before="120" w:beforeAutospacing="0" w:after="120" w:afterAutospacing="0" w:line="276" w:lineRule="auto"/>
        <w:jc w:val="both"/>
        <w:rPr>
          <w:rFonts w:ascii="Century Schoolbook" w:hAnsi="Century Schoolbook" w:cstheme="minorHAnsi"/>
          <w:color w:val="0A0A0A"/>
          <w:spacing w:val="4"/>
          <w:sz w:val="22"/>
          <w:szCs w:val="22"/>
        </w:rPr>
      </w:pPr>
      <w:r w:rsidRPr="005970E9">
        <w:rPr>
          <w:rFonts w:ascii="Century Schoolbook" w:hAnsi="Century Schoolbook" w:cstheme="minorHAnsi"/>
          <w:color w:val="0A0A0A"/>
          <w:spacing w:val="4"/>
          <w:sz w:val="22"/>
          <w:szCs w:val="22"/>
        </w:rPr>
        <w:t xml:space="preserve">Otra muestra de la importancia del trabajo conjunto de los organismos internacionales, en Panamá, es la firma del acuerdo de PNUD con UNFPA para el diseño de contenidos de prevención para jóvenes (mediación, raza, noviazgos no violentos, etc),  </w:t>
      </w:r>
    </w:p>
    <w:p w14:paraId="28E5DA6B" w14:textId="76BD46D0" w:rsidR="004122D1" w:rsidRPr="005970E9" w:rsidRDefault="004122D1" w:rsidP="00BF6858">
      <w:pPr>
        <w:pStyle w:val="NormalWeb"/>
        <w:shd w:val="clear" w:color="auto" w:fill="FEFEFE"/>
        <w:spacing w:before="120" w:beforeAutospacing="0" w:after="120" w:afterAutospacing="0" w:line="276" w:lineRule="auto"/>
        <w:jc w:val="both"/>
        <w:rPr>
          <w:rFonts w:ascii="Century Schoolbook" w:hAnsi="Century Schoolbook" w:cstheme="minorHAnsi"/>
          <w:color w:val="0A0A0A"/>
          <w:spacing w:val="4"/>
          <w:sz w:val="22"/>
          <w:szCs w:val="22"/>
        </w:rPr>
      </w:pPr>
      <w:r w:rsidRPr="005970E9">
        <w:rPr>
          <w:rFonts w:ascii="Century Schoolbook" w:hAnsi="Century Schoolbook" w:cstheme="minorHAnsi"/>
          <w:color w:val="0A0A0A"/>
          <w:spacing w:val="4"/>
          <w:sz w:val="22"/>
          <w:szCs w:val="22"/>
        </w:rPr>
        <w:t xml:space="preserve">Se participa activamente de la Hoja de Ruta para la política de juventud (que contiene un eje específico de prevención de violencia en jóvenes y se ha lanzado el Capítulo Panamá del Proyecto Regional PREJUVE (AECID- SICA- PNUD). A nivel local se han apoyado Iniciativas como el Programa "De Joven a Joven" liderado por la Alcaldía de Panamá, así como las redes en La Chorrera y </w:t>
      </w:r>
      <w:r w:rsidR="001E5CBF" w:rsidRPr="005970E9">
        <w:rPr>
          <w:rFonts w:ascii="Century Schoolbook" w:hAnsi="Century Schoolbook" w:cstheme="minorHAnsi"/>
          <w:color w:val="0A0A0A"/>
          <w:spacing w:val="4"/>
          <w:sz w:val="22"/>
          <w:szCs w:val="22"/>
        </w:rPr>
        <w:t>Arraiján</w:t>
      </w:r>
      <w:r w:rsidRPr="005970E9">
        <w:rPr>
          <w:rFonts w:ascii="Century Schoolbook" w:hAnsi="Century Schoolbook" w:cstheme="minorHAnsi"/>
          <w:color w:val="0A0A0A"/>
          <w:spacing w:val="4"/>
          <w:sz w:val="22"/>
          <w:szCs w:val="22"/>
        </w:rPr>
        <w:t>. </w:t>
      </w:r>
    </w:p>
    <w:p w14:paraId="14F91670" w14:textId="77777777" w:rsidR="004122D1" w:rsidRPr="005970E9" w:rsidRDefault="004122D1" w:rsidP="00BF6858">
      <w:pPr>
        <w:shd w:val="clear" w:color="auto" w:fill="FEFEFE"/>
        <w:spacing w:before="120" w:after="120" w:line="276" w:lineRule="auto"/>
        <w:jc w:val="both"/>
        <w:rPr>
          <w:rFonts w:cstheme="minorHAnsi"/>
        </w:rPr>
      </w:pPr>
      <w:r w:rsidRPr="005970E9">
        <w:rPr>
          <w:rFonts w:cstheme="minorHAnsi"/>
        </w:rPr>
        <w:t>En proceso de ejecución está el “PROGRAMA DE PREVENCION DE LA VIOLENCIA”, iniciado en octubre de 2013 y con fecha prevista de finalización en diciembre de 2020.</w:t>
      </w:r>
    </w:p>
    <w:p w14:paraId="32DE78D1" w14:textId="77777777" w:rsidR="004122D1" w:rsidRPr="005970E9" w:rsidRDefault="004122D1" w:rsidP="00BF6858">
      <w:pPr>
        <w:shd w:val="clear" w:color="auto" w:fill="FEFEFE"/>
        <w:spacing w:before="120" w:after="120" w:line="276" w:lineRule="auto"/>
        <w:jc w:val="both"/>
        <w:rPr>
          <w:rFonts w:eastAsia="Times New Roman" w:cstheme="minorHAnsi"/>
          <w:color w:val="0A0A0A"/>
          <w:spacing w:val="4"/>
          <w:lang w:eastAsia="es-ES"/>
        </w:rPr>
      </w:pPr>
      <w:r w:rsidRPr="005970E9">
        <w:rPr>
          <w:rFonts w:eastAsia="Times New Roman" w:cstheme="minorHAnsi"/>
          <w:color w:val="0A0A0A"/>
          <w:spacing w:val="4"/>
          <w:lang w:eastAsia="es-ES"/>
        </w:rPr>
        <w:lastRenderedPageBreak/>
        <w:t>Está orientado a contribuir a la Estrategia País de Seguridad y el Plan Nacional de Violencia contra la Mujer, mediante la implementación de estrategias de prevención de las violencias en el nivel nacional y local, con la participación activa de la ciudadanía en la promoción de valores de convivencia y desarrollo humano sostenible.</w:t>
      </w:r>
    </w:p>
    <w:p w14:paraId="1BCDB143" w14:textId="77777777" w:rsidR="004122D1" w:rsidRPr="005970E9" w:rsidRDefault="004122D1" w:rsidP="00BF6858">
      <w:pPr>
        <w:shd w:val="clear" w:color="auto" w:fill="FEFEFE"/>
        <w:spacing w:before="120" w:after="120" w:line="276" w:lineRule="auto"/>
        <w:jc w:val="both"/>
        <w:rPr>
          <w:rFonts w:eastAsia="Times New Roman" w:cstheme="minorHAnsi"/>
          <w:color w:val="0A0A0A"/>
          <w:spacing w:val="4"/>
          <w:lang w:eastAsia="es-ES"/>
        </w:rPr>
      </w:pPr>
      <w:r w:rsidRPr="005970E9">
        <w:rPr>
          <w:rFonts w:eastAsia="Times New Roman" w:cstheme="minorHAnsi"/>
          <w:color w:val="0A0A0A"/>
          <w:spacing w:val="4"/>
          <w:lang w:eastAsia="es-ES"/>
        </w:rPr>
        <w:t xml:space="preserve"> El alcance que propone es ambicioso y dirigido al fortalecimiento de la Oficina de Seguridad Integral; el diseño del plan de prevención con enfoque integral, el fortalecimiento de las relaciones entre la policía y la comunidad; el desarrollo de capacidades en materia de información sobre el tema; la gestión local en seguridad ciudadana y convivencia en todo el país, así como la creación de oportunidades de desarrollo personal y comunitario de las y los jóvenes para prevenir la violencia de género.</w:t>
      </w:r>
    </w:p>
    <w:p w14:paraId="3D1607D2" w14:textId="77777777" w:rsidR="004122D1" w:rsidRPr="005970E9" w:rsidRDefault="004122D1" w:rsidP="00BF6858">
      <w:pPr>
        <w:shd w:val="clear" w:color="auto" w:fill="FEFEFE"/>
        <w:spacing w:before="120" w:after="120" w:line="276" w:lineRule="auto"/>
        <w:jc w:val="both"/>
        <w:rPr>
          <w:rFonts w:cstheme="minorHAnsi"/>
          <w:color w:val="0A0A0A"/>
          <w:spacing w:val="4"/>
          <w:shd w:val="clear" w:color="auto" w:fill="FEFEFE"/>
        </w:rPr>
      </w:pPr>
      <w:r w:rsidRPr="005970E9">
        <w:rPr>
          <w:rFonts w:eastAsia="Times New Roman" w:cstheme="minorHAnsi"/>
          <w:color w:val="0A0A0A"/>
          <w:spacing w:val="4"/>
          <w:lang w:eastAsia="es-ES"/>
        </w:rPr>
        <w:t>En otras de sus líneas de acción, e</w:t>
      </w:r>
      <w:r w:rsidRPr="005970E9">
        <w:rPr>
          <w:rFonts w:cstheme="minorHAnsi"/>
          <w:color w:val="0A0A0A"/>
          <w:spacing w:val="4"/>
          <w:shd w:val="clear" w:color="auto" w:fill="FEFEFE"/>
        </w:rPr>
        <w:t>l PNUD Panamá ha impulsado el proceso de actualización de la Estrategia País de Seguridad Ciudadana, haciendo mesas de trabajo y el Foro "Hacia una política de prevención de las violencias". También en el 2015 se organizaron Diplomados de Seguridad Ciudadana (FLACSO/PNUD), así como cursos varios de “de la Información y Observatorios”, con participación de funcionarios de alto rango, apoyados por el Proyecto INFOSEGURA, y se firmó el Convenio con la Universidad de las Américas (UDELAS).</w:t>
      </w:r>
    </w:p>
    <w:p w14:paraId="1136CAC6" w14:textId="77777777" w:rsidR="004122D1" w:rsidRPr="005970E9" w:rsidRDefault="004122D1" w:rsidP="00BF6858">
      <w:pPr>
        <w:pStyle w:val="Heading2"/>
        <w:spacing w:before="120" w:line="276" w:lineRule="auto"/>
      </w:pPr>
      <w:bookmarkStart w:id="377" w:name="_Toc42159281"/>
      <w:bookmarkStart w:id="378" w:name="_Toc42549506"/>
      <w:r w:rsidRPr="005970E9">
        <w:t>6.5. Fondo de Población de las Naciones Unidas (UNFPA)</w:t>
      </w:r>
      <w:bookmarkEnd w:id="377"/>
      <w:bookmarkEnd w:id="378"/>
    </w:p>
    <w:p w14:paraId="7E0DCC57" w14:textId="77777777" w:rsidR="004122D1" w:rsidRPr="005970E9" w:rsidRDefault="004122D1" w:rsidP="00BF6858">
      <w:pPr>
        <w:spacing w:before="120" w:after="120" w:line="276" w:lineRule="auto"/>
        <w:jc w:val="both"/>
      </w:pPr>
      <w:r w:rsidRPr="005970E9">
        <w:t>La oficina del país del UNFPA ha estado trabajando desde 1975 y a partir de 2016, acorde con el Programa de País 2016-2020, y en el marco de las Naciones Unidas para el Desarrollo. Potenciando de esta manera una colaboración estrecha entre las organizaciones de la sociedad civil.</w:t>
      </w:r>
    </w:p>
    <w:p w14:paraId="2F2B9391" w14:textId="77777777" w:rsidR="004122D1" w:rsidRPr="005970E9" w:rsidRDefault="004122D1" w:rsidP="00BF6858">
      <w:pPr>
        <w:spacing w:before="120" w:after="120" w:line="276" w:lineRule="auto"/>
        <w:jc w:val="both"/>
        <w:rPr>
          <w:rFonts w:eastAsia="Times New Roman" w:cs="Arial"/>
          <w:color w:val="000000"/>
          <w:lang w:val="es-US" w:eastAsia="es-US"/>
        </w:rPr>
      </w:pPr>
      <w:r w:rsidRPr="005970E9">
        <w:t xml:space="preserve">El objetivo se centra en, primero generar conocimiento sobre el estado de las poblaciones y el desarrollo de sus capacidades, y a partir de ahí </w:t>
      </w:r>
      <w:r w:rsidRPr="005970E9">
        <w:rPr>
          <w:rFonts w:eastAsia="Times New Roman" w:cs="Arial"/>
          <w:color w:val="000000"/>
          <w:lang w:val="es-US" w:eastAsia="es-US"/>
        </w:rPr>
        <w:t>promover el acceso a servicios de salud sexual y salud reproductiva y a una educación integral, con campañas de promoción y programas de educación sexual para los grupos en situación de vulnerabilidad, sobre todo con la participación de las instituciones públicas y privadas. Trabajando desde ellos en la prevención de embarazos en la adolescencia y fomentado los derechos y la salud sexual entre ellos.</w:t>
      </w:r>
    </w:p>
    <w:p w14:paraId="7B1DC058" w14:textId="77777777" w:rsidR="004122D1" w:rsidRPr="005970E9" w:rsidRDefault="004122D1" w:rsidP="00BF6858">
      <w:pPr>
        <w:spacing w:before="120" w:after="120" w:line="276" w:lineRule="auto"/>
        <w:jc w:val="both"/>
        <w:rPr>
          <w:rFonts w:eastAsia="Times New Roman" w:cs="Arial"/>
          <w:color w:val="000000"/>
          <w:lang w:val="es-US" w:eastAsia="es-US"/>
        </w:rPr>
      </w:pPr>
      <w:r w:rsidRPr="005970E9">
        <w:rPr>
          <w:rFonts w:eastAsia="Times New Roman" w:cs="Arial"/>
          <w:color w:val="000000"/>
          <w:lang w:val="es-US" w:eastAsia="es-US"/>
        </w:rPr>
        <w:t>En su labor el UNFPA utiliza mecanismos de trabajo conjunto con el Fondo de Naciones Unidas para la Infancia y para adolescentes y jóvenes, la OMS en lo que se refiere a salud materna y ONU-Mujeres en cuanto temas de violencia por razón de género., entre otras.</w:t>
      </w:r>
    </w:p>
    <w:p w14:paraId="3879523B" w14:textId="77777777" w:rsidR="004122D1" w:rsidRPr="005970E9" w:rsidRDefault="004122D1" w:rsidP="00BF6858">
      <w:pPr>
        <w:spacing w:before="120" w:after="120" w:line="276" w:lineRule="auto"/>
        <w:jc w:val="both"/>
        <w:rPr>
          <w:rFonts w:eastAsia="Times New Roman" w:cs="Arial"/>
          <w:color w:val="000000"/>
          <w:lang w:val="es-US" w:eastAsia="es-US"/>
        </w:rPr>
      </w:pPr>
      <w:r w:rsidRPr="005970E9">
        <w:rPr>
          <w:rFonts w:eastAsia="Times New Roman" w:cs="Arial"/>
          <w:color w:val="000000"/>
          <w:lang w:val="es-US" w:eastAsia="es-US"/>
        </w:rPr>
        <w:t>Estas estrategias de trabajo conjunto obviamente tienen en cuenta las cuestiones de género y la diversidad socio cultural, con un enfoque de derechos humanos, y que estimule la participación de adolescentes y jóvenes en los programas de la sociedad.</w:t>
      </w:r>
    </w:p>
    <w:p w14:paraId="40B0E21C" w14:textId="0C178E2E" w:rsidR="004122D1" w:rsidRPr="005970E9" w:rsidRDefault="004122D1" w:rsidP="00BF6858">
      <w:pPr>
        <w:spacing w:before="120" w:after="120" w:line="276" w:lineRule="auto"/>
        <w:jc w:val="both"/>
      </w:pPr>
      <w:r w:rsidRPr="005970E9">
        <w:lastRenderedPageBreak/>
        <w:t>En el TEMA “adolescentes y jóvenes” en su página web precisa de manera muy clara cómo logrará tan importantes objetivos: “El UNFPA logrará este producto mediante la promoción y el diálogo sobre políticas, así como la prestación de asistencia técnica y la gestión del conocimiento, destinados a: a) el fomento del diálogo político y social y las alianzas para la aplicación de los marcos jurídicos en materia de derechos sexuales y reproductivos de los adolescentes y los jóvenes, que incluyan programas de educación sexual integral y la prevención del embarazo en la adolescencia, así como intervenciones integradas, específicas y multisectoriales; b) el fortalecimiento de las plataformas de participación de la sociedad civil que defienden los derechos de los adolescentes y los jóvenes, incluidos los derechos sexuales y reproductivos; c) la elaboración de políticas, la promoción y el asesoramiento con base empírica para los jóvenes, mediante la puesta en marcha de iniciativas de comunicación estratégica en las que participen organizaciones públicas y de la sociedad civil, el mundo académico y el sector privado.” (panama.unfpa.org/es/adolescentes)</w:t>
      </w:r>
    </w:p>
    <w:p w14:paraId="79969DAE" w14:textId="77777777" w:rsidR="004122D1" w:rsidRPr="005970E9" w:rsidRDefault="004122D1" w:rsidP="00BF6858">
      <w:pPr>
        <w:spacing w:before="120" w:after="120" w:line="276" w:lineRule="auto"/>
        <w:jc w:val="both"/>
      </w:pPr>
      <w:r w:rsidRPr="005970E9">
        <w:rPr>
          <w:rFonts w:cs="Arial"/>
          <w:shd w:val="clear" w:color="auto" w:fill="FFFFFF"/>
        </w:rPr>
        <w:t>En el Tema “Igualdad de Género y Empoderamiento de la Mujer”, al igual que en todos sus proyectos, aplican el principio de la utilización de la capacidad de instituciones gubernamentales y la sociedad civil, pues para ellos es un arma vital en el desarrollo de sus programas. Para lograrlo lo puntualizan así</w:t>
      </w:r>
      <w:r w:rsidRPr="005970E9">
        <w:rPr>
          <w:rFonts w:cs="Arial"/>
          <w:color w:val="000000" w:themeColor="text1"/>
          <w:shd w:val="clear" w:color="auto" w:fill="FFFFFF"/>
        </w:rPr>
        <w:t xml:space="preserve">:  </w:t>
      </w:r>
      <w:r w:rsidRPr="005970E9">
        <w:rPr>
          <w:rFonts w:cs="Arial"/>
          <w:color w:val="000000" w:themeColor="text1"/>
          <w:lang w:eastAsia="es-ES"/>
        </w:rPr>
        <w:t xml:space="preserve"> </w:t>
      </w:r>
      <w:r w:rsidRPr="005970E9">
        <w:rPr>
          <w:rFonts w:eastAsia="Times New Roman" w:cs="Arial"/>
          <w:color w:val="000000" w:themeColor="text1"/>
          <w:lang w:eastAsia="es-ES"/>
        </w:rPr>
        <w:t>“ UNFPA logrará este producto mediante la promoción, el diálogo sobre políticas, la gestión del conocimiento y la asistencia técnica destinados a: a) el fomento de la aplicación de mecanismos de rendición social de cuentas y de marcos jurídicos para abordar los derechos reproductivos de las niñas, las adolescentes y las mujeres, en particular de aquellas procedentes de sectores de la población excluidos y marginados; y b) el fortalecimiento de la capacidad nacional para dar una respuesta coordinada a la violencia por razón de género, concentrándose en la violencia sexual y fijando como meta las adolescentes y las jóvenes</w:t>
      </w:r>
      <w:r w:rsidRPr="005970E9">
        <w:rPr>
          <w:rFonts w:eastAsia="Times New Roman" w:cs="Arial"/>
          <w:color w:val="808080"/>
          <w:lang w:eastAsia="es-ES"/>
        </w:rPr>
        <w:t>.” (</w:t>
      </w:r>
      <w:r w:rsidRPr="005970E9">
        <w:t>panama.unfpa.org/es/topics/igualdad)</w:t>
      </w:r>
    </w:p>
    <w:p w14:paraId="0E4B62B7" w14:textId="77777777" w:rsidR="004122D1" w:rsidRPr="005970E9" w:rsidRDefault="004122D1" w:rsidP="00BF6858">
      <w:pPr>
        <w:spacing w:before="120" w:after="120" w:line="276" w:lineRule="auto"/>
        <w:jc w:val="both"/>
        <w:rPr>
          <w:color w:val="000000" w:themeColor="text1"/>
        </w:rPr>
      </w:pPr>
      <w:r w:rsidRPr="005970E9">
        <w:rPr>
          <w:rFonts w:eastAsia="Times New Roman" w:cs="Arial"/>
          <w:color w:val="000000" w:themeColor="text1"/>
          <w:lang w:eastAsia="es-ES"/>
        </w:rPr>
        <w:t xml:space="preserve">Otro de sus temas </w:t>
      </w:r>
      <w:r w:rsidRPr="005970E9">
        <w:rPr>
          <w:rFonts w:cs="Arial"/>
          <w:color w:val="000000" w:themeColor="text1"/>
          <w:lang w:eastAsia="es-ES"/>
        </w:rPr>
        <w:t xml:space="preserve">insignia </w:t>
      </w:r>
      <w:r w:rsidRPr="005970E9">
        <w:rPr>
          <w:rFonts w:eastAsia="Times New Roman" w:cs="Arial"/>
          <w:color w:val="000000" w:themeColor="text1"/>
          <w:lang w:eastAsia="es-ES"/>
        </w:rPr>
        <w:t>es Salud Sexual y Reproductiva, como dijimos al inicio. En ello va incluida</w:t>
      </w:r>
      <w:r w:rsidRPr="005970E9">
        <w:rPr>
          <w:rFonts w:cs="Arial"/>
          <w:color w:val="000000" w:themeColor="text1"/>
          <w:lang w:eastAsia="es-ES"/>
        </w:rPr>
        <w:t xml:space="preserve"> la planifi</w:t>
      </w:r>
      <w:r w:rsidRPr="005970E9">
        <w:rPr>
          <w:rFonts w:eastAsia="Times New Roman" w:cs="Arial"/>
          <w:color w:val="000000" w:themeColor="text1"/>
          <w:lang w:eastAsia="es-ES"/>
        </w:rPr>
        <w:t>cación familiar, la salud materna y el VIH</w:t>
      </w:r>
      <w:r w:rsidRPr="005970E9">
        <w:rPr>
          <w:rFonts w:cs="Arial"/>
          <w:color w:val="000000" w:themeColor="text1"/>
          <w:lang w:eastAsia="es-ES"/>
        </w:rPr>
        <w:t xml:space="preserve">, con </w:t>
      </w:r>
      <w:r w:rsidRPr="005970E9">
        <w:rPr>
          <w:rFonts w:cs="Arial"/>
          <w:color w:val="000000" w:themeColor="text1"/>
          <w:shd w:val="clear" w:color="auto" w:fill="FFFFFF"/>
        </w:rPr>
        <w:t xml:space="preserve">enfoques de derechos humanos, género e interculturalidad. </w:t>
      </w:r>
      <w:r w:rsidRPr="005970E9">
        <w:t>Se propone lograr este objetivo, con:</w:t>
      </w:r>
      <w:r w:rsidRPr="005970E9">
        <w:rPr>
          <w:rFonts w:eastAsia="Times New Roman" w:cs="Arial"/>
          <w:lang w:eastAsia="es-ES"/>
        </w:rPr>
        <w:t xml:space="preserve"> </w:t>
      </w:r>
      <w:r w:rsidRPr="005970E9">
        <w:rPr>
          <w:rFonts w:eastAsia="Times New Roman" w:cs="Arial"/>
          <w:color w:val="000000" w:themeColor="text1"/>
          <w:lang w:eastAsia="es-ES"/>
        </w:rPr>
        <w:t>“</w:t>
      </w:r>
      <w:r w:rsidRPr="005970E9">
        <w:rPr>
          <w:rFonts w:cs="Arial"/>
          <w:color w:val="000000" w:themeColor="text1"/>
          <w:shd w:val="clear" w:color="auto" w:fill="FFFFFF"/>
        </w:rPr>
        <w:t xml:space="preserve"> la promoción, el diálogo sobre políticas y la gestión del conocimiento; esto exigirá asistencia técnica destinada a: a) la actualización de las políticas, las normas y los protocolos para la prestación de servicios de salud sexual y reproductiva de alta calidad, incluida la planificación familiar, con atención especial a la población indígena, los adolescentes y los jóvenes; b) la promoción de la colaboración institucional para extender a los adolescentes y los jóvenes la prestación de servicios adaptados a ellos de salud sexual y reproductiva de alta calidad; c) el fortalecimiento del uso de un sistema de información sobre la gestión logística para la previsión y la supervisión del suministro de salud reproductiva; d) el fortalecimiento de las capacidades nacionales, regionales y locales entre las instituciones públicas, las universidades, las organizaciones de la sociedad civil y las redes de jóvenes para fomentar la salud sexual y reproductiva y los derechos de los adolescentes y los jóvenes, así como el acceso a servicios de alta calidad; y e) la asistencia técnica para la aplicación y la institucionalización del Paquete de Servicios Iniciales </w:t>
      </w:r>
      <w:r w:rsidRPr="005970E9">
        <w:rPr>
          <w:rFonts w:cs="Arial"/>
          <w:color w:val="000000" w:themeColor="text1"/>
          <w:shd w:val="clear" w:color="auto" w:fill="FFFFFF"/>
        </w:rPr>
        <w:lastRenderedPageBreak/>
        <w:t>Mínimos para la Salud Reproductiva en situaciones de emergencia.”. (</w:t>
      </w:r>
      <w:r w:rsidRPr="005970E9">
        <w:rPr>
          <w:color w:val="000000" w:themeColor="text1"/>
        </w:rPr>
        <w:t>panama.unfpa.org/es/topics/salud-sexual-y-reproductiva)</w:t>
      </w:r>
    </w:p>
    <w:p w14:paraId="7D16AD4A" w14:textId="77777777" w:rsidR="004122D1" w:rsidRPr="005970E9" w:rsidRDefault="004122D1" w:rsidP="004B7717">
      <w:pPr>
        <w:pStyle w:val="NormalWeb"/>
        <w:shd w:val="clear" w:color="auto" w:fill="FFFFFF"/>
        <w:spacing w:before="240" w:beforeAutospacing="0" w:after="120" w:afterAutospacing="0" w:line="276" w:lineRule="auto"/>
        <w:jc w:val="both"/>
        <w:textAlignment w:val="baseline"/>
        <w:rPr>
          <w:rFonts w:ascii="Century Schoolbook" w:hAnsi="Century Schoolbook" w:cs="Arial"/>
          <w:shd w:val="clear" w:color="auto" w:fill="FFFFFF"/>
        </w:rPr>
      </w:pPr>
      <w:r w:rsidRPr="005970E9">
        <w:rPr>
          <w:rFonts w:ascii="Century Schoolbook" w:hAnsi="Century Schoolbook" w:cs="Arial"/>
          <w:sz w:val="22"/>
          <w:szCs w:val="22"/>
          <w:shd w:val="clear" w:color="auto" w:fill="FFFFFF"/>
        </w:rPr>
        <w:t xml:space="preserve">Como dijera la Directora Ejecutiva del UNFPA, Dra. Natalia Kanem, con motivo del Día Mundial de la población el 11 de julio de 2019: </w:t>
      </w:r>
      <w:r w:rsidRPr="005970E9">
        <w:rPr>
          <w:rFonts w:ascii="Century Schoolbook" w:hAnsi="Century Schoolbook" w:cs="Arial"/>
          <w:color w:val="000000" w:themeColor="text1"/>
          <w:sz w:val="22"/>
          <w:szCs w:val="22"/>
          <w:lang w:eastAsia="es-ES"/>
        </w:rPr>
        <w:t>“¡Es el momento de actuar! Ahora, y de forma urgente, debemos garantizar que todas las mujeres, adolescentes y las niñas puedan ejercer sus derechos. Si tienen acceso a mayores opciones de métodos anticonceptivos modernos, podrán prosperar en igualdad en función del desarrollo sostenible. No actuar implica un precio demasiado alto: muchas mujeres y niñas mueren, se producen más embarazos no deseados y más abortos inseguros, hay más niñas embarazadas avergonzadas que abandonan la escuela, y el potencial de las personas y las sociedades queda desaprovechado. No hay tiempo que perder. Nuestro futuro depende de ello.”.</w:t>
      </w:r>
      <w:r w:rsidRPr="005970E9">
        <w:rPr>
          <w:rFonts w:ascii="Century Schoolbook" w:hAnsi="Century Schoolbook" w:cs="Arial"/>
          <w:color w:val="000000" w:themeColor="text1"/>
          <w:sz w:val="22"/>
          <w:szCs w:val="22"/>
          <w:shd w:val="clear" w:color="auto" w:fill="FFFFFF"/>
        </w:rPr>
        <w:t xml:space="preserve"> </w:t>
      </w:r>
      <w:r w:rsidRPr="005970E9">
        <w:rPr>
          <w:rFonts w:ascii="Century Schoolbook" w:hAnsi="Century Schoolbook" w:cs="Arial"/>
          <w:sz w:val="22"/>
          <w:szCs w:val="22"/>
          <w:shd w:val="clear" w:color="auto" w:fill="FFFFFF"/>
        </w:rPr>
        <w:t>(</w:t>
      </w:r>
      <w:r w:rsidRPr="005970E9">
        <w:rPr>
          <w:rFonts w:ascii="Century Schoolbook" w:hAnsi="Century Schoolbook" w:cs="Arial"/>
          <w:shd w:val="clear" w:color="auto" w:fill="FFFFFF"/>
        </w:rPr>
        <w:t xml:space="preserve">Kanem, Natalia.2019) </w:t>
      </w:r>
    </w:p>
    <w:p w14:paraId="6A02F388" w14:textId="77777777" w:rsidR="004122D1" w:rsidRPr="005970E9" w:rsidRDefault="004122D1" w:rsidP="004B7717">
      <w:pPr>
        <w:pStyle w:val="Heading2"/>
        <w:spacing w:line="276" w:lineRule="auto"/>
      </w:pPr>
      <w:bookmarkStart w:id="379" w:name="_Toc42159282"/>
      <w:bookmarkStart w:id="380" w:name="_Toc42549507"/>
      <w:r w:rsidRPr="005970E9">
        <w:t>6.6. Fondo de las Naciones Unidas para la Infancia (UNICEF)</w:t>
      </w:r>
      <w:r w:rsidRPr="005970E9">
        <w:rPr>
          <w:rStyle w:val="FootnoteReference"/>
        </w:rPr>
        <w:footnoteReference w:id="125"/>
      </w:r>
      <w:bookmarkEnd w:id="379"/>
      <w:bookmarkEnd w:id="380"/>
    </w:p>
    <w:p w14:paraId="1C7732FE" w14:textId="77777777" w:rsidR="004122D1" w:rsidRPr="005970E9" w:rsidRDefault="004122D1" w:rsidP="00BF6858">
      <w:pPr>
        <w:pStyle w:val="NormalWeb"/>
        <w:spacing w:before="120" w:beforeAutospacing="0" w:after="120" w:afterAutospacing="0" w:line="276" w:lineRule="auto"/>
        <w:textAlignment w:val="baseline"/>
        <w:rPr>
          <w:rFonts w:ascii="Century Schoolbook" w:hAnsi="Century Schoolbook" w:cs="Arial"/>
          <w:color w:val="000000"/>
          <w:sz w:val="22"/>
          <w:szCs w:val="22"/>
        </w:rPr>
      </w:pPr>
      <w:r w:rsidRPr="005970E9">
        <w:rPr>
          <w:rStyle w:val="Strong"/>
          <w:rFonts w:ascii="Century Schoolbook" w:hAnsi="Century Schoolbook" w:cs="Arial"/>
          <w:color w:val="000000"/>
          <w:sz w:val="22"/>
          <w:szCs w:val="22"/>
          <w:bdr w:val="none" w:sz="0" w:space="0" w:color="auto" w:frame="1"/>
        </w:rPr>
        <w:t>UNICEF </w:t>
      </w:r>
      <w:r w:rsidRPr="005970E9">
        <w:rPr>
          <w:rFonts w:ascii="Century Schoolbook" w:hAnsi="Century Schoolbook" w:cs="Arial"/>
          <w:color w:val="000000"/>
          <w:sz w:val="22"/>
          <w:szCs w:val="22"/>
        </w:rPr>
        <w:t>trabaja en Panamá desde 1991, mediante el Programa de País que es firmado con el Gobierno de la República de Panamá cada cinco años. Este aborda los desafíos y principales tendencias que impactan la vida de los niños, niñas y adolescentes en el país.</w:t>
      </w:r>
    </w:p>
    <w:p w14:paraId="2D462DD6" w14:textId="320575BF" w:rsidR="004122D1" w:rsidRPr="005970E9" w:rsidRDefault="004122D1" w:rsidP="00BF6858">
      <w:pPr>
        <w:spacing w:before="120" w:after="120" w:line="276" w:lineRule="auto"/>
        <w:ind w:right="150"/>
        <w:jc w:val="both"/>
        <w:textAlignment w:val="baseline"/>
        <w:rPr>
          <w:rFonts w:eastAsia="Times New Roman" w:cs="Arial"/>
          <w:color w:val="000000" w:themeColor="text1"/>
          <w:bdr w:val="none" w:sz="0" w:space="0" w:color="auto" w:frame="1"/>
          <w:lang w:val="es-US" w:eastAsia="es-US"/>
        </w:rPr>
      </w:pPr>
      <w:r w:rsidRPr="005970E9">
        <w:rPr>
          <w:rFonts w:cs="Arial"/>
          <w:color w:val="000000"/>
        </w:rPr>
        <w:t xml:space="preserve">En esta labor trabaja también con gobiernos locales, sociedad civil y el sector privado para fomentar el cumplimiento de los compromisos establecidos en la Convención sobre los Derechos del Niño, ratificada por Panamá en 1990. </w:t>
      </w:r>
      <w:r w:rsidRPr="005970E9">
        <w:rPr>
          <w:rFonts w:eastAsia="Times New Roman" w:cs="Arial"/>
          <w:color w:val="000000" w:themeColor="text1"/>
          <w:bdr w:val="none" w:sz="0" w:space="0" w:color="auto" w:frame="1"/>
          <w:lang w:val="es-US" w:eastAsia="es-US"/>
        </w:rPr>
        <w:t>Su objetivo primordial es trabajar por el bienestar de niños, niñas y adolescentes en Panamá, brindando asistencia técnica, alianzas estratégicas y construyendo proyectos que contribuyan al desarrollo pleno de esta población (unicef.org/panama/spanich)</w:t>
      </w:r>
      <w:r w:rsidR="004B7717">
        <w:rPr>
          <w:rFonts w:eastAsia="Times New Roman" w:cs="Arial"/>
          <w:color w:val="000000" w:themeColor="text1"/>
          <w:bdr w:val="none" w:sz="0" w:space="0" w:color="auto" w:frame="1"/>
          <w:lang w:val="es-US" w:eastAsia="es-US"/>
        </w:rPr>
        <w:t>.</w:t>
      </w:r>
    </w:p>
    <w:p w14:paraId="12BD2469" w14:textId="77777777" w:rsidR="004122D1" w:rsidRPr="005970E9" w:rsidRDefault="004122D1" w:rsidP="00BF6858">
      <w:pPr>
        <w:spacing w:before="120" w:after="120" w:line="276" w:lineRule="auto"/>
        <w:jc w:val="both"/>
        <w:rPr>
          <w:rFonts w:cs="Arial"/>
          <w:color w:val="303030"/>
          <w:shd w:val="clear" w:color="auto" w:fill="F1F1F1"/>
        </w:rPr>
      </w:pPr>
      <w:r w:rsidRPr="005970E9">
        <w:rPr>
          <w:rFonts w:eastAsia="Times New Roman" w:cs="Arial"/>
          <w:color w:val="000000" w:themeColor="text1"/>
          <w:bdr w:val="none" w:sz="0" w:space="0" w:color="auto" w:frame="1"/>
          <w:lang w:val="es-US" w:eastAsia="es-US"/>
        </w:rPr>
        <w:t>Las estrategias, programas y acciones se centran en cinco claves: Educación, Equidad e Inclusión Social; Movilización social y alianzas; Protección contra las violencias y Acción Humanitaria y gestión de Riesgos.</w:t>
      </w:r>
      <w:r w:rsidRPr="005970E9">
        <w:rPr>
          <w:rFonts w:cs="Arial"/>
          <w:color w:val="303030"/>
          <w:shd w:val="clear" w:color="auto" w:fill="F1F1F1"/>
        </w:rPr>
        <w:t xml:space="preserve"> </w:t>
      </w:r>
    </w:p>
    <w:p w14:paraId="61DD49E2" w14:textId="77777777" w:rsidR="004122D1" w:rsidRPr="005970E9" w:rsidRDefault="004122D1" w:rsidP="00BF6858">
      <w:pPr>
        <w:spacing w:before="120" w:after="120" w:line="276" w:lineRule="auto"/>
        <w:jc w:val="both"/>
        <w:rPr>
          <w:rFonts w:eastAsia="Times New Roman" w:cs="Arial"/>
          <w:color w:val="000000" w:themeColor="text1"/>
          <w:bdr w:val="none" w:sz="0" w:space="0" w:color="auto" w:frame="1"/>
          <w:lang w:val="es-US" w:eastAsia="es-US"/>
        </w:rPr>
      </w:pPr>
      <w:r w:rsidRPr="005970E9">
        <w:rPr>
          <w:rFonts w:eastAsia="Times New Roman" w:cs="Arial"/>
          <w:color w:val="000000" w:themeColor="text1"/>
          <w:bdr w:val="none" w:sz="0" w:space="0" w:color="auto" w:frame="1"/>
          <w:lang w:val="es-US" w:eastAsia="es-US"/>
        </w:rPr>
        <w:t>Para cumplir con sus propósitos UNICEF y el Gobierno Panameño establecieron el Programa de Cooperación 2015-2020 donde se contempla el área de educación, desarrollo infantil temprano y educación preescolar, educación bilingüe y niños y niñas fuera de la escuela. También trabajan en temas de aprendizaje en niños y niñas sometidos al acoso sexual y violencia.</w:t>
      </w:r>
    </w:p>
    <w:p w14:paraId="419411EA" w14:textId="1682EB18" w:rsidR="004122D1" w:rsidRPr="005970E9" w:rsidRDefault="004122D1" w:rsidP="004B7717">
      <w:pPr>
        <w:spacing w:before="120" w:after="120" w:line="276" w:lineRule="auto"/>
        <w:jc w:val="both"/>
        <w:rPr>
          <w:rFonts w:cs="Arial"/>
          <w:color w:val="303030"/>
          <w:shd w:val="clear" w:color="auto" w:fill="FFFFFF"/>
        </w:rPr>
      </w:pPr>
      <w:r w:rsidRPr="005970E9">
        <w:rPr>
          <w:rFonts w:eastAsia="Times New Roman" w:cs="Arial"/>
          <w:color w:val="000000" w:themeColor="text1"/>
          <w:bdr w:val="none" w:sz="0" w:space="0" w:color="auto" w:frame="1"/>
          <w:lang w:val="es-US" w:eastAsia="es-US"/>
        </w:rPr>
        <w:lastRenderedPageBreak/>
        <w:t xml:space="preserve">Además, cuenta con el Plan Estratégico 2018-2021, que resalta los objetivos y actividades más </w:t>
      </w:r>
      <w:r w:rsidRPr="005970E9">
        <w:rPr>
          <w:rFonts w:cs="Arial"/>
          <w:color w:val="303030"/>
          <w:shd w:val="clear" w:color="auto" w:fill="FFFFFF"/>
        </w:rPr>
        <w:t>importantes de la organización, y establece los resultados concretos que UNICEF pretende lograr para los niños junto a sus asociados durante un período de cuatro años, proponiéndose estrategias de cambios y determinando los facilitadores institucionales que podrán implementar dichos cambios, con vistas a un futuro más luminoso para niños, niñas y adolescentes.</w:t>
      </w:r>
    </w:p>
    <w:p w14:paraId="688010D7" w14:textId="77777777" w:rsidR="004122D1" w:rsidRPr="005970E9" w:rsidRDefault="004122D1" w:rsidP="00BF6858">
      <w:pPr>
        <w:pStyle w:val="NormalWeb"/>
        <w:spacing w:before="120" w:beforeAutospacing="0" w:after="120" w:afterAutospacing="0" w:line="276" w:lineRule="auto"/>
        <w:jc w:val="both"/>
        <w:rPr>
          <w:rStyle w:val="Hyperlink"/>
          <w:rFonts w:ascii="Century Schoolbook" w:hAnsi="Century Schoolbook"/>
          <w:color w:val="auto"/>
          <w:sz w:val="22"/>
          <w:szCs w:val="22"/>
          <w:u w:val="none"/>
        </w:rPr>
      </w:pPr>
      <w:r w:rsidRPr="005970E9">
        <w:rPr>
          <w:rStyle w:val="Hyperlink"/>
          <w:rFonts w:ascii="Century Schoolbook" w:hAnsi="Century Schoolbook"/>
          <w:color w:val="auto"/>
          <w:sz w:val="22"/>
          <w:szCs w:val="22"/>
          <w:u w:val="none"/>
        </w:rPr>
        <w:t xml:space="preserve">UNICEF realiza varios a estudios y diagnósticos sobre la situación de niños, niñas y adolescentes en Panamá, por ejemplo: </w:t>
      </w:r>
      <w:hyperlink r:id="rId95" w:tooltip="Brochure_Unicef_indice_de_Pobreza_2018.pdf" w:history="1">
        <w:r w:rsidRPr="005970E9">
          <w:rPr>
            <w:rFonts w:ascii="Century Schoolbook" w:hAnsi="Century Schoolbook" w:cs="Helvetica"/>
            <w:sz w:val="22"/>
            <w:szCs w:val="22"/>
          </w:rPr>
          <w:t>Índice de Pobreza Multidimensional de Niños, Niñas y Adolescentes en Panamá</w:t>
        </w:r>
      </w:hyperlink>
      <w:r w:rsidRPr="005970E9">
        <w:rPr>
          <w:rFonts w:ascii="Century Schoolbook" w:hAnsi="Century Schoolbook" w:cs="Helvetica"/>
          <w:sz w:val="22"/>
          <w:szCs w:val="22"/>
        </w:rPr>
        <w:t xml:space="preserve"> 2019; </w:t>
      </w:r>
      <w:hyperlink r:id="rId96" w:tooltip="Niños, niñas y adolescentes en Panamá" w:history="1">
        <w:r w:rsidRPr="005970E9">
          <w:rPr>
            <w:rFonts w:ascii="Century Schoolbook" w:hAnsi="Century Schoolbook" w:cs="Helvetica"/>
            <w:sz w:val="22"/>
            <w:szCs w:val="22"/>
          </w:rPr>
          <w:t>Panorama 2018 | Niños, niñas y adolescentes en Panamá</w:t>
        </w:r>
      </w:hyperlink>
      <w:r w:rsidRPr="005970E9">
        <w:rPr>
          <w:rFonts w:ascii="Century Schoolbook" w:hAnsi="Century Schoolbook" w:cs="Helvetica"/>
          <w:sz w:val="22"/>
          <w:szCs w:val="22"/>
        </w:rPr>
        <w:t xml:space="preserve">; entre otros. </w:t>
      </w:r>
      <w:r w:rsidRPr="005970E9">
        <w:rPr>
          <w:rStyle w:val="Hyperlink"/>
          <w:rFonts w:ascii="Century Schoolbook" w:hAnsi="Century Schoolbook"/>
          <w:color w:val="auto"/>
          <w:sz w:val="22"/>
          <w:szCs w:val="22"/>
          <w:u w:val="none"/>
        </w:rPr>
        <w:t>A partir de este conocimiento elaboran su Estrategia de Equidad Social e impulsan de programas y proyectos de protección social, monitoreo y evaluación junto al Gobierno y otras organizaciones e instituciones sociales.</w:t>
      </w:r>
    </w:p>
    <w:p w14:paraId="1412ED90" w14:textId="77777777" w:rsidR="004122D1" w:rsidRPr="005970E9" w:rsidRDefault="004122D1" w:rsidP="00BF6858">
      <w:pPr>
        <w:spacing w:before="120" w:after="120" w:line="276" w:lineRule="auto"/>
        <w:jc w:val="both"/>
        <w:rPr>
          <w:rStyle w:val="Hyperlink"/>
          <w:color w:val="auto"/>
          <w:u w:val="none"/>
        </w:rPr>
      </w:pPr>
      <w:r w:rsidRPr="005970E9">
        <w:rPr>
          <w:rStyle w:val="Hyperlink"/>
          <w:color w:val="auto"/>
          <w:u w:val="none"/>
        </w:rPr>
        <w:t>También brinda apoyo técnico al Gobierno panameño para optimizar el monitoreo de los indicadores de la Agenda 2030, así como asesora en la evaluación de planes, programas y servicios para la primera infancia, la educación intercultural bilingüe y la justicia juvenil, entre otros. Es la única forma de poder establecer, a partir de los resultados políticas públicas que beneficien a este importante sector poblacional.</w:t>
      </w:r>
    </w:p>
    <w:p w14:paraId="1BA7BAF0" w14:textId="005F0C8A" w:rsidR="004122D1" w:rsidRPr="005970E9" w:rsidRDefault="004122D1" w:rsidP="00BF6858">
      <w:pPr>
        <w:spacing w:before="120" w:after="120" w:line="276" w:lineRule="auto"/>
        <w:jc w:val="both"/>
      </w:pPr>
      <w:r w:rsidRPr="005970E9">
        <w:rPr>
          <w:rStyle w:val="Hyperlink"/>
          <w:color w:val="auto"/>
          <w:u w:val="none"/>
        </w:rPr>
        <w:t>En el resumen ejecutivo de UNICEF llamado “</w:t>
      </w:r>
      <w:r w:rsidRPr="005970E9">
        <w:t xml:space="preserve">PROGRESO PARA TODOS LOS NIÑOS EN LA ERA DE LOS ODS” se destacan 44 indicadores relacionados con la infancia, organizados en cinco dimensiones de los derechos de los niños: el derecho a sobrevivir y prosperar, a aprender, a estar protegido contra la violencia, a vivir en un entorno seguro y limpio, y a tener las mismas oportunidades de triunfar. </w:t>
      </w:r>
    </w:p>
    <w:p w14:paraId="07498977" w14:textId="77777777" w:rsidR="004122D1" w:rsidRPr="005970E9" w:rsidRDefault="004122D1" w:rsidP="00BF6858">
      <w:pPr>
        <w:spacing w:before="120" w:after="120" w:line="276" w:lineRule="auto"/>
        <w:jc w:val="both"/>
      </w:pPr>
      <w:r w:rsidRPr="005970E9">
        <w:t xml:space="preserve">Asimismo, se plantea como principio respaldar el esfuerzo y guiar el trabajo en los próximos 12 años en la recopilación estadística y tratamiento de los datos, ya que ellos forman la columna vertebral del fortalecimiento del sistema, por lo que invertirán en esfuerzos a largo plazo para mejorar la calidad, la cobertura y la coordinación de los sistemas de datos administrativos gubernamentales dedicados a los niños, niñas y adolescentes. </w:t>
      </w:r>
    </w:p>
    <w:p w14:paraId="2B2B5C8B" w14:textId="7E1EAB1D" w:rsidR="004122D1" w:rsidRPr="005970E9" w:rsidRDefault="004122D1" w:rsidP="00BF6858">
      <w:pPr>
        <w:pStyle w:val="NormalWeb"/>
        <w:spacing w:before="120" w:beforeAutospacing="0" w:after="120" w:afterAutospacing="0" w:line="276" w:lineRule="auto"/>
        <w:jc w:val="both"/>
        <w:rPr>
          <w:rStyle w:val="Hyperlink"/>
          <w:rFonts w:ascii="Century Schoolbook" w:hAnsi="Century Schoolbook"/>
          <w:sz w:val="22"/>
          <w:szCs w:val="22"/>
        </w:rPr>
      </w:pPr>
    </w:p>
    <w:p w14:paraId="79978153" w14:textId="2CE69E02" w:rsidR="0048748B" w:rsidRPr="005970E9" w:rsidRDefault="0048748B">
      <w:pPr>
        <w:rPr>
          <w:rStyle w:val="Hyperlink"/>
          <w:rFonts w:eastAsia="Times New Roman" w:cs="Times New Roman"/>
        </w:rPr>
      </w:pPr>
      <w:r w:rsidRPr="005970E9">
        <w:rPr>
          <w:rStyle w:val="Hyperlink"/>
        </w:rPr>
        <w:br w:type="page"/>
      </w:r>
    </w:p>
    <w:p w14:paraId="47093693" w14:textId="77777777" w:rsidR="0048748B" w:rsidRPr="005970E9" w:rsidRDefault="0048748B" w:rsidP="0048748B">
      <w:pPr>
        <w:pStyle w:val="Heading1"/>
        <w:spacing w:line="276" w:lineRule="auto"/>
        <w:jc w:val="both"/>
      </w:pPr>
      <w:bookmarkStart w:id="381" w:name="_Toc39094109"/>
      <w:bookmarkStart w:id="382" w:name="_Toc42549508"/>
      <w:r w:rsidRPr="005970E9">
        <w:lastRenderedPageBreak/>
        <w:t>VII.  LÍNEAS DE ACCIÓN, EFECTOS Y ÁREAS PRIORITARIAS</w:t>
      </w:r>
      <w:bookmarkEnd w:id="381"/>
      <w:bookmarkEnd w:id="382"/>
    </w:p>
    <w:p w14:paraId="477F77C0" w14:textId="224F3542" w:rsidR="0048748B" w:rsidRPr="005970E9" w:rsidRDefault="0048748B" w:rsidP="0048748B">
      <w:pPr>
        <w:spacing w:before="240" w:after="120" w:line="276" w:lineRule="auto"/>
        <w:jc w:val="both"/>
      </w:pPr>
      <w:r w:rsidRPr="005970E9">
        <w:t xml:space="preserve">El Perfil de Igualdad de Género de País tiene como eje central el empoderamiento de las mujeres y hacer del cuidado una responsabilidad para todas las personas. La prioridad en estás líneas de acción </w:t>
      </w:r>
      <w:r w:rsidR="00AB3019">
        <w:t xml:space="preserve">se </w:t>
      </w:r>
      <w:r w:rsidRPr="005970E9">
        <w:t>fundamenta</w:t>
      </w:r>
      <w:r w:rsidR="00AB3019">
        <w:t>n</w:t>
      </w:r>
      <w:r w:rsidRPr="005970E9">
        <w:t xml:space="preserve"> en las principales brechas de desigualdad de género </w:t>
      </w:r>
      <w:r w:rsidR="00AB3019">
        <w:t xml:space="preserve">observadas </w:t>
      </w:r>
      <w:r w:rsidRPr="005970E9">
        <w:t xml:space="preserve">en las distintas dimensiones estudiadas y </w:t>
      </w:r>
      <w:r w:rsidR="00AB3019">
        <w:t xml:space="preserve">se </w:t>
      </w:r>
      <w:r w:rsidRPr="005970E9">
        <w:t>vincula</w:t>
      </w:r>
      <w:r w:rsidR="00AB3019">
        <w:t xml:space="preserve">n </w:t>
      </w:r>
      <w:r w:rsidRPr="005970E9">
        <w:t>a</w:t>
      </w:r>
      <w:r w:rsidR="00AB3019">
        <w:t xml:space="preserve"> </w:t>
      </w:r>
      <w:r w:rsidRPr="005970E9">
        <w:t>l</w:t>
      </w:r>
      <w:r w:rsidR="00AB3019">
        <w:t>a</w:t>
      </w:r>
      <w:r w:rsidRPr="005970E9">
        <w:t xml:space="preserve"> Agenda 2030 para el desarrollo sostenible.</w:t>
      </w:r>
    </w:p>
    <w:p w14:paraId="0021CC22" w14:textId="77777777" w:rsidR="0048748B" w:rsidRPr="005970E9" w:rsidRDefault="0048748B" w:rsidP="0048748B">
      <w:pPr>
        <w:spacing w:before="240" w:after="120"/>
        <w:rPr>
          <w:b/>
          <w:bCs/>
          <w:sz w:val="20"/>
          <w:szCs w:val="20"/>
        </w:rPr>
      </w:pPr>
      <w:r w:rsidRPr="005970E9">
        <w:rPr>
          <w:rFonts w:eastAsia="Times New Roman" w:cs="Times New Roman"/>
          <w:b/>
          <w:bCs/>
          <w:sz w:val="20"/>
          <w:szCs w:val="20"/>
        </w:rPr>
        <w:t>D</w:t>
      </w:r>
      <w:r w:rsidRPr="005970E9">
        <w:rPr>
          <w:b/>
          <w:bCs/>
          <w:sz w:val="20"/>
          <w:szCs w:val="20"/>
        </w:rPr>
        <w:t>IMENSIÓN POLÍTICA</w:t>
      </w:r>
    </w:p>
    <w:tbl>
      <w:tblPr>
        <w:tblW w:w="0" w:type="auto"/>
        <w:tblLook w:val="04A0" w:firstRow="1" w:lastRow="0" w:firstColumn="1" w:lastColumn="0" w:noHBand="0" w:noVBand="1"/>
      </w:tblPr>
      <w:tblGrid>
        <w:gridCol w:w="3539"/>
        <w:gridCol w:w="5185"/>
      </w:tblGrid>
      <w:tr w:rsidR="0048748B" w:rsidRPr="005970E9" w14:paraId="629330DC"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2BA0DD7D" w14:textId="77777777" w:rsidR="0048748B" w:rsidRPr="005970E9" w:rsidRDefault="0048748B" w:rsidP="00896252">
            <w:r w:rsidRPr="005970E9">
              <w:rPr>
                <w:b/>
                <w:bCs/>
              </w:rPr>
              <w:t>Línea de acción</w:t>
            </w:r>
            <w:r w:rsidRPr="005970E9">
              <w:t>:</w:t>
            </w:r>
          </w:p>
          <w:p w14:paraId="555DD389" w14:textId="77777777" w:rsidR="0048748B" w:rsidRPr="005970E9" w:rsidRDefault="0048748B" w:rsidP="00896252">
            <w:r w:rsidRPr="005970E9">
              <w:t>Las mujeres deciden: el empoderamiento político en el ejercicio de derechos con liderazgo y participación paritaria.</w:t>
            </w:r>
          </w:p>
        </w:tc>
        <w:tc>
          <w:tcPr>
            <w:tcW w:w="5185" w:type="dxa"/>
            <w:tcBorders>
              <w:top w:val="single" w:sz="4" w:space="0" w:color="auto"/>
              <w:left w:val="single" w:sz="4" w:space="0" w:color="auto"/>
              <w:bottom w:val="single" w:sz="4" w:space="0" w:color="auto"/>
              <w:right w:val="single" w:sz="4" w:space="0" w:color="auto"/>
            </w:tcBorders>
            <w:hideMark/>
          </w:tcPr>
          <w:p w14:paraId="0B890FCE" w14:textId="77777777" w:rsidR="0048748B" w:rsidRPr="005970E9" w:rsidRDefault="0048748B" w:rsidP="00896252">
            <w:r w:rsidRPr="005970E9">
              <w:rPr>
                <w:b/>
                <w:bCs/>
              </w:rPr>
              <w:t>Objetivo</w:t>
            </w:r>
            <w:r w:rsidRPr="005970E9">
              <w:t xml:space="preserve">: </w:t>
            </w:r>
          </w:p>
          <w:p w14:paraId="24300DEE" w14:textId="77777777" w:rsidR="0048748B" w:rsidRPr="005970E9" w:rsidRDefault="0048748B" w:rsidP="00896252">
            <w:r w:rsidRPr="005970E9">
              <w:t>La legislación crea marcos para el cumplimiento de los derechos políticos de las mujeres a la paridad impul</w:t>
            </w:r>
            <w:r w:rsidRPr="005970E9">
              <w:softHyphen/>
              <w:t>sados por lideresas de organizaciones de sociedad civil empoderadas y con capacidades de incidencia creadas.</w:t>
            </w:r>
          </w:p>
        </w:tc>
      </w:tr>
      <w:tr w:rsidR="0048748B" w:rsidRPr="005970E9" w14:paraId="49EC9472"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43C65A1D" w14:textId="77777777" w:rsidR="0048748B" w:rsidRPr="005970E9" w:rsidRDefault="0048748B" w:rsidP="00896252">
            <w:r w:rsidRPr="005970E9">
              <w:t>Relación con los ODS 5</w:t>
            </w:r>
          </w:p>
        </w:tc>
        <w:tc>
          <w:tcPr>
            <w:tcW w:w="5185" w:type="dxa"/>
            <w:tcBorders>
              <w:top w:val="single" w:sz="4" w:space="0" w:color="auto"/>
              <w:left w:val="single" w:sz="4" w:space="0" w:color="auto"/>
              <w:bottom w:val="single" w:sz="4" w:space="0" w:color="auto"/>
              <w:right w:val="single" w:sz="4" w:space="0" w:color="auto"/>
            </w:tcBorders>
            <w:hideMark/>
          </w:tcPr>
          <w:p w14:paraId="2B7BDD7B" w14:textId="77777777" w:rsidR="0048748B" w:rsidRPr="005970E9" w:rsidRDefault="0048748B" w:rsidP="00896252">
            <w:pPr>
              <w:rPr>
                <w:rFonts w:eastAsia="SofiaProRegular" w:cs="SofiaProRegular"/>
              </w:rPr>
            </w:pPr>
            <w:r w:rsidRPr="005970E9">
              <w:rPr>
                <w:rFonts w:eastAsia="SofiaProRegular" w:cs="SofiaProRegular"/>
              </w:rPr>
              <w:t>Lograr la igualdad de género y empoderar a todas las mujeres y las niñas</w:t>
            </w:r>
          </w:p>
        </w:tc>
      </w:tr>
      <w:tr w:rsidR="0048748B" w:rsidRPr="005970E9" w14:paraId="538EFB20"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1407AE50" w14:textId="77777777" w:rsidR="0048748B" w:rsidRPr="005970E9" w:rsidRDefault="0048748B" w:rsidP="00896252">
            <w:r w:rsidRPr="005970E9">
              <w:t>Relación con los ODS 16</w:t>
            </w:r>
          </w:p>
        </w:tc>
        <w:tc>
          <w:tcPr>
            <w:tcW w:w="5185" w:type="dxa"/>
            <w:tcBorders>
              <w:top w:val="single" w:sz="4" w:space="0" w:color="auto"/>
              <w:left w:val="single" w:sz="4" w:space="0" w:color="auto"/>
              <w:bottom w:val="single" w:sz="4" w:space="0" w:color="auto"/>
              <w:right w:val="single" w:sz="4" w:space="0" w:color="auto"/>
            </w:tcBorders>
            <w:hideMark/>
          </w:tcPr>
          <w:p w14:paraId="05B6DED3" w14:textId="77777777" w:rsidR="0048748B" w:rsidRPr="005970E9" w:rsidRDefault="0048748B" w:rsidP="00896252">
            <w:r w:rsidRPr="005970E9">
              <w:rPr>
                <w:rFonts w:eastAsia="SofiaProRegular" w:cs="SofiaProRegular"/>
              </w:rPr>
              <w:t>Promover sociedades pacificas e inclusivas para el desarrollo sostenible, facilitar el acceso a la justicia para todos y construir a todos los niveles instituciones eficaces e inclusivas que rindan cuentas</w:t>
            </w:r>
          </w:p>
        </w:tc>
      </w:tr>
      <w:tr w:rsidR="0048748B" w:rsidRPr="005970E9" w14:paraId="3CF1645B"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2F44D67D" w14:textId="77777777" w:rsidR="0048748B" w:rsidRPr="005970E9" w:rsidRDefault="0048748B" w:rsidP="00896252">
            <w:pPr>
              <w:rPr>
                <w:b/>
                <w:bCs/>
              </w:rPr>
            </w:pPr>
            <w:r w:rsidRPr="005970E9">
              <w:rPr>
                <w:b/>
                <w:bCs/>
              </w:rPr>
              <w:t>Efectos</w:t>
            </w:r>
          </w:p>
        </w:tc>
        <w:tc>
          <w:tcPr>
            <w:tcW w:w="5185" w:type="dxa"/>
            <w:tcBorders>
              <w:top w:val="single" w:sz="4" w:space="0" w:color="auto"/>
              <w:left w:val="single" w:sz="4" w:space="0" w:color="auto"/>
              <w:bottom w:val="single" w:sz="4" w:space="0" w:color="auto"/>
              <w:right w:val="single" w:sz="4" w:space="0" w:color="auto"/>
            </w:tcBorders>
            <w:vAlign w:val="center"/>
            <w:hideMark/>
          </w:tcPr>
          <w:p w14:paraId="7EE54768" w14:textId="77777777" w:rsidR="0048748B" w:rsidRPr="005970E9" w:rsidRDefault="0048748B" w:rsidP="00896252">
            <w:pPr>
              <w:rPr>
                <w:b/>
                <w:bCs/>
              </w:rPr>
            </w:pPr>
            <w:r w:rsidRPr="005970E9">
              <w:rPr>
                <w:b/>
                <w:bCs/>
              </w:rPr>
              <w:t>Acciones prioritarias</w:t>
            </w:r>
          </w:p>
        </w:tc>
      </w:tr>
      <w:tr w:rsidR="0048748B" w:rsidRPr="005970E9" w14:paraId="2D4D9118" w14:textId="77777777" w:rsidTr="00896252">
        <w:tc>
          <w:tcPr>
            <w:tcW w:w="3539" w:type="dxa"/>
            <w:vMerge w:val="restart"/>
            <w:tcBorders>
              <w:top w:val="single" w:sz="4" w:space="0" w:color="auto"/>
              <w:left w:val="single" w:sz="4" w:space="0" w:color="auto"/>
              <w:bottom w:val="single" w:sz="4" w:space="0" w:color="auto"/>
              <w:right w:val="single" w:sz="4" w:space="0" w:color="auto"/>
            </w:tcBorders>
            <w:hideMark/>
          </w:tcPr>
          <w:p w14:paraId="13A3CF67" w14:textId="77777777" w:rsidR="0048748B" w:rsidRPr="005970E9" w:rsidRDefault="0048748B" w:rsidP="00896252">
            <w:r w:rsidRPr="005970E9">
              <w:t xml:space="preserve">Efecto 1:  </w:t>
            </w:r>
          </w:p>
          <w:p w14:paraId="0E585BD1" w14:textId="77777777" w:rsidR="0048748B" w:rsidRPr="005970E9" w:rsidRDefault="0048748B" w:rsidP="00896252">
            <w:r w:rsidRPr="005970E9">
              <w:rPr>
                <w:rFonts w:eastAsia="SofiaProRegular" w:cs="SofiaProRegular"/>
              </w:rPr>
              <w:t>Liderazgo de las mujeres aumenta e influye en todos los órganos del Estado, en las organizaciones de la sociedad e impulsa la paridad.</w:t>
            </w:r>
          </w:p>
        </w:tc>
        <w:tc>
          <w:tcPr>
            <w:tcW w:w="5185" w:type="dxa"/>
            <w:tcBorders>
              <w:top w:val="single" w:sz="4" w:space="0" w:color="auto"/>
              <w:left w:val="single" w:sz="4" w:space="0" w:color="auto"/>
              <w:bottom w:val="single" w:sz="4" w:space="0" w:color="auto"/>
              <w:right w:val="single" w:sz="4" w:space="0" w:color="auto"/>
            </w:tcBorders>
            <w:hideMark/>
          </w:tcPr>
          <w:p w14:paraId="6EC719A5" w14:textId="77777777" w:rsidR="0048748B" w:rsidRPr="005970E9" w:rsidRDefault="0048748B" w:rsidP="00896252">
            <w:r w:rsidRPr="005970E9">
              <w:t xml:space="preserve">Efecto 1.1. </w:t>
            </w:r>
          </w:p>
          <w:p w14:paraId="672FBC09" w14:textId="77777777" w:rsidR="0048748B" w:rsidRPr="005970E9" w:rsidRDefault="0048748B" w:rsidP="00896252">
            <w:r w:rsidRPr="005970E9">
              <w:t xml:space="preserve">Marcos en la legislación electoral desarrollan la política de paridad. </w:t>
            </w:r>
          </w:p>
        </w:tc>
      </w:tr>
      <w:tr w:rsidR="0048748B" w:rsidRPr="005970E9" w14:paraId="1307411F" w14:textId="77777777" w:rsidTr="00896252">
        <w:tc>
          <w:tcPr>
            <w:tcW w:w="0" w:type="auto"/>
            <w:vMerge/>
            <w:tcBorders>
              <w:top w:val="single" w:sz="4" w:space="0" w:color="auto"/>
              <w:left w:val="single" w:sz="4" w:space="0" w:color="auto"/>
              <w:bottom w:val="single" w:sz="4" w:space="0" w:color="auto"/>
              <w:right w:val="single" w:sz="4" w:space="0" w:color="auto"/>
            </w:tcBorders>
            <w:vAlign w:val="center"/>
            <w:hideMark/>
          </w:tcPr>
          <w:p w14:paraId="13C407CF" w14:textId="77777777" w:rsidR="0048748B" w:rsidRPr="005970E9" w:rsidRDefault="0048748B" w:rsidP="00896252"/>
        </w:tc>
        <w:tc>
          <w:tcPr>
            <w:tcW w:w="5185" w:type="dxa"/>
            <w:tcBorders>
              <w:top w:val="single" w:sz="4" w:space="0" w:color="auto"/>
              <w:left w:val="single" w:sz="4" w:space="0" w:color="auto"/>
              <w:bottom w:val="single" w:sz="4" w:space="0" w:color="auto"/>
              <w:right w:val="single" w:sz="4" w:space="0" w:color="auto"/>
            </w:tcBorders>
            <w:hideMark/>
          </w:tcPr>
          <w:p w14:paraId="626C4B9E" w14:textId="77777777" w:rsidR="0048748B" w:rsidRPr="005970E9" w:rsidRDefault="0048748B" w:rsidP="00896252">
            <w:r w:rsidRPr="005970E9">
              <w:t xml:space="preserve">Efecto 1.2. </w:t>
            </w:r>
          </w:p>
          <w:p w14:paraId="6F9DC7CF" w14:textId="77777777" w:rsidR="0048748B" w:rsidRPr="005970E9" w:rsidRDefault="0048748B" w:rsidP="00896252">
            <w:r w:rsidRPr="005970E9">
              <w:t>Los derechos políticos de las mujeres se amplían en el conjunto de la institucionalidad y en las organizaciones de mujeres en niveles de toma de decisión.</w:t>
            </w:r>
          </w:p>
        </w:tc>
      </w:tr>
      <w:tr w:rsidR="0048748B" w:rsidRPr="005970E9" w14:paraId="3E2714B7" w14:textId="77777777" w:rsidTr="00896252">
        <w:tc>
          <w:tcPr>
            <w:tcW w:w="0" w:type="auto"/>
            <w:vMerge/>
            <w:tcBorders>
              <w:top w:val="single" w:sz="4" w:space="0" w:color="auto"/>
              <w:left w:val="single" w:sz="4" w:space="0" w:color="auto"/>
              <w:bottom w:val="single" w:sz="4" w:space="0" w:color="auto"/>
              <w:right w:val="single" w:sz="4" w:space="0" w:color="auto"/>
            </w:tcBorders>
            <w:vAlign w:val="center"/>
            <w:hideMark/>
          </w:tcPr>
          <w:p w14:paraId="1859EB8D" w14:textId="77777777" w:rsidR="0048748B" w:rsidRPr="005970E9" w:rsidRDefault="0048748B" w:rsidP="00896252"/>
        </w:tc>
        <w:tc>
          <w:tcPr>
            <w:tcW w:w="5185" w:type="dxa"/>
            <w:tcBorders>
              <w:top w:val="single" w:sz="4" w:space="0" w:color="auto"/>
              <w:left w:val="single" w:sz="4" w:space="0" w:color="auto"/>
              <w:bottom w:val="single" w:sz="4" w:space="0" w:color="auto"/>
              <w:right w:val="single" w:sz="4" w:space="0" w:color="auto"/>
            </w:tcBorders>
            <w:hideMark/>
          </w:tcPr>
          <w:p w14:paraId="4CAE36EB" w14:textId="77777777" w:rsidR="0048748B" w:rsidRPr="005970E9" w:rsidRDefault="0048748B" w:rsidP="00896252">
            <w:r w:rsidRPr="005970E9">
              <w:t xml:space="preserve">Efecto 1.3. </w:t>
            </w:r>
          </w:p>
          <w:p w14:paraId="527DC623" w14:textId="77777777" w:rsidR="0048748B" w:rsidRPr="005970E9" w:rsidRDefault="0048748B" w:rsidP="00896252">
            <w:r w:rsidRPr="005970E9">
              <w:t>Organizaciones de mujeres al interior de los partidos políticos desarrollan fortalezas y crean capacidades para el ejercicio de sus derechos en esas estructuras.</w:t>
            </w:r>
          </w:p>
        </w:tc>
      </w:tr>
      <w:tr w:rsidR="0048748B" w:rsidRPr="005970E9" w14:paraId="5F588B1C" w14:textId="77777777" w:rsidTr="00896252">
        <w:tc>
          <w:tcPr>
            <w:tcW w:w="0" w:type="auto"/>
            <w:vMerge/>
            <w:tcBorders>
              <w:top w:val="single" w:sz="4" w:space="0" w:color="auto"/>
              <w:left w:val="single" w:sz="4" w:space="0" w:color="auto"/>
              <w:bottom w:val="single" w:sz="4" w:space="0" w:color="auto"/>
              <w:right w:val="single" w:sz="4" w:space="0" w:color="auto"/>
            </w:tcBorders>
            <w:vAlign w:val="center"/>
            <w:hideMark/>
          </w:tcPr>
          <w:p w14:paraId="7C528ED0" w14:textId="77777777" w:rsidR="0048748B" w:rsidRPr="005970E9" w:rsidRDefault="0048748B" w:rsidP="00896252"/>
        </w:tc>
        <w:tc>
          <w:tcPr>
            <w:tcW w:w="5185" w:type="dxa"/>
            <w:tcBorders>
              <w:top w:val="single" w:sz="4" w:space="0" w:color="auto"/>
              <w:left w:val="single" w:sz="4" w:space="0" w:color="auto"/>
              <w:bottom w:val="single" w:sz="4" w:space="0" w:color="auto"/>
              <w:right w:val="single" w:sz="4" w:space="0" w:color="auto"/>
            </w:tcBorders>
            <w:hideMark/>
          </w:tcPr>
          <w:p w14:paraId="063DB5B5" w14:textId="77777777" w:rsidR="0048748B" w:rsidRPr="005970E9" w:rsidRDefault="0048748B" w:rsidP="00896252">
            <w:r w:rsidRPr="005970E9">
              <w:t>Efecto 1.4</w:t>
            </w:r>
          </w:p>
          <w:p w14:paraId="087082DA" w14:textId="77777777" w:rsidR="0048748B" w:rsidRPr="005970E9" w:rsidRDefault="0048748B" w:rsidP="00896252">
            <w:r w:rsidRPr="005970E9">
              <w:t>Fortalecidas las organizaciones de mujeres en las comarcas indígenas y sus capacidades políticas en razón del ejercicio de sus derechos ciudadanos.</w:t>
            </w:r>
          </w:p>
        </w:tc>
      </w:tr>
      <w:tr w:rsidR="0048748B" w:rsidRPr="005970E9" w14:paraId="78DDE154" w14:textId="77777777" w:rsidTr="00896252">
        <w:tc>
          <w:tcPr>
            <w:tcW w:w="0" w:type="auto"/>
            <w:vMerge/>
            <w:tcBorders>
              <w:top w:val="single" w:sz="4" w:space="0" w:color="auto"/>
              <w:left w:val="single" w:sz="4" w:space="0" w:color="auto"/>
              <w:bottom w:val="single" w:sz="4" w:space="0" w:color="auto"/>
              <w:right w:val="single" w:sz="4" w:space="0" w:color="auto"/>
            </w:tcBorders>
            <w:vAlign w:val="center"/>
            <w:hideMark/>
          </w:tcPr>
          <w:p w14:paraId="62DD8790" w14:textId="77777777" w:rsidR="0048748B" w:rsidRPr="005970E9" w:rsidRDefault="0048748B" w:rsidP="00896252"/>
        </w:tc>
        <w:tc>
          <w:tcPr>
            <w:tcW w:w="5185" w:type="dxa"/>
            <w:tcBorders>
              <w:top w:val="single" w:sz="4" w:space="0" w:color="auto"/>
              <w:left w:val="single" w:sz="4" w:space="0" w:color="auto"/>
              <w:bottom w:val="single" w:sz="4" w:space="0" w:color="auto"/>
              <w:right w:val="single" w:sz="4" w:space="0" w:color="auto"/>
            </w:tcBorders>
            <w:hideMark/>
          </w:tcPr>
          <w:p w14:paraId="67A689B5" w14:textId="77777777" w:rsidR="0048748B" w:rsidRPr="005970E9" w:rsidRDefault="0048748B" w:rsidP="00896252">
            <w:r w:rsidRPr="005970E9">
              <w:t>Efectos 1.5</w:t>
            </w:r>
          </w:p>
          <w:p w14:paraId="7AFDE241" w14:textId="04FC3FF6" w:rsidR="0048748B" w:rsidRPr="005970E9" w:rsidRDefault="0048748B" w:rsidP="00896252">
            <w:r w:rsidRPr="005970E9">
              <w:t>Lideresas de distintos organismos</w:t>
            </w:r>
            <w:r w:rsidR="003768E8">
              <w:t xml:space="preserve">, incluyendo a afrodescendientes e indígenas </w:t>
            </w:r>
            <w:r w:rsidRPr="005970E9">
              <w:t xml:space="preserve"> y entidades públicas y de la sociedad civil crean alianzas por la paridad política y el empoderamiento de las mujeres.</w:t>
            </w:r>
          </w:p>
        </w:tc>
      </w:tr>
    </w:tbl>
    <w:p w14:paraId="731A4E52" w14:textId="77777777" w:rsidR="0048748B" w:rsidRPr="005970E9" w:rsidRDefault="0048748B" w:rsidP="0048748B">
      <w:pPr>
        <w:rPr>
          <w:rFonts w:eastAsiaTheme="minorHAnsi"/>
          <w:lang w:eastAsia="en-US"/>
        </w:rPr>
      </w:pPr>
    </w:p>
    <w:p w14:paraId="533B94E7" w14:textId="77777777" w:rsidR="0048748B" w:rsidRPr="005970E9" w:rsidRDefault="0048748B" w:rsidP="0048748B">
      <w:pPr>
        <w:spacing w:before="120" w:after="120"/>
        <w:rPr>
          <w:rFonts w:cstheme="minorBidi"/>
          <w:b/>
          <w:bCs/>
        </w:rPr>
      </w:pPr>
      <w:r w:rsidRPr="005970E9">
        <w:rPr>
          <w:b/>
          <w:bCs/>
        </w:rPr>
        <w:t>DIMENSIÓN ECONÓMICA</w:t>
      </w:r>
    </w:p>
    <w:tbl>
      <w:tblPr>
        <w:tblW w:w="0" w:type="auto"/>
        <w:tblLook w:val="04A0" w:firstRow="1" w:lastRow="0" w:firstColumn="1" w:lastColumn="0" w:noHBand="0" w:noVBand="1"/>
      </w:tblPr>
      <w:tblGrid>
        <w:gridCol w:w="3539"/>
        <w:gridCol w:w="5185"/>
      </w:tblGrid>
      <w:tr w:rsidR="0048748B" w:rsidRPr="005970E9" w14:paraId="1D33C45F"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2FCC3829" w14:textId="77777777" w:rsidR="0048748B" w:rsidRPr="005970E9" w:rsidRDefault="0048748B" w:rsidP="00896252">
            <w:r w:rsidRPr="005970E9">
              <w:t>Línea de acción:</w:t>
            </w:r>
          </w:p>
          <w:p w14:paraId="4893595B" w14:textId="77777777" w:rsidR="0048748B" w:rsidRPr="005970E9" w:rsidRDefault="0048748B" w:rsidP="00896252">
            <w:r w:rsidRPr="005970E9">
              <w:rPr>
                <w:rFonts w:cstheme="minorHAnsi"/>
              </w:rPr>
              <w:t>Empoderamiento económico y desarrollo humano sostenible</w:t>
            </w:r>
          </w:p>
        </w:tc>
        <w:tc>
          <w:tcPr>
            <w:tcW w:w="5185" w:type="dxa"/>
            <w:tcBorders>
              <w:top w:val="single" w:sz="4" w:space="0" w:color="auto"/>
              <w:left w:val="single" w:sz="4" w:space="0" w:color="auto"/>
              <w:bottom w:val="single" w:sz="4" w:space="0" w:color="auto"/>
              <w:right w:val="single" w:sz="4" w:space="0" w:color="auto"/>
            </w:tcBorders>
            <w:hideMark/>
          </w:tcPr>
          <w:p w14:paraId="57D7D771" w14:textId="77777777" w:rsidR="0048748B" w:rsidRPr="005970E9" w:rsidRDefault="0048748B" w:rsidP="00896252">
            <w:pPr>
              <w:rPr>
                <w:rFonts w:eastAsia="Times New Roman" w:cs="Arial"/>
                <w:color w:val="222222"/>
              </w:rPr>
            </w:pPr>
            <w:r w:rsidRPr="005970E9">
              <w:t xml:space="preserve">Objetivo: </w:t>
            </w:r>
            <w:bookmarkStart w:id="383" w:name="_Hlk42108218"/>
            <w:r w:rsidRPr="005970E9">
              <w:t xml:space="preserve">Mujeres empoderadas se insertan en empleos decentes, generan ingresos propios, lidian con la pobreza mediante emprendimientos exitosos que promueven </w:t>
            </w:r>
            <w:r w:rsidRPr="005970E9">
              <w:rPr>
                <w:rFonts w:eastAsia="Times New Roman" w:cs="Arial"/>
                <w:color w:val="222222"/>
              </w:rPr>
              <w:t xml:space="preserve">el uso eficiente de los recursos naturales, la reducción de los factores de contaminación, la restauración y recuperación de los ecosistemas y evitan la degradación ambiental, todo ello fundamentado en una legislación nacional y programas que mejoran la salud de la población.  </w:t>
            </w:r>
          </w:p>
          <w:bookmarkEnd w:id="383"/>
          <w:p w14:paraId="0E70ECA9" w14:textId="77777777" w:rsidR="0048748B" w:rsidRPr="005970E9" w:rsidRDefault="0048748B" w:rsidP="00896252"/>
        </w:tc>
      </w:tr>
      <w:tr w:rsidR="0048748B" w:rsidRPr="005970E9" w14:paraId="2C318603"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66013418" w14:textId="77777777" w:rsidR="0048748B" w:rsidRPr="005970E9" w:rsidRDefault="0048748B" w:rsidP="00896252">
            <w:r w:rsidRPr="005970E9">
              <w:t>Relación con los ODS 1</w:t>
            </w:r>
          </w:p>
        </w:tc>
        <w:tc>
          <w:tcPr>
            <w:tcW w:w="5185" w:type="dxa"/>
            <w:tcBorders>
              <w:top w:val="single" w:sz="4" w:space="0" w:color="auto"/>
              <w:left w:val="single" w:sz="4" w:space="0" w:color="auto"/>
              <w:bottom w:val="single" w:sz="4" w:space="0" w:color="auto"/>
              <w:right w:val="single" w:sz="4" w:space="0" w:color="auto"/>
            </w:tcBorders>
            <w:hideMark/>
          </w:tcPr>
          <w:p w14:paraId="573876C7" w14:textId="77777777" w:rsidR="0048748B" w:rsidRPr="005970E9" w:rsidRDefault="0048748B" w:rsidP="00896252">
            <w:r w:rsidRPr="005970E9">
              <w:rPr>
                <w:rFonts w:eastAsia="SofiaProRegular" w:cs="SofiaProRegular"/>
              </w:rPr>
              <w:t>Poner fin a la pobreza en todas sus formas y en todo el mundo.</w:t>
            </w:r>
          </w:p>
        </w:tc>
      </w:tr>
      <w:tr w:rsidR="0048748B" w:rsidRPr="005970E9" w14:paraId="23B0431E"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02EEF324" w14:textId="77777777" w:rsidR="0048748B" w:rsidRPr="005970E9" w:rsidRDefault="0048748B" w:rsidP="00896252">
            <w:r w:rsidRPr="005970E9">
              <w:t>Relación con los ODS 2</w:t>
            </w:r>
          </w:p>
        </w:tc>
        <w:tc>
          <w:tcPr>
            <w:tcW w:w="5185" w:type="dxa"/>
            <w:tcBorders>
              <w:top w:val="single" w:sz="4" w:space="0" w:color="auto"/>
              <w:left w:val="single" w:sz="4" w:space="0" w:color="auto"/>
              <w:bottom w:val="single" w:sz="4" w:space="0" w:color="auto"/>
              <w:right w:val="single" w:sz="4" w:space="0" w:color="auto"/>
            </w:tcBorders>
            <w:hideMark/>
          </w:tcPr>
          <w:p w14:paraId="23F25B96" w14:textId="77777777" w:rsidR="0048748B" w:rsidRPr="005970E9" w:rsidRDefault="0048748B" w:rsidP="00896252">
            <w:pPr>
              <w:rPr>
                <w:rFonts w:eastAsia="SofiaProRegular" w:cs="SofiaProRegular"/>
              </w:rPr>
            </w:pPr>
            <w:r w:rsidRPr="005970E9">
              <w:rPr>
                <w:rFonts w:eastAsia="SofiaProRegular" w:cs="SofiaProRegular"/>
              </w:rPr>
              <w:t>Poner fin al hambre, lograr la seguridad alimentaria y la mejora de la nutrición y promover la agricultura sostenible.</w:t>
            </w:r>
          </w:p>
        </w:tc>
      </w:tr>
      <w:tr w:rsidR="0048748B" w:rsidRPr="005970E9" w14:paraId="658AD981"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3C0B942A" w14:textId="77777777" w:rsidR="0048748B" w:rsidRPr="005970E9" w:rsidRDefault="0048748B" w:rsidP="00896252">
            <w:r w:rsidRPr="005970E9">
              <w:t>Relación con los ODS 5</w:t>
            </w:r>
          </w:p>
        </w:tc>
        <w:tc>
          <w:tcPr>
            <w:tcW w:w="5185" w:type="dxa"/>
            <w:tcBorders>
              <w:top w:val="single" w:sz="4" w:space="0" w:color="auto"/>
              <w:left w:val="single" w:sz="4" w:space="0" w:color="auto"/>
              <w:bottom w:val="single" w:sz="4" w:space="0" w:color="auto"/>
              <w:right w:val="single" w:sz="4" w:space="0" w:color="auto"/>
            </w:tcBorders>
            <w:hideMark/>
          </w:tcPr>
          <w:p w14:paraId="233FE6ED" w14:textId="77777777" w:rsidR="0048748B" w:rsidRPr="005970E9" w:rsidRDefault="0048748B" w:rsidP="00896252">
            <w:pPr>
              <w:rPr>
                <w:rFonts w:eastAsia="SofiaProRegular" w:cs="SofiaProRegular"/>
              </w:rPr>
            </w:pPr>
            <w:r w:rsidRPr="005970E9">
              <w:rPr>
                <w:rFonts w:eastAsia="SofiaProRegular" w:cs="SofiaProRegular"/>
              </w:rPr>
              <w:t>Lograr la igualdad de género y empoderar a todas las mujeres y las niñas</w:t>
            </w:r>
          </w:p>
        </w:tc>
      </w:tr>
      <w:tr w:rsidR="0048748B" w:rsidRPr="005970E9" w14:paraId="031D88DE"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1AC707AD" w14:textId="77777777" w:rsidR="0048748B" w:rsidRPr="005970E9" w:rsidRDefault="0048748B" w:rsidP="00896252">
            <w:r w:rsidRPr="005970E9">
              <w:t>Relación con los ODS 8</w:t>
            </w:r>
          </w:p>
        </w:tc>
        <w:tc>
          <w:tcPr>
            <w:tcW w:w="5185" w:type="dxa"/>
            <w:tcBorders>
              <w:top w:val="single" w:sz="4" w:space="0" w:color="auto"/>
              <w:left w:val="single" w:sz="4" w:space="0" w:color="auto"/>
              <w:bottom w:val="single" w:sz="4" w:space="0" w:color="auto"/>
              <w:right w:val="single" w:sz="4" w:space="0" w:color="auto"/>
            </w:tcBorders>
          </w:tcPr>
          <w:p w14:paraId="607E3B35" w14:textId="77777777" w:rsidR="0048748B" w:rsidRPr="005970E9" w:rsidRDefault="0048748B" w:rsidP="00896252">
            <w:pPr>
              <w:rPr>
                <w:color w:val="000000"/>
                <w:shd w:val="clear" w:color="auto" w:fill="FFFFFF"/>
              </w:rPr>
            </w:pPr>
            <w:r w:rsidRPr="005970E9">
              <w:rPr>
                <w:color w:val="000000"/>
              </w:rPr>
              <w:t>Promover el crecimiento económico sostenido, inclusivo y sostenible, el empleo pleno y productivo y el trabajo decente para todos.</w:t>
            </w:r>
          </w:p>
          <w:p w14:paraId="65B24568" w14:textId="77777777" w:rsidR="0048748B" w:rsidRPr="005970E9" w:rsidRDefault="0048748B" w:rsidP="00896252">
            <w:pPr>
              <w:rPr>
                <w:rFonts w:eastAsia="SofiaProRegular" w:cs="SofiaProRegular"/>
              </w:rPr>
            </w:pPr>
          </w:p>
        </w:tc>
      </w:tr>
      <w:tr w:rsidR="0048748B" w:rsidRPr="005970E9" w14:paraId="54148403" w14:textId="77777777" w:rsidTr="00896252">
        <w:tc>
          <w:tcPr>
            <w:tcW w:w="3539" w:type="dxa"/>
            <w:tcBorders>
              <w:top w:val="single" w:sz="4" w:space="0" w:color="auto"/>
              <w:left w:val="single" w:sz="4" w:space="0" w:color="auto"/>
              <w:bottom w:val="single" w:sz="4" w:space="0" w:color="auto"/>
              <w:right w:val="single" w:sz="4" w:space="0" w:color="auto"/>
            </w:tcBorders>
          </w:tcPr>
          <w:p w14:paraId="1F185736" w14:textId="77777777" w:rsidR="0048748B" w:rsidRPr="005970E9" w:rsidRDefault="0048748B" w:rsidP="00896252">
            <w:r w:rsidRPr="005970E9">
              <w:t>Relación con los ODS 10</w:t>
            </w:r>
          </w:p>
        </w:tc>
        <w:tc>
          <w:tcPr>
            <w:tcW w:w="5185" w:type="dxa"/>
            <w:tcBorders>
              <w:top w:val="single" w:sz="4" w:space="0" w:color="auto"/>
              <w:left w:val="single" w:sz="4" w:space="0" w:color="auto"/>
              <w:bottom w:val="single" w:sz="4" w:space="0" w:color="auto"/>
              <w:right w:val="single" w:sz="4" w:space="0" w:color="auto"/>
            </w:tcBorders>
          </w:tcPr>
          <w:p w14:paraId="03D66CB1" w14:textId="77777777" w:rsidR="0048748B" w:rsidRPr="005970E9" w:rsidRDefault="0048748B" w:rsidP="00896252">
            <w:pPr>
              <w:rPr>
                <w:color w:val="000000"/>
              </w:rPr>
            </w:pPr>
            <w:r w:rsidRPr="005970E9">
              <w:rPr>
                <w:color w:val="000000"/>
                <w:shd w:val="clear" w:color="auto" w:fill="FFFFFF"/>
              </w:rPr>
              <w:t>Reducir la desigualdad en los países y entre ellos</w:t>
            </w:r>
          </w:p>
        </w:tc>
      </w:tr>
      <w:tr w:rsidR="0048748B" w:rsidRPr="005970E9" w14:paraId="503F8703"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32194C65" w14:textId="77777777" w:rsidR="0048748B" w:rsidRPr="005970E9" w:rsidRDefault="0048748B" w:rsidP="00896252">
            <w:pPr>
              <w:rPr>
                <w:b/>
                <w:bCs/>
              </w:rPr>
            </w:pPr>
            <w:r w:rsidRPr="005970E9">
              <w:rPr>
                <w:b/>
                <w:bCs/>
              </w:rPr>
              <w:t>Efectos</w:t>
            </w:r>
          </w:p>
        </w:tc>
        <w:tc>
          <w:tcPr>
            <w:tcW w:w="5185" w:type="dxa"/>
            <w:tcBorders>
              <w:top w:val="single" w:sz="4" w:space="0" w:color="auto"/>
              <w:left w:val="single" w:sz="4" w:space="0" w:color="auto"/>
              <w:bottom w:val="single" w:sz="4" w:space="0" w:color="auto"/>
              <w:right w:val="single" w:sz="4" w:space="0" w:color="auto"/>
            </w:tcBorders>
            <w:vAlign w:val="center"/>
            <w:hideMark/>
          </w:tcPr>
          <w:p w14:paraId="0F948859" w14:textId="77777777" w:rsidR="0048748B" w:rsidRPr="005970E9" w:rsidRDefault="0048748B" w:rsidP="00896252">
            <w:pPr>
              <w:rPr>
                <w:b/>
                <w:bCs/>
              </w:rPr>
            </w:pPr>
            <w:r w:rsidRPr="005970E9">
              <w:rPr>
                <w:b/>
                <w:bCs/>
              </w:rPr>
              <w:t>Acciones prioritarias</w:t>
            </w:r>
          </w:p>
        </w:tc>
      </w:tr>
      <w:tr w:rsidR="0048748B" w:rsidRPr="005970E9" w14:paraId="32F8C12C" w14:textId="77777777" w:rsidTr="00896252">
        <w:tc>
          <w:tcPr>
            <w:tcW w:w="3539" w:type="dxa"/>
            <w:vMerge w:val="restart"/>
            <w:tcBorders>
              <w:top w:val="single" w:sz="4" w:space="0" w:color="auto"/>
              <w:left w:val="single" w:sz="4" w:space="0" w:color="auto"/>
              <w:bottom w:val="single" w:sz="4" w:space="0" w:color="auto"/>
              <w:right w:val="single" w:sz="4" w:space="0" w:color="auto"/>
            </w:tcBorders>
            <w:hideMark/>
          </w:tcPr>
          <w:p w14:paraId="302B5F46" w14:textId="77777777" w:rsidR="0048748B" w:rsidRPr="005970E9" w:rsidRDefault="0048748B" w:rsidP="00896252">
            <w:r w:rsidRPr="005970E9">
              <w:t xml:space="preserve">Efecto 1:  </w:t>
            </w:r>
          </w:p>
          <w:p w14:paraId="0AF2CA76" w14:textId="77777777" w:rsidR="0048748B" w:rsidRPr="005970E9" w:rsidRDefault="0048748B" w:rsidP="00896252">
            <w:r w:rsidRPr="005970E9">
              <w:t>El desarrollo de políticas integrales para erradicar la pobreza y la pobreza extrema con enfoque de género reduce índices de feminidad de la pobreza y mejora las condiciones de vida de niñas y niños menores de 18 años que viven en pobreza multidimensional.</w:t>
            </w:r>
          </w:p>
        </w:tc>
        <w:tc>
          <w:tcPr>
            <w:tcW w:w="5185" w:type="dxa"/>
            <w:tcBorders>
              <w:top w:val="single" w:sz="4" w:space="0" w:color="auto"/>
              <w:left w:val="single" w:sz="4" w:space="0" w:color="auto"/>
              <w:bottom w:val="single" w:sz="4" w:space="0" w:color="auto"/>
              <w:right w:val="single" w:sz="4" w:space="0" w:color="auto"/>
            </w:tcBorders>
            <w:hideMark/>
          </w:tcPr>
          <w:p w14:paraId="1F4DD607" w14:textId="77777777" w:rsidR="0048748B" w:rsidRPr="005970E9" w:rsidRDefault="0048748B" w:rsidP="00896252">
            <w:r w:rsidRPr="005970E9">
              <w:t xml:space="preserve">Efecto 1.1. </w:t>
            </w:r>
          </w:p>
          <w:p w14:paraId="08189720" w14:textId="77777777" w:rsidR="0048748B" w:rsidRPr="005970E9" w:rsidRDefault="0048748B" w:rsidP="00896252">
            <w:r w:rsidRPr="005970E9">
              <w:t>Procesos de desarrollo productivo en la agroindustria, con cadenas de valor sensibles a género, sostenibles, compatible y con la protección del ambiente, incorporan a mujeres en pobreza extrema en el área urbana y rural.</w:t>
            </w:r>
          </w:p>
          <w:p w14:paraId="326A4C2A" w14:textId="77777777" w:rsidR="0048748B" w:rsidRPr="005970E9" w:rsidRDefault="0048748B" w:rsidP="00896252"/>
        </w:tc>
      </w:tr>
      <w:tr w:rsidR="0048748B" w:rsidRPr="005970E9" w14:paraId="615BDA8D" w14:textId="77777777" w:rsidTr="00896252">
        <w:tc>
          <w:tcPr>
            <w:tcW w:w="0" w:type="auto"/>
            <w:vMerge/>
            <w:tcBorders>
              <w:top w:val="single" w:sz="4" w:space="0" w:color="auto"/>
              <w:left w:val="single" w:sz="4" w:space="0" w:color="auto"/>
              <w:bottom w:val="single" w:sz="4" w:space="0" w:color="auto"/>
              <w:right w:val="single" w:sz="4" w:space="0" w:color="auto"/>
            </w:tcBorders>
            <w:vAlign w:val="center"/>
            <w:hideMark/>
          </w:tcPr>
          <w:p w14:paraId="0C178DA1" w14:textId="77777777" w:rsidR="0048748B" w:rsidRPr="005970E9" w:rsidRDefault="0048748B" w:rsidP="00896252"/>
        </w:tc>
        <w:tc>
          <w:tcPr>
            <w:tcW w:w="5185" w:type="dxa"/>
            <w:tcBorders>
              <w:top w:val="single" w:sz="4" w:space="0" w:color="auto"/>
              <w:left w:val="single" w:sz="4" w:space="0" w:color="auto"/>
              <w:bottom w:val="single" w:sz="4" w:space="0" w:color="auto"/>
              <w:right w:val="single" w:sz="4" w:space="0" w:color="auto"/>
            </w:tcBorders>
            <w:hideMark/>
          </w:tcPr>
          <w:p w14:paraId="7EA10864" w14:textId="77777777" w:rsidR="0048748B" w:rsidRPr="005970E9" w:rsidRDefault="0048748B" w:rsidP="00896252">
            <w:r w:rsidRPr="005970E9">
              <w:t xml:space="preserve">Efecto 1.2. </w:t>
            </w:r>
          </w:p>
          <w:p w14:paraId="02CBD94C" w14:textId="0371CDA5" w:rsidR="0048748B" w:rsidRPr="005970E9" w:rsidRDefault="0048748B" w:rsidP="00896252">
            <w:r w:rsidRPr="005970E9">
              <w:t>Políticas de protección social y ambiental hacia las personas en condición de pobreza extrema y pobreza urbana, rural</w:t>
            </w:r>
            <w:r w:rsidR="004F336D">
              <w:t xml:space="preserve">, con énfasis en poblaciones </w:t>
            </w:r>
            <w:r w:rsidRPr="005970E9">
              <w:t>indígena</w:t>
            </w:r>
            <w:r w:rsidR="004F336D">
              <w:t xml:space="preserve">s, afrodescendiente y jóvenes, </w:t>
            </w:r>
            <w:r w:rsidRPr="005970E9">
              <w:t>incluyen perspectiva de género y prácticas para generar ingresos propios de manera sostenible</w:t>
            </w:r>
            <w:r w:rsidR="004F336D">
              <w:t>.</w:t>
            </w:r>
          </w:p>
        </w:tc>
      </w:tr>
      <w:tr w:rsidR="0048748B" w:rsidRPr="005970E9" w14:paraId="658906BF" w14:textId="77777777" w:rsidTr="00896252">
        <w:tc>
          <w:tcPr>
            <w:tcW w:w="0" w:type="auto"/>
            <w:vMerge/>
            <w:tcBorders>
              <w:top w:val="single" w:sz="4" w:space="0" w:color="auto"/>
              <w:left w:val="single" w:sz="4" w:space="0" w:color="auto"/>
              <w:bottom w:val="single" w:sz="4" w:space="0" w:color="auto"/>
              <w:right w:val="single" w:sz="4" w:space="0" w:color="auto"/>
            </w:tcBorders>
            <w:vAlign w:val="center"/>
            <w:hideMark/>
          </w:tcPr>
          <w:p w14:paraId="1BDC37EE" w14:textId="77777777" w:rsidR="0048748B" w:rsidRPr="005970E9" w:rsidRDefault="0048748B" w:rsidP="00896252"/>
        </w:tc>
        <w:tc>
          <w:tcPr>
            <w:tcW w:w="5185" w:type="dxa"/>
            <w:tcBorders>
              <w:top w:val="single" w:sz="4" w:space="0" w:color="auto"/>
              <w:left w:val="single" w:sz="4" w:space="0" w:color="auto"/>
              <w:bottom w:val="single" w:sz="4" w:space="0" w:color="auto"/>
              <w:right w:val="single" w:sz="4" w:space="0" w:color="auto"/>
            </w:tcBorders>
            <w:hideMark/>
          </w:tcPr>
          <w:p w14:paraId="6A5A74BC" w14:textId="77777777" w:rsidR="0048748B" w:rsidRPr="005970E9" w:rsidRDefault="0048748B" w:rsidP="00896252">
            <w:r w:rsidRPr="005970E9">
              <w:t xml:space="preserve">Efecto 1.3. </w:t>
            </w:r>
          </w:p>
          <w:p w14:paraId="2B3D30E2" w14:textId="63DFFC4F" w:rsidR="0048748B" w:rsidRPr="005970E9" w:rsidRDefault="0048748B" w:rsidP="00896252">
            <w:r w:rsidRPr="005970E9">
              <w:t xml:space="preserve">Estudios sobre la situación de los índices de feminidad de la pobreza identifican prácticas idóneas para superar las desigualdades de género en </w:t>
            </w:r>
            <w:r w:rsidR="004F336D">
              <w:t xml:space="preserve">la niñez y la adolescencia como de </w:t>
            </w:r>
            <w:r w:rsidRPr="005970E9">
              <w:t>la familia.</w:t>
            </w:r>
          </w:p>
        </w:tc>
      </w:tr>
      <w:tr w:rsidR="0048748B" w:rsidRPr="005970E9" w14:paraId="24860383" w14:textId="77777777" w:rsidTr="00896252">
        <w:tc>
          <w:tcPr>
            <w:tcW w:w="3539" w:type="dxa"/>
            <w:vMerge w:val="restart"/>
            <w:tcBorders>
              <w:top w:val="single" w:sz="4" w:space="0" w:color="auto"/>
              <w:left w:val="single" w:sz="4" w:space="0" w:color="auto"/>
              <w:bottom w:val="single" w:sz="4" w:space="0" w:color="auto"/>
              <w:right w:val="single" w:sz="4" w:space="0" w:color="auto"/>
            </w:tcBorders>
            <w:hideMark/>
          </w:tcPr>
          <w:p w14:paraId="54D4B383" w14:textId="77777777" w:rsidR="0048748B" w:rsidRPr="005970E9" w:rsidRDefault="0048748B" w:rsidP="00896252">
            <w:r w:rsidRPr="005970E9">
              <w:t xml:space="preserve">Efecto 2: </w:t>
            </w:r>
          </w:p>
          <w:p w14:paraId="7EF79887" w14:textId="77777777" w:rsidR="0048748B" w:rsidRPr="005970E9" w:rsidRDefault="0048748B" w:rsidP="00896252">
            <w:r w:rsidRPr="005970E9">
              <w:lastRenderedPageBreak/>
              <w:t>Centralización en el trabajo de cuidado logra espacios en la igualdad y equidad de género, crea plataformas para servicios a las familias y cambios en la participación de todos sus miembros en el trabajo no remunerado y de cuidado de las personas en el hogar.</w:t>
            </w:r>
          </w:p>
        </w:tc>
        <w:tc>
          <w:tcPr>
            <w:tcW w:w="5185" w:type="dxa"/>
            <w:tcBorders>
              <w:top w:val="single" w:sz="4" w:space="0" w:color="auto"/>
              <w:left w:val="single" w:sz="4" w:space="0" w:color="auto"/>
              <w:bottom w:val="single" w:sz="4" w:space="0" w:color="auto"/>
              <w:right w:val="single" w:sz="4" w:space="0" w:color="auto"/>
            </w:tcBorders>
            <w:hideMark/>
          </w:tcPr>
          <w:p w14:paraId="7BA3817A" w14:textId="77777777" w:rsidR="0048748B" w:rsidRPr="005970E9" w:rsidRDefault="0048748B" w:rsidP="00896252">
            <w:r w:rsidRPr="005970E9">
              <w:lastRenderedPageBreak/>
              <w:t>Efecto 2.1.</w:t>
            </w:r>
          </w:p>
          <w:p w14:paraId="4AAB3110" w14:textId="77777777" w:rsidR="0048748B" w:rsidRPr="005970E9" w:rsidRDefault="0048748B" w:rsidP="00896252">
            <w:r w:rsidRPr="005970E9">
              <w:lastRenderedPageBreak/>
              <w:t>Políticas de descentralización desarrolla normas enfocadas en la distribución de recursos económicos para la igualdad entre mujeres y hombres.</w:t>
            </w:r>
          </w:p>
        </w:tc>
      </w:tr>
      <w:tr w:rsidR="0048748B" w:rsidRPr="005970E9" w14:paraId="48953105" w14:textId="77777777" w:rsidTr="00896252">
        <w:tc>
          <w:tcPr>
            <w:tcW w:w="0" w:type="auto"/>
            <w:vMerge/>
            <w:tcBorders>
              <w:top w:val="single" w:sz="4" w:space="0" w:color="auto"/>
              <w:left w:val="single" w:sz="4" w:space="0" w:color="auto"/>
              <w:bottom w:val="single" w:sz="4" w:space="0" w:color="auto"/>
              <w:right w:val="single" w:sz="4" w:space="0" w:color="auto"/>
            </w:tcBorders>
            <w:vAlign w:val="center"/>
            <w:hideMark/>
          </w:tcPr>
          <w:p w14:paraId="4441841E" w14:textId="77777777" w:rsidR="0048748B" w:rsidRPr="005970E9" w:rsidRDefault="0048748B" w:rsidP="00896252"/>
        </w:tc>
        <w:tc>
          <w:tcPr>
            <w:tcW w:w="5185" w:type="dxa"/>
            <w:tcBorders>
              <w:top w:val="single" w:sz="4" w:space="0" w:color="auto"/>
              <w:left w:val="single" w:sz="4" w:space="0" w:color="auto"/>
              <w:bottom w:val="single" w:sz="4" w:space="0" w:color="auto"/>
              <w:right w:val="single" w:sz="4" w:space="0" w:color="auto"/>
            </w:tcBorders>
            <w:hideMark/>
          </w:tcPr>
          <w:p w14:paraId="20765056" w14:textId="77777777" w:rsidR="0048748B" w:rsidRPr="005970E9" w:rsidRDefault="0048748B" w:rsidP="00896252">
            <w:r w:rsidRPr="005970E9">
              <w:t>Efecto 2.2.</w:t>
            </w:r>
          </w:p>
          <w:p w14:paraId="75F4BA1F" w14:textId="77777777" w:rsidR="0048748B" w:rsidRPr="005970E9" w:rsidRDefault="0048748B" w:rsidP="00896252">
            <w:r w:rsidRPr="005970E9">
              <w:t>Municipios y Juntas Comunales cuentan con plataformas de servicios con empleo remunerado de mujeres para la atención de niñas/os, adultez mayor y con programas de trabajo que promueven la responsabilidad del cuidado de todos los miembros de la familia con planes de seguimiento y evaluación de la política.</w:t>
            </w:r>
          </w:p>
        </w:tc>
      </w:tr>
      <w:tr w:rsidR="0048748B" w:rsidRPr="005970E9" w14:paraId="071B6E53" w14:textId="77777777" w:rsidTr="00896252">
        <w:tc>
          <w:tcPr>
            <w:tcW w:w="0" w:type="auto"/>
            <w:vMerge/>
            <w:tcBorders>
              <w:top w:val="single" w:sz="4" w:space="0" w:color="auto"/>
              <w:left w:val="single" w:sz="4" w:space="0" w:color="auto"/>
              <w:bottom w:val="single" w:sz="4" w:space="0" w:color="auto"/>
              <w:right w:val="single" w:sz="4" w:space="0" w:color="auto"/>
            </w:tcBorders>
            <w:vAlign w:val="center"/>
            <w:hideMark/>
          </w:tcPr>
          <w:p w14:paraId="1E866D1A" w14:textId="77777777" w:rsidR="0048748B" w:rsidRPr="005970E9" w:rsidRDefault="0048748B" w:rsidP="00896252"/>
        </w:tc>
        <w:tc>
          <w:tcPr>
            <w:tcW w:w="5185" w:type="dxa"/>
            <w:tcBorders>
              <w:top w:val="single" w:sz="4" w:space="0" w:color="auto"/>
              <w:left w:val="single" w:sz="4" w:space="0" w:color="auto"/>
              <w:bottom w:val="single" w:sz="4" w:space="0" w:color="auto"/>
              <w:right w:val="single" w:sz="4" w:space="0" w:color="auto"/>
            </w:tcBorders>
            <w:hideMark/>
          </w:tcPr>
          <w:p w14:paraId="26144195" w14:textId="77777777" w:rsidR="0048748B" w:rsidRPr="005970E9" w:rsidRDefault="0048748B" w:rsidP="00896252">
            <w:r w:rsidRPr="005970E9">
              <w:t xml:space="preserve">Efecto 2.3 </w:t>
            </w:r>
          </w:p>
          <w:p w14:paraId="7224C160" w14:textId="77777777" w:rsidR="0048748B" w:rsidRPr="005970E9" w:rsidRDefault="0048748B" w:rsidP="00896252">
            <w:r w:rsidRPr="005970E9">
              <w:t>Las instituciones gubernamentales trabajan con el sello de equidad de género y desarrollan presupuestos públicos con enfoque de género garantizan las políticas de igualdad enfocadas en hacer del cuidado una responsabilidad de todas las personas.</w:t>
            </w:r>
          </w:p>
        </w:tc>
      </w:tr>
      <w:tr w:rsidR="0048748B" w:rsidRPr="005970E9" w14:paraId="4C0DF56E" w14:textId="77777777" w:rsidTr="00896252">
        <w:tc>
          <w:tcPr>
            <w:tcW w:w="3539" w:type="dxa"/>
            <w:vMerge w:val="restart"/>
            <w:tcBorders>
              <w:top w:val="single" w:sz="4" w:space="0" w:color="auto"/>
              <w:left w:val="single" w:sz="4" w:space="0" w:color="auto"/>
              <w:bottom w:val="single" w:sz="4" w:space="0" w:color="auto"/>
              <w:right w:val="single" w:sz="4" w:space="0" w:color="auto"/>
            </w:tcBorders>
            <w:hideMark/>
          </w:tcPr>
          <w:p w14:paraId="42640FBD" w14:textId="77777777" w:rsidR="0048748B" w:rsidRPr="005970E9" w:rsidRDefault="0048748B" w:rsidP="00896252">
            <w:r w:rsidRPr="005970E9">
              <w:t xml:space="preserve">Efecto 3. </w:t>
            </w:r>
          </w:p>
          <w:p w14:paraId="13BC983C" w14:textId="77777777" w:rsidR="0048748B" w:rsidRPr="005970E9" w:rsidRDefault="0048748B" w:rsidP="00896252">
            <w:r w:rsidRPr="005970E9">
              <w:t xml:space="preserve">El empoderamiento económico de las mujeres impacta la paridad de género en el mercado de trabajo, mejores condiciones en el empleo de las mujeres y reduce la brecha salarial de género. </w:t>
            </w:r>
          </w:p>
        </w:tc>
        <w:tc>
          <w:tcPr>
            <w:tcW w:w="5185" w:type="dxa"/>
            <w:tcBorders>
              <w:top w:val="single" w:sz="4" w:space="0" w:color="auto"/>
              <w:left w:val="single" w:sz="4" w:space="0" w:color="auto"/>
              <w:bottom w:val="single" w:sz="4" w:space="0" w:color="auto"/>
              <w:right w:val="single" w:sz="4" w:space="0" w:color="auto"/>
            </w:tcBorders>
            <w:hideMark/>
          </w:tcPr>
          <w:p w14:paraId="4528EFB7" w14:textId="77777777" w:rsidR="0048748B" w:rsidRPr="005970E9" w:rsidRDefault="0048748B" w:rsidP="00896252">
            <w:r w:rsidRPr="005970E9">
              <w:t>Efecto 3.1</w:t>
            </w:r>
          </w:p>
          <w:p w14:paraId="4E8128FB" w14:textId="77777777" w:rsidR="0048748B" w:rsidRPr="005970E9" w:rsidRDefault="0048748B" w:rsidP="00896252">
            <w:r w:rsidRPr="005970E9">
              <w:t xml:space="preserve">Existe registro integral de las condiciones del empleo informal de las mujeres, crean capacidades respecto a las demandas de mercado, innovación tecnológica y proveen apoyos económicos para las etapas de despegue de emprendimientos, con evaluación constante de los rendimientos de los mismos y protección de los esfuerzos económicos de las mujeres. </w:t>
            </w:r>
          </w:p>
        </w:tc>
      </w:tr>
      <w:tr w:rsidR="0048748B" w:rsidRPr="005970E9" w14:paraId="7CB13D5D" w14:textId="77777777" w:rsidTr="00896252">
        <w:tc>
          <w:tcPr>
            <w:tcW w:w="0" w:type="auto"/>
            <w:vMerge/>
            <w:tcBorders>
              <w:top w:val="single" w:sz="4" w:space="0" w:color="auto"/>
              <w:left w:val="single" w:sz="4" w:space="0" w:color="auto"/>
              <w:bottom w:val="single" w:sz="4" w:space="0" w:color="auto"/>
              <w:right w:val="single" w:sz="4" w:space="0" w:color="auto"/>
            </w:tcBorders>
            <w:vAlign w:val="center"/>
            <w:hideMark/>
          </w:tcPr>
          <w:p w14:paraId="4E8D6B68" w14:textId="77777777" w:rsidR="0048748B" w:rsidRPr="005970E9" w:rsidRDefault="0048748B" w:rsidP="00896252"/>
        </w:tc>
        <w:tc>
          <w:tcPr>
            <w:tcW w:w="5185" w:type="dxa"/>
            <w:tcBorders>
              <w:top w:val="single" w:sz="4" w:space="0" w:color="auto"/>
              <w:left w:val="single" w:sz="4" w:space="0" w:color="auto"/>
              <w:bottom w:val="single" w:sz="4" w:space="0" w:color="auto"/>
              <w:right w:val="single" w:sz="4" w:space="0" w:color="auto"/>
            </w:tcBorders>
            <w:hideMark/>
          </w:tcPr>
          <w:p w14:paraId="225E4495" w14:textId="77777777" w:rsidR="0048748B" w:rsidRPr="005970E9" w:rsidRDefault="0048748B" w:rsidP="00896252">
            <w:r w:rsidRPr="005970E9">
              <w:t>Efecto 3.2</w:t>
            </w:r>
          </w:p>
          <w:p w14:paraId="1579CCC4" w14:textId="737FC9A2" w:rsidR="0048748B" w:rsidRPr="005970E9" w:rsidRDefault="0048748B" w:rsidP="00896252">
            <w:r w:rsidRPr="005970E9">
              <w:t>El programa de sello de equidad de género en el sector privado impulsa el trabajo decente, la reactivación de empleos aumenta su participación en jornadas plenas, se reduce la brecha salarial de género y el trabajo de jornadas superiores de 40 horas sin el salario mínimo obtienen mayor vigilancia de la seguridad laboral</w:t>
            </w:r>
            <w:r w:rsidR="00DE1FD2">
              <w:t>, y sus unidades de recursos humanos incluyen personas afrodescendientes, indígenas como de distintas identidades sexuales.</w:t>
            </w:r>
          </w:p>
        </w:tc>
      </w:tr>
      <w:tr w:rsidR="0048748B" w:rsidRPr="005970E9" w14:paraId="233524DC" w14:textId="77777777" w:rsidTr="00896252">
        <w:tc>
          <w:tcPr>
            <w:tcW w:w="0" w:type="auto"/>
            <w:vMerge/>
            <w:tcBorders>
              <w:top w:val="single" w:sz="4" w:space="0" w:color="auto"/>
              <w:left w:val="single" w:sz="4" w:space="0" w:color="auto"/>
              <w:bottom w:val="single" w:sz="4" w:space="0" w:color="auto"/>
              <w:right w:val="single" w:sz="4" w:space="0" w:color="auto"/>
            </w:tcBorders>
            <w:vAlign w:val="center"/>
            <w:hideMark/>
          </w:tcPr>
          <w:p w14:paraId="368C0189" w14:textId="77777777" w:rsidR="0048748B" w:rsidRPr="005970E9" w:rsidRDefault="0048748B" w:rsidP="00896252"/>
        </w:tc>
        <w:tc>
          <w:tcPr>
            <w:tcW w:w="5185" w:type="dxa"/>
            <w:tcBorders>
              <w:top w:val="single" w:sz="4" w:space="0" w:color="auto"/>
              <w:left w:val="single" w:sz="4" w:space="0" w:color="auto"/>
              <w:bottom w:val="single" w:sz="4" w:space="0" w:color="auto"/>
              <w:right w:val="single" w:sz="4" w:space="0" w:color="auto"/>
            </w:tcBorders>
            <w:hideMark/>
          </w:tcPr>
          <w:p w14:paraId="3423BC36" w14:textId="77777777" w:rsidR="0048748B" w:rsidRPr="005970E9" w:rsidRDefault="0048748B" w:rsidP="00896252">
            <w:r w:rsidRPr="005970E9">
              <w:t>Efecto 3.3</w:t>
            </w:r>
          </w:p>
          <w:p w14:paraId="59F83C7B" w14:textId="77777777" w:rsidR="0048748B" w:rsidRPr="005970E9" w:rsidRDefault="0048748B" w:rsidP="00896252">
            <w:r w:rsidRPr="005970E9">
              <w:t>La legislación adopta el Convenio 190 para erradicar el acoso sexual en el mundo del trabajo, reconocidos y auspiciados los esfuerzos de las organizaciones sindicales en la promoción de la igualdad de género en el mundo laboral.</w:t>
            </w:r>
          </w:p>
        </w:tc>
      </w:tr>
      <w:tr w:rsidR="0048748B" w:rsidRPr="005970E9" w14:paraId="42A3608A" w14:textId="77777777" w:rsidTr="00896252">
        <w:tc>
          <w:tcPr>
            <w:tcW w:w="0" w:type="auto"/>
            <w:vMerge/>
            <w:tcBorders>
              <w:top w:val="single" w:sz="4" w:space="0" w:color="auto"/>
              <w:left w:val="single" w:sz="4" w:space="0" w:color="auto"/>
              <w:bottom w:val="single" w:sz="4" w:space="0" w:color="auto"/>
              <w:right w:val="single" w:sz="4" w:space="0" w:color="auto"/>
            </w:tcBorders>
            <w:vAlign w:val="center"/>
            <w:hideMark/>
          </w:tcPr>
          <w:p w14:paraId="48D3CE29" w14:textId="77777777" w:rsidR="0048748B" w:rsidRPr="005970E9" w:rsidRDefault="0048748B" w:rsidP="00896252"/>
        </w:tc>
        <w:tc>
          <w:tcPr>
            <w:tcW w:w="5185" w:type="dxa"/>
            <w:tcBorders>
              <w:top w:val="single" w:sz="4" w:space="0" w:color="auto"/>
              <w:left w:val="single" w:sz="4" w:space="0" w:color="auto"/>
              <w:bottom w:val="single" w:sz="4" w:space="0" w:color="auto"/>
              <w:right w:val="single" w:sz="4" w:space="0" w:color="auto"/>
            </w:tcBorders>
            <w:hideMark/>
          </w:tcPr>
          <w:p w14:paraId="0098C441" w14:textId="77777777" w:rsidR="0048748B" w:rsidRPr="005970E9" w:rsidRDefault="0048748B" w:rsidP="00896252">
            <w:r w:rsidRPr="005970E9">
              <w:t>Efecto 3.4</w:t>
            </w:r>
          </w:p>
          <w:p w14:paraId="7FAD9E6B" w14:textId="77777777" w:rsidR="0048748B" w:rsidRPr="005970E9" w:rsidRDefault="0048748B" w:rsidP="00896252">
            <w:r w:rsidRPr="005970E9">
              <w:lastRenderedPageBreak/>
              <w:t>Más mujeres acceden a las juntas directivas de las empresas privadas y dirigen negocios de distintos niveles organizacionales por el impacto de las políticas de paridad de género.</w:t>
            </w:r>
          </w:p>
        </w:tc>
      </w:tr>
      <w:tr w:rsidR="0048748B" w:rsidRPr="005970E9" w14:paraId="0C0C4FD0" w14:textId="77777777" w:rsidTr="00896252">
        <w:tc>
          <w:tcPr>
            <w:tcW w:w="3539" w:type="dxa"/>
            <w:vMerge w:val="restart"/>
            <w:tcBorders>
              <w:top w:val="single" w:sz="4" w:space="0" w:color="auto"/>
              <w:left w:val="single" w:sz="4" w:space="0" w:color="auto"/>
              <w:bottom w:val="single" w:sz="4" w:space="0" w:color="auto"/>
              <w:right w:val="single" w:sz="4" w:space="0" w:color="auto"/>
            </w:tcBorders>
            <w:hideMark/>
          </w:tcPr>
          <w:p w14:paraId="10BB6248" w14:textId="77777777" w:rsidR="0048748B" w:rsidRPr="005970E9" w:rsidRDefault="0048748B" w:rsidP="00896252">
            <w:r w:rsidRPr="005970E9">
              <w:lastRenderedPageBreak/>
              <w:t>Efecto 4.</w:t>
            </w:r>
          </w:p>
          <w:p w14:paraId="7FB616F4" w14:textId="77777777" w:rsidR="0048748B" w:rsidRPr="005970E9" w:rsidRDefault="0048748B" w:rsidP="00896252">
            <w:r w:rsidRPr="005970E9">
              <w:t>Como resultado de políticas para el mejoramiento nutricional de la población, los niveles de productividad en el sector agropecuario mejora y las mujeres logran acceso a recursos para sus parcelas y acceso a innovación tecnológica.</w:t>
            </w:r>
          </w:p>
        </w:tc>
        <w:tc>
          <w:tcPr>
            <w:tcW w:w="5185" w:type="dxa"/>
            <w:tcBorders>
              <w:top w:val="single" w:sz="4" w:space="0" w:color="auto"/>
              <w:left w:val="single" w:sz="4" w:space="0" w:color="auto"/>
              <w:bottom w:val="single" w:sz="4" w:space="0" w:color="auto"/>
              <w:right w:val="single" w:sz="4" w:space="0" w:color="auto"/>
            </w:tcBorders>
            <w:hideMark/>
          </w:tcPr>
          <w:p w14:paraId="079B94B1" w14:textId="77777777" w:rsidR="0048748B" w:rsidRPr="005970E9" w:rsidRDefault="0048748B" w:rsidP="00896252">
            <w:r w:rsidRPr="005970E9">
              <w:t>Efecto 4.1</w:t>
            </w:r>
          </w:p>
          <w:p w14:paraId="76A3FC20" w14:textId="77777777" w:rsidR="0048748B" w:rsidRPr="005970E9" w:rsidRDefault="0048748B" w:rsidP="00896252">
            <w:r w:rsidRPr="005970E9">
              <w:t>Las mujeres productoras logran que la política estatal les brinde acceso a predios de mayor superficie, a créditos, a asistencia técnica e incorporan tecnologías que mejoran los rendimientos de su producción y la protección del medioambiente.</w:t>
            </w:r>
          </w:p>
        </w:tc>
      </w:tr>
      <w:tr w:rsidR="0048748B" w:rsidRPr="005970E9" w14:paraId="6D044A5E" w14:textId="77777777" w:rsidTr="00896252">
        <w:tc>
          <w:tcPr>
            <w:tcW w:w="0" w:type="auto"/>
            <w:vMerge/>
            <w:tcBorders>
              <w:top w:val="single" w:sz="4" w:space="0" w:color="auto"/>
              <w:left w:val="single" w:sz="4" w:space="0" w:color="auto"/>
              <w:bottom w:val="single" w:sz="4" w:space="0" w:color="auto"/>
              <w:right w:val="single" w:sz="4" w:space="0" w:color="auto"/>
            </w:tcBorders>
            <w:vAlign w:val="center"/>
            <w:hideMark/>
          </w:tcPr>
          <w:p w14:paraId="4F5E9F86" w14:textId="77777777" w:rsidR="0048748B" w:rsidRPr="005970E9" w:rsidRDefault="0048748B" w:rsidP="00896252"/>
        </w:tc>
        <w:tc>
          <w:tcPr>
            <w:tcW w:w="5185" w:type="dxa"/>
            <w:tcBorders>
              <w:top w:val="single" w:sz="4" w:space="0" w:color="auto"/>
              <w:left w:val="single" w:sz="4" w:space="0" w:color="auto"/>
              <w:bottom w:val="single" w:sz="4" w:space="0" w:color="auto"/>
              <w:right w:val="single" w:sz="4" w:space="0" w:color="auto"/>
            </w:tcBorders>
            <w:hideMark/>
          </w:tcPr>
          <w:p w14:paraId="7C1AC406" w14:textId="77777777" w:rsidR="0048748B" w:rsidRPr="005970E9" w:rsidRDefault="0048748B" w:rsidP="00896252">
            <w:r w:rsidRPr="005970E9">
              <w:t>Efecto 4.2</w:t>
            </w:r>
          </w:p>
          <w:p w14:paraId="29DF0D0C" w14:textId="77777777" w:rsidR="0048748B" w:rsidRPr="005970E9" w:rsidRDefault="0048748B" w:rsidP="00896252">
            <w:r w:rsidRPr="005970E9">
              <w:t>Mujeres productoras diversifican la producción de sus predios y son favorecidas con programas de innovación tecnológica aumentando el rendimiento de sus cultivos compatibles con el medioambiente.</w:t>
            </w:r>
          </w:p>
        </w:tc>
      </w:tr>
      <w:tr w:rsidR="0048748B" w:rsidRPr="005970E9" w14:paraId="7869ABE7" w14:textId="77777777" w:rsidTr="00896252">
        <w:tc>
          <w:tcPr>
            <w:tcW w:w="0" w:type="auto"/>
            <w:vMerge/>
            <w:tcBorders>
              <w:top w:val="single" w:sz="4" w:space="0" w:color="auto"/>
              <w:left w:val="single" w:sz="4" w:space="0" w:color="auto"/>
              <w:bottom w:val="single" w:sz="4" w:space="0" w:color="auto"/>
              <w:right w:val="single" w:sz="4" w:space="0" w:color="auto"/>
            </w:tcBorders>
            <w:vAlign w:val="center"/>
            <w:hideMark/>
          </w:tcPr>
          <w:p w14:paraId="58A5DD27" w14:textId="77777777" w:rsidR="0048748B" w:rsidRPr="005970E9" w:rsidRDefault="0048748B" w:rsidP="00896252"/>
        </w:tc>
        <w:tc>
          <w:tcPr>
            <w:tcW w:w="5185" w:type="dxa"/>
            <w:tcBorders>
              <w:top w:val="single" w:sz="4" w:space="0" w:color="auto"/>
              <w:left w:val="single" w:sz="4" w:space="0" w:color="auto"/>
              <w:bottom w:val="single" w:sz="4" w:space="0" w:color="auto"/>
              <w:right w:val="single" w:sz="4" w:space="0" w:color="auto"/>
            </w:tcBorders>
            <w:hideMark/>
          </w:tcPr>
          <w:p w14:paraId="6E21F54F" w14:textId="77777777" w:rsidR="0048748B" w:rsidRPr="005970E9" w:rsidRDefault="0048748B" w:rsidP="00896252">
            <w:r w:rsidRPr="005970E9">
              <w:t>Efecto 4.3</w:t>
            </w:r>
          </w:p>
          <w:p w14:paraId="27CCD73B" w14:textId="77777777" w:rsidR="0048748B" w:rsidRPr="005970E9" w:rsidRDefault="0048748B" w:rsidP="00896252">
            <w:r w:rsidRPr="005970E9">
              <w:t xml:space="preserve">Mujeres en la ciencia y la innovación tecnológica crean equipos especializados promotores del acceso a formación y desarrollo de capacidades tecnológicas en mujeres que se insertan en los sectores de mayor productividad, especialmente los de mayor innovación, incluyendo el sector de energía renovable y agricultura sostenible. </w:t>
            </w:r>
          </w:p>
        </w:tc>
      </w:tr>
    </w:tbl>
    <w:p w14:paraId="08F4A2F9" w14:textId="77777777" w:rsidR="0048748B" w:rsidRPr="005970E9" w:rsidRDefault="0048748B" w:rsidP="0048748B">
      <w:pPr>
        <w:rPr>
          <w:rFonts w:eastAsiaTheme="minorHAnsi"/>
          <w:lang w:eastAsia="en-US"/>
        </w:rPr>
      </w:pPr>
    </w:p>
    <w:p w14:paraId="2C1CED38" w14:textId="77777777" w:rsidR="0048748B" w:rsidRPr="005970E9" w:rsidRDefault="0048748B" w:rsidP="0048748B">
      <w:pPr>
        <w:spacing w:before="120" w:after="120"/>
        <w:rPr>
          <w:rFonts w:cstheme="minorBidi"/>
          <w:b/>
          <w:bCs/>
        </w:rPr>
      </w:pPr>
      <w:r w:rsidRPr="005970E9">
        <w:rPr>
          <w:b/>
          <w:bCs/>
        </w:rPr>
        <w:t>DIMENSIÓN SOCIAL</w:t>
      </w:r>
    </w:p>
    <w:tbl>
      <w:tblPr>
        <w:tblW w:w="8926" w:type="dxa"/>
        <w:tblLook w:val="04A0" w:firstRow="1" w:lastRow="0" w:firstColumn="1" w:lastColumn="0" w:noHBand="0" w:noVBand="1"/>
      </w:tblPr>
      <w:tblGrid>
        <w:gridCol w:w="3539"/>
        <w:gridCol w:w="5387"/>
      </w:tblGrid>
      <w:tr w:rsidR="0048748B" w:rsidRPr="005970E9" w14:paraId="0E46AA13"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6CC5511C" w14:textId="77777777" w:rsidR="0048748B" w:rsidRPr="005970E9" w:rsidRDefault="0048748B" w:rsidP="00896252">
            <w:r w:rsidRPr="005970E9">
              <w:t>Línea de acción:</w:t>
            </w:r>
          </w:p>
          <w:p w14:paraId="68C5A238" w14:textId="77777777" w:rsidR="0048748B" w:rsidRPr="005970E9" w:rsidRDefault="0048748B" w:rsidP="00896252">
            <w:r w:rsidRPr="005970E9">
              <w:t>El cuidado, una estrategia para el bienestar y la sostenibilidad de la vida.</w:t>
            </w:r>
          </w:p>
          <w:p w14:paraId="00ED32B6" w14:textId="77777777" w:rsidR="0048748B" w:rsidRPr="005970E9" w:rsidRDefault="0048748B" w:rsidP="00896252"/>
        </w:tc>
        <w:tc>
          <w:tcPr>
            <w:tcW w:w="5387" w:type="dxa"/>
            <w:tcBorders>
              <w:top w:val="single" w:sz="4" w:space="0" w:color="auto"/>
              <w:left w:val="single" w:sz="4" w:space="0" w:color="auto"/>
              <w:bottom w:val="single" w:sz="4" w:space="0" w:color="auto"/>
              <w:right w:val="single" w:sz="4" w:space="0" w:color="auto"/>
            </w:tcBorders>
            <w:hideMark/>
          </w:tcPr>
          <w:p w14:paraId="26BF26F7" w14:textId="77777777" w:rsidR="0048748B" w:rsidRPr="005970E9" w:rsidRDefault="0048748B" w:rsidP="00896252">
            <w:r w:rsidRPr="005970E9">
              <w:t>Objetivo: Mujeres en todo su ciclo de vida reciben los cuidados que les permiten desarrollar las capacidades de agencia indispensables para su bienestar sin ningún tipo de discriminación sexual, racial ni de clase y disfrutan de condiciones que impiden la violencia en cualquiera de sus formas.</w:t>
            </w:r>
          </w:p>
        </w:tc>
      </w:tr>
      <w:tr w:rsidR="0048748B" w:rsidRPr="005970E9" w14:paraId="7230DFA6"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47F75FCC" w14:textId="77777777" w:rsidR="0048748B" w:rsidRPr="005970E9" w:rsidRDefault="0048748B" w:rsidP="00896252">
            <w:r w:rsidRPr="005970E9">
              <w:t>Relación con los ODS 3</w:t>
            </w:r>
          </w:p>
        </w:tc>
        <w:tc>
          <w:tcPr>
            <w:tcW w:w="5387" w:type="dxa"/>
            <w:tcBorders>
              <w:top w:val="single" w:sz="4" w:space="0" w:color="auto"/>
              <w:left w:val="single" w:sz="4" w:space="0" w:color="auto"/>
              <w:bottom w:val="single" w:sz="4" w:space="0" w:color="auto"/>
              <w:right w:val="single" w:sz="4" w:space="0" w:color="auto"/>
            </w:tcBorders>
            <w:hideMark/>
          </w:tcPr>
          <w:p w14:paraId="782302D7" w14:textId="77777777" w:rsidR="0048748B" w:rsidRPr="005970E9" w:rsidRDefault="0048748B" w:rsidP="00896252">
            <w:pPr>
              <w:rPr>
                <w:color w:val="000000"/>
                <w:shd w:val="clear" w:color="auto" w:fill="FFFFFF"/>
              </w:rPr>
            </w:pPr>
            <w:r w:rsidRPr="005970E9">
              <w:rPr>
                <w:color w:val="000000"/>
                <w:shd w:val="clear" w:color="auto" w:fill="FFFFFF"/>
              </w:rPr>
              <w:t>Garantizar una vida sana y promover el bienestar de todos a todas las edades.</w:t>
            </w:r>
          </w:p>
        </w:tc>
      </w:tr>
      <w:tr w:rsidR="0048748B" w:rsidRPr="005970E9" w14:paraId="60E2604E"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5800D2B9" w14:textId="77777777" w:rsidR="0048748B" w:rsidRPr="005970E9" w:rsidRDefault="0048748B" w:rsidP="00896252">
            <w:r w:rsidRPr="005970E9">
              <w:t>Relación con los ODS 4</w:t>
            </w:r>
          </w:p>
        </w:tc>
        <w:tc>
          <w:tcPr>
            <w:tcW w:w="5387" w:type="dxa"/>
            <w:tcBorders>
              <w:top w:val="single" w:sz="4" w:space="0" w:color="auto"/>
              <w:left w:val="single" w:sz="4" w:space="0" w:color="auto"/>
              <w:bottom w:val="single" w:sz="4" w:space="0" w:color="auto"/>
              <w:right w:val="single" w:sz="4" w:space="0" w:color="auto"/>
            </w:tcBorders>
          </w:tcPr>
          <w:p w14:paraId="32A0E0F2" w14:textId="77777777" w:rsidR="0048748B" w:rsidRPr="005970E9" w:rsidRDefault="0048748B" w:rsidP="00896252">
            <w:pPr>
              <w:rPr>
                <w:color w:val="000000"/>
                <w:shd w:val="clear" w:color="auto" w:fill="FFFFFF"/>
              </w:rPr>
            </w:pPr>
            <w:r w:rsidRPr="005970E9">
              <w:rPr>
                <w:color w:val="000000"/>
                <w:shd w:val="clear" w:color="auto" w:fill="FFFFFF"/>
              </w:rPr>
              <w:t>Garantizar una educación inclusiva y equitativa de calidad y promover oportunidades de aprendizaje permanente para todos</w:t>
            </w:r>
          </w:p>
        </w:tc>
      </w:tr>
      <w:tr w:rsidR="0048748B" w:rsidRPr="005970E9" w14:paraId="4EC458AF"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6795799C" w14:textId="77777777" w:rsidR="0048748B" w:rsidRPr="005970E9" w:rsidRDefault="0048748B" w:rsidP="00896252">
            <w:r w:rsidRPr="005970E9">
              <w:t>Relación con los ODS 5</w:t>
            </w:r>
          </w:p>
        </w:tc>
        <w:tc>
          <w:tcPr>
            <w:tcW w:w="5387" w:type="dxa"/>
            <w:tcBorders>
              <w:top w:val="single" w:sz="4" w:space="0" w:color="auto"/>
              <w:left w:val="single" w:sz="4" w:space="0" w:color="auto"/>
              <w:bottom w:val="single" w:sz="4" w:space="0" w:color="auto"/>
              <w:right w:val="single" w:sz="4" w:space="0" w:color="auto"/>
            </w:tcBorders>
            <w:hideMark/>
          </w:tcPr>
          <w:p w14:paraId="6C673760" w14:textId="77777777" w:rsidR="0048748B" w:rsidRPr="005970E9" w:rsidRDefault="0048748B" w:rsidP="00896252">
            <w:pPr>
              <w:rPr>
                <w:rFonts w:eastAsia="SofiaProRegular" w:cs="SofiaProRegular"/>
              </w:rPr>
            </w:pPr>
            <w:r w:rsidRPr="005970E9">
              <w:rPr>
                <w:rFonts w:eastAsia="SofiaProRegular" w:cs="SofiaProRegular"/>
              </w:rPr>
              <w:t>Lograr la igualdad de género y empoderar a todas las mujeres y las niñas</w:t>
            </w:r>
          </w:p>
        </w:tc>
      </w:tr>
      <w:tr w:rsidR="0048748B" w:rsidRPr="005970E9" w14:paraId="44CE8D48"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5D8B0053" w14:textId="77777777" w:rsidR="0048748B" w:rsidRPr="005970E9" w:rsidRDefault="0048748B" w:rsidP="00896252">
            <w:r w:rsidRPr="005970E9">
              <w:t>Relación con los ODS 11</w:t>
            </w:r>
          </w:p>
        </w:tc>
        <w:tc>
          <w:tcPr>
            <w:tcW w:w="5387" w:type="dxa"/>
            <w:tcBorders>
              <w:top w:val="single" w:sz="4" w:space="0" w:color="auto"/>
              <w:left w:val="single" w:sz="4" w:space="0" w:color="auto"/>
              <w:bottom w:val="single" w:sz="4" w:space="0" w:color="auto"/>
              <w:right w:val="single" w:sz="4" w:space="0" w:color="auto"/>
            </w:tcBorders>
          </w:tcPr>
          <w:p w14:paraId="38984652" w14:textId="77777777" w:rsidR="0048748B" w:rsidRPr="005970E9" w:rsidRDefault="0048748B" w:rsidP="00896252">
            <w:pPr>
              <w:rPr>
                <w:color w:val="000000"/>
                <w:shd w:val="clear" w:color="auto" w:fill="FFFFFF"/>
              </w:rPr>
            </w:pPr>
            <w:r w:rsidRPr="005970E9">
              <w:rPr>
                <w:color w:val="000000"/>
                <w:shd w:val="clear" w:color="auto" w:fill="FFFFFF"/>
              </w:rPr>
              <w:t>Lograr que las ciudades y los asentamientos humanos sean inclusivos, seguros, resilientes y sostenibles.</w:t>
            </w:r>
          </w:p>
        </w:tc>
      </w:tr>
      <w:tr w:rsidR="0048748B" w:rsidRPr="005970E9" w14:paraId="6464AFFB" w14:textId="77777777" w:rsidTr="00896252">
        <w:tc>
          <w:tcPr>
            <w:tcW w:w="3539" w:type="dxa"/>
            <w:tcBorders>
              <w:top w:val="single" w:sz="4" w:space="0" w:color="auto"/>
              <w:left w:val="single" w:sz="4" w:space="0" w:color="auto"/>
              <w:bottom w:val="single" w:sz="4" w:space="0" w:color="auto"/>
              <w:right w:val="single" w:sz="4" w:space="0" w:color="auto"/>
            </w:tcBorders>
            <w:hideMark/>
          </w:tcPr>
          <w:p w14:paraId="430EE6A9" w14:textId="77777777" w:rsidR="0048748B" w:rsidRPr="005970E9" w:rsidRDefault="0048748B" w:rsidP="00896252">
            <w:pPr>
              <w:rPr>
                <w:b/>
                <w:bCs/>
              </w:rPr>
            </w:pPr>
            <w:r w:rsidRPr="005970E9">
              <w:rPr>
                <w:b/>
                <w:bCs/>
              </w:rPr>
              <w:t>Efectos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DB3C3A1" w14:textId="77777777" w:rsidR="0048748B" w:rsidRPr="005970E9" w:rsidRDefault="0048748B" w:rsidP="00896252">
            <w:pPr>
              <w:rPr>
                <w:b/>
                <w:bCs/>
              </w:rPr>
            </w:pPr>
            <w:r w:rsidRPr="005970E9">
              <w:rPr>
                <w:b/>
                <w:bCs/>
              </w:rPr>
              <w:t>Acciones prioritarias</w:t>
            </w:r>
          </w:p>
        </w:tc>
      </w:tr>
      <w:tr w:rsidR="0048748B" w:rsidRPr="005970E9" w14:paraId="2151B4B8" w14:textId="77777777" w:rsidTr="00896252">
        <w:trPr>
          <w:trHeight w:val="1408"/>
        </w:trPr>
        <w:tc>
          <w:tcPr>
            <w:tcW w:w="3539" w:type="dxa"/>
            <w:vMerge w:val="restart"/>
            <w:tcBorders>
              <w:top w:val="single" w:sz="4" w:space="0" w:color="auto"/>
              <w:left w:val="single" w:sz="4" w:space="0" w:color="auto"/>
              <w:right w:val="single" w:sz="4" w:space="0" w:color="auto"/>
            </w:tcBorders>
            <w:hideMark/>
          </w:tcPr>
          <w:p w14:paraId="05C02EBE" w14:textId="77777777" w:rsidR="0048748B" w:rsidRPr="005970E9" w:rsidRDefault="0048748B" w:rsidP="00896252">
            <w:r w:rsidRPr="005970E9">
              <w:lastRenderedPageBreak/>
              <w:t xml:space="preserve">Efecto 1:  </w:t>
            </w:r>
          </w:p>
          <w:p w14:paraId="38CDDA7C" w14:textId="77777777" w:rsidR="0048748B" w:rsidRPr="005970E9" w:rsidRDefault="0048748B" w:rsidP="00896252">
            <w:r w:rsidRPr="005970E9">
              <w:t>Programa intercultural, interseccional e intersectorial para la cobertura universal de salud, la eliminación de la morbi mortalidad materna e infantil, y desarrolle la prevención de embarazos a edades tempranas y reduzca las brechas de servicios y calidad en la atención.</w:t>
            </w:r>
          </w:p>
        </w:tc>
        <w:tc>
          <w:tcPr>
            <w:tcW w:w="5387" w:type="dxa"/>
            <w:tcBorders>
              <w:top w:val="single" w:sz="4" w:space="0" w:color="auto"/>
              <w:left w:val="single" w:sz="4" w:space="0" w:color="auto"/>
              <w:bottom w:val="single" w:sz="4" w:space="0" w:color="auto"/>
              <w:right w:val="single" w:sz="4" w:space="0" w:color="auto"/>
            </w:tcBorders>
            <w:hideMark/>
          </w:tcPr>
          <w:p w14:paraId="4C438802" w14:textId="77777777" w:rsidR="0048748B" w:rsidRPr="005970E9" w:rsidRDefault="0048748B" w:rsidP="00896252">
            <w:r w:rsidRPr="005970E9">
              <w:t xml:space="preserve">Efecto 1.1. </w:t>
            </w:r>
          </w:p>
          <w:p w14:paraId="55C5A112" w14:textId="77777777" w:rsidR="0048748B" w:rsidRPr="005970E9" w:rsidRDefault="0048748B" w:rsidP="00896252">
            <w:r w:rsidRPr="005970E9">
              <w:t xml:space="preserve">Procesos de atención a población donde prevalecen brechas se salud sexual reproductiva en especial, de mortalidad materna e infantil reciben atención integral con enfoque de derechos humanos e interculturalidad. </w:t>
            </w:r>
          </w:p>
          <w:p w14:paraId="19C12268" w14:textId="77777777" w:rsidR="0048748B" w:rsidRPr="005970E9" w:rsidRDefault="0048748B" w:rsidP="00896252"/>
        </w:tc>
      </w:tr>
      <w:tr w:rsidR="0048748B" w:rsidRPr="005970E9" w14:paraId="47C3764F" w14:textId="77777777" w:rsidTr="00896252">
        <w:tc>
          <w:tcPr>
            <w:tcW w:w="3539" w:type="dxa"/>
            <w:vMerge/>
            <w:tcBorders>
              <w:left w:val="single" w:sz="4" w:space="0" w:color="auto"/>
              <w:right w:val="single" w:sz="4" w:space="0" w:color="auto"/>
            </w:tcBorders>
            <w:vAlign w:val="center"/>
            <w:hideMark/>
          </w:tcPr>
          <w:p w14:paraId="568EAE84" w14:textId="77777777" w:rsidR="0048748B" w:rsidRPr="005970E9" w:rsidRDefault="0048748B" w:rsidP="00896252"/>
        </w:tc>
        <w:tc>
          <w:tcPr>
            <w:tcW w:w="5387" w:type="dxa"/>
            <w:tcBorders>
              <w:top w:val="single" w:sz="4" w:space="0" w:color="auto"/>
              <w:left w:val="single" w:sz="4" w:space="0" w:color="auto"/>
              <w:bottom w:val="single" w:sz="4" w:space="0" w:color="auto"/>
              <w:right w:val="single" w:sz="4" w:space="0" w:color="auto"/>
            </w:tcBorders>
            <w:hideMark/>
          </w:tcPr>
          <w:p w14:paraId="3AC9D638" w14:textId="77777777" w:rsidR="0048748B" w:rsidRPr="005970E9" w:rsidRDefault="0048748B" w:rsidP="00896252">
            <w:r w:rsidRPr="005970E9">
              <w:t xml:space="preserve">Efecto 1.2. </w:t>
            </w:r>
          </w:p>
          <w:p w14:paraId="6C2BFB22" w14:textId="77777777" w:rsidR="0048748B" w:rsidRPr="005970E9" w:rsidRDefault="0048748B" w:rsidP="00896252">
            <w:r w:rsidRPr="005970E9">
              <w:t>Estudios sobre las condiciones de salud en la población afrodescendiente.</w:t>
            </w:r>
          </w:p>
          <w:p w14:paraId="6E4E2A8E" w14:textId="77777777" w:rsidR="0048748B" w:rsidRPr="005970E9" w:rsidRDefault="0048748B" w:rsidP="00896252"/>
        </w:tc>
      </w:tr>
      <w:tr w:rsidR="0048748B" w:rsidRPr="005970E9" w14:paraId="3999A6E0" w14:textId="77777777" w:rsidTr="00896252">
        <w:trPr>
          <w:trHeight w:val="1597"/>
        </w:trPr>
        <w:tc>
          <w:tcPr>
            <w:tcW w:w="3539" w:type="dxa"/>
            <w:vMerge/>
            <w:tcBorders>
              <w:left w:val="single" w:sz="4" w:space="0" w:color="auto"/>
              <w:right w:val="single" w:sz="4" w:space="0" w:color="auto"/>
            </w:tcBorders>
            <w:vAlign w:val="center"/>
            <w:hideMark/>
          </w:tcPr>
          <w:p w14:paraId="309E7DC1" w14:textId="77777777" w:rsidR="0048748B" w:rsidRPr="005970E9" w:rsidRDefault="0048748B" w:rsidP="00896252"/>
        </w:tc>
        <w:tc>
          <w:tcPr>
            <w:tcW w:w="5387" w:type="dxa"/>
            <w:tcBorders>
              <w:top w:val="single" w:sz="4" w:space="0" w:color="auto"/>
              <w:left w:val="single" w:sz="4" w:space="0" w:color="auto"/>
              <w:right w:val="single" w:sz="4" w:space="0" w:color="auto"/>
            </w:tcBorders>
            <w:hideMark/>
          </w:tcPr>
          <w:p w14:paraId="4B4B32C6" w14:textId="77777777" w:rsidR="0048748B" w:rsidRPr="005970E9" w:rsidRDefault="0048748B" w:rsidP="00896252">
            <w:r w:rsidRPr="005970E9">
              <w:t xml:space="preserve">Efecto 1.3. </w:t>
            </w:r>
          </w:p>
          <w:p w14:paraId="1EE7B1B8" w14:textId="77777777" w:rsidR="0048748B" w:rsidRPr="005970E9" w:rsidRDefault="0048748B" w:rsidP="00896252">
            <w:r w:rsidRPr="005970E9">
              <w:t>Los embarazos a temprana edad se reducen significativamente y los programas de educación integral en sexualidad obtienen resultados óptimos.</w:t>
            </w:r>
          </w:p>
        </w:tc>
      </w:tr>
      <w:tr w:rsidR="0048748B" w:rsidRPr="005970E9" w14:paraId="3CB7C680" w14:textId="77777777" w:rsidTr="00896252">
        <w:tc>
          <w:tcPr>
            <w:tcW w:w="3539" w:type="dxa"/>
            <w:vMerge w:val="restart"/>
            <w:tcBorders>
              <w:top w:val="single" w:sz="4" w:space="0" w:color="auto"/>
              <w:left w:val="single" w:sz="4" w:space="0" w:color="auto"/>
              <w:right w:val="single" w:sz="4" w:space="0" w:color="auto"/>
            </w:tcBorders>
          </w:tcPr>
          <w:p w14:paraId="56A3C0B5" w14:textId="77777777" w:rsidR="0048748B" w:rsidRPr="005970E9" w:rsidRDefault="0048748B" w:rsidP="00896252">
            <w:r w:rsidRPr="005970E9">
              <w:t>Efecto 2:</w:t>
            </w:r>
          </w:p>
          <w:p w14:paraId="6324B7B8" w14:textId="77777777" w:rsidR="0048748B" w:rsidRPr="005970E9" w:rsidRDefault="0048748B" w:rsidP="00896252">
            <w:r w:rsidRPr="005970E9">
              <w:rPr>
                <w:rFonts w:eastAsia="Century Schoolbook" w:cs="Century Schoolbook"/>
              </w:rPr>
              <w:t>Las instituciones que brindan los servicios esenciales de salud e instituciones de seguridad cuentan con programas que reducen el estigma y la discriminación contra las poblaciones claves, particularmente a las mujeres trabajadoras sexuales y mujeres trans de manera que protejan sus derechos humanos.</w:t>
            </w:r>
          </w:p>
        </w:tc>
        <w:tc>
          <w:tcPr>
            <w:tcW w:w="5387" w:type="dxa"/>
            <w:tcBorders>
              <w:top w:val="single" w:sz="4" w:space="0" w:color="auto"/>
              <w:left w:val="single" w:sz="4" w:space="0" w:color="auto"/>
              <w:bottom w:val="single" w:sz="4" w:space="0" w:color="auto"/>
              <w:right w:val="single" w:sz="4" w:space="0" w:color="auto"/>
            </w:tcBorders>
          </w:tcPr>
          <w:p w14:paraId="12A8F120" w14:textId="77777777" w:rsidR="0048748B" w:rsidRPr="005970E9" w:rsidRDefault="0048748B" w:rsidP="00896252">
            <w:r w:rsidRPr="005970E9">
              <w:t>Efecto 2.1.</w:t>
            </w:r>
          </w:p>
          <w:p w14:paraId="763725F3" w14:textId="08673BE9" w:rsidR="0048748B" w:rsidRPr="005970E9" w:rsidRDefault="0048748B" w:rsidP="00896252">
            <w:pPr>
              <w:spacing w:after="120"/>
              <w:rPr>
                <w:rFonts w:eastAsia="Century Schoolbook" w:cs="Century Schoolbook"/>
              </w:rPr>
            </w:pPr>
            <w:r w:rsidRPr="005970E9">
              <w:rPr>
                <w:rFonts w:eastAsia="Century Schoolbook" w:cs="Century Schoolbook"/>
              </w:rPr>
              <w:t>Las medidas de protección social responden a las necesidades de las mujeres VHI-positivas</w:t>
            </w:r>
            <w:r w:rsidR="00DE1FD2">
              <w:rPr>
                <w:rFonts w:eastAsia="Century Schoolbook" w:cs="Century Schoolbook"/>
              </w:rPr>
              <w:t>,</w:t>
            </w:r>
            <w:r w:rsidRPr="005970E9">
              <w:rPr>
                <w:rFonts w:eastAsia="Century Schoolbook" w:cs="Century Schoolbook"/>
              </w:rPr>
              <w:t xml:space="preserve"> en particular de las mujeres que viven dentro de las comarcas indígenas como la Ngäbe Buglé donde la infección ha aumentado en los últimos años.</w:t>
            </w:r>
          </w:p>
        </w:tc>
      </w:tr>
      <w:tr w:rsidR="0048748B" w:rsidRPr="005970E9" w14:paraId="24037BBE" w14:textId="77777777" w:rsidTr="00896252">
        <w:trPr>
          <w:trHeight w:val="1664"/>
        </w:trPr>
        <w:tc>
          <w:tcPr>
            <w:tcW w:w="3539" w:type="dxa"/>
            <w:vMerge/>
            <w:tcBorders>
              <w:left w:val="single" w:sz="4" w:space="0" w:color="auto"/>
              <w:right w:val="single" w:sz="4" w:space="0" w:color="auto"/>
            </w:tcBorders>
            <w:vAlign w:val="center"/>
          </w:tcPr>
          <w:p w14:paraId="7146F3A4" w14:textId="77777777" w:rsidR="0048748B" w:rsidRPr="005970E9" w:rsidRDefault="0048748B" w:rsidP="00896252"/>
        </w:tc>
        <w:tc>
          <w:tcPr>
            <w:tcW w:w="5387" w:type="dxa"/>
            <w:tcBorders>
              <w:top w:val="single" w:sz="4" w:space="0" w:color="auto"/>
              <w:left w:val="single" w:sz="4" w:space="0" w:color="auto"/>
              <w:right w:val="single" w:sz="4" w:space="0" w:color="auto"/>
            </w:tcBorders>
          </w:tcPr>
          <w:p w14:paraId="49FDBDEF" w14:textId="77777777" w:rsidR="0048748B" w:rsidRPr="005970E9" w:rsidRDefault="0048748B" w:rsidP="00896252">
            <w:r w:rsidRPr="005970E9">
              <w:t>Efecto 2.2.</w:t>
            </w:r>
          </w:p>
          <w:p w14:paraId="266C4E45" w14:textId="77777777" w:rsidR="0048748B" w:rsidRPr="005970E9" w:rsidRDefault="0048748B" w:rsidP="00896252">
            <w:r w:rsidRPr="005970E9">
              <w:rPr>
                <w:rFonts w:eastAsia="Times New Roman" w:cs="Times New Roman"/>
                <w:color w:val="000000"/>
              </w:rPr>
              <w:t>Poblaciones claves cuentan con la cobertura de servicios de salud esenciales en materia de SSR, DS, prevención y atención a enfermedades infecciosas y no transmisibles.</w:t>
            </w:r>
          </w:p>
        </w:tc>
      </w:tr>
      <w:tr w:rsidR="0048748B" w:rsidRPr="005970E9" w14:paraId="41DD48E0" w14:textId="77777777" w:rsidTr="00896252">
        <w:tc>
          <w:tcPr>
            <w:tcW w:w="3539" w:type="dxa"/>
            <w:vMerge w:val="restart"/>
            <w:tcBorders>
              <w:top w:val="single" w:sz="4" w:space="0" w:color="auto"/>
              <w:left w:val="single" w:sz="4" w:space="0" w:color="auto"/>
              <w:right w:val="single" w:sz="4" w:space="0" w:color="auto"/>
            </w:tcBorders>
            <w:hideMark/>
          </w:tcPr>
          <w:p w14:paraId="34AEF739" w14:textId="77777777" w:rsidR="0048748B" w:rsidRPr="005970E9" w:rsidRDefault="0048748B" w:rsidP="00896252">
            <w:r w:rsidRPr="005970E9">
              <w:t xml:space="preserve">Efecto 3: </w:t>
            </w:r>
          </w:p>
          <w:p w14:paraId="374F1F52" w14:textId="77777777" w:rsidR="0048748B" w:rsidRPr="005970E9" w:rsidRDefault="0048748B" w:rsidP="00896252">
            <w:r w:rsidRPr="005970E9">
              <w:t>Plan de acción contra la violencia hacia las mujeres, las niñas/os y adolescentes se ejecuta con el consenso de todos los sectores sociales y cuenta con los recursos para su ejecución.</w:t>
            </w:r>
          </w:p>
        </w:tc>
        <w:tc>
          <w:tcPr>
            <w:tcW w:w="5387" w:type="dxa"/>
            <w:tcBorders>
              <w:top w:val="single" w:sz="4" w:space="0" w:color="auto"/>
              <w:left w:val="single" w:sz="4" w:space="0" w:color="auto"/>
              <w:bottom w:val="single" w:sz="4" w:space="0" w:color="auto"/>
              <w:right w:val="single" w:sz="4" w:space="0" w:color="auto"/>
            </w:tcBorders>
            <w:hideMark/>
          </w:tcPr>
          <w:p w14:paraId="71716FEB" w14:textId="77777777" w:rsidR="0048748B" w:rsidRPr="005970E9" w:rsidRDefault="0048748B" w:rsidP="00896252">
            <w:r w:rsidRPr="005970E9">
              <w:t>Efecto 3.1.</w:t>
            </w:r>
          </w:p>
          <w:p w14:paraId="27DF7020" w14:textId="77777777" w:rsidR="0048748B" w:rsidRPr="005970E9" w:rsidRDefault="0048748B" w:rsidP="00896252">
            <w:pPr>
              <w:jc w:val="both"/>
            </w:pPr>
            <w:r w:rsidRPr="005970E9">
              <w:t xml:space="preserve">La Ley 82 es implementada con apego a la reglamentación surgida del CONVIMU, sustentada en el consenso social surgido del Plan de Acción contra la Violencia con la asignación presupuestaria requerida para su plena y efectiva ejecución. </w:t>
            </w:r>
          </w:p>
        </w:tc>
      </w:tr>
      <w:tr w:rsidR="0048748B" w:rsidRPr="005970E9" w14:paraId="2C3C9FDC" w14:textId="77777777" w:rsidTr="00896252">
        <w:tc>
          <w:tcPr>
            <w:tcW w:w="3539" w:type="dxa"/>
            <w:vMerge/>
            <w:tcBorders>
              <w:left w:val="single" w:sz="4" w:space="0" w:color="auto"/>
              <w:right w:val="single" w:sz="4" w:space="0" w:color="auto"/>
            </w:tcBorders>
            <w:vAlign w:val="center"/>
            <w:hideMark/>
          </w:tcPr>
          <w:p w14:paraId="61419DA1" w14:textId="77777777" w:rsidR="0048748B" w:rsidRPr="005970E9" w:rsidRDefault="0048748B" w:rsidP="00896252"/>
        </w:tc>
        <w:tc>
          <w:tcPr>
            <w:tcW w:w="5387" w:type="dxa"/>
            <w:tcBorders>
              <w:top w:val="single" w:sz="4" w:space="0" w:color="auto"/>
              <w:left w:val="single" w:sz="4" w:space="0" w:color="auto"/>
              <w:bottom w:val="single" w:sz="4" w:space="0" w:color="auto"/>
              <w:right w:val="single" w:sz="4" w:space="0" w:color="auto"/>
            </w:tcBorders>
            <w:hideMark/>
          </w:tcPr>
          <w:p w14:paraId="2D4904AD" w14:textId="77777777" w:rsidR="0048748B" w:rsidRPr="005970E9" w:rsidRDefault="0048748B" w:rsidP="00896252">
            <w:r w:rsidRPr="005970E9">
              <w:t>Efecto 3.2.</w:t>
            </w:r>
          </w:p>
          <w:p w14:paraId="65453CDC" w14:textId="77777777" w:rsidR="0048748B" w:rsidRPr="005970E9" w:rsidRDefault="0048748B" w:rsidP="00896252">
            <w:r w:rsidRPr="005970E9">
              <w:t>Existe una estrategia de recolección, análisis y difusión de las diferentes instituciones con la que facilitan el acceso a información oportuna, actualizada, segregada por sexo, edad, etnia y tipo de violencia contra las mujeres, las niñas/os y la adolescencia.</w:t>
            </w:r>
          </w:p>
        </w:tc>
      </w:tr>
      <w:tr w:rsidR="0048748B" w:rsidRPr="005970E9" w14:paraId="3CC21E3B" w14:textId="77777777" w:rsidTr="00896252">
        <w:tc>
          <w:tcPr>
            <w:tcW w:w="3539" w:type="dxa"/>
            <w:vMerge/>
            <w:tcBorders>
              <w:left w:val="single" w:sz="4" w:space="0" w:color="auto"/>
              <w:right w:val="single" w:sz="4" w:space="0" w:color="auto"/>
            </w:tcBorders>
            <w:vAlign w:val="center"/>
            <w:hideMark/>
          </w:tcPr>
          <w:p w14:paraId="2CCD8FE4" w14:textId="77777777" w:rsidR="0048748B" w:rsidRPr="005970E9" w:rsidRDefault="0048748B" w:rsidP="00896252"/>
        </w:tc>
        <w:tc>
          <w:tcPr>
            <w:tcW w:w="5387" w:type="dxa"/>
            <w:tcBorders>
              <w:top w:val="single" w:sz="4" w:space="0" w:color="auto"/>
              <w:left w:val="single" w:sz="4" w:space="0" w:color="auto"/>
              <w:bottom w:val="single" w:sz="4" w:space="0" w:color="auto"/>
              <w:right w:val="single" w:sz="4" w:space="0" w:color="auto"/>
            </w:tcBorders>
            <w:hideMark/>
          </w:tcPr>
          <w:p w14:paraId="6515F6EA" w14:textId="77777777" w:rsidR="0048748B" w:rsidRPr="005970E9" w:rsidRDefault="0048748B" w:rsidP="00896252">
            <w:r w:rsidRPr="005970E9">
              <w:t>Efecto 3.3.</w:t>
            </w:r>
          </w:p>
          <w:p w14:paraId="16AE6E17" w14:textId="77777777" w:rsidR="0048748B" w:rsidRPr="005970E9" w:rsidRDefault="0048748B" w:rsidP="00896252">
            <w:r w:rsidRPr="005970E9">
              <w:t>Creado protocolo de atención a la violencia desde un enfoque intercultural que integra las diversas cosmovisiones de los pueblos indígenas para la prevención de la violencia contra las mujeres, niñas/os y adolescentes en todas sus formas, principalmente la violencia sexual y el femicidio.</w:t>
            </w:r>
          </w:p>
        </w:tc>
      </w:tr>
      <w:tr w:rsidR="0048748B" w:rsidRPr="005970E9" w14:paraId="053D8646" w14:textId="77777777" w:rsidTr="00896252">
        <w:tc>
          <w:tcPr>
            <w:tcW w:w="3539" w:type="dxa"/>
            <w:vMerge/>
            <w:tcBorders>
              <w:left w:val="single" w:sz="4" w:space="0" w:color="auto"/>
              <w:right w:val="single" w:sz="4" w:space="0" w:color="auto"/>
            </w:tcBorders>
            <w:vAlign w:val="center"/>
          </w:tcPr>
          <w:p w14:paraId="7E0E87E9" w14:textId="77777777" w:rsidR="0048748B" w:rsidRPr="005970E9" w:rsidRDefault="0048748B" w:rsidP="00896252"/>
        </w:tc>
        <w:tc>
          <w:tcPr>
            <w:tcW w:w="5387" w:type="dxa"/>
            <w:tcBorders>
              <w:top w:val="single" w:sz="4" w:space="0" w:color="auto"/>
              <w:left w:val="single" w:sz="4" w:space="0" w:color="auto"/>
              <w:bottom w:val="single" w:sz="4" w:space="0" w:color="auto"/>
              <w:right w:val="single" w:sz="4" w:space="0" w:color="auto"/>
            </w:tcBorders>
          </w:tcPr>
          <w:p w14:paraId="0E80E49E" w14:textId="77777777" w:rsidR="0048748B" w:rsidRPr="005970E9" w:rsidRDefault="0048748B" w:rsidP="00896252">
            <w:r w:rsidRPr="005970E9">
              <w:t>Efecto 3.4.</w:t>
            </w:r>
          </w:p>
          <w:p w14:paraId="01CF3554" w14:textId="77777777" w:rsidR="0048748B" w:rsidRPr="005970E9" w:rsidRDefault="0048748B" w:rsidP="00896252">
            <w:r w:rsidRPr="005970E9">
              <w:t>La institucionalidad cuenta con programas de formación y capacitación en género para todo el personal que trabaja dentro de los servicios esenciales para la prevención, atención de la violencia contra las mujeres y las personas, mejorando sustancialmente los servicios con la participación de las organizaciones de mujeres, feministas y de las poblaciones LGBTIQ+ y otras.</w:t>
            </w:r>
          </w:p>
        </w:tc>
      </w:tr>
      <w:tr w:rsidR="0048748B" w:rsidRPr="005970E9" w14:paraId="68528509" w14:textId="77777777" w:rsidTr="00896252">
        <w:tc>
          <w:tcPr>
            <w:tcW w:w="3539" w:type="dxa"/>
            <w:vMerge/>
            <w:tcBorders>
              <w:left w:val="single" w:sz="4" w:space="0" w:color="auto"/>
              <w:bottom w:val="single" w:sz="4" w:space="0" w:color="auto"/>
              <w:right w:val="single" w:sz="4" w:space="0" w:color="auto"/>
            </w:tcBorders>
            <w:vAlign w:val="center"/>
          </w:tcPr>
          <w:p w14:paraId="2454EC19" w14:textId="77777777" w:rsidR="0048748B" w:rsidRPr="005970E9" w:rsidRDefault="0048748B" w:rsidP="00896252"/>
        </w:tc>
        <w:tc>
          <w:tcPr>
            <w:tcW w:w="5387" w:type="dxa"/>
            <w:tcBorders>
              <w:top w:val="single" w:sz="4" w:space="0" w:color="auto"/>
              <w:left w:val="single" w:sz="4" w:space="0" w:color="auto"/>
              <w:bottom w:val="single" w:sz="4" w:space="0" w:color="auto"/>
              <w:right w:val="single" w:sz="4" w:space="0" w:color="auto"/>
            </w:tcBorders>
          </w:tcPr>
          <w:p w14:paraId="68F23C2F" w14:textId="77777777" w:rsidR="0048748B" w:rsidRPr="005970E9" w:rsidRDefault="0048748B" w:rsidP="00896252">
            <w:r w:rsidRPr="005970E9">
              <w:t>Efecto 3.5.</w:t>
            </w:r>
          </w:p>
          <w:p w14:paraId="2FFBC21C" w14:textId="77777777" w:rsidR="0048748B" w:rsidRPr="005970E9" w:rsidRDefault="0048748B" w:rsidP="00896252">
            <w:r w:rsidRPr="005970E9">
              <w:t>Existen condiciones apropiadas para el acceso a la justicia y desarrollo de procesos resilientes como de capacidades en el uso de herramientas tecnológicas para prevenir y evitar el ciberbulling y ciberataques.</w:t>
            </w:r>
          </w:p>
        </w:tc>
      </w:tr>
    </w:tbl>
    <w:tbl>
      <w:tblPr>
        <w:tblStyle w:val="TableGrid"/>
        <w:tblW w:w="8926" w:type="dxa"/>
        <w:tblLook w:val="04A0" w:firstRow="1" w:lastRow="0" w:firstColumn="1" w:lastColumn="0" w:noHBand="0" w:noVBand="1"/>
      </w:tblPr>
      <w:tblGrid>
        <w:gridCol w:w="3539"/>
        <w:gridCol w:w="5387"/>
      </w:tblGrid>
      <w:tr w:rsidR="0048748B" w:rsidRPr="005970E9" w14:paraId="0CC450A8" w14:textId="77777777" w:rsidTr="00896252">
        <w:tc>
          <w:tcPr>
            <w:tcW w:w="3539" w:type="dxa"/>
            <w:vMerge w:val="restart"/>
            <w:tcBorders>
              <w:top w:val="single" w:sz="4" w:space="0" w:color="auto"/>
            </w:tcBorders>
          </w:tcPr>
          <w:p w14:paraId="40C69471" w14:textId="77777777" w:rsidR="0048748B" w:rsidRPr="005970E9" w:rsidRDefault="0048748B" w:rsidP="00896252">
            <w:r w:rsidRPr="005970E9">
              <w:t>Efecto 4:</w:t>
            </w:r>
          </w:p>
          <w:p w14:paraId="1D399BA7" w14:textId="77777777" w:rsidR="0048748B" w:rsidRPr="005970E9" w:rsidRDefault="0048748B" w:rsidP="00896252">
            <w:r w:rsidRPr="005970E9">
              <w:rPr>
                <w:rFonts w:eastAsia="Times New Roman" w:cs="Times New Roman"/>
                <w:color w:val="000000"/>
              </w:rPr>
              <w:t xml:space="preserve">Programa de formación y creación de capacidades con enfoque de género e intercultural para el desarrollo de </w:t>
            </w:r>
            <w:r w:rsidRPr="005970E9">
              <w:rPr>
                <w:rFonts w:eastAsia="Times New Roman" w:cs="Times New Roman"/>
                <w:color w:val="000000"/>
                <w:lang w:eastAsia="es-PA"/>
              </w:rPr>
              <w:t>competencias técnicas</w:t>
            </w:r>
            <w:r w:rsidRPr="005970E9">
              <w:rPr>
                <w:rFonts w:eastAsia="Times New Roman" w:cs="Times New Roman"/>
                <w:color w:val="000000"/>
              </w:rPr>
              <w:t xml:space="preserve">, científicas, </w:t>
            </w:r>
            <w:r w:rsidRPr="005970E9">
              <w:rPr>
                <w:rFonts w:eastAsia="Times New Roman" w:cs="Times New Roman"/>
                <w:color w:val="000000"/>
                <w:lang w:eastAsia="es-PA"/>
              </w:rPr>
              <w:t>profesionales</w:t>
            </w:r>
            <w:r w:rsidRPr="005970E9">
              <w:rPr>
                <w:rFonts w:eastAsia="Times New Roman" w:cs="Times New Roman"/>
                <w:color w:val="000000"/>
              </w:rPr>
              <w:t xml:space="preserve"> en el dominio de ciencia y tecnología favorece </w:t>
            </w:r>
            <w:r w:rsidRPr="005970E9">
              <w:rPr>
                <w:rFonts w:eastAsia="Times New Roman" w:cs="Times New Roman"/>
                <w:color w:val="000000"/>
                <w:lang w:eastAsia="es-PA"/>
              </w:rPr>
              <w:t>acce</w:t>
            </w:r>
            <w:r w:rsidRPr="005970E9">
              <w:rPr>
                <w:rFonts w:eastAsia="Times New Roman" w:cs="Times New Roman"/>
                <w:color w:val="000000"/>
              </w:rPr>
              <w:t xml:space="preserve">so </w:t>
            </w:r>
            <w:r w:rsidRPr="005970E9">
              <w:rPr>
                <w:rFonts w:eastAsia="Times New Roman" w:cs="Times New Roman"/>
                <w:color w:val="000000"/>
                <w:lang w:eastAsia="es-PA"/>
              </w:rPr>
              <w:t>a</w:t>
            </w:r>
            <w:r w:rsidRPr="005970E9">
              <w:rPr>
                <w:rFonts w:eastAsia="Times New Roman" w:cs="Times New Roman"/>
                <w:color w:val="000000"/>
              </w:rPr>
              <w:t>l</w:t>
            </w:r>
            <w:r w:rsidRPr="005970E9">
              <w:rPr>
                <w:rFonts w:eastAsia="Times New Roman" w:cs="Times New Roman"/>
                <w:color w:val="000000"/>
                <w:lang w:eastAsia="es-PA"/>
              </w:rPr>
              <w:t xml:space="preserve"> empleo</w:t>
            </w:r>
            <w:r w:rsidRPr="005970E9">
              <w:rPr>
                <w:rFonts w:eastAsia="Times New Roman" w:cs="Times New Roman"/>
                <w:color w:val="000000"/>
              </w:rPr>
              <w:t xml:space="preserve">, la innovación </w:t>
            </w:r>
            <w:r w:rsidRPr="005970E9">
              <w:rPr>
                <w:rFonts w:eastAsia="Times New Roman" w:cs="Times New Roman"/>
                <w:color w:val="000000"/>
                <w:lang w:eastAsia="es-PA"/>
              </w:rPr>
              <w:t>y l</w:t>
            </w:r>
            <w:r w:rsidRPr="005970E9">
              <w:rPr>
                <w:rFonts w:eastAsia="Times New Roman" w:cs="Times New Roman"/>
                <w:color w:val="000000"/>
              </w:rPr>
              <w:t>os</w:t>
            </w:r>
            <w:r w:rsidRPr="005970E9">
              <w:rPr>
                <w:rFonts w:eastAsia="Times New Roman" w:cs="Times New Roman"/>
                <w:color w:val="000000"/>
                <w:lang w:eastAsia="es-PA"/>
              </w:rPr>
              <w:t xml:space="preserve"> emprendimiento</w:t>
            </w:r>
            <w:r w:rsidRPr="005970E9">
              <w:rPr>
                <w:rFonts w:eastAsia="Times New Roman" w:cs="Times New Roman"/>
                <w:color w:val="000000"/>
              </w:rPr>
              <w:t>s digitales</w:t>
            </w:r>
            <w:r w:rsidRPr="005970E9">
              <w:rPr>
                <w:rFonts w:eastAsia="Times New Roman" w:cs="Times New Roman"/>
                <w:color w:val="000000"/>
                <w:lang w:eastAsia="es-PA"/>
              </w:rPr>
              <w:t>.</w:t>
            </w:r>
          </w:p>
          <w:p w14:paraId="46151F06" w14:textId="77777777" w:rsidR="0048748B" w:rsidRPr="005970E9" w:rsidRDefault="0048748B" w:rsidP="00896252"/>
        </w:tc>
        <w:tc>
          <w:tcPr>
            <w:tcW w:w="5387" w:type="dxa"/>
            <w:tcBorders>
              <w:top w:val="single" w:sz="4" w:space="0" w:color="auto"/>
            </w:tcBorders>
          </w:tcPr>
          <w:p w14:paraId="3353FC5A" w14:textId="77777777" w:rsidR="0048748B" w:rsidRPr="005970E9" w:rsidRDefault="0048748B" w:rsidP="00896252">
            <w:r w:rsidRPr="005970E9">
              <w:t>Efecto 4.1.</w:t>
            </w:r>
          </w:p>
          <w:p w14:paraId="3804D400" w14:textId="77777777" w:rsidR="0048748B" w:rsidRPr="005970E9" w:rsidRDefault="0048748B" w:rsidP="00896252">
            <w:r w:rsidRPr="005970E9">
              <w:t>Mujeres, niñas y adolescentes afrodescendientes e indígenas con formación tecnológicas cuentan con acceso a emprendimientos digitales.</w:t>
            </w:r>
          </w:p>
          <w:p w14:paraId="2C45CC88" w14:textId="77777777" w:rsidR="0048748B" w:rsidRPr="005970E9" w:rsidRDefault="0048748B" w:rsidP="00896252"/>
        </w:tc>
      </w:tr>
      <w:tr w:rsidR="0048748B" w:rsidRPr="005970E9" w14:paraId="33CFD9A9" w14:textId="77777777" w:rsidTr="00896252">
        <w:tc>
          <w:tcPr>
            <w:tcW w:w="3539" w:type="dxa"/>
            <w:vMerge/>
          </w:tcPr>
          <w:p w14:paraId="6256E8F0" w14:textId="77777777" w:rsidR="0048748B" w:rsidRPr="005970E9" w:rsidRDefault="0048748B" w:rsidP="00896252"/>
        </w:tc>
        <w:tc>
          <w:tcPr>
            <w:tcW w:w="5387" w:type="dxa"/>
          </w:tcPr>
          <w:p w14:paraId="3B3329F6" w14:textId="77777777" w:rsidR="0048748B" w:rsidRPr="005970E9" w:rsidRDefault="0048748B" w:rsidP="00896252">
            <w:r w:rsidRPr="005970E9">
              <w:t>Efecto 4.2.</w:t>
            </w:r>
          </w:p>
          <w:p w14:paraId="34DD95FD" w14:textId="77777777" w:rsidR="0048748B" w:rsidRPr="005970E9" w:rsidRDefault="0048748B" w:rsidP="00896252">
            <w:r w:rsidRPr="005970E9">
              <w:t>En el sistema educativo se tienen programas no sexistas que hacen posible la incorporación de niñas, niños y adolescentes en áreas de difícil acceso que les prepara en materia de ciencia y tecnología.</w:t>
            </w:r>
          </w:p>
        </w:tc>
      </w:tr>
    </w:tbl>
    <w:p w14:paraId="47DDFE90" w14:textId="77777777" w:rsidR="0048748B" w:rsidRPr="005970E9" w:rsidRDefault="0048748B" w:rsidP="0048748B"/>
    <w:p w14:paraId="55C13883" w14:textId="77777777" w:rsidR="004122D1" w:rsidRPr="005970E9" w:rsidRDefault="004122D1" w:rsidP="004122D1">
      <w:pPr>
        <w:rPr>
          <w:b/>
          <w:bCs/>
          <w:lang w:val="es-US"/>
        </w:rPr>
      </w:pPr>
    </w:p>
    <w:p w14:paraId="0CF0CC43" w14:textId="77777777" w:rsidR="00B76B0C" w:rsidRPr="005970E9" w:rsidRDefault="003B5C05" w:rsidP="00B15DBC">
      <w:pPr>
        <w:pStyle w:val="Heading1"/>
        <w:spacing w:after="120"/>
      </w:pPr>
      <w:bookmarkStart w:id="384" w:name="_Toc42159285"/>
      <w:bookmarkStart w:id="385" w:name="_Toc42549509"/>
      <w:r w:rsidRPr="005970E9">
        <w:t>IX. CONCLUSIONES</w:t>
      </w:r>
      <w:bookmarkEnd w:id="384"/>
      <w:bookmarkEnd w:id="385"/>
    </w:p>
    <w:p w14:paraId="0CD8ECB3" w14:textId="77777777" w:rsidR="00986A88" w:rsidRPr="005970E9" w:rsidRDefault="007C78E8" w:rsidP="00B15DBC">
      <w:pPr>
        <w:spacing w:before="240" w:after="120" w:line="276" w:lineRule="auto"/>
        <w:jc w:val="both"/>
        <w:rPr>
          <w:rFonts w:eastAsia="Century Schoolbook" w:cs="Century Schoolbook"/>
        </w:rPr>
      </w:pPr>
      <w:r w:rsidRPr="005970E9">
        <w:rPr>
          <w:rFonts w:eastAsia="Century Schoolbook" w:cs="Century Schoolbook"/>
        </w:rPr>
        <w:t>El Perfil de País según igualdad de Género es el resultado de la labor de investigación y reco</w:t>
      </w:r>
      <w:r w:rsidR="00B15DBC" w:rsidRPr="005970E9">
        <w:rPr>
          <w:rFonts w:eastAsia="Century Schoolbook" w:cs="Century Schoolbook"/>
        </w:rPr>
        <w:t xml:space="preserve">pilación </w:t>
      </w:r>
      <w:r w:rsidRPr="005970E9">
        <w:rPr>
          <w:rFonts w:eastAsia="Century Schoolbook" w:cs="Century Schoolbook"/>
        </w:rPr>
        <w:t>de información</w:t>
      </w:r>
      <w:r w:rsidR="00986A88" w:rsidRPr="005970E9">
        <w:rPr>
          <w:rFonts w:eastAsia="Century Schoolbook" w:cs="Century Schoolbook"/>
        </w:rPr>
        <w:t xml:space="preserve"> cuantitativa y cualitativa respecto de la condición de igualdad de género en el país.</w:t>
      </w:r>
    </w:p>
    <w:p w14:paraId="78FD5801" w14:textId="77777777" w:rsidR="007C78E8" w:rsidRPr="005970E9" w:rsidRDefault="007C78E8" w:rsidP="007C78E8">
      <w:pPr>
        <w:spacing w:before="120" w:after="120" w:line="276" w:lineRule="auto"/>
        <w:jc w:val="both"/>
        <w:rPr>
          <w:rFonts w:eastAsia="Century Schoolbook" w:cs="Century Schoolbook"/>
        </w:rPr>
      </w:pPr>
      <w:r w:rsidRPr="005970E9">
        <w:rPr>
          <w:rFonts w:eastAsia="Century Schoolbook" w:cs="Century Schoolbook"/>
        </w:rPr>
        <w:t>Para la sociedad panameña la igualdad entre mujeres y hombres debe ser un valor fundamental esencial para su crecimiento económico y social, (hacer frente a los actuales retos económicos y sociales, garantizar la justicia social y lograr un desarrollo inteligente y sostenible), la igualdad de género tiene que desempeñar un papel fundamental en el debate político de nuestro país.</w:t>
      </w:r>
    </w:p>
    <w:p w14:paraId="2A261B6C" w14:textId="77777777" w:rsidR="007C78E8" w:rsidRPr="005970E9" w:rsidRDefault="007C78E8" w:rsidP="007C78E8">
      <w:pPr>
        <w:spacing w:before="120" w:after="120" w:line="276" w:lineRule="auto"/>
        <w:jc w:val="both"/>
        <w:rPr>
          <w:rFonts w:eastAsia="Century Schoolbook" w:cs="Century Schoolbook"/>
        </w:rPr>
      </w:pPr>
      <w:r w:rsidRPr="005970E9">
        <w:rPr>
          <w:rFonts w:eastAsia="Century Schoolbook" w:cs="Century Schoolbook"/>
        </w:rPr>
        <w:t xml:space="preserve">El perfil presentado constituye una herramienta cuantitativa y cualitativa de carácter nacional que presenta una medida exhaustiva de igualdad entre mujeres y hombres que resulta pertinente para el marco político de la República de Panamá. Los resultados demuestran que aun con importantes avances en varios de nuestros indicadores nos encontramos a inicio del camino hacia la igualdad de género. </w:t>
      </w:r>
    </w:p>
    <w:p w14:paraId="12F6B7DB" w14:textId="77777777" w:rsidR="007C78E8" w:rsidRPr="005970E9" w:rsidRDefault="007C78E8" w:rsidP="007C78E8">
      <w:pPr>
        <w:spacing w:before="120" w:after="120" w:line="276" w:lineRule="auto"/>
        <w:jc w:val="both"/>
        <w:rPr>
          <w:rFonts w:eastAsia="Century Schoolbook" w:cs="Century Schoolbook"/>
        </w:rPr>
      </w:pPr>
      <w:r w:rsidRPr="005970E9">
        <w:rPr>
          <w:rFonts w:eastAsia="Century Schoolbook" w:cs="Century Schoolbook"/>
        </w:rPr>
        <w:lastRenderedPageBreak/>
        <w:t>Además, los resultados obtenidos muestran que, en la dimensión política, es decir en el ámbito del poder, se registran las mayores diferencias de género. El otro ámbito en el que se manifiestan las principales desigualdades es el ámbito del tiempo. Se registran grandes diferencias entre hombres y mujeres en lo que se refiere al tiempo dedicado a realizar actividades de cuidado y domésticas no remuneradas. También cabe destacar que en el ámbito de la violencia la dificultad en acceso a los datos es importante, lo que obliga a hacer un llamamiento a los y las responsables políticos de la nación para que garanticen la recopilación de datos comparables con el fin de apoyar la lucha contra la violencia de género.</w:t>
      </w:r>
    </w:p>
    <w:p w14:paraId="1DF81A30" w14:textId="77777777" w:rsidR="007C78E8" w:rsidRPr="005970E9" w:rsidRDefault="007C78E8" w:rsidP="007C78E8">
      <w:pPr>
        <w:spacing w:before="120" w:after="120" w:line="276" w:lineRule="auto"/>
        <w:jc w:val="both"/>
        <w:rPr>
          <w:rFonts w:eastAsia="Century Schoolbook" w:cs="Century Schoolbook"/>
        </w:rPr>
      </w:pPr>
      <w:r w:rsidRPr="005970E9">
        <w:rPr>
          <w:rFonts w:eastAsia="Century Schoolbook" w:cs="Century Schoolbook"/>
        </w:rPr>
        <w:t>El Índice de igualdad de género apunta además a la falta de datos adecuados para medir la violencia de género contra las mujeres. Esto por mencionar algunas dimensiones ya que en resumen todas encuentran importantes hallazgos. Estos resultados muestran hasta qué punto queda trabajo por hacer hasta que la igualdad de género se convierta en una realidad.</w:t>
      </w:r>
    </w:p>
    <w:p w14:paraId="52115DCE" w14:textId="77777777" w:rsidR="007C78E8" w:rsidRPr="005970E9" w:rsidRDefault="007C78E8" w:rsidP="007C78E8">
      <w:pPr>
        <w:spacing w:before="120" w:after="120" w:line="276" w:lineRule="auto"/>
        <w:jc w:val="both"/>
        <w:rPr>
          <w:rFonts w:eastAsia="Century Schoolbook" w:cs="Century Schoolbook"/>
        </w:rPr>
      </w:pPr>
      <w:r w:rsidRPr="005970E9">
        <w:rPr>
          <w:rFonts w:eastAsia="Century Schoolbook" w:cs="Century Schoolbook"/>
        </w:rPr>
        <w:t xml:space="preserve">Por ejemplo, varios subdimensiones no han podido ser medidas a causa de las limitaciones existentes en la disponibilidad de datos, como es el caso de cifras de pobreza, la falta de desagregación de datos en distintos campos y la disponibilidad de los mismos en las instituciones oficiales etc., o el caso del comportamiento en la dimensión de la salud, debido a que algunos de los datos no están desglosados por sexo. </w:t>
      </w:r>
    </w:p>
    <w:p w14:paraId="7F4894C7" w14:textId="77777777" w:rsidR="00FD0C30" w:rsidRPr="005970E9" w:rsidRDefault="007C78E8" w:rsidP="007C78E8">
      <w:pPr>
        <w:spacing w:before="120" w:after="120" w:line="276" w:lineRule="auto"/>
        <w:jc w:val="both"/>
        <w:rPr>
          <w:rFonts w:eastAsia="Century Schoolbook" w:cs="Century Schoolbook"/>
        </w:rPr>
      </w:pPr>
      <w:r w:rsidRPr="005970E9">
        <w:rPr>
          <w:rFonts w:eastAsia="Century Schoolbook" w:cs="Century Schoolbook"/>
        </w:rPr>
        <w:t xml:space="preserve">El Perfil de País según igualdad de Género supone una fuente de referencia para los y las responsables de adoptar decisiones, de implementar políticas y establecer las condiciones, mecanismos etc. que garanticen el avance y el cierre de las brechas que marcan la desigualdad de género en Panamá. Este perfil enriquece las perspectivas basadas en análisis a distintos niveles, ya que proporciona una medida sintética, aunque exhaustiva y flexible, capaz de facilitar la evaluación de la efectividad de las políticas de igualdad de género. </w:t>
      </w:r>
      <w:r w:rsidR="00FD0C30" w:rsidRPr="005970E9">
        <w:rPr>
          <w:rFonts w:eastAsia="Century Schoolbook" w:cs="Century Schoolbook"/>
        </w:rPr>
        <w:t xml:space="preserve"> </w:t>
      </w:r>
    </w:p>
    <w:p w14:paraId="1E809A8B" w14:textId="77777777" w:rsidR="00B76B0C" w:rsidRPr="005970E9" w:rsidRDefault="003B5C05">
      <w:pPr>
        <w:rPr>
          <w:rFonts w:eastAsia="Century Schoolbook" w:cs="Century Schoolbook"/>
          <w:b/>
          <w:color w:val="7030A0"/>
          <w:sz w:val="20"/>
          <w:szCs w:val="20"/>
        </w:rPr>
      </w:pPr>
      <w:r w:rsidRPr="005970E9">
        <w:br w:type="page"/>
      </w:r>
    </w:p>
    <w:p w14:paraId="46B590E6" w14:textId="77777777" w:rsidR="00B76B0C" w:rsidRPr="005970E9" w:rsidRDefault="003B5C05">
      <w:pPr>
        <w:pStyle w:val="Heading1"/>
        <w:spacing w:after="120"/>
      </w:pPr>
      <w:bookmarkStart w:id="386" w:name="_Toc42159286"/>
      <w:bookmarkStart w:id="387" w:name="_Toc42549510"/>
      <w:r w:rsidRPr="005970E9">
        <w:lastRenderedPageBreak/>
        <w:t>X. BIBLIOGRAFÍA</w:t>
      </w:r>
      <w:bookmarkEnd w:id="386"/>
      <w:bookmarkEnd w:id="387"/>
      <w:r w:rsidRPr="005970E9">
        <w:t xml:space="preserve"> </w:t>
      </w:r>
    </w:p>
    <w:p w14:paraId="5971436E" w14:textId="77777777" w:rsidR="00F15A74" w:rsidRPr="005970E9" w:rsidRDefault="00F15A74" w:rsidP="00420B0B">
      <w:pPr>
        <w:spacing w:before="120" w:after="120"/>
        <w:ind w:left="720" w:hanging="720"/>
        <w:jc w:val="both"/>
        <w:rPr>
          <w:rFonts w:eastAsia="Century Schoolbook" w:cs="Century Schoolbook"/>
        </w:rPr>
      </w:pPr>
      <w:bookmarkStart w:id="388" w:name="_3ep43zb" w:colFirst="0" w:colLast="0"/>
      <w:bookmarkEnd w:id="388"/>
      <w:r w:rsidRPr="005970E9">
        <w:rPr>
          <w:rFonts w:eastAsia="Century Schoolbook" w:cs="Century Schoolbook"/>
        </w:rPr>
        <w:t>Alianza Ciudadana Pro Justicia (2012). Situación de los defensores y defensoras de los derechos humanos en Panamá.</w:t>
      </w:r>
    </w:p>
    <w:p w14:paraId="6934AFF2"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Arrocha, Rosa (2019) Brechas salariales de género en Panamá: 2011-2018. Universidad de Panamá.</w:t>
      </w:r>
    </w:p>
    <w:p w14:paraId="254EC0B7"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Astudillo, Jhonatan, Fernández, Marco y Garcimartín, Carlos (2019). La desigualdad de Panamá: su carácter territorial y el papel de las inversiones públicas. Banco Interamericano de Desarrollo (BID).</w:t>
      </w:r>
    </w:p>
    <w:p w14:paraId="5943F23D" w14:textId="2F3D30A7" w:rsidR="00F15A74" w:rsidRDefault="00F15A74" w:rsidP="00420B0B">
      <w:pPr>
        <w:spacing w:before="120" w:after="120"/>
        <w:ind w:left="720" w:hanging="720"/>
        <w:jc w:val="both"/>
        <w:rPr>
          <w:rFonts w:eastAsia="Century Schoolbook" w:cs="Century Schoolbook"/>
        </w:rPr>
      </w:pPr>
      <w:r w:rsidRPr="005970E9">
        <w:rPr>
          <w:rFonts w:eastAsia="Century Schoolbook" w:cs="Century Schoolbook"/>
        </w:rPr>
        <w:t xml:space="preserve">Banco Mundial (2020) Perspectivas económicas Mundiales </w:t>
      </w:r>
      <w:hyperlink r:id="rId97" w:anchor="overview">
        <w:r w:rsidRPr="005970E9">
          <w:rPr>
            <w:rFonts w:eastAsia="Century Schoolbook" w:cs="Century Schoolbook"/>
          </w:rPr>
          <w:t>https://www.bancomundial.org/es/publication/global-economic-prospects#overview</w:t>
        </w:r>
      </w:hyperlink>
    </w:p>
    <w:p w14:paraId="4CC0F047" w14:textId="77777777" w:rsidR="00420B0B" w:rsidRPr="00420B0B" w:rsidRDefault="00420B0B" w:rsidP="00420B0B">
      <w:pPr>
        <w:shd w:val="clear" w:color="auto" w:fill="FFFFFF"/>
        <w:ind w:left="720" w:hanging="720"/>
        <w:jc w:val="both"/>
        <w:rPr>
          <w:rFonts w:eastAsia="Times New Roman" w:cs="Arial"/>
          <w:color w:val="222222"/>
        </w:rPr>
      </w:pPr>
      <w:r w:rsidRPr="00420B0B">
        <w:rPr>
          <w:rFonts w:eastAsia="Times New Roman" w:cs="Arial"/>
          <w:color w:val="222222"/>
        </w:rPr>
        <w:t>BID (2017) Los costos del crimen y de la violencia. Nueva evidencia y hallazgos en América Latina y el Caribe. Banco Interamericano de Desarrollo.</w:t>
      </w:r>
    </w:p>
    <w:p w14:paraId="1EB0EC1F"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CEPAL (2019) Balance preliminar de las economías de América Latina y el Caribe.</w:t>
      </w:r>
    </w:p>
    <w:p w14:paraId="045F3290"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CEPAL (2016) Autonomía de las mujeres e igualdad en la agenda de desarrollo sostenible.</w:t>
      </w:r>
    </w:p>
    <w:p w14:paraId="532374DC" w14:textId="36A2B36E"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highlight w:val="white"/>
        </w:rPr>
        <w:t xml:space="preserve">CEPAL (2013). </w:t>
      </w:r>
      <w:hyperlink r:id="rId98">
        <w:r w:rsidRPr="005970E9">
          <w:rPr>
            <w:rFonts w:eastAsia="Century Schoolbook" w:cs="Century Schoolbook"/>
            <w:highlight w:val="white"/>
          </w:rPr>
          <w:t>La brecha digital de género: Reflejo de la desigualdad social</w:t>
        </w:r>
      </w:hyperlink>
      <w:r w:rsidR="00687005" w:rsidRPr="005970E9">
        <w:rPr>
          <w:rFonts w:eastAsia="Century Schoolbook" w:cs="Century Schoolbook"/>
        </w:rPr>
        <w:t>.</w:t>
      </w:r>
    </w:p>
    <w:p w14:paraId="1ACA4640" w14:textId="5CF5BD12" w:rsidR="00B429FB" w:rsidRPr="005970E9" w:rsidRDefault="00B429FB" w:rsidP="00420B0B">
      <w:pPr>
        <w:spacing w:before="120" w:after="120"/>
        <w:ind w:left="720" w:hanging="720"/>
        <w:jc w:val="both"/>
        <w:rPr>
          <w:rFonts w:eastAsia="Century Schoolbook" w:cs="Century Schoolbook"/>
        </w:rPr>
      </w:pPr>
      <w:r w:rsidRPr="005970E9">
        <w:rPr>
          <w:rFonts w:cs="TimesNewRoman"/>
        </w:rPr>
        <w:t>CEPAL (2020) Decimocuarta Conferencia Regional sobre la Mujer de América Latina y el Caribe, Santiago, 27-31 de enero de 2020.</w:t>
      </w:r>
    </w:p>
    <w:p w14:paraId="034B73F4" w14:textId="1017B9C7" w:rsidR="00687005" w:rsidRPr="005970E9" w:rsidRDefault="00687005" w:rsidP="00420B0B">
      <w:pPr>
        <w:ind w:left="720" w:hanging="720"/>
        <w:jc w:val="both"/>
        <w:rPr>
          <w:rFonts w:eastAsia="Century Schoolbook" w:cs="Century Schoolbook"/>
        </w:rPr>
      </w:pPr>
      <w:r w:rsidRPr="005970E9">
        <w:rPr>
          <w:rFonts w:eastAsia="Century Schoolbook" w:cs="Century Schoolbook"/>
        </w:rPr>
        <w:t>CEPAL (2020</w:t>
      </w:r>
      <w:r w:rsidR="00B429FB" w:rsidRPr="005970E9">
        <w:rPr>
          <w:rFonts w:eastAsia="Century Schoolbook" w:cs="Century Schoolbook"/>
        </w:rPr>
        <w:t>ª</w:t>
      </w:r>
      <w:r w:rsidRPr="005970E9">
        <w:rPr>
          <w:rFonts w:eastAsia="Century Schoolbook" w:cs="Century Schoolbook"/>
        </w:rPr>
        <w:t>). Informe Especial COVID-19.</w:t>
      </w:r>
    </w:p>
    <w:p w14:paraId="1246FEC1"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Consejo de Derechos Humanos (2015) Grupo de Trabajo sobre el Examen Periódico Universal. Panamá.</w:t>
      </w:r>
    </w:p>
    <w:p w14:paraId="48A7FBFE"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De León, A. (7 de marzo de 2020). Día Internacional de la Mujer: Mujeres Cambiando el Mundo. La Prensa, pág. 4. Recuperado el 8 de marzo de 2020, de https://www.prensa.com/impresa/opinion/mujeres-cambiando-el-mundo/</w:t>
      </w:r>
    </w:p>
    <w:p w14:paraId="6F7B1CDB"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Encuesta Nacional de Salud Sexual y Reproductiva. Panamá, 2014-2015.</w:t>
      </w:r>
    </w:p>
    <w:p w14:paraId="610EF8BD"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Estadísticas de Ministerio e instituciones públicas y privadas.</w:t>
      </w:r>
    </w:p>
    <w:p w14:paraId="16695C2E"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FAO (2018) Evaluación de la capacidad estadística relativa a los ODS pertinentes para la FAO 2018.</w:t>
      </w:r>
    </w:p>
    <w:p w14:paraId="63020B4E" w14:textId="77777777" w:rsidR="00F15A74" w:rsidRPr="005970E9" w:rsidRDefault="00F15A74" w:rsidP="00420B0B">
      <w:pPr>
        <w:spacing w:before="120" w:after="120"/>
        <w:ind w:left="720" w:hanging="709"/>
        <w:jc w:val="both"/>
        <w:rPr>
          <w:rFonts w:eastAsia="Century Schoolbook" w:cs="Century Schoolbook"/>
          <w:shd w:val="clear" w:color="auto" w:fill="F7F7F7"/>
        </w:rPr>
      </w:pPr>
      <w:r w:rsidRPr="005970E9">
        <w:rPr>
          <w:rFonts w:eastAsia="Century Schoolbook" w:cs="Century Schoolbook"/>
        </w:rPr>
        <w:t>________ (2018) Panorama de la seguridad alimentaria y nutricional en América Latina y el Caribe.</w:t>
      </w:r>
      <w:r w:rsidRPr="005970E9">
        <w:rPr>
          <w:rFonts w:eastAsia="Century Schoolbook" w:cs="Century Schoolbook"/>
          <w:shd w:val="clear" w:color="auto" w:fill="F7F7F7"/>
        </w:rPr>
        <w:t xml:space="preserve"> </w:t>
      </w:r>
    </w:p>
    <w:p w14:paraId="60788AD2" w14:textId="77777777" w:rsidR="00F15A74" w:rsidRPr="005970E9" w:rsidRDefault="00F15A74" w:rsidP="00420B0B">
      <w:pPr>
        <w:jc w:val="both"/>
        <w:rPr>
          <w:rFonts w:eastAsia="Century Schoolbook" w:cs="Century Schoolbook"/>
          <w:shd w:val="clear" w:color="auto" w:fill="F7F7F7"/>
        </w:rPr>
      </w:pPr>
      <w:r w:rsidRPr="005970E9">
        <w:rPr>
          <w:rFonts w:eastAsia="Century Schoolbook" w:cs="Century Schoolbook"/>
        </w:rPr>
        <w:t>MIAMBIENTE (2014) GEO Panamá informe del estado del ambiente</w:t>
      </w:r>
    </w:p>
    <w:p w14:paraId="0B72922E" w14:textId="77777777" w:rsidR="00F15A74" w:rsidRPr="005970E9" w:rsidRDefault="00F15A74" w:rsidP="00420B0B">
      <w:pPr>
        <w:spacing w:before="120" w:after="120"/>
        <w:ind w:left="709"/>
        <w:jc w:val="both"/>
        <w:rPr>
          <w:rFonts w:eastAsia="Century Schoolbook" w:cs="Century Schoolbook"/>
        </w:rPr>
      </w:pPr>
      <w:r w:rsidRPr="005970E9">
        <w:rPr>
          <w:rFonts w:eastAsia="Century Schoolbook" w:cs="Century Schoolbook"/>
        </w:rPr>
        <w:t>Grupo de las Naciones Unidas para el Desarrollo – 2018. Manual para la incorporación de la perspectiva de género en la programación común a escala nacional.</w:t>
      </w:r>
    </w:p>
    <w:p w14:paraId="455E93CD" w14:textId="77777777" w:rsidR="00F15A74" w:rsidRPr="005970E9" w:rsidRDefault="00F15A74" w:rsidP="00420B0B">
      <w:pPr>
        <w:spacing w:before="120" w:after="120"/>
        <w:ind w:left="720" w:hanging="709"/>
        <w:jc w:val="both"/>
        <w:rPr>
          <w:rFonts w:eastAsia="Century Schoolbook" w:cs="Century Schoolbook"/>
        </w:rPr>
      </w:pPr>
      <w:r w:rsidRPr="005970E9">
        <w:rPr>
          <w:rFonts w:eastAsia="Century Schoolbook" w:cs="Century Schoolbook"/>
        </w:rPr>
        <w:t>INAMU (2014) Informe de la República de Panamá. Aplicación de la Declaración y Plataforma de Acción de Beijing (1995) y los resultados del vigésimo tercer período extraordinario de sesiones de la Asamblea General (2000).</w:t>
      </w:r>
    </w:p>
    <w:p w14:paraId="5858F5F0" w14:textId="77777777" w:rsidR="00F15A74" w:rsidRPr="005970E9" w:rsidRDefault="00F15A74" w:rsidP="00420B0B">
      <w:pPr>
        <w:spacing w:before="120" w:after="120"/>
        <w:ind w:left="11"/>
        <w:jc w:val="both"/>
        <w:rPr>
          <w:rFonts w:eastAsia="Century Schoolbook" w:cs="Century Schoolbook"/>
        </w:rPr>
      </w:pPr>
      <w:r w:rsidRPr="005970E9">
        <w:rPr>
          <w:rFonts w:eastAsia="Century Schoolbook" w:cs="Century Schoolbook"/>
        </w:rPr>
        <w:t>INAMU (2016) VI Informe Nacional Clara González.</w:t>
      </w:r>
    </w:p>
    <w:p w14:paraId="67DFE98D" w14:textId="77777777" w:rsidR="00F15A74" w:rsidRPr="005970E9" w:rsidRDefault="00F15A74" w:rsidP="00420B0B">
      <w:pPr>
        <w:spacing w:before="120" w:after="120"/>
        <w:ind w:left="11"/>
        <w:jc w:val="both"/>
        <w:rPr>
          <w:rFonts w:eastAsia="Century Schoolbook" w:cs="Century Schoolbook"/>
        </w:rPr>
      </w:pPr>
      <w:r w:rsidRPr="005970E9">
        <w:rPr>
          <w:rFonts w:eastAsia="Century Schoolbook" w:cs="Century Schoolbook"/>
        </w:rPr>
        <w:lastRenderedPageBreak/>
        <w:t>INAMU (2019) VII Informe Nacional Clara González.</w:t>
      </w:r>
    </w:p>
    <w:p w14:paraId="140FBF9C" w14:textId="77777777" w:rsidR="00F15A74" w:rsidRPr="005970E9" w:rsidRDefault="00F15A74" w:rsidP="00420B0B">
      <w:pPr>
        <w:spacing w:before="120" w:after="120"/>
        <w:ind w:left="11"/>
        <w:jc w:val="both"/>
        <w:rPr>
          <w:rFonts w:eastAsia="Century Schoolbook" w:cs="Century Schoolbook"/>
        </w:rPr>
      </w:pPr>
      <w:r w:rsidRPr="005970E9">
        <w:rPr>
          <w:rFonts w:eastAsia="Century Schoolbook" w:cs="Century Schoolbook"/>
        </w:rPr>
        <w:t>INEC (2019) Encuesta Continua de Hogares.</w:t>
      </w:r>
    </w:p>
    <w:p w14:paraId="3B36810A" w14:textId="77777777" w:rsidR="00F15A74" w:rsidRPr="005970E9" w:rsidRDefault="00F15A74" w:rsidP="00420B0B">
      <w:pPr>
        <w:spacing w:before="120" w:after="120"/>
        <w:ind w:left="708" w:hanging="710"/>
        <w:jc w:val="both"/>
        <w:rPr>
          <w:rFonts w:eastAsia="Century Schoolbook" w:cs="Century Schoolbook"/>
        </w:rPr>
      </w:pPr>
      <w:r w:rsidRPr="005970E9">
        <w:rPr>
          <w:rFonts w:eastAsia="Century Schoolbook" w:cs="Century Schoolbook"/>
        </w:rPr>
        <w:t>INEC (2010-2018). Estadísticas Vitales, Tasa de natalidad en la República. Panamá: Contraloría General.</w:t>
      </w:r>
    </w:p>
    <w:p w14:paraId="35012D68" w14:textId="77777777" w:rsidR="00F15A74" w:rsidRPr="005970E9" w:rsidRDefault="00F15A74" w:rsidP="00420B0B">
      <w:pPr>
        <w:spacing w:before="120" w:after="120"/>
        <w:ind w:left="710" w:hanging="708"/>
        <w:jc w:val="both"/>
        <w:rPr>
          <w:rFonts w:eastAsia="Century Schoolbook" w:cs="Century Schoolbook"/>
        </w:rPr>
      </w:pPr>
      <w:r w:rsidRPr="005970E9">
        <w:rPr>
          <w:rFonts w:eastAsia="Century Schoolbook" w:cs="Century Schoolbook"/>
        </w:rPr>
        <w:t>INEC (2018). Estadísticas Vitales 2018 del Instituto Nacional de Estadística. Panamá. Contraloría General de la República.</w:t>
      </w:r>
    </w:p>
    <w:p w14:paraId="0937C148" w14:textId="77777777" w:rsidR="00F15A74" w:rsidRPr="005970E9" w:rsidRDefault="00F15A74" w:rsidP="00420B0B">
      <w:pPr>
        <w:spacing w:before="120" w:after="120"/>
        <w:ind w:left="708" w:hanging="710"/>
        <w:jc w:val="both"/>
        <w:rPr>
          <w:rFonts w:eastAsia="Century Schoolbook" w:cs="Century Schoolbook"/>
        </w:rPr>
      </w:pPr>
      <w:r w:rsidRPr="005970E9">
        <w:rPr>
          <w:rFonts w:eastAsia="Century Schoolbook" w:cs="Century Schoolbook"/>
        </w:rPr>
        <w:t>INEC (2010-2018). Tasa de Fecundidad, según provincia y comarca indígena de residencia. Panamá: Contraloría General de la República.</w:t>
      </w:r>
    </w:p>
    <w:p w14:paraId="3AFE9A1C" w14:textId="218610BF" w:rsidR="00F15A74" w:rsidRDefault="00F15A74" w:rsidP="00420B0B">
      <w:pPr>
        <w:spacing w:before="120" w:after="120"/>
        <w:ind w:left="710" w:hanging="708"/>
        <w:jc w:val="both"/>
        <w:rPr>
          <w:rFonts w:eastAsia="Century Schoolbook" w:cs="Century Schoolbook"/>
        </w:rPr>
      </w:pPr>
      <w:r w:rsidRPr="005970E9">
        <w:rPr>
          <w:rFonts w:eastAsia="Century Schoolbook" w:cs="Century Schoolbook"/>
        </w:rPr>
        <w:t xml:space="preserve">INEC (2010). Censo Nacional de Población y </w:t>
      </w:r>
      <w:r w:rsidR="00420B0B" w:rsidRPr="005970E9">
        <w:rPr>
          <w:rFonts w:eastAsia="Century Schoolbook" w:cs="Century Schoolbook"/>
        </w:rPr>
        <w:t>Vivienda.</w:t>
      </w:r>
      <w:r w:rsidRPr="005970E9">
        <w:rPr>
          <w:rFonts w:eastAsia="Century Schoolbook" w:cs="Century Schoolbook"/>
        </w:rPr>
        <w:t xml:space="preserve"> Panamá: Contraloría General de la República.</w:t>
      </w:r>
    </w:p>
    <w:p w14:paraId="626AE8CF" w14:textId="77777777" w:rsidR="00420B0B" w:rsidRPr="00420B0B" w:rsidRDefault="00420B0B" w:rsidP="00420B0B">
      <w:pPr>
        <w:ind w:left="720" w:hanging="720"/>
        <w:jc w:val="both"/>
        <w:rPr>
          <w:rFonts w:eastAsia="Times New Roman" w:cs="Arial"/>
          <w:color w:val="222222"/>
          <w:sz w:val="24"/>
          <w:szCs w:val="24"/>
          <w:shd w:val="clear" w:color="auto" w:fill="FFFFFF"/>
        </w:rPr>
      </w:pPr>
      <w:r w:rsidRPr="00420B0B">
        <w:rPr>
          <w:rFonts w:eastAsia="Times New Roman" w:cs="Arial"/>
          <w:color w:val="222222"/>
          <w:sz w:val="24"/>
          <w:szCs w:val="24"/>
          <w:shd w:val="clear" w:color="auto" w:fill="FFFFFF"/>
        </w:rPr>
        <w:t>Instituto Conmemorativo Gorgas – INAMU - SENACYT (2018). Informe Violencia contra las Mujeres en Panamá, prevalencias, factores de riesgos asociados y femicidio.</w:t>
      </w:r>
    </w:p>
    <w:p w14:paraId="05B0C4E7" w14:textId="77777777" w:rsidR="00420B0B" w:rsidRPr="005970E9" w:rsidRDefault="00420B0B" w:rsidP="00420B0B">
      <w:pPr>
        <w:spacing w:before="120" w:after="120"/>
        <w:ind w:left="710" w:hanging="708"/>
        <w:jc w:val="both"/>
        <w:rPr>
          <w:rFonts w:eastAsia="Century Schoolbook" w:cs="Century Schoolbook"/>
        </w:rPr>
      </w:pPr>
    </w:p>
    <w:p w14:paraId="546AEB6E"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 xml:space="preserve">Ministerio de Economía y Finanzas (MEF) (2018) Índice de pobreza multidimensional de Panamá. </w:t>
      </w:r>
    </w:p>
    <w:p w14:paraId="24D6AAD6"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________ (2019c) Análisis de sostenibilidad de la deuda pública, abril 2019).</w:t>
      </w:r>
    </w:p>
    <w:p w14:paraId="5A649F58"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________ (2019ª) Costo calórico de las canastas básicas familiares de alimentos en agosto de 2019.</w:t>
      </w:r>
    </w:p>
    <w:p w14:paraId="6141D75F"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________ (2019b) Balance fiscal preliminar del gobierno central, septiembre 2018 – 2019.</w:t>
      </w:r>
    </w:p>
    <w:p w14:paraId="35F040A3"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 xml:space="preserve">Ministerio de Trabajo y Desarrollo Laboral (MITRADEL) (2019) Los NiNis en Panamá. </w:t>
      </w:r>
    </w:p>
    <w:p w14:paraId="5CEC80FC"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MIDES, MEF, INEC, OPHI, PNUD, UNICEF (2018) Índice de pobreza multidimensional de niños, niñas y adolescentes, Panamá.</w:t>
      </w:r>
    </w:p>
    <w:p w14:paraId="781D203B"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MINSA (2013). Situación de Salud de Panamá. Panamá: Dirección Nacional de Planificación del MINSA.</w:t>
      </w:r>
    </w:p>
    <w:p w14:paraId="106A6BBA" w14:textId="77777777" w:rsidR="00F15A74" w:rsidRPr="005970E9" w:rsidRDefault="00F15A74" w:rsidP="00420B0B">
      <w:pPr>
        <w:ind w:left="720" w:hanging="720"/>
        <w:jc w:val="both"/>
        <w:rPr>
          <w:rFonts w:eastAsia="Century Schoolbook" w:cs="Century Schoolbook"/>
        </w:rPr>
      </w:pPr>
      <w:r w:rsidRPr="005970E9">
        <w:rPr>
          <w:rFonts w:eastAsia="Century Schoolbook" w:cs="Century Schoolbook"/>
        </w:rPr>
        <w:t>Minsa-AECID (2017) - Diagnóstico y Plan de Género para incorporar la perspectiva de género en el Programa de agua potable y saneamiento en áreas rurales e indígenas de Panamá con énfasis en gestión local.</w:t>
      </w:r>
    </w:p>
    <w:p w14:paraId="5DB36E73" w14:textId="77777777" w:rsidR="00F15A74" w:rsidRPr="005970E9" w:rsidRDefault="00F15A74" w:rsidP="00420B0B">
      <w:pPr>
        <w:ind w:left="720" w:hanging="720"/>
        <w:jc w:val="both"/>
        <w:rPr>
          <w:rFonts w:eastAsia="Century Schoolbook" w:cs="Century Schoolbook"/>
        </w:rPr>
      </w:pPr>
      <w:r w:rsidRPr="005970E9">
        <w:rPr>
          <w:rFonts w:eastAsia="Century Schoolbook" w:cs="Century Schoolbook"/>
        </w:rPr>
        <w:t xml:space="preserve">SENAPAN (2019 - 2021) Plan Nacional de Seguridad Alimentaria y Nutricional de Panamá </w:t>
      </w:r>
    </w:p>
    <w:p w14:paraId="47A10E3D"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Nobre, Miriam; Hora, Karla y otras. (2017) ATLAS de las mujeres rurales de América Latina y el Caribe: “Al tiempo de la vida y los hechos”. FAO, Santiago de Chile.</w:t>
      </w:r>
    </w:p>
    <w:p w14:paraId="08AC198C" w14:textId="77777777" w:rsidR="00F15A74" w:rsidRPr="005970E9" w:rsidRDefault="00F15A74" w:rsidP="00420B0B">
      <w:pPr>
        <w:ind w:left="720" w:hanging="720"/>
        <w:jc w:val="both"/>
        <w:rPr>
          <w:rFonts w:eastAsia="Century Schoolbook" w:cs="Century Schoolbook"/>
        </w:rPr>
      </w:pPr>
      <w:r w:rsidRPr="005970E9">
        <w:rPr>
          <w:rFonts w:eastAsia="Century Schoolbook" w:cs="Century Schoolbook"/>
        </w:rPr>
        <w:t>ONU (2019) Estudio mundial sobre el papel de la mujer en el desarrollo. Informe del Secretario General.</w:t>
      </w:r>
    </w:p>
    <w:p w14:paraId="4D5CCC1A"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ONU Mujeres. (2018). Perfiles de Países según igualdad de género: Nota de Orientación. New York, Estados Unidos: Sección de Investigación y Datos de ONU Mujeres.</w:t>
      </w:r>
    </w:p>
    <w:p w14:paraId="7C0EDCC8"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________ (2018) Hacer las promesas realidad: la igualdad de género en la agenda 2030 para el desarrollo sostenible. Estados Unidos de América.</w:t>
      </w:r>
    </w:p>
    <w:p w14:paraId="6138CE9A"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________ (2020). Hechos y cifras: liderazgo y participación política.</w:t>
      </w:r>
    </w:p>
    <w:p w14:paraId="5B5AE427" w14:textId="77777777" w:rsidR="00F15A74" w:rsidRPr="005970E9" w:rsidRDefault="00F15A74" w:rsidP="00420B0B">
      <w:pPr>
        <w:spacing w:before="120" w:after="120"/>
        <w:ind w:left="1428" w:hanging="720"/>
        <w:jc w:val="both"/>
        <w:rPr>
          <w:rFonts w:eastAsia="Century Schoolbook" w:cs="Century Schoolbook"/>
        </w:rPr>
      </w:pPr>
      <w:r w:rsidRPr="005970E9">
        <w:rPr>
          <w:rFonts w:eastAsia="Century Schoolbook" w:cs="Century Schoolbook"/>
        </w:rPr>
        <w:lastRenderedPageBreak/>
        <w:t>Orozco Corona, Mónica E. (2011) Análisis de la Encuesta del Uso del Tiempo (EUT) de Panamá.</w:t>
      </w:r>
    </w:p>
    <w:p w14:paraId="68BFAA56" w14:textId="2418F185" w:rsidR="009D6EBF"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 xml:space="preserve">PNUD </w:t>
      </w:r>
      <w:r w:rsidR="009D6EBF" w:rsidRPr="005970E9">
        <w:rPr>
          <w:rFonts w:eastAsia="Century Schoolbook" w:cs="Century Schoolbook"/>
        </w:rPr>
        <w:t xml:space="preserve">(2016) </w:t>
      </w:r>
      <w:r w:rsidR="003C708D" w:rsidRPr="005970E9">
        <w:rPr>
          <w:rFonts w:eastAsia="Century Schoolbook" w:cs="Century Schoolbook"/>
        </w:rPr>
        <w:t>Diagnóstico Situación de las mujeres indígenas de Panamá.</w:t>
      </w:r>
    </w:p>
    <w:p w14:paraId="48EF8FD3" w14:textId="5396FEF9" w:rsidR="00F15A74" w:rsidRPr="005970E9" w:rsidRDefault="009D6EBF" w:rsidP="00420B0B">
      <w:pPr>
        <w:spacing w:before="120" w:after="120"/>
        <w:ind w:left="720" w:hanging="720"/>
        <w:jc w:val="both"/>
        <w:rPr>
          <w:rFonts w:eastAsia="Century Schoolbook" w:cs="Century Schoolbook"/>
        </w:rPr>
      </w:pPr>
      <w:r w:rsidRPr="005970E9">
        <w:rPr>
          <w:rFonts w:eastAsia="Century Schoolbook" w:cs="Century Schoolbook"/>
        </w:rPr>
        <w:t xml:space="preserve">_______ </w:t>
      </w:r>
      <w:r w:rsidR="00F15A74" w:rsidRPr="005970E9">
        <w:rPr>
          <w:rFonts w:eastAsia="Century Schoolbook" w:cs="Century Schoolbook"/>
        </w:rPr>
        <w:t>(2017) El bienestar cuidado: Una responsabilidad que debe ser compartida. En Cuaderno de Desarrollo Humano. Panamá.</w:t>
      </w:r>
    </w:p>
    <w:p w14:paraId="296D5B75"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 xml:space="preserve">_______ (2019) Informe sobre Desarrollo Humano 2019. Más allá del ingreso, más allá de los promedios, más allá del presente: Desigualdades del desarrollo humano en el siglo XXI. </w:t>
      </w:r>
      <w:hyperlink r:id="rId99">
        <w:r w:rsidRPr="005970E9">
          <w:rPr>
            <w:rFonts w:eastAsia="Century Schoolbook" w:cs="Century Schoolbook"/>
          </w:rPr>
          <w:t>http://hdr.undp.org/sites/default/files/hdr2019_technical_notes.pdf</w:t>
        </w:r>
      </w:hyperlink>
    </w:p>
    <w:p w14:paraId="635A6E1F" w14:textId="6BF63F80"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 xml:space="preserve">_______ (2019a) Crecimiento sin Igualdad no es Desarrollo. </w:t>
      </w:r>
    </w:p>
    <w:p w14:paraId="2F243EE1" w14:textId="20D33205" w:rsidR="00835D01" w:rsidRPr="005970E9" w:rsidRDefault="00835D01" w:rsidP="00420B0B">
      <w:pPr>
        <w:spacing w:before="120" w:after="120"/>
        <w:ind w:left="720" w:hanging="720"/>
        <w:jc w:val="both"/>
        <w:rPr>
          <w:rFonts w:eastAsia="Century Schoolbook" w:cs="Century Schoolbook"/>
        </w:rPr>
      </w:pPr>
      <w:r w:rsidRPr="005970E9">
        <w:rPr>
          <w:rFonts w:eastAsia="Century Schoolbook" w:cs="Century Schoolbook"/>
        </w:rPr>
        <w:softHyphen/>
      </w:r>
      <w:r w:rsidRPr="005970E9">
        <w:rPr>
          <w:rFonts w:eastAsia="Century Schoolbook" w:cs="Century Schoolbook"/>
        </w:rPr>
        <w:softHyphen/>
      </w:r>
      <w:r w:rsidRPr="005970E9">
        <w:rPr>
          <w:rFonts w:eastAsia="Century Schoolbook" w:cs="Century Schoolbook"/>
        </w:rPr>
        <w:softHyphen/>
        <w:t xml:space="preserve">________ (2016) María Ángeles Sallé. </w:t>
      </w:r>
      <w:r w:rsidRPr="005970E9">
        <w:t>Diagnóstico de la Red de Mecanismos.</w:t>
      </w:r>
    </w:p>
    <w:p w14:paraId="1F3F7434"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 xml:space="preserve">SENACYT - Consorcio Innovos Group S.A. -Bolsa de Comercio de Cordoba (2019) Análisis de los determinantes económicos del déficit de inversión en investigación y desarrollo en Panamá. Ciudad de Panamá. </w:t>
      </w:r>
    </w:p>
    <w:p w14:paraId="6059B9AB" w14:textId="77777777" w:rsidR="00F15A74" w:rsidRPr="005970E9" w:rsidRDefault="00F15A74" w:rsidP="00420B0B">
      <w:pPr>
        <w:ind w:left="720" w:hanging="720"/>
        <w:jc w:val="both"/>
        <w:rPr>
          <w:rFonts w:eastAsia="Century Schoolbook" w:cs="Century Schoolbook"/>
        </w:rPr>
      </w:pPr>
      <w:r w:rsidRPr="005970E9">
        <w:rPr>
          <w:rFonts w:eastAsia="Century Schoolbook" w:cs="Century Schoolbook"/>
        </w:rPr>
        <w:t>SENACYT - participación de las mujeres en la ciencia en Panamá (SENACYT - PNUD) 2018</w:t>
      </w:r>
    </w:p>
    <w:p w14:paraId="6D34B999"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SENAPAN (2017) Plan Nacional de Seguridad Alimentaria y Nutricional de Panamá 2017-2021. Panamá.</w:t>
      </w:r>
    </w:p>
    <w:p w14:paraId="1AC112AD"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Septuagésimo cuarto periodo de sesiones. Tema 22 b) del programa provisional* Erradicación de la pobreza y otras cuestiones de desarrollo. Las mujeres en el desarrollo. Informe del Secretario General.</w:t>
      </w:r>
    </w:p>
    <w:p w14:paraId="7BF6467E" w14:textId="77777777" w:rsidR="00F15A74" w:rsidRPr="005970E9" w:rsidRDefault="00F15A74" w:rsidP="00420B0B">
      <w:pPr>
        <w:spacing w:before="120" w:after="120"/>
        <w:ind w:left="720" w:hanging="720"/>
        <w:jc w:val="both"/>
        <w:rPr>
          <w:lang w:val="en-US"/>
        </w:rPr>
      </w:pPr>
      <w:r w:rsidRPr="00420B0B">
        <w:rPr>
          <w:rFonts w:eastAsia="Century Schoolbook" w:cs="Century Schoolbook"/>
          <w:lang w:val="en-US"/>
        </w:rPr>
        <w:t xml:space="preserve">UNCT-SWAP Gender Equality Scorecard (2018). </w:t>
      </w:r>
      <w:r w:rsidRPr="005970E9">
        <w:rPr>
          <w:lang w:val="en-US"/>
        </w:rPr>
        <w:t>Performance indicators for gender equality and the empowerment of women for united nations country teams.</w:t>
      </w:r>
    </w:p>
    <w:p w14:paraId="31FB5333" w14:textId="652D18AE" w:rsidR="00F15A74" w:rsidRDefault="00F15A74" w:rsidP="00420B0B">
      <w:pPr>
        <w:spacing w:before="120" w:after="120"/>
        <w:ind w:left="720" w:hanging="720"/>
        <w:jc w:val="both"/>
        <w:rPr>
          <w:rFonts w:eastAsia="Century Schoolbook" w:cs="Century Schoolbook"/>
        </w:rPr>
      </w:pPr>
      <w:r w:rsidRPr="005970E9">
        <w:rPr>
          <w:rFonts w:eastAsia="Century Schoolbook" w:cs="Century Schoolbook"/>
        </w:rPr>
        <w:t>UNFPA (2019) Análisis de situación de país. Consultoría.</w:t>
      </w:r>
    </w:p>
    <w:p w14:paraId="75765284" w14:textId="36042135" w:rsidR="00420B0B" w:rsidRPr="00420B0B" w:rsidRDefault="003F0C50" w:rsidP="00420B0B">
      <w:pPr>
        <w:shd w:val="clear" w:color="auto" w:fill="FFFFFF"/>
        <w:spacing w:before="120" w:after="120"/>
        <w:jc w:val="both"/>
        <w:rPr>
          <w:rFonts w:eastAsia="Times New Roman" w:cs="Arial"/>
          <w:color w:val="222222"/>
        </w:rPr>
      </w:pPr>
      <w:r w:rsidRPr="00420B0B">
        <w:t xml:space="preserve">UNICEF </w:t>
      </w:r>
      <w:r w:rsidR="00420B0B" w:rsidRPr="00420B0B">
        <w:t xml:space="preserve">(2019) </w:t>
      </w:r>
      <w:r w:rsidR="00420B0B" w:rsidRPr="00420B0B">
        <w:rPr>
          <w:rFonts w:eastAsia="Times New Roman" w:cs="Arial"/>
          <w:color w:val="222222"/>
        </w:rPr>
        <w:t>Situación de los derechos de la niñez y la adolescencia en Panamá.</w:t>
      </w:r>
    </w:p>
    <w:p w14:paraId="3E4266BC" w14:textId="7211CF43" w:rsidR="00420B0B" w:rsidRPr="00420B0B" w:rsidRDefault="00420B0B" w:rsidP="00420B0B">
      <w:pPr>
        <w:shd w:val="clear" w:color="auto" w:fill="FFFFFF"/>
        <w:spacing w:before="120" w:after="120"/>
        <w:jc w:val="both"/>
        <w:rPr>
          <w:rFonts w:eastAsia="Times New Roman" w:cs="Arial"/>
          <w:color w:val="222222"/>
        </w:rPr>
      </w:pPr>
      <w:r>
        <w:rPr>
          <w:rFonts w:eastAsia="Times New Roman" w:cs="Arial"/>
          <w:color w:val="222222"/>
        </w:rPr>
        <w:t xml:space="preserve">________ </w:t>
      </w:r>
      <w:r w:rsidRPr="00420B0B">
        <w:rPr>
          <w:rFonts w:eastAsia="Times New Roman" w:cs="Arial"/>
          <w:color w:val="222222"/>
        </w:rPr>
        <w:t>(2018). Análisis de situación de violencias contra niños, niñas y adolescentes en Panamá. Un documento para el aprendizaje, la toma de decisiones y la acción.</w:t>
      </w:r>
    </w:p>
    <w:p w14:paraId="11B39616"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VOCES (2019) Plan de fortalecimiento de las organizaciones para inserción en las acciones del decenio afrodescendiente. </w:t>
      </w:r>
    </w:p>
    <w:p w14:paraId="31917334" w14:textId="77777777" w:rsidR="00F15A74" w:rsidRPr="005970E9" w:rsidRDefault="00F15A74" w:rsidP="00420B0B">
      <w:pPr>
        <w:shd w:val="clear" w:color="auto" w:fill="FFFFFF"/>
        <w:spacing w:before="120" w:after="120"/>
        <w:ind w:left="731" w:hanging="720"/>
        <w:jc w:val="both"/>
        <w:rPr>
          <w:rFonts w:eastAsia="Century Schoolbook" w:cs="Century Schoolbook"/>
        </w:rPr>
      </w:pPr>
      <w:r w:rsidRPr="005970E9">
        <w:rPr>
          <w:rFonts w:eastAsia="Century Schoolbook" w:cs="Century Schoolbook"/>
        </w:rPr>
        <w:t xml:space="preserve">Vizcarra Bordi, Ivonne (2008) Entre las desigualdades de género: un lugar para las mujeres pobres en la seguridad alimentaria y el combate al hambre, UAEM, México. </w:t>
      </w:r>
    </w:p>
    <w:p w14:paraId="33FD67FC"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 xml:space="preserve">Xinyu, Mei (2019) Instituto de Comercio Internacional y Cooperación Económica del Ministerio de Comercio de China, entrevista de Sputnik, (22/1/2019). </w:t>
      </w:r>
    </w:p>
    <w:p w14:paraId="1B8AFD13" w14:textId="77777777" w:rsidR="00F15A74" w:rsidRPr="005970E9" w:rsidRDefault="00F15A74" w:rsidP="00420B0B">
      <w:pPr>
        <w:spacing w:before="120" w:after="120"/>
        <w:ind w:left="720" w:hanging="720"/>
        <w:jc w:val="both"/>
        <w:rPr>
          <w:rFonts w:eastAsia="Century Schoolbook" w:cs="Century Schoolbook"/>
        </w:rPr>
      </w:pPr>
      <w:r w:rsidRPr="005970E9">
        <w:rPr>
          <w:rFonts w:eastAsia="Century Schoolbook" w:cs="Century Schoolbook"/>
        </w:rPr>
        <w:t>Zavala, Verónica; Garcimartín, Carlos; Astudillo, Jhonatan y Ruíz-Arranz, Marta (2019) Desafíos para consolidar su desarrollo. Banco Interamericano de Desarrollo (BID).</w:t>
      </w:r>
    </w:p>
    <w:p w14:paraId="3E1B832A" w14:textId="77777777" w:rsidR="00F15A74" w:rsidRPr="005970E9" w:rsidRDefault="00F15A74" w:rsidP="00420B0B">
      <w:pPr>
        <w:ind w:right="-896"/>
        <w:jc w:val="both"/>
        <w:rPr>
          <w:rFonts w:eastAsia="Century Schoolbook" w:cs="Century Schoolbook"/>
          <w:b/>
        </w:rPr>
      </w:pPr>
    </w:p>
    <w:p w14:paraId="4083C41D" w14:textId="77777777" w:rsidR="00F15A74" w:rsidRPr="005970E9" w:rsidRDefault="00F15A74" w:rsidP="00420B0B">
      <w:pPr>
        <w:ind w:right="-896"/>
        <w:jc w:val="both"/>
        <w:rPr>
          <w:rFonts w:eastAsia="Century Schoolbook" w:cs="Century Schoolbook"/>
          <w:b/>
        </w:rPr>
      </w:pPr>
      <w:r w:rsidRPr="005970E9">
        <w:rPr>
          <w:rFonts w:eastAsia="Century Schoolbook" w:cs="Century Schoolbook"/>
          <w:b/>
        </w:rPr>
        <w:t>Páginas WEB a consultar en diciembre 2019 y enero-abril de 2020.</w:t>
      </w:r>
    </w:p>
    <w:p w14:paraId="1A076EEB" w14:textId="77777777" w:rsidR="00F15A74" w:rsidRPr="005970E9" w:rsidRDefault="00F15A74" w:rsidP="00420B0B">
      <w:pPr>
        <w:spacing w:before="120" w:after="120"/>
        <w:jc w:val="both"/>
        <w:rPr>
          <w:rFonts w:eastAsia="Century Schoolbook" w:cs="Century Schoolbook"/>
        </w:rPr>
      </w:pPr>
      <w:r w:rsidRPr="005970E9">
        <w:rPr>
          <w:rFonts w:eastAsia="Century Schoolbook" w:cs="Century Schoolbook"/>
        </w:rPr>
        <w:t xml:space="preserve">Boletín 15. Estimaciones y proyecciones de la población en la república, provincia, comarca indígena, según sexo y edad; 2010-20. INEC, </w:t>
      </w:r>
      <w:hyperlink r:id="rId100">
        <w:r w:rsidRPr="005970E9">
          <w:rPr>
            <w:rFonts w:eastAsia="Century Schoolbook" w:cs="Century Schoolbook"/>
          </w:rPr>
          <w:t>https://www.inec.gob.pa/publicaciones/Default3.aspx?ID_PUBLICACION=499&amp;ID_CATEGORIA=3&amp;ID_SUBCATEGORIA=10</w:t>
        </w:r>
      </w:hyperlink>
    </w:p>
    <w:p w14:paraId="2A36F3CE" w14:textId="77777777" w:rsidR="00F15A74" w:rsidRPr="005970E9" w:rsidRDefault="00062ABE" w:rsidP="00420B0B">
      <w:pPr>
        <w:spacing w:before="120" w:after="120"/>
        <w:jc w:val="both"/>
        <w:rPr>
          <w:rFonts w:eastAsia="Century Schoolbook" w:cs="Century Schoolbook"/>
        </w:rPr>
      </w:pPr>
      <w:hyperlink r:id="rId101">
        <w:r w:rsidR="00F15A74" w:rsidRPr="005970E9">
          <w:rPr>
            <w:rFonts w:eastAsia="Century Schoolbook" w:cs="Century Schoolbook"/>
          </w:rPr>
          <w:t>https://www.inec.gob.pa/archivos/A231POBLACI%C3%93N%20PROTEGIDA_2018.pdf</w:t>
        </w:r>
      </w:hyperlink>
    </w:p>
    <w:p w14:paraId="1933F5CA" w14:textId="77777777" w:rsidR="00F15A74" w:rsidRPr="005970E9" w:rsidRDefault="00062ABE" w:rsidP="00420B0B">
      <w:pPr>
        <w:spacing w:after="120"/>
        <w:ind w:right="-896"/>
        <w:jc w:val="both"/>
        <w:rPr>
          <w:rFonts w:eastAsia="Century Schoolbook" w:cs="Century Schoolbook"/>
        </w:rPr>
      </w:pPr>
      <w:hyperlink r:id="rId102">
        <w:r w:rsidR="00F15A74" w:rsidRPr="005970E9">
          <w:rPr>
            <w:rFonts w:eastAsia="Century Schoolbook" w:cs="Century Schoolbook"/>
          </w:rPr>
          <w:t>http://www.exteriores.gob.es/Documents/FichasPais/PANAMA_FICHA%20PAIS.pdf</w:t>
        </w:r>
      </w:hyperlink>
    </w:p>
    <w:p w14:paraId="7968F296" w14:textId="77777777" w:rsidR="00F15A74" w:rsidRPr="005970E9" w:rsidRDefault="00062ABE" w:rsidP="00420B0B">
      <w:pPr>
        <w:spacing w:after="120"/>
        <w:ind w:right="-896"/>
        <w:jc w:val="both"/>
        <w:rPr>
          <w:rFonts w:eastAsia="Century Schoolbook" w:cs="Century Schoolbook"/>
        </w:rPr>
      </w:pPr>
      <w:hyperlink r:id="rId103">
        <w:r w:rsidR="00F15A74" w:rsidRPr="005970E9">
          <w:rPr>
            <w:rFonts w:eastAsia="Century Schoolbook" w:cs="Century Schoolbook"/>
          </w:rPr>
          <w:t>https://espanol.mapsofworld.com/search.php?query=panama&amp;sa=Buscar&amp;search=Search</w:t>
        </w:r>
      </w:hyperlink>
    </w:p>
    <w:p w14:paraId="4A2F6B23" w14:textId="77777777" w:rsidR="00F15A74" w:rsidRPr="005970E9" w:rsidRDefault="00062ABE" w:rsidP="00420B0B">
      <w:pPr>
        <w:spacing w:after="120"/>
        <w:ind w:right="-896"/>
        <w:jc w:val="both"/>
        <w:rPr>
          <w:rFonts w:eastAsia="Century Schoolbook" w:cs="Century Schoolbook"/>
        </w:rPr>
      </w:pPr>
      <w:hyperlink r:id="rId104">
        <w:r w:rsidR="00F15A74" w:rsidRPr="005970E9">
          <w:rPr>
            <w:rFonts w:eastAsia="Century Schoolbook" w:cs="Century Schoolbook"/>
          </w:rPr>
          <w:t>https://extranet.who.int/sree/Reports?op=Replet&amp;name=%2FWHO_HQ_Reports%2FG2%2FPROD%2FEXT%2FTBCountryProfile&amp;ISO2=PA&amp;LAN=ES&amp;outtype=pdf</w:t>
        </w:r>
      </w:hyperlink>
    </w:p>
    <w:p w14:paraId="182E074B" w14:textId="77777777" w:rsidR="00F15A74" w:rsidRPr="005970E9" w:rsidRDefault="00062ABE" w:rsidP="00420B0B">
      <w:pPr>
        <w:spacing w:after="120"/>
        <w:ind w:right="-896"/>
        <w:jc w:val="both"/>
        <w:rPr>
          <w:rFonts w:eastAsia="Century Schoolbook" w:cs="Century Schoolbook"/>
        </w:rPr>
      </w:pPr>
      <w:hyperlink r:id="rId105">
        <w:r w:rsidR="00F15A74" w:rsidRPr="005970E9">
          <w:rPr>
            <w:rFonts w:eastAsia="Century Schoolbook" w:cs="Century Schoolbook"/>
          </w:rPr>
          <w:t>https://ilostat.ilo.org/es/data/country-profiles/</w:t>
        </w:r>
      </w:hyperlink>
    </w:p>
    <w:p w14:paraId="38DA791A" w14:textId="77777777" w:rsidR="00F15A74" w:rsidRPr="005970E9" w:rsidRDefault="00062ABE" w:rsidP="00420B0B">
      <w:pPr>
        <w:spacing w:after="120"/>
        <w:ind w:right="-896"/>
        <w:jc w:val="both"/>
        <w:rPr>
          <w:rFonts w:eastAsia="Century Schoolbook" w:cs="Century Schoolbook"/>
        </w:rPr>
      </w:pPr>
      <w:hyperlink r:id="rId106">
        <w:r w:rsidR="00F15A74" w:rsidRPr="005970E9">
          <w:rPr>
            <w:rFonts w:eastAsia="Century Schoolbook" w:cs="Century Schoolbook"/>
          </w:rPr>
          <w:t>https://intradebid.org/perfil</w:t>
        </w:r>
      </w:hyperlink>
    </w:p>
    <w:p w14:paraId="30649E68" w14:textId="77777777" w:rsidR="00F15A74" w:rsidRPr="005970E9" w:rsidRDefault="00062ABE" w:rsidP="00420B0B">
      <w:pPr>
        <w:spacing w:after="120"/>
        <w:jc w:val="both"/>
        <w:rPr>
          <w:rFonts w:eastAsia="Century Schoolbook" w:cs="Century Schoolbook"/>
        </w:rPr>
      </w:pPr>
      <w:hyperlink r:id="rId107">
        <w:r w:rsidR="00F15A74" w:rsidRPr="005970E9">
          <w:rPr>
            <w:rFonts w:eastAsia="Century Schoolbook" w:cs="Century Schoolbook"/>
          </w:rPr>
          <w:t>https://mundo.sputniknews.com/economia/201901221084921855-ralentizacion-economia-china-causas-consecuencias-peligro-mundo/</w:t>
        </w:r>
      </w:hyperlink>
    </w:p>
    <w:p w14:paraId="1F1DCBF5" w14:textId="77777777" w:rsidR="00F15A74" w:rsidRPr="005970E9" w:rsidRDefault="00062ABE" w:rsidP="00420B0B">
      <w:pPr>
        <w:spacing w:after="120"/>
        <w:ind w:right="-896"/>
        <w:jc w:val="both"/>
        <w:rPr>
          <w:rFonts w:eastAsia="Century Schoolbook" w:cs="Century Schoolbook"/>
        </w:rPr>
      </w:pPr>
      <w:hyperlink r:id="rId108">
        <w:r w:rsidR="00F15A74" w:rsidRPr="005970E9">
          <w:rPr>
            <w:rFonts w:eastAsia="Century Schoolbook" w:cs="Century Schoolbook"/>
          </w:rPr>
          <w:t>https://oig.cepal.org/es/paises/18/profile</w:t>
        </w:r>
      </w:hyperlink>
    </w:p>
    <w:p w14:paraId="5526371E" w14:textId="77777777" w:rsidR="00F15A74" w:rsidRPr="005970E9" w:rsidRDefault="00062ABE" w:rsidP="00420B0B">
      <w:pPr>
        <w:spacing w:after="120"/>
        <w:jc w:val="both"/>
        <w:rPr>
          <w:rFonts w:eastAsia="Century Schoolbook" w:cs="Century Schoolbook"/>
        </w:rPr>
      </w:pPr>
      <w:hyperlink r:id="rId109">
        <w:r w:rsidR="00F15A74" w:rsidRPr="005970E9">
          <w:rPr>
            <w:rFonts w:eastAsia="Century Schoolbook" w:cs="Century Schoolbook"/>
          </w:rPr>
          <w:t>https://www.bancomundial.org/es/publication/global-economic-prospects</w:t>
        </w:r>
      </w:hyperlink>
    </w:p>
    <w:p w14:paraId="361D4DD2" w14:textId="77777777" w:rsidR="00F15A74" w:rsidRPr="005970E9" w:rsidRDefault="00062ABE" w:rsidP="00420B0B">
      <w:pPr>
        <w:spacing w:after="120"/>
        <w:ind w:right="-896"/>
        <w:jc w:val="both"/>
        <w:rPr>
          <w:rFonts w:eastAsia="Century Schoolbook" w:cs="Century Schoolbook"/>
        </w:rPr>
      </w:pPr>
      <w:hyperlink r:id="rId110">
        <w:r w:rsidR="00F15A74" w:rsidRPr="005970E9">
          <w:rPr>
            <w:rFonts w:eastAsia="Century Schoolbook" w:cs="Century Schoolbook"/>
          </w:rPr>
          <w:t>https://www.ilo.org/dyn/normlex/es/f?p=1000:11110:0::NO:11110:P11110_COUNTRY_ID:102792</w:t>
        </w:r>
      </w:hyperlink>
    </w:p>
    <w:p w14:paraId="1D3F358D" w14:textId="77777777" w:rsidR="00F15A74" w:rsidRPr="005970E9" w:rsidRDefault="00062ABE" w:rsidP="00420B0B">
      <w:pPr>
        <w:spacing w:after="120"/>
        <w:ind w:right="-896"/>
        <w:jc w:val="both"/>
        <w:rPr>
          <w:rFonts w:eastAsia="Century Schoolbook" w:cs="Century Schoolbook"/>
        </w:rPr>
      </w:pPr>
      <w:hyperlink r:id="rId111">
        <w:r w:rsidR="00F15A74" w:rsidRPr="005970E9">
          <w:rPr>
            <w:rFonts w:eastAsia="Century Schoolbook" w:cs="Century Schoolbook"/>
          </w:rPr>
          <w:t>https://www.ohchr.org/SP/Issues/Women/WRGS/Pages/WRGSIndex.aspx</w:t>
        </w:r>
      </w:hyperlink>
    </w:p>
    <w:p w14:paraId="1CF627E9" w14:textId="77777777" w:rsidR="00F15A74" w:rsidRPr="005970E9" w:rsidRDefault="00062ABE" w:rsidP="00420B0B">
      <w:pPr>
        <w:spacing w:after="120"/>
        <w:ind w:right="-896"/>
        <w:jc w:val="both"/>
        <w:rPr>
          <w:rFonts w:eastAsia="Century Schoolbook" w:cs="Century Schoolbook"/>
        </w:rPr>
      </w:pPr>
      <w:hyperlink r:id="rId112">
        <w:r w:rsidR="00F15A74" w:rsidRPr="005970E9">
          <w:rPr>
            <w:rFonts w:eastAsia="Century Schoolbook" w:cs="Century Schoolbook"/>
          </w:rPr>
          <w:t>https://www.paho.org/salud-en-las-americas-2017/wp-content/uploads/2017/09/Print-Version-Spanish.pdf</w:t>
        </w:r>
      </w:hyperlink>
    </w:p>
    <w:p w14:paraId="2A65C646" w14:textId="77777777" w:rsidR="00F15A74" w:rsidRPr="005970E9" w:rsidRDefault="00062ABE" w:rsidP="00420B0B">
      <w:pPr>
        <w:spacing w:after="120"/>
        <w:ind w:right="-896"/>
        <w:jc w:val="both"/>
        <w:rPr>
          <w:rFonts w:eastAsia="Century Schoolbook" w:cs="Century Schoolbook"/>
        </w:rPr>
      </w:pPr>
      <w:hyperlink r:id="rId113">
        <w:r w:rsidR="00F15A74" w:rsidRPr="005970E9">
          <w:rPr>
            <w:rFonts w:eastAsia="Century Schoolbook" w:cs="Century Schoolbook"/>
          </w:rPr>
          <w:t>https://www.refworld.org.es/cgi-bin/texis/vtx/rwmain?page=search&amp;skip=0&amp;query=&amp;coi=PAN</w:t>
        </w:r>
      </w:hyperlink>
    </w:p>
    <w:p w14:paraId="1D7440DA" w14:textId="77777777" w:rsidR="00F15A74" w:rsidRPr="005970E9" w:rsidRDefault="00062ABE" w:rsidP="00420B0B">
      <w:pPr>
        <w:spacing w:after="120"/>
        <w:ind w:right="-896"/>
        <w:jc w:val="both"/>
        <w:rPr>
          <w:rFonts w:eastAsia="Century Schoolbook" w:cs="Century Schoolbook"/>
        </w:rPr>
      </w:pPr>
      <w:hyperlink r:id="rId114">
        <w:r w:rsidR="00F15A74" w:rsidRPr="005970E9">
          <w:rPr>
            <w:rFonts w:eastAsia="Century Schoolbook" w:cs="Century Schoolbook"/>
          </w:rPr>
          <w:t>https://www.who.int/countries/pan/es/</w:t>
        </w:r>
      </w:hyperlink>
    </w:p>
    <w:p w14:paraId="0FE8A15F" w14:textId="77777777" w:rsidR="00F15A74" w:rsidRPr="005970E9" w:rsidRDefault="00062ABE" w:rsidP="00420B0B">
      <w:pPr>
        <w:spacing w:after="120"/>
        <w:ind w:right="-896"/>
        <w:jc w:val="both"/>
        <w:rPr>
          <w:rFonts w:eastAsia="Century Schoolbook" w:cs="Century Schoolbook"/>
        </w:rPr>
      </w:pPr>
      <w:hyperlink r:id="rId115">
        <w:r w:rsidR="00F15A74" w:rsidRPr="005970E9">
          <w:rPr>
            <w:rFonts w:eastAsia="Century Schoolbook" w:cs="Century Schoolbook"/>
          </w:rPr>
          <w:t>https://www.wipo.int/directory/es/details.jsp?country_code=PA</w:t>
        </w:r>
      </w:hyperlink>
    </w:p>
    <w:p w14:paraId="6A837980" w14:textId="77777777" w:rsidR="00F15A74" w:rsidRPr="005970E9" w:rsidRDefault="00062ABE" w:rsidP="00420B0B">
      <w:pPr>
        <w:spacing w:before="120" w:after="120"/>
        <w:jc w:val="both"/>
        <w:rPr>
          <w:rFonts w:eastAsia="Century Schoolbook" w:cs="Century Schoolbook"/>
        </w:rPr>
      </w:pPr>
      <w:hyperlink r:id="rId116">
        <w:r w:rsidR="00F15A74" w:rsidRPr="005970E9">
          <w:rPr>
            <w:rFonts w:eastAsia="Century Schoolbook" w:cs="Century Schoolbook"/>
          </w:rPr>
          <w:t>https://www.prensa.com/impresa/panorama/pacto-de-estado-pide-no-parchar-codigo-penal/</w:t>
        </w:r>
      </w:hyperlink>
    </w:p>
    <w:p w14:paraId="50D901FC" w14:textId="77777777" w:rsidR="00F15A74" w:rsidRPr="005970E9" w:rsidRDefault="00062ABE" w:rsidP="00420B0B">
      <w:pPr>
        <w:spacing w:before="120" w:after="120"/>
        <w:jc w:val="both"/>
        <w:rPr>
          <w:rFonts w:eastAsia="Century Schoolbook" w:cs="Century Schoolbook"/>
        </w:rPr>
      </w:pPr>
      <w:hyperlink r:id="rId117">
        <w:r w:rsidR="00F15A74" w:rsidRPr="005970E9">
          <w:rPr>
            <w:rFonts w:eastAsia="Century Schoolbook" w:cs="Century Schoolbook"/>
          </w:rPr>
          <w:t>https://www.prensa.com/impresa/opinion/hostigamiento-judicial/</w:t>
        </w:r>
      </w:hyperlink>
    </w:p>
    <w:p w14:paraId="302DFC43" w14:textId="77777777" w:rsidR="00F15A74" w:rsidRPr="005970E9" w:rsidRDefault="00062ABE" w:rsidP="00420B0B">
      <w:pPr>
        <w:spacing w:before="120" w:after="120"/>
        <w:jc w:val="both"/>
        <w:rPr>
          <w:rFonts w:eastAsia="Century Schoolbook" w:cs="Century Schoolbook"/>
        </w:rPr>
      </w:pPr>
      <w:hyperlink r:id="rId118">
        <w:r w:rsidR="00F15A74" w:rsidRPr="005970E9">
          <w:rPr>
            <w:rFonts w:eastAsia="Century Schoolbook" w:cs="Century Schoolbook"/>
          </w:rPr>
          <w:t>http://www.anati.gob.pa/Transparencia/titulos/Titulos_Entregados_Agot14_Dic18.pdf</w:t>
        </w:r>
      </w:hyperlink>
    </w:p>
    <w:p w14:paraId="6F335667" w14:textId="77777777" w:rsidR="00F15A74" w:rsidRPr="005970E9" w:rsidRDefault="00062ABE" w:rsidP="00420B0B">
      <w:pPr>
        <w:spacing w:before="120" w:after="120"/>
        <w:jc w:val="both"/>
        <w:rPr>
          <w:rFonts w:eastAsia="Century Schoolbook" w:cs="Century Schoolbook"/>
        </w:rPr>
      </w:pPr>
      <w:hyperlink r:id="rId119">
        <w:r w:rsidR="00F15A74" w:rsidRPr="005970E9">
          <w:rPr>
            <w:rFonts w:eastAsia="Century Schoolbook" w:cs="Century Schoolbook"/>
          </w:rPr>
          <w:t>http://www.scielo.org.mx/scielo.php?script=sci_arttext&amp;pid=S0187-57952008000200007</w:t>
        </w:r>
      </w:hyperlink>
    </w:p>
    <w:p w14:paraId="1F8692E0" w14:textId="77777777" w:rsidR="00F15A74" w:rsidRPr="005970E9" w:rsidRDefault="00062ABE" w:rsidP="00420B0B">
      <w:pPr>
        <w:spacing w:before="120"/>
        <w:jc w:val="both"/>
        <w:rPr>
          <w:rFonts w:eastAsia="Century Schoolbook" w:cs="Century Schoolbook"/>
        </w:rPr>
      </w:pPr>
      <w:hyperlink r:id="rId120">
        <w:r w:rsidR="00F15A74" w:rsidRPr="005970E9">
          <w:rPr>
            <w:rFonts w:eastAsia="Century Schoolbook" w:cs="Century Schoolbook"/>
          </w:rPr>
          <w:t>https://inamu.gob.pa/inamu-rinde-informe-de-gestion-2014-2018/</w:t>
        </w:r>
      </w:hyperlink>
    </w:p>
    <w:p w14:paraId="08BD4CC2" w14:textId="77777777" w:rsidR="00F15A74" w:rsidRPr="005970E9" w:rsidRDefault="00062ABE" w:rsidP="00420B0B">
      <w:pPr>
        <w:spacing w:before="120"/>
        <w:jc w:val="both"/>
        <w:rPr>
          <w:rFonts w:eastAsia="Century Schoolbook" w:cs="Century Schoolbook"/>
        </w:rPr>
      </w:pPr>
      <w:hyperlink r:id="rId121">
        <w:r w:rsidR="00F15A74" w:rsidRPr="005970E9">
          <w:rPr>
            <w:rFonts w:eastAsia="Century Schoolbook" w:cs="Century Schoolbook"/>
          </w:rPr>
          <w:t>https://inamu.gob.pa/historia-de-la-institucionalidad-de-las-mujeres-en-panama/</w:t>
        </w:r>
      </w:hyperlink>
    </w:p>
    <w:p w14:paraId="6136567D" w14:textId="77777777" w:rsidR="00F15A74" w:rsidRPr="005970E9" w:rsidRDefault="00062ABE" w:rsidP="00420B0B">
      <w:pPr>
        <w:spacing w:before="120"/>
        <w:jc w:val="both"/>
        <w:rPr>
          <w:rFonts w:eastAsia="Century Schoolbook" w:cs="Century Schoolbook"/>
        </w:rPr>
      </w:pPr>
      <w:hyperlink r:id="rId122">
        <w:r w:rsidR="00F15A74" w:rsidRPr="005970E9">
          <w:rPr>
            <w:rFonts w:eastAsia="Century Schoolbook" w:cs="Century Schoolbook"/>
          </w:rPr>
          <w:t>http://www.minsa.gob.pa/noticia/obesidad-y-sobrepeso-se-mantienen-como-principales-padecimientos-en-ninos-escolares</w:t>
        </w:r>
      </w:hyperlink>
    </w:p>
    <w:p w14:paraId="7CA0D319" w14:textId="77777777" w:rsidR="00F15A74" w:rsidRPr="005970E9" w:rsidRDefault="00062ABE" w:rsidP="00420B0B">
      <w:pPr>
        <w:spacing w:before="120"/>
        <w:jc w:val="both"/>
        <w:rPr>
          <w:rFonts w:eastAsia="Century Schoolbook" w:cs="Century Schoolbook"/>
        </w:rPr>
      </w:pPr>
      <w:hyperlink r:id="rId123">
        <w:r w:rsidR="00F15A74" w:rsidRPr="005970E9">
          <w:rPr>
            <w:rFonts w:eastAsia="Century Schoolbook" w:cs="Century Schoolbook"/>
          </w:rPr>
          <w:t>http://www.css.gob.pa/web/29-abril-2019ob.html</w:t>
        </w:r>
      </w:hyperlink>
    </w:p>
    <w:p w14:paraId="40CF502E" w14:textId="77777777" w:rsidR="00F15A74" w:rsidRPr="005970E9" w:rsidRDefault="00062ABE" w:rsidP="00420B0B">
      <w:pPr>
        <w:spacing w:before="120"/>
        <w:jc w:val="both"/>
        <w:rPr>
          <w:rFonts w:eastAsia="Century Schoolbook" w:cs="Century Schoolbook"/>
        </w:rPr>
      </w:pPr>
      <w:hyperlink r:id="rId124">
        <w:r w:rsidR="00F15A74" w:rsidRPr="005970E9">
          <w:rPr>
            <w:rFonts w:eastAsia="Century Schoolbook" w:cs="Century Schoolbook"/>
          </w:rPr>
          <w:t>http://minsa.gob.pa/noticia/campana-de-prevencion-y-combate-de-la-obesidad-infantil-en-panama-salva-tu-vida</w:t>
        </w:r>
      </w:hyperlink>
    </w:p>
    <w:p w14:paraId="6C43D657" w14:textId="77777777" w:rsidR="00F15A74" w:rsidRPr="005970E9" w:rsidRDefault="00062ABE" w:rsidP="00420B0B">
      <w:pPr>
        <w:spacing w:before="120" w:after="160"/>
        <w:jc w:val="both"/>
        <w:rPr>
          <w:rFonts w:eastAsia="Century Schoolbook" w:cs="Century Schoolbook"/>
        </w:rPr>
      </w:pPr>
      <w:hyperlink r:id="rId125">
        <w:r w:rsidR="00F15A74" w:rsidRPr="005970E9">
          <w:rPr>
            <w:rFonts w:eastAsia="Century Schoolbook" w:cs="Century Schoolbook"/>
          </w:rPr>
          <w:t>https://ppdpanama.org/proyectos/mapa-de-proyectos.html</w:t>
        </w:r>
      </w:hyperlink>
    </w:p>
    <w:p w14:paraId="0182BB73" w14:textId="4FB8249B" w:rsidR="00F15A74" w:rsidRPr="005970E9" w:rsidRDefault="00062ABE" w:rsidP="00420B0B">
      <w:pPr>
        <w:spacing w:before="120" w:after="160"/>
        <w:jc w:val="both"/>
        <w:rPr>
          <w:rFonts w:eastAsia="Century Schoolbook" w:cs="Century Schoolbook"/>
        </w:rPr>
      </w:pPr>
      <w:hyperlink r:id="rId126">
        <w:r w:rsidR="00F15A74" w:rsidRPr="005970E9">
          <w:rPr>
            <w:rFonts w:eastAsia="Century Schoolbook" w:cs="Century Schoolbook"/>
          </w:rPr>
          <w:t>https://www.pa.undp.org/content/panama/es/home/blog/el-genero-importa--tambien-en-las-cuestiones-ambientales.html</w:t>
        </w:r>
      </w:hyperlink>
    </w:p>
    <w:p w14:paraId="6661345C" w14:textId="6C470913" w:rsidR="0019664C" w:rsidRPr="005970E9" w:rsidRDefault="00062ABE" w:rsidP="00420B0B">
      <w:pPr>
        <w:spacing w:before="120" w:after="160"/>
        <w:jc w:val="both"/>
      </w:pPr>
      <w:hyperlink r:id="rId127" w:history="1">
        <w:r w:rsidR="0019664C" w:rsidRPr="005970E9">
          <w:rPr>
            <w:rStyle w:val="Hyperlink"/>
          </w:rPr>
          <w:t>https://www.pa.undp.org/content/panama/es/home/post-2015/sdg-overview/goal-2.html</w:t>
        </w:r>
      </w:hyperlink>
    </w:p>
    <w:p w14:paraId="7C340048" w14:textId="1A140A44" w:rsidR="00313217" w:rsidRPr="005970E9" w:rsidRDefault="00062ABE" w:rsidP="00420B0B">
      <w:pPr>
        <w:spacing w:before="120" w:after="160"/>
        <w:jc w:val="both"/>
      </w:pPr>
      <w:hyperlink r:id="rId128" w:history="1">
        <w:r w:rsidR="00313217" w:rsidRPr="005970E9">
          <w:rPr>
            <w:rStyle w:val="Hyperlink"/>
          </w:rPr>
          <w:t>https://www.cepal.org/es/comunicados/pandemia-covid-19-llevara-la-mayor-contraccion-la-actividad-economica-la-historia-la</w:t>
        </w:r>
      </w:hyperlink>
    </w:p>
    <w:p w14:paraId="14125C1C" w14:textId="77777777" w:rsidR="0023790C" w:rsidRPr="005970E9" w:rsidRDefault="00062ABE" w:rsidP="00420B0B">
      <w:pPr>
        <w:jc w:val="both"/>
        <w:rPr>
          <w:sz w:val="20"/>
          <w:szCs w:val="20"/>
        </w:rPr>
      </w:pPr>
      <w:hyperlink r:id="rId129" w:history="1">
        <w:r w:rsidR="0023790C" w:rsidRPr="005970E9">
          <w:rPr>
            <w:rStyle w:val="Hyperlink"/>
            <w:sz w:val="20"/>
            <w:szCs w:val="20"/>
          </w:rPr>
          <w:t>http://hdr.undp.org/sites/default/files/2018_human_development_statistical_update_es.pdf</w:t>
        </w:r>
      </w:hyperlink>
    </w:p>
    <w:p w14:paraId="0DDA8AFA" w14:textId="649103C9" w:rsidR="0023790C" w:rsidRPr="005970E9" w:rsidRDefault="00062ABE" w:rsidP="00420B0B">
      <w:pPr>
        <w:spacing w:before="120" w:after="160"/>
        <w:jc w:val="both"/>
        <w:rPr>
          <w:rFonts w:eastAsia="Century Schoolbook" w:cs="Century Schoolbook"/>
        </w:rPr>
      </w:pPr>
      <w:hyperlink r:id="rId130" w:history="1">
        <w:r w:rsidR="00A375F6" w:rsidRPr="005970E9">
          <w:rPr>
            <w:rStyle w:val="Hyperlink"/>
          </w:rPr>
          <w:t>https://www.prensa.com/impresa/martes-financiero/oit-debe-evitarse-el-cierre-de-empresas/?utm_source=newsletter&amp;utm_medium=email&amp;utm_campaign=titulares_tarde</w:t>
        </w:r>
      </w:hyperlink>
    </w:p>
    <w:p w14:paraId="0F5DD75D" w14:textId="12E61886" w:rsidR="00F15A74" w:rsidRPr="005970E9" w:rsidRDefault="00062ABE" w:rsidP="00420B0B">
      <w:pPr>
        <w:spacing w:before="120" w:after="120"/>
        <w:jc w:val="both"/>
        <w:rPr>
          <w:rFonts w:eastAsia="Century Schoolbook" w:cs="Century Schoolbook"/>
        </w:rPr>
      </w:pPr>
      <w:hyperlink r:id="rId131" w:history="1">
        <w:r w:rsidR="00F94652" w:rsidRPr="005970E9">
          <w:rPr>
            <w:rStyle w:val="Hyperlink"/>
          </w:rPr>
          <w:t>https://www.ilo.org/global/topics/equality-and-discrimination/epic/lang--es/index.htm</w:t>
        </w:r>
      </w:hyperlink>
    </w:p>
    <w:p w14:paraId="3E3402F2" w14:textId="77777777" w:rsidR="00F94652" w:rsidRPr="005970E9" w:rsidRDefault="00F94652" w:rsidP="00420B0B">
      <w:pPr>
        <w:spacing w:before="120" w:after="120"/>
        <w:jc w:val="both"/>
        <w:rPr>
          <w:rFonts w:eastAsia="Century Schoolbook" w:cs="Century Schoolbook"/>
          <w:b/>
        </w:rPr>
      </w:pPr>
    </w:p>
    <w:p w14:paraId="1E1BC130" w14:textId="263AF0C9" w:rsidR="00F15A74" w:rsidRPr="005970E9" w:rsidRDefault="00F15A74" w:rsidP="00420B0B">
      <w:pPr>
        <w:spacing w:before="120" w:after="120"/>
        <w:jc w:val="both"/>
        <w:rPr>
          <w:rFonts w:eastAsia="Century Schoolbook" w:cs="Century Schoolbook"/>
          <w:b/>
        </w:rPr>
      </w:pPr>
      <w:r w:rsidRPr="005970E9">
        <w:rPr>
          <w:rFonts w:eastAsia="Century Schoolbook" w:cs="Century Schoolbook"/>
          <w:b/>
        </w:rPr>
        <w:t>Información sobre reformas constitucionales Revisión diciembre 2019 y febrero 2020:</w:t>
      </w:r>
    </w:p>
    <w:p w14:paraId="29CF0879" w14:textId="77777777" w:rsidR="00F15A74" w:rsidRPr="005970E9" w:rsidRDefault="00062ABE" w:rsidP="00420B0B">
      <w:pPr>
        <w:spacing w:before="120" w:after="120"/>
        <w:jc w:val="both"/>
        <w:rPr>
          <w:rFonts w:eastAsia="Century Schoolbook" w:cs="Century Schoolbook"/>
        </w:rPr>
      </w:pPr>
      <w:hyperlink r:id="rId132">
        <w:r w:rsidR="00F15A74" w:rsidRPr="005970E9">
          <w:rPr>
            <w:rFonts w:eastAsia="Century Schoolbook" w:cs="Century Schoolbook"/>
          </w:rPr>
          <w:t>https://www.prensa.com/impresa/panorama/el-juego-de-las-risas-y-las-lagrimas-del-proceso-de-reformas-constitucionales/</w:t>
        </w:r>
      </w:hyperlink>
    </w:p>
    <w:p w14:paraId="0684C45E" w14:textId="77777777" w:rsidR="00F15A74" w:rsidRPr="005970E9" w:rsidRDefault="00062ABE" w:rsidP="00420B0B">
      <w:pPr>
        <w:spacing w:before="120" w:after="120"/>
        <w:jc w:val="both"/>
        <w:rPr>
          <w:rFonts w:eastAsia="Century Schoolbook" w:cs="Century Schoolbook"/>
        </w:rPr>
      </w:pPr>
      <w:hyperlink r:id="rId133">
        <w:r w:rsidR="00F15A74" w:rsidRPr="005970E9">
          <w:rPr>
            <w:rFonts w:eastAsia="Century Schoolbook" w:cs="Century Schoolbook"/>
          </w:rPr>
          <w:t>https://www.prensa.com/impresa/panorama/complicado-camino-reformas_0_5431706869.html</w:t>
        </w:r>
      </w:hyperlink>
    </w:p>
    <w:p w14:paraId="2E6E0109" w14:textId="77777777" w:rsidR="00F15A74" w:rsidRPr="005970E9" w:rsidRDefault="00F15A74" w:rsidP="00420B0B">
      <w:pPr>
        <w:spacing w:before="120" w:after="120"/>
        <w:jc w:val="both"/>
        <w:rPr>
          <w:rFonts w:eastAsia="Century Schoolbook" w:cs="Century Schoolbook"/>
        </w:rPr>
      </w:pPr>
      <w:r w:rsidRPr="005970E9">
        <w:rPr>
          <w:rFonts w:eastAsia="Century Schoolbook" w:cs="Century Schoolbook"/>
        </w:rPr>
        <w:t xml:space="preserve">Zamora, Juan (2019) AP Explica: Protestas ante reforma constitucional en Panamá. </w:t>
      </w:r>
      <w:hyperlink r:id="rId134">
        <w:r w:rsidRPr="005970E9">
          <w:rPr>
            <w:rFonts w:eastAsia="Century Schoolbook" w:cs="Century Schoolbook"/>
          </w:rPr>
          <w:t>https://apnews.com/1f8b6a20e290452cb67e561139c282b2</w:t>
        </w:r>
      </w:hyperlink>
    </w:p>
    <w:p w14:paraId="4D2A7EE9" w14:textId="77777777" w:rsidR="00F15A74" w:rsidRPr="005970E9" w:rsidRDefault="00062ABE" w:rsidP="00420B0B">
      <w:pPr>
        <w:spacing w:before="120" w:after="120"/>
        <w:jc w:val="both"/>
        <w:rPr>
          <w:rFonts w:eastAsia="Century Schoolbook" w:cs="Century Schoolbook"/>
        </w:rPr>
      </w:pPr>
      <w:hyperlink r:id="rId135">
        <w:r w:rsidR="00F15A74" w:rsidRPr="005970E9">
          <w:rPr>
            <w:rFonts w:eastAsia="Century Schoolbook" w:cs="Century Schoolbook"/>
          </w:rPr>
          <w:t>https://www.laestrella.com.pa/nacional/191101/galeria-segunda-jornada-protestas-panama</w:t>
        </w:r>
      </w:hyperlink>
    </w:p>
    <w:p w14:paraId="7253A185" w14:textId="77777777" w:rsidR="00F15A74" w:rsidRPr="005970E9" w:rsidRDefault="00062ABE" w:rsidP="00420B0B">
      <w:pPr>
        <w:spacing w:before="120" w:after="120"/>
        <w:jc w:val="both"/>
        <w:rPr>
          <w:rFonts w:eastAsia="Century Schoolbook" w:cs="Century Schoolbook"/>
        </w:rPr>
      </w:pPr>
      <w:hyperlink r:id="rId136">
        <w:r w:rsidR="00F15A74" w:rsidRPr="005970E9">
          <w:rPr>
            <w:rFonts w:eastAsia="Century Schoolbook" w:cs="Century Schoolbook"/>
          </w:rPr>
          <w:t>http://www.lr21.com.uy/mundo/1414217-panama-gobierno-reprime-protestas-sociales-contra-reforma-constitucional</w:t>
        </w:r>
      </w:hyperlink>
    </w:p>
    <w:p w14:paraId="0D6870FE" w14:textId="77777777" w:rsidR="00F15A74" w:rsidRPr="005970E9" w:rsidRDefault="00062ABE" w:rsidP="00420B0B">
      <w:pPr>
        <w:spacing w:before="120" w:after="120"/>
        <w:jc w:val="both"/>
        <w:rPr>
          <w:rFonts w:eastAsia="Century Schoolbook" w:cs="Century Schoolbook"/>
        </w:rPr>
      </w:pPr>
      <w:hyperlink r:id="rId137">
        <w:r w:rsidR="00F15A74" w:rsidRPr="005970E9">
          <w:rPr>
            <w:rFonts w:eastAsia="Century Schoolbook" w:cs="Century Schoolbook"/>
          </w:rPr>
          <w:t>https://marcogandasegui19.blogspot.com/2019/11/la-nacion-panamena-es-soberana-e.html</w:t>
        </w:r>
      </w:hyperlink>
    </w:p>
    <w:p w14:paraId="7AC3758B" w14:textId="77777777" w:rsidR="00F15A74" w:rsidRPr="005970E9" w:rsidRDefault="00062ABE" w:rsidP="00420B0B">
      <w:pPr>
        <w:spacing w:before="120" w:after="120"/>
        <w:jc w:val="both"/>
        <w:rPr>
          <w:rFonts w:eastAsia="Century Schoolbook" w:cs="Century Schoolbook"/>
        </w:rPr>
      </w:pPr>
      <w:hyperlink r:id="rId138">
        <w:r w:rsidR="00F15A74" w:rsidRPr="005970E9">
          <w:rPr>
            <w:rFonts w:eastAsia="Century Schoolbook" w:cs="Century Schoolbook"/>
          </w:rPr>
          <w:t>https://www.prensa.com/politica/Red-Derechos-Humanos-Panama-CIDH_0_4878262152.html</w:t>
        </w:r>
      </w:hyperlink>
    </w:p>
    <w:p w14:paraId="37815B52" w14:textId="77777777" w:rsidR="00F15A74" w:rsidRPr="005970E9" w:rsidRDefault="00062ABE" w:rsidP="00420B0B">
      <w:pPr>
        <w:jc w:val="both"/>
        <w:rPr>
          <w:rFonts w:eastAsia="Century Schoolbook" w:cs="Century Schoolbook"/>
        </w:rPr>
      </w:pPr>
      <w:hyperlink r:id="rId139">
        <w:r w:rsidR="00F15A74" w:rsidRPr="005970E9">
          <w:rPr>
            <w:rFonts w:eastAsia="Century Schoolbook" w:cs="Century Schoolbook"/>
          </w:rPr>
          <w:t>https://www.panacamara.com/camara-de-comercio-industrias-y-agricultura-de-panama-presenta-</w:t>
        </w:r>
      </w:hyperlink>
      <w:hyperlink r:id="rId140">
        <w:r w:rsidR="00F15A74" w:rsidRPr="005970E9">
          <w:rPr>
            <w:rFonts w:eastAsia="Century Schoolbook" w:cs="Century Schoolbook"/>
          </w:rPr>
          <w:t>propuesta-de-reformas-a-la-constitucion-nacional/</w:t>
        </w:r>
      </w:hyperlink>
    </w:p>
    <w:p w14:paraId="48DBA062" w14:textId="4187D0A1" w:rsidR="00CE2FBB" w:rsidRPr="00793874" w:rsidRDefault="00062ABE" w:rsidP="00793874">
      <w:pPr>
        <w:jc w:val="both"/>
        <w:rPr>
          <w:rFonts w:eastAsia="Century Schoolbook" w:cs="Century Schoolbook"/>
        </w:rPr>
      </w:pPr>
      <w:hyperlink r:id="rId141">
        <w:r w:rsidR="00F15A74" w:rsidRPr="005970E9">
          <w:rPr>
            <w:rFonts w:eastAsia="Century Schoolbook" w:cs="Century Schoolbook"/>
          </w:rPr>
          <w:t>https://beijing20.unwomen.org/es/in-focus/human-rights</w:t>
        </w:r>
      </w:hyperlink>
      <w:bookmarkStart w:id="389" w:name="_Toc42159287"/>
    </w:p>
    <w:bookmarkEnd w:id="389"/>
    <w:p w14:paraId="160DD9B9" w14:textId="77777777" w:rsidR="00CE2FBB" w:rsidRPr="005970E9" w:rsidRDefault="00CE2FBB" w:rsidP="00793874">
      <w:pPr>
        <w:pStyle w:val="Heading1"/>
      </w:pPr>
    </w:p>
    <w:sectPr w:rsidR="00CE2FBB" w:rsidRPr="005970E9" w:rsidSect="00636BA6">
      <w:footerReference w:type="default" r:id="rId142"/>
      <w:pgSz w:w="12240" w:h="15840"/>
      <w:pgMar w:top="1417" w:right="1701" w:bottom="1417" w:left="1701"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3" w:author="Maria Fernandez Trueba" w:date="2020-05-08T15:39:00Z" w:initials="MT">
    <w:p w14:paraId="0825C2EC" w14:textId="3BAE6E9E" w:rsidR="00DC0EAB" w:rsidRDefault="00DC0EAB">
      <w:pPr>
        <w:pStyle w:val="CommentText"/>
      </w:pPr>
      <w:r>
        <w:t>Para la acción y toma de decisiones (se hicieron reuniones con múltiples actores y se elaboraron hojas de ruta estratégica para avanzar en la paridad y la democracia inclusiva)</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825C2E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9A3DC0B" w16cex:dateUtc="2020-05-08T2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25C2EC" w16cid:durableId="59A3DC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D3316" w14:textId="77777777" w:rsidR="00D27CCB" w:rsidRDefault="00D27CCB">
      <w:r>
        <w:separator/>
      </w:r>
    </w:p>
  </w:endnote>
  <w:endnote w:type="continuationSeparator" w:id="0">
    <w:p w14:paraId="0C375B5E" w14:textId="77777777" w:rsidR="00D27CCB" w:rsidRDefault="00D27CCB">
      <w:r>
        <w:continuationSeparator/>
      </w:r>
    </w:p>
  </w:endnote>
  <w:endnote w:type="continuationNotice" w:id="1">
    <w:p w14:paraId="46E8747B" w14:textId="77777777" w:rsidR="00D27CCB" w:rsidRDefault="00D27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ans">
    <w:altName w:val="Arial"/>
    <w:charset w:val="00"/>
    <w:family w:val="auto"/>
    <w:pitch w:val="default"/>
  </w:font>
  <w:font w:name="WenQuanYi Micro Hei">
    <w:charset w:val="00"/>
    <w:family w:val="auto"/>
    <w:pitch w:val="variable"/>
  </w:font>
  <w:font w:name="Lohit Devanagari">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Interstate-Bold">
    <w:altName w:val="Calibri"/>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20000003" w:usb1="00000000" w:usb2="00000000" w:usb3="00000000" w:csb0="00000101" w:csb1="00000000"/>
  </w:font>
  <w:font w:name="Interstate-BoldCondense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Univers LT Std 47 Cn Lt">
    <w:altName w:val="Univers LT Std 47 Cn Lt"/>
    <w:panose1 w:val="00000000000000000000"/>
    <w:charset w:val="00"/>
    <w:family w:val="swiss"/>
    <w:notTrueType/>
    <w:pitch w:val="default"/>
    <w:sig w:usb0="00000003" w:usb1="00000000" w:usb2="00000000" w:usb3="00000000" w:csb0="00000001" w:csb1="00000000"/>
  </w:font>
  <w:font w:name="EFBIJK+BalloonBold">
    <w:altName w:val="Calibri"/>
    <w:panose1 w:val="00000000000000000000"/>
    <w:charset w:val="00"/>
    <w:family w:val="swiss"/>
    <w:notTrueType/>
    <w:pitch w:val="default"/>
    <w:sig w:usb0="00000003" w:usb1="00000000" w:usb2="00000000" w:usb3="00000000" w:csb0="00000001" w:csb1="00000000"/>
  </w:font>
  <w:font w:name="IQZGNC+Balloo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Roboto">
    <w:altName w:val="Arial"/>
    <w:charset w:val="00"/>
    <w:family w:val="auto"/>
    <w:pitch w:val="default"/>
  </w:font>
  <w:font w:name="SofiaProRegular">
    <w:altName w:val="Yu Gothic"/>
    <w:panose1 w:val="00000000000000000000"/>
    <w:charset w:val="80"/>
    <w:family w:val="swiss"/>
    <w:notTrueType/>
    <w:pitch w:val="default"/>
    <w:sig w:usb0="00000003" w:usb1="08070000" w:usb2="00000010" w:usb3="00000000" w:csb0="00020001" w:csb1="00000000"/>
  </w:font>
  <w:font w:name="FuturaLT-Book">
    <w:charset w:val="00"/>
    <w:family w:val="swiss"/>
    <w:pitch w:val="default"/>
  </w:font>
  <w:font w:name="Asap">
    <w:altName w:val="Calibri"/>
    <w:panose1 w:val="00000000000000000000"/>
    <w:charset w:val="00"/>
    <w:family w:val="swiss"/>
    <w:notTrueType/>
    <w:pitch w:val="default"/>
    <w:sig w:usb0="00000003" w:usb1="00000000" w:usb2="00000000" w:usb3="00000000" w:csb0="00000001" w:csb1="00000000"/>
  </w:font>
  <w:font w:name="UniversLTStd-Light">
    <w:altName w:val="Calibri"/>
    <w:panose1 w:val="00000000000000000000"/>
    <w:charset w:val="00"/>
    <w:family w:val="roman"/>
    <w:notTrueType/>
    <w:pitch w:val="default"/>
  </w:font>
  <w:font w:name="TimesNewRoman">
    <w:altName w:val="Times New Roman"/>
    <w:panose1 w:val="00000000000000000000"/>
    <w:charset w:val="00"/>
    <w:family w:val="roman"/>
    <w:notTrueType/>
    <w:pitch w:val="default"/>
  </w:font>
  <w:font w:name="PVHQRP+TimesNewRomanPSMT">
    <w:altName w:val="Cambria"/>
    <w:panose1 w:val="00000000000000000000"/>
    <w:charset w:val="00"/>
    <w:family w:val="roman"/>
    <w:notTrueType/>
    <w:pitch w:val="default"/>
    <w:sig w:usb0="00000003" w:usb1="00000000" w:usb2="00000000" w:usb3="00000000" w:csb0="00000001" w:csb1="00000000"/>
  </w:font>
  <w:font w:name="TTE10D5308t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UniversLTStd-Bold">
    <w:altName w:val="Calibri"/>
    <w:panose1 w:val="00000000000000000000"/>
    <w:charset w:val="00"/>
    <w:family w:val="swiss"/>
    <w:notTrueType/>
    <w:pitch w:val="default"/>
    <w:sig w:usb0="00000003" w:usb1="00000000" w:usb2="00000000" w:usb3="00000000" w:csb0="00000001" w:csb1="00000000"/>
  </w:font>
  <w:font w:name="Gotham-Bold">
    <w:panose1 w:val="00000000000000000000"/>
    <w:charset w:val="00"/>
    <w:family w:val="swiss"/>
    <w:notTrueType/>
    <w:pitch w:val="default"/>
    <w:sig w:usb0="00000003" w:usb1="00000000" w:usb2="00000000" w:usb3="00000000" w:csb0="00000001" w:csb1="00000000"/>
  </w:font>
  <w:font w:name="TheSans-3Light">
    <w:altName w:val="Calibri"/>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IDFont+F1">
    <w:panose1 w:val="00000000000000000000"/>
    <w:charset w:val="00"/>
    <w:family w:val="auto"/>
    <w:notTrueType/>
    <w:pitch w:val="default"/>
    <w:sig w:usb0="00000003" w:usb1="00000000" w:usb2="00000000" w:usb3="00000000" w:csb0="00000001" w:csb1="00000000"/>
  </w:font>
  <w:font w:name="TradeGothicLTCom-Light">
    <w:altName w:val="Calibri"/>
    <w:panose1 w:val="00000000000000000000"/>
    <w:charset w:val="00"/>
    <w:family w:val="auto"/>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Oblique">
    <w:altName w:val="Helvetic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6516371"/>
      <w:docPartObj>
        <w:docPartGallery w:val="Page Numbers (Bottom of Page)"/>
        <w:docPartUnique/>
      </w:docPartObj>
    </w:sdtPr>
    <w:sdtEndPr/>
    <w:sdtContent>
      <w:p w14:paraId="660AF9F3" w14:textId="77777777" w:rsidR="00DC0EAB" w:rsidRDefault="00DC0EAB">
        <w:pPr>
          <w:pStyle w:val="Footer"/>
          <w:jc w:val="right"/>
        </w:pPr>
        <w:r>
          <w:fldChar w:fldCharType="begin"/>
        </w:r>
        <w:r>
          <w:instrText>PAGE   \* MERGEFORMAT</w:instrText>
        </w:r>
        <w:r>
          <w:fldChar w:fldCharType="separate"/>
        </w:r>
        <w:r w:rsidRPr="00C5422E">
          <w:rPr>
            <w:noProof/>
            <w:lang w:val="es-ES"/>
          </w:rPr>
          <w:t>76</w:t>
        </w:r>
        <w:r>
          <w:fldChar w:fldCharType="end"/>
        </w:r>
      </w:p>
    </w:sdtContent>
  </w:sdt>
  <w:p w14:paraId="4E23C734" w14:textId="77777777" w:rsidR="00DC0EAB" w:rsidRDefault="00DC0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1955959"/>
      <w:docPartObj>
        <w:docPartGallery w:val="Page Numbers (Bottom of Page)"/>
        <w:docPartUnique/>
      </w:docPartObj>
    </w:sdtPr>
    <w:sdtEndPr/>
    <w:sdtContent>
      <w:p w14:paraId="2EABDCBB" w14:textId="31B61C6B" w:rsidR="00DC0EAB" w:rsidRDefault="00DC0EAB">
        <w:pPr>
          <w:pStyle w:val="Footer"/>
          <w:jc w:val="right"/>
        </w:pPr>
        <w:r>
          <w:fldChar w:fldCharType="begin"/>
        </w:r>
        <w:r>
          <w:instrText>PAGE   \* MERGEFORMAT</w:instrText>
        </w:r>
        <w:r>
          <w:fldChar w:fldCharType="separate"/>
        </w:r>
        <w:r w:rsidRPr="00C5422E">
          <w:rPr>
            <w:noProof/>
            <w:lang w:val="es-ES"/>
          </w:rPr>
          <w:t>83</w:t>
        </w:r>
        <w:r>
          <w:fldChar w:fldCharType="end"/>
        </w:r>
      </w:p>
    </w:sdtContent>
  </w:sdt>
  <w:p w14:paraId="5289897A" w14:textId="77777777" w:rsidR="00DC0EAB" w:rsidRDefault="00DC0E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9725025"/>
      <w:docPartObj>
        <w:docPartGallery w:val="Page Numbers (Bottom of Page)"/>
        <w:docPartUnique/>
      </w:docPartObj>
    </w:sdtPr>
    <w:sdtEndPr/>
    <w:sdtContent>
      <w:p w14:paraId="71329454" w14:textId="61F1AAC3" w:rsidR="00DC0EAB" w:rsidRDefault="00DC0EAB">
        <w:pPr>
          <w:pStyle w:val="Footer"/>
          <w:jc w:val="right"/>
        </w:pPr>
        <w:r>
          <w:fldChar w:fldCharType="begin"/>
        </w:r>
        <w:r>
          <w:instrText>PAGE   \* MERGEFORMAT</w:instrText>
        </w:r>
        <w:r>
          <w:fldChar w:fldCharType="separate"/>
        </w:r>
        <w:r w:rsidRPr="00D2149A">
          <w:rPr>
            <w:noProof/>
            <w:lang w:val="es-ES"/>
          </w:rPr>
          <w:t>113</w:t>
        </w:r>
        <w:r>
          <w:fldChar w:fldCharType="end"/>
        </w:r>
      </w:p>
    </w:sdtContent>
  </w:sdt>
  <w:p w14:paraId="5F7C4EA4" w14:textId="77777777" w:rsidR="00DC0EAB" w:rsidRDefault="00DC0EA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29EF2" w14:textId="77777777" w:rsidR="00D27CCB" w:rsidRDefault="00D27CCB">
      <w:r>
        <w:separator/>
      </w:r>
    </w:p>
  </w:footnote>
  <w:footnote w:type="continuationSeparator" w:id="0">
    <w:p w14:paraId="2BA36557" w14:textId="77777777" w:rsidR="00D27CCB" w:rsidRDefault="00D27CCB">
      <w:r>
        <w:continuationSeparator/>
      </w:r>
    </w:p>
  </w:footnote>
  <w:footnote w:type="continuationNotice" w:id="1">
    <w:p w14:paraId="0991936C" w14:textId="77777777" w:rsidR="00D27CCB" w:rsidRDefault="00D27CCB"/>
  </w:footnote>
  <w:footnote w:id="2">
    <w:p w14:paraId="065577B9" w14:textId="77777777" w:rsidR="00DC0EAB" w:rsidRDefault="00DC0EAB" w:rsidP="00D478B6">
      <w:pPr>
        <w:pStyle w:val="FootnoteText"/>
      </w:pPr>
      <w:r>
        <w:rPr>
          <w:rStyle w:val="FootnoteReference"/>
        </w:rPr>
        <w:footnoteRef/>
      </w:r>
      <w:r>
        <w:t xml:space="preserve"> Los roles del cuidado son casi todas las funciones que desarrollan las mujeres dentro del hogar como cuidar ancianos, ni@s, limpiar, lavar, cocinar, etc. Todo lo que involucre “cuidar” de la familia.</w:t>
      </w:r>
    </w:p>
  </w:footnote>
  <w:footnote w:id="3">
    <w:p w14:paraId="17DEA0CB" w14:textId="77777777" w:rsidR="00DC0EAB" w:rsidRDefault="00DC0EAB" w:rsidP="00D478B6">
      <w:pPr>
        <w:pStyle w:val="FootnoteText"/>
      </w:pPr>
      <w:r>
        <w:rPr>
          <w:rStyle w:val="FootnoteReference"/>
        </w:rPr>
        <w:footnoteRef/>
      </w:r>
      <w:r>
        <w:t xml:space="preserve"> Agencia Suiza para el Desarrollo y la Cooperación. Género y Agua. Página10</w:t>
      </w:r>
    </w:p>
  </w:footnote>
  <w:footnote w:id="4">
    <w:p w14:paraId="2EF93601" w14:textId="2A9DF8FA" w:rsidR="00DC0EAB" w:rsidRPr="00546582" w:rsidRDefault="00DC0EAB">
      <w:pPr>
        <w:pStyle w:val="FootnoteText"/>
        <w:rPr>
          <w:lang w:val="es-ES"/>
        </w:rPr>
      </w:pPr>
      <w:r>
        <w:rPr>
          <w:rStyle w:val="FootnoteReference"/>
        </w:rPr>
        <w:footnoteRef/>
      </w:r>
      <w:r>
        <w:t xml:space="preserve"> </w:t>
      </w:r>
      <w:hyperlink r:id="rId1" w:history="1">
        <w:r>
          <w:rPr>
            <w:rStyle w:val="Hyperlink"/>
          </w:rPr>
          <w:t>https://www.cepal.org/es/comunicados/pandemia-covid-19-llevara-la-mayor-contraccion-la-actividad-economica-la-historia-la</w:t>
        </w:r>
      </w:hyperlink>
    </w:p>
  </w:footnote>
  <w:footnote w:id="5">
    <w:p w14:paraId="114CACA5" w14:textId="77777777" w:rsidR="00DC0EAB" w:rsidRDefault="00DC0EAB" w:rsidP="004D4CF6">
      <w:pPr>
        <w:pBdr>
          <w:top w:val="nil"/>
          <w:left w:val="nil"/>
          <w:bottom w:val="nil"/>
          <w:right w:val="nil"/>
          <w:between w:val="nil"/>
        </w:pBdr>
        <w:jc w:val="both"/>
        <w:rPr>
          <w:rFonts w:eastAsia="Century Schoolbook" w:cs="Century Schoolbook"/>
          <w:color w:val="000000"/>
          <w:sz w:val="20"/>
          <w:szCs w:val="20"/>
        </w:rPr>
      </w:pPr>
      <w:r>
        <w:rPr>
          <w:vertAlign w:val="superscript"/>
        </w:rPr>
        <w:footnoteRef/>
      </w:r>
      <w:r>
        <w:rPr>
          <w:rFonts w:eastAsia="Century Schoolbook" w:cs="Century Schoolbook"/>
          <w:color w:val="000000"/>
          <w:sz w:val="20"/>
          <w:szCs w:val="20"/>
        </w:rPr>
        <w:t xml:space="preserve"> La Cámara de Comercio Industrias y Agricultura de Panamá (CCIAP). Entregó propuesta de Reforma Constitucional. </w:t>
      </w:r>
      <w:hyperlink r:id="rId2">
        <w:r>
          <w:rPr>
            <w:rFonts w:eastAsia="Century Schoolbook" w:cs="Century Schoolbook"/>
            <w:color w:val="0563C1"/>
            <w:sz w:val="20"/>
            <w:szCs w:val="20"/>
            <w:u w:val="single"/>
          </w:rPr>
          <w:t>https://www.panacamara.com/camara-de-comercio-industrias-y-agricultura-de-panama-presenta-propuesta-de-reformas-a-la-constitucion-nacional/</w:t>
        </w:r>
      </w:hyperlink>
    </w:p>
  </w:footnote>
  <w:footnote w:id="6">
    <w:p w14:paraId="2DAFF5DF" w14:textId="77777777" w:rsidR="00DC0EAB" w:rsidRDefault="00DC0EAB">
      <w:pPr>
        <w:pBdr>
          <w:top w:val="nil"/>
          <w:left w:val="nil"/>
          <w:bottom w:val="nil"/>
          <w:right w:val="nil"/>
          <w:between w:val="nil"/>
        </w:pBdr>
        <w:jc w:val="both"/>
        <w:rPr>
          <w:rFonts w:eastAsia="Century Schoolbook" w:cs="Century Schoolbook"/>
          <w:color w:val="000000"/>
          <w:sz w:val="20"/>
          <w:szCs w:val="20"/>
        </w:rPr>
      </w:pPr>
      <w:r>
        <w:rPr>
          <w:vertAlign w:val="superscript"/>
        </w:rPr>
        <w:footnoteRef/>
      </w:r>
      <w:r>
        <w:rPr>
          <w:color w:val="000000"/>
        </w:rPr>
        <w:t xml:space="preserve"> </w:t>
      </w:r>
      <w:r>
        <w:rPr>
          <w:rFonts w:eastAsia="Century Schoolbook" w:cs="Century Schoolbook"/>
          <w:color w:val="000000"/>
          <w:sz w:val="20"/>
          <w:szCs w:val="20"/>
        </w:rPr>
        <w:t xml:space="preserve">El contexto sobre la realidad panameña al cierre del año 2019 está centrado en el debate y aprobación de las reformas constitucionales llevadas adelante por la Asamblea Nacional y la posición y movilización de los sectores sociales, evidente en los reportes periodísticos sobre estos hechos. (Ver en la bibliografía: Información sobre reformas constitucionales Revisión diciembre 2019 y febrero 2020). </w:t>
      </w:r>
    </w:p>
  </w:footnote>
  <w:footnote w:id="7">
    <w:p w14:paraId="52784985" w14:textId="77777777" w:rsidR="00DC0EAB" w:rsidRDefault="00DC0EAB">
      <w:pPr>
        <w:pBdr>
          <w:top w:val="nil"/>
          <w:left w:val="nil"/>
          <w:bottom w:val="nil"/>
          <w:right w:val="nil"/>
          <w:between w:val="nil"/>
        </w:pBdr>
        <w:jc w:val="both"/>
        <w:rPr>
          <w:rFonts w:eastAsia="Century Schoolbook" w:cs="Century Schoolbook"/>
          <w:color w:val="000000"/>
          <w:sz w:val="20"/>
          <w:szCs w:val="20"/>
        </w:rPr>
      </w:pPr>
      <w:r>
        <w:rPr>
          <w:vertAlign w:val="superscript"/>
        </w:rPr>
        <w:footnoteRef/>
      </w:r>
      <w:r>
        <w:rPr>
          <w:rFonts w:eastAsia="Century Schoolbook" w:cs="Century Schoolbook"/>
          <w:color w:val="000000"/>
          <w:sz w:val="20"/>
          <w:szCs w:val="20"/>
        </w:rPr>
        <w:t xml:space="preserve"> Clelia Mezúa, lideresa de las mujeres Emberá Wounaan en entrevista realizada el 18 de febrero, ciudad de Panamá.</w:t>
      </w:r>
    </w:p>
  </w:footnote>
  <w:footnote w:id="8">
    <w:p w14:paraId="6BA96787" w14:textId="77777777" w:rsidR="00DC0EAB" w:rsidRPr="00135AD9" w:rsidRDefault="00DC0EAB">
      <w:pPr>
        <w:pBdr>
          <w:top w:val="nil"/>
          <w:left w:val="nil"/>
          <w:bottom w:val="nil"/>
          <w:right w:val="nil"/>
          <w:between w:val="nil"/>
        </w:pBdr>
        <w:jc w:val="both"/>
        <w:rPr>
          <w:rFonts w:eastAsia="Century Schoolbook" w:cs="Century Schoolbook"/>
          <w:color w:val="000000"/>
          <w:sz w:val="20"/>
          <w:szCs w:val="20"/>
        </w:rPr>
      </w:pPr>
      <w:r>
        <w:rPr>
          <w:vertAlign w:val="superscript"/>
        </w:rPr>
        <w:footnoteRef/>
      </w:r>
      <w:r>
        <w:rPr>
          <w:rFonts w:eastAsia="Century Schoolbook" w:cs="Century Schoolbook"/>
          <w:color w:val="000000"/>
          <w:sz w:val="20"/>
          <w:szCs w:val="20"/>
        </w:rPr>
        <w:t xml:space="preserve"> </w:t>
      </w:r>
      <w:r w:rsidRPr="00135AD9">
        <w:rPr>
          <w:rFonts w:eastAsia="Century Schoolbook" w:cs="Century Schoolbook"/>
          <w:color w:val="000000"/>
          <w:sz w:val="20"/>
          <w:szCs w:val="20"/>
        </w:rPr>
        <w:t>Mesa de Análisis de Leyes de personas con Discapacidad (MELEDIS) promueve el Pacto para la Educación Inclusiva y de Calidad en Panamá.</w:t>
      </w:r>
    </w:p>
  </w:footnote>
  <w:footnote w:id="9">
    <w:p w14:paraId="5CF59BAE" w14:textId="77777777" w:rsidR="00DC0EAB" w:rsidRPr="00135AD9" w:rsidRDefault="00DC0EAB">
      <w:pPr>
        <w:pBdr>
          <w:top w:val="nil"/>
          <w:left w:val="nil"/>
          <w:bottom w:val="nil"/>
          <w:right w:val="nil"/>
          <w:between w:val="nil"/>
        </w:pBdr>
        <w:jc w:val="both"/>
        <w:rPr>
          <w:rFonts w:eastAsia="Century Schoolbook" w:cs="Century Schoolbook"/>
          <w:color w:val="000000"/>
          <w:sz w:val="20"/>
          <w:szCs w:val="20"/>
        </w:rPr>
      </w:pPr>
      <w:r w:rsidRPr="00135AD9">
        <w:rPr>
          <w:sz w:val="20"/>
          <w:szCs w:val="20"/>
          <w:vertAlign w:val="superscript"/>
        </w:rPr>
        <w:footnoteRef/>
      </w:r>
      <w:r w:rsidRPr="00135AD9">
        <w:rPr>
          <w:rFonts w:eastAsia="Century Schoolbook" w:cs="Century Schoolbook"/>
          <w:color w:val="000000"/>
          <w:sz w:val="20"/>
          <w:szCs w:val="20"/>
        </w:rPr>
        <w:t xml:space="preserve"> INEC, PIB a precios de comprador en la República, años 2015-2018.</w:t>
      </w:r>
    </w:p>
  </w:footnote>
  <w:footnote w:id="10">
    <w:p w14:paraId="4CA2A7C0" w14:textId="3166F6EE" w:rsidR="00DC0EAB" w:rsidRPr="00135AD9" w:rsidRDefault="00DC0EAB">
      <w:pPr>
        <w:pStyle w:val="FootnoteText"/>
        <w:rPr>
          <w:lang w:val="es-ES"/>
        </w:rPr>
      </w:pPr>
      <w:r w:rsidRPr="00135AD9">
        <w:rPr>
          <w:rStyle w:val="FootnoteReference"/>
        </w:rPr>
        <w:footnoteRef/>
      </w:r>
      <w:r w:rsidRPr="00135AD9">
        <w:t xml:space="preserve"> </w:t>
      </w:r>
      <w:r w:rsidRPr="00135AD9">
        <w:rPr>
          <w:lang w:val="es-ES"/>
        </w:rPr>
        <w:t>Este estudio señala que el sector es preponderante por el aporte de las actividades económicas como el transporte, almacenamiento y comunicaciones, actividad inmobiliaria, empresariales de alquiler, comercio y la intermediación financiera (SENACYT, 2019, P. 16).</w:t>
      </w:r>
    </w:p>
  </w:footnote>
  <w:footnote w:id="11">
    <w:p w14:paraId="556242F1" w14:textId="77777777" w:rsidR="00DC0EAB" w:rsidRPr="00135AD9" w:rsidRDefault="00DC0EAB">
      <w:pPr>
        <w:pBdr>
          <w:top w:val="nil"/>
          <w:left w:val="nil"/>
          <w:bottom w:val="nil"/>
          <w:right w:val="nil"/>
          <w:between w:val="nil"/>
        </w:pBdr>
        <w:jc w:val="both"/>
        <w:rPr>
          <w:color w:val="000000"/>
          <w:sz w:val="20"/>
          <w:szCs w:val="20"/>
        </w:rPr>
      </w:pPr>
      <w:r w:rsidRPr="00135AD9">
        <w:rPr>
          <w:sz w:val="20"/>
          <w:szCs w:val="20"/>
          <w:vertAlign w:val="superscript"/>
        </w:rPr>
        <w:footnoteRef/>
      </w:r>
      <w:r w:rsidRPr="00135AD9">
        <w:rPr>
          <w:rFonts w:eastAsia="Century Schoolbook" w:cs="Century Schoolbook"/>
          <w:color w:val="000000"/>
          <w:sz w:val="20"/>
          <w:szCs w:val="20"/>
        </w:rPr>
        <w:t xml:space="preserve">  La caída de 5.9% (344.9 millones de balboas) en la recaudación de ingresos corrientes respecto a 2018 (La Prensa, 15/12/2019).</w:t>
      </w:r>
    </w:p>
  </w:footnote>
  <w:footnote w:id="12">
    <w:p w14:paraId="35AF047F" w14:textId="77777777" w:rsidR="00DC0EAB" w:rsidRPr="00D558CC" w:rsidRDefault="00DC0EAB">
      <w:pPr>
        <w:pBdr>
          <w:top w:val="nil"/>
          <w:left w:val="nil"/>
          <w:bottom w:val="nil"/>
          <w:right w:val="nil"/>
          <w:between w:val="nil"/>
        </w:pBdr>
        <w:jc w:val="both"/>
        <w:rPr>
          <w:color w:val="000000"/>
          <w:sz w:val="20"/>
          <w:szCs w:val="20"/>
        </w:rPr>
      </w:pPr>
      <w:r w:rsidRPr="00135AD9">
        <w:rPr>
          <w:sz w:val="20"/>
          <w:szCs w:val="20"/>
          <w:vertAlign w:val="superscript"/>
        </w:rPr>
        <w:footnoteRef/>
      </w:r>
      <w:r w:rsidRPr="00135AD9">
        <w:rPr>
          <w:rFonts w:eastAsia="Century Schoolbook" w:cs="Century Schoolbook"/>
          <w:color w:val="000000"/>
          <w:sz w:val="20"/>
          <w:szCs w:val="20"/>
        </w:rPr>
        <w:t xml:space="preserve">  Ley 34 de 5 de junio de 2008, sobre responsabilidad social fiscal.</w:t>
      </w:r>
    </w:p>
  </w:footnote>
  <w:footnote w:id="13">
    <w:p w14:paraId="2B615AAE" w14:textId="77777777" w:rsidR="00DC0EAB" w:rsidRPr="00604445" w:rsidRDefault="00DC0EAB" w:rsidP="009759AA">
      <w:pPr>
        <w:pStyle w:val="Default"/>
        <w:jc w:val="both"/>
        <w:rPr>
          <w:rFonts w:ascii="Century Schoolbook" w:eastAsiaTheme="minorHAnsi" w:hAnsi="Century Schoolbook" w:cstheme="minorHAnsi"/>
          <w:sz w:val="20"/>
          <w:szCs w:val="20"/>
        </w:rPr>
      </w:pPr>
      <w:r w:rsidRPr="00604445">
        <w:rPr>
          <w:rStyle w:val="FootnoteReference"/>
          <w:rFonts w:ascii="Century Schoolbook" w:hAnsi="Century Schoolbook" w:cstheme="minorHAnsi"/>
          <w:sz w:val="20"/>
          <w:szCs w:val="20"/>
        </w:rPr>
        <w:footnoteRef/>
      </w:r>
      <w:r w:rsidRPr="00604445">
        <w:rPr>
          <w:rFonts w:ascii="Century Schoolbook" w:hAnsi="Century Schoolbook" w:cstheme="minorHAnsi"/>
          <w:sz w:val="20"/>
          <w:szCs w:val="20"/>
        </w:rPr>
        <w:t xml:space="preserve"> En Panamá las mujeres son el 76% de la fuerza laboral en el sector social y de salud (INEC, 2019) pero en enfermería supera el 90% (INEC, 2020). “La atención sanitaria de las personas infectadas se encuentra en manos, mayoritariamente, de las mujeres, considerándose el personal sanitario el que más alto riesgo corre de ser infectado.” (ENRED Panamá. La IPG Panamá frente COVID-19: Explorando los impactos de género para saber dónde actuar. Pág. 2)</w:t>
      </w:r>
    </w:p>
  </w:footnote>
  <w:footnote w:id="14">
    <w:p w14:paraId="50E0942F" w14:textId="4E5F12E7" w:rsidR="00DC0EAB" w:rsidRDefault="00DC0EAB" w:rsidP="009759AA">
      <w:pPr>
        <w:pStyle w:val="FootnoteText"/>
        <w:jc w:val="both"/>
        <w:rPr>
          <w:rFonts w:cstheme="minorHAnsi"/>
          <w:lang w:val="es-US"/>
        </w:rPr>
      </w:pPr>
      <w:r w:rsidRPr="00604445">
        <w:rPr>
          <w:rStyle w:val="FootnoteReference"/>
          <w:rFonts w:ascii="Century Schoolbook" w:hAnsi="Century Schoolbook" w:cstheme="minorHAnsi"/>
        </w:rPr>
        <w:footnoteRef/>
      </w:r>
      <w:r w:rsidRPr="00604445">
        <w:rPr>
          <w:rFonts w:ascii="Century Schoolbook" w:hAnsi="Century Schoolbook" w:cstheme="minorHAnsi"/>
        </w:rPr>
        <w:t xml:space="preserve"> “En la actualidad las mujeres son el 52% de la ocupación en el comercio minorista en Panamá (INEC, 2019) y, aunque sin cifras ciertas en la materia, este porcentaje es probable que se eleve aún más en el comercio de alimentos y, de manera sobresaliente, en determinados puestos y funciones. Piénsese, en el caso concreto de las cajeras, que son las que en mayor grado están expuestas al contagio (Ibidem. Pág.</w:t>
      </w:r>
      <w:r>
        <w:rPr>
          <w:rFonts w:cstheme="minorHAnsi"/>
        </w:rPr>
        <w:t xml:space="preserve"> 3).</w:t>
      </w:r>
    </w:p>
  </w:footnote>
  <w:footnote w:id="15">
    <w:p w14:paraId="0A266283" w14:textId="77777777" w:rsidR="00DC0EAB" w:rsidRPr="00E87B38" w:rsidRDefault="00DC0EAB">
      <w:pPr>
        <w:pBdr>
          <w:top w:val="nil"/>
          <w:left w:val="nil"/>
          <w:bottom w:val="nil"/>
          <w:right w:val="nil"/>
          <w:between w:val="nil"/>
        </w:pBdr>
        <w:jc w:val="both"/>
        <w:rPr>
          <w:color w:val="000000"/>
          <w:sz w:val="20"/>
          <w:lang w:val="en-US"/>
        </w:rPr>
      </w:pPr>
      <w:r w:rsidRPr="00D558CC">
        <w:rPr>
          <w:sz w:val="20"/>
          <w:szCs w:val="20"/>
          <w:vertAlign w:val="superscript"/>
        </w:rPr>
        <w:footnoteRef/>
      </w:r>
      <w:r w:rsidRPr="00D558CC">
        <w:rPr>
          <w:rFonts w:eastAsia="Century Schoolbook" w:cs="Century Schoolbook"/>
          <w:color w:val="000000"/>
          <w:sz w:val="20"/>
          <w:szCs w:val="20"/>
        </w:rPr>
        <w:t xml:space="preserve"> “La variabilidad del costo calórico de ambas canastas al mes de agosto de 2019 fue mayor a la de igual periodo de 2018... Entre 2018 y 2019, la volatilidad en Panamá y San Miguelito, aumentó de 79.2% a 434.1%, es decir, 5.5 veces mayor, mientras que la del Resto urbano, de 65.5% a 424.6%, 6.5 veces.” </w:t>
      </w:r>
      <w:r w:rsidRPr="00E87B38">
        <w:rPr>
          <w:color w:val="000000"/>
          <w:sz w:val="20"/>
          <w:lang w:val="en-US"/>
        </w:rPr>
        <w:t>(MEF, 2019a).</w:t>
      </w:r>
    </w:p>
  </w:footnote>
  <w:footnote w:id="16">
    <w:p w14:paraId="5AF5CBE2" w14:textId="2E1F10B3" w:rsidR="00DC0EAB" w:rsidRPr="00546582" w:rsidRDefault="00DC0EAB">
      <w:pPr>
        <w:pStyle w:val="FootnoteText"/>
        <w:rPr>
          <w:lang w:val="en-US"/>
        </w:rPr>
      </w:pPr>
      <w:r>
        <w:rPr>
          <w:rStyle w:val="FootnoteReference"/>
        </w:rPr>
        <w:footnoteRef/>
      </w:r>
      <w:r w:rsidRPr="00546582">
        <w:rPr>
          <w:lang w:val="en-US"/>
        </w:rPr>
        <w:t xml:space="preserve"> https://www.pa.undp.org/content/panama/es/home/post-2015/sdg-overview/goal-2.html</w:t>
      </w:r>
    </w:p>
  </w:footnote>
  <w:footnote w:id="17">
    <w:p w14:paraId="6D98566B" w14:textId="5398A2F6" w:rsidR="00DC0EAB" w:rsidRPr="00C15123" w:rsidRDefault="00DC0EAB" w:rsidP="00546582">
      <w:pPr>
        <w:rPr>
          <w:lang w:val="es-ES"/>
        </w:rPr>
      </w:pPr>
      <w:r w:rsidRPr="00546582">
        <w:rPr>
          <w:rStyle w:val="FootnoteReference"/>
          <w:sz w:val="20"/>
          <w:szCs w:val="20"/>
        </w:rPr>
        <w:footnoteRef/>
      </w:r>
      <w:r w:rsidRPr="00546582">
        <w:rPr>
          <w:sz w:val="20"/>
          <w:szCs w:val="20"/>
        </w:rPr>
        <w:t xml:space="preserve"> </w:t>
      </w:r>
      <w:r w:rsidRPr="00546582">
        <w:rPr>
          <w:sz w:val="20"/>
          <w:szCs w:val="20"/>
          <w:lang w:val="es-ES"/>
        </w:rPr>
        <w:t>La Prensa, 19 de mayo de 2020. 400 mil personas terminarían sin empleo al finalizar este año.</w:t>
      </w:r>
    </w:p>
  </w:footnote>
  <w:footnote w:id="18">
    <w:p w14:paraId="7D9DF641" w14:textId="4E552158" w:rsidR="00DC0EAB" w:rsidRPr="00546582" w:rsidRDefault="00DC0EAB">
      <w:pPr>
        <w:rPr>
          <w:sz w:val="20"/>
          <w:szCs w:val="20"/>
          <w:lang w:val="es-ES"/>
        </w:rPr>
      </w:pPr>
      <w:r w:rsidRPr="00546582">
        <w:rPr>
          <w:sz w:val="20"/>
          <w:szCs w:val="20"/>
          <w:vertAlign w:val="superscript"/>
        </w:rPr>
        <w:footnoteRef/>
      </w:r>
      <w:r w:rsidRPr="00546582">
        <w:rPr>
          <w:sz w:val="20"/>
          <w:szCs w:val="20"/>
          <w:lang w:val="es-ES"/>
        </w:rPr>
        <w:t xml:space="preserve"> https://beijing20.unwomen.org/es/in-focus/human-rights</w:t>
      </w:r>
    </w:p>
  </w:footnote>
  <w:footnote w:id="19">
    <w:p w14:paraId="7CF66A94" w14:textId="6C5D83A8" w:rsidR="00DC0EAB" w:rsidRPr="00B25358" w:rsidRDefault="00DC0EAB">
      <w:pPr>
        <w:pStyle w:val="FootnoteText"/>
        <w:rPr>
          <w:rFonts w:ascii="Century Schoolbook" w:hAnsi="Century Schoolbook"/>
          <w:lang w:val="es-ES"/>
        </w:rPr>
      </w:pPr>
      <w:r w:rsidRPr="00B25358">
        <w:rPr>
          <w:rStyle w:val="FootnoteReference"/>
          <w:rFonts w:ascii="Century Schoolbook" w:hAnsi="Century Schoolbook"/>
        </w:rPr>
        <w:footnoteRef/>
      </w:r>
      <w:r w:rsidRPr="00B25358">
        <w:rPr>
          <w:rFonts w:ascii="Century Schoolbook" w:hAnsi="Century Schoolbook"/>
          <w:lang w:val="es-ES"/>
        </w:rPr>
        <w:t xml:space="preserve"> https://inamu.gob.pa/inamu-rinde-informe-de-gestion-2014-2018/</w:t>
      </w:r>
    </w:p>
  </w:footnote>
  <w:footnote w:id="20">
    <w:p w14:paraId="412823BC" w14:textId="5D22DC36" w:rsidR="00DC0EAB" w:rsidRPr="00B25358" w:rsidRDefault="00DC0EAB">
      <w:pPr>
        <w:pStyle w:val="FootnoteText"/>
        <w:rPr>
          <w:rFonts w:ascii="Century Schoolbook" w:hAnsi="Century Schoolbook"/>
          <w:lang w:val="es-ES"/>
        </w:rPr>
      </w:pPr>
      <w:r w:rsidRPr="00B25358">
        <w:rPr>
          <w:rStyle w:val="FootnoteReference"/>
          <w:rFonts w:ascii="Century Schoolbook" w:hAnsi="Century Schoolbook"/>
        </w:rPr>
        <w:footnoteRef/>
      </w:r>
      <w:r w:rsidRPr="00B25358">
        <w:rPr>
          <w:rFonts w:ascii="Century Schoolbook" w:hAnsi="Century Schoolbook"/>
          <w:lang w:val="es-ES"/>
        </w:rPr>
        <w:t xml:space="preserve"> https://inamu.gob.pa/historia-de-la-institucionalidad-de-las-mujeres-en-panama/</w:t>
      </w:r>
    </w:p>
  </w:footnote>
  <w:footnote w:id="21">
    <w:p w14:paraId="391FF8B6" w14:textId="5294AF24" w:rsidR="00DC0EAB" w:rsidRPr="00546582" w:rsidRDefault="00DC0EAB">
      <w:pPr>
        <w:pStyle w:val="FootnoteText"/>
        <w:rPr>
          <w:lang w:val="es-US"/>
        </w:rPr>
      </w:pPr>
      <w:r>
        <w:rPr>
          <w:rStyle w:val="FootnoteReference"/>
        </w:rPr>
        <w:footnoteRef/>
      </w:r>
      <w:r>
        <w:t xml:space="preserve"> </w:t>
      </w:r>
      <w:r w:rsidRPr="00C9339A">
        <w:t>Secretario General de la Organización de las Naciones Unidas. 6 marzo 2020</w:t>
      </w:r>
      <w:r>
        <w:t>. Diario El Peruano</w:t>
      </w:r>
    </w:p>
  </w:footnote>
  <w:footnote w:id="22">
    <w:p w14:paraId="2FA95A7A" w14:textId="3486C0D5" w:rsidR="00DC0EAB" w:rsidRPr="00B429FB" w:rsidRDefault="00DC0EAB">
      <w:pPr>
        <w:pStyle w:val="FootnoteText"/>
        <w:rPr>
          <w:lang w:val="es-ES"/>
        </w:rPr>
      </w:pPr>
      <w:r>
        <w:rPr>
          <w:rStyle w:val="FootnoteReference"/>
        </w:rPr>
        <w:footnoteRef/>
      </w:r>
      <w:r>
        <w:t xml:space="preserve"> </w:t>
      </w:r>
      <w:r>
        <w:rPr>
          <w:rFonts w:cs="TimesNewRoman"/>
        </w:rPr>
        <w:t>CEPAL (2020) Decimocuarta Conferencia Regional sobre la Mujer de América Latina y el Caribe, Santiago, 27-31 de enero de 2020</w:t>
      </w:r>
      <w:r w:rsidRPr="005117E0">
        <w:rPr>
          <w:rFonts w:cs="TimesNewRoman"/>
        </w:rPr>
        <w:t>.</w:t>
      </w:r>
    </w:p>
  </w:footnote>
  <w:footnote w:id="23">
    <w:p w14:paraId="6F0D9DDF" w14:textId="5E4D7734" w:rsidR="00DC0EAB" w:rsidRPr="0060139E" w:rsidRDefault="00DC0EAB" w:rsidP="0060139E">
      <w:pPr>
        <w:pStyle w:val="FootnoteText"/>
        <w:jc w:val="both"/>
        <w:rPr>
          <w:lang w:val="es-ES"/>
        </w:rPr>
      </w:pPr>
      <w:r>
        <w:rPr>
          <w:rStyle w:val="FootnoteReference"/>
        </w:rPr>
        <w:footnoteRef/>
      </w:r>
      <w:r>
        <w:t xml:space="preserve"> </w:t>
      </w:r>
      <w:r w:rsidRPr="0060139E">
        <w:rPr>
          <w:rFonts w:ascii="Century Schoolbook" w:hAnsi="Century Schoolbook" w:cs="Arial"/>
          <w:color w:val="222222"/>
        </w:rPr>
        <w:t>“Un hallazgo inesperado en la verificación de fuentes durante el proceso de recolección de información para la ficha de país, fue constatar en el registro oficial del Ministerio de Relaciones Exteriores de la República de Panamá (MIRE) que el Estado panameño no ha suscrito ni ratificado la Convención sobre los Derechos Políticos de la Mujer (1952).10” IDEA pág. 20</w:t>
      </w:r>
    </w:p>
  </w:footnote>
  <w:footnote w:id="24">
    <w:p w14:paraId="2FFD246F" w14:textId="77777777" w:rsidR="00DC0EAB" w:rsidRPr="003218CE" w:rsidRDefault="00DC0EAB" w:rsidP="006E08D9">
      <w:pPr>
        <w:pStyle w:val="ListParagraph"/>
        <w:tabs>
          <w:tab w:val="left" w:pos="1701"/>
        </w:tabs>
        <w:spacing w:before="120" w:after="120"/>
        <w:ind w:left="0"/>
        <w:jc w:val="both"/>
        <w:rPr>
          <w:rFonts w:ascii="Century Schoolbook" w:hAnsi="Century Schoolbook" w:cs="PVHQRP+TimesNewRomanPSMT"/>
          <w:sz w:val="20"/>
          <w:szCs w:val="20"/>
          <w:lang w:eastAsia="en-US"/>
        </w:rPr>
      </w:pPr>
      <w:r w:rsidRPr="003218CE">
        <w:rPr>
          <w:rStyle w:val="FootnoteReference"/>
          <w:rFonts w:ascii="Century Schoolbook" w:hAnsi="Century Schoolbook"/>
          <w:sz w:val="20"/>
          <w:szCs w:val="20"/>
        </w:rPr>
        <w:footnoteRef/>
      </w:r>
      <w:r w:rsidRPr="003218CE">
        <w:rPr>
          <w:rFonts w:ascii="Century Schoolbook" w:hAnsi="Century Schoolbook"/>
          <w:sz w:val="20"/>
          <w:szCs w:val="20"/>
        </w:rPr>
        <w:t xml:space="preserve"> </w:t>
      </w:r>
      <w:r w:rsidRPr="006E08D9">
        <w:rPr>
          <w:rFonts w:ascii="Century Schoolbook" w:hAnsi="Century Schoolbook" w:cs="PVHQRP+TimesNewRomanPSMT"/>
          <w:sz w:val="20"/>
          <w:szCs w:val="20"/>
          <w:lang w:eastAsia="en-US"/>
        </w:rPr>
        <w:t>En 1945 – 1945: 2 mujeres, 1948 – 1952 y 1952 – 1956: 1 mujer en cada período, 1956 – 1960: 3 mujeres, 1960 – 1964: 2 mujeres, 1964 – 1968: 1 mujer, 1968 – 2 mujeres, 1984 – 1989: 4 mujeres, 1989 – 1994: 5 mujeres, 1994 – 1999 y 1999 – 2004: 7 mujeres en cada período electoral, 2004 -2009: 12 mujeres, 2009 – 2014: 6 mujeres, 2014 – 2019: 13 mujeres, y 2019 – 2024: 16 mujeres</w:t>
      </w:r>
      <w:r w:rsidRPr="003218CE">
        <w:rPr>
          <w:rFonts w:ascii="Century Schoolbook" w:hAnsi="Century Schoolbook" w:cs="PVHQRP+TimesNewRomanPSMT"/>
          <w:sz w:val="20"/>
          <w:szCs w:val="20"/>
          <w:lang w:eastAsia="en-US"/>
        </w:rPr>
        <w:t xml:space="preserve">. </w:t>
      </w:r>
    </w:p>
    <w:p w14:paraId="1D6B83E1" w14:textId="77777777" w:rsidR="00DC0EAB" w:rsidRDefault="00DC0EAB" w:rsidP="0089726B">
      <w:pPr>
        <w:pStyle w:val="FootnoteText"/>
      </w:pPr>
    </w:p>
  </w:footnote>
  <w:footnote w:id="25">
    <w:p w14:paraId="046E0C7E" w14:textId="0C5DE931" w:rsidR="00DC0EAB" w:rsidRPr="00E64C7B" w:rsidRDefault="00DC0EAB">
      <w:pPr>
        <w:pStyle w:val="FootnoteText"/>
        <w:rPr>
          <w:rFonts w:ascii="Century Schoolbook" w:hAnsi="Century Schoolbook"/>
          <w:lang w:val="es-ES"/>
        </w:rPr>
      </w:pPr>
      <w:r w:rsidRPr="00E64C7B">
        <w:rPr>
          <w:rStyle w:val="FootnoteReference"/>
          <w:rFonts w:ascii="Century Schoolbook" w:hAnsi="Century Schoolbook"/>
        </w:rPr>
        <w:footnoteRef/>
      </w:r>
      <w:r w:rsidRPr="00E64C7B">
        <w:rPr>
          <w:rFonts w:ascii="Century Schoolbook" w:hAnsi="Century Schoolbook"/>
          <w:lang w:val="es-ES"/>
        </w:rPr>
        <w:t xml:space="preserve"> Programa conjunto MINJUMFA-Unión Europea, Panamá 1997-2002.</w:t>
      </w:r>
    </w:p>
  </w:footnote>
  <w:footnote w:id="26">
    <w:p w14:paraId="40AF0224" w14:textId="77777777" w:rsidR="00DC0EAB" w:rsidRPr="00E64C7B" w:rsidRDefault="00DC0EAB" w:rsidP="0089726B">
      <w:pPr>
        <w:pStyle w:val="FootnoteText"/>
        <w:rPr>
          <w:rFonts w:ascii="Century Schoolbook" w:hAnsi="Century Schoolbook"/>
        </w:rPr>
      </w:pPr>
      <w:r w:rsidRPr="00E64C7B">
        <w:rPr>
          <w:rStyle w:val="FootnoteReference"/>
          <w:rFonts w:ascii="Century Schoolbook" w:hAnsi="Century Schoolbook"/>
        </w:rPr>
        <w:footnoteRef/>
      </w:r>
      <w:r w:rsidRPr="00E64C7B">
        <w:rPr>
          <w:rFonts w:ascii="Century Schoolbook" w:hAnsi="Century Schoolbook"/>
        </w:rPr>
        <w:t xml:space="preserve"> Este dato puede variar en la medida que se produzcan cambios en el gabinete. El dato que se plasma en el documento responde a los nombramientos realizados por el presidente durante los primeros meses de gobierno en el 2019.</w:t>
      </w:r>
    </w:p>
  </w:footnote>
  <w:footnote w:id="27">
    <w:p w14:paraId="14F1E9C9" w14:textId="0A349C8A" w:rsidR="00DC0EAB" w:rsidRPr="003F14F4" w:rsidRDefault="00DC0EAB" w:rsidP="0089726B">
      <w:pPr>
        <w:pStyle w:val="FootnoteText"/>
        <w:rPr>
          <w:rFonts w:ascii="Century Schoolbook" w:hAnsi="Century Schoolbook"/>
        </w:rPr>
      </w:pPr>
      <w:r w:rsidRPr="003F14F4">
        <w:rPr>
          <w:rStyle w:val="FootnoteReference"/>
          <w:rFonts w:ascii="Century Schoolbook" w:hAnsi="Century Schoolbook"/>
        </w:rPr>
        <w:footnoteRef/>
      </w:r>
      <w:r w:rsidRPr="003F14F4">
        <w:rPr>
          <w:rFonts w:ascii="Century Schoolbook" w:hAnsi="Century Schoolbook"/>
        </w:rPr>
        <w:t xml:space="preserve"> Datos procesados desde la base de datos del ejecutivo, pero los mismos varían en la medida en que se den cambios dentro de</w:t>
      </w:r>
      <w:r>
        <w:rPr>
          <w:rFonts w:ascii="Century Schoolbook" w:hAnsi="Century Schoolbook"/>
        </w:rPr>
        <w:t xml:space="preserve"> esa instancia</w:t>
      </w:r>
      <w:r w:rsidRPr="003F14F4">
        <w:rPr>
          <w:rFonts w:ascii="Century Schoolbook" w:hAnsi="Century Schoolbook"/>
        </w:rPr>
        <w:t>. Septiembre – diciembre 2019</w:t>
      </w:r>
      <w:r>
        <w:rPr>
          <w:rFonts w:ascii="Century Schoolbook" w:hAnsi="Century Schoolbook"/>
        </w:rPr>
        <w:t>.</w:t>
      </w:r>
    </w:p>
  </w:footnote>
  <w:footnote w:id="28">
    <w:p w14:paraId="1FA27B2B" w14:textId="77777777" w:rsidR="00DC0EAB" w:rsidRPr="003F14F4" w:rsidRDefault="00DC0EAB" w:rsidP="0089726B">
      <w:pPr>
        <w:pStyle w:val="FootnoteText"/>
        <w:rPr>
          <w:rFonts w:ascii="Century Schoolbook" w:hAnsi="Century Schoolbook"/>
        </w:rPr>
      </w:pPr>
      <w:r w:rsidRPr="003F14F4">
        <w:rPr>
          <w:rStyle w:val="FootnoteReference"/>
          <w:rFonts w:ascii="Century Schoolbook" w:hAnsi="Century Schoolbook"/>
        </w:rPr>
        <w:footnoteRef/>
      </w:r>
      <w:r w:rsidRPr="003F14F4">
        <w:rPr>
          <w:rFonts w:ascii="Century Schoolbook" w:hAnsi="Century Schoolbook"/>
        </w:rPr>
        <w:t xml:space="preserve"> La ACP fue una de las cuatro instituciones públicas que obtuvo el Sello de Calidad de Género en abril del 2019, obteniendo la medalla de plata. </w:t>
      </w:r>
    </w:p>
  </w:footnote>
  <w:footnote w:id="29">
    <w:p w14:paraId="570FACDC" w14:textId="47D5FE6D" w:rsidR="00DC0EAB" w:rsidRPr="00BE725B" w:rsidRDefault="00DC0EAB" w:rsidP="0023790C">
      <w:pPr>
        <w:jc w:val="both"/>
        <w:rPr>
          <w:rFonts w:eastAsia="Times New Roman" w:cs="Arial"/>
          <w:color w:val="333333"/>
          <w:sz w:val="20"/>
          <w:szCs w:val="20"/>
        </w:rPr>
      </w:pPr>
      <w:r w:rsidRPr="00BE725B">
        <w:rPr>
          <w:rStyle w:val="FootnoteReference"/>
          <w:sz w:val="20"/>
          <w:szCs w:val="20"/>
        </w:rPr>
        <w:footnoteRef/>
      </w:r>
      <w:r w:rsidRPr="00BE725B">
        <w:rPr>
          <w:sz w:val="20"/>
          <w:szCs w:val="20"/>
        </w:rPr>
        <w:t xml:space="preserve"> IDH </w:t>
      </w:r>
      <w:r w:rsidRPr="00BE725B">
        <w:rPr>
          <w:b/>
          <w:bCs/>
          <w:sz w:val="20"/>
          <w:szCs w:val="20"/>
        </w:rPr>
        <w:t>M</w:t>
      </w:r>
      <w:r w:rsidRPr="00BE725B">
        <w:rPr>
          <w:rFonts w:eastAsia="Times New Roman" w:cs="Arial"/>
          <w:b/>
          <w:bCs/>
          <w:color w:val="333333"/>
          <w:sz w:val="20"/>
          <w:szCs w:val="20"/>
        </w:rPr>
        <w:t>uy alto</w:t>
      </w:r>
      <w:r w:rsidRPr="00BE725B">
        <w:rPr>
          <w:rFonts w:eastAsia="Times New Roman" w:cs="Arial"/>
          <w:color w:val="333333"/>
          <w:sz w:val="20"/>
          <w:szCs w:val="20"/>
        </w:rPr>
        <w:t xml:space="preserve"> corresponde a países con índices superiores al 0,800; IDH </w:t>
      </w:r>
      <w:r w:rsidRPr="00BE725B">
        <w:rPr>
          <w:rFonts w:eastAsia="Times New Roman" w:cs="Arial"/>
          <w:b/>
          <w:bCs/>
          <w:color w:val="333333"/>
          <w:sz w:val="20"/>
          <w:szCs w:val="20"/>
        </w:rPr>
        <w:t>Alto</w:t>
      </w:r>
      <w:r w:rsidRPr="00BE725B">
        <w:rPr>
          <w:rFonts w:eastAsia="Times New Roman" w:cs="Arial"/>
          <w:color w:val="333333"/>
          <w:sz w:val="20"/>
          <w:szCs w:val="20"/>
        </w:rPr>
        <w:t xml:space="preserve"> son países con índices entre 0,700 y 0,799; IDH </w:t>
      </w:r>
      <w:r w:rsidRPr="00BE725B">
        <w:rPr>
          <w:rFonts w:eastAsia="Times New Roman" w:cs="Arial"/>
          <w:b/>
          <w:bCs/>
          <w:color w:val="333333"/>
          <w:sz w:val="20"/>
          <w:szCs w:val="20"/>
        </w:rPr>
        <w:t>Medio</w:t>
      </w:r>
      <w:r w:rsidRPr="00BE725B">
        <w:rPr>
          <w:rFonts w:eastAsia="Times New Roman" w:cs="Arial"/>
          <w:color w:val="333333"/>
          <w:sz w:val="20"/>
          <w:szCs w:val="20"/>
        </w:rPr>
        <w:t xml:space="preserve"> son aquellos países con índices que oscilan entre 0,550 y 0,699 y el IDH </w:t>
      </w:r>
      <w:r w:rsidRPr="00BE725B">
        <w:rPr>
          <w:rFonts w:eastAsia="Times New Roman" w:cs="Arial"/>
          <w:b/>
          <w:bCs/>
          <w:color w:val="333333"/>
          <w:sz w:val="20"/>
          <w:szCs w:val="20"/>
        </w:rPr>
        <w:t>Bajo</w:t>
      </w:r>
      <w:r w:rsidRPr="00BE725B">
        <w:rPr>
          <w:rFonts w:eastAsia="Times New Roman" w:cs="Arial"/>
          <w:color w:val="333333"/>
          <w:sz w:val="20"/>
          <w:szCs w:val="20"/>
        </w:rPr>
        <w:t xml:space="preserve"> muestran índices inferiores a 0,555.</w:t>
      </w:r>
    </w:p>
    <w:p w14:paraId="0F675D93" w14:textId="77777777" w:rsidR="00DC0EAB" w:rsidRPr="00BE725B" w:rsidRDefault="00062ABE" w:rsidP="0023790C">
      <w:pPr>
        <w:jc w:val="both"/>
        <w:rPr>
          <w:sz w:val="20"/>
          <w:szCs w:val="20"/>
        </w:rPr>
      </w:pPr>
      <w:hyperlink r:id="rId3" w:history="1">
        <w:r w:rsidR="00DC0EAB" w:rsidRPr="00BE725B">
          <w:rPr>
            <w:rStyle w:val="Hyperlink"/>
            <w:sz w:val="20"/>
            <w:szCs w:val="20"/>
          </w:rPr>
          <w:t>http://hdr.undp.org/sites/default/files/2018_human_development_statistical_update_es.pdf</w:t>
        </w:r>
      </w:hyperlink>
    </w:p>
    <w:p w14:paraId="53F27AB7" w14:textId="0B7D883A" w:rsidR="00DC0EAB" w:rsidRPr="00BE725B" w:rsidRDefault="00DC0EAB">
      <w:pPr>
        <w:pStyle w:val="FootnoteText"/>
        <w:rPr>
          <w:lang w:val="es-ES"/>
        </w:rPr>
      </w:pPr>
    </w:p>
  </w:footnote>
  <w:footnote w:id="30">
    <w:p w14:paraId="5CD8673B" w14:textId="7007EA59" w:rsidR="00DC0EAB" w:rsidRPr="00D558CC" w:rsidRDefault="00DC0EAB">
      <w:pPr>
        <w:spacing w:before="120" w:after="120"/>
        <w:jc w:val="both"/>
        <w:rPr>
          <w:rFonts w:eastAsia="Century Schoolbook" w:cs="Century Schoolbook"/>
          <w:sz w:val="20"/>
          <w:szCs w:val="20"/>
        </w:rPr>
      </w:pPr>
      <w:r w:rsidRPr="00D558CC">
        <w:rPr>
          <w:sz w:val="20"/>
          <w:szCs w:val="20"/>
          <w:vertAlign w:val="superscript"/>
        </w:rPr>
        <w:footnoteRef/>
      </w:r>
      <w:r w:rsidRPr="00D558CC">
        <w:rPr>
          <w:sz w:val="20"/>
          <w:szCs w:val="20"/>
        </w:rPr>
        <w:t xml:space="preserve"> </w:t>
      </w:r>
      <w:r w:rsidRPr="00D558CC">
        <w:rPr>
          <w:rFonts w:eastAsia="Century Schoolbook" w:cs="Century Schoolbook"/>
          <w:sz w:val="20"/>
          <w:szCs w:val="20"/>
        </w:rPr>
        <w:t>El índice de</w:t>
      </w:r>
      <w:r>
        <w:rPr>
          <w:rFonts w:eastAsia="Century Schoolbook" w:cs="Century Schoolbook"/>
          <w:sz w:val="20"/>
          <w:szCs w:val="20"/>
        </w:rPr>
        <w:t xml:space="preserve"> Desigualdad </w:t>
      </w:r>
      <w:r w:rsidRPr="00D558CC">
        <w:rPr>
          <w:rFonts w:eastAsia="Century Schoolbook" w:cs="Century Schoolbook"/>
          <w:sz w:val="20"/>
          <w:szCs w:val="20"/>
        </w:rPr>
        <w:t xml:space="preserve">de género (IDG) está compuesto por tres dimensiones: 1) la salud reproductiva medida por la tasa de mortalidad materna y la tasa de fecundidad entre las adolescentes; 2) el empoderamiento medido por la proporción de mujeres diputadas y la proporción de mujeres y hombres adultos de 25 años y más que han cursado cómo mínimo enseñanza secundaria); y 3) la situación económica medida por tasa de participación en la fuerza de trabajo de mujeres y hombres de 15 años y más (PNUD, 2019). </w:t>
      </w:r>
    </w:p>
    <w:p w14:paraId="74FD2303" w14:textId="77777777" w:rsidR="00DC0EAB" w:rsidRDefault="00DC0EAB">
      <w:pPr>
        <w:pBdr>
          <w:top w:val="nil"/>
          <w:left w:val="nil"/>
          <w:bottom w:val="nil"/>
          <w:right w:val="nil"/>
          <w:between w:val="nil"/>
        </w:pBdr>
        <w:rPr>
          <w:color w:val="000000"/>
        </w:rPr>
      </w:pPr>
    </w:p>
  </w:footnote>
  <w:footnote w:id="31">
    <w:p w14:paraId="2E352F77" w14:textId="77777777" w:rsidR="00DC0EAB" w:rsidRPr="00D558CC" w:rsidRDefault="00DC0EAB">
      <w:pPr>
        <w:pBdr>
          <w:top w:val="nil"/>
          <w:left w:val="nil"/>
          <w:bottom w:val="nil"/>
          <w:right w:val="nil"/>
          <w:between w:val="nil"/>
        </w:pBdr>
        <w:rPr>
          <w:color w:val="000000"/>
          <w:sz w:val="20"/>
          <w:szCs w:val="20"/>
        </w:rPr>
      </w:pPr>
      <w:r w:rsidRPr="00D558CC">
        <w:rPr>
          <w:sz w:val="20"/>
          <w:szCs w:val="20"/>
          <w:vertAlign w:val="superscript"/>
        </w:rPr>
        <w:footnoteRef/>
      </w:r>
      <w:r w:rsidRPr="00D558CC">
        <w:rPr>
          <w:color w:val="000000"/>
          <w:sz w:val="20"/>
          <w:szCs w:val="20"/>
        </w:rPr>
        <w:t xml:space="preserve"> </w:t>
      </w:r>
      <w:r w:rsidRPr="00D558CC">
        <w:rPr>
          <w:rFonts w:eastAsia="Century Schoolbook" w:cs="Century Schoolbook"/>
          <w:color w:val="000000"/>
          <w:sz w:val="20"/>
          <w:szCs w:val="20"/>
        </w:rPr>
        <w:t>Posterior a 2013 la economía panameña comienza su desaceleración, dejando atrás cinco años con un promedio de crecimiento del PIB de 7% (PEG 2019-2024).</w:t>
      </w:r>
    </w:p>
  </w:footnote>
  <w:footnote w:id="32">
    <w:p w14:paraId="496AA7FF" w14:textId="77777777" w:rsidR="00DC0EAB" w:rsidRPr="00D558CC" w:rsidRDefault="00DC0EAB">
      <w:pPr>
        <w:pBdr>
          <w:top w:val="nil"/>
          <w:left w:val="nil"/>
          <w:bottom w:val="nil"/>
          <w:right w:val="nil"/>
          <w:between w:val="nil"/>
        </w:pBdr>
        <w:rPr>
          <w:color w:val="000000"/>
          <w:sz w:val="20"/>
          <w:szCs w:val="20"/>
        </w:rPr>
      </w:pPr>
      <w:r w:rsidRPr="00D558CC">
        <w:rPr>
          <w:sz w:val="20"/>
          <w:szCs w:val="20"/>
          <w:vertAlign w:val="superscript"/>
        </w:rPr>
        <w:footnoteRef/>
      </w:r>
      <w:r w:rsidRPr="00D558CC">
        <w:rPr>
          <w:rFonts w:eastAsia="Century Schoolbook" w:cs="Century Schoolbook"/>
          <w:color w:val="000000"/>
          <w:sz w:val="20"/>
          <w:szCs w:val="20"/>
        </w:rPr>
        <w:t xml:space="preserve"> Si el indicador es mayor a 100 la afectación es para las mujeres, si es menor a 100 afecta a los hombres.</w:t>
      </w:r>
    </w:p>
  </w:footnote>
  <w:footnote w:id="33">
    <w:p w14:paraId="1BBBAB38" w14:textId="6666AFB7" w:rsidR="00DC0EAB" w:rsidRDefault="00DC0EAB">
      <w:pPr>
        <w:pBdr>
          <w:top w:val="nil"/>
          <w:left w:val="nil"/>
          <w:bottom w:val="nil"/>
          <w:right w:val="nil"/>
          <w:between w:val="nil"/>
        </w:pBdr>
        <w:rPr>
          <w:rFonts w:eastAsia="Century Schoolbook" w:cs="Century Schoolbook"/>
          <w:color w:val="000000"/>
          <w:sz w:val="20"/>
          <w:szCs w:val="20"/>
        </w:rPr>
      </w:pPr>
      <w:r>
        <w:rPr>
          <w:vertAlign w:val="superscript"/>
        </w:rPr>
        <w:footnoteRef/>
      </w:r>
      <w:r>
        <w:rPr>
          <w:rFonts w:eastAsia="Century Schoolbook" w:cs="Century Schoolbook"/>
          <w:color w:val="000000"/>
          <w:sz w:val="20"/>
          <w:szCs w:val="20"/>
        </w:rPr>
        <w:t xml:space="preserve"> Orozco Corona, 2011, p80.</w:t>
      </w:r>
    </w:p>
  </w:footnote>
  <w:footnote w:id="34">
    <w:p w14:paraId="09A4450F" w14:textId="77777777" w:rsidR="00DC0EAB" w:rsidRPr="00D558CC" w:rsidRDefault="00DC0EAB" w:rsidP="00D558CC">
      <w:pPr>
        <w:pBdr>
          <w:top w:val="nil"/>
          <w:left w:val="nil"/>
          <w:bottom w:val="nil"/>
          <w:right w:val="nil"/>
          <w:between w:val="nil"/>
        </w:pBdr>
        <w:jc w:val="both"/>
        <w:rPr>
          <w:rFonts w:eastAsia="Century Schoolbook" w:cs="Century Schoolbook"/>
          <w:color w:val="000000"/>
          <w:sz w:val="20"/>
          <w:szCs w:val="20"/>
        </w:rPr>
      </w:pPr>
      <w:r w:rsidRPr="00D558CC">
        <w:rPr>
          <w:sz w:val="20"/>
          <w:szCs w:val="20"/>
          <w:vertAlign w:val="superscript"/>
        </w:rPr>
        <w:footnoteRef/>
      </w:r>
      <w:r w:rsidRPr="00D558CC">
        <w:rPr>
          <w:color w:val="000000"/>
          <w:sz w:val="20"/>
          <w:szCs w:val="20"/>
        </w:rPr>
        <w:t xml:space="preserve"> </w:t>
      </w:r>
      <w:r w:rsidRPr="00D558CC">
        <w:rPr>
          <w:rFonts w:eastAsia="Century Schoolbook" w:cs="Century Schoolbook"/>
          <w:color w:val="000000"/>
          <w:sz w:val="20"/>
          <w:szCs w:val="20"/>
        </w:rPr>
        <w:t>INEC: Población ocupada no agrícola, sin seguridad social o sin contrato, excluye a los profesionales y técnicos que trabajan por cuenta propia o como patrones.</w:t>
      </w:r>
    </w:p>
  </w:footnote>
  <w:footnote w:id="35">
    <w:p w14:paraId="01F6EEFD" w14:textId="55E3FBC8" w:rsidR="00DC0EAB" w:rsidRPr="00F94652" w:rsidRDefault="00DC0EAB">
      <w:pPr>
        <w:pStyle w:val="FootnoteText"/>
        <w:rPr>
          <w:lang w:val="es-ES"/>
        </w:rPr>
      </w:pPr>
      <w:r>
        <w:rPr>
          <w:rStyle w:val="FootnoteReference"/>
        </w:rPr>
        <w:footnoteRef/>
      </w:r>
      <w:r>
        <w:t xml:space="preserve"> </w:t>
      </w:r>
      <w:hyperlink r:id="rId4" w:history="1">
        <w:r>
          <w:rPr>
            <w:rStyle w:val="Hyperlink"/>
          </w:rPr>
          <w:t>https://www.ilo.org/global/topics/equality-and-discrimination/epic/lang--es/index.htm</w:t>
        </w:r>
      </w:hyperlink>
    </w:p>
  </w:footnote>
  <w:footnote w:id="36">
    <w:p w14:paraId="7DFA0F63" w14:textId="77777777" w:rsidR="00DC0EAB" w:rsidRPr="00D558CC" w:rsidRDefault="00DC0EAB">
      <w:pPr>
        <w:pBdr>
          <w:top w:val="nil"/>
          <w:left w:val="nil"/>
          <w:bottom w:val="nil"/>
          <w:right w:val="nil"/>
          <w:between w:val="nil"/>
        </w:pBdr>
        <w:jc w:val="both"/>
        <w:rPr>
          <w:color w:val="000000"/>
          <w:sz w:val="20"/>
          <w:szCs w:val="20"/>
        </w:rPr>
      </w:pPr>
      <w:r>
        <w:rPr>
          <w:vertAlign w:val="superscript"/>
        </w:rPr>
        <w:footnoteRef/>
      </w:r>
      <w:r>
        <w:rPr>
          <w:color w:val="000000"/>
          <w:vertAlign w:val="superscript"/>
        </w:rPr>
        <w:t xml:space="preserve"> </w:t>
      </w:r>
      <w:r w:rsidRPr="00D558CC">
        <w:rPr>
          <w:rFonts w:eastAsia="Century Schoolbook" w:cs="Century Schoolbook"/>
          <w:color w:val="000000"/>
          <w:sz w:val="20"/>
          <w:szCs w:val="20"/>
        </w:rPr>
        <w:t>En el diagnóstico se aclara que les fue difícil la medición de la brecha salarial de género con la Encuesta de Mercado Laboral del INEC “por la imposibilidad de ofrecer el valor promedio de los salarios” teniendo que tomar como referente la mediana. Por ello utilizan el Estudio de Almario T., 2016a</w:t>
      </w:r>
    </w:p>
  </w:footnote>
  <w:footnote w:id="37">
    <w:p w14:paraId="7D2D38FB" w14:textId="77777777" w:rsidR="00DC0EAB" w:rsidRDefault="00DC0EAB" w:rsidP="000830C7">
      <w:pPr>
        <w:spacing w:after="120"/>
        <w:jc w:val="both"/>
        <w:rPr>
          <w:rFonts w:eastAsia="Century Schoolbook" w:cs="Century Schoolbook"/>
        </w:rPr>
      </w:pPr>
      <w:r>
        <w:rPr>
          <w:vertAlign w:val="superscript"/>
        </w:rPr>
        <w:footnoteRef/>
      </w:r>
      <w:r>
        <w:rPr>
          <w:rFonts w:eastAsia="Century Schoolbook" w:cs="Century Schoolbook"/>
          <w:sz w:val="20"/>
          <w:szCs w:val="20"/>
        </w:rPr>
        <w:t xml:space="preserve"> La información estadística que reposa en algunos proyectos de titulación y, particularmente en la ANATI, no desagrega por sexo los títulos otorgados, tal cual expresa el Informe Clara Gonzáles (INAMU, 2016) y la búsqueda de información que se ha hecho en esa institución para este perfil muestra que esto no ha cambiado, entre el 1 de agosto de 2014 y 30 de diciembre de 2018, ANATI entregó 36,309 títulos de propiedad, pero no está desagregado por sexo, ni población afrodescendiente o indígena.</w:t>
      </w:r>
    </w:p>
    <w:p w14:paraId="4AEFE44D" w14:textId="77777777" w:rsidR="00DC0EAB" w:rsidRDefault="00DC0EAB">
      <w:pPr>
        <w:pBdr>
          <w:top w:val="nil"/>
          <w:left w:val="nil"/>
          <w:bottom w:val="nil"/>
          <w:right w:val="nil"/>
          <w:between w:val="nil"/>
        </w:pBdr>
        <w:rPr>
          <w:color w:val="000000"/>
        </w:rPr>
      </w:pPr>
    </w:p>
  </w:footnote>
  <w:footnote w:id="38">
    <w:p w14:paraId="70164632" w14:textId="77777777" w:rsidR="00DC0EAB" w:rsidRDefault="00DC0EAB">
      <w:pPr>
        <w:pBdr>
          <w:top w:val="nil"/>
          <w:left w:val="nil"/>
          <w:bottom w:val="nil"/>
          <w:right w:val="nil"/>
          <w:between w:val="nil"/>
        </w:pBdr>
        <w:rPr>
          <w:color w:val="000000"/>
        </w:rPr>
      </w:pPr>
      <w:r>
        <w:rPr>
          <w:vertAlign w:val="superscript"/>
        </w:rPr>
        <w:footnoteRef/>
      </w:r>
      <w:r>
        <w:rPr>
          <w:color w:val="000000"/>
        </w:rPr>
        <w:t xml:space="preserve"> </w:t>
      </w:r>
      <w:r w:rsidRPr="00D558CC">
        <w:rPr>
          <w:color w:val="000000"/>
          <w:sz w:val="20"/>
          <w:szCs w:val="20"/>
        </w:rPr>
        <w:t>Artículo 77. Ley 51 de 27 de diciembre de 2005. Que reforma la Ley Orgánica de la Caja de Seguro Social.</w:t>
      </w:r>
    </w:p>
  </w:footnote>
  <w:footnote w:id="39">
    <w:p w14:paraId="218FDF68" w14:textId="77777777" w:rsidR="00DC0EAB" w:rsidRPr="00D558CC" w:rsidRDefault="00DC0EAB">
      <w:pPr>
        <w:rPr>
          <w:sz w:val="20"/>
          <w:szCs w:val="20"/>
        </w:rPr>
      </w:pPr>
      <w:r w:rsidRPr="00D558CC">
        <w:rPr>
          <w:sz w:val="20"/>
          <w:szCs w:val="20"/>
          <w:vertAlign w:val="superscript"/>
        </w:rPr>
        <w:footnoteRef/>
      </w:r>
      <w:r w:rsidRPr="00D558CC">
        <w:rPr>
          <w:sz w:val="20"/>
          <w:szCs w:val="20"/>
        </w:rPr>
        <w:t xml:space="preserve"> </w:t>
      </w:r>
      <w:r w:rsidRPr="00D558CC">
        <w:rPr>
          <w:iCs/>
          <w:sz w:val="20"/>
          <w:szCs w:val="20"/>
        </w:rPr>
        <w:t>El género y la posición de SENACYT/ participación de las mujeres en la ciencia en Panamá (SENACYT - PNUD) 2018</w:t>
      </w:r>
      <w:r w:rsidRPr="00D558CC">
        <w:rPr>
          <w:i/>
          <w:sz w:val="20"/>
          <w:szCs w:val="20"/>
        </w:rPr>
        <w:t>.</w:t>
      </w:r>
    </w:p>
  </w:footnote>
  <w:footnote w:id="40">
    <w:p w14:paraId="277A5A58" w14:textId="77777777" w:rsidR="00DC0EAB" w:rsidRPr="00D558CC" w:rsidRDefault="00DC0EAB">
      <w:pPr>
        <w:rPr>
          <w:sz w:val="20"/>
          <w:szCs w:val="20"/>
        </w:rPr>
      </w:pPr>
      <w:r w:rsidRPr="00D558CC">
        <w:rPr>
          <w:sz w:val="20"/>
          <w:szCs w:val="20"/>
          <w:vertAlign w:val="superscript"/>
        </w:rPr>
        <w:footnoteRef/>
      </w:r>
      <w:r w:rsidRPr="00D558CC">
        <w:rPr>
          <w:sz w:val="20"/>
          <w:szCs w:val="20"/>
          <w:vertAlign w:val="superscript"/>
        </w:rPr>
        <w:t xml:space="preserve"> </w:t>
      </w:r>
      <w:r w:rsidRPr="00D558CC">
        <w:rPr>
          <w:sz w:val="20"/>
          <w:szCs w:val="20"/>
        </w:rPr>
        <w:t>Instituto nacional de estadística y censo (INEC), Asociación de universidades privadas de Panamá (AUPA)</w:t>
      </w:r>
    </w:p>
  </w:footnote>
  <w:footnote w:id="41">
    <w:p w14:paraId="1BE8B956" w14:textId="77777777" w:rsidR="00DC0EAB" w:rsidRPr="00D558CC" w:rsidRDefault="00DC0EAB">
      <w:pPr>
        <w:rPr>
          <w:sz w:val="20"/>
          <w:szCs w:val="20"/>
        </w:rPr>
      </w:pPr>
      <w:r w:rsidRPr="00D558CC">
        <w:rPr>
          <w:sz w:val="20"/>
          <w:szCs w:val="20"/>
          <w:vertAlign w:val="superscript"/>
        </w:rPr>
        <w:footnoteRef/>
      </w:r>
      <w:r w:rsidRPr="00D558CC">
        <w:rPr>
          <w:sz w:val="20"/>
          <w:szCs w:val="20"/>
        </w:rPr>
        <w:t xml:space="preserve"> </w:t>
      </w:r>
      <w:r w:rsidRPr="00D558CC">
        <w:rPr>
          <w:color w:val="222222"/>
          <w:sz w:val="20"/>
          <w:szCs w:val="20"/>
          <w:highlight w:val="white"/>
        </w:rPr>
        <w:t>CEPAL (septiembre de 2013</w:t>
      </w:r>
      <w:r w:rsidRPr="00D558CC">
        <w:rPr>
          <w:sz w:val="20"/>
          <w:szCs w:val="20"/>
          <w:highlight w:val="white"/>
        </w:rPr>
        <w:t xml:space="preserve">). </w:t>
      </w:r>
      <w:hyperlink r:id="rId5">
        <w:r w:rsidRPr="00D558CC">
          <w:rPr>
            <w:i/>
            <w:color w:val="0000FF"/>
            <w:sz w:val="20"/>
            <w:szCs w:val="20"/>
            <w:highlight w:val="white"/>
            <w:u w:val="single"/>
          </w:rPr>
          <w:t>La brecha digital de género: Reflejo de la desigualdad social</w:t>
        </w:r>
      </w:hyperlink>
      <w:r w:rsidRPr="00D558CC">
        <w:rPr>
          <w:color w:val="222222"/>
          <w:sz w:val="20"/>
          <w:szCs w:val="20"/>
          <w:highlight w:val="white"/>
        </w:rPr>
        <w:t xml:space="preserve">. </w:t>
      </w:r>
    </w:p>
  </w:footnote>
  <w:footnote w:id="42">
    <w:p w14:paraId="1C54DE8F" w14:textId="77777777" w:rsidR="00DC0EAB" w:rsidRPr="007F13EC" w:rsidRDefault="00DC0EAB" w:rsidP="007F13EC">
      <w:pPr>
        <w:pStyle w:val="FootnoteText"/>
        <w:jc w:val="both"/>
        <w:rPr>
          <w:rFonts w:ascii="Century Schoolbook" w:hAnsi="Century Schoolbook"/>
        </w:rPr>
      </w:pPr>
      <w:r w:rsidRPr="007F13EC">
        <w:rPr>
          <w:rStyle w:val="FootnoteReference"/>
          <w:rFonts w:ascii="Century Schoolbook" w:hAnsi="Century Schoolbook"/>
        </w:rPr>
        <w:footnoteRef/>
      </w:r>
      <w:r w:rsidRPr="007F13EC">
        <w:rPr>
          <w:rFonts w:ascii="Century Schoolbook" w:hAnsi="Century Schoolbook"/>
        </w:rPr>
        <w:t xml:space="preserve">   La tasa de fecundidad general es el índice de la cantidad de nacimientos vivos en un año por cada mil mujeres entre 15 y 49 años de edad. Julián Pérez Porto y María Merino. 2016</w:t>
      </w:r>
    </w:p>
    <w:p w14:paraId="282EBB96" w14:textId="7EEAD3B6" w:rsidR="00DC0EAB" w:rsidRPr="007F13EC" w:rsidRDefault="00DC0EAB" w:rsidP="007F13EC">
      <w:pPr>
        <w:pStyle w:val="FootnoteText"/>
        <w:jc w:val="both"/>
        <w:rPr>
          <w:rFonts w:ascii="Century Schoolbook" w:hAnsi="Century Schoolbook"/>
          <w:lang w:val="es-US"/>
        </w:rPr>
      </w:pPr>
      <w:r w:rsidRPr="007F13EC">
        <w:rPr>
          <w:rFonts w:ascii="Century Schoolbook" w:hAnsi="Century Schoolbook"/>
        </w:rPr>
        <w:t>La tasa de fecundidad global es el número de hijos que en promedio tendría una mujer o por mil mujeres en edad reproductiva de acuerdo a la tasa de fecundidad específica por edad de la población y épocas del estudio. CELADE-CEPAL. 2010</w:t>
      </w:r>
    </w:p>
  </w:footnote>
  <w:footnote w:id="43">
    <w:p w14:paraId="42297DEC" w14:textId="77777777" w:rsidR="00DC0EAB" w:rsidRDefault="00DC0EAB" w:rsidP="00665481">
      <w:pPr>
        <w:pBdr>
          <w:top w:val="nil"/>
          <w:left w:val="nil"/>
          <w:bottom w:val="nil"/>
          <w:right w:val="nil"/>
          <w:between w:val="nil"/>
        </w:pBdr>
        <w:rPr>
          <w:rFonts w:eastAsia="Century Schoolbook" w:cs="Century Schoolbook"/>
          <w:color w:val="000000"/>
          <w:sz w:val="20"/>
          <w:szCs w:val="20"/>
        </w:rPr>
      </w:pPr>
      <w:r>
        <w:rPr>
          <w:vertAlign w:val="superscript"/>
        </w:rPr>
        <w:footnoteRef/>
      </w:r>
      <w:r>
        <w:rPr>
          <w:color w:val="000000"/>
        </w:rPr>
        <w:t xml:space="preserve"> </w:t>
      </w:r>
      <w:r>
        <w:rPr>
          <w:rFonts w:eastAsia="Century Schoolbook" w:cs="Century Schoolbook"/>
          <w:color w:val="000000"/>
          <w:sz w:val="20"/>
          <w:szCs w:val="20"/>
        </w:rPr>
        <w:t xml:space="preserve">Definición de seguridad alimentaria contenida entre otras en el Plan Nacional de Seguridad Alimentaria y Nutricional de Panamá 2017-2021. </w:t>
      </w:r>
    </w:p>
  </w:footnote>
  <w:footnote w:id="44">
    <w:p w14:paraId="4CD0A1EC" w14:textId="77777777" w:rsidR="00DC0EAB" w:rsidRDefault="00DC0EAB" w:rsidP="00665481">
      <w:pPr>
        <w:pBdr>
          <w:top w:val="nil"/>
          <w:left w:val="nil"/>
          <w:bottom w:val="nil"/>
          <w:right w:val="nil"/>
          <w:between w:val="nil"/>
        </w:pBdr>
        <w:rPr>
          <w:rFonts w:eastAsia="Century Schoolbook" w:cs="Century Schoolbook"/>
          <w:color w:val="000000"/>
          <w:sz w:val="20"/>
          <w:szCs w:val="20"/>
        </w:rPr>
      </w:pPr>
      <w:r>
        <w:rPr>
          <w:vertAlign w:val="superscript"/>
        </w:rPr>
        <w:footnoteRef/>
      </w:r>
      <w:r>
        <w:rPr>
          <w:rFonts w:eastAsia="Century Schoolbook" w:cs="Century Schoolbook"/>
          <w:color w:val="000000"/>
          <w:sz w:val="20"/>
          <w:szCs w:val="20"/>
        </w:rPr>
        <w:t xml:space="preserve"> Referencia hecha en Panorama de la seguridad alimentaria y nutricional en América Latina y el Caribe 2018 de FAO.</w:t>
      </w:r>
    </w:p>
  </w:footnote>
  <w:footnote w:id="45">
    <w:p w14:paraId="7AE0B6BE" w14:textId="77777777" w:rsidR="00DC0EAB" w:rsidRDefault="00DC0EAB" w:rsidP="00665481">
      <w:pPr>
        <w:pBdr>
          <w:top w:val="nil"/>
          <w:left w:val="nil"/>
          <w:bottom w:val="nil"/>
          <w:right w:val="nil"/>
          <w:between w:val="nil"/>
        </w:pBdr>
        <w:rPr>
          <w:rFonts w:eastAsia="Century Schoolbook" w:cs="Century Schoolbook"/>
          <w:color w:val="000000"/>
          <w:sz w:val="20"/>
          <w:szCs w:val="20"/>
        </w:rPr>
      </w:pPr>
      <w:r>
        <w:rPr>
          <w:vertAlign w:val="superscript"/>
        </w:rPr>
        <w:footnoteRef/>
      </w:r>
      <w:r>
        <w:rPr>
          <w:color w:val="000000"/>
        </w:rPr>
        <w:t xml:space="preserve"> </w:t>
      </w:r>
      <w:r>
        <w:rPr>
          <w:rFonts w:eastAsia="Century Schoolbook" w:cs="Century Schoolbook"/>
          <w:color w:val="000000"/>
          <w:sz w:val="20"/>
          <w:szCs w:val="20"/>
        </w:rPr>
        <w:t>http://www.minsa.gob.pa/noticia/obesidad-y-sobrepeso-se-mantienen-como-principales-padecimientos-en-ninos-escolares</w:t>
      </w:r>
    </w:p>
  </w:footnote>
  <w:footnote w:id="46">
    <w:p w14:paraId="695CFFEA" w14:textId="4D417F5A" w:rsidR="00DC0EAB" w:rsidRPr="00546582" w:rsidRDefault="00DC0EAB">
      <w:pPr>
        <w:pStyle w:val="FootnoteText"/>
        <w:rPr>
          <w:lang w:val="es-US"/>
        </w:rPr>
      </w:pPr>
      <w:r>
        <w:rPr>
          <w:rStyle w:val="FootnoteReference"/>
        </w:rPr>
        <w:footnoteRef/>
      </w:r>
      <w:r>
        <w:t xml:space="preserve"> </w:t>
      </w:r>
      <w:r w:rsidRPr="0061298A">
        <w:t>http://www.css.gob.pa/web/29-abril-2019ob.html</w:t>
      </w:r>
    </w:p>
  </w:footnote>
  <w:footnote w:id="47">
    <w:p w14:paraId="4C39DA32" w14:textId="77777777" w:rsidR="00DC0EAB" w:rsidRDefault="00DC0EAB" w:rsidP="00665481">
      <w:pPr>
        <w:pBdr>
          <w:top w:val="nil"/>
          <w:left w:val="nil"/>
          <w:bottom w:val="nil"/>
          <w:right w:val="nil"/>
          <w:between w:val="nil"/>
        </w:pBdr>
        <w:rPr>
          <w:rFonts w:eastAsia="Century Schoolbook" w:cs="Century Schoolbook"/>
          <w:color w:val="000000"/>
          <w:sz w:val="20"/>
          <w:szCs w:val="20"/>
        </w:rPr>
      </w:pPr>
      <w:r>
        <w:rPr>
          <w:vertAlign w:val="superscript"/>
        </w:rPr>
        <w:footnoteRef/>
      </w:r>
      <w:r>
        <w:rPr>
          <w:rFonts w:eastAsia="Century Schoolbook" w:cs="Century Schoolbook"/>
          <w:color w:val="000000"/>
          <w:sz w:val="20"/>
          <w:szCs w:val="20"/>
        </w:rPr>
        <w:t xml:space="preserve"> </w:t>
      </w:r>
      <w:hyperlink r:id="rId6">
        <w:r w:rsidRPr="00A90F49">
          <w:rPr>
            <w:rFonts w:eastAsia="Century Schoolbook" w:cs="Century Schoolbook"/>
            <w:color w:val="0563C1"/>
            <w:sz w:val="16"/>
            <w:szCs w:val="16"/>
            <w:u w:val="single"/>
          </w:rPr>
          <w:t>http://minsa.gob.pa/noticia/campana-de-prevencion-y-combate-de-la-obesidad-infantil-en-panama-salva-tu-vida</w:t>
        </w:r>
      </w:hyperlink>
    </w:p>
  </w:footnote>
  <w:footnote w:id="48">
    <w:p w14:paraId="62749038" w14:textId="2136997C" w:rsidR="00DC0EAB" w:rsidRPr="005112A4" w:rsidRDefault="00DC0EAB" w:rsidP="00665481">
      <w:pPr>
        <w:pBdr>
          <w:top w:val="nil"/>
          <w:left w:val="nil"/>
          <w:bottom w:val="nil"/>
          <w:right w:val="nil"/>
          <w:between w:val="nil"/>
        </w:pBdr>
        <w:rPr>
          <w:rFonts w:eastAsia="Century Schoolbook" w:cs="Century Schoolbook"/>
          <w:color w:val="000000"/>
          <w:sz w:val="20"/>
          <w:szCs w:val="20"/>
        </w:rPr>
      </w:pPr>
      <w:r>
        <w:rPr>
          <w:vertAlign w:val="superscript"/>
        </w:rPr>
        <w:footnoteRef/>
      </w:r>
      <w:r>
        <w:rPr>
          <w:rFonts w:eastAsia="Century Schoolbook" w:cs="Century Schoolbook"/>
          <w:color w:val="000000"/>
          <w:sz w:val="20"/>
          <w:szCs w:val="20"/>
        </w:rPr>
        <w:t xml:space="preserve"> Ex ministro de salud en Panamá, periodo Gubernamental 2014-2019.</w:t>
      </w:r>
    </w:p>
  </w:footnote>
  <w:footnote w:id="49">
    <w:p w14:paraId="673173F3" w14:textId="459C6757" w:rsidR="00DC0EAB" w:rsidRPr="0026720A" w:rsidRDefault="00DC0EAB" w:rsidP="009F7DD0">
      <w:pPr>
        <w:pStyle w:val="FootnoteText"/>
        <w:rPr>
          <w:rFonts w:ascii="Century Schoolbook" w:hAnsi="Century Schoolbook"/>
        </w:rPr>
      </w:pPr>
      <w:r w:rsidRPr="0026720A">
        <w:rPr>
          <w:rStyle w:val="FootnoteReference"/>
          <w:rFonts w:ascii="Century Schoolbook" w:hAnsi="Century Schoolbook"/>
        </w:rPr>
        <w:footnoteRef/>
      </w:r>
      <w:r w:rsidRPr="0026720A">
        <w:rPr>
          <w:rFonts w:ascii="Century Schoolbook" w:hAnsi="Century Schoolbook"/>
        </w:rPr>
        <w:t xml:space="preserve"> El femicidio ocurrió en mayo 2020. Cuando se realizó este informe aun no aparecía en las estadísticas oficiales. </w:t>
      </w:r>
    </w:p>
  </w:footnote>
  <w:footnote w:id="50">
    <w:p w14:paraId="6F3A2AF5" w14:textId="77777777" w:rsidR="00DC0EAB" w:rsidRPr="008E346C" w:rsidRDefault="00DC0EAB" w:rsidP="009F7DD0">
      <w:pPr>
        <w:pStyle w:val="FootnoteText"/>
        <w:rPr>
          <w:lang w:val="es-US"/>
        </w:rPr>
      </w:pPr>
      <w:r>
        <w:rPr>
          <w:rStyle w:val="FootnoteReference"/>
        </w:rPr>
        <w:footnoteRef/>
      </w:r>
      <w:r>
        <w:t xml:space="preserve"> </w:t>
      </w:r>
      <w:r>
        <w:rPr>
          <w:lang w:val="es-US"/>
        </w:rPr>
        <w:t>Los datos de la Tabla 15 fueron suministrados por el Departamento de Estadística del Ministerio Público a través de una solicitud formal para la elaboración de este informe. Algunos datos no coinciden con los publicados en su página web, sin embargo, en este caso si están desagregados por sexo y edad.</w:t>
      </w:r>
    </w:p>
  </w:footnote>
  <w:footnote w:id="51">
    <w:p w14:paraId="258EF89C" w14:textId="12DA95F9" w:rsidR="00DC0EAB" w:rsidRPr="008152A5" w:rsidRDefault="00DC0EAB" w:rsidP="009F7DD0">
      <w:pPr>
        <w:pStyle w:val="FootnoteText"/>
        <w:jc w:val="both"/>
        <w:rPr>
          <w:rFonts w:ascii="Century Schoolbook" w:hAnsi="Century Schoolbook"/>
        </w:rPr>
      </w:pPr>
      <w:r w:rsidRPr="008152A5">
        <w:rPr>
          <w:rStyle w:val="FootnoteReference"/>
          <w:rFonts w:ascii="Century Schoolbook" w:hAnsi="Century Schoolbook"/>
        </w:rPr>
        <w:footnoteRef/>
      </w:r>
      <w:r w:rsidRPr="008152A5">
        <w:rPr>
          <w:rFonts w:ascii="Century Schoolbook" w:hAnsi="Century Schoolbook"/>
        </w:rPr>
        <w:t xml:space="preserve"> ENASSER 2014-2015, Encuesta de </w:t>
      </w:r>
      <w:r w:rsidRPr="008152A5">
        <w:rPr>
          <w:rFonts w:ascii="Century Schoolbook" w:hAnsi="Century Schoolbook"/>
          <w:lang w:val="es-US"/>
        </w:rPr>
        <w:t>de Indicadores Múltiples por Conglomerados</w:t>
      </w:r>
      <w:r w:rsidRPr="008152A5">
        <w:rPr>
          <w:rFonts w:ascii="Century Schoolbook" w:hAnsi="Century Schoolbook"/>
        </w:rPr>
        <w:t xml:space="preserve"> INEC 2013 y Encuesta de Victimización y Percepción de Seguridad Ciudadana en Panamá (ENVI). INEC en colaboración con MINSEG, BID, La Unión Europea y el Observatorio de la Cámara de Comercio. 2015-2016. Publicada en el 2017 y el Informe Violencia Contra la Mujer. Prevalencia, factores de riesgo asociados y femicidio. Instituto Gorgas, INAMU y SENACYT, </w:t>
      </w:r>
    </w:p>
  </w:footnote>
  <w:footnote w:id="52">
    <w:p w14:paraId="78E43908" w14:textId="77777777" w:rsidR="00DC0EAB" w:rsidRPr="00CE4822" w:rsidRDefault="00DC0EAB" w:rsidP="009F7DD0">
      <w:pPr>
        <w:pStyle w:val="FootnoteText"/>
      </w:pPr>
      <w:r>
        <w:rPr>
          <w:rStyle w:val="FootnoteReference"/>
        </w:rPr>
        <w:footnoteRef/>
      </w:r>
      <w:r>
        <w:t xml:space="preserve"> </w:t>
      </w:r>
      <w:r w:rsidRPr="00425224">
        <w:rPr>
          <w:noProof/>
        </w:rPr>
        <w:t>Art. 176</w:t>
      </w:r>
      <w:r>
        <w:rPr>
          <w:noProof/>
        </w:rPr>
        <w:t xml:space="preserve">. </w:t>
      </w:r>
      <w:r w:rsidRPr="00425224">
        <w:rPr>
          <w:noProof/>
        </w:rPr>
        <w:t>Acceso Sexual Con Una Persona Mayor de Catorce (14) Años y Menor de Dieciocho (18)</w:t>
      </w:r>
    </w:p>
  </w:footnote>
  <w:footnote w:id="53">
    <w:p w14:paraId="666CE93B" w14:textId="77777777" w:rsidR="00DC0EAB" w:rsidRPr="00EE5823" w:rsidRDefault="00DC0EAB" w:rsidP="009F7DD0">
      <w:pPr>
        <w:pStyle w:val="FootnoteText"/>
      </w:pPr>
      <w:r>
        <w:rPr>
          <w:rStyle w:val="FootnoteReference"/>
        </w:rPr>
        <w:footnoteRef/>
      </w:r>
      <w:r>
        <w:t xml:space="preserve"> Violación cometida por ascendiente, tutor o curador, supone abuso de autoridad o confianza.</w:t>
      </w:r>
    </w:p>
  </w:footnote>
  <w:footnote w:id="54">
    <w:p w14:paraId="6C092142" w14:textId="77777777" w:rsidR="00DC0EAB" w:rsidRDefault="00DC0EAB" w:rsidP="00874B25">
      <w:pPr>
        <w:pStyle w:val="FootnoteText"/>
      </w:pPr>
      <w:r>
        <w:rPr>
          <w:rStyle w:val="FootnoteReference"/>
        </w:rPr>
        <w:footnoteRef/>
      </w:r>
      <w:r>
        <w:t xml:space="preserve"> </w:t>
      </w:r>
      <w:hyperlink r:id="rId7" w:history="1">
        <w:r>
          <w:rPr>
            <w:rStyle w:val="Hyperlink"/>
          </w:rPr>
          <w:t>https://primi.iom.int/es/movimientos-migratorios</w:t>
        </w:r>
      </w:hyperlink>
    </w:p>
  </w:footnote>
  <w:footnote w:id="55">
    <w:p w14:paraId="1723A5E4" w14:textId="0764245D" w:rsidR="00DC0EAB" w:rsidRDefault="00DC0EAB">
      <w:pPr>
        <w:pStyle w:val="FootnoteText"/>
      </w:pPr>
      <w:r>
        <w:rPr>
          <w:rStyle w:val="FootnoteReference"/>
        </w:rPr>
        <w:footnoteRef/>
      </w:r>
      <w:r>
        <w:t xml:space="preserve"> </w:t>
      </w:r>
      <w:r w:rsidRPr="00A57B9F">
        <w:t>De “alternadoras” a “bailarinas de espectáculos”</w:t>
      </w:r>
      <w:r>
        <w:t xml:space="preserve">. Adelita Coriat. Estrella de Panamá. 21/10/2015. </w:t>
      </w:r>
    </w:p>
  </w:footnote>
  <w:footnote w:id="56">
    <w:p w14:paraId="19A4AFB3" w14:textId="06CD3B2D" w:rsidR="00DC0EAB" w:rsidRDefault="00DC0EAB">
      <w:pPr>
        <w:pStyle w:val="FootnoteText"/>
      </w:pPr>
      <w:r>
        <w:rPr>
          <w:rStyle w:val="FootnoteReference"/>
        </w:rPr>
        <w:footnoteRef/>
      </w:r>
      <w:r>
        <w:t xml:space="preserve"> Ídem</w:t>
      </w:r>
    </w:p>
  </w:footnote>
  <w:footnote w:id="57">
    <w:p w14:paraId="354DE2D4" w14:textId="77777777" w:rsidR="00DC0EAB" w:rsidRPr="00197208" w:rsidRDefault="00DC0EAB" w:rsidP="00874B25">
      <w:pPr>
        <w:pStyle w:val="FootnoteText"/>
        <w:rPr>
          <w:rFonts w:ascii="Century Schoolbook" w:hAnsi="Century Schoolbook"/>
        </w:rPr>
      </w:pPr>
      <w:r>
        <w:rPr>
          <w:rStyle w:val="FootnoteReference"/>
        </w:rPr>
        <w:footnoteRef/>
      </w:r>
      <w:r>
        <w:t xml:space="preserve"> </w:t>
      </w:r>
      <w:r w:rsidRPr="00A8564F">
        <w:rPr>
          <w:rFonts w:ascii="Century Schoolbook" w:hAnsi="Century Schoolbook"/>
        </w:rPr>
        <w:t xml:space="preserve">Manual </w:t>
      </w:r>
      <w:r>
        <w:rPr>
          <w:rFonts w:ascii="Century Schoolbook" w:hAnsi="Century Schoolbook"/>
        </w:rPr>
        <w:t>g</w:t>
      </w:r>
      <w:r w:rsidRPr="00A8564F">
        <w:rPr>
          <w:rFonts w:ascii="Century Schoolbook" w:hAnsi="Century Schoolbook"/>
        </w:rPr>
        <w:t>estión</w:t>
      </w:r>
      <w:r w:rsidRPr="00197208">
        <w:rPr>
          <w:rFonts w:ascii="Century Schoolbook" w:hAnsi="Century Schoolbook"/>
        </w:rPr>
        <w:t xml:space="preserve"> de</w:t>
      </w:r>
      <w:r>
        <w:rPr>
          <w:rFonts w:ascii="Century Schoolbook" w:hAnsi="Century Schoolbook"/>
        </w:rPr>
        <w:t xml:space="preserve"> </w:t>
      </w:r>
      <w:r w:rsidRPr="00197208">
        <w:rPr>
          <w:rFonts w:ascii="Century Schoolbook" w:hAnsi="Century Schoolbook"/>
        </w:rPr>
        <w:t>alojamientos</w:t>
      </w:r>
      <w:r>
        <w:rPr>
          <w:rFonts w:ascii="Century Schoolbook" w:hAnsi="Century Schoolbook"/>
        </w:rPr>
        <w:t xml:space="preserve"> temporales en P</w:t>
      </w:r>
      <w:r w:rsidRPr="00197208">
        <w:rPr>
          <w:rFonts w:ascii="Century Schoolbook" w:hAnsi="Century Schoolbook"/>
        </w:rPr>
        <w:t>anamá</w:t>
      </w:r>
      <w:r>
        <w:rPr>
          <w:rFonts w:ascii="Century Schoolbook" w:hAnsi="Century Schoolbook"/>
        </w:rPr>
        <w:t xml:space="preserve">. Página 9. OIM.MINSEG. </w:t>
      </w:r>
    </w:p>
  </w:footnote>
  <w:footnote w:id="58">
    <w:p w14:paraId="0803B09E" w14:textId="77777777" w:rsidR="00DC0EAB" w:rsidRDefault="00DC0EAB" w:rsidP="00874B25">
      <w:pPr>
        <w:pStyle w:val="FootnoteText"/>
      </w:pPr>
      <w:r>
        <w:rPr>
          <w:rStyle w:val="FootnoteReference"/>
        </w:rPr>
        <w:footnoteRef/>
      </w:r>
      <w:r>
        <w:t xml:space="preserve"> Ídem.</w:t>
      </w:r>
    </w:p>
  </w:footnote>
  <w:footnote w:id="59">
    <w:p w14:paraId="109B4976" w14:textId="77777777" w:rsidR="00DC0EAB" w:rsidRPr="00EC09CC" w:rsidRDefault="00DC0EAB" w:rsidP="00874B25">
      <w:pPr>
        <w:pStyle w:val="FootnoteText"/>
        <w:rPr>
          <w:lang w:val="es-ES"/>
        </w:rPr>
      </w:pPr>
      <w:r>
        <w:rPr>
          <w:rStyle w:val="FootnoteReference"/>
        </w:rPr>
        <w:footnoteRef/>
      </w:r>
      <w:r>
        <w:t xml:space="preserve"> </w:t>
      </w:r>
      <w:r>
        <w:rPr>
          <w:rFonts w:ascii="Century Schoolbook" w:hAnsi="Century Schoolbook"/>
        </w:rPr>
        <w:t>E</w:t>
      </w:r>
      <w:r w:rsidRPr="00EC09CC">
        <w:rPr>
          <w:rFonts w:ascii="Century Schoolbook" w:hAnsi="Century Schoolbook"/>
        </w:rPr>
        <w:t xml:space="preserve">n los datos publicados por el Servicio Nacional de Migración </w:t>
      </w:r>
      <w:r>
        <w:rPr>
          <w:rFonts w:ascii="Century Schoolbook" w:hAnsi="Century Schoolbook"/>
        </w:rPr>
        <w:t>l</w:t>
      </w:r>
      <w:r w:rsidRPr="00EC09CC">
        <w:rPr>
          <w:rFonts w:ascii="Century Schoolbook" w:hAnsi="Century Schoolbook"/>
        </w:rPr>
        <w:t xml:space="preserve">a estadística por sexo solo </w:t>
      </w:r>
      <w:r>
        <w:rPr>
          <w:rFonts w:ascii="Century Schoolbook" w:hAnsi="Century Schoolbook"/>
        </w:rPr>
        <w:t xml:space="preserve">está disponible </w:t>
      </w:r>
      <w:r w:rsidRPr="00EC09CC">
        <w:rPr>
          <w:rFonts w:ascii="Century Schoolbook" w:hAnsi="Century Schoolbook"/>
        </w:rPr>
        <w:t>para el año 2019.</w:t>
      </w:r>
    </w:p>
  </w:footnote>
  <w:footnote w:id="60">
    <w:p w14:paraId="305DDFDA" w14:textId="6CB435E7" w:rsidR="00DC0EAB" w:rsidRDefault="00DC0EAB" w:rsidP="00874B25">
      <w:pPr>
        <w:pStyle w:val="FootnoteText"/>
      </w:pPr>
      <w:r>
        <w:rPr>
          <w:rStyle w:val="FootnoteReference"/>
        </w:rPr>
        <w:footnoteRef/>
      </w:r>
      <w:r>
        <w:t xml:space="preserve"> Ídem, página 78. </w:t>
      </w:r>
    </w:p>
  </w:footnote>
  <w:footnote w:id="61">
    <w:p w14:paraId="1C617993" w14:textId="77777777" w:rsidR="00DC0EAB" w:rsidRPr="003B1B5A" w:rsidRDefault="00DC0EAB" w:rsidP="00874B25">
      <w:pPr>
        <w:spacing w:before="240" w:after="120"/>
        <w:jc w:val="both"/>
        <w:rPr>
          <w:rFonts w:ascii="Century" w:hAnsi="Century"/>
        </w:rPr>
      </w:pPr>
      <w:r>
        <w:rPr>
          <w:rStyle w:val="FootnoteReference"/>
        </w:rPr>
        <w:footnoteRef/>
      </w:r>
      <w:r w:rsidRPr="003B1B5A">
        <w:t xml:space="preserve"> </w:t>
      </w:r>
      <w:hyperlink r:id="rId8" w:history="1">
        <w:r w:rsidRPr="003B33D9">
          <w:rPr>
            <w:rStyle w:val="Hyperlink"/>
          </w:rPr>
          <w:t>http</w:t>
        </w:r>
        <w:r w:rsidRPr="003B1B5A">
          <w:rPr>
            <w:rStyle w:val="Hyperlink"/>
          </w:rPr>
          <w:t>s://news.un.org/es/story/2019/12/1467181</w:t>
        </w:r>
      </w:hyperlink>
    </w:p>
  </w:footnote>
  <w:footnote w:id="62">
    <w:p w14:paraId="6281CBE6" w14:textId="77777777" w:rsidR="00DC0EAB" w:rsidRDefault="00DC0EAB" w:rsidP="00874B25">
      <w:pPr>
        <w:pStyle w:val="FootnoteText"/>
      </w:pPr>
      <w:r>
        <w:rPr>
          <w:rStyle w:val="FootnoteReference"/>
        </w:rPr>
        <w:footnoteRef/>
      </w:r>
      <w:r>
        <w:t xml:space="preserve"> </w:t>
      </w:r>
      <w:r>
        <w:rPr>
          <w:rFonts w:ascii="Century Schoolbook" w:hAnsi="Century Schoolbook"/>
        </w:rPr>
        <w:t>Aná</w:t>
      </w:r>
      <w:r w:rsidRPr="00AD007C">
        <w:rPr>
          <w:rFonts w:ascii="Century Schoolbook" w:hAnsi="Century Schoolbook"/>
        </w:rPr>
        <w:t>lisis de las encuestas de monitoreo de flujos</w:t>
      </w:r>
      <w:r>
        <w:rPr>
          <w:rFonts w:ascii="Century Schoolbook" w:hAnsi="Century Schoolbook"/>
        </w:rPr>
        <w:t xml:space="preserve"> Chiriquí, página 16.  Panamá. 2019. </w:t>
      </w:r>
    </w:p>
  </w:footnote>
  <w:footnote w:id="63">
    <w:p w14:paraId="28782C0B" w14:textId="77777777" w:rsidR="00DC0EAB" w:rsidRDefault="00DC0EAB" w:rsidP="00874B25">
      <w:pPr>
        <w:pStyle w:val="FootnoteText"/>
      </w:pPr>
      <w:r>
        <w:rPr>
          <w:rStyle w:val="FootnoteReference"/>
        </w:rPr>
        <w:footnoteRef/>
      </w:r>
      <w:r>
        <w:t xml:space="preserve"> </w:t>
      </w:r>
      <w:r>
        <w:rPr>
          <w:rFonts w:ascii="Century Schoolbook" w:hAnsi="Century Schoolbook"/>
        </w:rPr>
        <w:t xml:space="preserve">OIM - MINSEG. </w:t>
      </w:r>
      <w:r w:rsidRPr="00A8564F">
        <w:rPr>
          <w:rFonts w:ascii="Century Schoolbook" w:hAnsi="Century Schoolbook"/>
        </w:rPr>
        <w:t xml:space="preserve">Manual </w:t>
      </w:r>
      <w:r>
        <w:rPr>
          <w:rFonts w:ascii="Century Schoolbook" w:hAnsi="Century Schoolbook"/>
        </w:rPr>
        <w:t>g</w:t>
      </w:r>
      <w:r w:rsidRPr="00A8564F">
        <w:rPr>
          <w:rFonts w:ascii="Century Schoolbook" w:hAnsi="Century Schoolbook"/>
        </w:rPr>
        <w:t>estión</w:t>
      </w:r>
      <w:r w:rsidRPr="00197208">
        <w:rPr>
          <w:rFonts w:ascii="Century Schoolbook" w:hAnsi="Century Schoolbook"/>
        </w:rPr>
        <w:t xml:space="preserve"> de</w:t>
      </w:r>
      <w:r>
        <w:rPr>
          <w:rFonts w:ascii="Century Schoolbook" w:hAnsi="Century Schoolbook"/>
        </w:rPr>
        <w:t xml:space="preserve"> </w:t>
      </w:r>
      <w:r w:rsidRPr="00197208">
        <w:rPr>
          <w:rFonts w:ascii="Century Schoolbook" w:hAnsi="Century Schoolbook"/>
        </w:rPr>
        <w:t>alojamientos</w:t>
      </w:r>
      <w:r>
        <w:rPr>
          <w:rFonts w:ascii="Century Schoolbook" w:hAnsi="Century Schoolbook"/>
        </w:rPr>
        <w:t xml:space="preserve"> temporales en P</w:t>
      </w:r>
      <w:r w:rsidRPr="00197208">
        <w:rPr>
          <w:rFonts w:ascii="Century Schoolbook" w:hAnsi="Century Schoolbook"/>
        </w:rPr>
        <w:t>anamá</w:t>
      </w:r>
      <w:r>
        <w:rPr>
          <w:rFonts w:ascii="Century Schoolbook" w:hAnsi="Century Schoolbook"/>
        </w:rPr>
        <w:t>. Página 78 y 79. Año XX</w:t>
      </w:r>
    </w:p>
  </w:footnote>
  <w:footnote w:id="64">
    <w:p w14:paraId="253E74A5" w14:textId="77777777" w:rsidR="00DC0EAB" w:rsidRPr="00C97E91" w:rsidRDefault="00DC0EAB" w:rsidP="00874B25">
      <w:pPr>
        <w:pStyle w:val="FootnoteText"/>
        <w:rPr>
          <w:rFonts w:ascii="Century Schoolbook" w:hAnsi="Century Schoolbook"/>
        </w:rPr>
      </w:pPr>
      <w:r>
        <w:rPr>
          <w:rStyle w:val="FootnoteReference"/>
        </w:rPr>
        <w:footnoteRef/>
      </w:r>
      <w:r>
        <w:t xml:space="preserve"> </w:t>
      </w:r>
      <w:r w:rsidRPr="00C97E91">
        <w:rPr>
          <w:rFonts w:ascii="Century Schoolbook" w:hAnsi="Century Schoolbook"/>
        </w:rPr>
        <w:t>Sección de estadística del Servicio Nacional de Migración</w:t>
      </w:r>
      <w:r>
        <w:rPr>
          <w:rFonts w:ascii="Century Schoolbook" w:hAnsi="Century Schoolbook"/>
        </w:rPr>
        <w:t>.</w:t>
      </w:r>
      <w:r w:rsidRPr="00C97E91">
        <w:rPr>
          <w:rFonts w:ascii="Century Schoolbook" w:hAnsi="Century Schoolbook"/>
        </w:rPr>
        <w:t xml:space="preserve"> </w:t>
      </w:r>
    </w:p>
  </w:footnote>
  <w:footnote w:id="65">
    <w:p w14:paraId="3FD4A341" w14:textId="77777777" w:rsidR="00DC0EAB" w:rsidRDefault="00DC0EAB" w:rsidP="00A33AA0">
      <w:pPr>
        <w:pStyle w:val="FootnoteText"/>
      </w:pPr>
      <w:r w:rsidRPr="00C97E91">
        <w:rPr>
          <w:rStyle w:val="FootnoteReference"/>
          <w:rFonts w:ascii="Century Schoolbook" w:hAnsi="Century Schoolbook"/>
        </w:rPr>
        <w:footnoteRef/>
      </w:r>
      <w:r w:rsidRPr="00C97E91">
        <w:rPr>
          <w:rFonts w:ascii="Century Schoolbook" w:hAnsi="Century Schoolbook"/>
        </w:rPr>
        <w:t xml:space="preserve"> </w:t>
      </w:r>
      <w:r>
        <w:rPr>
          <w:rFonts w:ascii="Century Schoolbook" w:hAnsi="Century Schoolbook"/>
        </w:rPr>
        <w:t xml:space="preserve">UNICEF (2019). </w:t>
      </w:r>
      <w:r w:rsidRPr="00C97E91">
        <w:rPr>
          <w:rFonts w:ascii="Century Schoolbook" w:hAnsi="Century Schoolbook"/>
        </w:rPr>
        <w:t>Situación de los derechos de la niñez y la adolescencia en Panamá. Página 88</w:t>
      </w:r>
      <w:r>
        <w:t xml:space="preserve">. </w:t>
      </w:r>
    </w:p>
  </w:footnote>
  <w:footnote w:id="66">
    <w:p w14:paraId="6D931064" w14:textId="77777777" w:rsidR="00DC0EAB" w:rsidRPr="00C97E91" w:rsidRDefault="00DC0EAB" w:rsidP="00874B25">
      <w:pPr>
        <w:pStyle w:val="FootnoteText"/>
        <w:rPr>
          <w:rFonts w:ascii="Century Schoolbook" w:hAnsi="Century Schoolbook"/>
        </w:rPr>
      </w:pPr>
      <w:r>
        <w:rPr>
          <w:rStyle w:val="FootnoteReference"/>
        </w:rPr>
        <w:footnoteRef/>
      </w:r>
      <w:hyperlink r:id="rId9" w:history="1">
        <w:r w:rsidRPr="003B33D9">
          <w:rPr>
            <w:rStyle w:val="Hyperlink"/>
            <w:rFonts w:ascii="Century Schoolbook" w:hAnsi="Century Schoolbook"/>
          </w:rPr>
          <w:t>https://reliefweb.int/sites/reliefweb.int/files/resources/UNICEF%20Panama%20Humanitarian%20Situation%20Report%20No.%201%20August%20to%20December%202019%20%28Spanish%29.pdf</w:t>
        </w:r>
      </w:hyperlink>
    </w:p>
  </w:footnote>
  <w:footnote w:id="67">
    <w:p w14:paraId="3DE8C351" w14:textId="77777777" w:rsidR="00DC0EAB" w:rsidRDefault="00DC0EAB" w:rsidP="00874B25">
      <w:pPr>
        <w:pStyle w:val="FootnoteText"/>
      </w:pPr>
      <w:r>
        <w:rPr>
          <w:rStyle w:val="FootnoteReference"/>
        </w:rPr>
        <w:footnoteRef/>
      </w:r>
      <w:r>
        <w:t xml:space="preserve"> Ídem.</w:t>
      </w:r>
    </w:p>
  </w:footnote>
  <w:footnote w:id="68">
    <w:p w14:paraId="2599BEFD" w14:textId="77777777" w:rsidR="00DC0EAB" w:rsidRDefault="00DC0EAB" w:rsidP="00874B25">
      <w:pPr>
        <w:pStyle w:val="FootnoteText"/>
      </w:pPr>
      <w:r>
        <w:rPr>
          <w:rStyle w:val="FootnoteReference"/>
        </w:rPr>
        <w:footnoteRef/>
      </w:r>
      <w:r>
        <w:t xml:space="preserve"> ACNUR (2019) Monitoreo de protección junio – diciembre, página 3. </w:t>
      </w:r>
    </w:p>
  </w:footnote>
  <w:footnote w:id="69">
    <w:p w14:paraId="1640AB1B" w14:textId="77777777" w:rsidR="00DC0EAB" w:rsidRDefault="00DC0EAB" w:rsidP="00874B25">
      <w:pPr>
        <w:pStyle w:val="FootnoteText"/>
      </w:pPr>
      <w:r>
        <w:rPr>
          <w:rStyle w:val="FootnoteReference"/>
        </w:rPr>
        <w:footnoteRef/>
      </w:r>
      <w:r>
        <w:t xml:space="preserve"> Ídem.</w:t>
      </w:r>
    </w:p>
  </w:footnote>
  <w:footnote w:id="70">
    <w:p w14:paraId="49F0F151" w14:textId="77777777" w:rsidR="00DC0EAB" w:rsidRDefault="00DC0EAB" w:rsidP="00874B25">
      <w:pPr>
        <w:pStyle w:val="FootnoteText"/>
      </w:pPr>
      <w:r>
        <w:rPr>
          <w:rStyle w:val="FootnoteReference"/>
        </w:rPr>
        <w:footnoteRef/>
      </w:r>
      <w:r>
        <w:t xml:space="preserve"> Ídem.</w:t>
      </w:r>
    </w:p>
  </w:footnote>
  <w:footnote w:id="71">
    <w:p w14:paraId="7E035E4F" w14:textId="70AA87C6" w:rsidR="00DC0EAB" w:rsidRPr="00872D66" w:rsidRDefault="00DC0EAB" w:rsidP="00CB054C">
      <w:pPr>
        <w:pStyle w:val="FootnoteText"/>
        <w:rPr>
          <w:rFonts w:ascii="Century Schoolbook" w:hAnsi="Century Schoolbook"/>
        </w:rPr>
      </w:pPr>
      <w:r w:rsidRPr="00872D66">
        <w:rPr>
          <w:rStyle w:val="FootnoteReference"/>
          <w:rFonts w:ascii="Century Schoolbook" w:hAnsi="Century Schoolbook"/>
        </w:rPr>
        <w:footnoteRef/>
      </w:r>
      <w:r w:rsidRPr="00872D66">
        <w:rPr>
          <w:rFonts w:ascii="Century Schoolbook" w:hAnsi="Century Schoolbook"/>
        </w:rPr>
        <w:t xml:space="preserve"> “Del Portón Para Acá Se Acaban los Derechos Humanos”: Injusticia y Desigualdad en las Cárceles Panameñas. Pág. 9, James</w:t>
      </w:r>
      <w:r w:rsidRPr="00872D66">
        <w:rPr>
          <w:rFonts w:ascii="Century Schoolbook" w:hAnsi="Century Schoolbook"/>
          <w:lang w:eastAsia="en-US"/>
        </w:rPr>
        <w:t>, Cavallaro y María Luisa Romero. 2007</w:t>
      </w:r>
    </w:p>
  </w:footnote>
  <w:footnote w:id="72">
    <w:p w14:paraId="624605E4" w14:textId="77777777" w:rsidR="00DC0EAB" w:rsidRPr="00872D66" w:rsidRDefault="00DC0EAB" w:rsidP="00CB054C">
      <w:pPr>
        <w:pStyle w:val="FootnoteText"/>
        <w:rPr>
          <w:rFonts w:ascii="Century Schoolbook" w:hAnsi="Century Schoolbook"/>
          <w:lang w:val="es-US"/>
        </w:rPr>
      </w:pPr>
      <w:r w:rsidRPr="00872D66">
        <w:rPr>
          <w:rStyle w:val="FootnoteReference"/>
          <w:rFonts w:ascii="Century Schoolbook" w:hAnsi="Century Schoolbook"/>
        </w:rPr>
        <w:footnoteRef/>
      </w:r>
      <w:r w:rsidRPr="00872D66">
        <w:rPr>
          <w:rFonts w:ascii="Century Schoolbook" w:hAnsi="Century Schoolbook"/>
        </w:rPr>
        <w:t xml:space="preserve"> </w:t>
      </w:r>
      <w:r w:rsidRPr="00872D66">
        <w:rPr>
          <w:rFonts w:ascii="Century Schoolbook" w:hAnsi="Century Schoolbook"/>
          <w:lang w:val="es-US"/>
        </w:rPr>
        <w:t>CEFERE: Centro Femenino de Rehabilitación “Cecilia Orillac de Chiari”.</w:t>
      </w:r>
    </w:p>
  </w:footnote>
  <w:footnote w:id="73">
    <w:p w14:paraId="335CEC26" w14:textId="77777777" w:rsidR="00DC0EAB" w:rsidRPr="00872D66" w:rsidRDefault="00DC0EAB" w:rsidP="00CB054C">
      <w:pPr>
        <w:pStyle w:val="FootnoteText"/>
        <w:rPr>
          <w:rFonts w:ascii="Century Schoolbook" w:hAnsi="Century Schoolbook"/>
        </w:rPr>
      </w:pPr>
      <w:r w:rsidRPr="00872D66">
        <w:rPr>
          <w:rStyle w:val="FootnoteReference"/>
          <w:rFonts w:ascii="Century Schoolbook" w:hAnsi="Century Schoolbook"/>
        </w:rPr>
        <w:footnoteRef/>
      </w:r>
      <w:r w:rsidRPr="00872D66">
        <w:rPr>
          <w:rFonts w:ascii="Century Schoolbook" w:hAnsi="Century Schoolbook"/>
        </w:rPr>
        <w:t xml:space="preserve"> Diagnóstico de la Situación de las Mujeres Privadas de Libertad en Panamá desde un enfoque de género y derechos. Eugenia Rodríguez Blanco. 2015.</w:t>
      </w:r>
    </w:p>
  </w:footnote>
  <w:footnote w:id="74">
    <w:p w14:paraId="0EDC2C00" w14:textId="77777777" w:rsidR="00DC0EAB" w:rsidRPr="00872D66" w:rsidRDefault="00DC0EAB" w:rsidP="00CB054C">
      <w:pPr>
        <w:pStyle w:val="FootnoteText"/>
        <w:rPr>
          <w:rFonts w:ascii="Century Schoolbook" w:hAnsi="Century Schoolbook"/>
        </w:rPr>
      </w:pPr>
      <w:r w:rsidRPr="00872D66">
        <w:rPr>
          <w:rStyle w:val="FootnoteReference"/>
          <w:rFonts w:ascii="Century Schoolbook" w:hAnsi="Century Schoolbook"/>
        </w:rPr>
        <w:footnoteRef/>
      </w:r>
      <w:r w:rsidRPr="00872D66">
        <w:rPr>
          <w:rFonts w:ascii="Century Schoolbook" w:hAnsi="Century Schoolbook"/>
        </w:rPr>
        <w:t xml:space="preserve"> Diagnóstico de la Situación de las Mujeres Privadas de Libertad en Panamá, 2015 Eugenia Rodríguez Blanco. ILANUD 2013, VII Informe Nacional Clara González, Situación de la mujer 2014-2016.</w:t>
      </w:r>
    </w:p>
  </w:footnote>
  <w:footnote w:id="75">
    <w:p w14:paraId="2F90A656" w14:textId="77777777" w:rsidR="00DC0EAB" w:rsidRDefault="00DC0EAB" w:rsidP="00CB054C">
      <w:pPr>
        <w:pStyle w:val="FootnoteText"/>
      </w:pPr>
      <w:r>
        <w:rPr>
          <w:rStyle w:val="FootnoteReference"/>
        </w:rPr>
        <w:footnoteRef/>
      </w:r>
      <w:r>
        <w:t xml:space="preserve"> Diagnóstico de la Situación de las Mujeres Privadas de Libertad en Panamá desde un enfoque de género y derechos. Pag.41. 2015</w:t>
      </w:r>
    </w:p>
  </w:footnote>
  <w:footnote w:id="76">
    <w:p w14:paraId="5B49FCC5" w14:textId="77777777" w:rsidR="00DC0EAB" w:rsidRDefault="00DC0EAB" w:rsidP="00CB054C">
      <w:pPr>
        <w:pStyle w:val="FootnoteText"/>
      </w:pPr>
      <w:r>
        <w:rPr>
          <w:rStyle w:val="FootnoteReference"/>
        </w:rPr>
        <w:footnoteRef/>
      </w:r>
      <w:r>
        <w:t xml:space="preserve"> El Censo de Adultos Privados de Libertad. Pag.84. Elisa A. Mendoza G. 2019</w:t>
      </w:r>
    </w:p>
  </w:footnote>
  <w:footnote w:id="77">
    <w:p w14:paraId="4072EF01" w14:textId="442BEEEE" w:rsidR="00DC0EAB" w:rsidRDefault="00DC0EAB" w:rsidP="00CB054C">
      <w:pPr>
        <w:pStyle w:val="FootnoteText"/>
      </w:pPr>
      <w:r>
        <w:rPr>
          <w:rStyle w:val="FootnoteReference"/>
        </w:rPr>
        <w:footnoteRef/>
      </w:r>
      <w:r>
        <w:t xml:space="preserve"> Ídem</w:t>
      </w:r>
    </w:p>
  </w:footnote>
  <w:footnote w:id="78">
    <w:p w14:paraId="1447C040" w14:textId="77777777" w:rsidR="00DC0EAB" w:rsidRDefault="00DC0EAB" w:rsidP="00CB054C">
      <w:pPr>
        <w:pStyle w:val="FootnoteText"/>
        <w:rPr>
          <w:lang w:val="es-ES_tradnl"/>
        </w:rPr>
      </w:pPr>
      <w:r>
        <w:rPr>
          <w:rStyle w:val="FootnoteReference"/>
        </w:rPr>
        <w:footnoteRef/>
      </w:r>
      <w:r>
        <w:t xml:space="preserve"> </w:t>
      </w:r>
      <w:r>
        <w:rPr>
          <w:sz w:val="16"/>
          <w:szCs w:val="16"/>
        </w:rPr>
        <w:t>Ministerio del Gobierno, Dirección</w:t>
      </w:r>
      <w:r>
        <w:t xml:space="preserve"> </w:t>
      </w:r>
      <w:r>
        <w:rPr>
          <w:sz w:val="16"/>
          <w:szCs w:val="16"/>
        </w:rPr>
        <w:t>General del Sistema Penitenciario. Estadística mensual.</w:t>
      </w:r>
      <w:r>
        <w:t xml:space="preserve"> </w:t>
      </w:r>
      <w:r>
        <w:rPr>
          <w:sz w:val="16"/>
          <w:szCs w:val="16"/>
        </w:rPr>
        <w:t>Febrero 2020</w:t>
      </w:r>
    </w:p>
  </w:footnote>
  <w:footnote w:id="79">
    <w:p w14:paraId="1FA70449" w14:textId="0A125FD6" w:rsidR="00DC0EAB" w:rsidRDefault="00DC0EAB" w:rsidP="00CB054C">
      <w:pPr>
        <w:pStyle w:val="FootnoteText"/>
      </w:pPr>
      <w:r>
        <w:rPr>
          <w:rStyle w:val="FootnoteReference"/>
        </w:rPr>
        <w:footnoteRef/>
      </w:r>
      <w:r>
        <w:t xml:space="preserve"> Del Portón Para Acá Se Acaban los Derechos Humanos”: Injusticia y Desigualdad en las Cárceles Panameñas. Pág. 9, James, Cavallaro y María Luisa Romero. 2007</w:t>
      </w:r>
    </w:p>
  </w:footnote>
  <w:footnote w:id="80">
    <w:p w14:paraId="655C1E5D" w14:textId="77777777" w:rsidR="00DC0EAB" w:rsidRDefault="00DC0EAB" w:rsidP="00CB054C">
      <w:pPr>
        <w:pStyle w:val="FootnoteText"/>
      </w:pPr>
      <w:r>
        <w:rPr>
          <w:rStyle w:val="FootnoteReference"/>
        </w:rPr>
        <w:footnoteRef/>
      </w:r>
      <w:r>
        <w:t xml:space="preserve"> </w:t>
      </w:r>
      <w:hyperlink r:id="rId10" w:history="1">
        <w:r>
          <w:rPr>
            <w:rStyle w:val="Hyperlink"/>
          </w:rPr>
          <w:t>http://www.mingob.gob.pa/sistemapenitenciario/programas-y-beneficios/s</w:t>
        </w:r>
      </w:hyperlink>
      <w:r>
        <w:tab/>
      </w:r>
      <w:r>
        <w:tab/>
      </w:r>
    </w:p>
  </w:footnote>
  <w:footnote w:id="81">
    <w:p w14:paraId="1A05B852" w14:textId="77777777" w:rsidR="00DC0EAB" w:rsidRDefault="00DC0EAB" w:rsidP="00CB054C">
      <w:pPr>
        <w:widowControl w:val="0"/>
        <w:autoSpaceDE w:val="0"/>
        <w:autoSpaceDN w:val="0"/>
        <w:adjustRightInd w:val="0"/>
        <w:jc w:val="both"/>
        <w:rPr>
          <w:color w:val="000000" w:themeColor="text1"/>
          <w:sz w:val="20"/>
          <w:szCs w:val="20"/>
          <w:lang w:val="es-ES_tradnl"/>
        </w:rPr>
      </w:pPr>
      <w:r>
        <w:rPr>
          <w:rStyle w:val="FootnoteReference"/>
        </w:rPr>
        <w:footnoteRef/>
      </w:r>
      <w:r>
        <w:t xml:space="preserve"> </w:t>
      </w:r>
      <w:r>
        <w:rPr>
          <w:color w:val="000000" w:themeColor="text1"/>
          <w:lang w:val="es-ES_tradnl"/>
        </w:rPr>
        <w:t>“</w:t>
      </w:r>
      <w:r>
        <w:rPr>
          <w:color w:val="000000" w:themeColor="text1"/>
          <w:sz w:val="20"/>
          <w:szCs w:val="20"/>
          <w:lang w:val="es-ES_tradnl"/>
        </w:rPr>
        <w:t>Diagnóstico de la Situación de las Mujeres Privadas de Libertad en Panamá”; “Caracterización de las Personas Privadas de Libertad por Delitos de Droga con Enfoque Socio-Jurídico del Diferencial por Género en la Aplicación de Justicia Penal”.</w:t>
      </w:r>
    </w:p>
  </w:footnote>
  <w:footnote w:id="82">
    <w:p w14:paraId="687CCFCB" w14:textId="77777777" w:rsidR="00DC0EAB" w:rsidRDefault="00DC0EAB" w:rsidP="00CB054C">
      <w:pPr>
        <w:pStyle w:val="FootnoteText"/>
      </w:pPr>
      <w:r>
        <w:rPr>
          <w:rStyle w:val="FootnoteReference"/>
        </w:rPr>
        <w:footnoteRef/>
      </w:r>
      <w:r>
        <w:t xml:space="preserve"> </w:t>
      </w:r>
      <w:hyperlink r:id="rId11" w:history="1">
        <w:r>
          <w:rPr>
            <w:rStyle w:val="Hyperlink"/>
          </w:rPr>
          <w:t>http://www.mingob.gob.pa/sistemapenitenciario/programa-especial-de-atencion-para-mujeres-privadas-de-libertad/</w:t>
        </w:r>
      </w:hyperlink>
    </w:p>
  </w:footnote>
  <w:footnote w:id="83">
    <w:p w14:paraId="173C8CD2" w14:textId="77777777" w:rsidR="00DC0EAB" w:rsidRDefault="00DC0EAB" w:rsidP="00CB054C">
      <w:pPr>
        <w:pStyle w:val="FootnoteText"/>
      </w:pPr>
      <w:r>
        <w:rPr>
          <w:rStyle w:val="FootnoteReference"/>
        </w:rPr>
        <w:footnoteRef/>
      </w:r>
      <w:r>
        <w:t xml:space="preserve"> </w:t>
      </w:r>
      <w:hyperlink r:id="rId12" w:history="1">
        <w:r>
          <w:rPr>
            <w:rStyle w:val="Hyperlink"/>
          </w:rPr>
          <w:t>http://www.mingob.gob.pa/sistemapenitenciario/programa-especial-de-atencion-para- mujeres-privadas-de-libertad/</w:t>
        </w:r>
      </w:hyperlink>
      <w:r>
        <w:t xml:space="preserve"> </w:t>
      </w:r>
    </w:p>
  </w:footnote>
  <w:footnote w:id="84">
    <w:p w14:paraId="08F30140" w14:textId="77777777" w:rsidR="00DC0EAB" w:rsidRDefault="00DC0EAB" w:rsidP="00CB054C">
      <w:pPr>
        <w:pStyle w:val="FootnoteText"/>
      </w:pPr>
      <w:r>
        <w:rPr>
          <w:rStyle w:val="FootnoteReference"/>
        </w:rPr>
        <w:footnoteRef/>
      </w:r>
      <w:r>
        <w:t xml:space="preserve"> </w:t>
      </w:r>
      <w:hyperlink r:id="rId13" w:history="1">
        <w:r>
          <w:rPr>
            <w:rStyle w:val="Hyperlink"/>
          </w:rPr>
          <w:t>http://www.mingob.gob.pa/integrarte/que-es-integrarte/</w:t>
        </w:r>
      </w:hyperlink>
    </w:p>
  </w:footnote>
  <w:footnote w:id="85">
    <w:p w14:paraId="6D83A720" w14:textId="77777777" w:rsidR="00DC0EAB" w:rsidRDefault="00DC0EAB" w:rsidP="00CB054C">
      <w:pPr>
        <w:jc w:val="both"/>
        <w:rPr>
          <w:rStyle w:val="Hyperlink"/>
        </w:rPr>
      </w:pPr>
      <w:r>
        <w:rPr>
          <w:rStyle w:val="FootnoteReference"/>
        </w:rPr>
        <w:footnoteRef/>
      </w:r>
      <w:r>
        <w:t xml:space="preserve"> </w:t>
      </w:r>
      <w:r>
        <w:rPr>
          <w:lang w:val="es-ES_tradnl"/>
        </w:rPr>
        <w:t>Fuente.</w:t>
      </w:r>
      <w:hyperlink r:id="rId14" w:history="1">
        <w:r>
          <w:rPr>
            <w:rStyle w:val="Hyperlink"/>
          </w:rPr>
          <w:t>https://www.datosabiertos.gob.pa/dataset/poblacion-total-sistema-penal-juvenil-iei-junio-2019</w:t>
        </w:r>
      </w:hyperlink>
    </w:p>
    <w:p w14:paraId="6EAF5D46" w14:textId="77777777" w:rsidR="00DC0EAB" w:rsidRDefault="00DC0EAB" w:rsidP="00CB054C">
      <w:pPr>
        <w:pStyle w:val="FootnoteText"/>
      </w:pPr>
    </w:p>
  </w:footnote>
  <w:footnote w:id="86">
    <w:p w14:paraId="589A40F0" w14:textId="77777777" w:rsidR="00DC0EAB" w:rsidRDefault="00DC0EAB" w:rsidP="00CB054C">
      <w:pPr>
        <w:jc w:val="both"/>
        <w:rPr>
          <w:rStyle w:val="Hyperlink"/>
        </w:rPr>
      </w:pPr>
      <w:r>
        <w:rPr>
          <w:rStyle w:val="FootnoteReference"/>
        </w:rPr>
        <w:footnoteRef/>
      </w:r>
      <w:r>
        <w:t xml:space="preserve"> </w:t>
      </w:r>
      <w:hyperlink r:id="rId15" w:history="1">
        <w:r>
          <w:rPr>
            <w:rStyle w:val="Hyperlink"/>
          </w:rPr>
          <w:t>https://www.datosabiertos.gob.pa/dataset/poblacion-total-sistema-penal-juvenil-iei-junio-2019</w:t>
        </w:r>
      </w:hyperlink>
    </w:p>
    <w:p w14:paraId="30BA106E" w14:textId="77777777" w:rsidR="00DC0EAB" w:rsidRDefault="00DC0EAB" w:rsidP="00CB054C">
      <w:pPr>
        <w:pStyle w:val="FootnoteText"/>
      </w:pPr>
    </w:p>
  </w:footnote>
  <w:footnote w:id="87">
    <w:p w14:paraId="6D150C3F" w14:textId="4E993C19" w:rsidR="00DC0EAB" w:rsidRDefault="00DC0EAB" w:rsidP="00E15D55">
      <w:pPr>
        <w:pStyle w:val="FootnoteText"/>
        <w:jc w:val="both"/>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Naciones Unidades define el perfilamiento racial como “toda acción realizada por la policía o un funcionario encargado de hacer cumplir la ley, contra una persona o un colectivo, basada en sus características físicas (como la raza, origen étnico, apariencia, etc.) que pretende justificar una actuación sin un sustento legítimo ni objetivo” (guía práctica para elaborar informes sobre perfilamiento racial. a Oficina Regional para América Central del Alto Comisionado de las Naciones Unidas para los Derechos Humanos. (OACNUDH).  2015.)</w:t>
      </w:r>
    </w:p>
  </w:footnote>
  <w:footnote w:id="88">
    <w:p w14:paraId="5B83C73E" w14:textId="77777777" w:rsidR="00DC0EAB" w:rsidRDefault="00DC0EAB" w:rsidP="00CB054C">
      <w:pPr>
        <w:pStyle w:val="FootnoteText"/>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Diagnóstico de la Situación de las Mujeres Privadas de Libertad en Panamá, 2015 Eugenia Rodríguez Blanco. ILANUD 2013, VII Informe Nacional Clara González, Situación de la mujer 2014-2016. </w:t>
      </w:r>
    </w:p>
  </w:footnote>
  <w:footnote w:id="89">
    <w:p w14:paraId="697F8730" w14:textId="54D6C6E6" w:rsidR="00DC0EAB" w:rsidRDefault="00DC0EAB" w:rsidP="00CB054C">
      <w:pPr>
        <w:pStyle w:val="FootnoteText"/>
        <w:rPr>
          <w:rFonts w:ascii="Century Schoolbook" w:hAnsi="Century Schoolbook"/>
          <w:lang w:val="es-ES_tradnl"/>
        </w:rPr>
      </w:pPr>
      <w:r>
        <w:rPr>
          <w:rStyle w:val="FootnoteReference"/>
          <w:rFonts w:ascii="Century Schoolbook" w:hAnsi="Century Schoolbook"/>
        </w:rPr>
        <w:footnoteRef/>
      </w:r>
      <w:r>
        <w:rPr>
          <w:rFonts w:ascii="Century Schoolbook" w:hAnsi="Century Schoolbook"/>
        </w:rPr>
        <w:t xml:space="preserve"> Ministerio del Gobierno, Dirección General del Sistema Penitenciario. Estadística mensual. Febrero 2020.</w:t>
      </w:r>
    </w:p>
  </w:footnote>
  <w:footnote w:id="90">
    <w:p w14:paraId="5C722B54" w14:textId="77777777" w:rsidR="00DC0EAB" w:rsidRDefault="00DC0EAB" w:rsidP="00CB054C">
      <w:pPr>
        <w:rPr>
          <w:rFonts w:eastAsia="Times New Roman"/>
          <w:sz w:val="20"/>
          <w:szCs w:val="20"/>
        </w:rPr>
      </w:pPr>
      <w:r>
        <w:rPr>
          <w:rStyle w:val="FootnoteReference"/>
          <w:szCs w:val="20"/>
        </w:rPr>
        <w:footnoteRef/>
      </w:r>
      <w:r>
        <w:rPr>
          <w:sz w:val="20"/>
          <w:szCs w:val="20"/>
        </w:rPr>
        <w:t xml:space="preserve"> </w:t>
      </w:r>
      <w:hyperlink r:id="rId16" w:history="1">
        <w:r>
          <w:rPr>
            <w:rStyle w:val="Hyperlink"/>
            <w:rFonts w:eastAsiaTheme="minorEastAsia" w:cstheme="minorBidi"/>
            <w:color w:val="auto"/>
            <w:sz w:val="20"/>
            <w:szCs w:val="20"/>
          </w:rPr>
          <w:t>http://www.defensoriadelpueblo.gob.pa/portal/informe-anual/</w:t>
        </w:r>
      </w:hyperlink>
    </w:p>
    <w:p w14:paraId="22F52F20" w14:textId="77777777" w:rsidR="00DC0EAB" w:rsidRDefault="00DC0EAB" w:rsidP="00CB054C">
      <w:pPr>
        <w:pStyle w:val="FootnoteText"/>
        <w:rPr>
          <w:rFonts w:ascii="Century Schoolbook" w:hAnsi="Century Schoolbook"/>
          <w:lang w:val="es-ES_tradnl"/>
        </w:rPr>
      </w:pPr>
    </w:p>
  </w:footnote>
  <w:footnote w:id="91">
    <w:p w14:paraId="577A0BDE" w14:textId="77777777" w:rsidR="00DC0EAB" w:rsidRDefault="00DC0EAB">
      <w:r>
        <w:rPr>
          <w:vertAlign w:val="superscript"/>
        </w:rPr>
        <w:footnoteRef/>
      </w:r>
      <w:r>
        <w:rPr>
          <w:vertAlign w:val="superscript"/>
        </w:rPr>
        <w:tab/>
      </w:r>
      <w:r>
        <w:rPr>
          <w:sz w:val="20"/>
          <w:szCs w:val="20"/>
        </w:rPr>
        <w:t xml:space="preserve"> Constitución política de la República de Panamá</w:t>
      </w:r>
    </w:p>
  </w:footnote>
  <w:footnote w:id="92">
    <w:p w14:paraId="08F69903" w14:textId="5141FACF" w:rsidR="00DC0EAB" w:rsidRPr="00745E37" w:rsidRDefault="00DC0EAB">
      <w:pPr>
        <w:pStyle w:val="FootnoteText"/>
        <w:rPr>
          <w:lang w:val="es-ES"/>
        </w:rPr>
      </w:pPr>
      <w:r>
        <w:rPr>
          <w:rStyle w:val="FootnoteReference"/>
        </w:rPr>
        <w:footnoteRef/>
      </w:r>
      <w:r>
        <w:t xml:space="preserve"> </w:t>
      </w:r>
      <w:r w:rsidRPr="005117E0">
        <w:rPr>
          <w:rFonts w:ascii="Century Schoolbook" w:hAnsi="Century Schoolbook"/>
        </w:rPr>
        <w:t>https://www.laestrella.com.pa/nacional/200424/penas-maltrato-adultos-mayores-ley-republica</w:t>
      </w:r>
    </w:p>
  </w:footnote>
  <w:footnote w:id="93">
    <w:p w14:paraId="3B01225F" w14:textId="77777777" w:rsidR="00DC0EAB" w:rsidRPr="00945C6A" w:rsidRDefault="00DC0EAB" w:rsidP="001F07BC">
      <w:pPr>
        <w:pStyle w:val="FootnoteText"/>
        <w:rPr>
          <w:rFonts w:ascii="Century Schoolbook" w:hAnsi="Century Schoolbook"/>
        </w:rPr>
      </w:pPr>
      <w:r w:rsidRPr="00945C6A">
        <w:rPr>
          <w:rStyle w:val="FootnoteReference"/>
          <w:rFonts w:ascii="Century Schoolbook" w:hAnsi="Century Schoolbook"/>
        </w:rPr>
        <w:footnoteRef/>
      </w:r>
      <w:r w:rsidRPr="00945C6A">
        <w:rPr>
          <w:rFonts w:ascii="Century Schoolbook" w:hAnsi="Century Schoolbook"/>
        </w:rPr>
        <w:t xml:space="preserve"> Ministerio del </w:t>
      </w:r>
      <w:r w:rsidRPr="00945C6A">
        <w:rPr>
          <w:rFonts w:ascii="Century Schoolbook" w:hAnsi="Century Schoolbook" w:cs="Helvetica"/>
        </w:rPr>
        <w:t>Trabajo y Desarrollo Laboral</w:t>
      </w:r>
    </w:p>
  </w:footnote>
  <w:footnote w:id="94">
    <w:p w14:paraId="35907706" w14:textId="77777777" w:rsidR="00DC0EAB" w:rsidRPr="00945C6A" w:rsidRDefault="00DC0EAB" w:rsidP="001F07BC">
      <w:pPr>
        <w:pStyle w:val="FootnoteText"/>
        <w:rPr>
          <w:rFonts w:ascii="Century Schoolbook" w:hAnsi="Century Schoolbook"/>
        </w:rPr>
      </w:pPr>
      <w:r w:rsidRPr="00945C6A">
        <w:rPr>
          <w:rStyle w:val="FootnoteReference"/>
          <w:rFonts w:ascii="Century Schoolbook" w:hAnsi="Century Schoolbook"/>
        </w:rPr>
        <w:footnoteRef/>
      </w:r>
      <w:r w:rsidRPr="00945C6A">
        <w:rPr>
          <w:rFonts w:ascii="Century Schoolbook" w:hAnsi="Century Schoolbook"/>
        </w:rPr>
        <w:t xml:space="preserve"> </w:t>
      </w:r>
      <w:r w:rsidRPr="00945C6A">
        <w:rPr>
          <w:rFonts w:ascii="Century Schoolbook" w:hAnsi="Century Schoolbook" w:cs="Helvetica"/>
        </w:rPr>
        <w:t>Ministerio de Obras Públicas</w:t>
      </w:r>
    </w:p>
  </w:footnote>
  <w:footnote w:id="95">
    <w:p w14:paraId="0232DE53" w14:textId="77777777" w:rsidR="00DC0EAB" w:rsidRPr="00945C6A" w:rsidRDefault="00DC0EAB" w:rsidP="001F07BC">
      <w:pPr>
        <w:pStyle w:val="FootnoteText"/>
        <w:rPr>
          <w:rFonts w:ascii="Century Schoolbook" w:hAnsi="Century Schoolbook"/>
        </w:rPr>
      </w:pPr>
      <w:r w:rsidRPr="00945C6A">
        <w:rPr>
          <w:rStyle w:val="FootnoteReference"/>
          <w:rFonts w:ascii="Century Schoolbook" w:hAnsi="Century Schoolbook"/>
        </w:rPr>
        <w:footnoteRef/>
      </w:r>
      <w:r w:rsidRPr="00945C6A">
        <w:rPr>
          <w:rFonts w:ascii="Century Schoolbook" w:hAnsi="Century Schoolbook"/>
        </w:rPr>
        <w:t xml:space="preserve"> </w:t>
      </w:r>
      <w:r w:rsidRPr="00945C6A">
        <w:rPr>
          <w:rFonts w:ascii="Century Schoolbook" w:hAnsi="Century Schoolbook" w:cs="Helvetica"/>
        </w:rPr>
        <w:t>Ministerio de Comercio e Industrias</w:t>
      </w:r>
    </w:p>
  </w:footnote>
  <w:footnote w:id="96">
    <w:p w14:paraId="7487D204" w14:textId="77777777" w:rsidR="00DC0EAB" w:rsidRPr="00945C6A" w:rsidRDefault="00DC0EAB" w:rsidP="001F07BC">
      <w:pPr>
        <w:pStyle w:val="FootnoteText"/>
        <w:rPr>
          <w:rFonts w:ascii="Century Schoolbook" w:hAnsi="Century Schoolbook"/>
        </w:rPr>
      </w:pPr>
      <w:r w:rsidRPr="00945C6A">
        <w:rPr>
          <w:rStyle w:val="FootnoteReference"/>
          <w:rFonts w:ascii="Century Schoolbook" w:hAnsi="Century Schoolbook"/>
        </w:rPr>
        <w:footnoteRef/>
      </w:r>
      <w:r w:rsidRPr="00945C6A">
        <w:rPr>
          <w:rFonts w:ascii="Century Schoolbook" w:hAnsi="Century Schoolbook"/>
        </w:rPr>
        <w:t xml:space="preserve"> Autoridad de la Micro Pequeña y Mediana Empresa</w:t>
      </w:r>
    </w:p>
  </w:footnote>
  <w:footnote w:id="97">
    <w:p w14:paraId="1990E8AE" w14:textId="77777777" w:rsidR="00DC0EAB" w:rsidRPr="00945C6A" w:rsidRDefault="00DC0EAB" w:rsidP="001F07BC">
      <w:pPr>
        <w:pStyle w:val="FootnoteText"/>
        <w:rPr>
          <w:rFonts w:ascii="Century Schoolbook" w:hAnsi="Century Schoolbook"/>
        </w:rPr>
      </w:pPr>
      <w:r w:rsidRPr="00945C6A">
        <w:rPr>
          <w:rStyle w:val="FootnoteReference"/>
          <w:rFonts w:ascii="Century Schoolbook" w:hAnsi="Century Schoolbook"/>
        </w:rPr>
        <w:footnoteRef/>
      </w:r>
      <w:r w:rsidRPr="00945C6A">
        <w:rPr>
          <w:rFonts w:ascii="Century Schoolbook" w:hAnsi="Century Schoolbook"/>
        </w:rPr>
        <w:t xml:space="preserve"> Instituto Nacional de Formación Profesional y Capacitación para el Desarrollo Humano</w:t>
      </w:r>
    </w:p>
  </w:footnote>
  <w:footnote w:id="98">
    <w:p w14:paraId="673B241D" w14:textId="77777777" w:rsidR="00DC0EAB" w:rsidRPr="00945C6A" w:rsidRDefault="00DC0EAB" w:rsidP="001F07BC">
      <w:pPr>
        <w:pStyle w:val="FootnoteText"/>
        <w:rPr>
          <w:rFonts w:ascii="Century Schoolbook" w:hAnsi="Century Schoolbook"/>
        </w:rPr>
      </w:pPr>
      <w:r w:rsidRPr="00945C6A">
        <w:rPr>
          <w:rStyle w:val="FootnoteReference"/>
          <w:rFonts w:ascii="Century Schoolbook" w:hAnsi="Century Schoolbook"/>
        </w:rPr>
        <w:footnoteRef/>
      </w:r>
      <w:r w:rsidRPr="00945C6A">
        <w:rPr>
          <w:rFonts w:ascii="Century Schoolbook" w:hAnsi="Century Schoolbook"/>
        </w:rPr>
        <w:t xml:space="preserve"> Instituto Panameño Cooperativo</w:t>
      </w:r>
    </w:p>
  </w:footnote>
  <w:footnote w:id="99">
    <w:p w14:paraId="62E5629F" w14:textId="77777777" w:rsidR="00DC0EAB" w:rsidRPr="00945C6A" w:rsidRDefault="00DC0EAB" w:rsidP="001F07BC">
      <w:pPr>
        <w:pStyle w:val="FootnoteText"/>
        <w:rPr>
          <w:rFonts w:ascii="Century Schoolbook" w:hAnsi="Century Schoolbook"/>
        </w:rPr>
      </w:pPr>
      <w:r w:rsidRPr="00945C6A">
        <w:rPr>
          <w:rStyle w:val="FootnoteReference"/>
          <w:rFonts w:ascii="Century Schoolbook" w:hAnsi="Century Schoolbook"/>
        </w:rPr>
        <w:footnoteRef/>
      </w:r>
      <w:r w:rsidRPr="00945C6A">
        <w:rPr>
          <w:rFonts w:ascii="Century Schoolbook" w:hAnsi="Century Schoolbook"/>
        </w:rPr>
        <w:t xml:space="preserve"> Instituto Panameño de Habilitación Especial</w:t>
      </w:r>
    </w:p>
  </w:footnote>
  <w:footnote w:id="100">
    <w:p w14:paraId="150551CB" w14:textId="77777777" w:rsidR="00DC0EAB" w:rsidRPr="00945C6A" w:rsidRDefault="00DC0EAB" w:rsidP="001F07BC">
      <w:pPr>
        <w:pStyle w:val="FootnoteText"/>
        <w:rPr>
          <w:rFonts w:ascii="Century Schoolbook" w:hAnsi="Century Schoolbook"/>
        </w:rPr>
      </w:pPr>
      <w:r w:rsidRPr="00945C6A">
        <w:rPr>
          <w:rStyle w:val="FootnoteReference"/>
          <w:rFonts w:ascii="Century Schoolbook" w:hAnsi="Century Schoolbook"/>
        </w:rPr>
        <w:footnoteRef/>
      </w:r>
      <w:r w:rsidRPr="00945C6A">
        <w:rPr>
          <w:rFonts w:ascii="Century Schoolbook" w:hAnsi="Century Schoolbook"/>
        </w:rPr>
        <w:t xml:space="preserve"> Escuela Vocacional Especial</w:t>
      </w:r>
    </w:p>
  </w:footnote>
  <w:footnote w:id="101">
    <w:p w14:paraId="081F9F08" w14:textId="77777777" w:rsidR="00DC0EAB" w:rsidRPr="00945C6A" w:rsidRDefault="00DC0EAB" w:rsidP="001F07BC">
      <w:pPr>
        <w:pStyle w:val="FootnoteText"/>
        <w:rPr>
          <w:rFonts w:ascii="Century Schoolbook" w:hAnsi="Century Schoolbook"/>
        </w:rPr>
      </w:pPr>
      <w:r w:rsidRPr="00945C6A">
        <w:rPr>
          <w:rStyle w:val="FootnoteReference"/>
          <w:rFonts w:ascii="Century Schoolbook" w:hAnsi="Century Schoolbook"/>
        </w:rPr>
        <w:footnoteRef/>
      </w:r>
      <w:r w:rsidRPr="00945C6A">
        <w:rPr>
          <w:rFonts w:ascii="Century Schoolbook" w:hAnsi="Century Schoolbook"/>
        </w:rPr>
        <w:t xml:space="preserve"> </w:t>
      </w:r>
      <w:r w:rsidRPr="00945C6A">
        <w:rPr>
          <w:rFonts w:ascii="Century Schoolbook" w:hAnsi="Century Schoolbook" w:cs="IQZGNC+Balloon"/>
        </w:rPr>
        <w:t>Primera Encuesta Nacional de la Discapacidad</w:t>
      </w:r>
    </w:p>
  </w:footnote>
  <w:footnote w:id="102">
    <w:p w14:paraId="4024B7EB" w14:textId="77777777" w:rsidR="00DC0EAB" w:rsidRPr="00945C6A" w:rsidRDefault="00DC0EAB" w:rsidP="001F07BC">
      <w:pPr>
        <w:pStyle w:val="FootnoteText"/>
        <w:rPr>
          <w:rFonts w:ascii="Century Schoolbook" w:hAnsi="Century Schoolbook"/>
          <w:lang w:val="es-US"/>
        </w:rPr>
      </w:pPr>
      <w:r w:rsidRPr="00945C6A">
        <w:rPr>
          <w:rStyle w:val="FootnoteReference"/>
          <w:rFonts w:ascii="Century Schoolbook" w:hAnsi="Century Schoolbook"/>
        </w:rPr>
        <w:footnoteRef/>
      </w:r>
      <w:r w:rsidRPr="00945C6A">
        <w:rPr>
          <w:rFonts w:ascii="Century Schoolbook" w:hAnsi="Century Schoolbook"/>
        </w:rPr>
        <w:t xml:space="preserve"> </w:t>
      </w:r>
      <w:r w:rsidRPr="00945C6A">
        <w:rPr>
          <w:rFonts w:ascii="Century Schoolbook" w:hAnsi="Century Schoolbook"/>
          <w:lang w:val="es-US"/>
        </w:rPr>
        <w:t xml:space="preserve">Por ejemplo, </w:t>
      </w:r>
      <w:r w:rsidRPr="00945C6A">
        <w:rPr>
          <w:rFonts w:ascii="Century Schoolbook" w:hAnsi="Century Schoolbook"/>
        </w:rPr>
        <w:t>en el caso de discapacidades intelectuales y mentales, se recogerá si es autismo, trastorno del desarrollo intelectual, esquizofrenia, trastorno bipolar, depresión y trastornos de ansiedad, entre otros.  (UNFPA-2019)</w:t>
      </w:r>
    </w:p>
  </w:footnote>
  <w:footnote w:id="103">
    <w:p w14:paraId="5BB08D2F" w14:textId="77777777" w:rsidR="00DC0EAB" w:rsidRPr="00945C6A" w:rsidRDefault="00DC0EAB" w:rsidP="001F07BC">
      <w:pPr>
        <w:pStyle w:val="FootnoteText"/>
        <w:rPr>
          <w:rFonts w:ascii="Century Schoolbook" w:hAnsi="Century Schoolbook"/>
        </w:rPr>
      </w:pPr>
      <w:r w:rsidRPr="00945C6A">
        <w:rPr>
          <w:rStyle w:val="FootnoteReference"/>
          <w:rFonts w:ascii="Century Schoolbook" w:hAnsi="Century Schoolbook"/>
        </w:rPr>
        <w:footnoteRef/>
      </w:r>
      <w:r w:rsidRPr="00945C6A">
        <w:rPr>
          <w:rFonts w:ascii="Century Schoolbook" w:hAnsi="Century Schoolbook"/>
        </w:rPr>
        <w:t xml:space="preserve"> Entrevista telefónica con la Dra. Magali Díaz. SENADIS. Marzo 2020</w:t>
      </w:r>
    </w:p>
  </w:footnote>
  <w:footnote w:id="104">
    <w:p w14:paraId="1F25239C" w14:textId="77777777" w:rsidR="00DC0EAB" w:rsidRPr="00FC4996" w:rsidRDefault="00DC0EAB" w:rsidP="001F07BC">
      <w:pPr>
        <w:pStyle w:val="FootnoteText"/>
        <w:rPr>
          <w:rFonts w:asciiTheme="majorHAnsi" w:hAnsiTheme="majorHAnsi"/>
          <w:lang w:val="es-US"/>
        </w:rPr>
      </w:pPr>
      <w:r w:rsidRPr="00FC4996">
        <w:rPr>
          <w:rStyle w:val="FootnoteReference"/>
          <w:rFonts w:asciiTheme="majorHAnsi" w:hAnsiTheme="majorHAnsi"/>
        </w:rPr>
        <w:footnoteRef/>
      </w:r>
      <w:r w:rsidRPr="00FC4996">
        <w:rPr>
          <w:rFonts w:asciiTheme="majorHAnsi" w:hAnsiTheme="majorHAnsi"/>
        </w:rPr>
        <w:t xml:space="preserve"> </w:t>
      </w:r>
      <w:r w:rsidRPr="00FC4996">
        <w:rPr>
          <w:rFonts w:asciiTheme="majorHAnsi" w:eastAsia="Times New Roman" w:hAnsiTheme="majorHAnsi" w:cs="Times New Roman"/>
          <w:color w:val="333333"/>
          <w:lang w:eastAsia="es-US"/>
        </w:rPr>
        <w:t>OPS/OMS-2018, se estima que el 15% de la población mundial tiene algún grado de discapacidad y un 3% presenta una discapacidad grave.</w:t>
      </w:r>
    </w:p>
  </w:footnote>
  <w:footnote w:id="105">
    <w:p w14:paraId="269C72FF" w14:textId="77777777" w:rsidR="00DC0EAB" w:rsidRPr="007E0E58" w:rsidRDefault="00DC0EAB" w:rsidP="005737F6">
      <w:pPr>
        <w:rPr>
          <w:sz w:val="20"/>
          <w:szCs w:val="20"/>
          <w:lang w:val="es-US"/>
        </w:rPr>
      </w:pPr>
      <w:r w:rsidRPr="007E0E58">
        <w:rPr>
          <w:rStyle w:val="FootnoteReference"/>
          <w:sz w:val="20"/>
          <w:szCs w:val="20"/>
        </w:rPr>
        <w:footnoteRef/>
      </w:r>
      <w:r w:rsidRPr="007E0E58">
        <w:rPr>
          <w:sz w:val="20"/>
          <w:szCs w:val="20"/>
        </w:rPr>
        <w:t xml:space="preserve">Nota: Los porcentajes de la gráfica son de acuerdo al total de personas con discapacidad. </w:t>
      </w:r>
    </w:p>
  </w:footnote>
  <w:footnote w:id="106">
    <w:p w14:paraId="582C058A" w14:textId="77777777" w:rsidR="00DC0EAB" w:rsidRPr="007E0E58" w:rsidRDefault="00DC0EAB" w:rsidP="001F07BC">
      <w:pPr>
        <w:pStyle w:val="FootnoteText"/>
        <w:rPr>
          <w:rFonts w:ascii="Century Schoolbook" w:hAnsi="Century Schoolbook"/>
        </w:rPr>
      </w:pPr>
      <w:r w:rsidRPr="007E0E58">
        <w:rPr>
          <w:rStyle w:val="FootnoteReference"/>
          <w:rFonts w:ascii="Century Schoolbook" w:hAnsi="Century Schoolbook"/>
        </w:rPr>
        <w:footnoteRef/>
      </w:r>
      <w:r w:rsidRPr="007E0E58">
        <w:rPr>
          <w:rFonts w:ascii="Century Schoolbook" w:hAnsi="Century Schoolbook"/>
        </w:rPr>
        <w:t xml:space="preserve"> MITRADEL. Entrevista a Vilma Baloy. </w:t>
      </w:r>
      <w:r w:rsidRPr="007E0E58">
        <w:rPr>
          <w:rFonts w:ascii="Century Schoolbook" w:hAnsi="Century Schoolbook"/>
          <w:lang w:val="es-US"/>
        </w:rPr>
        <w:t>Jefa del Departamento de Integración Socioeconómica de las Personas con Discapacidad. MITRADEL. 10 de febrero de 2020</w:t>
      </w:r>
    </w:p>
  </w:footnote>
  <w:footnote w:id="107">
    <w:p w14:paraId="459C74CA" w14:textId="77777777" w:rsidR="00DC0EAB" w:rsidRDefault="00DC0EAB" w:rsidP="001F07BC">
      <w:pPr>
        <w:rPr>
          <w:rFonts w:asciiTheme="minorHAnsi" w:hAnsiTheme="minorHAnsi"/>
          <w:sz w:val="18"/>
          <w:szCs w:val="18"/>
        </w:rPr>
      </w:pPr>
      <w:r>
        <w:rPr>
          <w:rStyle w:val="FootnoteReference"/>
          <w:sz w:val="18"/>
          <w:szCs w:val="18"/>
        </w:rPr>
        <w:footnoteRef/>
      </w:r>
      <w:r>
        <w:rPr>
          <w:sz w:val="18"/>
          <w:szCs w:val="18"/>
        </w:rPr>
        <w:t xml:space="preserve"> </w:t>
      </w:r>
      <w:r>
        <w:rPr>
          <w:sz w:val="16"/>
          <w:szCs w:val="16"/>
        </w:rPr>
        <w:t>UNFPA. ANÁLISIS DE SITUACIÓN DE PAÍS Fondo de Población de las Naciones Unidas – UNFPA. Consultoría desarrollada por: Diego Postigo y Ángela Figueroa. Noviembre de 2019. Página 40-41</w:t>
      </w:r>
    </w:p>
    <w:p w14:paraId="1E394A44" w14:textId="77777777" w:rsidR="00DC0EAB" w:rsidRDefault="00062ABE" w:rsidP="001F07BC">
      <w:pPr>
        <w:pStyle w:val="FootnoteText"/>
        <w:rPr>
          <w:sz w:val="18"/>
          <w:szCs w:val="18"/>
        </w:rPr>
      </w:pPr>
      <w:hyperlink r:id="rId17" w:history="1">
        <w:r w:rsidR="00DC0EAB">
          <w:rPr>
            <w:rStyle w:val="Hyperlink"/>
            <w:sz w:val="18"/>
            <w:szCs w:val="18"/>
          </w:rPr>
          <w:t>https://impresa.prensa.com/economia/Discapacidad-adversidad-dificil-entorno-laboral_0_5438456154.html</w:t>
        </w:r>
      </w:hyperlink>
    </w:p>
  </w:footnote>
  <w:footnote w:id="108">
    <w:p w14:paraId="16E2E73A" w14:textId="77777777" w:rsidR="00DC0EAB" w:rsidRPr="00FC4996" w:rsidRDefault="00DC0EAB" w:rsidP="00FC4996">
      <w:pPr>
        <w:pStyle w:val="FootnoteText"/>
        <w:jc w:val="both"/>
        <w:rPr>
          <w:rFonts w:ascii="Century Schoolbook" w:hAnsi="Century Schoolbook"/>
          <w:lang w:val="es-US"/>
        </w:rPr>
      </w:pPr>
      <w:r w:rsidRPr="00FC4996">
        <w:rPr>
          <w:rStyle w:val="FootnoteReference"/>
          <w:rFonts w:ascii="Century Schoolbook" w:hAnsi="Century Schoolbook"/>
        </w:rPr>
        <w:footnoteRef/>
      </w:r>
      <w:r w:rsidRPr="00FC4996">
        <w:rPr>
          <w:rFonts w:ascii="Century Schoolbook" w:hAnsi="Century Schoolbook"/>
        </w:rPr>
        <w:t xml:space="preserve"> </w:t>
      </w:r>
      <w:r w:rsidRPr="00FC4996">
        <w:rPr>
          <w:rFonts w:ascii="Century Schoolbook" w:hAnsi="Century Schoolbook"/>
          <w:lang w:val="es-US"/>
        </w:rPr>
        <w:t>Entrevista a la Magistra Vilma Baloy. Jefa del Departamento de Integración Socioeconómica de las Personas con Discapacidad. MITRADEL. 10 de febrero de 2020</w:t>
      </w:r>
    </w:p>
  </w:footnote>
  <w:footnote w:id="109">
    <w:p w14:paraId="30FBE9CD" w14:textId="77777777" w:rsidR="00DC0EAB" w:rsidRDefault="00DC0EAB" w:rsidP="00D9032C">
      <w:pPr>
        <w:rPr>
          <w:rFonts w:eastAsia="Arial" w:cs="Arial"/>
          <w:sz w:val="20"/>
          <w:szCs w:val="20"/>
          <w:lang w:val="es-ES"/>
        </w:rPr>
      </w:pPr>
      <w:r>
        <w:rPr>
          <w:vertAlign w:val="superscript"/>
          <w:lang w:val="es-ES"/>
        </w:rPr>
        <w:footnoteRef/>
      </w:r>
      <w:r>
        <w:rPr>
          <w:sz w:val="20"/>
          <w:szCs w:val="20"/>
          <w:lang w:val="es-ES"/>
        </w:rPr>
        <w:t>Marco legal del agua en Panamá lo constituyen: 7 artículos de la constitución, 14 leyes,</w:t>
      </w:r>
    </w:p>
    <w:p w14:paraId="4B451E0F" w14:textId="77777777" w:rsidR="00DC0EAB" w:rsidRDefault="00DC0EAB" w:rsidP="00D9032C">
      <w:pPr>
        <w:rPr>
          <w:sz w:val="20"/>
          <w:szCs w:val="20"/>
          <w:lang w:val="es-ES"/>
        </w:rPr>
      </w:pPr>
      <w:r>
        <w:rPr>
          <w:sz w:val="20"/>
          <w:szCs w:val="20"/>
          <w:lang w:val="es-ES"/>
        </w:rPr>
        <w:t>6 decretos ejecutivos y 30 resoluciones.</w:t>
      </w:r>
    </w:p>
    <w:p w14:paraId="359F1551" w14:textId="77777777" w:rsidR="00DC0EAB" w:rsidRDefault="00DC0EAB" w:rsidP="00D9032C">
      <w:pPr>
        <w:rPr>
          <w:sz w:val="20"/>
          <w:szCs w:val="20"/>
          <w:lang w:val="es-ES"/>
        </w:rPr>
      </w:pPr>
    </w:p>
  </w:footnote>
  <w:footnote w:id="110">
    <w:p w14:paraId="3301A589" w14:textId="77777777" w:rsidR="00DC0EAB" w:rsidRPr="00D9032C" w:rsidRDefault="00DC0EAB" w:rsidP="00D9032C">
      <w:pPr>
        <w:rPr>
          <w:sz w:val="20"/>
          <w:szCs w:val="20"/>
          <w:lang w:val="es-ES"/>
        </w:rPr>
      </w:pPr>
      <w:r>
        <w:rPr>
          <w:vertAlign w:val="superscript"/>
          <w:lang w:val="es-ES"/>
        </w:rPr>
        <w:footnoteRef/>
      </w:r>
      <w:r>
        <w:rPr>
          <w:sz w:val="20"/>
          <w:szCs w:val="20"/>
          <w:lang w:val="es-ES"/>
        </w:rPr>
        <w:t xml:space="preserve"> Aprobado en Consejo de Gabinete </w:t>
      </w:r>
      <w:r w:rsidRPr="00D9032C">
        <w:rPr>
          <w:sz w:val="20"/>
          <w:szCs w:val="20"/>
          <w:lang w:val="es-ES"/>
        </w:rPr>
        <w:t>el 23 de agosto de 2016. También se aprueba el Consejo Nacional del Agua.</w:t>
      </w:r>
    </w:p>
  </w:footnote>
  <w:footnote w:id="111">
    <w:p w14:paraId="61383BD4" w14:textId="77777777" w:rsidR="00DC0EAB" w:rsidRPr="00D9032C" w:rsidRDefault="00DC0EAB" w:rsidP="00D9032C">
      <w:pPr>
        <w:rPr>
          <w:sz w:val="20"/>
          <w:szCs w:val="20"/>
          <w:lang w:val="es-ES"/>
        </w:rPr>
      </w:pPr>
      <w:r w:rsidRPr="00D9032C">
        <w:rPr>
          <w:sz w:val="20"/>
          <w:szCs w:val="20"/>
          <w:vertAlign w:val="superscript"/>
          <w:lang w:val="es-ES"/>
        </w:rPr>
        <w:footnoteRef/>
      </w:r>
      <w:r w:rsidRPr="00D9032C">
        <w:rPr>
          <w:sz w:val="20"/>
          <w:szCs w:val="20"/>
          <w:lang w:val="es-ES"/>
        </w:rPr>
        <w:t xml:space="preserve">  Censo 2010, Instituto Nacional de Estadística y Censo - Panamá</w:t>
      </w:r>
    </w:p>
  </w:footnote>
  <w:footnote w:id="112">
    <w:p w14:paraId="455C23A9" w14:textId="77777777" w:rsidR="00DC0EAB" w:rsidRPr="00D9032C" w:rsidRDefault="00DC0EAB" w:rsidP="00D9032C">
      <w:pPr>
        <w:rPr>
          <w:sz w:val="20"/>
          <w:szCs w:val="20"/>
          <w:lang w:val="es-ES"/>
        </w:rPr>
      </w:pPr>
      <w:r w:rsidRPr="00D9032C">
        <w:rPr>
          <w:sz w:val="20"/>
          <w:szCs w:val="20"/>
          <w:vertAlign w:val="superscript"/>
          <w:lang w:val="es-ES"/>
        </w:rPr>
        <w:footnoteRef/>
      </w:r>
      <w:r w:rsidRPr="00D9032C">
        <w:rPr>
          <w:sz w:val="20"/>
          <w:szCs w:val="20"/>
          <w:lang w:val="es-ES"/>
        </w:rPr>
        <w:t xml:space="preserve"> MICS. Encuesta de indicadores por conglomerados.</w:t>
      </w:r>
    </w:p>
  </w:footnote>
  <w:footnote w:id="113">
    <w:p w14:paraId="7AD0D698" w14:textId="77777777" w:rsidR="00DC0EAB" w:rsidRDefault="00DC0EAB" w:rsidP="00D9032C">
      <w:pPr>
        <w:pStyle w:val="FootnoteText"/>
        <w:rPr>
          <w:rFonts w:ascii="Century Schoolbook" w:hAnsi="Century Schoolbook"/>
          <w:lang w:val="es-ES"/>
        </w:rPr>
      </w:pPr>
      <w:r w:rsidRPr="00D9032C">
        <w:rPr>
          <w:rStyle w:val="FootnoteReference"/>
          <w:rFonts w:ascii="Century Schoolbook" w:hAnsi="Century Schoolbook"/>
          <w:lang w:val="es-ES"/>
        </w:rPr>
        <w:footnoteRef/>
      </w:r>
      <w:r w:rsidRPr="00D9032C">
        <w:rPr>
          <w:rFonts w:ascii="Century Schoolbook" w:hAnsi="Century Schoolbook"/>
          <w:lang w:val="es-ES"/>
        </w:rPr>
        <w:t xml:space="preserve"> Desigualdades en materia de saneamiento</w:t>
      </w:r>
      <w:r>
        <w:rPr>
          <w:rFonts w:ascii="Century Schoolbook" w:hAnsi="Century Schoolbook"/>
          <w:lang w:val="es-ES"/>
        </w:rPr>
        <w:t xml:space="preserve"> y agua potable en América Latina y el Caribe. UNICEF.</w:t>
      </w:r>
    </w:p>
  </w:footnote>
  <w:footnote w:id="114">
    <w:p w14:paraId="38C57B02" w14:textId="77777777" w:rsidR="00DC0EAB" w:rsidRPr="001C69C9" w:rsidRDefault="00DC0EAB" w:rsidP="00D9032C">
      <w:pPr>
        <w:rPr>
          <w:sz w:val="20"/>
          <w:szCs w:val="20"/>
          <w:lang w:val="es-ES"/>
        </w:rPr>
      </w:pPr>
      <w:r w:rsidRPr="001C69C9">
        <w:rPr>
          <w:sz w:val="20"/>
          <w:szCs w:val="20"/>
          <w:vertAlign w:val="superscript"/>
          <w:lang w:val="es-ES"/>
        </w:rPr>
        <w:footnoteRef/>
      </w:r>
      <w:r w:rsidRPr="001C69C9">
        <w:rPr>
          <w:sz w:val="20"/>
          <w:szCs w:val="20"/>
          <w:lang w:val="es-ES"/>
        </w:rPr>
        <w:t xml:space="preserve"> Índice de Pobreza Multidimensional de Panamá 2017.</w:t>
      </w:r>
    </w:p>
  </w:footnote>
  <w:footnote w:id="115">
    <w:p w14:paraId="0B0CC3E3" w14:textId="42091A0C" w:rsidR="00DC0EAB" w:rsidRPr="001C69C9" w:rsidRDefault="00DC0EAB" w:rsidP="00D9032C">
      <w:pPr>
        <w:pStyle w:val="FootnoteText"/>
        <w:rPr>
          <w:rFonts w:ascii="Century Schoolbook" w:hAnsi="Century Schoolbook"/>
          <w:lang w:val="es-ES"/>
        </w:rPr>
      </w:pPr>
      <w:r w:rsidRPr="001C69C9">
        <w:rPr>
          <w:rStyle w:val="FootnoteReference"/>
          <w:rFonts w:ascii="Century Schoolbook" w:hAnsi="Century Schoolbook"/>
          <w:lang w:val="es-ES"/>
        </w:rPr>
        <w:footnoteRef/>
      </w:r>
      <w:r w:rsidRPr="001C69C9">
        <w:rPr>
          <w:rFonts w:ascii="Century Schoolbook" w:hAnsi="Century Schoolbook"/>
          <w:lang w:val="es-ES"/>
        </w:rPr>
        <w:t xml:space="preserve"> MICS. Encuesta de Indicadores por conglomerado</w:t>
      </w:r>
    </w:p>
  </w:footnote>
  <w:footnote w:id="116">
    <w:p w14:paraId="03C38BDF" w14:textId="77777777" w:rsidR="00DC0EAB" w:rsidRPr="001C69C9" w:rsidRDefault="00DC0EAB" w:rsidP="00D9032C">
      <w:pPr>
        <w:rPr>
          <w:sz w:val="20"/>
          <w:szCs w:val="20"/>
          <w:lang w:val="es-ES"/>
        </w:rPr>
      </w:pPr>
      <w:r w:rsidRPr="001C69C9">
        <w:rPr>
          <w:sz w:val="20"/>
          <w:szCs w:val="20"/>
          <w:vertAlign w:val="superscript"/>
          <w:lang w:val="es-ES"/>
        </w:rPr>
        <w:footnoteRef/>
      </w:r>
      <w:r w:rsidRPr="001C69C9">
        <w:rPr>
          <w:sz w:val="20"/>
          <w:szCs w:val="20"/>
          <w:lang w:val="es-ES"/>
        </w:rPr>
        <w:t xml:space="preserve"> Diagnóstico y plan de género para incorporar la perspectiva de género en el programa de agua potable y saneamiento en las áreas rurales e indígenas de Panamá (2017)</w:t>
      </w:r>
    </w:p>
  </w:footnote>
  <w:footnote w:id="117">
    <w:p w14:paraId="7FD9AA85" w14:textId="77777777" w:rsidR="00DC0EAB" w:rsidRPr="001C69C9" w:rsidRDefault="00DC0EAB" w:rsidP="00D9032C">
      <w:pPr>
        <w:pStyle w:val="FootnoteText"/>
        <w:rPr>
          <w:rFonts w:ascii="Century Schoolbook" w:hAnsi="Century Schoolbook"/>
          <w:lang w:val="es-ES"/>
        </w:rPr>
      </w:pPr>
      <w:r w:rsidRPr="001C69C9">
        <w:rPr>
          <w:rStyle w:val="FootnoteReference"/>
          <w:rFonts w:ascii="Century Schoolbook" w:hAnsi="Century Schoolbook"/>
          <w:lang w:val="es-ES"/>
        </w:rPr>
        <w:footnoteRef/>
      </w:r>
      <w:r w:rsidRPr="001C69C9">
        <w:rPr>
          <w:rFonts w:ascii="Century Schoolbook" w:hAnsi="Century Schoolbook"/>
          <w:lang w:val="es-ES"/>
        </w:rPr>
        <w:t xml:space="preserve"> Censo 2010. INEC. </w:t>
      </w:r>
    </w:p>
  </w:footnote>
  <w:footnote w:id="118">
    <w:p w14:paraId="5C6FBF94" w14:textId="77777777" w:rsidR="00DC0EAB" w:rsidRPr="001C69C9" w:rsidRDefault="00DC0EAB" w:rsidP="00D9032C">
      <w:pPr>
        <w:pStyle w:val="FootnoteText"/>
        <w:rPr>
          <w:rFonts w:ascii="Century Schoolbook" w:hAnsi="Century Schoolbook"/>
          <w:lang w:val="es-ES"/>
        </w:rPr>
      </w:pPr>
      <w:r w:rsidRPr="001C69C9">
        <w:rPr>
          <w:rStyle w:val="FootnoteReference"/>
          <w:rFonts w:ascii="Century Schoolbook" w:hAnsi="Century Schoolbook"/>
          <w:lang w:val="es-ES"/>
        </w:rPr>
        <w:footnoteRef/>
      </w:r>
      <w:r w:rsidRPr="001C69C9">
        <w:rPr>
          <w:rFonts w:ascii="Century Schoolbook" w:hAnsi="Century Schoolbook"/>
          <w:lang w:val="es-ES"/>
        </w:rPr>
        <w:t xml:space="preserve"> Las Conexiones entre Pobreza y la Provisión de Agua, Saneamiento, e Higiene (ASH) en Panamá, un Diagnóstico. Página 14.2017</w:t>
      </w:r>
    </w:p>
  </w:footnote>
  <w:footnote w:id="119">
    <w:p w14:paraId="461575FE" w14:textId="77777777" w:rsidR="00DC0EAB" w:rsidRDefault="00DC0EAB" w:rsidP="00D9032C">
      <w:pPr>
        <w:pStyle w:val="FootnoteText"/>
      </w:pPr>
      <w:r>
        <w:rPr>
          <w:rStyle w:val="FootnoteReference"/>
          <w:lang w:val="es-ES"/>
        </w:rPr>
        <w:footnoteRef/>
      </w:r>
      <w:r>
        <w:rPr>
          <w:lang w:val="es-ES"/>
        </w:rPr>
        <w:t xml:space="preserve"> </w:t>
      </w:r>
      <w:r>
        <w:rPr>
          <w:rFonts w:ascii="Century Schoolbook" w:hAnsi="Century Schoolbook"/>
          <w:sz w:val="16"/>
          <w:szCs w:val="16"/>
          <w:lang w:val="es-ES"/>
        </w:rPr>
        <w:t>El liderazgo de las mujeres en el programa de pequeñas donaciones de Panamá y su relación con los recursos naturales.</w:t>
      </w:r>
      <w:r>
        <w:rPr>
          <w:lang w:val="es-ES"/>
        </w:rPr>
        <w:t xml:space="preserve"> </w:t>
      </w:r>
      <w:r>
        <w:rPr>
          <w:rFonts w:ascii="Century Schoolbook" w:hAnsi="Century Schoolbook"/>
          <w:sz w:val="16"/>
          <w:szCs w:val="16"/>
          <w:lang w:val="es-ES"/>
        </w:rPr>
        <w:t xml:space="preserve">PD-PNUD/GEF. Página 2.  20|9. </w:t>
      </w:r>
    </w:p>
    <w:p w14:paraId="405C7A53" w14:textId="77777777" w:rsidR="00DC0EAB" w:rsidRDefault="00DC0EAB" w:rsidP="00D9032C">
      <w:pPr>
        <w:pStyle w:val="FootnoteText"/>
        <w:rPr>
          <w:lang w:val="es-ES"/>
        </w:rPr>
      </w:pPr>
    </w:p>
  </w:footnote>
  <w:footnote w:id="120">
    <w:p w14:paraId="36CD8EF4" w14:textId="77777777" w:rsidR="00DC0EAB" w:rsidRDefault="00DC0EAB" w:rsidP="00D9032C">
      <w:pPr>
        <w:pStyle w:val="FootnoteText"/>
      </w:pPr>
      <w:r>
        <w:rPr>
          <w:rStyle w:val="FootnoteReference"/>
          <w:lang w:val="es-ES"/>
        </w:rPr>
        <w:footnoteRef/>
      </w:r>
      <w:r>
        <w:rPr>
          <w:lang w:val="es-ES"/>
        </w:rPr>
        <w:t xml:space="preserve"> </w:t>
      </w:r>
      <w:r>
        <w:t xml:space="preserve">Idem. Página, 4. </w:t>
      </w:r>
    </w:p>
  </w:footnote>
  <w:footnote w:id="121">
    <w:p w14:paraId="1D59C77C" w14:textId="13012F68" w:rsidR="00DC0EAB" w:rsidRPr="00C15123" w:rsidRDefault="00DC0EAB">
      <w:pPr>
        <w:pStyle w:val="FootnoteText"/>
        <w:rPr>
          <w:lang w:val="es-ES"/>
        </w:rPr>
      </w:pPr>
      <w:r>
        <w:rPr>
          <w:rStyle w:val="FootnoteReference"/>
        </w:rPr>
        <w:footnoteRef/>
      </w:r>
      <w:r>
        <w:t xml:space="preserve"> </w:t>
      </w:r>
      <w:r w:rsidRPr="00C15123">
        <w:t>https://www.un.org/es/sections/member-states/growth-united-nations-membership-1945-present/index.html#2000-Present</w:t>
      </w:r>
    </w:p>
  </w:footnote>
  <w:footnote w:id="122">
    <w:p w14:paraId="27234022" w14:textId="77777777" w:rsidR="00DC0EAB" w:rsidRPr="00A60031" w:rsidRDefault="00DC0EAB" w:rsidP="004122D1">
      <w:pPr>
        <w:jc w:val="both"/>
        <w:textAlignment w:val="baseline"/>
        <w:rPr>
          <w:rFonts w:cstheme="minorHAnsi"/>
          <w:sz w:val="24"/>
          <w:szCs w:val="24"/>
        </w:rPr>
      </w:pPr>
      <w:r>
        <w:rPr>
          <w:rStyle w:val="FootnoteReference"/>
        </w:rPr>
        <w:footnoteRef/>
      </w:r>
      <w:hyperlink r:id="rId18" w:history="1">
        <w:r w:rsidRPr="00E64554">
          <w:rPr>
            <w:rStyle w:val="Hyperlink"/>
            <w:rFonts w:cstheme="minorHAnsi"/>
            <w:sz w:val="24"/>
            <w:szCs w:val="24"/>
          </w:rPr>
          <w:t>https://lac.unwomen.org/es/noticias-y-eventos/articulos/2020/02/campana-weps-panama</w:t>
        </w:r>
      </w:hyperlink>
    </w:p>
    <w:p w14:paraId="0E602DA0" w14:textId="77777777" w:rsidR="00DC0EAB" w:rsidRPr="00BD3CBE" w:rsidRDefault="00DC0EAB" w:rsidP="004122D1">
      <w:pPr>
        <w:pStyle w:val="FootnoteText"/>
      </w:pPr>
    </w:p>
  </w:footnote>
  <w:footnote w:id="123">
    <w:p w14:paraId="1AC2FB5D" w14:textId="77777777" w:rsidR="00DC0EAB" w:rsidRPr="00DD30CE" w:rsidRDefault="00DC0EAB" w:rsidP="004122D1">
      <w:pPr>
        <w:pStyle w:val="FootnoteText"/>
        <w:rPr>
          <w:rFonts w:asciiTheme="majorHAnsi" w:hAnsiTheme="majorHAnsi"/>
          <w:color w:val="000000" w:themeColor="text1"/>
          <w:lang w:val="es-US"/>
        </w:rPr>
      </w:pPr>
      <w:r w:rsidRPr="00DD30CE">
        <w:rPr>
          <w:rStyle w:val="FootnoteReference"/>
          <w:rFonts w:asciiTheme="majorHAnsi" w:hAnsiTheme="majorHAnsi"/>
          <w:color w:val="000000" w:themeColor="text1"/>
        </w:rPr>
        <w:footnoteRef/>
      </w:r>
      <w:r w:rsidRPr="00DD30CE">
        <w:rPr>
          <w:rFonts w:asciiTheme="majorHAnsi" w:hAnsiTheme="majorHAnsi"/>
          <w:color w:val="000000" w:themeColor="text1"/>
        </w:rPr>
        <w:t xml:space="preserve"> </w:t>
      </w:r>
      <w:r w:rsidRPr="00DD30CE">
        <w:rPr>
          <w:rFonts w:asciiTheme="majorHAnsi" w:hAnsiTheme="majorHAnsi" w:cs="Arial"/>
          <w:color w:val="000000" w:themeColor="text1"/>
          <w:spacing w:val="4"/>
        </w:rPr>
        <w:t>(</w:t>
      </w:r>
      <w:hyperlink r:id="rId19" w:history="1">
        <w:r w:rsidRPr="00DD30CE">
          <w:rPr>
            <w:rStyle w:val="Hyperlink"/>
            <w:rFonts w:asciiTheme="majorHAnsi" w:hAnsiTheme="majorHAnsi"/>
            <w:color w:val="000000" w:themeColor="text1"/>
          </w:rPr>
          <w:t>https://www.pa.undp.org/content/panama/es/home/presscenter/articles/2019/pnud--compromiso-con-la-igualdad.html</w:t>
        </w:r>
      </w:hyperlink>
      <w:r w:rsidRPr="00DD30CE">
        <w:rPr>
          <w:rFonts w:asciiTheme="majorHAnsi" w:hAnsiTheme="majorHAnsi"/>
          <w:color w:val="000000" w:themeColor="text1"/>
        </w:rPr>
        <w:t xml:space="preserve"> (septiembre 2019)</w:t>
      </w:r>
    </w:p>
  </w:footnote>
  <w:footnote w:id="124">
    <w:p w14:paraId="4531E704" w14:textId="77777777" w:rsidR="00DC0EAB" w:rsidRPr="00DD30CE" w:rsidRDefault="00DC0EAB" w:rsidP="004122D1">
      <w:pPr>
        <w:pStyle w:val="NormalWeb"/>
        <w:shd w:val="clear" w:color="auto" w:fill="FEFEFE"/>
        <w:rPr>
          <w:color w:val="000000" w:themeColor="text1"/>
        </w:rPr>
      </w:pPr>
      <w:r w:rsidRPr="00DD30CE">
        <w:rPr>
          <w:rStyle w:val="FootnoteReference"/>
          <w:rFonts w:asciiTheme="majorHAnsi" w:hAnsiTheme="majorHAnsi"/>
          <w:color w:val="000000" w:themeColor="text1"/>
          <w:sz w:val="20"/>
          <w:szCs w:val="20"/>
        </w:rPr>
        <w:footnoteRef/>
      </w:r>
      <w:r w:rsidRPr="00DD30CE">
        <w:rPr>
          <w:rFonts w:asciiTheme="majorHAnsi" w:hAnsiTheme="majorHAnsi"/>
          <w:color w:val="000000" w:themeColor="text1"/>
          <w:sz w:val="20"/>
          <w:szCs w:val="20"/>
        </w:rPr>
        <w:t xml:space="preserve"> </w:t>
      </w:r>
      <w:hyperlink r:id="rId20" w:history="1">
        <w:r w:rsidRPr="00DD30CE">
          <w:rPr>
            <w:rStyle w:val="Hyperlink"/>
            <w:rFonts w:asciiTheme="majorHAnsi" w:hAnsiTheme="majorHAnsi"/>
            <w:color w:val="000000" w:themeColor="text1"/>
            <w:sz w:val="20"/>
            <w:szCs w:val="20"/>
          </w:rPr>
          <w:t>https://www.pa.undp.org/content/panama/es/home/projects/fortalecimiento-instituto-nacional-de-la-mujer.html</w:t>
        </w:r>
      </w:hyperlink>
    </w:p>
    <w:p w14:paraId="26786231" w14:textId="77777777" w:rsidR="00DC0EAB" w:rsidRPr="005A732B" w:rsidRDefault="00DC0EAB" w:rsidP="004122D1">
      <w:pPr>
        <w:pStyle w:val="FootnoteText"/>
        <w:rPr>
          <w:lang w:val="es-US"/>
        </w:rPr>
      </w:pPr>
    </w:p>
  </w:footnote>
  <w:footnote w:id="125">
    <w:p w14:paraId="735BAE31" w14:textId="77777777" w:rsidR="00DC0EAB" w:rsidRDefault="00DC0EAB" w:rsidP="004122D1">
      <w:pPr>
        <w:pStyle w:val="FootnoteText"/>
        <w:rPr>
          <w:lang w:val="es-US"/>
        </w:rPr>
      </w:pPr>
      <w:r>
        <w:rPr>
          <w:rStyle w:val="FootnoteReference"/>
        </w:rPr>
        <w:footnoteRef/>
      </w:r>
      <w:r>
        <w:t xml:space="preserve"> </w:t>
      </w:r>
      <w:r>
        <w:rPr>
          <w:lang w:val="es-US"/>
        </w:rPr>
        <w:t>La información se obtuvo de la página web de UNICEF:</w:t>
      </w:r>
    </w:p>
    <w:p w14:paraId="1F367714" w14:textId="77777777" w:rsidR="00DC0EAB" w:rsidRDefault="00062ABE" w:rsidP="004122D1">
      <w:pPr>
        <w:pStyle w:val="FootnoteText"/>
        <w:rPr>
          <w:rStyle w:val="Hyperlink"/>
        </w:rPr>
      </w:pPr>
      <w:hyperlink r:id="rId21" w:history="1">
        <w:r w:rsidR="00DC0EAB">
          <w:rPr>
            <w:rStyle w:val="Hyperlink"/>
          </w:rPr>
          <w:t>https://www.unicef.org/panama/qu%C3%A9-hacemos</w:t>
        </w:r>
      </w:hyperlink>
      <w:r w:rsidR="00DC0EAB">
        <w:rPr>
          <w:rStyle w:val="Hyperlink"/>
        </w:rPr>
        <w:t xml:space="preserve">. </w:t>
      </w:r>
    </w:p>
    <w:p w14:paraId="0782F5B0" w14:textId="77777777" w:rsidR="00DC0EAB" w:rsidRDefault="00062ABE" w:rsidP="004122D1">
      <w:pPr>
        <w:rPr>
          <w:rStyle w:val="Hyperlink"/>
        </w:rPr>
      </w:pPr>
      <w:hyperlink r:id="rId22" w:history="1">
        <w:r w:rsidR="00DC0EAB" w:rsidRPr="001874E4">
          <w:rPr>
            <w:color w:val="0000FF"/>
            <w:u w:val="single"/>
          </w:rPr>
          <w:t>https://www.unicef.org/panama/media/746/file/Progreso%20para%20todos%20los%20ni%C3%B1os%20en%20la%20era%20de%20los%20ODS.pdf</w:t>
        </w:r>
      </w:hyperlink>
    </w:p>
    <w:p w14:paraId="461815FD" w14:textId="77777777" w:rsidR="00DC0EAB" w:rsidRDefault="00062ABE" w:rsidP="004122D1">
      <w:hyperlink r:id="rId23" w:history="1">
        <w:r w:rsidR="00DC0EAB">
          <w:rPr>
            <w:rStyle w:val="Hyperlink"/>
          </w:rPr>
          <w:t>https://www.unicef.org/panama/media/616/file/%C2%BFQu%C3%A9%20est%C3%A1n%20haciendo%20las%20empresas%20por%20la%20ni%C3%B1ez%20en%20Panam%C3%A1?.pdf</w:t>
        </w:r>
      </w:hyperlink>
    </w:p>
    <w:p w14:paraId="25105577" w14:textId="77777777" w:rsidR="00DC0EAB" w:rsidRPr="00004523" w:rsidRDefault="00DC0EAB" w:rsidP="004122D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B4341" w14:textId="77777777" w:rsidR="00DC0EAB" w:rsidRDefault="00DC0E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6196A"/>
    <w:multiLevelType w:val="multilevel"/>
    <w:tmpl w:val="155239FE"/>
    <w:lvl w:ilvl="0">
      <w:start w:val="4"/>
      <w:numFmt w:val="decimal"/>
      <w:lvlText w:val="%1."/>
      <w:lvlJc w:val="left"/>
      <w:pPr>
        <w:ind w:left="390" w:hanging="390"/>
      </w:pPr>
      <w:rPr>
        <w:color w:val="7030A0"/>
      </w:rPr>
    </w:lvl>
    <w:lvl w:ilvl="1">
      <w:start w:val="1"/>
      <w:numFmt w:val="decimal"/>
      <w:lvlText w:val="%1.%2."/>
      <w:lvlJc w:val="left"/>
      <w:pPr>
        <w:ind w:left="1080" w:hanging="720"/>
      </w:pPr>
      <w:rPr>
        <w:color w:val="7030A0"/>
      </w:rPr>
    </w:lvl>
    <w:lvl w:ilvl="2">
      <w:start w:val="1"/>
      <w:numFmt w:val="decimal"/>
      <w:lvlText w:val="%1.%2.%3."/>
      <w:lvlJc w:val="left"/>
      <w:pPr>
        <w:ind w:left="1440" w:hanging="720"/>
      </w:pPr>
      <w:rPr>
        <w:color w:val="7030A0"/>
      </w:rPr>
    </w:lvl>
    <w:lvl w:ilvl="3">
      <w:start w:val="1"/>
      <w:numFmt w:val="decimal"/>
      <w:lvlText w:val="%1.%2.%3.%4."/>
      <w:lvlJc w:val="left"/>
      <w:pPr>
        <w:ind w:left="2160" w:hanging="1080"/>
      </w:pPr>
      <w:rPr>
        <w:color w:val="7030A0"/>
      </w:rPr>
    </w:lvl>
    <w:lvl w:ilvl="4">
      <w:start w:val="1"/>
      <w:numFmt w:val="decimal"/>
      <w:lvlText w:val="%1.%2.%3.%4.%5."/>
      <w:lvlJc w:val="left"/>
      <w:pPr>
        <w:ind w:left="2520" w:hanging="1080"/>
      </w:pPr>
      <w:rPr>
        <w:color w:val="7030A0"/>
      </w:rPr>
    </w:lvl>
    <w:lvl w:ilvl="5">
      <w:start w:val="1"/>
      <w:numFmt w:val="decimal"/>
      <w:lvlText w:val="%1.%2.%3.%4.%5.%6."/>
      <w:lvlJc w:val="left"/>
      <w:pPr>
        <w:ind w:left="3240" w:hanging="1440"/>
      </w:pPr>
      <w:rPr>
        <w:color w:val="7030A0"/>
      </w:rPr>
    </w:lvl>
    <w:lvl w:ilvl="6">
      <w:start w:val="1"/>
      <w:numFmt w:val="decimal"/>
      <w:lvlText w:val="%1.%2.%3.%4.%5.%6.%7."/>
      <w:lvlJc w:val="left"/>
      <w:pPr>
        <w:ind w:left="3600" w:hanging="1440"/>
      </w:pPr>
      <w:rPr>
        <w:color w:val="7030A0"/>
      </w:rPr>
    </w:lvl>
    <w:lvl w:ilvl="7">
      <w:start w:val="1"/>
      <w:numFmt w:val="decimal"/>
      <w:lvlText w:val="%1.%2.%3.%4.%5.%6.%7.%8."/>
      <w:lvlJc w:val="left"/>
      <w:pPr>
        <w:ind w:left="4320" w:hanging="1800"/>
      </w:pPr>
      <w:rPr>
        <w:color w:val="7030A0"/>
      </w:rPr>
    </w:lvl>
    <w:lvl w:ilvl="8">
      <w:start w:val="1"/>
      <w:numFmt w:val="decimal"/>
      <w:lvlText w:val="%1.%2.%3.%4.%5.%6.%7.%8.%9."/>
      <w:lvlJc w:val="left"/>
      <w:pPr>
        <w:ind w:left="4680" w:hanging="1800"/>
      </w:pPr>
      <w:rPr>
        <w:color w:val="7030A0"/>
      </w:rPr>
    </w:lvl>
  </w:abstractNum>
  <w:abstractNum w:abstractNumId="1" w15:restartNumberingAfterBreak="0">
    <w:nsid w:val="0A871C46"/>
    <w:multiLevelType w:val="multilevel"/>
    <w:tmpl w:val="155239FE"/>
    <w:lvl w:ilvl="0">
      <w:start w:val="4"/>
      <w:numFmt w:val="decimal"/>
      <w:lvlText w:val="%1."/>
      <w:lvlJc w:val="left"/>
      <w:pPr>
        <w:ind w:left="390" w:hanging="390"/>
      </w:pPr>
      <w:rPr>
        <w:color w:val="7030A0"/>
      </w:rPr>
    </w:lvl>
    <w:lvl w:ilvl="1">
      <w:start w:val="1"/>
      <w:numFmt w:val="decimal"/>
      <w:lvlText w:val="%1.%2."/>
      <w:lvlJc w:val="left"/>
      <w:pPr>
        <w:ind w:left="1080" w:hanging="720"/>
      </w:pPr>
      <w:rPr>
        <w:color w:val="7030A0"/>
      </w:rPr>
    </w:lvl>
    <w:lvl w:ilvl="2">
      <w:start w:val="1"/>
      <w:numFmt w:val="decimal"/>
      <w:lvlText w:val="%1.%2.%3."/>
      <w:lvlJc w:val="left"/>
      <w:pPr>
        <w:ind w:left="1440" w:hanging="720"/>
      </w:pPr>
      <w:rPr>
        <w:color w:val="7030A0"/>
      </w:rPr>
    </w:lvl>
    <w:lvl w:ilvl="3">
      <w:start w:val="1"/>
      <w:numFmt w:val="decimal"/>
      <w:lvlText w:val="%1.%2.%3.%4."/>
      <w:lvlJc w:val="left"/>
      <w:pPr>
        <w:ind w:left="2160" w:hanging="1080"/>
      </w:pPr>
      <w:rPr>
        <w:color w:val="7030A0"/>
      </w:rPr>
    </w:lvl>
    <w:lvl w:ilvl="4">
      <w:start w:val="1"/>
      <w:numFmt w:val="decimal"/>
      <w:lvlText w:val="%1.%2.%3.%4.%5."/>
      <w:lvlJc w:val="left"/>
      <w:pPr>
        <w:ind w:left="2520" w:hanging="1080"/>
      </w:pPr>
      <w:rPr>
        <w:color w:val="7030A0"/>
      </w:rPr>
    </w:lvl>
    <w:lvl w:ilvl="5">
      <w:start w:val="1"/>
      <w:numFmt w:val="decimal"/>
      <w:lvlText w:val="%1.%2.%3.%4.%5.%6."/>
      <w:lvlJc w:val="left"/>
      <w:pPr>
        <w:ind w:left="3240" w:hanging="1440"/>
      </w:pPr>
      <w:rPr>
        <w:color w:val="7030A0"/>
      </w:rPr>
    </w:lvl>
    <w:lvl w:ilvl="6">
      <w:start w:val="1"/>
      <w:numFmt w:val="decimal"/>
      <w:lvlText w:val="%1.%2.%3.%4.%5.%6.%7."/>
      <w:lvlJc w:val="left"/>
      <w:pPr>
        <w:ind w:left="3600" w:hanging="1440"/>
      </w:pPr>
      <w:rPr>
        <w:color w:val="7030A0"/>
      </w:rPr>
    </w:lvl>
    <w:lvl w:ilvl="7">
      <w:start w:val="1"/>
      <w:numFmt w:val="decimal"/>
      <w:lvlText w:val="%1.%2.%3.%4.%5.%6.%7.%8."/>
      <w:lvlJc w:val="left"/>
      <w:pPr>
        <w:ind w:left="4320" w:hanging="1800"/>
      </w:pPr>
      <w:rPr>
        <w:color w:val="7030A0"/>
      </w:rPr>
    </w:lvl>
    <w:lvl w:ilvl="8">
      <w:start w:val="1"/>
      <w:numFmt w:val="decimal"/>
      <w:lvlText w:val="%1.%2.%3.%4.%5.%6.%7.%8.%9."/>
      <w:lvlJc w:val="left"/>
      <w:pPr>
        <w:ind w:left="4680" w:hanging="1800"/>
      </w:pPr>
      <w:rPr>
        <w:color w:val="7030A0"/>
      </w:rPr>
    </w:lvl>
  </w:abstractNum>
  <w:abstractNum w:abstractNumId="2" w15:restartNumberingAfterBreak="0">
    <w:nsid w:val="0B7E015A"/>
    <w:multiLevelType w:val="multilevel"/>
    <w:tmpl w:val="1992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8949B6"/>
    <w:multiLevelType w:val="multilevel"/>
    <w:tmpl w:val="11E045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D80DE5"/>
    <w:multiLevelType w:val="hybridMultilevel"/>
    <w:tmpl w:val="9F2E1ECA"/>
    <w:lvl w:ilvl="0" w:tplc="5E04150A">
      <w:numFmt w:val="bullet"/>
      <w:lvlText w:val=""/>
      <w:lvlJc w:val="left"/>
      <w:pPr>
        <w:ind w:left="510" w:hanging="150"/>
      </w:pPr>
      <w:rPr>
        <w:rFonts w:ascii="Century Schoolbook" w:eastAsiaTheme="minorHAnsi" w:hAnsi="Century Schoolbook" w:cs="Times New Roman"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15:restartNumberingAfterBreak="0">
    <w:nsid w:val="12352CBC"/>
    <w:multiLevelType w:val="hybridMultilevel"/>
    <w:tmpl w:val="B67C48D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8C065B"/>
    <w:multiLevelType w:val="multilevel"/>
    <w:tmpl w:val="48FA2D1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94115E"/>
    <w:multiLevelType w:val="hybridMultilevel"/>
    <w:tmpl w:val="FD0C830E"/>
    <w:lvl w:ilvl="0" w:tplc="39EA2D58">
      <w:start w:val="1"/>
      <w:numFmt w:val="bullet"/>
      <w:lvlText w:val=""/>
      <w:lvlJc w:val="left"/>
      <w:pPr>
        <w:tabs>
          <w:tab w:val="num" w:pos="720"/>
        </w:tabs>
        <w:ind w:left="720" w:hanging="360"/>
      </w:pPr>
      <w:rPr>
        <w:rFonts w:ascii="Wingdings" w:hAnsi="Wingdings" w:hint="default"/>
      </w:rPr>
    </w:lvl>
    <w:lvl w:ilvl="1" w:tplc="0CD21ED2" w:tentative="1">
      <w:start w:val="1"/>
      <w:numFmt w:val="bullet"/>
      <w:lvlText w:val=""/>
      <w:lvlJc w:val="left"/>
      <w:pPr>
        <w:tabs>
          <w:tab w:val="num" w:pos="1440"/>
        </w:tabs>
        <w:ind w:left="1440" w:hanging="360"/>
      </w:pPr>
      <w:rPr>
        <w:rFonts w:ascii="Wingdings" w:hAnsi="Wingdings" w:hint="default"/>
      </w:rPr>
    </w:lvl>
    <w:lvl w:ilvl="2" w:tplc="D1984142" w:tentative="1">
      <w:start w:val="1"/>
      <w:numFmt w:val="bullet"/>
      <w:lvlText w:val=""/>
      <w:lvlJc w:val="left"/>
      <w:pPr>
        <w:tabs>
          <w:tab w:val="num" w:pos="2160"/>
        </w:tabs>
        <w:ind w:left="2160" w:hanging="360"/>
      </w:pPr>
      <w:rPr>
        <w:rFonts w:ascii="Wingdings" w:hAnsi="Wingdings" w:hint="default"/>
      </w:rPr>
    </w:lvl>
    <w:lvl w:ilvl="3" w:tplc="ED86E15E" w:tentative="1">
      <w:start w:val="1"/>
      <w:numFmt w:val="bullet"/>
      <w:lvlText w:val=""/>
      <w:lvlJc w:val="left"/>
      <w:pPr>
        <w:tabs>
          <w:tab w:val="num" w:pos="2880"/>
        </w:tabs>
        <w:ind w:left="2880" w:hanging="360"/>
      </w:pPr>
      <w:rPr>
        <w:rFonts w:ascii="Wingdings" w:hAnsi="Wingdings" w:hint="default"/>
      </w:rPr>
    </w:lvl>
    <w:lvl w:ilvl="4" w:tplc="822C72F0" w:tentative="1">
      <w:start w:val="1"/>
      <w:numFmt w:val="bullet"/>
      <w:lvlText w:val=""/>
      <w:lvlJc w:val="left"/>
      <w:pPr>
        <w:tabs>
          <w:tab w:val="num" w:pos="3600"/>
        </w:tabs>
        <w:ind w:left="3600" w:hanging="360"/>
      </w:pPr>
      <w:rPr>
        <w:rFonts w:ascii="Wingdings" w:hAnsi="Wingdings" w:hint="default"/>
      </w:rPr>
    </w:lvl>
    <w:lvl w:ilvl="5" w:tplc="F77AAD56" w:tentative="1">
      <w:start w:val="1"/>
      <w:numFmt w:val="bullet"/>
      <w:lvlText w:val=""/>
      <w:lvlJc w:val="left"/>
      <w:pPr>
        <w:tabs>
          <w:tab w:val="num" w:pos="4320"/>
        </w:tabs>
        <w:ind w:left="4320" w:hanging="360"/>
      </w:pPr>
      <w:rPr>
        <w:rFonts w:ascii="Wingdings" w:hAnsi="Wingdings" w:hint="default"/>
      </w:rPr>
    </w:lvl>
    <w:lvl w:ilvl="6" w:tplc="72E8CE22" w:tentative="1">
      <w:start w:val="1"/>
      <w:numFmt w:val="bullet"/>
      <w:lvlText w:val=""/>
      <w:lvlJc w:val="left"/>
      <w:pPr>
        <w:tabs>
          <w:tab w:val="num" w:pos="5040"/>
        </w:tabs>
        <w:ind w:left="5040" w:hanging="360"/>
      </w:pPr>
      <w:rPr>
        <w:rFonts w:ascii="Wingdings" w:hAnsi="Wingdings" w:hint="default"/>
      </w:rPr>
    </w:lvl>
    <w:lvl w:ilvl="7" w:tplc="718C988E" w:tentative="1">
      <w:start w:val="1"/>
      <w:numFmt w:val="bullet"/>
      <w:lvlText w:val=""/>
      <w:lvlJc w:val="left"/>
      <w:pPr>
        <w:tabs>
          <w:tab w:val="num" w:pos="5760"/>
        </w:tabs>
        <w:ind w:left="5760" w:hanging="360"/>
      </w:pPr>
      <w:rPr>
        <w:rFonts w:ascii="Wingdings" w:hAnsi="Wingdings" w:hint="default"/>
      </w:rPr>
    </w:lvl>
    <w:lvl w:ilvl="8" w:tplc="FECC7D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677C5"/>
    <w:multiLevelType w:val="multilevel"/>
    <w:tmpl w:val="1B5AAAA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E41207"/>
    <w:multiLevelType w:val="multilevel"/>
    <w:tmpl w:val="9756264A"/>
    <w:lvl w:ilvl="0">
      <w:start w:val="5"/>
      <w:numFmt w:val="decimal"/>
      <w:lvlText w:val="%1."/>
      <w:lvlJc w:val="left"/>
      <w:pPr>
        <w:ind w:left="390" w:hanging="390"/>
      </w:pPr>
    </w:lvl>
    <w:lvl w:ilvl="1">
      <w:start w:val="1"/>
      <w:numFmt w:val="decimal"/>
      <w:lvlText w:val="%1.%2."/>
      <w:lvlJc w:val="left"/>
      <w:pPr>
        <w:ind w:left="900" w:hanging="72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10" w15:restartNumberingAfterBreak="0">
    <w:nsid w:val="25BF4D1F"/>
    <w:multiLevelType w:val="multilevel"/>
    <w:tmpl w:val="AA82D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135CBE"/>
    <w:multiLevelType w:val="multilevel"/>
    <w:tmpl w:val="155239FE"/>
    <w:lvl w:ilvl="0">
      <w:start w:val="4"/>
      <w:numFmt w:val="decimal"/>
      <w:lvlText w:val="%1."/>
      <w:lvlJc w:val="left"/>
      <w:pPr>
        <w:ind w:left="390" w:hanging="390"/>
      </w:pPr>
      <w:rPr>
        <w:color w:val="7030A0"/>
      </w:rPr>
    </w:lvl>
    <w:lvl w:ilvl="1">
      <w:start w:val="1"/>
      <w:numFmt w:val="decimal"/>
      <w:lvlText w:val="%1.%2."/>
      <w:lvlJc w:val="left"/>
      <w:pPr>
        <w:ind w:left="1080" w:hanging="720"/>
      </w:pPr>
      <w:rPr>
        <w:color w:val="7030A0"/>
      </w:rPr>
    </w:lvl>
    <w:lvl w:ilvl="2">
      <w:start w:val="1"/>
      <w:numFmt w:val="decimal"/>
      <w:lvlText w:val="%1.%2.%3."/>
      <w:lvlJc w:val="left"/>
      <w:pPr>
        <w:ind w:left="1440" w:hanging="720"/>
      </w:pPr>
      <w:rPr>
        <w:color w:val="7030A0"/>
      </w:rPr>
    </w:lvl>
    <w:lvl w:ilvl="3">
      <w:start w:val="1"/>
      <w:numFmt w:val="decimal"/>
      <w:lvlText w:val="%1.%2.%3.%4."/>
      <w:lvlJc w:val="left"/>
      <w:pPr>
        <w:ind w:left="2160" w:hanging="1080"/>
      </w:pPr>
      <w:rPr>
        <w:color w:val="7030A0"/>
      </w:rPr>
    </w:lvl>
    <w:lvl w:ilvl="4">
      <w:start w:val="1"/>
      <w:numFmt w:val="decimal"/>
      <w:lvlText w:val="%1.%2.%3.%4.%5."/>
      <w:lvlJc w:val="left"/>
      <w:pPr>
        <w:ind w:left="2520" w:hanging="1080"/>
      </w:pPr>
      <w:rPr>
        <w:color w:val="7030A0"/>
      </w:rPr>
    </w:lvl>
    <w:lvl w:ilvl="5">
      <w:start w:val="1"/>
      <w:numFmt w:val="decimal"/>
      <w:lvlText w:val="%1.%2.%3.%4.%5.%6."/>
      <w:lvlJc w:val="left"/>
      <w:pPr>
        <w:ind w:left="3240" w:hanging="1440"/>
      </w:pPr>
      <w:rPr>
        <w:color w:val="7030A0"/>
      </w:rPr>
    </w:lvl>
    <w:lvl w:ilvl="6">
      <w:start w:val="1"/>
      <w:numFmt w:val="decimal"/>
      <w:lvlText w:val="%1.%2.%3.%4.%5.%6.%7."/>
      <w:lvlJc w:val="left"/>
      <w:pPr>
        <w:ind w:left="3600" w:hanging="1440"/>
      </w:pPr>
      <w:rPr>
        <w:color w:val="7030A0"/>
      </w:rPr>
    </w:lvl>
    <w:lvl w:ilvl="7">
      <w:start w:val="1"/>
      <w:numFmt w:val="decimal"/>
      <w:lvlText w:val="%1.%2.%3.%4.%5.%6.%7.%8."/>
      <w:lvlJc w:val="left"/>
      <w:pPr>
        <w:ind w:left="4320" w:hanging="1800"/>
      </w:pPr>
      <w:rPr>
        <w:color w:val="7030A0"/>
      </w:rPr>
    </w:lvl>
    <w:lvl w:ilvl="8">
      <w:start w:val="1"/>
      <w:numFmt w:val="decimal"/>
      <w:lvlText w:val="%1.%2.%3.%4.%5.%6.%7.%8.%9."/>
      <w:lvlJc w:val="left"/>
      <w:pPr>
        <w:ind w:left="4680" w:hanging="1800"/>
      </w:pPr>
      <w:rPr>
        <w:color w:val="7030A0"/>
      </w:rPr>
    </w:lvl>
  </w:abstractNum>
  <w:abstractNum w:abstractNumId="12" w15:restartNumberingAfterBreak="0">
    <w:nsid w:val="275C395E"/>
    <w:multiLevelType w:val="multilevel"/>
    <w:tmpl w:val="F946BC7A"/>
    <w:lvl w:ilvl="0">
      <w:start w:val="4"/>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2A7E6653"/>
    <w:multiLevelType w:val="multilevel"/>
    <w:tmpl w:val="A4E8D33A"/>
    <w:lvl w:ilvl="0">
      <w:start w:val="4"/>
      <w:numFmt w:val="decimal"/>
      <w:lvlText w:val="%1."/>
      <w:lvlJc w:val="left"/>
      <w:pPr>
        <w:ind w:left="360" w:hanging="36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BF519D4"/>
    <w:multiLevelType w:val="multilevel"/>
    <w:tmpl w:val="155239FE"/>
    <w:lvl w:ilvl="0">
      <w:start w:val="4"/>
      <w:numFmt w:val="decimal"/>
      <w:lvlText w:val="%1."/>
      <w:lvlJc w:val="left"/>
      <w:pPr>
        <w:ind w:left="390" w:hanging="390"/>
      </w:pPr>
      <w:rPr>
        <w:color w:val="7030A0"/>
      </w:rPr>
    </w:lvl>
    <w:lvl w:ilvl="1">
      <w:start w:val="1"/>
      <w:numFmt w:val="decimal"/>
      <w:lvlText w:val="%1.%2."/>
      <w:lvlJc w:val="left"/>
      <w:pPr>
        <w:ind w:left="1080" w:hanging="720"/>
      </w:pPr>
      <w:rPr>
        <w:color w:val="7030A0"/>
      </w:rPr>
    </w:lvl>
    <w:lvl w:ilvl="2">
      <w:start w:val="1"/>
      <w:numFmt w:val="decimal"/>
      <w:lvlText w:val="%1.%2.%3."/>
      <w:lvlJc w:val="left"/>
      <w:pPr>
        <w:ind w:left="1440" w:hanging="720"/>
      </w:pPr>
      <w:rPr>
        <w:color w:val="7030A0"/>
      </w:rPr>
    </w:lvl>
    <w:lvl w:ilvl="3">
      <w:start w:val="1"/>
      <w:numFmt w:val="decimal"/>
      <w:lvlText w:val="%1.%2.%3.%4."/>
      <w:lvlJc w:val="left"/>
      <w:pPr>
        <w:ind w:left="2160" w:hanging="1080"/>
      </w:pPr>
      <w:rPr>
        <w:color w:val="7030A0"/>
      </w:rPr>
    </w:lvl>
    <w:lvl w:ilvl="4">
      <w:start w:val="1"/>
      <w:numFmt w:val="decimal"/>
      <w:lvlText w:val="%1.%2.%3.%4.%5."/>
      <w:lvlJc w:val="left"/>
      <w:pPr>
        <w:ind w:left="2520" w:hanging="1080"/>
      </w:pPr>
      <w:rPr>
        <w:color w:val="7030A0"/>
      </w:rPr>
    </w:lvl>
    <w:lvl w:ilvl="5">
      <w:start w:val="1"/>
      <w:numFmt w:val="decimal"/>
      <w:lvlText w:val="%1.%2.%3.%4.%5.%6."/>
      <w:lvlJc w:val="left"/>
      <w:pPr>
        <w:ind w:left="3240" w:hanging="1440"/>
      </w:pPr>
      <w:rPr>
        <w:color w:val="7030A0"/>
      </w:rPr>
    </w:lvl>
    <w:lvl w:ilvl="6">
      <w:start w:val="1"/>
      <w:numFmt w:val="decimal"/>
      <w:lvlText w:val="%1.%2.%3.%4.%5.%6.%7."/>
      <w:lvlJc w:val="left"/>
      <w:pPr>
        <w:ind w:left="3600" w:hanging="1440"/>
      </w:pPr>
      <w:rPr>
        <w:color w:val="7030A0"/>
      </w:rPr>
    </w:lvl>
    <w:lvl w:ilvl="7">
      <w:start w:val="1"/>
      <w:numFmt w:val="decimal"/>
      <w:lvlText w:val="%1.%2.%3.%4.%5.%6.%7.%8."/>
      <w:lvlJc w:val="left"/>
      <w:pPr>
        <w:ind w:left="4320" w:hanging="1800"/>
      </w:pPr>
      <w:rPr>
        <w:color w:val="7030A0"/>
      </w:rPr>
    </w:lvl>
    <w:lvl w:ilvl="8">
      <w:start w:val="1"/>
      <w:numFmt w:val="decimal"/>
      <w:lvlText w:val="%1.%2.%3.%4.%5.%6.%7.%8.%9."/>
      <w:lvlJc w:val="left"/>
      <w:pPr>
        <w:ind w:left="4680" w:hanging="1800"/>
      </w:pPr>
      <w:rPr>
        <w:color w:val="7030A0"/>
      </w:rPr>
    </w:lvl>
  </w:abstractNum>
  <w:abstractNum w:abstractNumId="15" w15:restartNumberingAfterBreak="0">
    <w:nsid w:val="2D4B6324"/>
    <w:multiLevelType w:val="hybridMultilevel"/>
    <w:tmpl w:val="5750F84C"/>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Courier New"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Courier New" w:hint="default"/>
      </w:rPr>
    </w:lvl>
    <w:lvl w:ilvl="8" w:tplc="540A0005">
      <w:start w:val="1"/>
      <w:numFmt w:val="bullet"/>
      <w:lvlText w:val=""/>
      <w:lvlJc w:val="left"/>
      <w:pPr>
        <w:ind w:left="6480" w:hanging="360"/>
      </w:pPr>
      <w:rPr>
        <w:rFonts w:ascii="Wingdings" w:hAnsi="Wingdings" w:hint="default"/>
      </w:rPr>
    </w:lvl>
  </w:abstractNum>
  <w:abstractNum w:abstractNumId="16" w15:restartNumberingAfterBreak="0">
    <w:nsid w:val="2DED062C"/>
    <w:multiLevelType w:val="multilevel"/>
    <w:tmpl w:val="CEF0633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9759D0"/>
    <w:multiLevelType w:val="multilevel"/>
    <w:tmpl w:val="6DA4AEC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3E35ADE"/>
    <w:multiLevelType w:val="hybridMultilevel"/>
    <w:tmpl w:val="6D84EFC0"/>
    <w:lvl w:ilvl="0" w:tplc="180A000F">
      <w:start w:val="1"/>
      <w:numFmt w:val="decimal"/>
      <w:lvlText w:val="%1."/>
      <w:lvlJc w:val="left"/>
      <w:pPr>
        <w:ind w:left="1080" w:hanging="360"/>
      </w:p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19" w15:restartNumberingAfterBreak="0">
    <w:nsid w:val="374E6570"/>
    <w:multiLevelType w:val="multilevel"/>
    <w:tmpl w:val="98EAB272"/>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8930E3"/>
    <w:multiLevelType w:val="hybridMultilevel"/>
    <w:tmpl w:val="A7A260C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Times New Roman"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Times New Roman"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Times New Roman" w:hint="default"/>
      </w:rPr>
    </w:lvl>
    <w:lvl w:ilvl="8" w:tplc="04090005">
      <w:start w:val="1"/>
      <w:numFmt w:val="bullet"/>
      <w:lvlText w:val=""/>
      <w:lvlJc w:val="left"/>
      <w:pPr>
        <w:ind w:left="6541" w:hanging="360"/>
      </w:pPr>
      <w:rPr>
        <w:rFonts w:ascii="Wingdings" w:hAnsi="Wingdings" w:hint="default"/>
      </w:rPr>
    </w:lvl>
  </w:abstractNum>
  <w:abstractNum w:abstractNumId="21" w15:restartNumberingAfterBreak="0">
    <w:nsid w:val="39C31E35"/>
    <w:multiLevelType w:val="multilevel"/>
    <w:tmpl w:val="A5D69240"/>
    <w:lvl w:ilvl="0">
      <w:start w:val="4"/>
      <w:numFmt w:val="decimal"/>
      <w:lvlText w:val="%1."/>
      <w:lvlJc w:val="left"/>
      <w:pPr>
        <w:ind w:left="390" w:hanging="390"/>
      </w:pPr>
      <w:rPr>
        <w:color w:val="7030A0"/>
      </w:rPr>
    </w:lvl>
    <w:lvl w:ilvl="1">
      <w:start w:val="1"/>
      <w:numFmt w:val="decimal"/>
      <w:lvlText w:val="%2."/>
      <w:lvlJc w:val="left"/>
      <w:pPr>
        <w:ind w:left="1080" w:hanging="720"/>
      </w:pPr>
      <w:rPr>
        <w:color w:val="7030A0"/>
      </w:rPr>
    </w:lvl>
    <w:lvl w:ilvl="2">
      <w:start w:val="1"/>
      <w:numFmt w:val="decimal"/>
      <w:lvlText w:val="%1.%2.%3."/>
      <w:lvlJc w:val="left"/>
      <w:pPr>
        <w:ind w:left="1440" w:hanging="720"/>
      </w:pPr>
      <w:rPr>
        <w:color w:val="7030A0"/>
      </w:rPr>
    </w:lvl>
    <w:lvl w:ilvl="3">
      <w:start w:val="1"/>
      <w:numFmt w:val="decimal"/>
      <w:lvlText w:val="%1.%2.%3.%4."/>
      <w:lvlJc w:val="left"/>
      <w:pPr>
        <w:ind w:left="2160" w:hanging="1080"/>
      </w:pPr>
      <w:rPr>
        <w:color w:val="7030A0"/>
      </w:rPr>
    </w:lvl>
    <w:lvl w:ilvl="4">
      <w:start w:val="1"/>
      <w:numFmt w:val="decimal"/>
      <w:lvlText w:val="%1.%2.%3.%4.%5."/>
      <w:lvlJc w:val="left"/>
      <w:pPr>
        <w:ind w:left="2520" w:hanging="1080"/>
      </w:pPr>
      <w:rPr>
        <w:color w:val="7030A0"/>
      </w:rPr>
    </w:lvl>
    <w:lvl w:ilvl="5">
      <w:start w:val="1"/>
      <w:numFmt w:val="decimal"/>
      <w:lvlText w:val="%1.%2.%3.%4.%5.%6."/>
      <w:lvlJc w:val="left"/>
      <w:pPr>
        <w:ind w:left="3240" w:hanging="1440"/>
      </w:pPr>
      <w:rPr>
        <w:color w:val="7030A0"/>
      </w:rPr>
    </w:lvl>
    <w:lvl w:ilvl="6">
      <w:start w:val="1"/>
      <w:numFmt w:val="decimal"/>
      <w:lvlText w:val="%1.%2.%3.%4.%5.%6.%7."/>
      <w:lvlJc w:val="left"/>
      <w:pPr>
        <w:ind w:left="3600" w:hanging="1440"/>
      </w:pPr>
      <w:rPr>
        <w:color w:val="7030A0"/>
      </w:rPr>
    </w:lvl>
    <w:lvl w:ilvl="7">
      <w:start w:val="1"/>
      <w:numFmt w:val="decimal"/>
      <w:lvlText w:val="%1.%2.%3.%4.%5.%6.%7.%8."/>
      <w:lvlJc w:val="left"/>
      <w:pPr>
        <w:ind w:left="4320" w:hanging="1800"/>
      </w:pPr>
      <w:rPr>
        <w:color w:val="7030A0"/>
      </w:rPr>
    </w:lvl>
    <w:lvl w:ilvl="8">
      <w:start w:val="1"/>
      <w:numFmt w:val="decimal"/>
      <w:lvlText w:val="%1.%2.%3.%4.%5.%6.%7.%8.%9."/>
      <w:lvlJc w:val="left"/>
      <w:pPr>
        <w:ind w:left="4680" w:hanging="1800"/>
      </w:pPr>
      <w:rPr>
        <w:color w:val="7030A0"/>
      </w:rPr>
    </w:lvl>
  </w:abstractNum>
  <w:abstractNum w:abstractNumId="22" w15:restartNumberingAfterBreak="0">
    <w:nsid w:val="3BAD0D57"/>
    <w:multiLevelType w:val="multilevel"/>
    <w:tmpl w:val="F2B23814"/>
    <w:lvl w:ilvl="0">
      <w:start w:val="2"/>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3" w15:restartNumberingAfterBreak="0">
    <w:nsid w:val="3D0C36A6"/>
    <w:multiLevelType w:val="multilevel"/>
    <w:tmpl w:val="65E2F0D0"/>
    <w:lvl w:ilvl="0">
      <w:start w:val="1"/>
      <w:numFmt w:val="upperRoman"/>
      <w:lvlText w:val="%1."/>
      <w:lvlJc w:val="left"/>
      <w:pPr>
        <w:ind w:left="360" w:hanging="360"/>
      </w:pPr>
      <w:rPr>
        <w:rFonts w:ascii="Century Schoolbook" w:eastAsia="Century Schoolbook" w:hAnsi="Century Schoolbook" w:cs="Century Schoolbook"/>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0C6A09"/>
    <w:multiLevelType w:val="hybridMultilevel"/>
    <w:tmpl w:val="7396B5A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E82FCE"/>
    <w:multiLevelType w:val="multilevel"/>
    <w:tmpl w:val="4CC20572"/>
    <w:lvl w:ilvl="0">
      <w:start w:val="6"/>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A7A6E33"/>
    <w:multiLevelType w:val="multilevel"/>
    <w:tmpl w:val="F42039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AD50178"/>
    <w:multiLevelType w:val="multilevel"/>
    <w:tmpl w:val="F1AA9CB4"/>
    <w:lvl w:ilvl="0">
      <w:start w:val="3"/>
      <w:numFmt w:val="decimal"/>
      <w:lvlText w:val="%1."/>
      <w:lvlJc w:val="left"/>
      <w:pPr>
        <w:ind w:left="585" w:hanging="585"/>
      </w:pPr>
    </w:lvl>
    <w:lvl w:ilvl="1">
      <w:start w:val="1"/>
      <w:numFmt w:val="decimal"/>
      <w:lvlText w:val="%1.%2."/>
      <w:lvlJc w:val="left"/>
      <w:pPr>
        <w:ind w:left="900" w:hanging="720"/>
      </w:pPr>
    </w:lvl>
    <w:lvl w:ilvl="2">
      <w:start w:val="1"/>
      <w:numFmt w:val="decimal"/>
      <w:lvlText w:val="%1.%2.%3."/>
      <w:lvlJc w:val="left"/>
      <w:pPr>
        <w:ind w:left="862"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28" w15:restartNumberingAfterBreak="0">
    <w:nsid w:val="4BC75008"/>
    <w:multiLevelType w:val="hybridMultilevel"/>
    <w:tmpl w:val="2244F0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549D485C"/>
    <w:multiLevelType w:val="multilevel"/>
    <w:tmpl w:val="48FA2D1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E92000"/>
    <w:multiLevelType w:val="hybridMultilevel"/>
    <w:tmpl w:val="D4381C9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1" w15:restartNumberingAfterBreak="0">
    <w:nsid w:val="561E106F"/>
    <w:multiLevelType w:val="hybridMultilevel"/>
    <w:tmpl w:val="A2E82EAA"/>
    <w:lvl w:ilvl="0" w:tplc="180A0015">
      <w:start w:val="1"/>
      <w:numFmt w:val="upperLetter"/>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2" w15:restartNumberingAfterBreak="0">
    <w:nsid w:val="56747519"/>
    <w:multiLevelType w:val="hybridMultilevel"/>
    <w:tmpl w:val="3C04DAC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3" w15:restartNumberingAfterBreak="0">
    <w:nsid w:val="58160D4E"/>
    <w:multiLevelType w:val="multilevel"/>
    <w:tmpl w:val="59FA5B1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7030A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83C2BFA"/>
    <w:multiLevelType w:val="multilevel"/>
    <w:tmpl w:val="F1AA9CB4"/>
    <w:lvl w:ilvl="0">
      <w:start w:val="3"/>
      <w:numFmt w:val="decimal"/>
      <w:lvlText w:val="%1."/>
      <w:lvlJc w:val="left"/>
      <w:pPr>
        <w:ind w:left="585" w:hanging="585"/>
      </w:pPr>
    </w:lvl>
    <w:lvl w:ilvl="1">
      <w:start w:val="1"/>
      <w:numFmt w:val="decimal"/>
      <w:lvlText w:val="%1.%2."/>
      <w:lvlJc w:val="left"/>
      <w:pPr>
        <w:ind w:left="900" w:hanging="720"/>
      </w:pPr>
    </w:lvl>
    <w:lvl w:ilvl="2">
      <w:start w:val="1"/>
      <w:numFmt w:val="decimal"/>
      <w:lvlText w:val="%1.%2.%3."/>
      <w:lvlJc w:val="left"/>
      <w:pPr>
        <w:ind w:left="862"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35" w15:restartNumberingAfterBreak="0">
    <w:nsid w:val="59CD4C91"/>
    <w:multiLevelType w:val="multilevel"/>
    <w:tmpl w:val="4D40EAB8"/>
    <w:lvl w:ilvl="0">
      <w:start w:val="1"/>
      <w:numFmt w:val="lowerLetter"/>
      <w:lvlText w:val="%1)"/>
      <w:lvlJc w:val="left"/>
      <w:pPr>
        <w:ind w:left="644" w:hanging="359"/>
      </w:pPr>
      <w:rPr>
        <w:rFonts w:ascii="Century Schoolbook" w:eastAsia="Century Schoolbook" w:hAnsi="Century Schoolbook" w:cs="Century Schoolbook"/>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A7C1D9E"/>
    <w:multiLevelType w:val="hybridMultilevel"/>
    <w:tmpl w:val="FC68B68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7" w15:restartNumberingAfterBreak="0">
    <w:nsid w:val="5DEF648C"/>
    <w:multiLevelType w:val="hybridMultilevel"/>
    <w:tmpl w:val="3F2E4C82"/>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8" w15:restartNumberingAfterBreak="0">
    <w:nsid w:val="5FE7649C"/>
    <w:multiLevelType w:val="multilevel"/>
    <w:tmpl w:val="FEAA797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3F73E23"/>
    <w:multiLevelType w:val="multilevel"/>
    <w:tmpl w:val="23F61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40D16A2"/>
    <w:multiLevelType w:val="hybridMultilevel"/>
    <w:tmpl w:val="C2B8B978"/>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41" w15:restartNumberingAfterBreak="0">
    <w:nsid w:val="64B3733F"/>
    <w:multiLevelType w:val="multilevel"/>
    <w:tmpl w:val="11FC2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5BA62D3"/>
    <w:multiLevelType w:val="hybridMultilevel"/>
    <w:tmpl w:val="0E0A1B6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3" w15:restartNumberingAfterBreak="0">
    <w:nsid w:val="663E34C5"/>
    <w:multiLevelType w:val="multilevel"/>
    <w:tmpl w:val="3E06CD80"/>
    <w:lvl w:ilvl="0">
      <w:start w:val="1"/>
      <w:numFmt w:val="bullet"/>
      <w:lvlText w:val="-"/>
      <w:lvlJc w:val="left"/>
      <w:pPr>
        <w:ind w:left="720" w:hanging="360"/>
      </w:pPr>
      <w:rPr>
        <w:rFonts w:ascii="Bookman Old Style" w:eastAsia="Bookman Old Style" w:hAnsi="Bookman Old Style" w:cs="Bookman Old Styl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68717FB"/>
    <w:multiLevelType w:val="multilevel"/>
    <w:tmpl w:val="6DCA6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6FD4970"/>
    <w:multiLevelType w:val="multilevel"/>
    <w:tmpl w:val="2CFE519A"/>
    <w:lvl w:ilvl="0">
      <w:start w:val="2"/>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46" w15:restartNumberingAfterBreak="0">
    <w:nsid w:val="6856726B"/>
    <w:multiLevelType w:val="multilevel"/>
    <w:tmpl w:val="A5D69240"/>
    <w:lvl w:ilvl="0">
      <w:start w:val="4"/>
      <w:numFmt w:val="decimal"/>
      <w:lvlText w:val="%1."/>
      <w:lvlJc w:val="left"/>
      <w:pPr>
        <w:ind w:left="390" w:hanging="390"/>
      </w:pPr>
      <w:rPr>
        <w:color w:val="7030A0"/>
      </w:rPr>
    </w:lvl>
    <w:lvl w:ilvl="1">
      <w:start w:val="1"/>
      <w:numFmt w:val="decimal"/>
      <w:lvlText w:val="%2."/>
      <w:lvlJc w:val="left"/>
      <w:pPr>
        <w:ind w:left="1080" w:hanging="720"/>
      </w:pPr>
      <w:rPr>
        <w:color w:val="7030A0"/>
      </w:rPr>
    </w:lvl>
    <w:lvl w:ilvl="2">
      <w:start w:val="1"/>
      <w:numFmt w:val="decimal"/>
      <w:lvlText w:val="%1.%2.%3."/>
      <w:lvlJc w:val="left"/>
      <w:pPr>
        <w:ind w:left="1440" w:hanging="720"/>
      </w:pPr>
      <w:rPr>
        <w:color w:val="7030A0"/>
      </w:rPr>
    </w:lvl>
    <w:lvl w:ilvl="3">
      <w:start w:val="1"/>
      <w:numFmt w:val="decimal"/>
      <w:lvlText w:val="%1.%2.%3.%4."/>
      <w:lvlJc w:val="left"/>
      <w:pPr>
        <w:ind w:left="2160" w:hanging="1080"/>
      </w:pPr>
      <w:rPr>
        <w:color w:val="7030A0"/>
      </w:rPr>
    </w:lvl>
    <w:lvl w:ilvl="4">
      <w:start w:val="1"/>
      <w:numFmt w:val="decimal"/>
      <w:lvlText w:val="%1.%2.%3.%4.%5."/>
      <w:lvlJc w:val="left"/>
      <w:pPr>
        <w:ind w:left="2520" w:hanging="1080"/>
      </w:pPr>
      <w:rPr>
        <w:color w:val="7030A0"/>
      </w:rPr>
    </w:lvl>
    <w:lvl w:ilvl="5">
      <w:start w:val="1"/>
      <w:numFmt w:val="decimal"/>
      <w:lvlText w:val="%1.%2.%3.%4.%5.%6."/>
      <w:lvlJc w:val="left"/>
      <w:pPr>
        <w:ind w:left="3240" w:hanging="1440"/>
      </w:pPr>
      <w:rPr>
        <w:color w:val="7030A0"/>
      </w:rPr>
    </w:lvl>
    <w:lvl w:ilvl="6">
      <w:start w:val="1"/>
      <w:numFmt w:val="decimal"/>
      <w:lvlText w:val="%1.%2.%3.%4.%5.%6.%7."/>
      <w:lvlJc w:val="left"/>
      <w:pPr>
        <w:ind w:left="3600" w:hanging="1440"/>
      </w:pPr>
      <w:rPr>
        <w:color w:val="7030A0"/>
      </w:rPr>
    </w:lvl>
    <w:lvl w:ilvl="7">
      <w:start w:val="1"/>
      <w:numFmt w:val="decimal"/>
      <w:lvlText w:val="%1.%2.%3.%4.%5.%6.%7.%8."/>
      <w:lvlJc w:val="left"/>
      <w:pPr>
        <w:ind w:left="4320" w:hanging="1800"/>
      </w:pPr>
      <w:rPr>
        <w:color w:val="7030A0"/>
      </w:rPr>
    </w:lvl>
    <w:lvl w:ilvl="8">
      <w:start w:val="1"/>
      <w:numFmt w:val="decimal"/>
      <w:lvlText w:val="%1.%2.%3.%4.%5.%6.%7.%8.%9."/>
      <w:lvlJc w:val="left"/>
      <w:pPr>
        <w:ind w:left="4680" w:hanging="1800"/>
      </w:pPr>
      <w:rPr>
        <w:color w:val="7030A0"/>
      </w:rPr>
    </w:lvl>
  </w:abstractNum>
  <w:abstractNum w:abstractNumId="47" w15:restartNumberingAfterBreak="0">
    <w:nsid w:val="6D367125"/>
    <w:multiLevelType w:val="multilevel"/>
    <w:tmpl w:val="F66E6186"/>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6D436D9D"/>
    <w:multiLevelType w:val="multilevel"/>
    <w:tmpl w:val="EE6C2FC6"/>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9" w15:restartNumberingAfterBreak="0">
    <w:nsid w:val="6F2E12F2"/>
    <w:multiLevelType w:val="hybridMultilevel"/>
    <w:tmpl w:val="0556241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0" w15:restartNumberingAfterBreak="0">
    <w:nsid w:val="714D59DC"/>
    <w:multiLevelType w:val="multilevel"/>
    <w:tmpl w:val="144CFF4C"/>
    <w:lvl w:ilvl="0">
      <w:start w:val="1"/>
      <w:numFmt w:val="bullet"/>
      <w:lvlText w:val="-"/>
      <w:lvlJc w:val="left"/>
      <w:pPr>
        <w:ind w:left="720" w:hanging="360"/>
      </w:pPr>
      <w:rPr>
        <w:rFonts w:ascii="Bookman Old Style" w:eastAsia="Bookman Old Style" w:hAnsi="Bookman Old Style" w:cs="Bookman Old Styl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17A2A40"/>
    <w:multiLevelType w:val="hybridMultilevel"/>
    <w:tmpl w:val="2F74F3D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2" w15:restartNumberingAfterBreak="0">
    <w:nsid w:val="71953077"/>
    <w:multiLevelType w:val="multilevel"/>
    <w:tmpl w:val="1FEA955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0" w:hanging="360"/>
      </w:pPr>
      <w:rPr>
        <w:rFonts w:ascii="Noto Sans Symbols" w:eastAsia="Noto Sans Symbols" w:hAnsi="Noto Sans Symbols" w:cs="Noto Sans Symbols"/>
        <w:u w:val="none"/>
      </w:rPr>
    </w:lvl>
    <w:lvl w:ilvl="2">
      <w:start w:val="1"/>
      <w:numFmt w:val="bullet"/>
      <w:lvlText w:val="■"/>
      <w:lvlJc w:val="left"/>
      <w:pPr>
        <w:ind w:left="720" w:hanging="360"/>
      </w:pPr>
      <w:rPr>
        <w:rFonts w:ascii="Noto Sans Symbols" w:eastAsia="Noto Sans Symbols" w:hAnsi="Noto Sans Symbols" w:cs="Noto Sans Symbols"/>
        <w:u w:val="none"/>
      </w:rPr>
    </w:lvl>
    <w:lvl w:ilvl="3">
      <w:start w:val="1"/>
      <w:numFmt w:val="bullet"/>
      <w:lvlText w:val="●"/>
      <w:lvlJc w:val="left"/>
      <w:pPr>
        <w:ind w:left="1440" w:hanging="360"/>
      </w:pPr>
      <w:rPr>
        <w:rFonts w:ascii="Noto Sans Symbols" w:eastAsia="Noto Sans Symbols" w:hAnsi="Noto Sans Symbols" w:cs="Noto Sans Symbols"/>
        <w:u w:val="none"/>
      </w:rPr>
    </w:lvl>
    <w:lvl w:ilvl="4">
      <w:start w:val="1"/>
      <w:numFmt w:val="bullet"/>
      <w:lvlText w:val="🌕"/>
      <w:lvlJc w:val="left"/>
      <w:pPr>
        <w:ind w:left="2160" w:hanging="360"/>
      </w:pPr>
      <w:rPr>
        <w:rFonts w:ascii="Noto Sans Symbols" w:eastAsia="Noto Sans Symbols" w:hAnsi="Noto Sans Symbols" w:cs="Noto Sans Symbols"/>
        <w:u w:val="none"/>
      </w:rPr>
    </w:lvl>
    <w:lvl w:ilvl="5">
      <w:start w:val="1"/>
      <w:numFmt w:val="bullet"/>
      <w:lvlText w:val="■"/>
      <w:lvlJc w:val="left"/>
      <w:pPr>
        <w:ind w:left="2880" w:hanging="360"/>
      </w:pPr>
      <w:rPr>
        <w:rFonts w:ascii="Noto Sans Symbols" w:eastAsia="Noto Sans Symbols" w:hAnsi="Noto Sans Symbols" w:cs="Noto Sans Symbols"/>
        <w:u w:val="none"/>
      </w:rPr>
    </w:lvl>
    <w:lvl w:ilvl="6">
      <w:start w:val="1"/>
      <w:numFmt w:val="bullet"/>
      <w:lvlText w:val="●"/>
      <w:lvlJc w:val="left"/>
      <w:pPr>
        <w:ind w:left="3600" w:hanging="360"/>
      </w:pPr>
      <w:rPr>
        <w:rFonts w:ascii="Noto Sans Symbols" w:eastAsia="Noto Sans Symbols" w:hAnsi="Noto Sans Symbols" w:cs="Noto Sans Symbols"/>
        <w:u w:val="none"/>
      </w:rPr>
    </w:lvl>
    <w:lvl w:ilvl="7">
      <w:start w:val="1"/>
      <w:numFmt w:val="bullet"/>
      <w:lvlText w:val="🌕"/>
      <w:lvlJc w:val="left"/>
      <w:pPr>
        <w:ind w:left="4320" w:hanging="360"/>
      </w:pPr>
      <w:rPr>
        <w:rFonts w:ascii="Noto Sans Symbols" w:eastAsia="Noto Sans Symbols" w:hAnsi="Noto Sans Symbols" w:cs="Noto Sans Symbols"/>
        <w:u w:val="none"/>
      </w:rPr>
    </w:lvl>
    <w:lvl w:ilvl="8">
      <w:start w:val="1"/>
      <w:numFmt w:val="bullet"/>
      <w:lvlText w:val="■"/>
      <w:lvlJc w:val="left"/>
      <w:pPr>
        <w:ind w:left="5040" w:hanging="360"/>
      </w:pPr>
      <w:rPr>
        <w:rFonts w:ascii="Noto Sans Symbols" w:eastAsia="Noto Sans Symbols" w:hAnsi="Noto Sans Symbols" w:cs="Noto Sans Symbols"/>
        <w:u w:val="none"/>
      </w:rPr>
    </w:lvl>
  </w:abstractNum>
  <w:abstractNum w:abstractNumId="53" w15:restartNumberingAfterBreak="0">
    <w:nsid w:val="74595BDF"/>
    <w:multiLevelType w:val="multilevel"/>
    <w:tmpl w:val="63BA6B2C"/>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77A259B7"/>
    <w:multiLevelType w:val="multilevel"/>
    <w:tmpl w:val="056C6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B6D6007"/>
    <w:multiLevelType w:val="multilevel"/>
    <w:tmpl w:val="155239FE"/>
    <w:lvl w:ilvl="0">
      <w:start w:val="4"/>
      <w:numFmt w:val="decimal"/>
      <w:lvlText w:val="%1."/>
      <w:lvlJc w:val="left"/>
      <w:pPr>
        <w:ind w:left="1110" w:hanging="390"/>
      </w:pPr>
      <w:rPr>
        <w:color w:val="7030A0"/>
      </w:rPr>
    </w:lvl>
    <w:lvl w:ilvl="1">
      <w:start w:val="1"/>
      <w:numFmt w:val="decimal"/>
      <w:lvlText w:val="%1.%2."/>
      <w:lvlJc w:val="left"/>
      <w:pPr>
        <w:ind w:left="1800" w:hanging="720"/>
      </w:pPr>
      <w:rPr>
        <w:color w:val="7030A0"/>
      </w:rPr>
    </w:lvl>
    <w:lvl w:ilvl="2">
      <w:start w:val="1"/>
      <w:numFmt w:val="decimal"/>
      <w:lvlText w:val="%1.%2.%3."/>
      <w:lvlJc w:val="left"/>
      <w:pPr>
        <w:ind w:left="2160" w:hanging="720"/>
      </w:pPr>
      <w:rPr>
        <w:color w:val="7030A0"/>
      </w:rPr>
    </w:lvl>
    <w:lvl w:ilvl="3">
      <w:start w:val="1"/>
      <w:numFmt w:val="decimal"/>
      <w:lvlText w:val="%1.%2.%3.%4."/>
      <w:lvlJc w:val="left"/>
      <w:pPr>
        <w:ind w:left="2880" w:hanging="1080"/>
      </w:pPr>
      <w:rPr>
        <w:color w:val="7030A0"/>
      </w:rPr>
    </w:lvl>
    <w:lvl w:ilvl="4">
      <w:start w:val="1"/>
      <w:numFmt w:val="decimal"/>
      <w:lvlText w:val="%1.%2.%3.%4.%5."/>
      <w:lvlJc w:val="left"/>
      <w:pPr>
        <w:ind w:left="3240" w:hanging="1080"/>
      </w:pPr>
      <w:rPr>
        <w:color w:val="7030A0"/>
      </w:rPr>
    </w:lvl>
    <w:lvl w:ilvl="5">
      <w:start w:val="1"/>
      <w:numFmt w:val="decimal"/>
      <w:lvlText w:val="%1.%2.%3.%4.%5.%6."/>
      <w:lvlJc w:val="left"/>
      <w:pPr>
        <w:ind w:left="3960" w:hanging="1440"/>
      </w:pPr>
      <w:rPr>
        <w:color w:val="7030A0"/>
      </w:rPr>
    </w:lvl>
    <w:lvl w:ilvl="6">
      <w:start w:val="1"/>
      <w:numFmt w:val="decimal"/>
      <w:lvlText w:val="%1.%2.%3.%4.%5.%6.%7."/>
      <w:lvlJc w:val="left"/>
      <w:pPr>
        <w:ind w:left="4320" w:hanging="1440"/>
      </w:pPr>
      <w:rPr>
        <w:color w:val="7030A0"/>
      </w:rPr>
    </w:lvl>
    <w:lvl w:ilvl="7">
      <w:start w:val="1"/>
      <w:numFmt w:val="decimal"/>
      <w:lvlText w:val="%1.%2.%3.%4.%5.%6.%7.%8."/>
      <w:lvlJc w:val="left"/>
      <w:pPr>
        <w:ind w:left="5040" w:hanging="1800"/>
      </w:pPr>
      <w:rPr>
        <w:color w:val="7030A0"/>
      </w:rPr>
    </w:lvl>
    <w:lvl w:ilvl="8">
      <w:start w:val="1"/>
      <w:numFmt w:val="decimal"/>
      <w:lvlText w:val="%1.%2.%3.%4.%5.%6.%7.%8.%9."/>
      <w:lvlJc w:val="left"/>
      <w:pPr>
        <w:ind w:left="5400" w:hanging="1800"/>
      </w:pPr>
      <w:rPr>
        <w:color w:val="7030A0"/>
      </w:rPr>
    </w:lvl>
  </w:abstractNum>
  <w:abstractNum w:abstractNumId="56" w15:restartNumberingAfterBreak="0">
    <w:nsid w:val="7D172B5F"/>
    <w:multiLevelType w:val="multilevel"/>
    <w:tmpl w:val="1C4AC81E"/>
    <w:lvl w:ilvl="0">
      <w:start w:val="1"/>
      <w:numFmt w:val="decimal"/>
      <w:lvlText w:val="%1."/>
      <w:lvlJc w:val="left"/>
      <w:pPr>
        <w:ind w:left="360" w:hanging="360"/>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57" w15:restartNumberingAfterBreak="0">
    <w:nsid w:val="7D7963E3"/>
    <w:multiLevelType w:val="hybridMultilevel"/>
    <w:tmpl w:val="72465262"/>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9"/>
  </w:num>
  <w:num w:numId="2">
    <w:abstractNumId w:val="16"/>
  </w:num>
  <w:num w:numId="3">
    <w:abstractNumId w:val="48"/>
  </w:num>
  <w:num w:numId="4">
    <w:abstractNumId w:val="3"/>
  </w:num>
  <w:num w:numId="5">
    <w:abstractNumId w:val="23"/>
  </w:num>
  <w:num w:numId="6">
    <w:abstractNumId w:val="56"/>
  </w:num>
  <w:num w:numId="7">
    <w:abstractNumId w:val="52"/>
  </w:num>
  <w:num w:numId="8">
    <w:abstractNumId w:val="45"/>
  </w:num>
  <w:num w:numId="9">
    <w:abstractNumId w:val="47"/>
  </w:num>
  <w:num w:numId="10">
    <w:abstractNumId w:val="35"/>
  </w:num>
  <w:num w:numId="11">
    <w:abstractNumId w:val="2"/>
  </w:num>
  <w:num w:numId="12">
    <w:abstractNumId w:val="50"/>
  </w:num>
  <w:num w:numId="13">
    <w:abstractNumId w:val="43"/>
  </w:num>
  <w:num w:numId="14">
    <w:abstractNumId w:val="17"/>
  </w:num>
  <w:num w:numId="15">
    <w:abstractNumId w:val="54"/>
  </w:num>
  <w:num w:numId="16">
    <w:abstractNumId w:val="27"/>
  </w:num>
  <w:num w:numId="17">
    <w:abstractNumId w:val="10"/>
  </w:num>
  <w:num w:numId="18">
    <w:abstractNumId w:val="14"/>
  </w:num>
  <w:num w:numId="19">
    <w:abstractNumId w:val="28"/>
  </w:num>
  <w:num w:numId="20">
    <w:abstractNumId w:val="30"/>
  </w:num>
  <w:num w:numId="21">
    <w:abstractNumId w:val="46"/>
  </w:num>
  <w:num w:numId="22">
    <w:abstractNumId w:val="21"/>
  </w:num>
  <w:num w:numId="23">
    <w:abstractNumId w:val="26"/>
  </w:num>
  <w:num w:numId="24">
    <w:abstractNumId w:val="5"/>
  </w:num>
  <w:num w:numId="25">
    <w:abstractNumId w:val="24"/>
  </w:num>
  <w:num w:numId="2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51"/>
  </w:num>
  <w:num w:numId="30">
    <w:abstractNumId w:val="18"/>
  </w:num>
  <w:num w:numId="31">
    <w:abstractNumId w:val="55"/>
  </w:num>
  <w:num w:numId="32">
    <w:abstractNumId w:val="57"/>
  </w:num>
  <w:num w:numId="33">
    <w:abstractNumId w:val="36"/>
  </w:num>
  <w:num w:numId="34">
    <w:abstractNumId w:val="39"/>
  </w:num>
  <w:num w:numId="35">
    <w:abstractNumId w:val="32"/>
  </w:num>
  <w:num w:numId="36">
    <w:abstractNumId w:val="4"/>
  </w:num>
  <w:num w:numId="37">
    <w:abstractNumId w:val="42"/>
  </w:num>
  <w:num w:numId="38">
    <w:abstractNumId w:val="0"/>
  </w:num>
  <w:num w:numId="39">
    <w:abstractNumId w:val="1"/>
  </w:num>
  <w:num w:numId="40">
    <w:abstractNumId w:val="8"/>
  </w:num>
  <w:num w:numId="41">
    <w:abstractNumId w:val="44"/>
  </w:num>
  <w:num w:numId="42">
    <w:abstractNumId w:val="41"/>
  </w:num>
  <w:num w:numId="43">
    <w:abstractNumId w:val="29"/>
  </w:num>
  <w:num w:numId="44">
    <w:abstractNumId w:val="20"/>
  </w:num>
  <w:num w:numId="45">
    <w:abstractNumId w:val="6"/>
  </w:num>
  <w:num w:numId="46">
    <w:abstractNumId w:val="7"/>
  </w:num>
  <w:num w:numId="47">
    <w:abstractNumId w:val="37"/>
  </w:num>
  <w:num w:numId="48">
    <w:abstractNumId w:val="49"/>
  </w:num>
  <w:num w:numId="49">
    <w:abstractNumId w:val="25"/>
  </w:num>
  <w:num w:numId="50">
    <w:abstractNumId w:val="19"/>
  </w:num>
  <w:num w:numId="51">
    <w:abstractNumId w:val="11"/>
  </w:num>
  <w:num w:numId="52">
    <w:abstractNumId w:val="40"/>
  </w:num>
  <w:num w:numId="53">
    <w:abstractNumId w:val="34"/>
  </w:num>
  <w:num w:numId="54">
    <w:abstractNumId w:val="31"/>
  </w:num>
  <w:num w:numId="55">
    <w:abstractNumId w:val="12"/>
  </w:num>
  <w:num w:numId="56">
    <w:abstractNumId w:val="33"/>
  </w:num>
  <w:num w:numId="57">
    <w:abstractNumId w:val="13"/>
  </w:num>
  <w:num w:numId="58">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markup="0" w:comments="0" w:insDel="0" w:formatting="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B0C"/>
    <w:rsid w:val="00000855"/>
    <w:rsid w:val="00003CB9"/>
    <w:rsid w:val="00007078"/>
    <w:rsid w:val="0001127D"/>
    <w:rsid w:val="000131AF"/>
    <w:rsid w:val="00013573"/>
    <w:rsid w:val="00016031"/>
    <w:rsid w:val="000162FA"/>
    <w:rsid w:val="00016F45"/>
    <w:rsid w:val="00021B67"/>
    <w:rsid w:val="00021F56"/>
    <w:rsid w:val="00026CC4"/>
    <w:rsid w:val="00027B9E"/>
    <w:rsid w:val="00027CC3"/>
    <w:rsid w:val="0003047F"/>
    <w:rsid w:val="00030B47"/>
    <w:rsid w:val="00031D0F"/>
    <w:rsid w:val="000350BB"/>
    <w:rsid w:val="00035811"/>
    <w:rsid w:val="00036C4A"/>
    <w:rsid w:val="000373B1"/>
    <w:rsid w:val="00037C6C"/>
    <w:rsid w:val="00037F1E"/>
    <w:rsid w:val="0004564B"/>
    <w:rsid w:val="00051826"/>
    <w:rsid w:val="0005190A"/>
    <w:rsid w:val="000548A6"/>
    <w:rsid w:val="0005499D"/>
    <w:rsid w:val="00055DA3"/>
    <w:rsid w:val="00062ABE"/>
    <w:rsid w:val="00063672"/>
    <w:rsid w:val="00065678"/>
    <w:rsid w:val="000659FA"/>
    <w:rsid w:val="0007062A"/>
    <w:rsid w:val="0007174B"/>
    <w:rsid w:val="00071975"/>
    <w:rsid w:val="00072B6E"/>
    <w:rsid w:val="0007304F"/>
    <w:rsid w:val="0007542D"/>
    <w:rsid w:val="0008083B"/>
    <w:rsid w:val="000830C7"/>
    <w:rsid w:val="00085E94"/>
    <w:rsid w:val="00087016"/>
    <w:rsid w:val="00090247"/>
    <w:rsid w:val="000903F8"/>
    <w:rsid w:val="0009077A"/>
    <w:rsid w:val="0009094C"/>
    <w:rsid w:val="00094139"/>
    <w:rsid w:val="00096203"/>
    <w:rsid w:val="000969E3"/>
    <w:rsid w:val="000A0560"/>
    <w:rsid w:val="000A2BB5"/>
    <w:rsid w:val="000A3C8B"/>
    <w:rsid w:val="000A44C1"/>
    <w:rsid w:val="000A7332"/>
    <w:rsid w:val="000B0782"/>
    <w:rsid w:val="000B2316"/>
    <w:rsid w:val="000B36D8"/>
    <w:rsid w:val="000B4FAD"/>
    <w:rsid w:val="000C0CEB"/>
    <w:rsid w:val="000C11FD"/>
    <w:rsid w:val="000C4CBF"/>
    <w:rsid w:val="000C6704"/>
    <w:rsid w:val="000D1327"/>
    <w:rsid w:val="000D3955"/>
    <w:rsid w:val="000D73CF"/>
    <w:rsid w:val="000E1BDE"/>
    <w:rsid w:val="000E38FE"/>
    <w:rsid w:val="000E54FA"/>
    <w:rsid w:val="000E6829"/>
    <w:rsid w:val="000E6A01"/>
    <w:rsid w:val="000E7B3A"/>
    <w:rsid w:val="000F1A13"/>
    <w:rsid w:val="000F2F74"/>
    <w:rsid w:val="000F34CE"/>
    <w:rsid w:val="001003DB"/>
    <w:rsid w:val="00103247"/>
    <w:rsid w:val="00107797"/>
    <w:rsid w:val="001212D2"/>
    <w:rsid w:val="00125A3C"/>
    <w:rsid w:val="001308A3"/>
    <w:rsid w:val="00130D9A"/>
    <w:rsid w:val="00130FFC"/>
    <w:rsid w:val="001312C9"/>
    <w:rsid w:val="00135AD9"/>
    <w:rsid w:val="0013639E"/>
    <w:rsid w:val="0013651E"/>
    <w:rsid w:val="00137AAE"/>
    <w:rsid w:val="00137B5C"/>
    <w:rsid w:val="0013D84B"/>
    <w:rsid w:val="00140195"/>
    <w:rsid w:val="00142C30"/>
    <w:rsid w:val="001436FB"/>
    <w:rsid w:val="00145B95"/>
    <w:rsid w:val="00161E64"/>
    <w:rsid w:val="00164178"/>
    <w:rsid w:val="00165AC7"/>
    <w:rsid w:val="00167B2B"/>
    <w:rsid w:val="00170764"/>
    <w:rsid w:val="00173C01"/>
    <w:rsid w:val="00174535"/>
    <w:rsid w:val="001749DD"/>
    <w:rsid w:val="0017702A"/>
    <w:rsid w:val="00180DDD"/>
    <w:rsid w:val="00183411"/>
    <w:rsid w:val="00185F3B"/>
    <w:rsid w:val="00186F47"/>
    <w:rsid w:val="001942EC"/>
    <w:rsid w:val="0019430D"/>
    <w:rsid w:val="001949A6"/>
    <w:rsid w:val="00195AA3"/>
    <w:rsid w:val="00195C8F"/>
    <w:rsid w:val="0019664C"/>
    <w:rsid w:val="00196997"/>
    <w:rsid w:val="00196C19"/>
    <w:rsid w:val="001A0428"/>
    <w:rsid w:val="001A2721"/>
    <w:rsid w:val="001A4402"/>
    <w:rsid w:val="001A4575"/>
    <w:rsid w:val="001A467A"/>
    <w:rsid w:val="001A5997"/>
    <w:rsid w:val="001A7B12"/>
    <w:rsid w:val="001C20F0"/>
    <w:rsid w:val="001C39F2"/>
    <w:rsid w:val="001C4C0B"/>
    <w:rsid w:val="001C4EED"/>
    <w:rsid w:val="001C6230"/>
    <w:rsid w:val="001C63DA"/>
    <w:rsid w:val="001C69C9"/>
    <w:rsid w:val="001C716D"/>
    <w:rsid w:val="001C76FD"/>
    <w:rsid w:val="001D6645"/>
    <w:rsid w:val="001E1AF7"/>
    <w:rsid w:val="001E33AD"/>
    <w:rsid w:val="001E5506"/>
    <w:rsid w:val="001E5CBF"/>
    <w:rsid w:val="001F0720"/>
    <w:rsid w:val="001F07BC"/>
    <w:rsid w:val="001F1166"/>
    <w:rsid w:val="001F4949"/>
    <w:rsid w:val="001F7D24"/>
    <w:rsid w:val="002061A9"/>
    <w:rsid w:val="00207DA5"/>
    <w:rsid w:val="00212083"/>
    <w:rsid w:val="00212BB7"/>
    <w:rsid w:val="00215100"/>
    <w:rsid w:val="00215FD3"/>
    <w:rsid w:val="00216547"/>
    <w:rsid w:val="0021773B"/>
    <w:rsid w:val="00217E87"/>
    <w:rsid w:val="00223478"/>
    <w:rsid w:val="00224AED"/>
    <w:rsid w:val="002253EE"/>
    <w:rsid w:val="00226E3B"/>
    <w:rsid w:val="002306AD"/>
    <w:rsid w:val="00231B4E"/>
    <w:rsid w:val="002338C0"/>
    <w:rsid w:val="00235EEB"/>
    <w:rsid w:val="002363B8"/>
    <w:rsid w:val="0023790C"/>
    <w:rsid w:val="002410EE"/>
    <w:rsid w:val="002465C1"/>
    <w:rsid w:val="00247B96"/>
    <w:rsid w:val="00254FF4"/>
    <w:rsid w:val="00255666"/>
    <w:rsid w:val="00257EC8"/>
    <w:rsid w:val="002619CD"/>
    <w:rsid w:val="0026488F"/>
    <w:rsid w:val="0026720A"/>
    <w:rsid w:val="00270C3B"/>
    <w:rsid w:val="002723A3"/>
    <w:rsid w:val="0027272F"/>
    <w:rsid w:val="002728F5"/>
    <w:rsid w:val="00273BED"/>
    <w:rsid w:val="00277817"/>
    <w:rsid w:val="0028012E"/>
    <w:rsid w:val="00282FF2"/>
    <w:rsid w:val="00283F1C"/>
    <w:rsid w:val="002845C5"/>
    <w:rsid w:val="002861B8"/>
    <w:rsid w:val="002868BD"/>
    <w:rsid w:val="0029047E"/>
    <w:rsid w:val="00293649"/>
    <w:rsid w:val="00294072"/>
    <w:rsid w:val="00295FF2"/>
    <w:rsid w:val="0029660C"/>
    <w:rsid w:val="00296FD9"/>
    <w:rsid w:val="002A75E0"/>
    <w:rsid w:val="002B0389"/>
    <w:rsid w:val="002B3C75"/>
    <w:rsid w:val="002B3D9A"/>
    <w:rsid w:val="002B4844"/>
    <w:rsid w:val="002B49C7"/>
    <w:rsid w:val="002B517B"/>
    <w:rsid w:val="002B65F8"/>
    <w:rsid w:val="002C06CF"/>
    <w:rsid w:val="002C118D"/>
    <w:rsid w:val="002C53D7"/>
    <w:rsid w:val="002C5720"/>
    <w:rsid w:val="002C6734"/>
    <w:rsid w:val="002C77C2"/>
    <w:rsid w:val="002D0C62"/>
    <w:rsid w:val="002D1F3C"/>
    <w:rsid w:val="002D2370"/>
    <w:rsid w:val="002D26E3"/>
    <w:rsid w:val="002E0705"/>
    <w:rsid w:val="002E4DAE"/>
    <w:rsid w:val="002E569F"/>
    <w:rsid w:val="002E5C5C"/>
    <w:rsid w:val="002E60F0"/>
    <w:rsid w:val="002E66F4"/>
    <w:rsid w:val="002E6779"/>
    <w:rsid w:val="002E6A96"/>
    <w:rsid w:val="002E6FEC"/>
    <w:rsid w:val="002F1611"/>
    <w:rsid w:val="002F21D2"/>
    <w:rsid w:val="002F2C9A"/>
    <w:rsid w:val="00300A0E"/>
    <w:rsid w:val="003030FF"/>
    <w:rsid w:val="0030329C"/>
    <w:rsid w:val="00304821"/>
    <w:rsid w:val="00306A6C"/>
    <w:rsid w:val="00306AE3"/>
    <w:rsid w:val="00313217"/>
    <w:rsid w:val="0031412B"/>
    <w:rsid w:val="00314322"/>
    <w:rsid w:val="00315539"/>
    <w:rsid w:val="00316296"/>
    <w:rsid w:val="0031633D"/>
    <w:rsid w:val="00321174"/>
    <w:rsid w:val="003218CE"/>
    <w:rsid w:val="00321DBD"/>
    <w:rsid w:val="003248CF"/>
    <w:rsid w:val="00324A26"/>
    <w:rsid w:val="0032675F"/>
    <w:rsid w:val="0033404E"/>
    <w:rsid w:val="00336118"/>
    <w:rsid w:val="00336208"/>
    <w:rsid w:val="003378D0"/>
    <w:rsid w:val="00343495"/>
    <w:rsid w:val="00346A9B"/>
    <w:rsid w:val="00350508"/>
    <w:rsid w:val="0035120A"/>
    <w:rsid w:val="00352162"/>
    <w:rsid w:val="00355CAA"/>
    <w:rsid w:val="00357F5F"/>
    <w:rsid w:val="00360090"/>
    <w:rsid w:val="00361C3A"/>
    <w:rsid w:val="00365762"/>
    <w:rsid w:val="00366B10"/>
    <w:rsid w:val="00370056"/>
    <w:rsid w:val="003700B4"/>
    <w:rsid w:val="00370288"/>
    <w:rsid w:val="003712E4"/>
    <w:rsid w:val="0037346B"/>
    <w:rsid w:val="003768E8"/>
    <w:rsid w:val="00376F36"/>
    <w:rsid w:val="003816CD"/>
    <w:rsid w:val="0038372A"/>
    <w:rsid w:val="00384DA2"/>
    <w:rsid w:val="00385435"/>
    <w:rsid w:val="003915CB"/>
    <w:rsid w:val="0039718E"/>
    <w:rsid w:val="00397A05"/>
    <w:rsid w:val="003A226B"/>
    <w:rsid w:val="003A2C4D"/>
    <w:rsid w:val="003A5123"/>
    <w:rsid w:val="003A635E"/>
    <w:rsid w:val="003A753A"/>
    <w:rsid w:val="003B2F30"/>
    <w:rsid w:val="003B2FAB"/>
    <w:rsid w:val="003B3143"/>
    <w:rsid w:val="003B36B0"/>
    <w:rsid w:val="003B4616"/>
    <w:rsid w:val="003B513E"/>
    <w:rsid w:val="003B5C05"/>
    <w:rsid w:val="003C0779"/>
    <w:rsid w:val="003C475D"/>
    <w:rsid w:val="003C6394"/>
    <w:rsid w:val="003C708D"/>
    <w:rsid w:val="003D20A0"/>
    <w:rsid w:val="003D2BEC"/>
    <w:rsid w:val="003D4277"/>
    <w:rsid w:val="003D45B9"/>
    <w:rsid w:val="003D52F5"/>
    <w:rsid w:val="003E24D0"/>
    <w:rsid w:val="003E29E5"/>
    <w:rsid w:val="003E3B72"/>
    <w:rsid w:val="003E3F94"/>
    <w:rsid w:val="003E5713"/>
    <w:rsid w:val="003E5792"/>
    <w:rsid w:val="003E5E3B"/>
    <w:rsid w:val="003E6CE9"/>
    <w:rsid w:val="003E7718"/>
    <w:rsid w:val="003F0358"/>
    <w:rsid w:val="003F0C50"/>
    <w:rsid w:val="003F14F4"/>
    <w:rsid w:val="003F1C4D"/>
    <w:rsid w:val="003F4EB0"/>
    <w:rsid w:val="003F5CCA"/>
    <w:rsid w:val="003F6295"/>
    <w:rsid w:val="003F6CFE"/>
    <w:rsid w:val="003F702A"/>
    <w:rsid w:val="004018EC"/>
    <w:rsid w:val="00401E49"/>
    <w:rsid w:val="0040201A"/>
    <w:rsid w:val="00405D15"/>
    <w:rsid w:val="00411BA0"/>
    <w:rsid w:val="004122D1"/>
    <w:rsid w:val="004137D0"/>
    <w:rsid w:val="004151CB"/>
    <w:rsid w:val="004168C1"/>
    <w:rsid w:val="00417582"/>
    <w:rsid w:val="0042081E"/>
    <w:rsid w:val="00420B0B"/>
    <w:rsid w:val="004217B7"/>
    <w:rsid w:val="0042255F"/>
    <w:rsid w:val="00430946"/>
    <w:rsid w:val="0043166A"/>
    <w:rsid w:val="00431B77"/>
    <w:rsid w:val="00434FE4"/>
    <w:rsid w:val="00436953"/>
    <w:rsid w:val="00437BB9"/>
    <w:rsid w:val="0044035A"/>
    <w:rsid w:val="0044134F"/>
    <w:rsid w:val="00441AF7"/>
    <w:rsid w:val="00442952"/>
    <w:rsid w:val="004434CE"/>
    <w:rsid w:val="0044475E"/>
    <w:rsid w:val="00445D21"/>
    <w:rsid w:val="0044600D"/>
    <w:rsid w:val="00452034"/>
    <w:rsid w:val="00461ED4"/>
    <w:rsid w:val="00463201"/>
    <w:rsid w:val="00465911"/>
    <w:rsid w:val="00466521"/>
    <w:rsid w:val="00471873"/>
    <w:rsid w:val="004726E6"/>
    <w:rsid w:val="00474ECD"/>
    <w:rsid w:val="00476922"/>
    <w:rsid w:val="0047730A"/>
    <w:rsid w:val="0047C676"/>
    <w:rsid w:val="00483FC2"/>
    <w:rsid w:val="00485A11"/>
    <w:rsid w:val="0048748B"/>
    <w:rsid w:val="004874BC"/>
    <w:rsid w:val="0049052D"/>
    <w:rsid w:val="00491B7A"/>
    <w:rsid w:val="004930D2"/>
    <w:rsid w:val="0049651D"/>
    <w:rsid w:val="00497CDC"/>
    <w:rsid w:val="004A1C6F"/>
    <w:rsid w:val="004A593B"/>
    <w:rsid w:val="004B436B"/>
    <w:rsid w:val="004B49F9"/>
    <w:rsid w:val="004B513E"/>
    <w:rsid w:val="004B65A4"/>
    <w:rsid w:val="004B7717"/>
    <w:rsid w:val="004C001D"/>
    <w:rsid w:val="004C1B95"/>
    <w:rsid w:val="004C25B6"/>
    <w:rsid w:val="004C51B4"/>
    <w:rsid w:val="004C55F7"/>
    <w:rsid w:val="004D05BD"/>
    <w:rsid w:val="004D1536"/>
    <w:rsid w:val="004D2808"/>
    <w:rsid w:val="004D4CF6"/>
    <w:rsid w:val="004D50CA"/>
    <w:rsid w:val="004D582F"/>
    <w:rsid w:val="004E2F06"/>
    <w:rsid w:val="004E33A0"/>
    <w:rsid w:val="004E49A8"/>
    <w:rsid w:val="004E7406"/>
    <w:rsid w:val="004F279F"/>
    <w:rsid w:val="004F2B7A"/>
    <w:rsid w:val="004F336D"/>
    <w:rsid w:val="004F3671"/>
    <w:rsid w:val="004F6AD0"/>
    <w:rsid w:val="00500278"/>
    <w:rsid w:val="00503218"/>
    <w:rsid w:val="0050348E"/>
    <w:rsid w:val="00505921"/>
    <w:rsid w:val="00506E5D"/>
    <w:rsid w:val="00506FEF"/>
    <w:rsid w:val="00510841"/>
    <w:rsid w:val="005112A4"/>
    <w:rsid w:val="005117E0"/>
    <w:rsid w:val="00514D08"/>
    <w:rsid w:val="0051547E"/>
    <w:rsid w:val="00520F1C"/>
    <w:rsid w:val="00521D09"/>
    <w:rsid w:val="00522712"/>
    <w:rsid w:val="0052411C"/>
    <w:rsid w:val="00530738"/>
    <w:rsid w:val="005312D3"/>
    <w:rsid w:val="005321C5"/>
    <w:rsid w:val="00533E56"/>
    <w:rsid w:val="00535D9D"/>
    <w:rsid w:val="005372D7"/>
    <w:rsid w:val="0053792B"/>
    <w:rsid w:val="0054444A"/>
    <w:rsid w:val="00545041"/>
    <w:rsid w:val="00546582"/>
    <w:rsid w:val="005466B3"/>
    <w:rsid w:val="0054699F"/>
    <w:rsid w:val="00551F88"/>
    <w:rsid w:val="00552D14"/>
    <w:rsid w:val="00555A8C"/>
    <w:rsid w:val="00555D1E"/>
    <w:rsid w:val="0055660B"/>
    <w:rsid w:val="0055714B"/>
    <w:rsid w:val="005604D4"/>
    <w:rsid w:val="00565E54"/>
    <w:rsid w:val="005726F3"/>
    <w:rsid w:val="00572732"/>
    <w:rsid w:val="005737F6"/>
    <w:rsid w:val="00574394"/>
    <w:rsid w:val="005805D1"/>
    <w:rsid w:val="00586CD4"/>
    <w:rsid w:val="00587DA3"/>
    <w:rsid w:val="00590C29"/>
    <w:rsid w:val="005911B4"/>
    <w:rsid w:val="00592763"/>
    <w:rsid w:val="00594BB7"/>
    <w:rsid w:val="00595243"/>
    <w:rsid w:val="00595564"/>
    <w:rsid w:val="005970E9"/>
    <w:rsid w:val="005A113A"/>
    <w:rsid w:val="005A572C"/>
    <w:rsid w:val="005A75FA"/>
    <w:rsid w:val="005B129E"/>
    <w:rsid w:val="005B4A97"/>
    <w:rsid w:val="005B6E7E"/>
    <w:rsid w:val="005C1716"/>
    <w:rsid w:val="005C29CF"/>
    <w:rsid w:val="005C4000"/>
    <w:rsid w:val="005C54CB"/>
    <w:rsid w:val="005D03EF"/>
    <w:rsid w:val="005D0C96"/>
    <w:rsid w:val="005D294F"/>
    <w:rsid w:val="005D3718"/>
    <w:rsid w:val="005D502D"/>
    <w:rsid w:val="005D8125"/>
    <w:rsid w:val="005E0361"/>
    <w:rsid w:val="005E1679"/>
    <w:rsid w:val="005E722A"/>
    <w:rsid w:val="005F1C80"/>
    <w:rsid w:val="005F39D8"/>
    <w:rsid w:val="005F4EB4"/>
    <w:rsid w:val="00601368"/>
    <w:rsid w:val="0060139E"/>
    <w:rsid w:val="006019EF"/>
    <w:rsid w:val="006021FE"/>
    <w:rsid w:val="00604445"/>
    <w:rsid w:val="00607E68"/>
    <w:rsid w:val="00611352"/>
    <w:rsid w:val="006116B4"/>
    <w:rsid w:val="0061298A"/>
    <w:rsid w:val="006133C6"/>
    <w:rsid w:val="00614A2E"/>
    <w:rsid w:val="006170BE"/>
    <w:rsid w:val="006206EC"/>
    <w:rsid w:val="00620E56"/>
    <w:rsid w:val="00621C0D"/>
    <w:rsid w:val="00630B00"/>
    <w:rsid w:val="006311B3"/>
    <w:rsid w:val="00634062"/>
    <w:rsid w:val="0063482F"/>
    <w:rsid w:val="00636BA6"/>
    <w:rsid w:val="00641ABD"/>
    <w:rsid w:val="00650288"/>
    <w:rsid w:val="006514D6"/>
    <w:rsid w:val="00653AD5"/>
    <w:rsid w:val="00655226"/>
    <w:rsid w:val="0065648F"/>
    <w:rsid w:val="00660C06"/>
    <w:rsid w:val="00661494"/>
    <w:rsid w:val="0066518B"/>
    <w:rsid w:val="00665481"/>
    <w:rsid w:val="00667575"/>
    <w:rsid w:val="00673419"/>
    <w:rsid w:val="00673F3F"/>
    <w:rsid w:val="00674C4E"/>
    <w:rsid w:val="00675490"/>
    <w:rsid w:val="00680B6F"/>
    <w:rsid w:val="006820E0"/>
    <w:rsid w:val="00687005"/>
    <w:rsid w:val="00691F88"/>
    <w:rsid w:val="006A2415"/>
    <w:rsid w:val="006A2C78"/>
    <w:rsid w:val="006A6390"/>
    <w:rsid w:val="006A7D4D"/>
    <w:rsid w:val="006B1124"/>
    <w:rsid w:val="006B2414"/>
    <w:rsid w:val="006B3993"/>
    <w:rsid w:val="006B3BCC"/>
    <w:rsid w:val="006B7E2D"/>
    <w:rsid w:val="006B7FC5"/>
    <w:rsid w:val="006C17BD"/>
    <w:rsid w:val="006C19FE"/>
    <w:rsid w:val="006C32A9"/>
    <w:rsid w:val="006C455A"/>
    <w:rsid w:val="006C4FA2"/>
    <w:rsid w:val="006C7C6D"/>
    <w:rsid w:val="006D115F"/>
    <w:rsid w:val="006D1B3C"/>
    <w:rsid w:val="006D2E82"/>
    <w:rsid w:val="006D6286"/>
    <w:rsid w:val="006D6F52"/>
    <w:rsid w:val="006E08D9"/>
    <w:rsid w:val="006E2590"/>
    <w:rsid w:val="006E4A72"/>
    <w:rsid w:val="006E533E"/>
    <w:rsid w:val="006E5371"/>
    <w:rsid w:val="006F0908"/>
    <w:rsid w:val="006F0A6F"/>
    <w:rsid w:val="006F0C65"/>
    <w:rsid w:val="006F15BA"/>
    <w:rsid w:val="006F22B7"/>
    <w:rsid w:val="006F50C2"/>
    <w:rsid w:val="006F6DCC"/>
    <w:rsid w:val="006F7EAD"/>
    <w:rsid w:val="007001DF"/>
    <w:rsid w:val="00700AB2"/>
    <w:rsid w:val="00701A49"/>
    <w:rsid w:val="0070203A"/>
    <w:rsid w:val="00702CFC"/>
    <w:rsid w:val="00702D7F"/>
    <w:rsid w:val="007039CE"/>
    <w:rsid w:val="00710B0D"/>
    <w:rsid w:val="00711883"/>
    <w:rsid w:val="00711977"/>
    <w:rsid w:val="00711FAC"/>
    <w:rsid w:val="00713853"/>
    <w:rsid w:val="00713AB2"/>
    <w:rsid w:val="00716887"/>
    <w:rsid w:val="00716D6C"/>
    <w:rsid w:val="007229E7"/>
    <w:rsid w:val="0072455C"/>
    <w:rsid w:val="00726347"/>
    <w:rsid w:val="00727292"/>
    <w:rsid w:val="00727CEC"/>
    <w:rsid w:val="0073456B"/>
    <w:rsid w:val="0074022C"/>
    <w:rsid w:val="00740FEC"/>
    <w:rsid w:val="00741CEC"/>
    <w:rsid w:val="0074238E"/>
    <w:rsid w:val="0074337F"/>
    <w:rsid w:val="00745E37"/>
    <w:rsid w:val="007470BC"/>
    <w:rsid w:val="007471C7"/>
    <w:rsid w:val="0075118F"/>
    <w:rsid w:val="00752C00"/>
    <w:rsid w:val="007546CE"/>
    <w:rsid w:val="00756D17"/>
    <w:rsid w:val="00756FB7"/>
    <w:rsid w:val="00761268"/>
    <w:rsid w:val="00762AAF"/>
    <w:rsid w:val="0076412B"/>
    <w:rsid w:val="00765A1D"/>
    <w:rsid w:val="00766DDA"/>
    <w:rsid w:val="00767340"/>
    <w:rsid w:val="00771D87"/>
    <w:rsid w:val="00773799"/>
    <w:rsid w:val="00775BFC"/>
    <w:rsid w:val="00775CA9"/>
    <w:rsid w:val="00775E63"/>
    <w:rsid w:val="0077721A"/>
    <w:rsid w:val="007772FA"/>
    <w:rsid w:val="00777873"/>
    <w:rsid w:val="00781FB8"/>
    <w:rsid w:val="00785D03"/>
    <w:rsid w:val="00793874"/>
    <w:rsid w:val="007950EF"/>
    <w:rsid w:val="00795457"/>
    <w:rsid w:val="007968DB"/>
    <w:rsid w:val="0079752F"/>
    <w:rsid w:val="007A223F"/>
    <w:rsid w:val="007A451C"/>
    <w:rsid w:val="007A7B4A"/>
    <w:rsid w:val="007A7C0B"/>
    <w:rsid w:val="007B6687"/>
    <w:rsid w:val="007C197E"/>
    <w:rsid w:val="007C5022"/>
    <w:rsid w:val="007C6883"/>
    <w:rsid w:val="007C78E8"/>
    <w:rsid w:val="007D3E20"/>
    <w:rsid w:val="007D6EA3"/>
    <w:rsid w:val="007D70EC"/>
    <w:rsid w:val="007D71A4"/>
    <w:rsid w:val="007E0A59"/>
    <w:rsid w:val="007E0E58"/>
    <w:rsid w:val="007E2881"/>
    <w:rsid w:val="007E47F2"/>
    <w:rsid w:val="007E5030"/>
    <w:rsid w:val="007F112F"/>
    <w:rsid w:val="007F13EC"/>
    <w:rsid w:val="007F6FB4"/>
    <w:rsid w:val="008031E2"/>
    <w:rsid w:val="00805C34"/>
    <w:rsid w:val="00805EC9"/>
    <w:rsid w:val="00806EE5"/>
    <w:rsid w:val="008075BF"/>
    <w:rsid w:val="00810FE5"/>
    <w:rsid w:val="00812C8E"/>
    <w:rsid w:val="00812EA0"/>
    <w:rsid w:val="008152A5"/>
    <w:rsid w:val="00815565"/>
    <w:rsid w:val="00815D3E"/>
    <w:rsid w:val="00817CEF"/>
    <w:rsid w:val="00820926"/>
    <w:rsid w:val="00821145"/>
    <w:rsid w:val="00830D12"/>
    <w:rsid w:val="0083257D"/>
    <w:rsid w:val="008334A1"/>
    <w:rsid w:val="008338CA"/>
    <w:rsid w:val="008354CF"/>
    <w:rsid w:val="008356EE"/>
    <w:rsid w:val="00835D01"/>
    <w:rsid w:val="00837201"/>
    <w:rsid w:val="00841094"/>
    <w:rsid w:val="00841F85"/>
    <w:rsid w:val="00843B24"/>
    <w:rsid w:val="0084581F"/>
    <w:rsid w:val="00845BA6"/>
    <w:rsid w:val="00857971"/>
    <w:rsid w:val="0086037B"/>
    <w:rsid w:val="00864206"/>
    <w:rsid w:val="008651BE"/>
    <w:rsid w:val="0086595B"/>
    <w:rsid w:val="00870BD5"/>
    <w:rsid w:val="00870F5A"/>
    <w:rsid w:val="00871FC7"/>
    <w:rsid w:val="00872D66"/>
    <w:rsid w:val="0087335F"/>
    <w:rsid w:val="00873A7C"/>
    <w:rsid w:val="00874B25"/>
    <w:rsid w:val="008750E0"/>
    <w:rsid w:val="00880177"/>
    <w:rsid w:val="00884E23"/>
    <w:rsid w:val="00890755"/>
    <w:rsid w:val="00890FE7"/>
    <w:rsid w:val="0089153A"/>
    <w:rsid w:val="00891F61"/>
    <w:rsid w:val="008955F8"/>
    <w:rsid w:val="008961C4"/>
    <w:rsid w:val="00896252"/>
    <w:rsid w:val="008967B0"/>
    <w:rsid w:val="00896D36"/>
    <w:rsid w:val="0089726B"/>
    <w:rsid w:val="00897DF9"/>
    <w:rsid w:val="008A0104"/>
    <w:rsid w:val="008A0BA9"/>
    <w:rsid w:val="008A11EA"/>
    <w:rsid w:val="008A3FF9"/>
    <w:rsid w:val="008A4BAE"/>
    <w:rsid w:val="008A5901"/>
    <w:rsid w:val="008A61AF"/>
    <w:rsid w:val="008A7E66"/>
    <w:rsid w:val="008B1351"/>
    <w:rsid w:val="008B1B8D"/>
    <w:rsid w:val="008B1F20"/>
    <w:rsid w:val="008B3528"/>
    <w:rsid w:val="008B473A"/>
    <w:rsid w:val="008B5061"/>
    <w:rsid w:val="008B783B"/>
    <w:rsid w:val="008B7F3C"/>
    <w:rsid w:val="008C662C"/>
    <w:rsid w:val="008D13AD"/>
    <w:rsid w:val="008D4AE3"/>
    <w:rsid w:val="008D7BA2"/>
    <w:rsid w:val="008D7EB7"/>
    <w:rsid w:val="008E3017"/>
    <w:rsid w:val="008E3F4C"/>
    <w:rsid w:val="008E686F"/>
    <w:rsid w:val="008E7902"/>
    <w:rsid w:val="008F08EE"/>
    <w:rsid w:val="008F236E"/>
    <w:rsid w:val="008F3B20"/>
    <w:rsid w:val="008F3B47"/>
    <w:rsid w:val="008F4AB7"/>
    <w:rsid w:val="0090349C"/>
    <w:rsid w:val="0090383C"/>
    <w:rsid w:val="009071A9"/>
    <w:rsid w:val="009072C7"/>
    <w:rsid w:val="00907429"/>
    <w:rsid w:val="00907BD8"/>
    <w:rsid w:val="009106E6"/>
    <w:rsid w:val="00910F8F"/>
    <w:rsid w:val="00912B1F"/>
    <w:rsid w:val="00913F28"/>
    <w:rsid w:val="0091735C"/>
    <w:rsid w:val="0092249A"/>
    <w:rsid w:val="00922857"/>
    <w:rsid w:val="00924541"/>
    <w:rsid w:val="0092574F"/>
    <w:rsid w:val="00927BAD"/>
    <w:rsid w:val="00931472"/>
    <w:rsid w:val="00931747"/>
    <w:rsid w:val="0093309A"/>
    <w:rsid w:val="00933C30"/>
    <w:rsid w:val="00935405"/>
    <w:rsid w:val="00935AC4"/>
    <w:rsid w:val="009407B8"/>
    <w:rsid w:val="0094099E"/>
    <w:rsid w:val="0094346C"/>
    <w:rsid w:val="00944534"/>
    <w:rsid w:val="009537E9"/>
    <w:rsid w:val="00955BB7"/>
    <w:rsid w:val="009577A6"/>
    <w:rsid w:val="00957F58"/>
    <w:rsid w:val="0096154A"/>
    <w:rsid w:val="0096536E"/>
    <w:rsid w:val="009666C7"/>
    <w:rsid w:val="00966AE2"/>
    <w:rsid w:val="00970E35"/>
    <w:rsid w:val="009712C1"/>
    <w:rsid w:val="00971EB0"/>
    <w:rsid w:val="00973496"/>
    <w:rsid w:val="00973E13"/>
    <w:rsid w:val="00973E88"/>
    <w:rsid w:val="009759AA"/>
    <w:rsid w:val="00975D0A"/>
    <w:rsid w:val="00976ACA"/>
    <w:rsid w:val="00980330"/>
    <w:rsid w:val="00981B2B"/>
    <w:rsid w:val="00982CE4"/>
    <w:rsid w:val="009833DC"/>
    <w:rsid w:val="00984FDA"/>
    <w:rsid w:val="00985296"/>
    <w:rsid w:val="00986A88"/>
    <w:rsid w:val="00986C6E"/>
    <w:rsid w:val="00987F12"/>
    <w:rsid w:val="009916C1"/>
    <w:rsid w:val="00997368"/>
    <w:rsid w:val="009973C4"/>
    <w:rsid w:val="00997484"/>
    <w:rsid w:val="009A08FF"/>
    <w:rsid w:val="009A4B9C"/>
    <w:rsid w:val="009A5114"/>
    <w:rsid w:val="009A52DC"/>
    <w:rsid w:val="009A5E65"/>
    <w:rsid w:val="009B0486"/>
    <w:rsid w:val="009B41F6"/>
    <w:rsid w:val="009B564B"/>
    <w:rsid w:val="009B597C"/>
    <w:rsid w:val="009B62E9"/>
    <w:rsid w:val="009C63B2"/>
    <w:rsid w:val="009D1829"/>
    <w:rsid w:val="009D3BF2"/>
    <w:rsid w:val="009D3C19"/>
    <w:rsid w:val="009D52B0"/>
    <w:rsid w:val="009D598A"/>
    <w:rsid w:val="009D5B4E"/>
    <w:rsid w:val="009D5D56"/>
    <w:rsid w:val="009D61B9"/>
    <w:rsid w:val="009D6EBF"/>
    <w:rsid w:val="009E107D"/>
    <w:rsid w:val="009E1EBE"/>
    <w:rsid w:val="009E2668"/>
    <w:rsid w:val="009E463F"/>
    <w:rsid w:val="009E53E4"/>
    <w:rsid w:val="009E5B0C"/>
    <w:rsid w:val="009E6038"/>
    <w:rsid w:val="009E6738"/>
    <w:rsid w:val="009F31CB"/>
    <w:rsid w:val="009F6DCC"/>
    <w:rsid w:val="009F7B97"/>
    <w:rsid w:val="009F7DD0"/>
    <w:rsid w:val="00A116C9"/>
    <w:rsid w:val="00A139EA"/>
    <w:rsid w:val="00A16827"/>
    <w:rsid w:val="00A178CF"/>
    <w:rsid w:val="00A220E5"/>
    <w:rsid w:val="00A232CB"/>
    <w:rsid w:val="00A25A26"/>
    <w:rsid w:val="00A2707C"/>
    <w:rsid w:val="00A32906"/>
    <w:rsid w:val="00A32AB9"/>
    <w:rsid w:val="00A32D7B"/>
    <w:rsid w:val="00A33AA0"/>
    <w:rsid w:val="00A35D56"/>
    <w:rsid w:val="00A36980"/>
    <w:rsid w:val="00A375F6"/>
    <w:rsid w:val="00A417AD"/>
    <w:rsid w:val="00A436A9"/>
    <w:rsid w:val="00A51547"/>
    <w:rsid w:val="00A56024"/>
    <w:rsid w:val="00A57B9F"/>
    <w:rsid w:val="00A57F99"/>
    <w:rsid w:val="00A6480C"/>
    <w:rsid w:val="00A66215"/>
    <w:rsid w:val="00A70099"/>
    <w:rsid w:val="00A722D2"/>
    <w:rsid w:val="00A76298"/>
    <w:rsid w:val="00A80161"/>
    <w:rsid w:val="00A825A3"/>
    <w:rsid w:val="00A82C39"/>
    <w:rsid w:val="00A841D9"/>
    <w:rsid w:val="00A847E0"/>
    <w:rsid w:val="00A85959"/>
    <w:rsid w:val="00A85B1C"/>
    <w:rsid w:val="00A86795"/>
    <w:rsid w:val="00A873CF"/>
    <w:rsid w:val="00A87EEB"/>
    <w:rsid w:val="00A90F49"/>
    <w:rsid w:val="00A919B7"/>
    <w:rsid w:val="00A92246"/>
    <w:rsid w:val="00A944AE"/>
    <w:rsid w:val="00AA0344"/>
    <w:rsid w:val="00AA104B"/>
    <w:rsid w:val="00AA294D"/>
    <w:rsid w:val="00AA46AE"/>
    <w:rsid w:val="00AB0E06"/>
    <w:rsid w:val="00AB3019"/>
    <w:rsid w:val="00AB359E"/>
    <w:rsid w:val="00AB49FA"/>
    <w:rsid w:val="00AB700B"/>
    <w:rsid w:val="00AB7EFA"/>
    <w:rsid w:val="00AC161E"/>
    <w:rsid w:val="00AC19C6"/>
    <w:rsid w:val="00AD1A74"/>
    <w:rsid w:val="00AD3003"/>
    <w:rsid w:val="00AD36D4"/>
    <w:rsid w:val="00AD406E"/>
    <w:rsid w:val="00AD5147"/>
    <w:rsid w:val="00AD530F"/>
    <w:rsid w:val="00AD54FB"/>
    <w:rsid w:val="00AD710C"/>
    <w:rsid w:val="00AE1C81"/>
    <w:rsid w:val="00AE25F8"/>
    <w:rsid w:val="00AE2F9B"/>
    <w:rsid w:val="00AE37B8"/>
    <w:rsid w:val="00AE43EE"/>
    <w:rsid w:val="00AE440A"/>
    <w:rsid w:val="00AE5A0E"/>
    <w:rsid w:val="00AF0250"/>
    <w:rsid w:val="00AF2BC3"/>
    <w:rsid w:val="00AF4A62"/>
    <w:rsid w:val="00AF7998"/>
    <w:rsid w:val="00B021A7"/>
    <w:rsid w:val="00B03BEA"/>
    <w:rsid w:val="00B043BD"/>
    <w:rsid w:val="00B05A5F"/>
    <w:rsid w:val="00B10FEE"/>
    <w:rsid w:val="00B11B22"/>
    <w:rsid w:val="00B13BFD"/>
    <w:rsid w:val="00B15DBC"/>
    <w:rsid w:val="00B220CE"/>
    <w:rsid w:val="00B22CAB"/>
    <w:rsid w:val="00B232BE"/>
    <w:rsid w:val="00B2458F"/>
    <w:rsid w:val="00B24EC1"/>
    <w:rsid w:val="00B25358"/>
    <w:rsid w:val="00B25816"/>
    <w:rsid w:val="00B41A2E"/>
    <w:rsid w:val="00B429FB"/>
    <w:rsid w:val="00B43882"/>
    <w:rsid w:val="00B45065"/>
    <w:rsid w:val="00B451FF"/>
    <w:rsid w:val="00B45E46"/>
    <w:rsid w:val="00B5023C"/>
    <w:rsid w:val="00B53CBA"/>
    <w:rsid w:val="00B53E3D"/>
    <w:rsid w:val="00B543D5"/>
    <w:rsid w:val="00B54A14"/>
    <w:rsid w:val="00B63223"/>
    <w:rsid w:val="00B6333C"/>
    <w:rsid w:val="00B67266"/>
    <w:rsid w:val="00B70428"/>
    <w:rsid w:val="00B719CE"/>
    <w:rsid w:val="00B71C1F"/>
    <w:rsid w:val="00B72383"/>
    <w:rsid w:val="00B73D6F"/>
    <w:rsid w:val="00B759DA"/>
    <w:rsid w:val="00B76B0C"/>
    <w:rsid w:val="00B82224"/>
    <w:rsid w:val="00B82E97"/>
    <w:rsid w:val="00B8559D"/>
    <w:rsid w:val="00B87123"/>
    <w:rsid w:val="00B87413"/>
    <w:rsid w:val="00B87E70"/>
    <w:rsid w:val="00B90C1D"/>
    <w:rsid w:val="00B9331C"/>
    <w:rsid w:val="00B937B5"/>
    <w:rsid w:val="00B96328"/>
    <w:rsid w:val="00B96E1C"/>
    <w:rsid w:val="00B96F12"/>
    <w:rsid w:val="00B976C6"/>
    <w:rsid w:val="00BA04D1"/>
    <w:rsid w:val="00BA163B"/>
    <w:rsid w:val="00BA16E6"/>
    <w:rsid w:val="00BA7295"/>
    <w:rsid w:val="00BB13EB"/>
    <w:rsid w:val="00BB1407"/>
    <w:rsid w:val="00BB345F"/>
    <w:rsid w:val="00BB3A7D"/>
    <w:rsid w:val="00BC181A"/>
    <w:rsid w:val="00BC1CF6"/>
    <w:rsid w:val="00BC2A80"/>
    <w:rsid w:val="00BC47B9"/>
    <w:rsid w:val="00BC583F"/>
    <w:rsid w:val="00BC6701"/>
    <w:rsid w:val="00BD614B"/>
    <w:rsid w:val="00BD695C"/>
    <w:rsid w:val="00BD6C73"/>
    <w:rsid w:val="00BD7411"/>
    <w:rsid w:val="00BD7E18"/>
    <w:rsid w:val="00BE0ED3"/>
    <w:rsid w:val="00BE3F87"/>
    <w:rsid w:val="00BE725B"/>
    <w:rsid w:val="00BF00CF"/>
    <w:rsid w:val="00BF0E46"/>
    <w:rsid w:val="00BF1F16"/>
    <w:rsid w:val="00BF279E"/>
    <w:rsid w:val="00BF3084"/>
    <w:rsid w:val="00BF31BB"/>
    <w:rsid w:val="00BF3D38"/>
    <w:rsid w:val="00BF3F44"/>
    <w:rsid w:val="00BF53FF"/>
    <w:rsid w:val="00BF5D6E"/>
    <w:rsid w:val="00BF6858"/>
    <w:rsid w:val="00BF7720"/>
    <w:rsid w:val="00C024E3"/>
    <w:rsid w:val="00C04048"/>
    <w:rsid w:val="00C07187"/>
    <w:rsid w:val="00C07DB6"/>
    <w:rsid w:val="00C10CFB"/>
    <w:rsid w:val="00C10FEC"/>
    <w:rsid w:val="00C112D7"/>
    <w:rsid w:val="00C13E40"/>
    <w:rsid w:val="00C14817"/>
    <w:rsid w:val="00C15123"/>
    <w:rsid w:val="00C17874"/>
    <w:rsid w:val="00C20DE0"/>
    <w:rsid w:val="00C2132B"/>
    <w:rsid w:val="00C223A9"/>
    <w:rsid w:val="00C24FBE"/>
    <w:rsid w:val="00C310FA"/>
    <w:rsid w:val="00C31384"/>
    <w:rsid w:val="00C36303"/>
    <w:rsid w:val="00C36538"/>
    <w:rsid w:val="00C42113"/>
    <w:rsid w:val="00C43B1D"/>
    <w:rsid w:val="00C450CD"/>
    <w:rsid w:val="00C5041B"/>
    <w:rsid w:val="00C505AA"/>
    <w:rsid w:val="00C506F7"/>
    <w:rsid w:val="00C5422E"/>
    <w:rsid w:val="00C60253"/>
    <w:rsid w:val="00C60F49"/>
    <w:rsid w:val="00C62087"/>
    <w:rsid w:val="00C6604E"/>
    <w:rsid w:val="00C6720C"/>
    <w:rsid w:val="00C710EE"/>
    <w:rsid w:val="00C72EA6"/>
    <w:rsid w:val="00C73D49"/>
    <w:rsid w:val="00C74792"/>
    <w:rsid w:val="00C74BF9"/>
    <w:rsid w:val="00C83DFE"/>
    <w:rsid w:val="00C8407D"/>
    <w:rsid w:val="00C852AE"/>
    <w:rsid w:val="00C85392"/>
    <w:rsid w:val="00C8572D"/>
    <w:rsid w:val="00C86604"/>
    <w:rsid w:val="00C866E1"/>
    <w:rsid w:val="00C87980"/>
    <w:rsid w:val="00C87F53"/>
    <w:rsid w:val="00C904B6"/>
    <w:rsid w:val="00C928BE"/>
    <w:rsid w:val="00C9307D"/>
    <w:rsid w:val="00C9339A"/>
    <w:rsid w:val="00C95668"/>
    <w:rsid w:val="00CA34F4"/>
    <w:rsid w:val="00CA481C"/>
    <w:rsid w:val="00CA4C29"/>
    <w:rsid w:val="00CB0228"/>
    <w:rsid w:val="00CB054C"/>
    <w:rsid w:val="00CB533D"/>
    <w:rsid w:val="00CC15A2"/>
    <w:rsid w:val="00CC20D3"/>
    <w:rsid w:val="00CC5FFE"/>
    <w:rsid w:val="00CC6FC4"/>
    <w:rsid w:val="00CC76AA"/>
    <w:rsid w:val="00CC7F0B"/>
    <w:rsid w:val="00CD7636"/>
    <w:rsid w:val="00CD7FA8"/>
    <w:rsid w:val="00CE2FBB"/>
    <w:rsid w:val="00CE3221"/>
    <w:rsid w:val="00CE4259"/>
    <w:rsid w:val="00CE523F"/>
    <w:rsid w:val="00CF19AE"/>
    <w:rsid w:val="00CF431C"/>
    <w:rsid w:val="00CF6C0F"/>
    <w:rsid w:val="00D000AA"/>
    <w:rsid w:val="00D02285"/>
    <w:rsid w:val="00D02F83"/>
    <w:rsid w:val="00D05CC6"/>
    <w:rsid w:val="00D079AB"/>
    <w:rsid w:val="00D10CE6"/>
    <w:rsid w:val="00D114E3"/>
    <w:rsid w:val="00D11ADF"/>
    <w:rsid w:val="00D1661E"/>
    <w:rsid w:val="00D17D49"/>
    <w:rsid w:val="00D20656"/>
    <w:rsid w:val="00D2099B"/>
    <w:rsid w:val="00D2149A"/>
    <w:rsid w:val="00D22628"/>
    <w:rsid w:val="00D2316D"/>
    <w:rsid w:val="00D241F4"/>
    <w:rsid w:val="00D243D4"/>
    <w:rsid w:val="00D2768A"/>
    <w:rsid w:val="00D27CCB"/>
    <w:rsid w:val="00D32AA2"/>
    <w:rsid w:val="00D32E03"/>
    <w:rsid w:val="00D349B0"/>
    <w:rsid w:val="00D36CA4"/>
    <w:rsid w:val="00D405E1"/>
    <w:rsid w:val="00D40D53"/>
    <w:rsid w:val="00D43324"/>
    <w:rsid w:val="00D4696D"/>
    <w:rsid w:val="00D478B6"/>
    <w:rsid w:val="00D5032D"/>
    <w:rsid w:val="00D51224"/>
    <w:rsid w:val="00D53A3E"/>
    <w:rsid w:val="00D558CC"/>
    <w:rsid w:val="00D56443"/>
    <w:rsid w:val="00D5734F"/>
    <w:rsid w:val="00D635DD"/>
    <w:rsid w:val="00D63727"/>
    <w:rsid w:val="00D669ED"/>
    <w:rsid w:val="00D72348"/>
    <w:rsid w:val="00D74371"/>
    <w:rsid w:val="00D76FE2"/>
    <w:rsid w:val="00D824B6"/>
    <w:rsid w:val="00D86CE0"/>
    <w:rsid w:val="00D871F7"/>
    <w:rsid w:val="00D90280"/>
    <w:rsid w:val="00D9032C"/>
    <w:rsid w:val="00D91933"/>
    <w:rsid w:val="00D932FB"/>
    <w:rsid w:val="00D963C5"/>
    <w:rsid w:val="00D975CD"/>
    <w:rsid w:val="00DA2E61"/>
    <w:rsid w:val="00DA4922"/>
    <w:rsid w:val="00DA5033"/>
    <w:rsid w:val="00DA757D"/>
    <w:rsid w:val="00DB1B1B"/>
    <w:rsid w:val="00DB21A9"/>
    <w:rsid w:val="00DB4A2F"/>
    <w:rsid w:val="00DC0EAB"/>
    <w:rsid w:val="00DC59F0"/>
    <w:rsid w:val="00DD0FFA"/>
    <w:rsid w:val="00DD10F8"/>
    <w:rsid w:val="00DD384C"/>
    <w:rsid w:val="00DD7A03"/>
    <w:rsid w:val="00DE1FD2"/>
    <w:rsid w:val="00DE34CE"/>
    <w:rsid w:val="00DE5099"/>
    <w:rsid w:val="00DE57CD"/>
    <w:rsid w:val="00DE71AD"/>
    <w:rsid w:val="00DF5111"/>
    <w:rsid w:val="00DF7048"/>
    <w:rsid w:val="00DF7E0F"/>
    <w:rsid w:val="00E014C1"/>
    <w:rsid w:val="00E04563"/>
    <w:rsid w:val="00E04E50"/>
    <w:rsid w:val="00E05CAF"/>
    <w:rsid w:val="00E06317"/>
    <w:rsid w:val="00E065B1"/>
    <w:rsid w:val="00E10077"/>
    <w:rsid w:val="00E11228"/>
    <w:rsid w:val="00E11D99"/>
    <w:rsid w:val="00E1285A"/>
    <w:rsid w:val="00E13767"/>
    <w:rsid w:val="00E15CFD"/>
    <w:rsid w:val="00E15D55"/>
    <w:rsid w:val="00E168A6"/>
    <w:rsid w:val="00E203F7"/>
    <w:rsid w:val="00E22246"/>
    <w:rsid w:val="00E24DB7"/>
    <w:rsid w:val="00E25720"/>
    <w:rsid w:val="00E33D9D"/>
    <w:rsid w:val="00E35AC1"/>
    <w:rsid w:val="00E360EB"/>
    <w:rsid w:val="00E52584"/>
    <w:rsid w:val="00E53A5E"/>
    <w:rsid w:val="00E573DA"/>
    <w:rsid w:val="00E57E69"/>
    <w:rsid w:val="00E61D8F"/>
    <w:rsid w:val="00E64C7B"/>
    <w:rsid w:val="00E66625"/>
    <w:rsid w:val="00E718C2"/>
    <w:rsid w:val="00E72792"/>
    <w:rsid w:val="00E77D48"/>
    <w:rsid w:val="00E80AD9"/>
    <w:rsid w:val="00E81FBC"/>
    <w:rsid w:val="00E82CBD"/>
    <w:rsid w:val="00E85B1E"/>
    <w:rsid w:val="00E8635F"/>
    <w:rsid w:val="00E87B38"/>
    <w:rsid w:val="00E90CF8"/>
    <w:rsid w:val="00E9291C"/>
    <w:rsid w:val="00E938CD"/>
    <w:rsid w:val="00E93FCD"/>
    <w:rsid w:val="00E942BF"/>
    <w:rsid w:val="00E96AF6"/>
    <w:rsid w:val="00E970D6"/>
    <w:rsid w:val="00E97D58"/>
    <w:rsid w:val="00EA4652"/>
    <w:rsid w:val="00EA467A"/>
    <w:rsid w:val="00EA71B1"/>
    <w:rsid w:val="00EA76C9"/>
    <w:rsid w:val="00EB1439"/>
    <w:rsid w:val="00EB1DA6"/>
    <w:rsid w:val="00EB28BA"/>
    <w:rsid w:val="00EB3ADC"/>
    <w:rsid w:val="00EB4564"/>
    <w:rsid w:val="00EB47AC"/>
    <w:rsid w:val="00EB4A6B"/>
    <w:rsid w:val="00EC0514"/>
    <w:rsid w:val="00EC1BCE"/>
    <w:rsid w:val="00EC2A14"/>
    <w:rsid w:val="00EC2A87"/>
    <w:rsid w:val="00EC3507"/>
    <w:rsid w:val="00EC4B76"/>
    <w:rsid w:val="00ED0A2A"/>
    <w:rsid w:val="00ED1179"/>
    <w:rsid w:val="00ED5B92"/>
    <w:rsid w:val="00ED6DF7"/>
    <w:rsid w:val="00EE0FAD"/>
    <w:rsid w:val="00EE2785"/>
    <w:rsid w:val="00EE3A73"/>
    <w:rsid w:val="00EE3C20"/>
    <w:rsid w:val="00EE5DF9"/>
    <w:rsid w:val="00EF29CA"/>
    <w:rsid w:val="00EF3DDE"/>
    <w:rsid w:val="00EF6647"/>
    <w:rsid w:val="00F00BBF"/>
    <w:rsid w:val="00F042AA"/>
    <w:rsid w:val="00F05050"/>
    <w:rsid w:val="00F05765"/>
    <w:rsid w:val="00F05A27"/>
    <w:rsid w:val="00F0727D"/>
    <w:rsid w:val="00F0788F"/>
    <w:rsid w:val="00F10E54"/>
    <w:rsid w:val="00F11770"/>
    <w:rsid w:val="00F13C55"/>
    <w:rsid w:val="00F14B1B"/>
    <w:rsid w:val="00F15A74"/>
    <w:rsid w:val="00F15F29"/>
    <w:rsid w:val="00F17331"/>
    <w:rsid w:val="00F202BE"/>
    <w:rsid w:val="00F2463F"/>
    <w:rsid w:val="00F24887"/>
    <w:rsid w:val="00F2876C"/>
    <w:rsid w:val="00F302CB"/>
    <w:rsid w:val="00F30572"/>
    <w:rsid w:val="00F33856"/>
    <w:rsid w:val="00F3557A"/>
    <w:rsid w:val="00F36BBA"/>
    <w:rsid w:val="00F37272"/>
    <w:rsid w:val="00F40F01"/>
    <w:rsid w:val="00F41342"/>
    <w:rsid w:val="00F41542"/>
    <w:rsid w:val="00F4181E"/>
    <w:rsid w:val="00F423F2"/>
    <w:rsid w:val="00F44511"/>
    <w:rsid w:val="00F45F04"/>
    <w:rsid w:val="00F46F86"/>
    <w:rsid w:val="00F50801"/>
    <w:rsid w:val="00F55629"/>
    <w:rsid w:val="00F55976"/>
    <w:rsid w:val="00F56317"/>
    <w:rsid w:val="00F563B2"/>
    <w:rsid w:val="00F56F42"/>
    <w:rsid w:val="00F64D2E"/>
    <w:rsid w:val="00F65227"/>
    <w:rsid w:val="00F66138"/>
    <w:rsid w:val="00F67053"/>
    <w:rsid w:val="00F6711B"/>
    <w:rsid w:val="00F718E5"/>
    <w:rsid w:val="00F71BD2"/>
    <w:rsid w:val="00F72397"/>
    <w:rsid w:val="00F743AA"/>
    <w:rsid w:val="00F80684"/>
    <w:rsid w:val="00F808BF"/>
    <w:rsid w:val="00F81DD7"/>
    <w:rsid w:val="00F837A9"/>
    <w:rsid w:val="00F84BD2"/>
    <w:rsid w:val="00F863FC"/>
    <w:rsid w:val="00F87CA4"/>
    <w:rsid w:val="00F90C1E"/>
    <w:rsid w:val="00F93F10"/>
    <w:rsid w:val="00F9437B"/>
    <w:rsid w:val="00F94652"/>
    <w:rsid w:val="00F96A90"/>
    <w:rsid w:val="00FA0214"/>
    <w:rsid w:val="00FA0F30"/>
    <w:rsid w:val="00FA1B58"/>
    <w:rsid w:val="00FA4F6C"/>
    <w:rsid w:val="00FA6EA2"/>
    <w:rsid w:val="00FB37B6"/>
    <w:rsid w:val="00FB3A0C"/>
    <w:rsid w:val="00FB3E3E"/>
    <w:rsid w:val="00FB6F1F"/>
    <w:rsid w:val="00FB767F"/>
    <w:rsid w:val="00FB788C"/>
    <w:rsid w:val="00FB78F7"/>
    <w:rsid w:val="00FC2383"/>
    <w:rsid w:val="00FC47ED"/>
    <w:rsid w:val="00FC4996"/>
    <w:rsid w:val="00FC69AF"/>
    <w:rsid w:val="00FD0527"/>
    <w:rsid w:val="00FD0C30"/>
    <w:rsid w:val="00FE3FA8"/>
    <w:rsid w:val="00FE78F4"/>
    <w:rsid w:val="00FF196E"/>
    <w:rsid w:val="00FF2624"/>
    <w:rsid w:val="00FF3DAE"/>
    <w:rsid w:val="00FF49AB"/>
    <w:rsid w:val="00FF4DED"/>
    <w:rsid w:val="00FF5458"/>
    <w:rsid w:val="00FF6ECF"/>
    <w:rsid w:val="00FF7C86"/>
    <w:rsid w:val="0186C1E3"/>
    <w:rsid w:val="01B87B5C"/>
    <w:rsid w:val="01BA4358"/>
    <w:rsid w:val="01DEC688"/>
    <w:rsid w:val="01E86CA0"/>
    <w:rsid w:val="02228FB2"/>
    <w:rsid w:val="034C2FB5"/>
    <w:rsid w:val="042AD3F4"/>
    <w:rsid w:val="04FC38B9"/>
    <w:rsid w:val="065857A2"/>
    <w:rsid w:val="07CD8677"/>
    <w:rsid w:val="08619DF0"/>
    <w:rsid w:val="0868ED19"/>
    <w:rsid w:val="0886002A"/>
    <w:rsid w:val="089DBFBF"/>
    <w:rsid w:val="09A36C22"/>
    <w:rsid w:val="09E9818B"/>
    <w:rsid w:val="0A9C7714"/>
    <w:rsid w:val="0BF9379A"/>
    <w:rsid w:val="0C016357"/>
    <w:rsid w:val="0C75EFF6"/>
    <w:rsid w:val="0D9AD831"/>
    <w:rsid w:val="0E86FD66"/>
    <w:rsid w:val="0EC0C280"/>
    <w:rsid w:val="0FA9FEB6"/>
    <w:rsid w:val="10CA8D5E"/>
    <w:rsid w:val="1114A19E"/>
    <w:rsid w:val="114BF96B"/>
    <w:rsid w:val="1198F763"/>
    <w:rsid w:val="11C2A1AD"/>
    <w:rsid w:val="13A5C01D"/>
    <w:rsid w:val="13AFC8D8"/>
    <w:rsid w:val="14219F7D"/>
    <w:rsid w:val="1436931D"/>
    <w:rsid w:val="14656B00"/>
    <w:rsid w:val="14FB9903"/>
    <w:rsid w:val="15BBA1C3"/>
    <w:rsid w:val="16516BEA"/>
    <w:rsid w:val="168FFDAD"/>
    <w:rsid w:val="17495628"/>
    <w:rsid w:val="176EA9EB"/>
    <w:rsid w:val="17B91115"/>
    <w:rsid w:val="185996A2"/>
    <w:rsid w:val="1875F127"/>
    <w:rsid w:val="18E1D2AE"/>
    <w:rsid w:val="1933E1C1"/>
    <w:rsid w:val="193D7E28"/>
    <w:rsid w:val="1990C6D7"/>
    <w:rsid w:val="1BAA3A4A"/>
    <w:rsid w:val="1BCEABA7"/>
    <w:rsid w:val="1C732644"/>
    <w:rsid w:val="1C907192"/>
    <w:rsid w:val="1C9AC25D"/>
    <w:rsid w:val="1CB9997F"/>
    <w:rsid w:val="1D560635"/>
    <w:rsid w:val="1D8BA0A5"/>
    <w:rsid w:val="1E1AAD0D"/>
    <w:rsid w:val="1E666F99"/>
    <w:rsid w:val="1F134C27"/>
    <w:rsid w:val="1F9BB23C"/>
    <w:rsid w:val="1FE2791B"/>
    <w:rsid w:val="200FCBCA"/>
    <w:rsid w:val="20345980"/>
    <w:rsid w:val="205B704D"/>
    <w:rsid w:val="20762243"/>
    <w:rsid w:val="21141159"/>
    <w:rsid w:val="22143B18"/>
    <w:rsid w:val="2223B3EA"/>
    <w:rsid w:val="22A26372"/>
    <w:rsid w:val="22D9ECE1"/>
    <w:rsid w:val="2317A449"/>
    <w:rsid w:val="23203B20"/>
    <w:rsid w:val="233AF4D5"/>
    <w:rsid w:val="233BEAF4"/>
    <w:rsid w:val="23A4E3FD"/>
    <w:rsid w:val="23D26A13"/>
    <w:rsid w:val="25E5F478"/>
    <w:rsid w:val="2612F1EC"/>
    <w:rsid w:val="2621CE1A"/>
    <w:rsid w:val="26409DD7"/>
    <w:rsid w:val="26E00ACC"/>
    <w:rsid w:val="2781B11E"/>
    <w:rsid w:val="27CF8B6E"/>
    <w:rsid w:val="281BE7A6"/>
    <w:rsid w:val="28EF8693"/>
    <w:rsid w:val="291FBAB6"/>
    <w:rsid w:val="295D73BF"/>
    <w:rsid w:val="2A02BF7E"/>
    <w:rsid w:val="2A0D0BA0"/>
    <w:rsid w:val="2B685E81"/>
    <w:rsid w:val="2C337971"/>
    <w:rsid w:val="2C78780D"/>
    <w:rsid w:val="2CF6440E"/>
    <w:rsid w:val="2D7778B2"/>
    <w:rsid w:val="2E547DB5"/>
    <w:rsid w:val="2EA5BF3A"/>
    <w:rsid w:val="2EBEBD02"/>
    <w:rsid w:val="2EE30F22"/>
    <w:rsid w:val="2F834963"/>
    <w:rsid w:val="3041A4BD"/>
    <w:rsid w:val="320B3926"/>
    <w:rsid w:val="322777F5"/>
    <w:rsid w:val="32543751"/>
    <w:rsid w:val="3286FE30"/>
    <w:rsid w:val="32A19A86"/>
    <w:rsid w:val="32ECA758"/>
    <w:rsid w:val="33E75FB6"/>
    <w:rsid w:val="34836311"/>
    <w:rsid w:val="353F0261"/>
    <w:rsid w:val="358AF77F"/>
    <w:rsid w:val="35B13AFD"/>
    <w:rsid w:val="36D61E8F"/>
    <w:rsid w:val="36FB748D"/>
    <w:rsid w:val="370A7C5B"/>
    <w:rsid w:val="37BDF026"/>
    <w:rsid w:val="37EDD896"/>
    <w:rsid w:val="37F3FBE8"/>
    <w:rsid w:val="37F5C2BF"/>
    <w:rsid w:val="38A2D5CF"/>
    <w:rsid w:val="38F23465"/>
    <w:rsid w:val="390D5CA3"/>
    <w:rsid w:val="39436936"/>
    <w:rsid w:val="3A5F3A2F"/>
    <w:rsid w:val="3B0A0D35"/>
    <w:rsid w:val="3BC9E19B"/>
    <w:rsid w:val="3C6CE819"/>
    <w:rsid w:val="3CA4A778"/>
    <w:rsid w:val="3E4F2AEE"/>
    <w:rsid w:val="3EE3D258"/>
    <w:rsid w:val="3F831555"/>
    <w:rsid w:val="3FC19A34"/>
    <w:rsid w:val="4026303D"/>
    <w:rsid w:val="41809B33"/>
    <w:rsid w:val="41A7C696"/>
    <w:rsid w:val="41E8BEEE"/>
    <w:rsid w:val="42237EB9"/>
    <w:rsid w:val="42376AE1"/>
    <w:rsid w:val="42D6C182"/>
    <w:rsid w:val="42ECFE2A"/>
    <w:rsid w:val="42F76431"/>
    <w:rsid w:val="43014C61"/>
    <w:rsid w:val="43968588"/>
    <w:rsid w:val="43DFC150"/>
    <w:rsid w:val="4462E4AE"/>
    <w:rsid w:val="446B3682"/>
    <w:rsid w:val="46750B02"/>
    <w:rsid w:val="48054F63"/>
    <w:rsid w:val="481E0993"/>
    <w:rsid w:val="482B790F"/>
    <w:rsid w:val="489396D3"/>
    <w:rsid w:val="4ACE9264"/>
    <w:rsid w:val="4AE22056"/>
    <w:rsid w:val="4B13A466"/>
    <w:rsid w:val="4B5D842D"/>
    <w:rsid w:val="4CC5C49E"/>
    <w:rsid w:val="4CF8C7AE"/>
    <w:rsid w:val="4D507FEB"/>
    <w:rsid w:val="4D535342"/>
    <w:rsid w:val="4DB65240"/>
    <w:rsid w:val="4DF4B525"/>
    <w:rsid w:val="4E3F6780"/>
    <w:rsid w:val="4E748BF2"/>
    <w:rsid w:val="4FD82EBC"/>
    <w:rsid w:val="518F400D"/>
    <w:rsid w:val="5199ABF5"/>
    <w:rsid w:val="51A27D08"/>
    <w:rsid w:val="52706D27"/>
    <w:rsid w:val="52B770F0"/>
    <w:rsid w:val="52E04D3A"/>
    <w:rsid w:val="53392567"/>
    <w:rsid w:val="5394083B"/>
    <w:rsid w:val="53A1FEB5"/>
    <w:rsid w:val="53B69A1E"/>
    <w:rsid w:val="53C6EA88"/>
    <w:rsid w:val="53FDCBD8"/>
    <w:rsid w:val="571AD85E"/>
    <w:rsid w:val="575C76FD"/>
    <w:rsid w:val="5775CAB3"/>
    <w:rsid w:val="58942231"/>
    <w:rsid w:val="58AC849C"/>
    <w:rsid w:val="58E7DAE1"/>
    <w:rsid w:val="598B4EE1"/>
    <w:rsid w:val="59BD7B63"/>
    <w:rsid w:val="5A23E781"/>
    <w:rsid w:val="5AA46366"/>
    <w:rsid w:val="5AE038C8"/>
    <w:rsid w:val="5B3A7317"/>
    <w:rsid w:val="5C15BACB"/>
    <w:rsid w:val="5CD9741E"/>
    <w:rsid w:val="5D1F26B2"/>
    <w:rsid w:val="5D236599"/>
    <w:rsid w:val="5DB5E496"/>
    <w:rsid w:val="5E91AA1C"/>
    <w:rsid w:val="5ECFDC64"/>
    <w:rsid w:val="61161657"/>
    <w:rsid w:val="611DCE94"/>
    <w:rsid w:val="619CF32D"/>
    <w:rsid w:val="62069FCB"/>
    <w:rsid w:val="627B726E"/>
    <w:rsid w:val="629EC367"/>
    <w:rsid w:val="62CAEE0A"/>
    <w:rsid w:val="6456EFED"/>
    <w:rsid w:val="654F58F8"/>
    <w:rsid w:val="6616FCEA"/>
    <w:rsid w:val="6637EBF4"/>
    <w:rsid w:val="667E71C1"/>
    <w:rsid w:val="668E216D"/>
    <w:rsid w:val="678A90AD"/>
    <w:rsid w:val="67D2D847"/>
    <w:rsid w:val="680B3660"/>
    <w:rsid w:val="683512A9"/>
    <w:rsid w:val="689DBD04"/>
    <w:rsid w:val="69656BA8"/>
    <w:rsid w:val="6A024CA9"/>
    <w:rsid w:val="6A8131ED"/>
    <w:rsid w:val="6A867F6D"/>
    <w:rsid w:val="6ABAD02F"/>
    <w:rsid w:val="6AFA1E61"/>
    <w:rsid w:val="6B1630B2"/>
    <w:rsid w:val="6B6E4BEE"/>
    <w:rsid w:val="6B9F0171"/>
    <w:rsid w:val="6BC2ED01"/>
    <w:rsid w:val="6C29DA10"/>
    <w:rsid w:val="6CAA0723"/>
    <w:rsid w:val="6D4472E7"/>
    <w:rsid w:val="6F4618BF"/>
    <w:rsid w:val="6FD56DD2"/>
    <w:rsid w:val="70B1326F"/>
    <w:rsid w:val="70C45649"/>
    <w:rsid w:val="70E3BE8B"/>
    <w:rsid w:val="71CDBE0E"/>
    <w:rsid w:val="722126AD"/>
    <w:rsid w:val="7228FC83"/>
    <w:rsid w:val="727B1C81"/>
    <w:rsid w:val="73770E27"/>
    <w:rsid w:val="737C1A8C"/>
    <w:rsid w:val="74267E92"/>
    <w:rsid w:val="74F97CDF"/>
    <w:rsid w:val="75442500"/>
    <w:rsid w:val="75918D77"/>
    <w:rsid w:val="75F0F3B9"/>
    <w:rsid w:val="76AE9FC7"/>
    <w:rsid w:val="76FC6596"/>
    <w:rsid w:val="77AEC8BC"/>
    <w:rsid w:val="78587AE6"/>
    <w:rsid w:val="7896CF82"/>
    <w:rsid w:val="796F7AB3"/>
    <w:rsid w:val="7A843225"/>
    <w:rsid w:val="7A95FA5C"/>
    <w:rsid w:val="7AE31CD5"/>
    <w:rsid w:val="7B5DCD88"/>
    <w:rsid w:val="7B9AD6C2"/>
    <w:rsid w:val="7BAB3A08"/>
    <w:rsid w:val="7BB4F723"/>
    <w:rsid w:val="7C3F85A9"/>
    <w:rsid w:val="7D7F3A8E"/>
    <w:rsid w:val="7D9D84B6"/>
    <w:rsid w:val="7DB3A136"/>
    <w:rsid w:val="7DD30B5A"/>
    <w:rsid w:val="7DF9A6C7"/>
    <w:rsid w:val="7EB7AFC4"/>
    <w:rsid w:val="7F5D36C2"/>
    <w:rsid w:val="7F606B3F"/>
    <w:rsid w:val="7F770958"/>
    <w:rsid w:val="7F88C146"/>
  </w:rsids>
  <m:mathPr>
    <m:mathFont m:val="Cambria Math"/>
    <m:brkBin m:val="before"/>
    <m:brkBinSub m:val="--"/>
    <m:smallFrac m:val="0"/>
    <m:dispDef/>
    <m:lMargin m:val="0"/>
    <m:rMargin m:val="0"/>
    <m:defJc m:val="centerGroup"/>
    <m:wrapIndent m:val="1440"/>
    <m:intLim m:val="subSup"/>
    <m:naryLim m:val="undOvr"/>
  </m:mathPr>
  <w:themeFontLang w:val="es-P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6ABE0"/>
  <w15:docId w15:val="{A7032A75-F512-43B3-A8B3-8C82B45D4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PA" w:eastAsia="es-P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EA2"/>
    <w:rPr>
      <w:rFonts w:ascii="Century Schoolbook" w:hAnsi="Century Schoolbook"/>
    </w:rPr>
  </w:style>
  <w:style w:type="paragraph" w:styleId="Heading1">
    <w:name w:val="heading 1"/>
    <w:basedOn w:val="Normal"/>
    <w:next w:val="Normal"/>
    <w:link w:val="Heading1Char"/>
    <w:uiPriority w:val="9"/>
    <w:qFormat/>
    <w:pPr>
      <w:keepNext/>
      <w:keepLines/>
      <w:spacing w:before="240"/>
      <w:outlineLvl w:val="0"/>
    </w:pPr>
    <w:rPr>
      <w:rFonts w:eastAsia="Century Schoolbook" w:cs="Century Schoolbook"/>
      <w:b/>
      <w:color w:val="7030A0"/>
      <w:sz w:val="24"/>
      <w:szCs w:val="24"/>
    </w:rPr>
  </w:style>
  <w:style w:type="paragraph" w:styleId="Heading2">
    <w:name w:val="heading 2"/>
    <w:basedOn w:val="Normal"/>
    <w:next w:val="Normal"/>
    <w:link w:val="Heading2Char"/>
    <w:uiPriority w:val="9"/>
    <w:unhideWhenUsed/>
    <w:qFormat/>
    <w:rsid w:val="00FF6ECF"/>
    <w:pPr>
      <w:keepNext/>
      <w:keepLines/>
      <w:spacing w:before="240" w:after="120"/>
      <w:outlineLvl w:val="1"/>
    </w:pPr>
    <w:rPr>
      <w:rFonts w:eastAsia="Century Schoolbook" w:cs="Century Schoolbook"/>
      <w:b/>
      <w:color w:val="7030A0"/>
    </w:rPr>
  </w:style>
  <w:style w:type="paragraph" w:styleId="Heading3">
    <w:name w:val="heading 3"/>
    <w:basedOn w:val="Normal"/>
    <w:next w:val="Normal"/>
    <w:link w:val="Heading3Char"/>
    <w:uiPriority w:val="9"/>
    <w:unhideWhenUsed/>
    <w:qFormat/>
    <w:pPr>
      <w:keepNext/>
      <w:spacing w:before="240" w:after="120"/>
      <w:jc w:val="both"/>
      <w:outlineLvl w:val="2"/>
    </w:pPr>
    <w:rPr>
      <w:rFonts w:eastAsia="Century Schoolbook" w:cs="Century Schoolbook"/>
      <w:b/>
      <w:color w:val="7030A0"/>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36980"/>
    <w:rPr>
      <w:rFonts w:ascii="Century Schoolbook" w:eastAsia="Century Schoolbook" w:hAnsi="Century Schoolbook" w:cs="Century Schoolbook"/>
      <w:b/>
      <w:color w:val="7030A0"/>
      <w:sz w:val="24"/>
      <w:szCs w:val="24"/>
    </w:rPr>
  </w:style>
  <w:style w:type="character" w:customStyle="1" w:styleId="Heading2Char">
    <w:name w:val="Heading 2 Char"/>
    <w:basedOn w:val="DefaultParagraphFont"/>
    <w:link w:val="Heading2"/>
    <w:uiPriority w:val="9"/>
    <w:qFormat/>
    <w:rsid w:val="00FF6ECF"/>
    <w:rPr>
      <w:rFonts w:ascii="Century Schoolbook" w:eastAsia="Century Schoolbook" w:hAnsi="Century Schoolbook" w:cs="Century Schoolbook"/>
      <w:b/>
      <w:color w:val="7030A0"/>
    </w:rPr>
  </w:style>
  <w:style w:type="character" w:customStyle="1" w:styleId="Heading3Char">
    <w:name w:val="Heading 3 Char"/>
    <w:basedOn w:val="DefaultParagraphFont"/>
    <w:link w:val="Heading3"/>
    <w:uiPriority w:val="9"/>
    <w:rsid w:val="00A36980"/>
    <w:rPr>
      <w:rFonts w:ascii="Century Schoolbook" w:eastAsia="Century Schoolbook" w:hAnsi="Century Schoolbook" w:cs="Century Schoolbook"/>
      <w:b/>
      <w:color w:val="7030A0"/>
    </w:r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1"/>
    <w:tblPr>
      <w:tblStyleRowBandSize w:val="1"/>
      <w:tblStyleColBandSize w:val="1"/>
      <w:tblCellMar>
        <w:left w:w="70" w:type="dxa"/>
        <w:right w:w="70" w:type="dxa"/>
      </w:tblCellMar>
    </w:tblPr>
  </w:style>
  <w:style w:type="table" w:customStyle="1" w:styleId="12">
    <w:name w:val="12"/>
    <w:basedOn w:val="TableNormal1"/>
    <w:tblPr>
      <w:tblStyleRowBandSize w:val="1"/>
      <w:tblStyleColBandSize w:val="1"/>
      <w:tblCellMar>
        <w:left w:w="103" w:type="dxa"/>
        <w:right w:w="108" w:type="dxa"/>
      </w:tblCellMar>
    </w:tblPr>
  </w:style>
  <w:style w:type="table" w:customStyle="1" w:styleId="11">
    <w:name w:val="11"/>
    <w:basedOn w:val="TableNormal1"/>
    <w:tblPr>
      <w:tblStyleRowBandSize w:val="1"/>
      <w:tblStyleColBandSize w:val="1"/>
      <w:tblCellMar>
        <w:left w:w="70" w:type="dxa"/>
        <w:right w:w="70" w:type="dxa"/>
      </w:tblCellMar>
    </w:tblPr>
  </w:style>
  <w:style w:type="table" w:customStyle="1" w:styleId="10">
    <w:name w:val="10"/>
    <w:basedOn w:val="TableNormal1"/>
    <w:tblPr>
      <w:tblStyleRowBandSize w:val="1"/>
      <w:tblStyleColBandSize w:val="1"/>
      <w:tblCellMar>
        <w:left w:w="103" w:type="dxa"/>
        <w:right w:w="108" w:type="dxa"/>
      </w:tblCellMar>
    </w:tblPr>
  </w:style>
  <w:style w:type="table" w:customStyle="1" w:styleId="9">
    <w:name w:val="9"/>
    <w:basedOn w:val="TableNormal1"/>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70" w:type="dxa"/>
        <w:right w:w="70" w:type="dxa"/>
      </w:tblCellMar>
    </w:tblPr>
  </w:style>
  <w:style w:type="table" w:customStyle="1" w:styleId="7">
    <w:name w:val="7"/>
    <w:basedOn w:val="TableNormal1"/>
    <w:tblPr>
      <w:tblStyleRowBandSize w:val="1"/>
      <w:tblStyleColBandSize w:val="1"/>
      <w:tblCellMar>
        <w:left w:w="70" w:type="dxa"/>
        <w:right w:w="70" w:type="dxa"/>
      </w:tblCellMar>
    </w:tblPr>
  </w:style>
  <w:style w:type="table" w:customStyle="1" w:styleId="6">
    <w:name w:val="6"/>
    <w:basedOn w:val="TableNormal1"/>
    <w:tblPr>
      <w:tblStyleRowBandSize w:val="1"/>
      <w:tblStyleColBandSize w:val="1"/>
      <w:tblCellMar>
        <w:left w:w="70" w:type="dxa"/>
        <w:right w:w="70" w:type="dxa"/>
      </w:tblCellMar>
    </w:tbl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3B5C05"/>
    <w:pPr>
      <w:spacing w:after="100"/>
    </w:pPr>
  </w:style>
  <w:style w:type="paragraph" w:styleId="TOC2">
    <w:name w:val="toc 2"/>
    <w:basedOn w:val="Normal"/>
    <w:next w:val="Normal"/>
    <w:autoRedefine/>
    <w:uiPriority w:val="39"/>
    <w:unhideWhenUsed/>
    <w:rsid w:val="003B5C05"/>
    <w:pPr>
      <w:spacing w:after="100"/>
      <w:ind w:left="220"/>
    </w:pPr>
  </w:style>
  <w:style w:type="paragraph" w:styleId="TOC3">
    <w:name w:val="toc 3"/>
    <w:basedOn w:val="Normal"/>
    <w:next w:val="Normal"/>
    <w:autoRedefine/>
    <w:uiPriority w:val="39"/>
    <w:unhideWhenUsed/>
    <w:rsid w:val="003B5C05"/>
    <w:pPr>
      <w:spacing w:after="100"/>
      <w:ind w:left="440"/>
    </w:pPr>
  </w:style>
  <w:style w:type="character" w:styleId="Hyperlink">
    <w:name w:val="Hyperlink"/>
    <w:basedOn w:val="DefaultParagraphFont"/>
    <w:uiPriority w:val="99"/>
    <w:unhideWhenUsed/>
    <w:rsid w:val="003B5C05"/>
    <w:rPr>
      <w:color w:val="0000FF" w:themeColor="hyperlink"/>
      <w:u w:val="single"/>
    </w:rPr>
  </w:style>
  <w:style w:type="paragraph" w:customStyle="1" w:styleId="Default">
    <w:name w:val="Default"/>
    <w:qFormat/>
    <w:rsid w:val="00572732"/>
    <w:pPr>
      <w:autoSpaceDE w:val="0"/>
      <w:autoSpaceDN w:val="0"/>
      <w:adjustRightInd w:val="0"/>
    </w:pPr>
    <w:rPr>
      <w:rFonts w:ascii="Times New Roman" w:hAnsi="Times New Roman" w:cs="Times New Roman"/>
      <w:color w:val="000000"/>
      <w:sz w:val="24"/>
      <w:szCs w:val="24"/>
    </w:rPr>
  </w:style>
  <w:style w:type="character" w:customStyle="1" w:styleId="ListLabel1">
    <w:name w:val="ListLabel 1"/>
    <w:qFormat/>
    <w:rsid w:val="00A36980"/>
    <w:rPr>
      <w:rFonts w:cs="Courier New"/>
    </w:rPr>
  </w:style>
  <w:style w:type="character" w:customStyle="1" w:styleId="ListLabel2">
    <w:name w:val="ListLabel 2"/>
    <w:qFormat/>
    <w:rsid w:val="00A36980"/>
    <w:rPr>
      <w:rFonts w:cs="Courier New"/>
    </w:rPr>
  </w:style>
  <w:style w:type="character" w:customStyle="1" w:styleId="ListLabel3">
    <w:name w:val="ListLabel 3"/>
    <w:qFormat/>
    <w:rsid w:val="00A36980"/>
    <w:rPr>
      <w:rFonts w:cs="Courier New"/>
    </w:rPr>
  </w:style>
  <w:style w:type="character" w:customStyle="1" w:styleId="ListLabel4">
    <w:name w:val="ListLabel 4"/>
    <w:qFormat/>
    <w:rsid w:val="00A36980"/>
    <w:rPr>
      <w:rFonts w:cs="Courier New"/>
    </w:rPr>
  </w:style>
  <w:style w:type="character" w:customStyle="1" w:styleId="ListLabel5">
    <w:name w:val="ListLabel 5"/>
    <w:qFormat/>
    <w:rsid w:val="00A36980"/>
    <w:rPr>
      <w:rFonts w:cs="Courier New"/>
    </w:rPr>
  </w:style>
  <w:style w:type="character" w:customStyle="1" w:styleId="ListLabel6">
    <w:name w:val="ListLabel 6"/>
    <w:qFormat/>
    <w:rsid w:val="00A36980"/>
    <w:rPr>
      <w:rFonts w:cs="Courier New"/>
    </w:rPr>
  </w:style>
  <w:style w:type="character" w:customStyle="1" w:styleId="ListLabel7">
    <w:name w:val="ListLabel 7"/>
    <w:qFormat/>
    <w:rsid w:val="00A36980"/>
    <w:rPr>
      <w:rFonts w:cs="Courier New"/>
    </w:rPr>
  </w:style>
  <w:style w:type="character" w:customStyle="1" w:styleId="ListLabel8">
    <w:name w:val="ListLabel 8"/>
    <w:qFormat/>
    <w:rsid w:val="00A36980"/>
    <w:rPr>
      <w:rFonts w:cs="Courier New"/>
    </w:rPr>
  </w:style>
  <w:style w:type="character" w:customStyle="1" w:styleId="ListLabel9">
    <w:name w:val="ListLabel 9"/>
    <w:qFormat/>
    <w:rsid w:val="00A36980"/>
    <w:rPr>
      <w:rFonts w:cs="Courier New"/>
    </w:rPr>
  </w:style>
  <w:style w:type="character" w:customStyle="1" w:styleId="ListLabel10">
    <w:name w:val="ListLabel 10"/>
    <w:qFormat/>
    <w:rsid w:val="00A36980"/>
    <w:rPr>
      <w:sz w:val="20"/>
    </w:rPr>
  </w:style>
  <w:style w:type="character" w:customStyle="1" w:styleId="ListLabel11">
    <w:name w:val="ListLabel 11"/>
    <w:qFormat/>
    <w:rsid w:val="00A36980"/>
    <w:rPr>
      <w:sz w:val="20"/>
    </w:rPr>
  </w:style>
  <w:style w:type="character" w:customStyle="1" w:styleId="ListLabel12">
    <w:name w:val="ListLabel 12"/>
    <w:qFormat/>
    <w:rsid w:val="00A36980"/>
    <w:rPr>
      <w:sz w:val="20"/>
    </w:rPr>
  </w:style>
  <w:style w:type="character" w:customStyle="1" w:styleId="ListLabel13">
    <w:name w:val="ListLabel 13"/>
    <w:qFormat/>
    <w:rsid w:val="00A36980"/>
    <w:rPr>
      <w:sz w:val="20"/>
    </w:rPr>
  </w:style>
  <w:style w:type="character" w:customStyle="1" w:styleId="ListLabel14">
    <w:name w:val="ListLabel 14"/>
    <w:qFormat/>
    <w:rsid w:val="00A36980"/>
    <w:rPr>
      <w:sz w:val="20"/>
    </w:rPr>
  </w:style>
  <w:style w:type="character" w:customStyle="1" w:styleId="ListLabel15">
    <w:name w:val="ListLabel 15"/>
    <w:qFormat/>
    <w:rsid w:val="00A36980"/>
    <w:rPr>
      <w:sz w:val="20"/>
    </w:rPr>
  </w:style>
  <w:style w:type="character" w:customStyle="1" w:styleId="ListLabel16">
    <w:name w:val="ListLabel 16"/>
    <w:qFormat/>
    <w:rsid w:val="00A36980"/>
    <w:rPr>
      <w:sz w:val="20"/>
    </w:rPr>
  </w:style>
  <w:style w:type="character" w:customStyle="1" w:styleId="ListLabel17">
    <w:name w:val="ListLabel 17"/>
    <w:qFormat/>
    <w:rsid w:val="00A36980"/>
    <w:rPr>
      <w:sz w:val="20"/>
    </w:rPr>
  </w:style>
  <w:style w:type="character" w:customStyle="1" w:styleId="ListLabel18">
    <w:name w:val="ListLabel 18"/>
    <w:qFormat/>
    <w:rsid w:val="00A36980"/>
    <w:rPr>
      <w:sz w:val="20"/>
    </w:rPr>
  </w:style>
  <w:style w:type="character" w:customStyle="1" w:styleId="ListLabel19">
    <w:name w:val="ListLabel 19"/>
    <w:qFormat/>
    <w:rsid w:val="00A36980"/>
    <w:rPr>
      <w:sz w:val="20"/>
    </w:rPr>
  </w:style>
  <w:style w:type="character" w:customStyle="1" w:styleId="ListLabel20">
    <w:name w:val="ListLabel 20"/>
    <w:qFormat/>
    <w:rsid w:val="00A36980"/>
    <w:rPr>
      <w:sz w:val="20"/>
    </w:rPr>
  </w:style>
  <w:style w:type="character" w:customStyle="1" w:styleId="ListLabel21">
    <w:name w:val="ListLabel 21"/>
    <w:qFormat/>
    <w:rsid w:val="00A36980"/>
    <w:rPr>
      <w:sz w:val="20"/>
    </w:rPr>
  </w:style>
  <w:style w:type="character" w:customStyle="1" w:styleId="ListLabel22">
    <w:name w:val="ListLabel 22"/>
    <w:qFormat/>
    <w:rsid w:val="00A36980"/>
    <w:rPr>
      <w:sz w:val="20"/>
    </w:rPr>
  </w:style>
  <w:style w:type="character" w:customStyle="1" w:styleId="ListLabel23">
    <w:name w:val="ListLabel 23"/>
    <w:qFormat/>
    <w:rsid w:val="00A36980"/>
    <w:rPr>
      <w:sz w:val="20"/>
    </w:rPr>
  </w:style>
  <w:style w:type="character" w:customStyle="1" w:styleId="ListLabel24">
    <w:name w:val="ListLabel 24"/>
    <w:qFormat/>
    <w:rsid w:val="00A36980"/>
    <w:rPr>
      <w:sz w:val="20"/>
    </w:rPr>
  </w:style>
  <w:style w:type="character" w:customStyle="1" w:styleId="ListLabel25">
    <w:name w:val="ListLabel 25"/>
    <w:qFormat/>
    <w:rsid w:val="00A36980"/>
    <w:rPr>
      <w:sz w:val="20"/>
    </w:rPr>
  </w:style>
  <w:style w:type="character" w:customStyle="1" w:styleId="ListLabel26">
    <w:name w:val="ListLabel 26"/>
    <w:qFormat/>
    <w:rsid w:val="00A36980"/>
    <w:rPr>
      <w:sz w:val="20"/>
    </w:rPr>
  </w:style>
  <w:style w:type="character" w:customStyle="1" w:styleId="ListLabel27">
    <w:name w:val="ListLabel 27"/>
    <w:qFormat/>
    <w:rsid w:val="00A36980"/>
    <w:rPr>
      <w:sz w:val="20"/>
    </w:rPr>
  </w:style>
  <w:style w:type="character" w:customStyle="1" w:styleId="ListLabel28">
    <w:name w:val="ListLabel 28"/>
    <w:qFormat/>
    <w:rsid w:val="00A36980"/>
    <w:rPr>
      <w:sz w:val="20"/>
    </w:rPr>
  </w:style>
  <w:style w:type="character" w:customStyle="1" w:styleId="ListLabel29">
    <w:name w:val="ListLabel 29"/>
    <w:qFormat/>
    <w:rsid w:val="00A36980"/>
    <w:rPr>
      <w:sz w:val="20"/>
    </w:rPr>
  </w:style>
  <w:style w:type="character" w:customStyle="1" w:styleId="ListLabel30">
    <w:name w:val="ListLabel 30"/>
    <w:qFormat/>
    <w:rsid w:val="00A36980"/>
    <w:rPr>
      <w:sz w:val="20"/>
    </w:rPr>
  </w:style>
  <w:style w:type="character" w:customStyle="1" w:styleId="ListLabel31">
    <w:name w:val="ListLabel 31"/>
    <w:qFormat/>
    <w:rsid w:val="00A36980"/>
    <w:rPr>
      <w:sz w:val="20"/>
    </w:rPr>
  </w:style>
  <w:style w:type="character" w:customStyle="1" w:styleId="ListLabel32">
    <w:name w:val="ListLabel 32"/>
    <w:qFormat/>
    <w:rsid w:val="00A36980"/>
    <w:rPr>
      <w:sz w:val="20"/>
    </w:rPr>
  </w:style>
  <w:style w:type="character" w:customStyle="1" w:styleId="ListLabel33">
    <w:name w:val="ListLabel 33"/>
    <w:qFormat/>
    <w:rsid w:val="00A36980"/>
    <w:rPr>
      <w:sz w:val="20"/>
    </w:rPr>
  </w:style>
  <w:style w:type="character" w:customStyle="1" w:styleId="ListLabel34">
    <w:name w:val="ListLabel 34"/>
    <w:qFormat/>
    <w:rsid w:val="00A36980"/>
    <w:rPr>
      <w:sz w:val="20"/>
    </w:rPr>
  </w:style>
  <w:style w:type="character" w:customStyle="1" w:styleId="ListLabel35">
    <w:name w:val="ListLabel 35"/>
    <w:qFormat/>
    <w:rsid w:val="00A36980"/>
    <w:rPr>
      <w:sz w:val="20"/>
    </w:rPr>
  </w:style>
  <w:style w:type="character" w:customStyle="1" w:styleId="ListLabel36">
    <w:name w:val="ListLabel 36"/>
    <w:qFormat/>
    <w:rsid w:val="00A36980"/>
    <w:rPr>
      <w:sz w:val="20"/>
    </w:rPr>
  </w:style>
  <w:style w:type="character" w:customStyle="1" w:styleId="ListLabel37">
    <w:name w:val="ListLabel 37"/>
    <w:qFormat/>
    <w:rsid w:val="00A36980"/>
    <w:rPr>
      <w:sz w:val="20"/>
    </w:rPr>
  </w:style>
  <w:style w:type="character" w:customStyle="1" w:styleId="ListLabel38">
    <w:name w:val="ListLabel 38"/>
    <w:qFormat/>
    <w:rsid w:val="00A36980"/>
    <w:rPr>
      <w:sz w:val="20"/>
    </w:rPr>
  </w:style>
  <w:style w:type="character" w:customStyle="1" w:styleId="ListLabel39">
    <w:name w:val="ListLabel 39"/>
    <w:qFormat/>
    <w:rsid w:val="00A36980"/>
    <w:rPr>
      <w:sz w:val="20"/>
    </w:rPr>
  </w:style>
  <w:style w:type="character" w:customStyle="1" w:styleId="ListLabel40">
    <w:name w:val="ListLabel 40"/>
    <w:qFormat/>
    <w:rsid w:val="00A36980"/>
    <w:rPr>
      <w:sz w:val="20"/>
    </w:rPr>
  </w:style>
  <w:style w:type="character" w:customStyle="1" w:styleId="ListLabel41">
    <w:name w:val="ListLabel 41"/>
    <w:qFormat/>
    <w:rsid w:val="00A36980"/>
    <w:rPr>
      <w:sz w:val="20"/>
    </w:rPr>
  </w:style>
  <w:style w:type="character" w:customStyle="1" w:styleId="ListLabel42">
    <w:name w:val="ListLabel 42"/>
    <w:qFormat/>
    <w:rsid w:val="00A36980"/>
    <w:rPr>
      <w:sz w:val="20"/>
    </w:rPr>
  </w:style>
  <w:style w:type="character" w:customStyle="1" w:styleId="ListLabel43">
    <w:name w:val="ListLabel 43"/>
    <w:qFormat/>
    <w:rsid w:val="00A36980"/>
    <w:rPr>
      <w:sz w:val="20"/>
    </w:rPr>
  </w:style>
  <w:style w:type="character" w:customStyle="1" w:styleId="ListLabel44">
    <w:name w:val="ListLabel 44"/>
    <w:qFormat/>
    <w:rsid w:val="00A36980"/>
    <w:rPr>
      <w:sz w:val="20"/>
    </w:rPr>
  </w:style>
  <w:style w:type="character" w:customStyle="1" w:styleId="ListLabel45">
    <w:name w:val="ListLabel 45"/>
    <w:qFormat/>
    <w:rsid w:val="00A36980"/>
    <w:rPr>
      <w:sz w:val="20"/>
    </w:rPr>
  </w:style>
  <w:style w:type="character" w:customStyle="1" w:styleId="ListLabel46">
    <w:name w:val="ListLabel 46"/>
    <w:qFormat/>
    <w:rsid w:val="00A36980"/>
    <w:rPr>
      <w:sz w:val="20"/>
    </w:rPr>
  </w:style>
  <w:style w:type="character" w:customStyle="1" w:styleId="ListLabel47">
    <w:name w:val="ListLabel 47"/>
    <w:qFormat/>
    <w:rsid w:val="00A36980"/>
    <w:rPr>
      <w:sz w:val="20"/>
    </w:rPr>
  </w:style>
  <w:style w:type="character" w:customStyle="1" w:styleId="ListLabel48">
    <w:name w:val="ListLabel 48"/>
    <w:qFormat/>
    <w:rsid w:val="00A36980"/>
    <w:rPr>
      <w:sz w:val="20"/>
    </w:rPr>
  </w:style>
  <w:style w:type="character" w:customStyle="1" w:styleId="ListLabel49">
    <w:name w:val="ListLabel 49"/>
    <w:qFormat/>
    <w:rsid w:val="00A36980"/>
    <w:rPr>
      <w:sz w:val="20"/>
    </w:rPr>
  </w:style>
  <w:style w:type="character" w:customStyle="1" w:styleId="ListLabel50">
    <w:name w:val="ListLabel 50"/>
    <w:qFormat/>
    <w:rsid w:val="00A36980"/>
    <w:rPr>
      <w:sz w:val="20"/>
    </w:rPr>
  </w:style>
  <w:style w:type="character" w:customStyle="1" w:styleId="ListLabel51">
    <w:name w:val="ListLabel 51"/>
    <w:qFormat/>
    <w:rsid w:val="00A36980"/>
    <w:rPr>
      <w:sz w:val="20"/>
    </w:rPr>
  </w:style>
  <w:style w:type="character" w:customStyle="1" w:styleId="ListLabel52">
    <w:name w:val="ListLabel 52"/>
    <w:qFormat/>
    <w:rsid w:val="00A36980"/>
    <w:rPr>
      <w:sz w:val="20"/>
    </w:rPr>
  </w:style>
  <w:style w:type="character" w:customStyle="1" w:styleId="ListLabel53">
    <w:name w:val="ListLabel 53"/>
    <w:qFormat/>
    <w:rsid w:val="00A36980"/>
    <w:rPr>
      <w:sz w:val="20"/>
    </w:rPr>
  </w:style>
  <w:style w:type="character" w:customStyle="1" w:styleId="ListLabel54">
    <w:name w:val="ListLabel 54"/>
    <w:qFormat/>
    <w:rsid w:val="00A36980"/>
    <w:rPr>
      <w:sz w:val="20"/>
    </w:rPr>
  </w:style>
  <w:style w:type="character" w:customStyle="1" w:styleId="ListLabel55">
    <w:name w:val="ListLabel 55"/>
    <w:qFormat/>
    <w:rsid w:val="00A36980"/>
    <w:rPr>
      <w:sz w:val="20"/>
    </w:rPr>
  </w:style>
  <w:style w:type="character" w:customStyle="1" w:styleId="ListLabel56">
    <w:name w:val="ListLabel 56"/>
    <w:qFormat/>
    <w:rsid w:val="00A36980"/>
    <w:rPr>
      <w:sz w:val="20"/>
    </w:rPr>
  </w:style>
  <w:style w:type="character" w:customStyle="1" w:styleId="ListLabel57">
    <w:name w:val="ListLabel 57"/>
    <w:qFormat/>
    <w:rsid w:val="00A36980"/>
    <w:rPr>
      <w:sz w:val="20"/>
    </w:rPr>
  </w:style>
  <w:style w:type="character" w:customStyle="1" w:styleId="ListLabel58">
    <w:name w:val="ListLabel 58"/>
    <w:qFormat/>
    <w:rsid w:val="00A36980"/>
    <w:rPr>
      <w:sz w:val="20"/>
    </w:rPr>
  </w:style>
  <w:style w:type="character" w:customStyle="1" w:styleId="ListLabel59">
    <w:name w:val="ListLabel 59"/>
    <w:qFormat/>
    <w:rsid w:val="00A36980"/>
    <w:rPr>
      <w:sz w:val="20"/>
    </w:rPr>
  </w:style>
  <w:style w:type="character" w:customStyle="1" w:styleId="ListLabel60">
    <w:name w:val="ListLabel 60"/>
    <w:qFormat/>
    <w:rsid w:val="00A36980"/>
    <w:rPr>
      <w:sz w:val="20"/>
    </w:rPr>
  </w:style>
  <w:style w:type="character" w:customStyle="1" w:styleId="ListLabel61">
    <w:name w:val="ListLabel 61"/>
    <w:qFormat/>
    <w:rsid w:val="00A36980"/>
    <w:rPr>
      <w:sz w:val="20"/>
    </w:rPr>
  </w:style>
  <w:style w:type="character" w:customStyle="1" w:styleId="ListLabel62">
    <w:name w:val="ListLabel 62"/>
    <w:qFormat/>
    <w:rsid w:val="00A36980"/>
    <w:rPr>
      <w:sz w:val="20"/>
    </w:rPr>
  </w:style>
  <w:style w:type="character" w:customStyle="1" w:styleId="ListLabel63">
    <w:name w:val="ListLabel 63"/>
    <w:qFormat/>
    <w:rsid w:val="00A36980"/>
    <w:rPr>
      <w:sz w:val="20"/>
    </w:rPr>
  </w:style>
  <w:style w:type="character" w:customStyle="1" w:styleId="ListLabel64">
    <w:name w:val="ListLabel 64"/>
    <w:qFormat/>
    <w:rsid w:val="00A36980"/>
    <w:rPr>
      <w:sz w:val="20"/>
    </w:rPr>
  </w:style>
  <w:style w:type="character" w:customStyle="1" w:styleId="ListLabel65">
    <w:name w:val="ListLabel 65"/>
    <w:qFormat/>
    <w:rsid w:val="00A36980"/>
    <w:rPr>
      <w:sz w:val="20"/>
    </w:rPr>
  </w:style>
  <w:style w:type="character" w:customStyle="1" w:styleId="ListLabel66">
    <w:name w:val="ListLabel 66"/>
    <w:qFormat/>
    <w:rsid w:val="00A36980"/>
    <w:rPr>
      <w:sz w:val="20"/>
    </w:rPr>
  </w:style>
  <w:style w:type="character" w:customStyle="1" w:styleId="ListLabel67">
    <w:name w:val="ListLabel 67"/>
    <w:qFormat/>
    <w:rsid w:val="00A36980"/>
    <w:rPr>
      <w:sz w:val="20"/>
    </w:rPr>
  </w:style>
  <w:style w:type="character" w:customStyle="1" w:styleId="ListLabel68">
    <w:name w:val="ListLabel 68"/>
    <w:qFormat/>
    <w:rsid w:val="00A36980"/>
    <w:rPr>
      <w:sz w:val="20"/>
    </w:rPr>
  </w:style>
  <w:style w:type="character" w:customStyle="1" w:styleId="ListLabel69">
    <w:name w:val="ListLabel 69"/>
    <w:qFormat/>
    <w:rsid w:val="00A36980"/>
    <w:rPr>
      <w:sz w:val="20"/>
    </w:rPr>
  </w:style>
  <w:style w:type="character" w:customStyle="1" w:styleId="ListLabel70">
    <w:name w:val="ListLabel 70"/>
    <w:qFormat/>
    <w:rsid w:val="00A36980"/>
    <w:rPr>
      <w:sz w:val="20"/>
    </w:rPr>
  </w:style>
  <w:style w:type="character" w:customStyle="1" w:styleId="ListLabel71">
    <w:name w:val="ListLabel 71"/>
    <w:qFormat/>
    <w:rsid w:val="00A36980"/>
    <w:rPr>
      <w:sz w:val="20"/>
    </w:rPr>
  </w:style>
  <w:style w:type="character" w:customStyle="1" w:styleId="ListLabel72">
    <w:name w:val="ListLabel 72"/>
    <w:qFormat/>
    <w:rsid w:val="00A36980"/>
    <w:rPr>
      <w:sz w:val="20"/>
    </w:rPr>
  </w:style>
  <w:style w:type="character" w:customStyle="1" w:styleId="ListLabel73">
    <w:name w:val="ListLabel 73"/>
    <w:qFormat/>
    <w:rsid w:val="00A36980"/>
    <w:rPr>
      <w:sz w:val="20"/>
    </w:rPr>
  </w:style>
  <w:style w:type="character" w:customStyle="1" w:styleId="ListLabel74">
    <w:name w:val="ListLabel 74"/>
    <w:qFormat/>
    <w:rsid w:val="00A36980"/>
    <w:rPr>
      <w:sz w:val="20"/>
    </w:rPr>
  </w:style>
  <w:style w:type="character" w:customStyle="1" w:styleId="ListLabel75">
    <w:name w:val="ListLabel 75"/>
    <w:qFormat/>
    <w:rsid w:val="00A36980"/>
    <w:rPr>
      <w:sz w:val="20"/>
    </w:rPr>
  </w:style>
  <w:style w:type="character" w:customStyle="1" w:styleId="ListLabel76">
    <w:name w:val="ListLabel 76"/>
    <w:qFormat/>
    <w:rsid w:val="00A36980"/>
    <w:rPr>
      <w:sz w:val="20"/>
    </w:rPr>
  </w:style>
  <w:style w:type="character" w:customStyle="1" w:styleId="ListLabel77">
    <w:name w:val="ListLabel 77"/>
    <w:qFormat/>
    <w:rsid w:val="00A36980"/>
    <w:rPr>
      <w:sz w:val="20"/>
    </w:rPr>
  </w:style>
  <w:style w:type="character" w:customStyle="1" w:styleId="ListLabel78">
    <w:name w:val="ListLabel 78"/>
    <w:qFormat/>
    <w:rsid w:val="00A36980"/>
    <w:rPr>
      <w:sz w:val="20"/>
    </w:rPr>
  </w:style>
  <w:style w:type="character" w:customStyle="1" w:styleId="ListLabel79">
    <w:name w:val="ListLabel 79"/>
    <w:qFormat/>
    <w:rsid w:val="00A36980"/>
    <w:rPr>
      <w:sz w:val="20"/>
    </w:rPr>
  </w:style>
  <w:style w:type="character" w:customStyle="1" w:styleId="ListLabel80">
    <w:name w:val="ListLabel 80"/>
    <w:qFormat/>
    <w:rsid w:val="00A36980"/>
    <w:rPr>
      <w:sz w:val="20"/>
    </w:rPr>
  </w:style>
  <w:style w:type="character" w:customStyle="1" w:styleId="ListLabel81">
    <w:name w:val="ListLabel 81"/>
    <w:qFormat/>
    <w:rsid w:val="00A36980"/>
    <w:rPr>
      <w:sz w:val="20"/>
    </w:rPr>
  </w:style>
  <w:style w:type="character" w:customStyle="1" w:styleId="ListLabel82">
    <w:name w:val="ListLabel 82"/>
    <w:qFormat/>
    <w:rsid w:val="00A36980"/>
    <w:rPr>
      <w:sz w:val="20"/>
    </w:rPr>
  </w:style>
  <w:style w:type="character" w:customStyle="1" w:styleId="ListLabel83">
    <w:name w:val="ListLabel 83"/>
    <w:qFormat/>
    <w:rsid w:val="00A36980"/>
    <w:rPr>
      <w:sz w:val="20"/>
    </w:rPr>
  </w:style>
  <w:style w:type="character" w:customStyle="1" w:styleId="ListLabel84">
    <w:name w:val="ListLabel 84"/>
    <w:qFormat/>
    <w:rsid w:val="00A36980"/>
    <w:rPr>
      <w:sz w:val="20"/>
    </w:rPr>
  </w:style>
  <w:style w:type="character" w:customStyle="1" w:styleId="ListLabel85">
    <w:name w:val="ListLabel 85"/>
    <w:qFormat/>
    <w:rsid w:val="00A36980"/>
    <w:rPr>
      <w:sz w:val="20"/>
    </w:rPr>
  </w:style>
  <w:style w:type="character" w:customStyle="1" w:styleId="ListLabel86">
    <w:name w:val="ListLabel 86"/>
    <w:qFormat/>
    <w:rsid w:val="00A36980"/>
    <w:rPr>
      <w:sz w:val="20"/>
    </w:rPr>
  </w:style>
  <w:style w:type="character" w:customStyle="1" w:styleId="ListLabel87">
    <w:name w:val="ListLabel 87"/>
    <w:qFormat/>
    <w:rsid w:val="00A36980"/>
    <w:rPr>
      <w:sz w:val="20"/>
    </w:rPr>
  </w:style>
  <w:style w:type="character" w:customStyle="1" w:styleId="ListLabel88">
    <w:name w:val="ListLabel 88"/>
    <w:qFormat/>
    <w:rsid w:val="00A36980"/>
    <w:rPr>
      <w:sz w:val="20"/>
    </w:rPr>
  </w:style>
  <w:style w:type="character" w:customStyle="1" w:styleId="ListLabel89">
    <w:name w:val="ListLabel 89"/>
    <w:qFormat/>
    <w:rsid w:val="00A36980"/>
    <w:rPr>
      <w:sz w:val="20"/>
    </w:rPr>
  </w:style>
  <w:style w:type="character" w:customStyle="1" w:styleId="ListLabel90">
    <w:name w:val="ListLabel 90"/>
    <w:qFormat/>
    <w:rsid w:val="00A36980"/>
    <w:rPr>
      <w:sz w:val="20"/>
    </w:rPr>
  </w:style>
  <w:style w:type="character" w:customStyle="1" w:styleId="ListLabel91">
    <w:name w:val="ListLabel 91"/>
    <w:qFormat/>
    <w:rsid w:val="00A36980"/>
    <w:rPr>
      <w:sz w:val="20"/>
    </w:rPr>
  </w:style>
  <w:style w:type="character" w:customStyle="1" w:styleId="ListLabel92">
    <w:name w:val="ListLabel 92"/>
    <w:qFormat/>
    <w:rsid w:val="00A36980"/>
    <w:rPr>
      <w:sz w:val="20"/>
    </w:rPr>
  </w:style>
  <w:style w:type="character" w:customStyle="1" w:styleId="ListLabel93">
    <w:name w:val="ListLabel 93"/>
    <w:qFormat/>
    <w:rsid w:val="00A36980"/>
    <w:rPr>
      <w:sz w:val="20"/>
    </w:rPr>
  </w:style>
  <w:style w:type="character" w:customStyle="1" w:styleId="ListLabel94">
    <w:name w:val="ListLabel 94"/>
    <w:qFormat/>
    <w:rsid w:val="00A36980"/>
    <w:rPr>
      <w:sz w:val="20"/>
    </w:rPr>
  </w:style>
  <w:style w:type="character" w:customStyle="1" w:styleId="ListLabel95">
    <w:name w:val="ListLabel 95"/>
    <w:qFormat/>
    <w:rsid w:val="00A36980"/>
    <w:rPr>
      <w:sz w:val="20"/>
    </w:rPr>
  </w:style>
  <w:style w:type="character" w:customStyle="1" w:styleId="ListLabel96">
    <w:name w:val="ListLabel 96"/>
    <w:qFormat/>
    <w:rsid w:val="00A36980"/>
    <w:rPr>
      <w:sz w:val="20"/>
    </w:rPr>
  </w:style>
  <w:style w:type="character" w:customStyle="1" w:styleId="ListLabel97">
    <w:name w:val="ListLabel 97"/>
    <w:qFormat/>
    <w:rsid w:val="00A36980"/>
    <w:rPr>
      <w:sz w:val="20"/>
    </w:rPr>
  </w:style>
  <w:style w:type="character" w:customStyle="1" w:styleId="ListLabel98">
    <w:name w:val="ListLabel 98"/>
    <w:qFormat/>
    <w:rsid w:val="00A36980"/>
    <w:rPr>
      <w:sz w:val="20"/>
    </w:rPr>
  </w:style>
  <w:style w:type="character" w:customStyle="1" w:styleId="ListLabel99">
    <w:name w:val="ListLabel 99"/>
    <w:qFormat/>
    <w:rsid w:val="00A36980"/>
    <w:rPr>
      <w:sz w:val="20"/>
    </w:rPr>
  </w:style>
  <w:style w:type="character" w:customStyle="1" w:styleId="ListLabel100">
    <w:name w:val="ListLabel 100"/>
    <w:qFormat/>
    <w:rsid w:val="00A36980"/>
    <w:rPr>
      <w:sz w:val="20"/>
    </w:rPr>
  </w:style>
  <w:style w:type="character" w:customStyle="1" w:styleId="ListLabel101">
    <w:name w:val="ListLabel 101"/>
    <w:qFormat/>
    <w:rsid w:val="00A36980"/>
    <w:rPr>
      <w:sz w:val="20"/>
    </w:rPr>
  </w:style>
  <w:style w:type="character" w:customStyle="1" w:styleId="ListLabel102">
    <w:name w:val="ListLabel 102"/>
    <w:qFormat/>
    <w:rsid w:val="00A36980"/>
    <w:rPr>
      <w:sz w:val="20"/>
    </w:rPr>
  </w:style>
  <w:style w:type="character" w:customStyle="1" w:styleId="ListLabel103">
    <w:name w:val="ListLabel 103"/>
    <w:qFormat/>
    <w:rsid w:val="00A36980"/>
    <w:rPr>
      <w:sz w:val="20"/>
    </w:rPr>
  </w:style>
  <w:style w:type="character" w:customStyle="1" w:styleId="ListLabel104">
    <w:name w:val="ListLabel 104"/>
    <w:qFormat/>
    <w:rsid w:val="00A36980"/>
    <w:rPr>
      <w:sz w:val="20"/>
    </w:rPr>
  </w:style>
  <w:style w:type="character" w:customStyle="1" w:styleId="ListLabel105">
    <w:name w:val="ListLabel 105"/>
    <w:qFormat/>
    <w:rsid w:val="00A36980"/>
    <w:rPr>
      <w:sz w:val="20"/>
    </w:rPr>
  </w:style>
  <w:style w:type="character" w:customStyle="1" w:styleId="ListLabel106">
    <w:name w:val="ListLabel 106"/>
    <w:qFormat/>
    <w:rsid w:val="00A36980"/>
    <w:rPr>
      <w:sz w:val="20"/>
    </w:rPr>
  </w:style>
  <w:style w:type="character" w:customStyle="1" w:styleId="ListLabel107">
    <w:name w:val="ListLabel 107"/>
    <w:qFormat/>
    <w:rsid w:val="00A36980"/>
    <w:rPr>
      <w:sz w:val="20"/>
    </w:rPr>
  </w:style>
  <w:style w:type="character" w:customStyle="1" w:styleId="ListLabel108">
    <w:name w:val="ListLabel 108"/>
    <w:qFormat/>
    <w:rsid w:val="00A36980"/>
    <w:rPr>
      <w:sz w:val="20"/>
    </w:rPr>
  </w:style>
  <w:style w:type="character" w:customStyle="1" w:styleId="ListLabel109">
    <w:name w:val="ListLabel 109"/>
    <w:qFormat/>
    <w:rsid w:val="00A36980"/>
    <w:rPr>
      <w:rFonts w:eastAsia="Arial" w:cs="Arial"/>
    </w:rPr>
  </w:style>
  <w:style w:type="character" w:customStyle="1" w:styleId="ListLabel110">
    <w:name w:val="ListLabel 110"/>
    <w:qFormat/>
    <w:rsid w:val="00A36980"/>
    <w:rPr>
      <w:rFonts w:cs="Courier New"/>
    </w:rPr>
  </w:style>
  <w:style w:type="character" w:customStyle="1" w:styleId="ListLabel111">
    <w:name w:val="ListLabel 111"/>
    <w:qFormat/>
    <w:rsid w:val="00A36980"/>
    <w:rPr>
      <w:rFonts w:cs="Courier New"/>
    </w:rPr>
  </w:style>
  <w:style w:type="character" w:customStyle="1" w:styleId="ListLabel112">
    <w:name w:val="ListLabel 112"/>
    <w:qFormat/>
    <w:rsid w:val="00A36980"/>
    <w:rPr>
      <w:rFonts w:cs="Courier New"/>
    </w:rPr>
  </w:style>
  <w:style w:type="character" w:customStyle="1" w:styleId="ListLabel113">
    <w:name w:val="ListLabel 113"/>
    <w:qFormat/>
    <w:rsid w:val="00A36980"/>
    <w:rPr>
      <w:rFonts w:eastAsia="Arial" w:cs="Arial"/>
    </w:rPr>
  </w:style>
  <w:style w:type="character" w:customStyle="1" w:styleId="ListLabel114">
    <w:name w:val="ListLabel 114"/>
    <w:qFormat/>
    <w:rsid w:val="00A36980"/>
    <w:rPr>
      <w:rFonts w:cs="Courier New"/>
    </w:rPr>
  </w:style>
  <w:style w:type="character" w:customStyle="1" w:styleId="ListLabel115">
    <w:name w:val="ListLabel 115"/>
    <w:qFormat/>
    <w:rsid w:val="00A36980"/>
    <w:rPr>
      <w:rFonts w:cs="Courier New"/>
    </w:rPr>
  </w:style>
  <w:style w:type="character" w:customStyle="1" w:styleId="ListLabel116">
    <w:name w:val="ListLabel 116"/>
    <w:qFormat/>
    <w:rsid w:val="00A36980"/>
    <w:rPr>
      <w:rFonts w:cs="Courier New"/>
    </w:rPr>
  </w:style>
  <w:style w:type="paragraph" w:styleId="Header">
    <w:name w:val="header"/>
    <w:basedOn w:val="Normal"/>
    <w:next w:val="BodyText"/>
    <w:link w:val="HeaderChar"/>
    <w:uiPriority w:val="99"/>
    <w:qFormat/>
    <w:rsid w:val="00A36980"/>
    <w:pPr>
      <w:keepNext/>
      <w:spacing w:before="240" w:after="120"/>
    </w:pPr>
    <w:rPr>
      <w:rFonts w:ascii="Liberation Sans" w:eastAsia="WenQuanYi Micro Hei" w:hAnsi="Liberation Sans" w:cs="Lohit Devanagari"/>
      <w:sz w:val="28"/>
      <w:szCs w:val="28"/>
    </w:rPr>
  </w:style>
  <w:style w:type="paragraph" w:styleId="BodyText">
    <w:name w:val="Body Text"/>
    <w:basedOn w:val="Normal"/>
    <w:link w:val="BodyTextChar"/>
    <w:rsid w:val="00A36980"/>
    <w:pPr>
      <w:spacing w:after="140" w:line="288" w:lineRule="auto"/>
    </w:pPr>
    <w:rPr>
      <w:rFonts w:asciiTheme="minorHAnsi" w:eastAsiaTheme="minorHAnsi" w:hAnsiTheme="minorHAnsi" w:cs="Times New Roman"/>
    </w:rPr>
  </w:style>
  <w:style w:type="character" w:customStyle="1" w:styleId="BodyTextChar">
    <w:name w:val="Body Text Char"/>
    <w:basedOn w:val="DefaultParagraphFont"/>
    <w:link w:val="BodyText"/>
    <w:rsid w:val="00A36980"/>
    <w:rPr>
      <w:rFonts w:asciiTheme="minorHAnsi" w:eastAsiaTheme="minorHAnsi" w:hAnsiTheme="minorHAnsi" w:cs="Times New Roman"/>
    </w:rPr>
  </w:style>
  <w:style w:type="character" w:customStyle="1" w:styleId="HeaderChar">
    <w:name w:val="Header Char"/>
    <w:basedOn w:val="DefaultParagraphFont"/>
    <w:link w:val="Header"/>
    <w:uiPriority w:val="99"/>
    <w:rsid w:val="00A36980"/>
    <w:rPr>
      <w:rFonts w:ascii="Liberation Sans" w:eastAsia="WenQuanYi Micro Hei" w:hAnsi="Liberation Sans" w:cs="Lohit Devanagari"/>
      <w:sz w:val="28"/>
      <w:szCs w:val="28"/>
    </w:rPr>
  </w:style>
  <w:style w:type="paragraph" w:styleId="List">
    <w:name w:val="List"/>
    <w:basedOn w:val="BodyText"/>
    <w:rsid w:val="00A36980"/>
    <w:rPr>
      <w:rFonts w:cs="Lohit Devanagari"/>
    </w:rPr>
  </w:style>
  <w:style w:type="paragraph" w:styleId="Caption">
    <w:name w:val="caption"/>
    <w:basedOn w:val="Normal"/>
    <w:qFormat/>
    <w:rsid w:val="00A36980"/>
    <w:pPr>
      <w:suppressLineNumbers/>
      <w:spacing w:before="120" w:after="120"/>
    </w:pPr>
    <w:rPr>
      <w:rFonts w:asciiTheme="minorHAnsi" w:eastAsiaTheme="minorHAnsi" w:hAnsiTheme="minorHAnsi" w:cs="Lohit Devanagari"/>
      <w:i/>
      <w:iCs/>
      <w:sz w:val="24"/>
      <w:szCs w:val="24"/>
    </w:rPr>
  </w:style>
  <w:style w:type="paragraph" w:customStyle="1" w:styleId="ndice">
    <w:name w:val="Índice"/>
    <w:basedOn w:val="Normal"/>
    <w:qFormat/>
    <w:rsid w:val="00A36980"/>
    <w:pPr>
      <w:suppressLineNumbers/>
    </w:pPr>
    <w:rPr>
      <w:rFonts w:asciiTheme="minorHAnsi" w:eastAsiaTheme="minorHAnsi" w:hAnsiTheme="minorHAnsi" w:cs="Lohit Devanagari"/>
    </w:rPr>
  </w:style>
  <w:style w:type="paragraph" w:styleId="ListParagraph">
    <w:name w:val="List Paragraph"/>
    <w:aliases w:val="List Paragraph (numbered (a)),Bullit"/>
    <w:basedOn w:val="Normal"/>
    <w:link w:val="ListParagraphChar"/>
    <w:uiPriority w:val="1"/>
    <w:qFormat/>
    <w:rsid w:val="00A36980"/>
    <w:pPr>
      <w:ind w:left="720"/>
      <w:contextualSpacing/>
    </w:pPr>
    <w:rPr>
      <w:rFonts w:asciiTheme="minorHAnsi" w:eastAsiaTheme="minorHAnsi" w:hAnsiTheme="minorHAnsi" w:cs="Times New Roman"/>
    </w:rPr>
  </w:style>
  <w:style w:type="character" w:customStyle="1" w:styleId="ListParagraphChar">
    <w:name w:val="List Paragraph Char"/>
    <w:aliases w:val="List Paragraph (numbered (a)) Char,Bullit Char"/>
    <w:basedOn w:val="DefaultParagraphFont"/>
    <w:link w:val="ListParagraph"/>
    <w:uiPriority w:val="1"/>
    <w:qFormat/>
    <w:locked/>
    <w:rsid w:val="00A36980"/>
    <w:rPr>
      <w:rFonts w:asciiTheme="minorHAnsi" w:eastAsiaTheme="minorHAnsi" w:hAnsiTheme="minorHAnsi" w:cs="Times New Roman"/>
    </w:rPr>
  </w:style>
  <w:style w:type="paragraph" w:styleId="NoSpacing">
    <w:name w:val="No Spacing"/>
    <w:link w:val="NoSpacingChar"/>
    <w:uiPriority w:val="1"/>
    <w:qFormat/>
    <w:rsid w:val="00A36980"/>
    <w:rPr>
      <w:rFonts w:asciiTheme="minorHAnsi" w:eastAsiaTheme="minorHAnsi" w:hAnsiTheme="minorHAnsi" w:cs="Times New Roman"/>
    </w:rPr>
  </w:style>
  <w:style w:type="character" w:customStyle="1" w:styleId="NoSpacingChar">
    <w:name w:val="No Spacing Char"/>
    <w:basedOn w:val="DefaultParagraphFont"/>
    <w:link w:val="NoSpacing"/>
    <w:uiPriority w:val="1"/>
    <w:rsid w:val="00874B25"/>
    <w:rPr>
      <w:rFonts w:asciiTheme="minorHAnsi" w:eastAsiaTheme="minorHAnsi" w:hAnsiTheme="minorHAnsi" w:cs="Times New Roman"/>
    </w:rPr>
  </w:style>
  <w:style w:type="paragraph" w:customStyle="1" w:styleId="Contenidodelatabla">
    <w:name w:val="Contenido de la tabla"/>
    <w:basedOn w:val="Normal"/>
    <w:qFormat/>
    <w:rsid w:val="00A36980"/>
    <w:rPr>
      <w:rFonts w:asciiTheme="minorHAnsi" w:eastAsiaTheme="minorHAnsi" w:hAnsiTheme="minorHAnsi" w:cs="Times New Roman"/>
    </w:rPr>
  </w:style>
  <w:style w:type="paragraph" w:customStyle="1" w:styleId="Encabezadodelatabla">
    <w:name w:val="Encabezado de la tabla"/>
    <w:basedOn w:val="Contenidodelatabla"/>
    <w:qFormat/>
    <w:rsid w:val="00A36980"/>
  </w:style>
  <w:style w:type="table" w:styleId="TableGrid">
    <w:name w:val="Table Grid"/>
    <w:basedOn w:val="TableNormal"/>
    <w:uiPriority w:val="39"/>
    <w:rsid w:val="00A3698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6980"/>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36980"/>
    <w:rPr>
      <w:rFonts w:ascii="Segoe UI" w:eastAsiaTheme="minorHAnsi" w:hAnsi="Segoe UI" w:cs="Segoe UI"/>
      <w:sz w:val="18"/>
      <w:szCs w:val="18"/>
    </w:rPr>
  </w:style>
  <w:style w:type="character" w:styleId="CommentReference">
    <w:name w:val="annotation reference"/>
    <w:basedOn w:val="DefaultParagraphFont"/>
    <w:uiPriority w:val="99"/>
    <w:semiHidden/>
    <w:unhideWhenUsed/>
    <w:rsid w:val="00A36980"/>
    <w:rPr>
      <w:sz w:val="16"/>
      <w:szCs w:val="16"/>
    </w:rPr>
  </w:style>
  <w:style w:type="paragraph" w:styleId="CommentText">
    <w:name w:val="annotation text"/>
    <w:basedOn w:val="Normal"/>
    <w:link w:val="CommentTextChar"/>
    <w:uiPriority w:val="99"/>
    <w:unhideWhenUsed/>
    <w:rsid w:val="00A36980"/>
    <w:rPr>
      <w:rFonts w:asciiTheme="minorHAnsi" w:eastAsiaTheme="minorHAnsi" w:hAnsiTheme="minorHAnsi" w:cs="Times New Roman"/>
      <w:sz w:val="20"/>
      <w:szCs w:val="20"/>
    </w:rPr>
  </w:style>
  <w:style w:type="character" w:customStyle="1" w:styleId="CommentTextChar">
    <w:name w:val="Comment Text Char"/>
    <w:basedOn w:val="DefaultParagraphFont"/>
    <w:link w:val="CommentText"/>
    <w:uiPriority w:val="99"/>
    <w:rsid w:val="00A36980"/>
    <w:rPr>
      <w:rFonts w:asciiTheme="minorHAnsi" w:eastAsiaTheme="minorHAnsi"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A36980"/>
    <w:rPr>
      <w:b/>
      <w:bCs/>
    </w:rPr>
  </w:style>
  <w:style w:type="character" w:customStyle="1" w:styleId="CommentSubjectChar">
    <w:name w:val="Comment Subject Char"/>
    <w:basedOn w:val="CommentTextChar"/>
    <w:link w:val="CommentSubject"/>
    <w:uiPriority w:val="99"/>
    <w:semiHidden/>
    <w:rsid w:val="00A36980"/>
    <w:rPr>
      <w:rFonts w:asciiTheme="minorHAnsi" w:eastAsiaTheme="minorHAnsi" w:hAnsiTheme="minorHAnsi" w:cs="Times New Roman"/>
      <w:b/>
      <w:bCs/>
      <w:sz w:val="20"/>
      <w:szCs w:val="20"/>
    </w:rPr>
  </w:style>
  <w:style w:type="character" w:customStyle="1" w:styleId="Mencinsinresolver1">
    <w:name w:val="Mención sin resolver1"/>
    <w:basedOn w:val="DefaultParagraphFont"/>
    <w:uiPriority w:val="99"/>
    <w:semiHidden/>
    <w:unhideWhenUsed/>
    <w:rsid w:val="00A36980"/>
    <w:rPr>
      <w:color w:val="605E5C"/>
      <w:shd w:val="clear" w:color="auto" w:fill="E1DFDD"/>
    </w:rPr>
  </w:style>
  <w:style w:type="paragraph" w:customStyle="1" w:styleId="Standard">
    <w:name w:val="Standard"/>
    <w:rsid w:val="00A36980"/>
    <w:pPr>
      <w:suppressAutoHyphens/>
      <w:autoSpaceDN w:val="0"/>
      <w:textAlignment w:val="baseline"/>
    </w:pPr>
    <w:rPr>
      <w:rFonts w:ascii="Liberation Serif" w:eastAsia="WenQuanYi Micro Hei" w:hAnsi="Liberation Serif" w:cs="Lohit Devanagari"/>
      <w:kern w:val="3"/>
      <w:sz w:val="24"/>
      <w:szCs w:val="24"/>
      <w:lang w:eastAsia="zh-CN" w:bidi="hi-IN"/>
    </w:rPr>
  </w:style>
  <w:style w:type="character" w:customStyle="1" w:styleId="Mencinsinresolver2">
    <w:name w:val="Mención sin resolver2"/>
    <w:basedOn w:val="DefaultParagraphFont"/>
    <w:uiPriority w:val="99"/>
    <w:semiHidden/>
    <w:unhideWhenUsed/>
    <w:rsid w:val="00A36980"/>
    <w:rPr>
      <w:color w:val="605E5C"/>
      <w:shd w:val="clear" w:color="auto" w:fill="E1DFDD"/>
    </w:rPr>
  </w:style>
  <w:style w:type="paragraph" w:styleId="FootnoteText">
    <w:name w:val="footnote text"/>
    <w:basedOn w:val="Normal"/>
    <w:link w:val="FootnoteTextChar"/>
    <w:uiPriority w:val="99"/>
    <w:unhideWhenUsed/>
    <w:rsid w:val="00A36980"/>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qFormat/>
    <w:rsid w:val="00A36980"/>
    <w:rPr>
      <w:rFonts w:asciiTheme="minorHAnsi" w:eastAsiaTheme="minorEastAsia" w:hAnsiTheme="minorHAnsi" w:cstheme="minorBidi"/>
      <w:sz w:val="20"/>
      <w:szCs w:val="20"/>
    </w:rPr>
  </w:style>
  <w:style w:type="character" w:styleId="FootnoteReference">
    <w:name w:val="footnote reference"/>
    <w:basedOn w:val="DefaultParagraphFont"/>
    <w:uiPriority w:val="99"/>
    <w:unhideWhenUsed/>
    <w:qFormat/>
    <w:rsid w:val="00A36980"/>
    <w:rPr>
      <w:vertAlign w:val="superscript"/>
    </w:rPr>
  </w:style>
  <w:style w:type="paragraph" w:styleId="Footer">
    <w:name w:val="footer"/>
    <w:basedOn w:val="Normal"/>
    <w:link w:val="FooterChar"/>
    <w:uiPriority w:val="99"/>
    <w:unhideWhenUsed/>
    <w:rsid w:val="00A36980"/>
    <w:pPr>
      <w:tabs>
        <w:tab w:val="center" w:pos="4419"/>
        <w:tab w:val="right" w:pos="8838"/>
      </w:tabs>
    </w:pPr>
    <w:rPr>
      <w:rFonts w:asciiTheme="minorHAnsi" w:eastAsiaTheme="minorHAnsi" w:hAnsiTheme="minorHAnsi" w:cs="Times New Roman"/>
    </w:rPr>
  </w:style>
  <w:style w:type="character" w:customStyle="1" w:styleId="FooterChar">
    <w:name w:val="Footer Char"/>
    <w:basedOn w:val="DefaultParagraphFont"/>
    <w:link w:val="Footer"/>
    <w:uiPriority w:val="99"/>
    <w:rsid w:val="00A36980"/>
    <w:rPr>
      <w:rFonts w:asciiTheme="minorHAnsi" w:eastAsiaTheme="minorHAnsi" w:hAnsiTheme="minorHAnsi" w:cs="Times New Roman"/>
    </w:rPr>
  </w:style>
  <w:style w:type="paragraph" w:styleId="BodyText2">
    <w:name w:val="Body Text 2"/>
    <w:basedOn w:val="Normal"/>
    <w:link w:val="BodyText2Char"/>
    <w:uiPriority w:val="99"/>
    <w:unhideWhenUsed/>
    <w:rsid w:val="00A36980"/>
    <w:pPr>
      <w:spacing w:before="120" w:after="120"/>
      <w:jc w:val="both"/>
    </w:pPr>
    <w:rPr>
      <w:rFonts w:eastAsiaTheme="minorHAnsi" w:cs="Times New Roman"/>
    </w:rPr>
  </w:style>
  <w:style w:type="character" w:customStyle="1" w:styleId="BodyText2Char">
    <w:name w:val="Body Text 2 Char"/>
    <w:basedOn w:val="DefaultParagraphFont"/>
    <w:link w:val="BodyText2"/>
    <w:uiPriority w:val="99"/>
    <w:rsid w:val="00A36980"/>
    <w:rPr>
      <w:rFonts w:ascii="Century Schoolbook" w:eastAsiaTheme="minorHAnsi" w:hAnsi="Century Schoolbook" w:cs="Times New Roman"/>
    </w:rPr>
  </w:style>
  <w:style w:type="paragraph" w:styleId="BodyText3">
    <w:name w:val="Body Text 3"/>
    <w:basedOn w:val="Normal"/>
    <w:link w:val="BodyText3Char"/>
    <w:uiPriority w:val="99"/>
    <w:unhideWhenUsed/>
    <w:rsid w:val="00A36980"/>
    <w:pPr>
      <w:shd w:val="clear" w:color="auto" w:fill="FFFFFF"/>
      <w:spacing w:before="120" w:after="20"/>
      <w:jc w:val="both"/>
    </w:pPr>
    <w:rPr>
      <w:rFonts w:eastAsia="Century Schoolbook" w:cs="Century Schoolbook"/>
    </w:rPr>
  </w:style>
  <w:style w:type="character" w:customStyle="1" w:styleId="BodyText3Char">
    <w:name w:val="Body Text 3 Char"/>
    <w:basedOn w:val="DefaultParagraphFont"/>
    <w:link w:val="BodyText3"/>
    <w:uiPriority w:val="99"/>
    <w:rsid w:val="00A36980"/>
    <w:rPr>
      <w:rFonts w:ascii="Century Schoolbook" w:eastAsia="Century Schoolbook" w:hAnsi="Century Schoolbook" w:cs="Century Schoolbook"/>
      <w:shd w:val="clear" w:color="auto" w:fill="FFFFFF"/>
    </w:rPr>
  </w:style>
  <w:style w:type="character" w:customStyle="1" w:styleId="qu">
    <w:name w:val="qu"/>
    <w:basedOn w:val="DefaultParagraphFont"/>
    <w:rsid w:val="00A36980"/>
  </w:style>
  <w:style w:type="character" w:customStyle="1" w:styleId="gd">
    <w:name w:val="gd"/>
    <w:basedOn w:val="DefaultParagraphFont"/>
    <w:rsid w:val="00A36980"/>
  </w:style>
  <w:style w:type="character" w:customStyle="1" w:styleId="g3">
    <w:name w:val="g3"/>
    <w:basedOn w:val="DefaultParagraphFont"/>
    <w:rsid w:val="00A36980"/>
  </w:style>
  <w:style w:type="character" w:customStyle="1" w:styleId="hb">
    <w:name w:val="hb"/>
    <w:basedOn w:val="DefaultParagraphFont"/>
    <w:rsid w:val="00A36980"/>
  </w:style>
  <w:style w:type="character" w:customStyle="1" w:styleId="g2">
    <w:name w:val="g2"/>
    <w:basedOn w:val="DefaultParagraphFont"/>
    <w:rsid w:val="00A36980"/>
  </w:style>
  <w:style w:type="paragraph" w:styleId="NormalWeb">
    <w:name w:val="Normal (Web)"/>
    <w:basedOn w:val="Normal"/>
    <w:uiPriority w:val="99"/>
    <w:unhideWhenUsed/>
    <w:rsid w:val="00A36980"/>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36980"/>
    <w:rPr>
      <w:b/>
      <w:bCs/>
    </w:rPr>
  </w:style>
  <w:style w:type="character" w:customStyle="1" w:styleId="Textodemarcadordeposicin">
    <w:name w:val="Texto de marcador de posición"/>
    <w:basedOn w:val="DefaultParagraphFont"/>
    <w:uiPriority w:val="99"/>
    <w:semiHidden/>
    <w:rsid w:val="00A36980"/>
    <w:rPr>
      <w:color w:val="808080"/>
    </w:rPr>
  </w:style>
  <w:style w:type="paragraph" w:customStyle="1" w:styleId="Pa1">
    <w:name w:val="Pa1"/>
    <w:basedOn w:val="Normal"/>
    <w:next w:val="Normal"/>
    <w:uiPriority w:val="99"/>
    <w:qFormat/>
    <w:rsid w:val="00A36980"/>
    <w:pPr>
      <w:autoSpaceDE w:val="0"/>
      <w:autoSpaceDN w:val="0"/>
      <w:adjustRightInd w:val="0"/>
      <w:spacing w:line="221" w:lineRule="atLeast"/>
    </w:pPr>
    <w:rPr>
      <w:rFonts w:ascii="Interstate-Bold" w:eastAsiaTheme="minorHAnsi" w:hAnsi="Interstate-Bold" w:cstheme="minorBidi"/>
      <w:sz w:val="24"/>
      <w:szCs w:val="24"/>
      <w:lang w:val="es-US" w:eastAsia="en-US"/>
    </w:rPr>
  </w:style>
  <w:style w:type="character" w:customStyle="1" w:styleId="A1">
    <w:name w:val="A1"/>
    <w:uiPriority w:val="99"/>
    <w:qFormat/>
    <w:rsid w:val="00A36980"/>
    <w:rPr>
      <w:rFonts w:cs="Interstate-Bold"/>
      <w:b/>
      <w:bCs/>
      <w:color w:val="000000"/>
      <w:sz w:val="18"/>
      <w:szCs w:val="18"/>
    </w:rPr>
  </w:style>
  <w:style w:type="paragraph" w:customStyle="1" w:styleId="Pa6">
    <w:name w:val="Pa6"/>
    <w:basedOn w:val="Default"/>
    <w:next w:val="Default"/>
    <w:uiPriority w:val="99"/>
    <w:qFormat/>
    <w:rsid w:val="00A36980"/>
    <w:pPr>
      <w:spacing w:line="221" w:lineRule="atLeast"/>
    </w:pPr>
    <w:rPr>
      <w:rFonts w:ascii="Myriad Pro" w:eastAsiaTheme="minorHAnsi" w:hAnsi="Myriad Pro" w:cstheme="minorBidi"/>
      <w:color w:val="auto"/>
      <w:lang w:val="es-US" w:eastAsia="en-US"/>
    </w:rPr>
  </w:style>
  <w:style w:type="character" w:customStyle="1" w:styleId="A4">
    <w:name w:val="A4"/>
    <w:uiPriority w:val="99"/>
    <w:qFormat/>
    <w:rsid w:val="00A36980"/>
    <w:rPr>
      <w:rFonts w:cs="Myriad Pro"/>
      <w:color w:val="000000"/>
      <w:sz w:val="22"/>
      <w:szCs w:val="22"/>
    </w:rPr>
  </w:style>
  <w:style w:type="character" w:customStyle="1" w:styleId="A6">
    <w:name w:val="A6"/>
    <w:uiPriority w:val="99"/>
    <w:qFormat/>
    <w:rsid w:val="00A36980"/>
    <w:rPr>
      <w:rFonts w:cs="Interstate-BoldCondensed"/>
      <w:b/>
      <w:bCs/>
      <w:color w:val="000000"/>
      <w:sz w:val="20"/>
      <w:szCs w:val="20"/>
    </w:rPr>
  </w:style>
  <w:style w:type="paragraph" w:styleId="Bibliography">
    <w:name w:val="Bibliography"/>
    <w:basedOn w:val="Normal"/>
    <w:next w:val="Normal"/>
    <w:uiPriority w:val="37"/>
    <w:unhideWhenUsed/>
    <w:rsid w:val="00A36980"/>
    <w:rPr>
      <w:rFonts w:asciiTheme="minorHAnsi" w:eastAsiaTheme="minorHAnsi" w:hAnsiTheme="minorHAnsi" w:cs="Times New Roman"/>
    </w:rPr>
  </w:style>
  <w:style w:type="character" w:customStyle="1" w:styleId="Mencinsinresolver3">
    <w:name w:val="Mención sin resolver3"/>
    <w:basedOn w:val="DefaultParagraphFont"/>
    <w:uiPriority w:val="99"/>
    <w:semiHidden/>
    <w:unhideWhenUsed/>
    <w:rsid w:val="00B9331C"/>
    <w:rPr>
      <w:color w:val="605E5C"/>
      <w:shd w:val="clear" w:color="auto" w:fill="E1DFDD"/>
    </w:rPr>
  </w:style>
  <w:style w:type="paragraph" w:styleId="TOCHeading">
    <w:name w:val="TOC Heading"/>
    <w:basedOn w:val="Heading1"/>
    <w:next w:val="Normal"/>
    <w:uiPriority w:val="39"/>
    <w:unhideWhenUsed/>
    <w:qFormat/>
    <w:rsid w:val="00D079AB"/>
    <w:pPr>
      <w:spacing w:line="259" w:lineRule="auto"/>
      <w:outlineLvl w:val="9"/>
    </w:pPr>
    <w:rPr>
      <w:rFonts w:asciiTheme="majorHAnsi" w:eastAsiaTheme="majorEastAsia" w:hAnsiTheme="majorHAnsi" w:cstheme="majorBidi"/>
      <w:b w:val="0"/>
      <w:color w:val="365F91" w:themeColor="accent1" w:themeShade="BF"/>
      <w:sz w:val="32"/>
      <w:szCs w:val="32"/>
    </w:rPr>
  </w:style>
  <w:style w:type="paragraph" w:customStyle="1" w:styleId="Contenidodelmarco">
    <w:name w:val="Contenido del marco"/>
    <w:basedOn w:val="Normal"/>
    <w:uiPriority w:val="99"/>
    <w:qFormat/>
    <w:rsid w:val="0089726B"/>
    <w:rPr>
      <w:rFonts w:asciiTheme="minorHAnsi" w:eastAsiaTheme="minorHAnsi" w:hAnsiTheme="minorHAnsi" w:cs="Times New Roman"/>
    </w:rPr>
  </w:style>
  <w:style w:type="character" w:customStyle="1" w:styleId="Ancladenotaalpie">
    <w:name w:val="Ancla de nota al pie"/>
    <w:rsid w:val="0089726B"/>
    <w:rPr>
      <w:vertAlign w:val="superscript"/>
    </w:rPr>
  </w:style>
  <w:style w:type="character" w:customStyle="1" w:styleId="algo-summary">
    <w:name w:val="algo-summary"/>
    <w:basedOn w:val="DefaultParagraphFont"/>
    <w:rsid w:val="0089726B"/>
  </w:style>
  <w:style w:type="paragraph" w:styleId="PlainText">
    <w:name w:val="Plain Text"/>
    <w:basedOn w:val="Normal"/>
    <w:link w:val="PlainTextChar"/>
    <w:uiPriority w:val="99"/>
    <w:semiHidden/>
    <w:unhideWhenUsed/>
    <w:rsid w:val="005737F6"/>
    <w:rPr>
      <w:rFonts w:eastAsiaTheme="minorHAnsi" w:cs="Consolas"/>
      <w:szCs w:val="21"/>
      <w:lang w:val="es-US" w:eastAsia="en-US"/>
    </w:rPr>
  </w:style>
  <w:style w:type="character" w:customStyle="1" w:styleId="PlainTextChar">
    <w:name w:val="Plain Text Char"/>
    <w:basedOn w:val="DefaultParagraphFont"/>
    <w:link w:val="PlainText"/>
    <w:uiPriority w:val="99"/>
    <w:semiHidden/>
    <w:rsid w:val="005737F6"/>
    <w:rPr>
      <w:rFonts w:eastAsiaTheme="minorHAnsi" w:cs="Consolas"/>
      <w:szCs w:val="21"/>
      <w:lang w:val="es-US" w:eastAsia="en-US"/>
    </w:rPr>
  </w:style>
  <w:style w:type="paragraph" w:customStyle="1" w:styleId="algo-result">
    <w:name w:val="algo-result"/>
    <w:basedOn w:val="Normal"/>
    <w:rsid w:val="00B45065"/>
    <w:pPr>
      <w:spacing w:before="100" w:beforeAutospacing="1" w:after="100" w:afterAutospacing="1"/>
    </w:pPr>
    <w:rPr>
      <w:rFonts w:ascii="Times New Roman" w:eastAsia="Times New Roman" w:hAnsi="Times New Roman" w:cs="Times New Roman"/>
      <w:sz w:val="24"/>
      <w:szCs w:val="24"/>
      <w:lang w:val="es-US" w:eastAsia="es-US"/>
    </w:rPr>
  </w:style>
  <w:style w:type="character" w:styleId="HTMLCite">
    <w:name w:val="HTML Cite"/>
    <w:basedOn w:val="DefaultParagraphFont"/>
    <w:uiPriority w:val="99"/>
    <w:semiHidden/>
    <w:unhideWhenUsed/>
    <w:rsid w:val="00B45065"/>
    <w:rPr>
      <w:i/>
      <w:iCs/>
    </w:rPr>
  </w:style>
  <w:style w:type="character" w:styleId="Emphasis">
    <w:name w:val="Emphasis"/>
    <w:basedOn w:val="DefaultParagraphFont"/>
    <w:uiPriority w:val="20"/>
    <w:qFormat/>
    <w:rsid w:val="00FA1B58"/>
    <w:rPr>
      <w:i/>
      <w:iCs/>
    </w:rPr>
  </w:style>
  <w:style w:type="paragraph" w:customStyle="1" w:styleId="web">
    <w:name w:val="web"/>
    <w:basedOn w:val="Normal"/>
    <w:rsid w:val="00FA1B58"/>
    <w:pPr>
      <w:spacing w:before="100" w:beforeAutospacing="1" w:after="100" w:afterAutospacing="1"/>
    </w:pPr>
    <w:rPr>
      <w:rFonts w:ascii="Times New Roman" w:eastAsia="Times New Roman" w:hAnsi="Times New Roman" w:cs="Times New Roman"/>
      <w:sz w:val="24"/>
      <w:szCs w:val="24"/>
      <w:lang w:val="es-US" w:eastAsia="es-US"/>
    </w:rPr>
  </w:style>
  <w:style w:type="character" w:styleId="FollowedHyperlink">
    <w:name w:val="FollowedHyperlink"/>
    <w:basedOn w:val="DefaultParagraphFont"/>
    <w:uiPriority w:val="99"/>
    <w:semiHidden/>
    <w:unhideWhenUsed/>
    <w:rsid w:val="00196997"/>
    <w:rPr>
      <w:color w:val="800080" w:themeColor="followedHyperlink"/>
      <w:u w:val="single"/>
    </w:rPr>
  </w:style>
  <w:style w:type="paragraph" w:styleId="TableofFigures">
    <w:name w:val="table of figures"/>
    <w:basedOn w:val="Normal"/>
    <w:next w:val="Normal"/>
    <w:uiPriority w:val="99"/>
    <w:unhideWhenUsed/>
    <w:rsid w:val="00C506F7"/>
  </w:style>
  <w:style w:type="table" w:styleId="GridTable1Light">
    <w:name w:val="Grid Table 1 Light"/>
    <w:basedOn w:val="TableNormal"/>
    <w:uiPriority w:val="46"/>
    <w:rsid w:val="00874B25"/>
    <w:rPr>
      <w:rFonts w:asciiTheme="minorHAnsi" w:eastAsia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74B25"/>
    <w:rPr>
      <w:rFonts w:asciiTheme="minorHAnsi" w:eastAsiaTheme="minorHAnsi" w:hAnsiTheme="minorHAnsi" w:cstheme="minorBidi"/>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874B25"/>
    <w:rPr>
      <w:rFonts w:asciiTheme="minorHAnsi" w:eastAsiaTheme="minorHAnsi" w:hAnsiTheme="minorHAnsi" w:cstheme="minorBid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2">
    <w:name w:val="Grid Table 4 Accent 2"/>
    <w:basedOn w:val="TableNormal"/>
    <w:uiPriority w:val="49"/>
    <w:rsid w:val="00874B25"/>
    <w:rPr>
      <w:rFonts w:asciiTheme="minorHAnsi" w:eastAsiaTheme="minorHAnsi" w:hAnsi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4">
    <w:name w:val="Grid Table 4 Accent 4"/>
    <w:basedOn w:val="TableNormal"/>
    <w:uiPriority w:val="49"/>
    <w:rsid w:val="00874B25"/>
    <w:rPr>
      <w:rFonts w:asciiTheme="minorHAnsi" w:eastAsiaTheme="minorHAnsi" w:hAnsi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OC4">
    <w:name w:val="toc 4"/>
    <w:basedOn w:val="Normal"/>
    <w:next w:val="Normal"/>
    <w:autoRedefine/>
    <w:uiPriority w:val="39"/>
    <w:unhideWhenUsed/>
    <w:rsid w:val="000C6704"/>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C6704"/>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C6704"/>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C6704"/>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C6704"/>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C6704"/>
    <w:pPr>
      <w:spacing w:after="100" w:line="259" w:lineRule="auto"/>
      <w:ind w:left="1760"/>
    </w:pPr>
    <w:rPr>
      <w:rFonts w:asciiTheme="minorHAnsi" w:eastAsiaTheme="minorEastAsia" w:hAnsiTheme="minorHAnsi" w:cstheme="minorBidi"/>
    </w:rPr>
  </w:style>
  <w:style w:type="table" w:styleId="GridTable2-Accent1">
    <w:name w:val="Grid Table 2 Accent 1"/>
    <w:basedOn w:val="TableNormal"/>
    <w:uiPriority w:val="47"/>
    <w:rsid w:val="00CB054C"/>
    <w:rPr>
      <w:rFonts w:asciiTheme="minorHAnsi" w:eastAsiaTheme="minorEastAsia" w:hAnsiTheme="minorHAnsi" w:cstheme="minorBidi"/>
      <w:sz w:val="24"/>
      <w:szCs w:val="24"/>
      <w:lang w:val="es-ES_tradnl"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4">
    <w:name w:val="Grid Table 2 Accent 4"/>
    <w:basedOn w:val="TableNormal"/>
    <w:uiPriority w:val="47"/>
    <w:rsid w:val="00CB054C"/>
    <w:rPr>
      <w:rFonts w:asciiTheme="minorHAnsi" w:eastAsiaTheme="minorEastAsia" w:hAnsiTheme="minorHAnsi" w:cstheme="minorBidi"/>
      <w:sz w:val="24"/>
      <w:szCs w:val="24"/>
      <w:lang w:val="es-ES_tradnl"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6">
    <w:name w:val="List Table 3 Accent 6"/>
    <w:basedOn w:val="TableNormal"/>
    <w:uiPriority w:val="48"/>
    <w:rsid w:val="00CB054C"/>
    <w:rPr>
      <w:rFonts w:asciiTheme="minorHAnsi" w:eastAsiaTheme="minorEastAsia" w:hAnsiTheme="minorHAnsi" w:cstheme="minorBidi"/>
      <w:sz w:val="24"/>
      <w:szCs w:val="24"/>
      <w:lang w:val="es-ES_tradnl"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Revision">
    <w:name w:val="Revision"/>
    <w:hidden/>
    <w:uiPriority w:val="99"/>
    <w:semiHidden/>
    <w:rsid w:val="00F0788F"/>
  </w:style>
  <w:style w:type="character" w:customStyle="1" w:styleId="A22">
    <w:name w:val="A22"/>
    <w:uiPriority w:val="99"/>
    <w:rsid w:val="00AB49FA"/>
    <w:rPr>
      <w:rFonts w:cs="Univers LT Std 47 Cn Lt"/>
      <w:color w:val="000000"/>
      <w:sz w:val="11"/>
      <w:szCs w:val="11"/>
    </w:rPr>
  </w:style>
  <w:style w:type="character" w:styleId="UnresolvedMention">
    <w:name w:val="Unresolved Mention"/>
    <w:basedOn w:val="DefaultParagraphFont"/>
    <w:uiPriority w:val="99"/>
    <w:semiHidden/>
    <w:unhideWhenUsed/>
    <w:rsid w:val="00D43324"/>
    <w:rPr>
      <w:color w:val="605E5C"/>
      <w:shd w:val="clear" w:color="auto" w:fill="E1DFDD"/>
    </w:rPr>
  </w:style>
  <w:style w:type="character" w:customStyle="1" w:styleId="Heading4Char">
    <w:name w:val="Heading 4 Char"/>
    <w:basedOn w:val="DefaultParagraphFont"/>
    <w:link w:val="Heading4"/>
    <w:uiPriority w:val="9"/>
    <w:semiHidden/>
    <w:rsid w:val="00A847E0"/>
    <w:rPr>
      <w:rFonts w:ascii="Century Schoolbook" w:hAnsi="Century Schoolbook"/>
      <w:b/>
      <w:sz w:val="24"/>
      <w:szCs w:val="24"/>
    </w:rPr>
  </w:style>
  <w:style w:type="character" w:customStyle="1" w:styleId="Heading5Char">
    <w:name w:val="Heading 5 Char"/>
    <w:basedOn w:val="DefaultParagraphFont"/>
    <w:link w:val="Heading5"/>
    <w:uiPriority w:val="9"/>
    <w:semiHidden/>
    <w:rsid w:val="00A847E0"/>
    <w:rPr>
      <w:rFonts w:ascii="Century Schoolbook" w:hAnsi="Century Schoolbook"/>
      <w:b/>
    </w:rPr>
  </w:style>
  <w:style w:type="character" w:customStyle="1" w:styleId="Heading6Char">
    <w:name w:val="Heading 6 Char"/>
    <w:basedOn w:val="DefaultParagraphFont"/>
    <w:link w:val="Heading6"/>
    <w:uiPriority w:val="9"/>
    <w:semiHidden/>
    <w:rsid w:val="00A847E0"/>
    <w:rPr>
      <w:rFonts w:ascii="Century Schoolbook" w:hAnsi="Century Schoolbook"/>
      <w:b/>
      <w:sz w:val="20"/>
      <w:szCs w:val="20"/>
    </w:rPr>
  </w:style>
  <w:style w:type="character" w:customStyle="1" w:styleId="TitleChar">
    <w:name w:val="Title Char"/>
    <w:basedOn w:val="DefaultParagraphFont"/>
    <w:link w:val="Title"/>
    <w:uiPriority w:val="10"/>
    <w:rsid w:val="00A847E0"/>
    <w:rPr>
      <w:rFonts w:ascii="Century Schoolbook" w:hAnsi="Century Schoolbook"/>
      <w:b/>
      <w:sz w:val="72"/>
      <w:szCs w:val="72"/>
    </w:rPr>
  </w:style>
  <w:style w:type="character" w:customStyle="1" w:styleId="SubtitleChar">
    <w:name w:val="Subtitle Char"/>
    <w:basedOn w:val="DefaultParagraphFont"/>
    <w:link w:val="Subtitle"/>
    <w:uiPriority w:val="11"/>
    <w:rsid w:val="00A847E0"/>
    <w:rPr>
      <w:rFonts w:ascii="Georgia" w:eastAsia="Georgia" w:hAnsi="Georgia" w:cs="Georgia"/>
      <w:i/>
      <w:color w:val="666666"/>
      <w:sz w:val="48"/>
      <w:szCs w:val="48"/>
    </w:rPr>
  </w:style>
  <w:style w:type="character" w:customStyle="1" w:styleId="Mencinsinresolver4">
    <w:name w:val="Mención sin resolver4"/>
    <w:basedOn w:val="DefaultParagraphFont"/>
    <w:uiPriority w:val="99"/>
    <w:semiHidden/>
    <w:unhideWhenUsed/>
    <w:rsid w:val="00A847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22769">
      <w:bodyDiv w:val="1"/>
      <w:marLeft w:val="0"/>
      <w:marRight w:val="0"/>
      <w:marTop w:val="0"/>
      <w:marBottom w:val="0"/>
      <w:divBdr>
        <w:top w:val="none" w:sz="0" w:space="0" w:color="auto"/>
        <w:left w:val="none" w:sz="0" w:space="0" w:color="auto"/>
        <w:bottom w:val="none" w:sz="0" w:space="0" w:color="auto"/>
        <w:right w:val="none" w:sz="0" w:space="0" w:color="auto"/>
      </w:divBdr>
    </w:div>
    <w:div w:id="96368508">
      <w:bodyDiv w:val="1"/>
      <w:marLeft w:val="0"/>
      <w:marRight w:val="0"/>
      <w:marTop w:val="0"/>
      <w:marBottom w:val="0"/>
      <w:divBdr>
        <w:top w:val="none" w:sz="0" w:space="0" w:color="auto"/>
        <w:left w:val="none" w:sz="0" w:space="0" w:color="auto"/>
        <w:bottom w:val="none" w:sz="0" w:space="0" w:color="auto"/>
        <w:right w:val="none" w:sz="0" w:space="0" w:color="auto"/>
      </w:divBdr>
    </w:div>
    <w:div w:id="127669961">
      <w:bodyDiv w:val="1"/>
      <w:marLeft w:val="0"/>
      <w:marRight w:val="0"/>
      <w:marTop w:val="0"/>
      <w:marBottom w:val="0"/>
      <w:divBdr>
        <w:top w:val="none" w:sz="0" w:space="0" w:color="auto"/>
        <w:left w:val="none" w:sz="0" w:space="0" w:color="auto"/>
        <w:bottom w:val="none" w:sz="0" w:space="0" w:color="auto"/>
        <w:right w:val="none" w:sz="0" w:space="0" w:color="auto"/>
      </w:divBdr>
    </w:div>
    <w:div w:id="139657474">
      <w:bodyDiv w:val="1"/>
      <w:marLeft w:val="0"/>
      <w:marRight w:val="0"/>
      <w:marTop w:val="0"/>
      <w:marBottom w:val="0"/>
      <w:divBdr>
        <w:top w:val="none" w:sz="0" w:space="0" w:color="auto"/>
        <w:left w:val="none" w:sz="0" w:space="0" w:color="auto"/>
        <w:bottom w:val="none" w:sz="0" w:space="0" w:color="auto"/>
        <w:right w:val="none" w:sz="0" w:space="0" w:color="auto"/>
      </w:divBdr>
    </w:div>
    <w:div w:id="142894734">
      <w:bodyDiv w:val="1"/>
      <w:marLeft w:val="0"/>
      <w:marRight w:val="0"/>
      <w:marTop w:val="0"/>
      <w:marBottom w:val="0"/>
      <w:divBdr>
        <w:top w:val="none" w:sz="0" w:space="0" w:color="auto"/>
        <w:left w:val="none" w:sz="0" w:space="0" w:color="auto"/>
        <w:bottom w:val="none" w:sz="0" w:space="0" w:color="auto"/>
        <w:right w:val="none" w:sz="0" w:space="0" w:color="auto"/>
      </w:divBdr>
    </w:div>
    <w:div w:id="163785529">
      <w:bodyDiv w:val="1"/>
      <w:marLeft w:val="0"/>
      <w:marRight w:val="0"/>
      <w:marTop w:val="0"/>
      <w:marBottom w:val="0"/>
      <w:divBdr>
        <w:top w:val="none" w:sz="0" w:space="0" w:color="auto"/>
        <w:left w:val="none" w:sz="0" w:space="0" w:color="auto"/>
        <w:bottom w:val="none" w:sz="0" w:space="0" w:color="auto"/>
        <w:right w:val="none" w:sz="0" w:space="0" w:color="auto"/>
      </w:divBdr>
    </w:div>
    <w:div w:id="214125932">
      <w:bodyDiv w:val="1"/>
      <w:marLeft w:val="0"/>
      <w:marRight w:val="0"/>
      <w:marTop w:val="0"/>
      <w:marBottom w:val="0"/>
      <w:divBdr>
        <w:top w:val="none" w:sz="0" w:space="0" w:color="auto"/>
        <w:left w:val="none" w:sz="0" w:space="0" w:color="auto"/>
        <w:bottom w:val="none" w:sz="0" w:space="0" w:color="auto"/>
        <w:right w:val="none" w:sz="0" w:space="0" w:color="auto"/>
      </w:divBdr>
    </w:div>
    <w:div w:id="224992713">
      <w:bodyDiv w:val="1"/>
      <w:marLeft w:val="0"/>
      <w:marRight w:val="0"/>
      <w:marTop w:val="0"/>
      <w:marBottom w:val="0"/>
      <w:divBdr>
        <w:top w:val="none" w:sz="0" w:space="0" w:color="auto"/>
        <w:left w:val="none" w:sz="0" w:space="0" w:color="auto"/>
        <w:bottom w:val="none" w:sz="0" w:space="0" w:color="auto"/>
        <w:right w:val="none" w:sz="0" w:space="0" w:color="auto"/>
      </w:divBdr>
    </w:div>
    <w:div w:id="268392261">
      <w:bodyDiv w:val="1"/>
      <w:marLeft w:val="0"/>
      <w:marRight w:val="0"/>
      <w:marTop w:val="0"/>
      <w:marBottom w:val="0"/>
      <w:divBdr>
        <w:top w:val="none" w:sz="0" w:space="0" w:color="auto"/>
        <w:left w:val="none" w:sz="0" w:space="0" w:color="auto"/>
        <w:bottom w:val="none" w:sz="0" w:space="0" w:color="auto"/>
        <w:right w:val="none" w:sz="0" w:space="0" w:color="auto"/>
      </w:divBdr>
    </w:div>
    <w:div w:id="307057599">
      <w:bodyDiv w:val="1"/>
      <w:marLeft w:val="0"/>
      <w:marRight w:val="0"/>
      <w:marTop w:val="0"/>
      <w:marBottom w:val="0"/>
      <w:divBdr>
        <w:top w:val="none" w:sz="0" w:space="0" w:color="auto"/>
        <w:left w:val="none" w:sz="0" w:space="0" w:color="auto"/>
        <w:bottom w:val="none" w:sz="0" w:space="0" w:color="auto"/>
        <w:right w:val="none" w:sz="0" w:space="0" w:color="auto"/>
      </w:divBdr>
    </w:div>
    <w:div w:id="331034909">
      <w:bodyDiv w:val="1"/>
      <w:marLeft w:val="0"/>
      <w:marRight w:val="0"/>
      <w:marTop w:val="0"/>
      <w:marBottom w:val="0"/>
      <w:divBdr>
        <w:top w:val="none" w:sz="0" w:space="0" w:color="auto"/>
        <w:left w:val="none" w:sz="0" w:space="0" w:color="auto"/>
        <w:bottom w:val="none" w:sz="0" w:space="0" w:color="auto"/>
        <w:right w:val="none" w:sz="0" w:space="0" w:color="auto"/>
      </w:divBdr>
    </w:div>
    <w:div w:id="341781952">
      <w:bodyDiv w:val="1"/>
      <w:marLeft w:val="0"/>
      <w:marRight w:val="0"/>
      <w:marTop w:val="0"/>
      <w:marBottom w:val="0"/>
      <w:divBdr>
        <w:top w:val="none" w:sz="0" w:space="0" w:color="auto"/>
        <w:left w:val="none" w:sz="0" w:space="0" w:color="auto"/>
        <w:bottom w:val="none" w:sz="0" w:space="0" w:color="auto"/>
        <w:right w:val="none" w:sz="0" w:space="0" w:color="auto"/>
      </w:divBdr>
    </w:div>
    <w:div w:id="344093946">
      <w:bodyDiv w:val="1"/>
      <w:marLeft w:val="0"/>
      <w:marRight w:val="0"/>
      <w:marTop w:val="0"/>
      <w:marBottom w:val="0"/>
      <w:divBdr>
        <w:top w:val="none" w:sz="0" w:space="0" w:color="auto"/>
        <w:left w:val="none" w:sz="0" w:space="0" w:color="auto"/>
        <w:bottom w:val="none" w:sz="0" w:space="0" w:color="auto"/>
        <w:right w:val="none" w:sz="0" w:space="0" w:color="auto"/>
      </w:divBdr>
    </w:div>
    <w:div w:id="360202599">
      <w:bodyDiv w:val="1"/>
      <w:marLeft w:val="0"/>
      <w:marRight w:val="0"/>
      <w:marTop w:val="0"/>
      <w:marBottom w:val="0"/>
      <w:divBdr>
        <w:top w:val="none" w:sz="0" w:space="0" w:color="auto"/>
        <w:left w:val="none" w:sz="0" w:space="0" w:color="auto"/>
        <w:bottom w:val="none" w:sz="0" w:space="0" w:color="auto"/>
        <w:right w:val="none" w:sz="0" w:space="0" w:color="auto"/>
      </w:divBdr>
    </w:div>
    <w:div w:id="367686608">
      <w:bodyDiv w:val="1"/>
      <w:marLeft w:val="0"/>
      <w:marRight w:val="0"/>
      <w:marTop w:val="0"/>
      <w:marBottom w:val="0"/>
      <w:divBdr>
        <w:top w:val="none" w:sz="0" w:space="0" w:color="auto"/>
        <w:left w:val="none" w:sz="0" w:space="0" w:color="auto"/>
        <w:bottom w:val="none" w:sz="0" w:space="0" w:color="auto"/>
        <w:right w:val="none" w:sz="0" w:space="0" w:color="auto"/>
      </w:divBdr>
    </w:div>
    <w:div w:id="394159188">
      <w:bodyDiv w:val="1"/>
      <w:marLeft w:val="0"/>
      <w:marRight w:val="0"/>
      <w:marTop w:val="0"/>
      <w:marBottom w:val="0"/>
      <w:divBdr>
        <w:top w:val="none" w:sz="0" w:space="0" w:color="auto"/>
        <w:left w:val="none" w:sz="0" w:space="0" w:color="auto"/>
        <w:bottom w:val="none" w:sz="0" w:space="0" w:color="auto"/>
        <w:right w:val="none" w:sz="0" w:space="0" w:color="auto"/>
      </w:divBdr>
    </w:div>
    <w:div w:id="403575759">
      <w:bodyDiv w:val="1"/>
      <w:marLeft w:val="0"/>
      <w:marRight w:val="0"/>
      <w:marTop w:val="0"/>
      <w:marBottom w:val="0"/>
      <w:divBdr>
        <w:top w:val="none" w:sz="0" w:space="0" w:color="auto"/>
        <w:left w:val="none" w:sz="0" w:space="0" w:color="auto"/>
        <w:bottom w:val="none" w:sz="0" w:space="0" w:color="auto"/>
        <w:right w:val="none" w:sz="0" w:space="0" w:color="auto"/>
      </w:divBdr>
    </w:div>
    <w:div w:id="405494207">
      <w:bodyDiv w:val="1"/>
      <w:marLeft w:val="0"/>
      <w:marRight w:val="0"/>
      <w:marTop w:val="0"/>
      <w:marBottom w:val="0"/>
      <w:divBdr>
        <w:top w:val="none" w:sz="0" w:space="0" w:color="auto"/>
        <w:left w:val="none" w:sz="0" w:space="0" w:color="auto"/>
        <w:bottom w:val="none" w:sz="0" w:space="0" w:color="auto"/>
        <w:right w:val="none" w:sz="0" w:space="0" w:color="auto"/>
      </w:divBdr>
    </w:div>
    <w:div w:id="407969900">
      <w:bodyDiv w:val="1"/>
      <w:marLeft w:val="0"/>
      <w:marRight w:val="0"/>
      <w:marTop w:val="0"/>
      <w:marBottom w:val="0"/>
      <w:divBdr>
        <w:top w:val="none" w:sz="0" w:space="0" w:color="auto"/>
        <w:left w:val="none" w:sz="0" w:space="0" w:color="auto"/>
        <w:bottom w:val="none" w:sz="0" w:space="0" w:color="auto"/>
        <w:right w:val="none" w:sz="0" w:space="0" w:color="auto"/>
      </w:divBdr>
    </w:div>
    <w:div w:id="408574381">
      <w:bodyDiv w:val="1"/>
      <w:marLeft w:val="0"/>
      <w:marRight w:val="0"/>
      <w:marTop w:val="0"/>
      <w:marBottom w:val="0"/>
      <w:divBdr>
        <w:top w:val="none" w:sz="0" w:space="0" w:color="auto"/>
        <w:left w:val="none" w:sz="0" w:space="0" w:color="auto"/>
        <w:bottom w:val="none" w:sz="0" w:space="0" w:color="auto"/>
        <w:right w:val="none" w:sz="0" w:space="0" w:color="auto"/>
      </w:divBdr>
    </w:div>
    <w:div w:id="419520375">
      <w:bodyDiv w:val="1"/>
      <w:marLeft w:val="0"/>
      <w:marRight w:val="0"/>
      <w:marTop w:val="0"/>
      <w:marBottom w:val="0"/>
      <w:divBdr>
        <w:top w:val="none" w:sz="0" w:space="0" w:color="auto"/>
        <w:left w:val="none" w:sz="0" w:space="0" w:color="auto"/>
        <w:bottom w:val="none" w:sz="0" w:space="0" w:color="auto"/>
        <w:right w:val="none" w:sz="0" w:space="0" w:color="auto"/>
      </w:divBdr>
    </w:div>
    <w:div w:id="442698575">
      <w:bodyDiv w:val="1"/>
      <w:marLeft w:val="0"/>
      <w:marRight w:val="0"/>
      <w:marTop w:val="0"/>
      <w:marBottom w:val="0"/>
      <w:divBdr>
        <w:top w:val="none" w:sz="0" w:space="0" w:color="auto"/>
        <w:left w:val="none" w:sz="0" w:space="0" w:color="auto"/>
        <w:bottom w:val="none" w:sz="0" w:space="0" w:color="auto"/>
        <w:right w:val="none" w:sz="0" w:space="0" w:color="auto"/>
      </w:divBdr>
      <w:divsChild>
        <w:div w:id="1250037795">
          <w:marLeft w:val="0"/>
          <w:marRight w:val="0"/>
          <w:marTop w:val="100"/>
          <w:marBottom w:val="100"/>
          <w:divBdr>
            <w:top w:val="none" w:sz="0" w:space="0" w:color="auto"/>
            <w:left w:val="none" w:sz="0" w:space="0" w:color="auto"/>
            <w:bottom w:val="none" w:sz="0" w:space="0" w:color="auto"/>
            <w:right w:val="none" w:sz="0" w:space="0" w:color="auto"/>
          </w:divBdr>
          <w:divsChild>
            <w:div w:id="902643535">
              <w:marLeft w:val="0"/>
              <w:marRight w:val="0"/>
              <w:marTop w:val="0"/>
              <w:marBottom w:val="0"/>
              <w:divBdr>
                <w:top w:val="none" w:sz="0" w:space="0" w:color="auto"/>
                <w:left w:val="none" w:sz="0" w:space="0" w:color="auto"/>
                <w:bottom w:val="none" w:sz="0" w:space="0" w:color="auto"/>
                <w:right w:val="none" w:sz="0" w:space="0" w:color="auto"/>
              </w:divBdr>
              <w:divsChild>
                <w:div w:id="19353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99941">
      <w:bodyDiv w:val="1"/>
      <w:marLeft w:val="0"/>
      <w:marRight w:val="0"/>
      <w:marTop w:val="0"/>
      <w:marBottom w:val="0"/>
      <w:divBdr>
        <w:top w:val="none" w:sz="0" w:space="0" w:color="auto"/>
        <w:left w:val="none" w:sz="0" w:space="0" w:color="auto"/>
        <w:bottom w:val="none" w:sz="0" w:space="0" w:color="auto"/>
        <w:right w:val="none" w:sz="0" w:space="0" w:color="auto"/>
      </w:divBdr>
    </w:div>
    <w:div w:id="603809804">
      <w:bodyDiv w:val="1"/>
      <w:marLeft w:val="0"/>
      <w:marRight w:val="0"/>
      <w:marTop w:val="0"/>
      <w:marBottom w:val="0"/>
      <w:divBdr>
        <w:top w:val="none" w:sz="0" w:space="0" w:color="auto"/>
        <w:left w:val="none" w:sz="0" w:space="0" w:color="auto"/>
        <w:bottom w:val="none" w:sz="0" w:space="0" w:color="auto"/>
        <w:right w:val="none" w:sz="0" w:space="0" w:color="auto"/>
      </w:divBdr>
    </w:div>
    <w:div w:id="621424317">
      <w:bodyDiv w:val="1"/>
      <w:marLeft w:val="0"/>
      <w:marRight w:val="0"/>
      <w:marTop w:val="0"/>
      <w:marBottom w:val="0"/>
      <w:divBdr>
        <w:top w:val="none" w:sz="0" w:space="0" w:color="auto"/>
        <w:left w:val="none" w:sz="0" w:space="0" w:color="auto"/>
        <w:bottom w:val="none" w:sz="0" w:space="0" w:color="auto"/>
        <w:right w:val="none" w:sz="0" w:space="0" w:color="auto"/>
      </w:divBdr>
    </w:div>
    <w:div w:id="667565056">
      <w:bodyDiv w:val="1"/>
      <w:marLeft w:val="0"/>
      <w:marRight w:val="0"/>
      <w:marTop w:val="0"/>
      <w:marBottom w:val="0"/>
      <w:divBdr>
        <w:top w:val="none" w:sz="0" w:space="0" w:color="auto"/>
        <w:left w:val="none" w:sz="0" w:space="0" w:color="auto"/>
        <w:bottom w:val="none" w:sz="0" w:space="0" w:color="auto"/>
        <w:right w:val="none" w:sz="0" w:space="0" w:color="auto"/>
      </w:divBdr>
    </w:div>
    <w:div w:id="738287687">
      <w:bodyDiv w:val="1"/>
      <w:marLeft w:val="0"/>
      <w:marRight w:val="0"/>
      <w:marTop w:val="0"/>
      <w:marBottom w:val="0"/>
      <w:divBdr>
        <w:top w:val="none" w:sz="0" w:space="0" w:color="auto"/>
        <w:left w:val="none" w:sz="0" w:space="0" w:color="auto"/>
        <w:bottom w:val="none" w:sz="0" w:space="0" w:color="auto"/>
        <w:right w:val="none" w:sz="0" w:space="0" w:color="auto"/>
      </w:divBdr>
    </w:div>
    <w:div w:id="834226409">
      <w:bodyDiv w:val="1"/>
      <w:marLeft w:val="0"/>
      <w:marRight w:val="0"/>
      <w:marTop w:val="0"/>
      <w:marBottom w:val="0"/>
      <w:divBdr>
        <w:top w:val="none" w:sz="0" w:space="0" w:color="auto"/>
        <w:left w:val="none" w:sz="0" w:space="0" w:color="auto"/>
        <w:bottom w:val="none" w:sz="0" w:space="0" w:color="auto"/>
        <w:right w:val="none" w:sz="0" w:space="0" w:color="auto"/>
      </w:divBdr>
    </w:div>
    <w:div w:id="843860420">
      <w:bodyDiv w:val="1"/>
      <w:marLeft w:val="0"/>
      <w:marRight w:val="0"/>
      <w:marTop w:val="0"/>
      <w:marBottom w:val="0"/>
      <w:divBdr>
        <w:top w:val="none" w:sz="0" w:space="0" w:color="auto"/>
        <w:left w:val="none" w:sz="0" w:space="0" w:color="auto"/>
        <w:bottom w:val="none" w:sz="0" w:space="0" w:color="auto"/>
        <w:right w:val="none" w:sz="0" w:space="0" w:color="auto"/>
      </w:divBdr>
    </w:div>
    <w:div w:id="844367587">
      <w:bodyDiv w:val="1"/>
      <w:marLeft w:val="0"/>
      <w:marRight w:val="0"/>
      <w:marTop w:val="0"/>
      <w:marBottom w:val="0"/>
      <w:divBdr>
        <w:top w:val="none" w:sz="0" w:space="0" w:color="auto"/>
        <w:left w:val="none" w:sz="0" w:space="0" w:color="auto"/>
        <w:bottom w:val="none" w:sz="0" w:space="0" w:color="auto"/>
        <w:right w:val="none" w:sz="0" w:space="0" w:color="auto"/>
      </w:divBdr>
    </w:div>
    <w:div w:id="854658071">
      <w:bodyDiv w:val="1"/>
      <w:marLeft w:val="0"/>
      <w:marRight w:val="0"/>
      <w:marTop w:val="0"/>
      <w:marBottom w:val="0"/>
      <w:divBdr>
        <w:top w:val="none" w:sz="0" w:space="0" w:color="auto"/>
        <w:left w:val="none" w:sz="0" w:space="0" w:color="auto"/>
        <w:bottom w:val="none" w:sz="0" w:space="0" w:color="auto"/>
        <w:right w:val="none" w:sz="0" w:space="0" w:color="auto"/>
      </w:divBdr>
    </w:div>
    <w:div w:id="861549667">
      <w:bodyDiv w:val="1"/>
      <w:marLeft w:val="0"/>
      <w:marRight w:val="0"/>
      <w:marTop w:val="0"/>
      <w:marBottom w:val="0"/>
      <w:divBdr>
        <w:top w:val="none" w:sz="0" w:space="0" w:color="auto"/>
        <w:left w:val="none" w:sz="0" w:space="0" w:color="auto"/>
        <w:bottom w:val="none" w:sz="0" w:space="0" w:color="auto"/>
        <w:right w:val="none" w:sz="0" w:space="0" w:color="auto"/>
      </w:divBdr>
    </w:div>
    <w:div w:id="866064034">
      <w:bodyDiv w:val="1"/>
      <w:marLeft w:val="0"/>
      <w:marRight w:val="0"/>
      <w:marTop w:val="0"/>
      <w:marBottom w:val="0"/>
      <w:divBdr>
        <w:top w:val="none" w:sz="0" w:space="0" w:color="auto"/>
        <w:left w:val="none" w:sz="0" w:space="0" w:color="auto"/>
        <w:bottom w:val="none" w:sz="0" w:space="0" w:color="auto"/>
        <w:right w:val="none" w:sz="0" w:space="0" w:color="auto"/>
      </w:divBdr>
    </w:div>
    <w:div w:id="917059269">
      <w:bodyDiv w:val="1"/>
      <w:marLeft w:val="0"/>
      <w:marRight w:val="0"/>
      <w:marTop w:val="0"/>
      <w:marBottom w:val="0"/>
      <w:divBdr>
        <w:top w:val="none" w:sz="0" w:space="0" w:color="auto"/>
        <w:left w:val="none" w:sz="0" w:space="0" w:color="auto"/>
        <w:bottom w:val="none" w:sz="0" w:space="0" w:color="auto"/>
        <w:right w:val="none" w:sz="0" w:space="0" w:color="auto"/>
      </w:divBdr>
    </w:div>
    <w:div w:id="949508136">
      <w:bodyDiv w:val="1"/>
      <w:marLeft w:val="0"/>
      <w:marRight w:val="0"/>
      <w:marTop w:val="0"/>
      <w:marBottom w:val="0"/>
      <w:divBdr>
        <w:top w:val="none" w:sz="0" w:space="0" w:color="auto"/>
        <w:left w:val="none" w:sz="0" w:space="0" w:color="auto"/>
        <w:bottom w:val="none" w:sz="0" w:space="0" w:color="auto"/>
        <w:right w:val="none" w:sz="0" w:space="0" w:color="auto"/>
      </w:divBdr>
    </w:div>
    <w:div w:id="967006713">
      <w:bodyDiv w:val="1"/>
      <w:marLeft w:val="0"/>
      <w:marRight w:val="0"/>
      <w:marTop w:val="0"/>
      <w:marBottom w:val="0"/>
      <w:divBdr>
        <w:top w:val="none" w:sz="0" w:space="0" w:color="auto"/>
        <w:left w:val="none" w:sz="0" w:space="0" w:color="auto"/>
        <w:bottom w:val="none" w:sz="0" w:space="0" w:color="auto"/>
        <w:right w:val="none" w:sz="0" w:space="0" w:color="auto"/>
      </w:divBdr>
    </w:div>
    <w:div w:id="970860438">
      <w:bodyDiv w:val="1"/>
      <w:marLeft w:val="0"/>
      <w:marRight w:val="0"/>
      <w:marTop w:val="0"/>
      <w:marBottom w:val="0"/>
      <w:divBdr>
        <w:top w:val="none" w:sz="0" w:space="0" w:color="auto"/>
        <w:left w:val="none" w:sz="0" w:space="0" w:color="auto"/>
        <w:bottom w:val="none" w:sz="0" w:space="0" w:color="auto"/>
        <w:right w:val="none" w:sz="0" w:space="0" w:color="auto"/>
      </w:divBdr>
    </w:div>
    <w:div w:id="972369651">
      <w:bodyDiv w:val="1"/>
      <w:marLeft w:val="0"/>
      <w:marRight w:val="0"/>
      <w:marTop w:val="0"/>
      <w:marBottom w:val="0"/>
      <w:divBdr>
        <w:top w:val="none" w:sz="0" w:space="0" w:color="auto"/>
        <w:left w:val="none" w:sz="0" w:space="0" w:color="auto"/>
        <w:bottom w:val="none" w:sz="0" w:space="0" w:color="auto"/>
        <w:right w:val="none" w:sz="0" w:space="0" w:color="auto"/>
      </w:divBdr>
    </w:div>
    <w:div w:id="1079013400">
      <w:bodyDiv w:val="1"/>
      <w:marLeft w:val="0"/>
      <w:marRight w:val="0"/>
      <w:marTop w:val="0"/>
      <w:marBottom w:val="0"/>
      <w:divBdr>
        <w:top w:val="none" w:sz="0" w:space="0" w:color="auto"/>
        <w:left w:val="none" w:sz="0" w:space="0" w:color="auto"/>
        <w:bottom w:val="none" w:sz="0" w:space="0" w:color="auto"/>
        <w:right w:val="none" w:sz="0" w:space="0" w:color="auto"/>
      </w:divBdr>
    </w:div>
    <w:div w:id="1092898896">
      <w:bodyDiv w:val="1"/>
      <w:marLeft w:val="0"/>
      <w:marRight w:val="0"/>
      <w:marTop w:val="0"/>
      <w:marBottom w:val="0"/>
      <w:divBdr>
        <w:top w:val="none" w:sz="0" w:space="0" w:color="auto"/>
        <w:left w:val="none" w:sz="0" w:space="0" w:color="auto"/>
        <w:bottom w:val="none" w:sz="0" w:space="0" w:color="auto"/>
        <w:right w:val="none" w:sz="0" w:space="0" w:color="auto"/>
      </w:divBdr>
    </w:div>
    <w:div w:id="1097482433">
      <w:bodyDiv w:val="1"/>
      <w:marLeft w:val="0"/>
      <w:marRight w:val="0"/>
      <w:marTop w:val="0"/>
      <w:marBottom w:val="0"/>
      <w:divBdr>
        <w:top w:val="none" w:sz="0" w:space="0" w:color="auto"/>
        <w:left w:val="none" w:sz="0" w:space="0" w:color="auto"/>
        <w:bottom w:val="none" w:sz="0" w:space="0" w:color="auto"/>
        <w:right w:val="none" w:sz="0" w:space="0" w:color="auto"/>
      </w:divBdr>
    </w:div>
    <w:div w:id="1136218579">
      <w:bodyDiv w:val="1"/>
      <w:marLeft w:val="0"/>
      <w:marRight w:val="0"/>
      <w:marTop w:val="0"/>
      <w:marBottom w:val="0"/>
      <w:divBdr>
        <w:top w:val="none" w:sz="0" w:space="0" w:color="auto"/>
        <w:left w:val="none" w:sz="0" w:space="0" w:color="auto"/>
        <w:bottom w:val="none" w:sz="0" w:space="0" w:color="auto"/>
        <w:right w:val="none" w:sz="0" w:space="0" w:color="auto"/>
      </w:divBdr>
    </w:div>
    <w:div w:id="1157846139">
      <w:bodyDiv w:val="1"/>
      <w:marLeft w:val="0"/>
      <w:marRight w:val="0"/>
      <w:marTop w:val="0"/>
      <w:marBottom w:val="0"/>
      <w:divBdr>
        <w:top w:val="none" w:sz="0" w:space="0" w:color="auto"/>
        <w:left w:val="none" w:sz="0" w:space="0" w:color="auto"/>
        <w:bottom w:val="none" w:sz="0" w:space="0" w:color="auto"/>
        <w:right w:val="none" w:sz="0" w:space="0" w:color="auto"/>
      </w:divBdr>
    </w:div>
    <w:div w:id="1167476873">
      <w:bodyDiv w:val="1"/>
      <w:marLeft w:val="0"/>
      <w:marRight w:val="0"/>
      <w:marTop w:val="0"/>
      <w:marBottom w:val="0"/>
      <w:divBdr>
        <w:top w:val="none" w:sz="0" w:space="0" w:color="auto"/>
        <w:left w:val="none" w:sz="0" w:space="0" w:color="auto"/>
        <w:bottom w:val="none" w:sz="0" w:space="0" w:color="auto"/>
        <w:right w:val="none" w:sz="0" w:space="0" w:color="auto"/>
      </w:divBdr>
    </w:div>
    <w:div w:id="1243681487">
      <w:bodyDiv w:val="1"/>
      <w:marLeft w:val="0"/>
      <w:marRight w:val="0"/>
      <w:marTop w:val="0"/>
      <w:marBottom w:val="0"/>
      <w:divBdr>
        <w:top w:val="none" w:sz="0" w:space="0" w:color="auto"/>
        <w:left w:val="none" w:sz="0" w:space="0" w:color="auto"/>
        <w:bottom w:val="none" w:sz="0" w:space="0" w:color="auto"/>
        <w:right w:val="none" w:sz="0" w:space="0" w:color="auto"/>
      </w:divBdr>
    </w:div>
    <w:div w:id="1245795101">
      <w:bodyDiv w:val="1"/>
      <w:marLeft w:val="0"/>
      <w:marRight w:val="0"/>
      <w:marTop w:val="0"/>
      <w:marBottom w:val="0"/>
      <w:divBdr>
        <w:top w:val="none" w:sz="0" w:space="0" w:color="auto"/>
        <w:left w:val="none" w:sz="0" w:space="0" w:color="auto"/>
        <w:bottom w:val="none" w:sz="0" w:space="0" w:color="auto"/>
        <w:right w:val="none" w:sz="0" w:space="0" w:color="auto"/>
      </w:divBdr>
    </w:div>
    <w:div w:id="1310093302">
      <w:bodyDiv w:val="1"/>
      <w:marLeft w:val="0"/>
      <w:marRight w:val="0"/>
      <w:marTop w:val="0"/>
      <w:marBottom w:val="0"/>
      <w:divBdr>
        <w:top w:val="none" w:sz="0" w:space="0" w:color="auto"/>
        <w:left w:val="none" w:sz="0" w:space="0" w:color="auto"/>
        <w:bottom w:val="none" w:sz="0" w:space="0" w:color="auto"/>
        <w:right w:val="none" w:sz="0" w:space="0" w:color="auto"/>
      </w:divBdr>
    </w:div>
    <w:div w:id="1411732743">
      <w:bodyDiv w:val="1"/>
      <w:marLeft w:val="0"/>
      <w:marRight w:val="0"/>
      <w:marTop w:val="0"/>
      <w:marBottom w:val="0"/>
      <w:divBdr>
        <w:top w:val="none" w:sz="0" w:space="0" w:color="auto"/>
        <w:left w:val="none" w:sz="0" w:space="0" w:color="auto"/>
        <w:bottom w:val="none" w:sz="0" w:space="0" w:color="auto"/>
        <w:right w:val="none" w:sz="0" w:space="0" w:color="auto"/>
      </w:divBdr>
    </w:div>
    <w:div w:id="1434209318">
      <w:bodyDiv w:val="1"/>
      <w:marLeft w:val="0"/>
      <w:marRight w:val="0"/>
      <w:marTop w:val="0"/>
      <w:marBottom w:val="0"/>
      <w:divBdr>
        <w:top w:val="none" w:sz="0" w:space="0" w:color="auto"/>
        <w:left w:val="none" w:sz="0" w:space="0" w:color="auto"/>
        <w:bottom w:val="none" w:sz="0" w:space="0" w:color="auto"/>
        <w:right w:val="none" w:sz="0" w:space="0" w:color="auto"/>
      </w:divBdr>
    </w:div>
    <w:div w:id="1454592633">
      <w:bodyDiv w:val="1"/>
      <w:marLeft w:val="0"/>
      <w:marRight w:val="0"/>
      <w:marTop w:val="0"/>
      <w:marBottom w:val="0"/>
      <w:divBdr>
        <w:top w:val="none" w:sz="0" w:space="0" w:color="auto"/>
        <w:left w:val="none" w:sz="0" w:space="0" w:color="auto"/>
        <w:bottom w:val="none" w:sz="0" w:space="0" w:color="auto"/>
        <w:right w:val="none" w:sz="0" w:space="0" w:color="auto"/>
      </w:divBdr>
    </w:div>
    <w:div w:id="1463225904">
      <w:bodyDiv w:val="1"/>
      <w:marLeft w:val="0"/>
      <w:marRight w:val="0"/>
      <w:marTop w:val="0"/>
      <w:marBottom w:val="0"/>
      <w:divBdr>
        <w:top w:val="none" w:sz="0" w:space="0" w:color="auto"/>
        <w:left w:val="none" w:sz="0" w:space="0" w:color="auto"/>
        <w:bottom w:val="none" w:sz="0" w:space="0" w:color="auto"/>
        <w:right w:val="none" w:sz="0" w:space="0" w:color="auto"/>
      </w:divBdr>
    </w:div>
    <w:div w:id="1486312894">
      <w:bodyDiv w:val="1"/>
      <w:marLeft w:val="0"/>
      <w:marRight w:val="0"/>
      <w:marTop w:val="0"/>
      <w:marBottom w:val="0"/>
      <w:divBdr>
        <w:top w:val="none" w:sz="0" w:space="0" w:color="auto"/>
        <w:left w:val="none" w:sz="0" w:space="0" w:color="auto"/>
        <w:bottom w:val="none" w:sz="0" w:space="0" w:color="auto"/>
        <w:right w:val="none" w:sz="0" w:space="0" w:color="auto"/>
      </w:divBdr>
    </w:div>
    <w:div w:id="1563709242">
      <w:bodyDiv w:val="1"/>
      <w:marLeft w:val="0"/>
      <w:marRight w:val="0"/>
      <w:marTop w:val="0"/>
      <w:marBottom w:val="0"/>
      <w:divBdr>
        <w:top w:val="none" w:sz="0" w:space="0" w:color="auto"/>
        <w:left w:val="none" w:sz="0" w:space="0" w:color="auto"/>
        <w:bottom w:val="none" w:sz="0" w:space="0" w:color="auto"/>
        <w:right w:val="none" w:sz="0" w:space="0" w:color="auto"/>
      </w:divBdr>
    </w:div>
    <w:div w:id="1572154443">
      <w:bodyDiv w:val="1"/>
      <w:marLeft w:val="0"/>
      <w:marRight w:val="0"/>
      <w:marTop w:val="0"/>
      <w:marBottom w:val="0"/>
      <w:divBdr>
        <w:top w:val="none" w:sz="0" w:space="0" w:color="auto"/>
        <w:left w:val="none" w:sz="0" w:space="0" w:color="auto"/>
        <w:bottom w:val="none" w:sz="0" w:space="0" w:color="auto"/>
        <w:right w:val="none" w:sz="0" w:space="0" w:color="auto"/>
      </w:divBdr>
    </w:div>
    <w:div w:id="1576892773">
      <w:bodyDiv w:val="1"/>
      <w:marLeft w:val="0"/>
      <w:marRight w:val="0"/>
      <w:marTop w:val="0"/>
      <w:marBottom w:val="0"/>
      <w:divBdr>
        <w:top w:val="none" w:sz="0" w:space="0" w:color="auto"/>
        <w:left w:val="none" w:sz="0" w:space="0" w:color="auto"/>
        <w:bottom w:val="none" w:sz="0" w:space="0" w:color="auto"/>
        <w:right w:val="none" w:sz="0" w:space="0" w:color="auto"/>
      </w:divBdr>
    </w:div>
    <w:div w:id="1718702199">
      <w:bodyDiv w:val="1"/>
      <w:marLeft w:val="0"/>
      <w:marRight w:val="0"/>
      <w:marTop w:val="0"/>
      <w:marBottom w:val="0"/>
      <w:divBdr>
        <w:top w:val="none" w:sz="0" w:space="0" w:color="auto"/>
        <w:left w:val="none" w:sz="0" w:space="0" w:color="auto"/>
        <w:bottom w:val="none" w:sz="0" w:space="0" w:color="auto"/>
        <w:right w:val="none" w:sz="0" w:space="0" w:color="auto"/>
      </w:divBdr>
    </w:div>
    <w:div w:id="1738939188">
      <w:bodyDiv w:val="1"/>
      <w:marLeft w:val="0"/>
      <w:marRight w:val="0"/>
      <w:marTop w:val="0"/>
      <w:marBottom w:val="0"/>
      <w:divBdr>
        <w:top w:val="none" w:sz="0" w:space="0" w:color="auto"/>
        <w:left w:val="none" w:sz="0" w:space="0" w:color="auto"/>
        <w:bottom w:val="none" w:sz="0" w:space="0" w:color="auto"/>
        <w:right w:val="none" w:sz="0" w:space="0" w:color="auto"/>
      </w:divBdr>
    </w:div>
    <w:div w:id="2025473979">
      <w:bodyDiv w:val="1"/>
      <w:marLeft w:val="0"/>
      <w:marRight w:val="0"/>
      <w:marTop w:val="0"/>
      <w:marBottom w:val="0"/>
      <w:divBdr>
        <w:top w:val="none" w:sz="0" w:space="0" w:color="auto"/>
        <w:left w:val="none" w:sz="0" w:space="0" w:color="auto"/>
        <w:bottom w:val="none" w:sz="0" w:space="0" w:color="auto"/>
        <w:right w:val="none" w:sz="0" w:space="0" w:color="auto"/>
      </w:divBdr>
    </w:div>
    <w:div w:id="2060936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117" Type="http://schemas.openxmlformats.org/officeDocument/2006/relationships/hyperlink" Target="https://www.prensa.com/impresa/opinion/hostigamiento-judicial/" TargetMode="External"/><Relationship Id="rId21" Type="http://schemas.openxmlformats.org/officeDocument/2006/relationships/hyperlink" Target="file:///C:\Users\Juana%20Camargo\Documents\Perfil-IG%20-%20copia\Informe\FINAL\08-06-2020-INFORME%20FINAL.docx" TargetMode="External"/><Relationship Id="rId42" Type="http://schemas.openxmlformats.org/officeDocument/2006/relationships/image" Target="media/image14.png"/><Relationship Id="rId47" Type="http://schemas.openxmlformats.org/officeDocument/2006/relationships/header" Target="header1.xml"/><Relationship Id="rId63" Type="http://schemas.openxmlformats.org/officeDocument/2006/relationships/image" Target="media/image18.png"/><Relationship Id="rId68" Type="http://schemas.openxmlformats.org/officeDocument/2006/relationships/chart" Target="charts/chart26.xml"/><Relationship Id="rId84" Type="http://schemas.openxmlformats.org/officeDocument/2006/relationships/chart" Target="charts/chart34.xml"/><Relationship Id="rId89" Type="http://schemas.openxmlformats.org/officeDocument/2006/relationships/hyperlink" Target="https://lac.unwomen.org/es/conozcanos/acerca-de-onu-mujeres" TargetMode="External"/><Relationship Id="rId112" Type="http://schemas.openxmlformats.org/officeDocument/2006/relationships/hyperlink" Target="https://www.paho.org/salud-en-las-americas-2017/wp-content/uploads/2017/09/Print-Version-Spanish.pdf" TargetMode="External"/><Relationship Id="rId133" Type="http://schemas.openxmlformats.org/officeDocument/2006/relationships/hyperlink" Target="https://www.prensa.com/impresa/panorama/complicado-camino-reformas_0_5431706869.html" TargetMode="External"/><Relationship Id="rId138" Type="http://schemas.openxmlformats.org/officeDocument/2006/relationships/hyperlink" Target="https://www.prensa.com/politica/Red-Derechos-Humanos-Panama-CIDH_0_4878262152.html" TargetMode="External"/><Relationship Id="rId16" Type="http://schemas.openxmlformats.org/officeDocument/2006/relationships/image" Target="media/image4.jpg"/><Relationship Id="rId107" Type="http://schemas.openxmlformats.org/officeDocument/2006/relationships/hyperlink" Target="https://mundo.sputniknews.com/economia/201901221084921855-ralentizacion-economia-china-causas-consecuencias-peligro-mundo/" TargetMode="External"/><Relationship Id="rId11" Type="http://schemas.openxmlformats.org/officeDocument/2006/relationships/footnotes" Target="footnotes.xml"/><Relationship Id="rId32" Type="http://schemas.openxmlformats.org/officeDocument/2006/relationships/hyperlink" Target="http://www.organojudicial.gob.pa" TargetMode="External"/><Relationship Id="rId37" Type="http://schemas.openxmlformats.org/officeDocument/2006/relationships/chart" Target="charts/chart4.xml"/><Relationship Id="rId53" Type="http://schemas.openxmlformats.org/officeDocument/2006/relationships/chart" Target="charts/chart13.xml"/><Relationship Id="rId58" Type="http://schemas.openxmlformats.org/officeDocument/2006/relationships/chart" Target="charts/chart17.xml"/><Relationship Id="rId74" Type="http://schemas.openxmlformats.org/officeDocument/2006/relationships/chart" Target="charts/chart28.xml"/><Relationship Id="rId79" Type="http://schemas.openxmlformats.org/officeDocument/2006/relationships/image" Target="media/image21.emf"/><Relationship Id="rId102" Type="http://schemas.openxmlformats.org/officeDocument/2006/relationships/hyperlink" Target="http://www.exteriores.gob.es/Documents/FichasPais/PANAMA_FICHA%20PAIS.pdf" TargetMode="External"/><Relationship Id="rId123" Type="http://schemas.openxmlformats.org/officeDocument/2006/relationships/hyperlink" Target="http://www.css.gob.pa/web/29-abril-2019ob.html" TargetMode="External"/><Relationship Id="rId128" Type="http://schemas.openxmlformats.org/officeDocument/2006/relationships/hyperlink" Target="https://www.cepal.org/es/comunicados/pandemia-covid-19-llevara-la-mayor-contraccion-la-actividad-economica-la-historia-la" TargetMode="External"/><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www.unwomen.org/es/digital-library/publications/2015/01/beijing-declaration" TargetMode="External"/><Relationship Id="rId95" Type="http://schemas.openxmlformats.org/officeDocument/2006/relationships/hyperlink" Target="https://www.unicef.org/panama/sites/unicef.org.panama/files/2019-09/Brochure_Unicef_indice_de_Pobreza_2018.pdf" TargetMode="External"/><Relationship Id="rId22" Type="http://schemas.openxmlformats.org/officeDocument/2006/relationships/hyperlink" Target="file:///C:\Users\Juana%20Camargo\Documents\Perfil-IG%20-%20copia\Informe\FINAL\08-06-2020-INFORME%20FINAL.docx" TargetMode="External"/><Relationship Id="rId27" Type="http://schemas.microsoft.com/office/2018/08/relationships/commentsExtensible" Target="commentsExtensible.xml"/><Relationship Id="rId43" Type="http://schemas.openxmlformats.org/officeDocument/2006/relationships/chart" Target="charts/chart6.xml"/><Relationship Id="rId48" Type="http://schemas.openxmlformats.org/officeDocument/2006/relationships/footer" Target="footer1.xml"/><Relationship Id="rId64" Type="http://schemas.openxmlformats.org/officeDocument/2006/relationships/chart" Target="charts/chart22.xml"/><Relationship Id="rId69" Type="http://schemas.openxmlformats.org/officeDocument/2006/relationships/chart" Target="charts/chart27.xml"/><Relationship Id="rId113" Type="http://schemas.openxmlformats.org/officeDocument/2006/relationships/hyperlink" Target="https://www.refworld.org.es/cgi-bin/texis/vtx/rwmain?page=search&amp;skip=0&amp;query=&amp;coi=PAN" TargetMode="External"/><Relationship Id="rId118" Type="http://schemas.openxmlformats.org/officeDocument/2006/relationships/hyperlink" Target="http://www.anati.gob.pa/Transparencia/titulos/Titulos_Entregados_Agot14_Dic18.pdf" TargetMode="External"/><Relationship Id="rId134" Type="http://schemas.openxmlformats.org/officeDocument/2006/relationships/hyperlink" Target="https://apnews.com/1f8b6a20e290452cb67e561139c282b2" TargetMode="External"/><Relationship Id="rId139" Type="http://schemas.openxmlformats.org/officeDocument/2006/relationships/hyperlink" Target="https://www.panacamara.com/camara-de-comercio-industrias-y-agricultura-de-panama-presenta-propuesta-de-reformas-a-la-constitucion-nacional/" TargetMode="External"/><Relationship Id="rId8" Type="http://schemas.openxmlformats.org/officeDocument/2006/relationships/styles" Target="styles.xml"/><Relationship Id="rId51" Type="http://schemas.openxmlformats.org/officeDocument/2006/relationships/chart" Target="charts/chart11.xml"/><Relationship Id="rId72" Type="http://schemas.openxmlformats.org/officeDocument/2006/relationships/hyperlink" Target="https://news.un.org/es/story/2019/12/1467181" TargetMode="External"/><Relationship Id="rId80" Type="http://schemas.openxmlformats.org/officeDocument/2006/relationships/chart" Target="charts/chart31.xml"/><Relationship Id="rId85" Type="http://schemas.openxmlformats.org/officeDocument/2006/relationships/hyperlink" Target="https://www.who.int/water_sanitation_health/diseases-risks/es/" TargetMode="External"/><Relationship Id="rId93" Type="http://schemas.openxmlformats.org/officeDocument/2006/relationships/hyperlink" Target="https://www2.unwomen.org/-/media/headquarters/attachments/sections/news%20and%20events/stories/action%20plan%20on%20transformative%20financing%20for%20gewe.pdf?la=es&amp;vs=5344" TargetMode="External"/><Relationship Id="rId98" Type="http://schemas.openxmlformats.org/officeDocument/2006/relationships/hyperlink" Target="http://www.cepal.org/oig/noticias/noticias/1/50901/Brecha_digital_de_genero_Reflejo_de_la_desigualdad_social_-_Notas_para_la_igualdad_N%C2%B010.pdf" TargetMode="External"/><Relationship Id="rId121" Type="http://schemas.openxmlformats.org/officeDocument/2006/relationships/hyperlink" Target="https://inamu.gob.pa/historia-de-la-institucionalidad-de-las-mujeres-en-panama/" TargetMode="External"/><Relationship Id="rId14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microsoft.com/office/2011/relationships/commentsExtended" Target="commentsExtended.xm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chart" Target="charts/chart8.xml"/><Relationship Id="rId59" Type="http://schemas.openxmlformats.org/officeDocument/2006/relationships/chart" Target="charts/chart18.xml"/><Relationship Id="rId67" Type="http://schemas.openxmlformats.org/officeDocument/2006/relationships/chart" Target="charts/chart25.xml"/><Relationship Id="rId103" Type="http://schemas.openxmlformats.org/officeDocument/2006/relationships/hyperlink" Target="https://espanol.mapsofworld.com/search.php?query=panama&amp;sa=Buscar&amp;search=Search" TargetMode="External"/><Relationship Id="rId108" Type="http://schemas.openxmlformats.org/officeDocument/2006/relationships/hyperlink" Target="https://oig.cepal.org/es/paises/18/profile" TargetMode="External"/><Relationship Id="rId116" Type="http://schemas.openxmlformats.org/officeDocument/2006/relationships/hyperlink" Target="https://www.prensa.com/impresa/panorama/pacto-de-estado-pide-no-parchar-codigo-penal/" TargetMode="External"/><Relationship Id="rId124" Type="http://schemas.openxmlformats.org/officeDocument/2006/relationships/hyperlink" Target="http://minsa.gob.pa/noticia/campana-de-prevencion-y-combate-de-la-obesidad-infantil-en-panama-salva-tu-vida" TargetMode="External"/><Relationship Id="rId129" Type="http://schemas.openxmlformats.org/officeDocument/2006/relationships/hyperlink" Target="http://hdr.undp.org/sites/default/files/2018_human_development_statistical_update_es.pdf" TargetMode="External"/><Relationship Id="rId137" Type="http://schemas.openxmlformats.org/officeDocument/2006/relationships/hyperlink" Target="https://marcogandasegui19.blogspot.com/2019/11/la-nacion-panamena-es-soberana-e.html" TargetMode="External"/><Relationship Id="rId20" Type="http://schemas.openxmlformats.org/officeDocument/2006/relationships/hyperlink" Target="file:///C:\Users\Juana%20Camargo\Documents\Perfil-IG%20-%20copia\Informe\FINAL\08-06-2020-INFORME%20FINAL.docx" TargetMode="External"/><Relationship Id="rId41" Type="http://schemas.openxmlformats.org/officeDocument/2006/relationships/chart" Target="charts/chart5.xml"/><Relationship Id="rId54" Type="http://schemas.openxmlformats.org/officeDocument/2006/relationships/footer" Target="footer2.xml"/><Relationship Id="rId62" Type="http://schemas.openxmlformats.org/officeDocument/2006/relationships/chart" Target="charts/chart21.xml"/><Relationship Id="rId70" Type="http://schemas.openxmlformats.org/officeDocument/2006/relationships/hyperlink" Target="https://news.un.org/es/story/2019/12/1467181" TargetMode="External"/><Relationship Id="rId75" Type="http://schemas.openxmlformats.org/officeDocument/2006/relationships/chart" Target="charts/chart29.xml"/><Relationship Id="rId83" Type="http://schemas.openxmlformats.org/officeDocument/2006/relationships/chart" Target="charts/chart33.xml"/><Relationship Id="rId88" Type="http://schemas.openxmlformats.org/officeDocument/2006/relationships/hyperlink" Target="https://www.who.int/water_sanitation_health/diseases-risks/es/" TargetMode="External"/><Relationship Id="rId91" Type="http://schemas.openxmlformats.org/officeDocument/2006/relationships/hyperlink" Target="http://www.ohchr.org/SP/ProfessionalInterest/Pages/CEDAW.aspx" TargetMode="External"/><Relationship Id="rId96" Type="http://schemas.openxmlformats.org/officeDocument/2006/relationships/hyperlink" Target="https://www.unicef.org/panama/informes/ni%C3%B1os-ni%C3%B1as-y-adolescentes-en-panam%C3%A1" TargetMode="External"/><Relationship Id="rId111" Type="http://schemas.openxmlformats.org/officeDocument/2006/relationships/hyperlink" Target="https://www.ohchr.org/SP/Issues/Women/WRGS/Pages/WRGSIndex.aspx" TargetMode="External"/><Relationship Id="rId132" Type="http://schemas.openxmlformats.org/officeDocument/2006/relationships/hyperlink" Target="https://www.prensa.com/impresa/panorama/el-juego-de-las-risas-y-las-lagrimas-del-proceso-de-reformas-constitucionales/" TargetMode="External"/><Relationship Id="rId140" Type="http://schemas.openxmlformats.org/officeDocument/2006/relationships/hyperlink" Target="https://www.panacamara.com/camara-de-comercio-industrias-y-agricultura-de-panama-presenta-propuesta-de-reformas-a-la-constitucion-nacional/"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file:///C:\Users\Juana%20Camargo\Documents\Perfil-IG%20-%20copia\Informe\FINAL\08-06-2020-INFORME%20FINAL.docx" TargetMode="External"/><Relationship Id="rId28" Type="http://schemas.openxmlformats.org/officeDocument/2006/relationships/chart" Target="charts/chart1.xml"/><Relationship Id="rId36" Type="http://schemas.openxmlformats.org/officeDocument/2006/relationships/hyperlink" Target="https://www.cepal.org/es/comunicados/pandemia-covid-19-llevara-la-mayor-contraccion-la-actividad-economica-la-historia-la" TargetMode="External"/><Relationship Id="rId49" Type="http://schemas.openxmlformats.org/officeDocument/2006/relationships/chart" Target="charts/chart9.xml"/><Relationship Id="rId57" Type="http://schemas.openxmlformats.org/officeDocument/2006/relationships/chart" Target="charts/chart16.xml"/><Relationship Id="rId106" Type="http://schemas.openxmlformats.org/officeDocument/2006/relationships/hyperlink" Target="https://intradebid.org/perfil" TargetMode="External"/><Relationship Id="rId114" Type="http://schemas.openxmlformats.org/officeDocument/2006/relationships/hyperlink" Target="https://www.who.int/countries/pan/es/" TargetMode="External"/><Relationship Id="rId119" Type="http://schemas.openxmlformats.org/officeDocument/2006/relationships/hyperlink" Target="http://www.scielo.org.mx/scielo.php?script=sci_arttext&amp;pid=S0187-57952008000200007" TargetMode="External"/><Relationship Id="rId127" Type="http://schemas.openxmlformats.org/officeDocument/2006/relationships/hyperlink" Target="https://www.pa.undp.org/content/panama/es/home/post-2015/sdg-overview/goal-2.html" TargetMode="External"/><Relationship Id="rId10" Type="http://schemas.openxmlformats.org/officeDocument/2006/relationships/webSettings" Target="webSettings.xm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chart" Target="charts/chart12.xml"/><Relationship Id="rId60" Type="http://schemas.openxmlformats.org/officeDocument/2006/relationships/chart" Target="charts/chart19.xml"/><Relationship Id="rId65" Type="http://schemas.openxmlformats.org/officeDocument/2006/relationships/chart" Target="charts/chart23.xml"/><Relationship Id="rId73" Type="http://schemas.openxmlformats.org/officeDocument/2006/relationships/hyperlink" Target="https://news.un.org/es/story/2019/12/1467181" TargetMode="External"/><Relationship Id="rId78" Type="http://schemas.openxmlformats.org/officeDocument/2006/relationships/image" Target="media/image20.emf"/><Relationship Id="rId81" Type="http://schemas.openxmlformats.org/officeDocument/2006/relationships/image" Target="media/image22.emf"/><Relationship Id="rId86" Type="http://schemas.openxmlformats.org/officeDocument/2006/relationships/hyperlink" Target="https://www.who.int/water_sanitation_health/diseases-risks/es/" TargetMode="External"/><Relationship Id="rId94" Type="http://schemas.openxmlformats.org/officeDocument/2006/relationships/hyperlink" Target="http://www.undp.org.pa" TargetMode="External"/><Relationship Id="rId99" Type="http://schemas.openxmlformats.org/officeDocument/2006/relationships/hyperlink" Target="http://hdr.undp.org/sites/default/files/hdr2019_technical_notes.pdf" TargetMode="External"/><Relationship Id="rId101" Type="http://schemas.openxmlformats.org/officeDocument/2006/relationships/hyperlink" Target="https://www.inec.gob.pa/archivos/A231POBLACI%C3%93N%20PROTEGIDA_2018.pdf" TargetMode="External"/><Relationship Id="rId122" Type="http://schemas.openxmlformats.org/officeDocument/2006/relationships/hyperlink" Target="http://www.minsa.gob.pa/noticia/obesidad-y-sobrepeso-se-mantienen-como-principales-padecimientos-en-ninos-escolares" TargetMode="External"/><Relationship Id="rId130" Type="http://schemas.openxmlformats.org/officeDocument/2006/relationships/hyperlink" Target="https://www.prensa.com/impresa/martes-financiero/oit-debe-evitarse-el-cierre-de-empresas/?utm_source=newsletter&amp;utm_medium=email&amp;utm_campaign=titulares_tarde" TargetMode="External"/><Relationship Id="rId135" Type="http://schemas.openxmlformats.org/officeDocument/2006/relationships/hyperlink" Target="https://www.laestrella.com.pa/nacional/191101/galeria-segunda-jornada-protestas-panama" TargetMode="Externa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g"/><Relationship Id="rId39" Type="http://schemas.openxmlformats.org/officeDocument/2006/relationships/image" Target="media/image12.png"/><Relationship Id="rId109" Type="http://schemas.openxmlformats.org/officeDocument/2006/relationships/hyperlink" Target="https://www.bancomundial.org/es/publication/global-economic-prospects" TargetMode="External"/><Relationship Id="rId34" Type="http://schemas.openxmlformats.org/officeDocument/2006/relationships/hyperlink" Target="https://estadisticas.cepal.org/cepalstat/WEB_CEPALSTAT/estadisticasIndicadores.asp?idioma=e" TargetMode="External"/><Relationship Id="rId50" Type="http://schemas.openxmlformats.org/officeDocument/2006/relationships/chart" Target="charts/chart10.xml"/><Relationship Id="rId55" Type="http://schemas.openxmlformats.org/officeDocument/2006/relationships/chart" Target="charts/chart14.xml"/><Relationship Id="rId76" Type="http://schemas.openxmlformats.org/officeDocument/2006/relationships/chart" Target="charts/chart30.xml"/><Relationship Id="rId97" Type="http://schemas.openxmlformats.org/officeDocument/2006/relationships/hyperlink" Target="https://www.bancomundial.org/es/publication/global-economic-prospects" TargetMode="External"/><Relationship Id="rId104" Type="http://schemas.openxmlformats.org/officeDocument/2006/relationships/hyperlink" Target="https://extranet.who.int/sree/Reports?op=Replet&amp;name=%2FWHO_HQ_Reports%2FG2%2FPROD%2FEXT%2FTBCountryProfile&amp;ISO2=PA&amp;LAN=ES&amp;outtype=pdf" TargetMode="External"/><Relationship Id="rId120" Type="http://schemas.openxmlformats.org/officeDocument/2006/relationships/hyperlink" Target="https://inamu.gob.pa/inamu-rinde-informe-de-gestion-2014-2018/" TargetMode="External"/><Relationship Id="rId125" Type="http://schemas.openxmlformats.org/officeDocument/2006/relationships/hyperlink" Target="https://ppdpanama.org/proyectos/mapa-de-proyectos.html" TargetMode="External"/><Relationship Id="rId141" Type="http://schemas.openxmlformats.org/officeDocument/2006/relationships/hyperlink" Target="https://beijing20.unwomen.org/es/in-focus/human-rights" TargetMode="External"/><Relationship Id="rId7" Type="http://schemas.openxmlformats.org/officeDocument/2006/relationships/numbering" Target="numbering.xml"/><Relationship Id="rId71" Type="http://schemas.openxmlformats.org/officeDocument/2006/relationships/hyperlink" Target="https://news.un.org/es/story/2019/12/1467181" TargetMode="External"/><Relationship Id="rId92" Type="http://schemas.openxmlformats.org/officeDocument/2006/relationships/hyperlink" Target="https://lac.unwomen.org/es/que-hacemos/post-2015" TargetMode="External"/><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comments" Target="comments.xml"/><Relationship Id="rId40" Type="http://schemas.openxmlformats.org/officeDocument/2006/relationships/image" Target="media/image13.png"/><Relationship Id="rId45" Type="http://schemas.openxmlformats.org/officeDocument/2006/relationships/chart" Target="charts/chart7.xml"/><Relationship Id="rId66" Type="http://schemas.openxmlformats.org/officeDocument/2006/relationships/chart" Target="charts/chart24.xml"/><Relationship Id="rId87" Type="http://schemas.openxmlformats.org/officeDocument/2006/relationships/hyperlink" Target="https://www.who.int/water_sanitation_health/diseases-risks/es/" TargetMode="External"/><Relationship Id="rId110" Type="http://schemas.openxmlformats.org/officeDocument/2006/relationships/hyperlink" Target="https://www.ilo.org/dyn/normlex/es/f?p=1000:11110:0::NO:11110:P11110_COUNTRY_ID:102792" TargetMode="External"/><Relationship Id="rId115" Type="http://schemas.openxmlformats.org/officeDocument/2006/relationships/hyperlink" Target="https://www.wipo.int/directory/es/details.jsp?country_code=PA" TargetMode="External"/><Relationship Id="rId131" Type="http://schemas.openxmlformats.org/officeDocument/2006/relationships/hyperlink" Target="https://www.ilo.org/global/topics/equality-and-discrimination/epic/lang--es/index.htm" TargetMode="External"/><Relationship Id="rId136" Type="http://schemas.openxmlformats.org/officeDocument/2006/relationships/hyperlink" Target="http://www.lr21.com.uy/mundo/1414217-panama-gobierno-reprime-protestas-sociales-contra-reforma-constitucional" TargetMode="External"/><Relationship Id="rId61" Type="http://schemas.openxmlformats.org/officeDocument/2006/relationships/chart" Target="charts/chart20.xml"/><Relationship Id="rId82" Type="http://schemas.openxmlformats.org/officeDocument/2006/relationships/chart" Target="charts/chart32.xml"/><Relationship Id="rId19" Type="http://schemas.openxmlformats.org/officeDocument/2006/relationships/hyperlink" Target="file:///C:\Users\Juana%20Camargo\Documents\Perfil-IG%20-%20copia\Informe\FINAL\08-06-2020-INFORME%20FINAL.docx" TargetMode="External"/><Relationship Id="rId14" Type="http://schemas.openxmlformats.org/officeDocument/2006/relationships/image" Target="media/image2.png"/><Relationship Id="rId30" Type="http://schemas.openxmlformats.org/officeDocument/2006/relationships/chart" Target="charts/chart3.xml"/><Relationship Id="rId35" Type="http://schemas.openxmlformats.org/officeDocument/2006/relationships/hyperlink" Target="https://www.cepal.org/es/comunicados/pandemia-covid-19-llevara-la-mayor-contraccion-la-actividad-economica-la-historia-la" TargetMode="External"/><Relationship Id="rId56" Type="http://schemas.openxmlformats.org/officeDocument/2006/relationships/chart" Target="charts/chart15.xml"/><Relationship Id="rId77" Type="http://schemas.openxmlformats.org/officeDocument/2006/relationships/image" Target="media/image19.emf"/><Relationship Id="rId100" Type="http://schemas.openxmlformats.org/officeDocument/2006/relationships/hyperlink" Target="https://www.inec.gob.pa/publicaciones/Default3.aspx?ID_PUBLICACION=499&amp;ID_CATEGORIA=3&amp;ID_SUBCATEGORIA=10" TargetMode="External"/><Relationship Id="rId105" Type="http://schemas.openxmlformats.org/officeDocument/2006/relationships/hyperlink" Target="https://ilostat.ilo.org/es/data/country-profiles/" TargetMode="External"/><Relationship Id="rId126" Type="http://schemas.openxmlformats.org/officeDocument/2006/relationships/hyperlink" Target="https://www.pa.undp.org/content/panama/es/home/blog/el-genero-importa--tambien-en-las-cuestiones-ambientales.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ews.un.org/es/story/2019/12/1467181" TargetMode="External"/><Relationship Id="rId13" Type="http://schemas.openxmlformats.org/officeDocument/2006/relationships/hyperlink" Target="http://www.mingob.gob.pa/integrarte/que-es-integrarte/" TargetMode="External"/><Relationship Id="rId18" Type="http://schemas.openxmlformats.org/officeDocument/2006/relationships/hyperlink" Target="https://lac.unwomen.org/es/noticias-y-eventos/articulos/2020/02/campana-weps-panama" TargetMode="External"/><Relationship Id="rId3" Type="http://schemas.openxmlformats.org/officeDocument/2006/relationships/hyperlink" Target="http://hdr.undp.org/sites/default/files/2018_human_development_statistical_update_es.pdf" TargetMode="External"/><Relationship Id="rId21" Type="http://schemas.openxmlformats.org/officeDocument/2006/relationships/hyperlink" Target="https://www.unicef.org/panama/qu%C3%A9-hacemos" TargetMode="External"/><Relationship Id="rId7" Type="http://schemas.openxmlformats.org/officeDocument/2006/relationships/hyperlink" Target="https://primi.iom.int/es/movimientos-migratorios" TargetMode="External"/><Relationship Id="rId12" Type="http://schemas.openxmlformats.org/officeDocument/2006/relationships/hyperlink" Target="http://www.mingob.gob.pa/sistemapenitenciario/programa-especial-de-atencion-para-%20mujeres-privadas-de-libertad/" TargetMode="External"/><Relationship Id="rId17" Type="http://schemas.openxmlformats.org/officeDocument/2006/relationships/hyperlink" Target="https://impresa.prensa.com/economia/Discapacidad-adversidad-dificil-entorno-laboral_0_5438456154.html" TargetMode="External"/><Relationship Id="rId2" Type="http://schemas.openxmlformats.org/officeDocument/2006/relationships/hyperlink" Target="https://www.panacamara.com/camara-de-comercio-industrias-y-agricultura-de-panama-presenta-propuesta-de-reformas-a-la-constitucion-nacional/" TargetMode="External"/><Relationship Id="rId16" Type="http://schemas.openxmlformats.org/officeDocument/2006/relationships/hyperlink" Target="http://www.defensoriadelpueblo.gob.pa/portal/informe-anual/" TargetMode="External"/><Relationship Id="rId20" Type="http://schemas.openxmlformats.org/officeDocument/2006/relationships/hyperlink" Target="https://www.pa.undp.org/content/panama/es/home/projects/fortalecimiento-instituto-nacional-de-la-mujer.html" TargetMode="External"/><Relationship Id="rId1" Type="http://schemas.openxmlformats.org/officeDocument/2006/relationships/hyperlink" Target="https://www.cepal.org/es/comunicados/pandemia-covid-19-llevara-la-mayor-contraccion-la-actividad-economica-la-historia-la" TargetMode="External"/><Relationship Id="rId6" Type="http://schemas.openxmlformats.org/officeDocument/2006/relationships/hyperlink" Target="http://minsa.gob.pa/noticia/campana-de-prevencion-y-combate-de-la-obesidad-infantil-en-panama-salva-tu-vida" TargetMode="External"/><Relationship Id="rId11" Type="http://schemas.openxmlformats.org/officeDocument/2006/relationships/hyperlink" Target="http://www.mingob.gob.pa/sistemapenitenciario/programa-especial-de-atencion-para-mujeres-privadas-de-libertad/" TargetMode="External"/><Relationship Id="rId5" Type="http://schemas.openxmlformats.org/officeDocument/2006/relationships/hyperlink" Target="http://www.cepal.org/oig/noticias/noticias/1/50901/Brecha_digital_de_genero_Reflejo_de_la_desigualdad_social_-_Notas_para_la_igualdad_N%C2%B010.pdf" TargetMode="External"/><Relationship Id="rId15" Type="http://schemas.openxmlformats.org/officeDocument/2006/relationships/hyperlink" Target="https://www.datosabiertos.gob.pa/dataset/poblacion-total-sistema-penal-juvenil-iei-junio-2019" TargetMode="External"/><Relationship Id="rId23" Type="http://schemas.openxmlformats.org/officeDocument/2006/relationships/hyperlink" Target="https://www.unicef.org/panama/media/616/file/%C2%BFQu%C3%A9%20est%C3%A1n%20haciendo%20las%20empresas%20por%20la%20ni%C3%B1ez%20en%20Panam%C3%A1?.pdf" TargetMode="External"/><Relationship Id="rId10" Type="http://schemas.openxmlformats.org/officeDocument/2006/relationships/hyperlink" Target="http://www.mingob.gob.pa/sistemapenitenciario/programas-y-beneficios/s" TargetMode="External"/><Relationship Id="rId19" Type="http://schemas.openxmlformats.org/officeDocument/2006/relationships/hyperlink" Target="https://www.pa.undp.org/content/panama/es/home/presscenter/articles/2019/pnud--compromiso-con-la-igualdad.html" TargetMode="External"/><Relationship Id="rId4" Type="http://schemas.openxmlformats.org/officeDocument/2006/relationships/hyperlink" Target="https://www.ilo.org/global/topics/equality-and-discrimination/epic/lang--es/index.htm" TargetMode="External"/><Relationship Id="rId9" Type="http://schemas.openxmlformats.org/officeDocument/2006/relationships/hyperlink" Target="https://reliefweb.int/sites/reliefweb.int/files/resources/UNICEF%20Panama%20Humanitarian%20Situation%20Report%20No.%201%20August%20to%20December%202019%20%28Spanish%29.pdf" TargetMode="External"/><Relationship Id="rId14" Type="http://schemas.openxmlformats.org/officeDocument/2006/relationships/hyperlink" Target="https://www.datosabiertos.gob.pa/dataset/poblacion-total-sistema-penal-juvenil-iei-junio-2019" TargetMode="External"/><Relationship Id="rId22" Type="http://schemas.openxmlformats.org/officeDocument/2006/relationships/hyperlink" Target="https://www.unicef.org/panama/media/746/file/Progreso%20para%20todos%20los%20ni%C3%B1os%20en%20la%20era%20de%20los%20OD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2018\AA-EST.IMP.AMB\PANAM&#193;\PARQUE%20LEFEVRE\BAH&#205;A%20DEL%20GOLF22MAYO2017.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Ana%20P.%20-%20Docencia\Xiomi%20Perfil%20y%20Afro\PERFIL%20Gen%20y%20Educ\Educaci&#243;n\Estadisticas%20educativas%20genero%202010-2018.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11.xml.rels><?xml version="1.0" encoding="UTF-8" standalone="yes"?>
<Relationships xmlns="http://schemas.openxmlformats.org/package/2006/relationships"><Relationship Id="rId3" Type="http://schemas.openxmlformats.org/officeDocument/2006/relationships/image" Target="../media/image16.jpg"/><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Ana%20P.%20-%20Docencia\Xiomi%20Perfil%20y%20Afro\PERFIL%20Gen%20y%20Educ\Educaci&#243;n\Estadisticas%20educativas%20genero%202018.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F:\Any\Perfil%20Xiomi\Estadisticas%20educativas%20genero%202016.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13.xml.rels><?xml version="1.0" encoding="UTF-8" standalone="yes"?>
<Relationships xmlns="http://schemas.openxmlformats.org/package/2006/relationships"><Relationship Id="rId3" Type="http://schemas.openxmlformats.org/officeDocument/2006/relationships/oleObject" Target="file:///F:\Ana%20P.%20-%20Docencia\Xiomi%20Perfil%20y%20Afro\PERFIL%20Gen%20y%20Educ\Educaci&#243;n\Estadisticas%20educativas%20genero%202018.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image" Target="../media/image17.jpg"/><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5.xml"/><Relationship Id="rId4" Type="http://schemas.openxmlformats.org/officeDocument/2006/relationships/oleObject" Target="file:///C:\Users\Juana%20Camargo\Documents\Perfil-IG%20-%20copia\ANEXOS\juana-%20Copia%20de%20Estadisticas%20educativas%20genero%202018%20(002).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F:\Ana%20P.%20-%20Docencia\Xiomi%20Perfil%20y%20Afro\PERFIL%20Gen%20y%20Educ\Salud\Base%20Datos%20de%20salud%202018.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6.xml"/></Relationships>
</file>

<file path=word/charts/_rels/chart16.xml.rels><?xml version="1.0" encoding="UTF-8" standalone="yes"?>
<Relationships xmlns="http://schemas.openxmlformats.org/package/2006/relationships"><Relationship Id="rId3" Type="http://schemas.openxmlformats.org/officeDocument/2006/relationships/oleObject" Target="file:///F:\Ana%20P.%20-%20Docencia\Xiomi%20Perfil%20y%20Afro\PERFIL%20Gen%20y%20Educ\Salud\Base%20Datos%20de%20salud%202018.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7.xml"/></Relationships>
</file>

<file path=word/charts/_rels/chart17.xml.rels><?xml version="1.0" encoding="UTF-8" standalone="yes"?>
<Relationships xmlns="http://schemas.openxmlformats.org/package/2006/relationships"><Relationship Id="rId3" Type="http://schemas.openxmlformats.org/officeDocument/2006/relationships/oleObject" Target="file:///F:\Ana%20P.%20-%20Docencia\Xiomi%20Perfil%20y%20Afro\PERFIL%20Gen%20y%20Educ\Salud\Base%20Datos%20de%20salud%202018.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8.xml"/></Relationships>
</file>

<file path=word/charts/_rels/chart18.xml.rels><?xml version="1.0" encoding="UTF-8" standalone="yes"?>
<Relationships xmlns="http://schemas.openxmlformats.org/package/2006/relationships"><Relationship Id="rId3" Type="http://schemas.openxmlformats.org/officeDocument/2006/relationships/oleObject" Target="file:///F:\Ana%20P.%20-%20Docencia\Xiomi%20Perfil%20y%20Afro\PERFIL%20Gen%20y%20Educ\Salud\Base%20Datos%20de%20salud%202018.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9.xml"/></Relationships>
</file>

<file path=word/charts/_rels/chart19.xml.rels><?xml version="1.0" encoding="UTF-8" standalone="yes"?>
<Relationships xmlns="http://schemas.openxmlformats.org/package/2006/relationships"><Relationship Id="rId3" Type="http://schemas.openxmlformats.org/officeDocument/2006/relationships/oleObject" Target="file:///F:\Ana%20P.%20-%20Docencia\Xiomi%20Perfil%20y%20Afro\PERFIL%20Gen%20y%20Educ\Salud\Base%20Datos%20de%20salud%202018.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0.xml"/></Relationships>
</file>

<file path=word/charts/_rels/chart20.xml.rels><?xml version="1.0" encoding="UTF-8" standalone="yes"?>
<Relationships xmlns="http://schemas.openxmlformats.org/package/2006/relationships"><Relationship Id="rId3" Type="http://schemas.openxmlformats.org/officeDocument/2006/relationships/oleObject" Target="file:///F:\Ana%20P.%20-%20Docencia\Xiomi%20Perfil%20y%20Afro\PERFIL%20Gen%20y%20Educ\Salud\Base%20Datos%20de%20salud%202018.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1.xml"/></Relationships>
</file>

<file path=word/charts/_rels/chart21.xml.rels><?xml version="1.0" encoding="UTF-8" standalone="yes"?>
<Relationships xmlns="http://schemas.openxmlformats.org/package/2006/relationships"><Relationship Id="rId3" Type="http://schemas.openxmlformats.org/officeDocument/2006/relationships/oleObject" Target="file:///F:\Ana%20P.%20-%20Docencia\Xiomi%20Perfil%20y%20Afro\PERFIL%20Gen%20y%20Educ\Salud\Base%20Datos%20de%20salud%202018.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2.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Chevy\Downloads\Gra&#769;ficas%20comparativas%202019.xls"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Chevy\Downloads\Gra&#769;ficas%20comparativas%202019.xls"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Chevy\Downloads\Gra&#769;ficas%20comparativas%202019.xls"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C:\Users\Chevy\Desktop\Perfil%20de%20g&#233;nero%20pa&#237;s\Violencia\Estadisticas\Gra&#769;ficas%20comparativas%202019%20(1).xls" TargetMode="External"/><Relationship Id="rId2" Type="http://schemas.microsoft.com/office/2011/relationships/chartColorStyle" Target="colors22.xml"/><Relationship Id="rId1" Type="http://schemas.microsoft.com/office/2011/relationships/chartStyle" Target="style22.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Juana%20Camargo\Documents\EEM-EEM-EEM\Proyecto\AECID-INDIGENA\Cronograma%20de%20formulaci&#243;n%20EMBERA.xlsx" TargetMode="External"/><Relationship Id="rId2" Type="http://schemas.microsoft.com/office/2011/relationships/chartColorStyle" Target="colors23.xml"/><Relationship Id="rId1" Type="http://schemas.microsoft.com/office/2011/relationships/chartStyle" Target="style23.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Chevy\Desktop\Desktop\Perfil%20de%20g&#233;nero%20pa&#237;s\migraci&#243;n\irregulares_por-_darien_diciembre_2019%20(4).xlsx" TargetMode="External"/><Relationship Id="rId2" Type="http://schemas.microsoft.com/office/2011/relationships/chartColorStyle" Target="colors24.xml"/><Relationship Id="rId1" Type="http://schemas.microsoft.com/office/2011/relationships/chartStyle" Target="style24.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5.xml"/><Relationship Id="rId1" Type="http://schemas.microsoft.com/office/2011/relationships/chartStyle" Target="style25.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min\AppData\Roaming\Microsoft\Excel\AGROFORESTAL-28DIC2017%20(version%201).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F:\2018\AA-EST.IMP.AMB\PROCESAMIENTO-2015\AGROFORESTAL-28DIC2017.xls"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dmin\AppData\Roaming\Microsoft\Excel\AGROFORESTAL-28DIC2017%20(version%201).xls" TargetMode="Externa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6.xml"/><Relationship Id="rId1" Type="http://schemas.microsoft.com/office/2011/relationships/chartStyle" Target="style26.xml"/></Relationships>
</file>

<file path=word/charts/_rels/chart32.xml.rels><?xml version="1.0" encoding="UTF-8" standalone="yes"?>
<Relationships xmlns="http://schemas.openxmlformats.org/package/2006/relationships"><Relationship Id="rId1" Type="http://schemas.openxmlformats.org/officeDocument/2006/relationships/oleObject" Target="file:///F:\2018\AA-EST.IMP.AMB\PANAM&#193;\PARQUE%20LEFEVRE\BAH&#205;A%20DEL%20GOLF22MAYO2017.xls"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F:\2018\AA-EST.IMP.AMB\PANAM&#193;\PARQUE%20LEFEVRE\BAH&#205;A%20DEL%20GOLF22MAYO2017.xls" TargetMode="External"/><Relationship Id="rId2" Type="http://schemas.microsoft.com/office/2011/relationships/chartColorStyle" Target="colors27.xml"/><Relationship Id="rId1" Type="http://schemas.microsoft.com/office/2011/relationships/chartStyle" Target="style27.xml"/></Relationships>
</file>

<file path=word/charts/_rels/chart34.xml.rels><?xml version="1.0" encoding="UTF-8" standalone="yes"?>
<Relationships xmlns="http://schemas.openxmlformats.org/package/2006/relationships"><Relationship Id="rId3" Type="http://schemas.openxmlformats.org/officeDocument/2006/relationships/oleObject" Target="file:///F:\2018\AAA-CONSULTORIAS\AA-PERFIL%20DE%20G&#201;NERO%20PA&#205;S\INFORME%20FINAL\DISCAPACIDAD-ENCUESTA%20HOGARES-2019.-2xls.xls" TargetMode="External"/><Relationship Id="rId2" Type="http://schemas.microsoft.com/office/2011/relationships/chartColorStyle" Target="colors28.xml"/><Relationship Id="rId1" Type="http://schemas.microsoft.com/office/2011/relationships/chartStyle" Target="style28.xml"/></Relationships>
</file>

<file path=word/charts/_rels/chart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themeOverride" Target="../theme/themeOverride1.xml"/><Relationship Id="rId4" Type="http://schemas.openxmlformats.org/officeDocument/2006/relationships/oleObject" Target="file:///C:\Users\Juana%20Camargo\Documents\BASE%20DATOS\INEC-PIB\TRABAJOP8771Cuadro%201.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Juana%20Camargo\Documents\Perfil-IG%20-%20copia\Indicadores\Cuadros.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uana%20Camargo\Documents\Perfil-IG%20-%20copia\Indicadores\Cuadros.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F:\Ana%20P.%20-%20Docencia\Xiomi%20Perfil%20y%20Afro\PERFIL%20Gen%20y%20Educ\Educaci&#243;n\Estadisticas%20educativas%20genero%202018.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F:\Ana%20P.%20-%20Docencia\Xiomi%20Perfil%20y%20Afro\PERFIL%20Gen%20y%20Educ\Educaci&#243;n\Estadisticas%20educativas%20genero%202010-2018.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file:///F:\Ana%20P.%20-%20Docencia\Xiomi%20Perfil%20y%20Afro\PERFIL%20Gen%20y%20Educ\Educaci&#243;n\Estadisticas%20educativas%20genero%202018.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US" sz="1000"/>
              <a:t> </a:t>
            </a:r>
          </a:p>
        </c:rich>
      </c:tx>
      <c:layout>
        <c:manualLayout>
          <c:xMode val="edge"/>
          <c:yMode val="edge"/>
          <c:x val="0.10723514062938326"/>
          <c:y val="1.116486788239672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362085595815896"/>
          <c:y val="2.7513047657282515E-2"/>
          <c:w val="0.82953678191397373"/>
          <c:h val="0.95775460147868563"/>
        </c:manualLayout>
      </c:layout>
      <c:barChart>
        <c:barDir val="bar"/>
        <c:grouping val="clustered"/>
        <c:varyColors val="0"/>
        <c:ser>
          <c:idx val="0"/>
          <c:order val="0"/>
          <c:spPr>
            <a:solidFill>
              <a:srgbClr val="9933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Hoja1!$A$185:$A$199</c:f>
              <c:strCache>
                <c:ptCount val="15"/>
                <c:pt idx="0">
                  <c:v>1945 – 1945</c:v>
                </c:pt>
                <c:pt idx="1">
                  <c:v>1948 – 1952</c:v>
                </c:pt>
                <c:pt idx="2">
                  <c:v>1952 – 1956</c:v>
                </c:pt>
                <c:pt idx="3">
                  <c:v>1956 – 1960</c:v>
                </c:pt>
                <c:pt idx="4">
                  <c:v>1960 -  1964 </c:v>
                </c:pt>
                <c:pt idx="5">
                  <c:v>1964 – 1968</c:v>
                </c:pt>
                <c:pt idx="6">
                  <c:v>1968</c:v>
                </c:pt>
                <c:pt idx="7">
                  <c:v>1984 – 1989</c:v>
                </c:pt>
                <c:pt idx="8">
                  <c:v>1989 – 1994</c:v>
                </c:pt>
                <c:pt idx="9">
                  <c:v>1994 – 1999</c:v>
                </c:pt>
                <c:pt idx="10">
                  <c:v>1999 – 2004</c:v>
                </c:pt>
                <c:pt idx="11">
                  <c:v>2004 - 2009</c:v>
                </c:pt>
                <c:pt idx="12">
                  <c:v>2009 – 2014</c:v>
                </c:pt>
                <c:pt idx="13">
                  <c:v>2014 – 2019</c:v>
                </c:pt>
                <c:pt idx="14">
                  <c:v>2019 – 2024</c:v>
                </c:pt>
              </c:strCache>
            </c:strRef>
          </c:cat>
          <c:val>
            <c:numRef>
              <c:f>Hoja1!$B$185:$B$199</c:f>
              <c:numCache>
                <c:formatCode>General</c:formatCode>
                <c:ptCount val="15"/>
                <c:pt idx="0">
                  <c:v>2</c:v>
                </c:pt>
                <c:pt idx="1">
                  <c:v>1</c:v>
                </c:pt>
                <c:pt idx="2">
                  <c:v>1</c:v>
                </c:pt>
                <c:pt idx="3">
                  <c:v>3</c:v>
                </c:pt>
                <c:pt idx="4">
                  <c:v>2</c:v>
                </c:pt>
                <c:pt idx="5">
                  <c:v>1</c:v>
                </c:pt>
                <c:pt idx="6">
                  <c:v>2</c:v>
                </c:pt>
                <c:pt idx="7">
                  <c:v>4</c:v>
                </c:pt>
                <c:pt idx="8">
                  <c:v>5</c:v>
                </c:pt>
                <c:pt idx="9">
                  <c:v>7</c:v>
                </c:pt>
                <c:pt idx="10">
                  <c:v>7</c:v>
                </c:pt>
                <c:pt idx="11">
                  <c:v>12</c:v>
                </c:pt>
                <c:pt idx="12">
                  <c:v>6</c:v>
                </c:pt>
                <c:pt idx="13">
                  <c:v>13</c:v>
                </c:pt>
                <c:pt idx="14">
                  <c:v>16</c:v>
                </c:pt>
              </c:numCache>
            </c:numRef>
          </c:val>
          <c:extLst>
            <c:ext xmlns:c16="http://schemas.microsoft.com/office/drawing/2014/chart" uri="{C3380CC4-5D6E-409C-BE32-E72D297353CC}">
              <c16:uniqueId val="{00000000-7D17-41BE-A7FD-D1B57D9CDD29}"/>
            </c:ext>
          </c:extLst>
        </c:ser>
        <c:dLbls>
          <c:showLegendKey val="0"/>
          <c:showVal val="1"/>
          <c:showCatName val="0"/>
          <c:showSerName val="0"/>
          <c:showPercent val="0"/>
          <c:showBubbleSize val="0"/>
        </c:dLbls>
        <c:gapWidth val="150"/>
        <c:overlap val="-25"/>
        <c:axId val="759906240"/>
        <c:axId val="759898792"/>
      </c:barChart>
      <c:catAx>
        <c:axId val="759906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9898792"/>
        <c:crosses val="autoZero"/>
        <c:auto val="1"/>
        <c:lblAlgn val="ctr"/>
        <c:lblOffset val="100"/>
        <c:noMultiLvlLbl val="0"/>
      </c:catAx>
      <c:valAx>
        <c:axId val="759898792"/>
        <c:scaling>
          <c:orientation val="minMax"/>
        </c:scaling>
        <c:delete val="1"/>
        <c:axPos val="b"/>
        <c:numFmt formatCode="General" sourceLinked="1"/>
        <c:majorTickMark val="out"/>
        <c:minorTickMark val="none"/>
        <c:tickLblPos val="nextTo"/>
        <c:crossAx val="75990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01434517697296"/>
          <c:y val="1.8300514502459852E-2"/>
          <c:w val="0.82103640891042462"/>
          <c:h val="0.78836214630563861"/>
        </c:manualLayout>
      </c:layout>
      <c:bar3DChart>
        <c:barDir val="bar"/>
        <c:grouping val="clustered"/>
        <c:varyColors val="0"/>
        <c:ser>
          <c:idx val="0"/>
          <c:order val="0"/>
          <c:tx>
            <c:strRef>
              <c:f>'Piramide 10-18'!$AL$3</c:f>
              <c:strCache>
                <c:ptCount val="1"/>
                <c:pt idx="0">
                  <c:v>Niños</c:v>
                </c:pt>
              </c:strCache>
            </c:strRef>
          </c:tx>
          <c:spPr>
            <a:solidFill>
              <a:schemeClr val="accent1"/>
            </a:solidFill>
            <a:ln>
              <a:noFill/>
            </a:ln>
            <a:effectLst/>
            <a:sp3d/>
          </c:spPr>
          <c:invertIfNegative val="0"/>
          <c:cat>
            <c:strRef>
              <c:f>'Piramide 10-18'!$B$7:$B$16</c:f>
              <c:strCache>
                <c:ptCount val="10"/>
                <c:pt idx="0">
                  <c:v>Bocas del Toro</c:v>
                </c:pt>
                <c:pt idx="1">
                  <c:v>Chiriqui</c:v>
                </c:pt>
                <c:pt idx="2">
                  <c:v>Coclé</c:v>
                </c:pt>
                <c:pt idx="3">
                  <c:v>Colón</c:v>
                </c:pt>
                <c:pt idx="4">
                  <c:v>Darien</c:v>
                </c:pt>
                <c:pt idx="5">
                  <c:v>Herrera</c:v>
                </c:pt>
                <c:pt idx="6">
                  <c:v>Los Santos</c:v>
                </c:pt>
                <c:pt idx="7">
                  <c:v>Panamá</c:v>
                </c:pt>
                <c:pt idx="8">
                  <c:v>Veraguas</c:v>
                </c:pt>
                <c:pt idx="9">
                  <c:v>Comarcas</c:v>
                </c:pt>
              </c:strCache>
            </c:strRef>
          </c:cat>
          <c:val>
            <c:numRef>
              <c:f>'Piramide 10-18'!$R$7:$R$16</c:f>
              <c:numCache>
                <c:formatCode>General</c:formatCode>
                <c:ptCount val="10"/>
                <c:pt idx="0">
                  <c:v>6148</c:v>
                </c:pt>
                <c:pt idx="1">
                  <c:v>16921</c:v>
                </c:pt>
                <c:pt idx="2">
                  <c:v>8798</c:v>
                </c:pt>
                <c:pt idx="3">
                  <c:v>9446</c:v>
                </c:pt>
                <c:pt idx="4">
                  <c:v>2015</c:v>
                </c:pt>
                <c:pt idx="5">
                  <c:v>3871</c:v>
                </c:pt>
                <c:pt idx="6">
                  <c:v>2614</c:v>
                </c:pt>
                <c:pt idx="7">
                  <c:v>60491</c:v>
                </c:pt>
                <c:pt idx="8">
                  <c:v>8357</c:v>
                </c:pt>
                <c:pt idx="9">
                  <c:v>13489</c:v>
                </c:pt>
              </c:numCache>
            </c:numRef>
          </c:val>
          <c:extLst>
            <c:ext xmlns:c16="http://schemas.microsoft.com/office/drawing/2014/chart" uri="{C3380CC4-5D6E-409C-BE32-E72D297353CC}">
              <c16:uniqueId val="{00000000-160B-41D1-8F36-155AEDA3FFDB}"/>
            </c:ext>
          </c:extLst>
        </c:ser>
        <c:ser>
          <c:idx val="1"/>
          <c:order val="1"/>
          <c:tx>
            <c:strRef>
              <c:f>'Piramide 10-18'!$AK$3</c:f>
              <c:strCache>
                <c:ptCount val="1"/>
                <c:pt idx="0">
                  <c:v>Niñas</c:v>
                </c:pt>
              </c:strCache>
            </c:strRef>
          </c:tx>
          <c:spPr>
            <a:solidFill>
              <a:schemeClr val="accent2"/>
            </a:solidFill>
            <a:ln>
              <a:noFill/>
            </a:ln>
            <a:effectLst/>
            <a:sp3d/>
          </c:spPr>
          <c:invertIfNegative val="0"/>
          <c:cat>
            <c:strRef>
              <c:f>'Piramide 10-18'!$B$7:$B$16</c:f>
              <c:strCache>
                <c:ptCount val="10"/>
                <c:pt idx="0">
                  <c:v>Bocas del Toro</c:v>
                </c:pt>
                <c:pt idx="1">
                  <c:v>Chiriqui</c:v>
                </c:pt>
                <c:pt idx="2">
                  <c:v>Coclé</c:v>
                </c:pt>
                <c:pt idx="3">
                  <c:v>Colón</c:v>
                </c:pt>
                <c:pt idx="4">
                  <c:v>Darien</c:v>
                </c:pt>
                <c:pt idx="5">
                  <c:v>Herrera</c:v>
                </c:pt>
                <c:pt idx="6">
                  <c:v>Los Santos</c:v>
                </c:pt>
                <c:pt idx="7">
                  <c:v>Panamá</c:v>
                </c:pt>
                <c:pt idx="8">
                  <c:v>Veraguas</c:v>
                </c:pt>
                <c:pt idx="9">
                  <c:v>Comarcas</c:v>
                </c:pt>
              </c:strCache>
            </c:strRef>
          </c:cat>
          <c:val>
            <c:numRef>
              <c:f>'Piramide 10-18'!$S$7:$S$16</c:f>
              <c:numCache>
                <c:formatCode>General</c:formatCode>
                <c:ptCount val="10"/>
                <c:pt idx="0">
                  <c:v>6519</c:v>
                </c:pt>
                <c:pt idx="1">
                  <c:v>18444</c:v>
                </c:pt>
                <c:pt idx="2">
                  <c:v>9823</c:v>
                </c:pt>
                <c:pt idx="3">
                  <c:v>9916</c:v>
                </c:pt>
                <c:pt idx="4">
                  <c:v>2032</c:v>
                </c:pt>
                <c:pt idx="5">
                  <c:v>4368</c:v>
                </c:pt>
                <c:pt idx="6">
                  <c:v>2608</c:v>
                </c:pt>
                <c:pt idx="7">
                  <c:v>65051</c:v>
                </c:pt>
                <c:pt idx="8">
                  <c:v>9495</c:v>
                </c:pt>
                <c:pt idx="9">
                  <c:v>10911</c:v>
                </c:pt>
              </c:numCache>
            </c:numRef>
          </c:val>
          <c:extLst>
            <c:ext xmlns:c16="http://schemas.microsoft.com/office/drawing/2014/chart" uri="{C3380CC4-5D6E-409C-BE32-E72D297353CC}">
              <c16:uniqueId val="{00000001-160B-41D1-8F36-155AEDA3FFDB}"/>
            </c:ext>
          </c:extLst>
        </c:ser>
        <c:dLbls>
          <c:showLegendKey val="0"/>
          <c:showVal val="0"/>
          <c:showCatName val="0"/>
          <c:showSerName val="0"/>
          <c:showPercent val="0"/>
          <c:showBubbleSize val="0"/>
        </c:dLbls>
        <c:gapWidth val="150"/>
        <c:shape val="box"/>
        <c:axId val="759908200"/>
        <c:axId val="759907024"/>
        <c:axId val="0"/>
      </c:bar3DChart>
      <c:catAx>
        <c:axId val="759908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759907024"/>
        <c:crosses val="autoZero"/>
        <c:auto val="1"/>
        <c:lblAlgn val="ctr"/>
        <c:lblOffset val="100"/>
        <c:noMultiLvlLbl val="0"/>
      </c:catAx>
      <c:valAx>
        <c:axId val="759907024"/>
        <c:scaling>
          <c:orientation val="minMax"/>
          <c:max val="70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9908200"/>
        <c:crosses val="autoZero"/>
        <c:crossBetween val="between"/>
      </c:valAx>
      <c:spPr>
        <a:noFill/>
        <a:ln>
          <a:noFill/>
        </a:ln>
        <a:effectLst/>
      </c:spPr>
    </c:plotArea>
    <c:legend>
      <c:legendPos val="b"/>
      <c:layout>
        <c:manualLayout>
          <c:xMode val="edge"/>
          <c:yMode val="edge"/>
          <c:x val="0.74166324015418217"/>
          <c:y val="0.38305479311721297"/>
          <c:w val="0.19839396998452116"/>
          <c:h val="0.1169010502220197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PA"/>
              <a:t> </a:t>
            </a:r>
          </a:p>
        </c:rich>
      </c:tx>
      <c:layout>
        <c:manualLayout>
          <c:xMode val="edge"/>
          <c:yMode val="edge"/>
          <c:x val="9.9880252811950287E-2"/>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032643355478002E-2"/>
          <c:y val="0.10523990810759806"/>
          <c:w val="0.93531515571014257"/>
          <c:h val="0.79996341249713554"/>
        </c:manualLayout>
      </c:layout>
      <c:pie3DChart>
        <c:varyColors val="1"/>
        <c:ser>
          <c:idx val="0"/>
          <c:order val="0"/>
          <c:dPt>
            <c:idx val="0"/>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9190-4146-B059-23024A9C44AA}"/>
              </c:ext>
            </c:extLst>
          </c:dPt>
          <c:dPt>
            <c:idx val="1"/>
            <c:bubble3D val="0"/>
            <c:spPr>
              <a:blipFill>
                <a:blip xmlns:r="http://schemas.openxmlformats.org/officeDocument/2006/relationships" r:embed="rId3"/>
                <a:stretch>
                  <a:fillRect/>
                </a:stretch>
              </a:blipFill>
              <a:ln w="25400">
                <a:solidFill>
                  <a:schemeClr val="lt1"/>
                </a:solidFill>
              </a:ln>
              <a:effectLst/>
              <a:sp3d contourW="25400">
                <a:contourClr>
                  <a:schemeClr val="lt1"/>
                </a:contourClr>
              </a:sp3d>
            </c:spPr>
            <c:extLst>
              <c:ext xmlns:c16="http://schemas.microsoft.com/office/drawing/2014/chart" uri="{C3380CC4-5D6E-409C-BE32-E72D297353CC}">
                <c16:uniqueId val="{00000003-9190-4146-B059-23024A9C44AA}"/>
              </c:ext>
            </c:extLst>
          </c:dPt>
          <c:dLbls>
            <c:dLbl>
              <c:idx val="0"/>
              <c:layout>
                <c:manualLayout>
                  <c:x val="-0.19033296846862763"/>
                  <c:y val="3.684159056674512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90-4146-B059-23024A9C44AA}"/>
                </c:ext>
              </c:extLst>
            </c:dLbl>
            <c:dLbl>
              <c:idx val="1"/>
              <c:layout>
                <c:manualLayout>
                  <c:x val="0.39951095856607666"/>
                  <c:y val="-5.1437407448060191E-2"/>
                </c:manualLayout>
              </c:layout>
              <c:showLegendKey val="0"/>
              <c:showVal val="1"/>
              <c:showCatName val="0"/>
              <c:showSerName val="0"/>
              <c:showPercent val="1"/>
              <c:showBubbleSize val="0"/>
              <c:extLst>
                <c:ext xmlns:c15="http://schemas.microsoft.com/office/drawing/2012/chart" uri="{CE6537A1-D6FC-4f65-9D91-7224C49458BB}">
                  <c15:layout>
                    <c:manualLayout>
                      <c:w val="0.19696544342213634"/>
                      <c:h val="0.16158389225558106"/>
                    </c:manualLayout>
                  </c15:layout>
                </c:ext>
                <c:ext xmlns:c16="http://schemas.microsoft.com/office/drawing/2014/chart" uri="{C3380CC4-5D6E-409C-BE32-E72D297353CC}">
                  <c16:uniqueId val="{00000003-9190-4146-B059-23024A9C44AA}"/>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UNIV2018!$C$6:$D$7</c:f>
              <c:strCache>
                <c:ptCount val="2"/>
                <c:pt idx="0">
                  <c:v>Hombres</c:v>
                </c:pt>
                <c:pt idx="1">
                  <c:v>Mujeres</c:v>
                </c:pt>
              </c:strCache>
            </c:strRef>
          </c:cat>
          <c:val>
            <c:numRef>
              <c:f>UNIV2018!$C$9:$D$9</c:f>
              <c:numCache>
                <c:formatCode>#,##0</c:formatCode>
                <c:ptCount val="2"/>
                <c:pt idx="0">
                  <c:v>70459.179000000004</c:v>
                </c:pt>
                <c:pt idx="1">
                  <c:v>111419.55300000001</c:v>
                </c:pt>
              </c:numCache>
            </c:numRef>
          </c:val>
          <c:extLst>
            <c:ext xmlns:c16="http://schemas.microsoft.com/office/drawing/2014/chart" uri="{C3380CC4-5D6E-409C-BE32-E72D297353CC}">
              <c16:uniqueId val="{00000004-9190-4146-B059-23024A9C44A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55524501744974186"/>
          <c:y val="0.19575353887807312"/>
          <c:w val="0.42988596827087944"/>
          <c:h val="7.7559967075697914E-2"/>
        </c:manualLayout>
      </c:layout>
      <c:overlay val="0"/>
      <c:spPr>
        <a:solidFill>
          <a:sysClr val="window" lastClr="FFFFFF"/>
        </a:solid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06492187458238"/>
          <c:y val="0.18793229181725599"/>
          <c:w val="0.88498840769903764"/>
          <c:h val="0.4739959051209926"/>
        </c:manualLayout>
      </c:layout>
      <c:bar3DChart>
        <c:barDir val="col"/>
        <c:grouping val="clustered"/>
        <c:varyColors val="0"/>
        <c:ser>
          <c:idx val="0"/>
          <c:order val="0"/>
          <c:tx>
            <c:strRef>
              <c:f>MatriUniv!$D$7</c:f>
              <c:strCache>
                <c:ptCount val="1"/>
                <c:pt idx="0">
                  <c:v>Hombres</c:v>
                </c:pt>
              </c:strCache>
            </c:strRef>
          </c:tx>
          <c:spPr>
            <a:solidFill>
              <a:schemeClr val="accent1"/>
            </a:solidFill>
            <a:ln>
              <a:noFill/>
            </a:ln>
            <a:effectLst/>
            <a:sp3d/>
          </c:spPr>
          <c:invertIfNegative val="0"/>
          <c:dLbls>
            <c:dLbl>
              <c:idx val="4"/>
              <c:layout>
                <c:manualLayout>
                  <c:x val="-7.6299475441106339E-3"/>
                  <c:y val="-3.6483823975221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DC-45B5-B082-A56C39604505}"/>
                </c:ext>
              </c:extLst>
            </c:dLbl>
            <c:dLbl>
              <c:idx val="9"/>
              <c:layout>
                <c:manualLayout>
                  <c:x val="-9.53743443013829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DC-45B5-B082-A56C39604505}"/>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MatriUniv!$A$14:$A$24</c:f>
              <c:strCache>
                <c:ptCount val="11"/>
                <c:pt idx="0">
                  <c:v>Comercio y Administración</c:v>
                </c:pt>
                <c:pt idx="1">
                  <c:v>Ciencias de la Educación </c:v>
                </c:pt>
                <c:pt idx="2">
                  <c:v>Ciencias de la Salud</c:v>
                </c:pt>
                <c:pt idx="3">
                  <c:v>Derecho</c:v>
                </c:pt>
                <c:pt idx="4">
                  <c:v>Artes</c:v>
                </c:pt>
                <c:pt idx="5">
                  <c:v>Ciencias Físicas</c:v>
                </c:pt>
                <c:pt idx="6">
                  <c:v>Matemáticas y Estadísticas</c:v>
                </c:pt>
                <c:pt idx="7">
                  <c:v>Informática</c:v>
                </c:pt>
                <c:pt idx="8">
                  <c:v>Ingeniería y Prof. Afines</c:v>
                </c:pt>
                <c:pt idx="9">
                  <c:v>Arquitectura y Construcción</c:v>
                </c:pt>
                <c:pt idx="10">
                  <c:v>Agricultura, Silvicultura y Pesca</c:v>
                </c:pt>
              </c:strCache>
            </c:strRef>
          </c:cat>
          <c:val>
            <c:numRef>
              <c:f>MatriUniv!$F$14:$F$24</c:f>
              <c:numCache>
                <c:formatCode>0%</c:formatCode>
                <c:ptCount val="11"/>
                <c:pt idx="0">
                  <c:v>0.32626412915547065</c:v>
                </c:pt>
                <c:pt idx="1">
                  <c:v>0.27061868498332586</c:v>
                </c:pt>
                <c:pt idx="2">
                  <c:v>0.27106254709871891</c:v>
                </c:pt>
                <c:pt idx="3">
                  <c:v>0.43128682759931569</c:v>
                </c:pt>
                <c:pt idx="4">
                  <c:v>0.50237467018469661</c:v>
                </c:pt>
                <c:pt idx="5">
                  <c:v>0.64591439688715957</c:v>
                </c:pt>
                <c:pt idx="6">
                  <c:v>0.67868268802848242</c:v>
                </c:pt>
                <c:pt idx="7">
                  <c:v>0.65286789514663901</c:v>
                </c:pt>
                <c:pt idx="8">
                  <c:v>0.73310927266459847</c:v>
                </c:pt>
                <c:pt idx="9">
                  <c:v>0.52703296703296698</c:v>
                </c:pt>
                <c:pt idx="10">
                  <c:v>0.60038910505836574</c:v>
                </c:pt>
              </c:numCache>
            </c:numRef>
          </c:val>
          <c:extLst>
            <c:ext xmlns:c16="http://schemas.microsoft.com/office/drawing/2014/chart" uri="{C3380CC4-5D6E-409C-BE32-E72D297353CC}">
              <c16:uniqueId val="{00000002-81DC-45B5-B082-A56C39604505}"/>
            </c:ext>
          </c:extLst>
        </c:ser>
        <c:ser>
          <c:idx val="1"/>
          <c:order val="1"/>
          <c:tx>
            <c:strRef>
              <c:f>MatriUniv!$E$7</c:f>
              <c:strCache>
                <c:ptCount val="1"/>
                <c:pt idx="0">
                  <c:v>Mujeres</c:v>
                </c:pt>
              </c:strCache>
            </c:strRef>
          </c:tx>
          <c:spPr>
            <a:solidFill>
              <a:schemeClr val="accent2"/>
            </a:solidFill>
            <a:ln>
              <a:noFill/>
            </a:ln>
            <a:effectLst/>
            <a:sp3d/>
          </c:spPr>
          <c:invertIfNegative val="0"/>
          <c:dLbls>
            <c:dLbl>
              <c:idx val="3"/>
              <c:layout>
                <c:manualLayout>
                  <c:x val="5.7224606580829757E-3"/>
                  <c:y val="-1.1940298507462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DC-45B5-B082-A56C39604505}"/>
                </c:ext>
              </c:extLst>
            </c:dLbl>
            <c:dLbl>
              <c:idx val="4"/>
              <c:layout>
                <c:manualLayout>
                  <c:x val="9.5374344301382922E-3"/>
                  <c:y val="3.6483823975221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DC-45B5-B082-A56C39604505}"/>
                </c:ext>
              </c:extLst>
            </c:dLbl>
            <c:dLbl>
              <c:idx val="5"/>
              <c:layout>
                <c:manualLayout>
                  <c:x val="1.5259895088221198E-2"/>
                  <c:y val="-7.29676479504429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DC-45B5-B082-A56C39604505}"/>
                </c:ext>
              </c:extLst>
            </c:dLbl>
            <c:dLbl>
              <c:idx val="6"/>
              <c:layout>
                <c:manualLayout>
                  <c:x val="1.9074868860276584E-2"/>
                  <c:y val="-7.29676479504429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DC-45B5-B082-A56C39604505}"/>
                </c:ext>
              </c:extLst>
            </c:dLbl>
            <c:dLbl>
              <c:idx val="7"/>
              <c:layout>
                <c:manualLayout>
                  <c:x val="1.7167381974248927E-2"/>
                  <c:y val="-3.9800995024875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DC-45B5-B082-A56C39604505}"/>
                </c:ext>
              </c:extLst>
            </c:dLbl>
            <c:dLbl>
              <c:idx val="8"/>
              <c:layout>
                <c:manualLayout>
                  <c:x val="1.335240820219361E-2"/>
                  <c:y val="-3.9800995024875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DC-45B5-B082-A56C39604505}"/>
                </c:ext>
              </c:extLst>
            </c:dLbl>
            <c:dLbl>
              <c:idx val="9"/>
              <c:layout>
                <c:manualLayout>
                  <c:x val="1.7167381974248927E-2"/>
                  <c:y val="-3.6483823975221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DC-45B5-B082-A56C39604505}"/>
                </c:ext>
              </c:extLst>
            </c:dLbl>
            <c:dLbl>
              <c:idx val="10"/>
              <c:layout>
                <c:manualLayout>
                  <c:x val="1.71673819742489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DC-45B5-B082-A56C3960450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MatriUniv!$A$14:$A$24</c:f>
              <c:strCache>
                <c:ptCount val="11"/>
                <c:pt idx="0">
                  <c:v>Comercio y Administración</c:v>
                </c:pt>
                <c:pt idx="1">
                  <c:v>Ciencias de la Educación </c:v>
                </c:pt>
                <c:pt idx="2">
                  <c:v>Ciencias de la Salud</c:v>
                </c:pt>
                <c:pt idx="3">
                  <c:v>Derecho</c:v>
                </c:pt>
                <c:pt idx="4">
                  <c:v>Artes</c:v>
                </c:pt>
                <c:pt idx="5">
                  <c:v>Ciencias Físicas</c:v>
                </c:pt>
                <c:pt idx="6">
                  <c:v>Matemáticas y Estadísticas</c:v>
                </c:pt>
                <c:pt idx="7">
                  <c:v>Informática</c:v>
                </c:pt>
                <c:pt idx="8">
                  <c:v>Ingeniería y Prof. Afines</c:v>
                </c:pt>
                <c:pt idx="9">
                  <c:v>Arquitectura y Construcción</c:v>
                </c:pt>
                <c:pt idx="10">
                  <c:v>Agricultura, Silvicultura y Pesca</c:v>
                </c:pt>
              </c:strCache>
            </c:strRef>
          </c:cat>
          <c:val>
            <c:numRef>
              <c:f>MatriUniv!$G$14:$G$24</c:f>
              <c:numCache>
                <c:formatCode>0%</c:formatCode>
                <c:ptCount val="11"/>
                <c:pt idx="0">
                  <c:v>0.67373587084452935</c:v>
                </c:pt>
                <c:pt idx="1">
                  <c:v>0.72938131501667414</c:v>
                </c:pt>
                <c:pt idx="2">
                  <c:v>0.72893745290128109</c:v>
                </c:pt>
                <c:pt idx="3">
                  <c:v>0.56871317240068431</c:v>
                </c:pt>
                <c:pt idx="4">
                  <c:v>0.49762532981530344</c:v>
                </c:pt>
                <c:pt idx="5">
                  <c:v>0.35408560311284049</c:v>
                </c:pt>
                <c:pt idx="6">
                  <c:v>0.32131731197151758</c:v>
                </c:pt>
                <c:pt idx="7">
                  <c:v>0.34713210485336099</c:v>
                </c:pt>
                <c:pt idx="8">
                  <c:v>0.26689072733540159</c:v>
                </c:pt>
                <c:pt idx="9">
                  <c:v>0.47296703296703296</c:v>
                </c:pt>
                <c:pt idx="10">
                  <c:v>0.39961089494163426</c:v>
                </c:pt>
              </c:numCache>
            </c:numRef>
          </c:val>
          <c:extLst>
            <c:ext xmlns:c16="http://schemas.microsoft.com/office/drawing/2014/chart" uri="{C3380CC4-5D6E-409C-BE32-E72D297353CC}">
              <c16:uniqueId val="{0000000B-81DC-45B5-B082-A56C39604505}"/>
            </c:ext>
          </c:extLst>
        </c:ser>
        <c:dLbls>
          <c:showLegendKey val="0"/>
          <c:showVal val="0"/>
          <c:showCatName val="0"/>
          <c:showSerName val="0"/>
          <c:showPercent val="0"/>
          <c:showBubbleSize val="0"/>
        </c:dLbls>
        <c:gapWidth val="150"/>
        <c:shape val="box"/>
        <c:axId val="568014296"/>
        <c:axId val="568009592"/>
        <c:axId val="0"/>
      </c:bar3DChart>
      <c:catAx>
        <c:axId val="568014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568009592"/>
        <c:crosses val="autoZero"/>
        <c:auto val="1"/>
        <c:lblAlgn val="ctr"/>
        <c:lblOffset val="100"/>
        <c:noMultiLvlLbl val="0"/>
      </c:catAx>
      <c:valAx>
        <c:axId val="568009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68014296"/>
        <c:crosses val="autoZero"/>
        <c:crossBetween val="between"/>
      </c:valAx>
      <c:spPr>
        <a:noFill/>
        <a:ln>
          <a:noFill/>
        </a:ln>
        <a:effectLst/>
      </c:spPr>
    </c:plotArea>
    <c:legend>
      <c:legendPos val="b"/>
      <c:layout>
        <c:manualLayout>
          <c:xMode val="edge"/>
          <c:yMode val="edge"/>
          <c:x val="0.76073326883019454"/>
          <c:y val="0.12170257253006957"/>
          <c:w val="0.2249965699297771"/>
          <c:h val="6.2150414554274308E-2"/>
        </c:manualLayout>
      </c:layout>
      <c:overlay val="0"/>
      <c:spPr>
        <a:solidFill>
          <a:sysClr val="window" lastClr="FFFFFF"/>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071959755030614E-2"/>
          <c:y val="5.7024350058432476E-2"/>
          <c:w val="0.88215026246719164"/>
          <c:h val="0.71948157940111512"/>
        </c:manualLayout>
      </c:layout>
      <c:bar3DChart>
        <c:barDir val="col"/>
        <c:grouping val="clustered"/>
        <c:varyColors val="0"/>
        <c:ser>
          <c:idx val="0"/>
          <c:order val="0"/>
          <c:tx>
            <c:strRef>
              <c:f>Embarazo!$B$2</c:f>
              <c:strCache>
                <c:ptCount val="1"/>
                <c:pt idx="0">
                  <c:v>2010</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Embarazo!$A$5:$A$14</c:f>
              <c:strCache>
                <c:ptCount val="10"/>
                <c:pt idx="0">
                  <c:v>Bocas del Toro</c:v>
                </c:pt>
                <c:pt idx="1">
                  <c:v>Chiriquí</c:v>
                </c:pt>
                <c:pt idx="2">
                  <c:v>Coclé</c:v>
                </c:pt>
                <c:pt idx="3">
                  <c:v>Colón</c:v>
                </c:pt>
                <c:pt idx="4">
                  <c:v>Comarcas</c:v>
                </c:pt>
                <c:pt idx="5">
                  <c:v>Darién</c:v>
                </c:pt>
                <c:pt idx="6">
                  <c:v>Herrera</c:v>
                </c:pt>
                <c:pt idx="7">
                  <c:v>Los Santos</c:v>
                </c:pt>
                <c:pt idx="8">
                  <c:v>Panamá</c:v>
                </c:pt>
                <c:pt idx="9">
                  <c:v>Veraguas</c:v>
                </c:pt>
              </c:strCache>
            </c:strRef>
          </c:cat>
          <c:val>
            <c:numRef>
              <c:f>Embarazo!$B$5:$B$14</c:f>
              <c:numCache>
                <c:formatCode>0</c:formatCode>
                <c:ptCount val="10"/>
                <c:pt idx="0">
                  <c:v>54.219512195121951</c:v>
                </c:pt>
                <c:pt idx="1">
                  <c:v>68.295731707317074</c:v>
                </c:pt>
                <c:pt idx="2">
                  <c:v>52.134146341463413</c:v>
                </c:pt>
                <c:pt idx="3">
                  <c:v>84.978658536585371</c:v>
                </c:pt>
                <c:pt idx="4">
                  <c:v>83.935975609756099</c:v>
                </c:pt>
                <c:pt idx="5">
                  <c:v>11.990853658536587</c:v>
                </c:pt>
                <c:pt idx="6">
                  <c:v>11.469512195121952</c:v>
                </c:pt>
                <c:pt idx="7">
                  <c:v>6.7774390243902438</c:v>
                </c:pt>
                <c:pt idx="8">
                  <c:v>265.88414634146341</c:v>
                </c:pt>
                <c:pt idx="9">
                  <c:v>44.835365853658537</c:v>
                </c:pt>
              </c:numCache>
            </c:numRef>
          </c:val>
          <c:extLst>
            <c:ext xmlns:c16="http://schemas.microsoft.com/office/drawing/2014/chart" uri="{C3380CC4-5D6E-409C-BE32-E72D297353CC}">
              <c16:uniqueId val="{00000000-611B-4360-BE4B-7FE6ABF62600}"/>
            </c:ext>
          </c:extLst>
        </c:ser>
        <c:ser>
          <c:idx val="1"/>
          <c:order val="1"/>
          <c:tx>
            <c:strRef>
              <c:f>Embarazo!$T$2</c:f>
              <c:strCache>
                <c:ptCount val="1"/>
                <c:pt idx="0">
                  <c:v>2016</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dLbl>
              <c:idx val="7"/>
              <c:layout>
                <c:manualLayout>
                  <c:x val="8.3333333333332309E-3"/>
                  <c:y val="-7.809636441980314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1B-4360-BE4B-7FE6ABF626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Embarazo!$A$5:$A$14</c:f>
              <c:strCache>
                <c:ptCount val="10"/>
                <c:pt idx="0">
                  <c:v>Bocas del Toro</c:v>
                </c:pt>
                <c:pt idx="1">
                  <c:v>Chiriquí</c:v>
                </c:pt>
                <c:pt idx="2">
                  <c:v>Coclé</c:v>
                </c:pt>
                <c:pt idx="3">
                  <c:v>Colón</c:v>
                </c:pt>
                <c:pt idx="4">
                  <c:v>Comarcas</c:v>
                </c:pt>
                <c:pt idx="5">
                  <c:v>Darién</c:v>
                </c:pt>
                <c:pt idx="6">
                  <c:v>Herrera</c:v>
                </c:pt>
                <c:pt idx="7">
                  <c:v>Los Santos</c:v>
                </c:pt>
                <c:pt idx="8">
                  <c:v>Panamá</c:v>
                </c:pt>
                <c:pt idx="9">
                  <c:v>Veraguas</c:v>
                </c:pt>
              </c:strCache>
            </c:strRef>
          </c:cat>
          <c:val>
            <c:numRef>
              <c:f>Embarazo!$T$5:$T$14</c:f>
              <c:numCache>
                <c:formatCode>#,##0</c:formatCode>
                <c:ptCount val="10"/>
                <c:pt idx="0">
                  <c:v>142</c:v>
                </c:pt>
                <c:pt idx="1">
                  <c:v>164</c:v>
                </c:pt>
                <c:pt idx="2">
                  <c:v>97</c:v>
                </c:pt>
                <c:pt idx="3">
                  <c:v>157</c:v>
                </c:pt>
                <c:pt idx="4">
                  <c:v>205</c:v>
                </c:pt>
                <c:pt idx="5">
                  <c:v>26</c:v>
                </c:pt>
                <c:pt idx="6">
                  <c:v>36</c:v>
                </c:pt>
                <c:pt idx="7">
                  <c:v>4</c:v>
                </c:pt>
                <c:pt idx="8">
                  <c:v>393</c:v>
                </c:pt>
                <c:pt idx="9">
                  <c:v>60</c:v>
                </c:pt>
              </c:numCache>
            </c:numRef>
          </c:val>
          <c:extLst>
            <c:ext xmlns:c16="http://schemas.microsoft.com/office/drawing/2014/chart" uri="{C3380CC4-5D6E-409C-BE32-E72D297353CC}">
              <c16:uniqueId val="{00000002-611B-4360-BE4B-7FE6ABF62600}"/>
            </c:ext>
          </c:extLst>
        </c:ser>
        <c:dLbls>
          <c:showLegendKey val="0"/>
          <c:showVal val="0"/>
          <c:showCatName val="0"/>
          <c:showSerName val="0"/>
          <c:showPercent val="0"/>
          <c:showBubbleSize val="0"/>
        </c:dLbls>
        <c:gapWidth val="150"/>
        <c:shape val="box"/>
        <c:axId val="568017824"/>
        <c:axId val="568017432"/>
        <c:axId val="0"/>
      </c:bar3DChart>
      <c:catAx>
        <c:axId val="56801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017432"/>
        <c:crosses val="autoZero"/>
        <c:auto val="1"/>
        <c:lblAlgn val="ctr"/>
        <c:lblOffset val="100"/>
        <c:noMultiLvlLbl val="0"/>
      </c:catAx>
      <c:valAx>
        <c:axId val="568017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8017824"/>
        <c:crosses val="autoZero"/>
        <c:crossBetween val="between"/>
      </c:valAx>
      <c:spPr>
        <a:noFill/>
        <a:ln>
          <a:noFill/>
        </a:ln>
        <a:effectLst/>
      </c:spPr>
    </c:plotArea>
    <c:legend>
      <c:legendPos val="b"/>
      <c:layout>
        <c:manualLayout>
          <c:xMode val="edge"/>
          <c:yMode val="edge"/>
          <c:x val="0.53124496937882759"/>
          <c:y val="0.23801866619707676"/>
          <c:w val="0.18751006124234471"/>
          <c:h val="7.18854871575558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blipFill>
          <a:blip xmlns:r="http://schemas.openxmlformats.org/officeDocument/2006/relationships" r:embed="rId3"/>
          <a:stretch>
            <a:fillRect/>
          </a:stretch>
        </a:blipFill>
        <a:ln>
          <a:noFill/>
        </a:ln>
        <a:effectLst/>
        <a:sp3d/>
      </c:spPr>
    </c:sideWall>
    <c:backWall>
      <c:thickness val="0"/>
      <c:spPr>
        <a:blipFill dpi="0" rotWithShape="1">
          <a:blip xmlns:r="http://schemas.openxmlformats.org/officeDocument/2006/relationships" r:embed="rId3">
            <a:alphaModFix amt="54000"/>
          </a:blip>
          <a:srcRect/>
          <a:stretch>
            <a:fillRect/>
          </a:stretch>
        </a:blipFill>
        <a:ln>
          <a:noFill/>
        </a:ln>
        <a:effectLst/>
        <a:sp3d/>
      </c:spPr>
    </c:backWall>
    <c:plotArea>
      <c:layout>
        <c:manualLayout>
          <c:layoutTarget val="inner"/>
          <c:xMode val="edge"/>
          <c:yMode val="edge"/>
          <c:x val="7.3508275823974137E-2"/>
          <c:y val="1.7617931488133075E-2"/>
          <c:w val="0.89300919334612161"/>
          <c:h val="0.73392630764591571"/>
        </c:manualLayout>
      </c:layout>
      <c:bar3DChart>
        <c:barDir val="col"/>
        <c:grouping val="clustered"/>
        <c:varyColors val="0"/>
        <c:ser>
          <c:idx val="0"/>
          <c:order val="0"/>
          <c:tx>
            <c:strRef>
              <c:f>Centros!$G$3</c:f>
              <c:strCache>
                <c:ptCount val="1"/>
                <c:pt idx="0">
                  <c:v>Instalaciones Educativas</c:v>
                </c:pt>
              </c:strCache>
            </c:strRef>
          </c:tx>
          <c:spPr>
            <a:solidFill>
              <a:srgbClr val="00B050"/>
            </a:solidFill>
            <a:ln>
              <a:noFill/>
            </a:ln>
            <a:effectLst/>
            <a:sp3d/>
          </c:spPr>
          <c:invertIfNegative val="0"/>
          <c:dLbls>
            <c:dLbl>
              <c:idx val="8"/>
              <c:layout>
                <c:manualLayout>
                  <c:x val="4.9569207091885573E-2"/>
                  <c:y val="5.234673420336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83-41A1-925E-71777256C358}"/>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Centros!$A$4:$A$21</c:f>
              <c:strCache>
                <c:ptCount val="10"/>
                <c:pt idx="0">
                  <c:v>BOCAS DEL TORO</c:v>
                </c:pt>
                <c:pt idx="1">
                  <c:v>CHIRIQUÍ</c:v>
                </c:pt>
                <c:pt idx="2">
                  <c:v>COCLÉ</c:v>
                </c:pt>
                <c:pt idx="3">
                  <c:v>COLÓN</c:v>
                </c:pt>
                <c:pt idx="4">
                  <c:v>COMARCAS</c:v>
                </c:pt>
                <c:pt idx="5">
                  <c:v>DARIEN</c:v>
                </c:pt>
                <c:pt idx="6">
                  <c:v>HERRERA</c:v>
                </c:pt>
                <c:pt idx="7">
                  <c:v>LOS SANTOS</c:v>
                </c:pt>
                <c:pt idx="8">
                  <c:v>PANAMÁ</c:v>
                </c:pt>
                <c:pt idx="9">
                  <c:v>VERAGUAS</c:v>
                </c:pt>
              </c:strCache>
            </c:strRef>
          </c:cat>
          <c:val>
            <c:numRef>
              <c:f>Centros!$G$4:$G$21</c:f>
              <c:numCache>
                <c:formatCode>General</c:formatCode>
                <c:ptCount val="10"/>
                <c:pt idx="0">
                  <c:v>250</c:v>
                </c:pt>
                <c:pt idx="1">
                  <c:v>554</c:v>
                </c:pt>
                <c:pt idx="2">
                  <c:v>414</c:v>
                </c:pt>
                <c:pt idx="3">
                  <c:v>265</c:v>
                </c:pt>
                <c:pt idx="4">
                  <c:v>523</c:v>
                </c:pt>
                <c:pt idx="5">
                  <c:v>178</c:v>
                </c:pt>
                <c:pt idx="6">
                  <c:v>210</c:v>
                </c:pt>
                <c:pt idx="7">
                  <c:v>172</c:v>
                </c:pt>
                <c:pt idx="8">
                  <c:v>1168</c:v>
                </c:pt>
                <c:pt idx="9">
                  <c:v>521</c:v>
                </c:pt>
              </c:numCache>
            </c:numRef>
          </c:val>
          <c:extLst>
            <c:ext xmlns:c16="http://schemas.microsoft.com/office/drawing/2014/chart" uri="{C3380CC4-5D6E-409C-BE32-E72D297353CC}">
              <c16:uniqueId val="{00000001-8583-41A1-925E-71777256C358}"/>
            </c:ext>
          </c:extLst>
        </c:ser>
        <c:ser>
          <c:idx val="1"/>
          <c:order val="1"/>
          <c:tx>
            <c:strRef>
              <c:f>Centros!$H$3</c:f>
              <c:strCache>
                <c:ptCount val="1"/>
                <c:pt idx="0">
                  <c:v>Hombre</c:v>
                </c:pt>
              </c:strCache>
            </c:strRef>
          </c:tx>
          <c:spPr>
            <a:solidFill>
              <a:srgbClr val="FF9900"/>
            </a:solidFill>
            <a:ln>
              <a:noFill/>
            </a:ln>
            <a:effectLst/>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Centros!$A$4:$A$21</c:f>
              <c:strCache>
                <c:ptCount val="10"/>
                <c:pt idx="0">
                  <c:v>BOCAS DEL TORO</c:v>
                </c:pt>
                <c:pt idx="1">
                  <c:v>CHIRIQUÍ</c:v>
                </c:pt>
                <c:pt idx="2">
                  <c:v>COCLÉ</c:v>
                </c:pt>
                <c:pt idx="3">
                  <c:v>COLÓN</c:v>
                </c:pt>
                <c:pt idx="4">
                  <c:v>COMARCAS</c:v>
                </c:pt>
                <c:pt idx="5">
                  <c:v>DARIEN</c:v>
                </c:pt>
                <c:pt idx="6">
                  <c:v>HERRERA</c:v>
                </c:pt>
                <c:pt idx="7">
                  <c:v>LOS SANTOS</c:v>
                </c:pt>
                <c:pt idx="8">
                  <c:v>PANAMÁ</c:v>
                </c:pt>
                <c:pt idx="9">
                  <c:v>VERAGUAS</c:v>
                </c:pt>
              </c:strCache>
            </c:strRef>
          </c:cat>
          <c:val>
            <c:numRef>
              <c:f>Centros!$H$4:$H$21</c:f>
              <c:numCache>
                <c:formatCode>0</c:formatCode>
                <c:ptCount val="10"/>
                <c:pt idx="0">
                  <c:v>80.427999999999997</c:v>
                </c:pt>
                <c:pt idx="1">
                  <c:v>76.855595667870034</c:v>
                </c:pt>
                <c:pt idx="2">
                  <c:v>57</c:v>
                </c:pt>
                <c:pt idx="3">
                  <c:v>90.4188679245283</c:v>
                </c:pt>
                <c:pt idx="4">
                  <c:v>88.03632887189292</c:v>
                </c:pt>
                <c:pt idx="5">
                  <c:v>34.578651685393261</c:v>
                </c:pt>
                <c:pt idx="6">
                  <c:v>42.871428571428574</c:v>
                </c:pt>
                <c:pt idx="7">
                  <c:v>36.087209302325583</c:v>
                </c:pt>
                <c:pt idx="8">
                  <c:v>138.62585616438355</c:v>
                </c:pt>
                <c:pt idx="9">
                  <c:v>41.760076775431862</c:v>
                </c:pt>
              </c:numCache>
            </c:numRef>
          </c:val>
          <c:extLst>
            <c:ext xmlns:c16="http://schemas.microsoft.com/office/drawing/2014/chart" uri="{C3380CC4-5D6E-409C-BE32-E72D297353CC}">
              <c16:uniqueId val="{00000002-8583-41A1-925E-71777256C358}"/>
            </c:ext>
          </c:extLst>
        </c:ser>
        <c:ser>
          <c:idx val="2"/>
          <c:order val="2"/>
          <c:tx>
            <c:strRef>
              <c:f>Centros!$I$3</c:f>
              <c:strCache>
                <c:ptCount val="1"/>
                <c:pt idx="0">
                  <c:v>Mujer</c:v>
                </c:pt>
              </c:strCache>
            </c:strRef>
          </c:tx>
          <c:spPr>
            <a:solidFill>
              <a:srgbClr val="CC3399"/>
            </a:solidFill>
            <a:ln>
              <a:noFill/>
            </a:ln>
            <a:effectLst/>
            <a:sp3d/>
          </c:spPr>
          <c:invertIfNegative val="0"/>
          <c:dLbls>
            <c:dLbl>
              <c:idx val="0"/>
              <c:layout>
                <c:manualLayout>
                  <c:x val="1.34604480103443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83-41A1-925E-71777256C358}"/>
                </c:ext>
              </c:extLst>
            </c:dLbl>
            <c:dLbl>
              <c:idx val="1"/>
              <c:layout>
                <c:manualLayout>
                  <c:x val="1.12170400086202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83-41A1-925E-71777256C358}"/>
                </c:ext>
              </c:extLst>
            </c:dLbl>
            <c:dLbl>
              <c:idx val="2"/>
              <c:layout>
                <c:manualLayout>
                  <c:x val="1.12170400086202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83-41A1-925E-71777256C358}"/>
                </c:ext>
              </c:extLst>
            </c:dLbl>
            <c:dLbl>
              <c:idx val="3"/>
              <c:layout>
                <c:manualLayout>
                  <c:x val="2.0190672015516612E-2"/>
                  <c:y val="5.91570033856903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83-41A1-925E-71777256C358}"/>
                </c:ext>
              </c:extLst>
            </c:dLbl>
            <c:dLbl>
              <c:idx val="4"/>
              <c:layout>
                <c:manualLayout>
                  <c:x val="1.1217040008620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83-41A1-925E-71777256C358}"/>
                </c:ext>
              </c:extLst>
            </c:dLbl>
            <c:dLbl>
              <c:idx val="5"/>
              <c:layout>
                <c:manualLayout>
                  <c:x val="1.79472640137925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83-41A1-925E-71777256C358}"/>
                </c:ext>
              </c:extLst>
            </c:dLbl>
            <c:dLbl>
              <c:idx val="6"/>
              <c:layout>
                <c:manualLayout>
                  <c:x val="2.01906720155165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83-41A1-925E-71777256C358}"/>
                </c:ext>
              </c:extLst>
            </c:dLbl>
            <c:dLbl>
              <c:idx val="7"/>
              <c:layout>
                <c:manualLayout>
                  <c:x val="1.1217040008620175E-2"/>
                  <c:y val="5.91570033856893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83-41A1-925E-71777256C358}"/>
                </c:ext>
              </c:extLst>
            </c:dLbl>
            <c:dLbl>
              <c:idx val="8"/>
              <c:layout>
                <c:manualLayout>
                  <c:x val="2.0190729722939418E-2"/>
                  <c:y val="3.1643221417530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83-41A1-925E-71777256C358}"/>
                </c:ext>
              </c:extLst>
            </c:dLbl>
            <c:dLbl>
              <c:idx val="9"/>
              <c:layout>
                <c:manualLayout>
                  <c:x val="1.79472640137925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83-41A1-925E-71777256C358}"/>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90099"/>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Centros!$I$4:$I$21</c:f>
              <c:numCache>
                <c:formatCode>0</c:formatCode>
                <c:ptCount val="10"/>
                <c:pt idx="0">
                  <c:v>77.808000000000007</c:v>
                </c:pt>
                <c:pt idx="1">
                  <c:v>76.138989169675085</c:v>
                </c:pt>
                <c:pt idx="2">
                  <c:v>55.768115942028984</c:v>
                </c:pt>
                <c:pt idx="3">
                  <c:v>89.116981132075466</c:v>
                </c:pt>
                <c:pt idx="4">
                  <c:v>77.189292543021025</c:v>
                </c:pt>
                <c:pt idx="5">
                  <c:v>32.573033707865171</c:v>
                </c:pt>
                <c:pt idx="6">
                  <c:v>41.647619047619045</c:v>
                </c:pt>
                <c:pt idx="7">
                  <c:v>34.348837209302324</c:v>
                </c:pt>
                <c:pt idx="8">
                  <c:v>138.01198630136986</c:v>
                </c:pt>
                <c:pt idx="9">
                  <c:v>41</c:v>
                </c:pt>
              </c:numCache>
            </c:numRef>
          </c:val>
          <c:extLst>
            <c:ext xmlns:c16="http://schemas.microsoft.com/office/drawing/2014/chart" uri="{C3380CC4-5D6E-409C-BE32-E72D297353CC}">
              <c16:uniqueId val="{0000000D-8583-41A1-925E-71777256C358}"/>
            </c:ext>
          </c:extLst>
        </c:ser>
        <c:dLbls>
          <c:showLegendKey val="0"/>
          <c:showVal val="0"/>
          <c:showCatName val="0"/>
          <c:showSerName val="0"/>
          <c:showPercent val="0"/>
          <c:showBubbleSize val="0"/>
        </c:dLbls>
        <c:gapWidth val="150"/>
        <c:shape val="box"/>
        <c:axId val="505723488"/>
        <c:axId val="505733824"/>
        <c:axId val="0"/>
      </c:bar3DChart>
      <c:catAx>
        <c:axId val="505723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505733824"/>
        <c:crosses val="autoZero"/>
        <c:auto val="1"/>
        <c:lblAlgn val="ctr"/>
        <c:lblOffset val="100"/>
        <c:noMultiLvlLbl val="0"/>
      </c:catAx>
      <c:valAx>
        <c:axId val="50573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23488"/>
        <c:crosses val="autoZero"/>
        <c:crossBetween val="between"/>
      </c:valAx>
      <c:spPr>
        <a:noFill/>
        <a:ln>
          <a:noFill/>
        </a:ln>
        <a:effectLst/>
      </c:spPr>
    </c:plotArea>
    <c:legend>
      <c:legendPos val="b"/>
      <c:layout>
        <c:manualLayout>
          <c:xMode val="edge"/>
          <c:yMode val="edge"/>
          <c:x val="0.24830113658589018"/>
          <c:y val="0.88412777316359603"/>
          <c:w val="0.50705464270534861"/>
          <c:h val="5.6541656613255172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77537182852144"/>
          <c:y val="2.894494669647775E-2"/>
          <c:w val="0.87122462817147861"/>
          <c:h val="0.71065130201421445"/>
        </c:manualLayout>
      </c:layout>
      <c:lineChart>
        <c:grouping val="standard"/>
        <c:varyColors val="0"/>
        <c:ser>
          <c:idx val="0"/>
          <c:order val="0"/>
          <c:tx>
            <c:strRef>
              <c:f>Esperanza!$B$3</c:f>
              <c:strCache>
                <c:ptCount val="1"/>
                <c:pt idx="0">
                  <c:v>Hombre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2"/>
              <c:layout>
                <c:manualLayout>
                  <c:x val="-2.777777777777803E-3"/>
                  <c:y val="1.8885741265344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63-4F9B-B314-0341CA2038CA}"/>
                </c:ext>
              </c:extLst>
            </c:dLbl>
            <c:dLbl>
              <c:idx val="3"/>
              <c:layout>
                <c:manualLayout>
                  <c:x val="-5.0925337632079971E-17"/>
                  <c:y val="1.1331444759206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63-4F9B-B314-0341CA2038CA}"/>
                </c:ext>
              </c:extLst>
            </c:dLbl>
            <c:dLbl>
              <c:idx val="4"/>
              <c:layout>
                <c:manualLayout>
                  <c:x val="0"/>
                  <c:y val="2.2662889518413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63-4F9B-B314-0341CA2038CA}"/>
                </c:ext>
              </c:extLst>
            </c:dLbl>
            <c:dLbl>
              <c:idx val="5"/>
              <c:layout>
                <c:manualLayout>
                  <c:x val="-1.0185067526415994E-16"/>
                  <c:y val="2.2662889518413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63-4F9B-B314-0341CA2038C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Esperanza!$A$4:$A$17</c:f>
              <c:numCache>
                <c:formatCode>General</c:formatCode>
                <c:ptCount val="7"/>
                <c:pt idx="0">
                  <c:v>2000</c:v>
                </c:pt>
                <c:pt idx="1">
                  <c:v>2005</c:v>
                </c:pt>
                <c:pt idx="2">
                  <c:v>2010</c:v>
                </c:pt>
                <c:pt idx="3">
                  <c:v>2015</c:v>
                </c:pt>
                <c:pt idx="4">
                  <c:v>2020</c:v>
                </c:pt>
                <c:pt idx="5">
                  <c:v>2025</c:v>
                </c:pt>
                <c:pt idx="6">
                  <c:v>2030</c:v>
                </c:pt>
              </c:numCache>
            </c:numRef>
          </c:cat>
          <c:val>
            <c:numRef>
              <c:f>Esperanza!$B$4:$B$17</c:f>
              <c:numCache>
                <c:formatCode>0.00</c:formatCode>
                <c:ptCount val="7"/>
                <c:pt idx="0">
                  <c:v>71.8</c:v>
                </c:pt>
                <c:pt idx="1">
                  <c:v>72.400000000000006</c:v>
                </c:pt>
                <c:pt idx="2">
                  <c:v>73.7</c:v>
                </c:pt>
                <c:pt idx="3">
                  <c:v>74.78</c:v>
                </c:pt>
                <c:pt idx="4">
                  <c:v>77.599999999999994</c:v>
                </c:pt>
                <c:pt idx="5">
                  <c:v>78.349999999999994</c:v>
                </c:pt>
                <c:pt idx="6">
                  <c:v>79.099999999999994</c:v>
                </c:pt>
              </c:numCache>
            </c:numRef>
          </c:val>
          <c:smooth val="0"/>
          <c:extLst>
            <c:ext xmlns:c16="http://schemas.microsoft.com/office/drawing/2014/chart" uri="{C3380CC4-5D6E-409C-BE32-E72D297353CC}">
              <c16:uniqueId val="{00000004-E763-4F9B-B314-0341CA2038CA}"/>
            </c:ext>
          </c:extLst>
        </c:ser>
        <c:ser>
          <c:idx val="1"/>
          <c:order val="1"/>
          <c:tx>
            <c:strRef>
              <c:f>Esperanza!$C$3</c:f>
              <c:strCache>
                <c:ptCount val="1"/>
                <c:pt idx="0">
                  <c:v>Mujer</c:v>
                </c:pt>
              </c:strCache>
            </c:strRef>
          </c:tx>
          <c:spPr>
            <a:ln w="22225" cap="rnd">
              <a:solidFill>
                <a:srgbClr val="990099"/>
              </a:solidFill>
              <a:round/>
            </a:ln>
            <a:effectLst/>
          </c:spPr>
          <c:marker>
            <c:symbol val="square"/>
            <c:size val="6"/>
            <c:spPr>
              <a:solidFill>
                <a:srgbClr val="990099"/>
              </a:solidFill>
              <a:ln w="9525">
                <a:solidFill>
                  <a:srgbClr val="7030A0"/>
                </a:solidFill>
                <a:round/>
              </a:ln>
              <a:effectLst/>
            </c:spPr>
          </c:marker>
          <c:dLbls>
            <c:dLbl>
              <c:idx val="2"/>
              <c:layout>
                <c:manualLayout>
                  <c:x val="2.5462668816039986E-17"/>
                  <c:y val="3.7771482530689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63-4F9B-B314-0341CA2038CA}"/>
                </c:ext>
              </c:extLst>
            </c:dLbl>
            <c:dLbl>
              <c:idx val="3"/>
              <c:layout>
                <c:manualLayout>
                  <c:x val="-5.0925337632079971E-17"/>
                  <c:y val="2.2662889518413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63-4F9B-B314-0341CA2038CA}"/>
                </c:ext>
              </c:extLst>
            </c:dLbl>
            <c:dLbl>
              <c:idx val="4"/>
              <c:layout>
                <c:manualLayout>
                  <c:x val="-2.7777777777777779E-3"/>
                  <c:y val="2.644003777148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63-4F9B-B314-0341CA2038CA}"/>
                </c:ext>
              </c:extLst>
            </c:dLbl>
            <c:dLbl>
              <c:idx val="5"/>
              <c:layout>
                <c:manualLayout>
                  <c:x val="-1.0185067526415994E-16"/>
                  <c:y val="3.7771482530689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63-4F9B-B314-0341CA2038C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Esperanza!$A$4:$A$17</c:f>
              <c:numCache>
                <c:formatCode>General</c:formatCode>
                <c:ptCount val="7"/>
                <c:pt idx="0">
                  <c:v>2000</c:v>
                </c:pt>
                <c:pt idx="1">
                  <c:v>2005</c:v>
                </c:pt>
                <c:pt idx="2">
                  <c:v>2010</c:v>
                </c:pt>
                <c:pt idx="3">
                  <c:v>2015</c:v>
                </c:pt>
                <c:pt idx="4">
                  <c:v>2020</c:v>
                </c:pt>
                <c:pt idx="5">
                  <c:v>2025</c:v>
                </c:pt>
                <c:pt idx="6">
                  <c:v>2030</c:v>
                </c:pt>
              </c:numCache>
            </c:numRef>
          </c:cat>
          <c:val>
            <c:numRef>
              <c:f>Esperanza!$C$4:$C$17</c:f>
              <c:numCache>
                <c:formatCode>0.00</c:formatCode>
                <c:ptCount val="7"/>
                <c:pt idx="0">
                  <c:v>76.8</c:v>
                </c:pt>
                <c:pt idx="1">
                  <c:v>77.599999999999994</c:v>
                </c:pt>
                <c:pt idx="2">
                  <c:v>79.900000000000006</c:v>
                </c:pt>
                <c:pt idx="3">
                  <c:v>80.87</c:v>
                </c:pt>
                <c:pt idx="4">
                  <c:v>83.42</c:v>
                </c:pt>
                <c:pt idx="5">
                  <c:v>84.11</c:v>
                </c:pt>
                <c:pt idx="6">
                  <c:v>84.8</c:v>
                </c:pt>
              </c:numCache>
            </c:numRef>
          </c:val>
          <c:smooth val="0"/>
          <c:extLst>
            <c:ext xmlns:c16="http://schemas.microsoft.com/office/drawing/2014/chart" uri="{C3380CC4-5D6E-409C-BE32-E72D297353CC}">
              <c16:uniqueId val="{00000009-E763-4F9B-B314-0341CA2038CA}"/>
            </c:ext>
          </c:extLst>
        </c:ser>
        <c:ser>
          <c:idx val="2"/>
          <c:order val="2"/>
          <c:tx>
            <c:strRef>
              <c:f>Esperanza!$D$2:$D$3</c:f>
              <c:strCache>
                <c:ptCount val="2"/>
                <c:pt idx="0">
                  <c:v>Promedio</c:v>
                </c:pt>
              </c:strCache>
            </c:strRef>
          </c:tx>
          <c:spPr>
            <a:ln w="22225" cap="rnd">
              <a:solidFill>
                <a:schemeClr val="accent3"/>
              </a:solidFill>
              <a:round/>
            </a:ln>
            <a:effectLst/>
          </c:spPr>
          <c:marker>
            <c:symbol val="triangle"/>
            <c:size val="6"/>
            <c:spPr>
              <a:solidFill>
                <a:srgbClr val="FFFF00"/>
              </a:solidFill>
              <a:ln w="9525">
                <a:solidFill>
                  <a:schemeClr val="accent3"/>
                </a:solidFill>
                <a:round/>
              </a:ln>
              <a:effectLst/>
            </c:spPr>
          </c:marker>
          <c:dLbls>
            <c:dLbl>
              <c:idx val="2"/>
              <c:layout>
                <c:manualLayout>
                  <c:x val="2.5462668816039986E-17"/>
                  <c:y val="3.3994334277620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63-4F9B-B314-0341CA2038CA}"/>
                </c:ext>
              </c:extLst>
            </c:dLbl>
            <c:dLbl>
              <c:idx val="3"/>
              <c:layout>
                <c:manualLayout>
                  <c:x val="-5.0925337632079971E-17"/>
                  <c:y val="1.8885741265344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63-4F9B-B314-0341CA2038CA}"/>
                </c:ext>
              </c:extLst>
            </c:dLbl>
            <c:dLbl>
              <c:idx val="4"/>
              <c:layout>
                <c:manualLayout>
                  <c:x val="0"/>
                  <c:y val="2.2662889518413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63-4F9B-B314-0341CA2038CA}"/>
                </c:ext>
              </c:extLst>
            </c:dLbl>
            <c:dLbl>
              <c:idx val="5"/>
              <c:layout>
                <c:manualLayout>
                  <c:x val="-1.0185067526415994E-16"/>
                  <c:y val="3.0217186024551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63-4F9B-B314-0341CA2038C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Esperanza!$A$4:$A$17</c:f>
              <c:numCache>
                <c:formatCode>General</c:formatCode>
                <c:ptCount val="7"/>
                <c:pt idx="0">
                  <c:v>2000</c:v>
                </c:pt>
                <c:pt idx="1">
                  <c:v>2005</c:v>
                </c:pt>
                <c:pt idx="2">
                  <c:v>2010</c:v>
                </c:pt>
                <c:pt idx="3">
                  <c:v>2015</c:v>
                </c:pt>
                <c:pt idx="4">
                  <c:v>2020</c:v>
                </c:pt>
                <c:pt idx="5">
                  <c:v>2025</c:v>
                </c:pt>
                <c:pt idx="6">
                  <c:v>2030</c:v>
                </c:pt>
              </c:numCache>
            </c:numRef>
          </c:cat>
          <c:val>
            <c:numRef>
              <c:f>Esperanza!$D$4:$D$17</c:f>
              <c:numCache>
                <c:formatCode>0.00</c:formatCode>
                <c:ptCount val="7"/>
                <c:pt idx="0">
                  <c:v>74.3</c:v>
                </c:pt>
                <c:pt idx="1">
                  <c:v>75</c:v>
                </c:pt>
                <c:pt idx="2">
                  <c:v>76.800000000000011</c:v>
                </c:pt>
                <c:pt idx="3">
                  <c:v>77.825000000000003</c:v>
                </c:pt>
                <c:pt idx="4">
                  <c:v>80.509999999999991</c:v>
                </c:pt>
                <c:pt idx="5">
                  <c:v>81.22999999999999</c:v>
                </c:pt>
                <c:pt idx="6">
                  <c:v>81.949999999999989</c:v>
                </c:pt>
              </c:numCache>
            </c:numRef>
          </c:val>
          <c:smooth val="0"/>
          <c:extLst>
            <c:ext xmlns:c16="http://schemas.microsoft.com/office/drawing/2014/chart" uri="{C3380CC4-5D6E-409C-BE32-E72D297353CC}">
              <c16:uniqueId val="{0000000E-E763-4F9B-B314-0341CA2038CA}"/>
            </c:ext>
          </c:extLst>
        </c:ser>
        <c:dLbls>
          <c:showLegendKey val="0"/>
          <c:showVal val="0"/>
          <c:showCatName val="0"/>
          <c:showSerName val="0"/>
          <c:showPercent val="0"/>
          <c:showBubbleSize val="0"/>
        </c:dLbls>
        <c:marker val="1"/>
        <c:smooth val="0"/>
        <c:axId val="568017040"/>
        <c:axId val="568013512"/>
      </c:lineChart>
      <c:catAx>
        <c:axId val="568017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568013512"/>
        <c:crosses val="autoZero"/>
        <c:auto val="1"/>
        <c:lblAlgn val="ctr"/>
        <c:lblOffset val="100"/>
        <c:noMultiLvlLbl val="0"/>
      </c:catAx>
      <c:valAx>
        <c:axId val="568013512"/>
        <c:scaling>
          <c:orientation val="minMax"/>
          <c:max val="86"/>
          <c:min val="70"/>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68017040"/>
        <c:crosses val="autoZero"/>
        <c:crossBetween val="between"/>
      </c:valAx>
      <c:spPr>
        <a:noFill/>
        <a:ln>
          <a:noFill/>
        </a:ln>
        <a:effectLst/>
      </c:spPr>
    </c:plotArea>
    <c:legend>
      <c:legendPos val="t"/>
      <c:layout>
        <c:manualLayout>
          <c:xMode val="edge"/>
          <c:yMode val="edge"/>
          <c:x val="0.10092432195975504"/>
          <c:y val="0.14300451049516932"/>
          <c:w val="0.53704024496937885"/>
          <c:h val="9.029822359161626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112324640793679"/>
          <c:y val="1.6696421944686218E-2"/>
          <c:w val="0.91127515310586171"/>
          <c:h val="0.82882389058694139"/>
        </c:manualLayout>
      </c:layout>
      <c:bar3DChart>
        <c:barDir val="bar"/>
        <c:grouping val="clustered"/>
        <c:varyColors val="0"/>
        <c:ser>
          <c:idx val="0"/>
          <c:order val="0"/>
          <c:tx>
            <c:strRef>
              <c:f>TasaNat!$B$4</c:f>
              <c:strCache>
                <c:ptCount val="1"/>
                <c:pt idx="0">
                  <c:v>2010</c:v>
                </c:pt>
              </c:strCache>
            </c:strRef>
          </c:tx>
          <c:spPr>
            <a:solidFill>
              <a:schemeClr val="accent1"/>
            </a:solidFill>
            <a:ln>
              <a:noFill/>
            </a:ln>
            <a:effectLst/>
            <a:sp3d/>
          </c:spPr>
          <c:invertIfNegative val="0"/>
          <c:dLbls>
            <c:dLbl>
              <c:idx val="1"/>
              <c:layout>
                <c:manualLayout>
                  <c:x val="-4.5959191645898193E-17"/>
                  <c:y val="1.0282776349614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20-459D-9886-5D2E70E6F783}"/>
                </c:ext>
              </c:extLst>
            </c:dLbl>
            <c:dLbl>
              <c:idx val="3"/>
              <c:layout>
                <c:manualLayout>
                  <c:x val="0"/>
                  <c:y val="6.85518423307626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20-459D-9886-5D2E70E6F783}"/>
                </c:ext>
              </c:extLst>
            </c:dLbl>
            <c:dLbl>
              <c:idx val="6"/>
              <c:layout>
                <c:manualLayout>
                  <c:x val="2.7575833542241118E-2"/>
                  <c:y val="1.713796058269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20-459D-9886-5D2E70E6F783}"/>
                </c:ext>
              </c:extLst>
            </c:dLbl>
            <c:dLbl>
              <c:idx val="9"/>
              <c:layout>
                <c:manualLayout>
                  <c:x val="5.0137879167711204E-3"/>
                  <c:y val="9.49817951559284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05-4E60-81D4-12FB370D8CC6}"/>
                </c:ext>
              </c:extLst>
            </c:dLbl>
            <c:dLbl>
              <c:idx val="12"/>
              <c:layout>
                <c:manualLayout>
                  <c:x val="2.2629554197781472E-3"/>
                  <c:y val="1.72885751332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05-4E60-81D4-12FB370D8CC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TasaNat!$A$8:$A$89</c:f>
              <c:strCache>
                <c:ptCount val="13"/>
                <c:pt idx="0">
                  <c:v>Bocas del Toro</c:v>
                </c:pt>
                <c:pt idx="1">
                  <c:v>Coclé</c:v>
                </c:pt>
                <c:pt idx="2">
                  <c:v>Colón</c:v>
                </c:pt>
                <c:pt idx="3">
                  <c:v>Chiriquí</c:v>
                </c:pt>
                <c:pt idx="4">
                  <c:v>Darién</c:v>
                </c:pt>
                <c:pt idx="5">
                  <c:v>Herrera</c:v>
                </c:pt>
                <c:pt idx="6">
                  <c:v>Los Santos</c:v>
                </c:pt>
                <c:pt idx="7">
                  <c:v>Panamá</c:v>
                </c:pt>
                <c:pt idx="8">
                  <c:v>Panamá Oeste </c:v>
                </c:pt>
                <c:pt idx="9">
                  <c:v>Veraguas</c:v>
                </c:pt>
                <c:pt idx="10">
                  <c:v>Comarca Guna Yala</c:v>
                </c:pt>
                <c:pt idx="11">
                  <c:v>Comarca Emberá</c:v>
                </c:pt>
                <c:pt idx="12">
                  <c:v>Comarca Ngäbe Buglé</c:v>
                </c:pt>
              </c:strCache>
            </c:strRef>
          </c:cat>
          <c:val>
            <c:numRef>
              <c:f>TasaNat!$K$8:$K$89</c:f>
              <c:numCache>
                <c:formatCode>#,##0.0</c:formatCode>
                <c:ptCount val="13"/>
                <c:pt idx="0">
                  <c:v>30.305952160207678</c:v>
                </c:pt>
                <c:pt idx="1">
                  <c:v>16.163035839775123</c:v>
                </c:pt>
                <c:pt idx="2">
                  <c:v>20.544157387542505</c:v>
                </c:pt>
                <c:pt idx="3">
                  <c:v>17.709124363065726</c:v>
                </c:pt>
                <c:pt idx="4">
                  <c:v>18.525408792715169</c:v>
                </c:pt>
                <c:pt idx="5">
                  <c:v>11.699925264794565</c:v>
                </c:pt>
                <c:pt idx="6">
                  <c:v>11.041261129016817</c:v>
                </c:pt>
                <c:pt idx="7">
                  <c:v>18.074195100877052</c:v>
                </c:pt>
                <c:pt idx="8">
                  <c:v>0</c:v>
                </c:pt>
                <c:pt idx="9">
                  <c:v>15.894643133288474</c:v>
                </c:pt>
                <c:pt idx="10">
                  <c:v>22.323156726625204</c:v>
                </c:pt>
                <c:pt idx="11">
                  <c:v>23.931943535570721</c:v>
                </c:pt>
                <c:pt idx="12">
                  <c:v>28.421192374069992</c:v>
                </c:pt>
              </c:numCache>
            </c:numRef>
          </c:val>
          <c:extLst>
            <c:ext xmlns:c16="http://schemas.microsoft.com/office/drawing/2014/chart" uri="{C3380CC4-5D6E-409C-BE32-E72D297353CC}">
              <c16:uniqueId val="{00000002-A705-4E60-81D4-12FB370D8CC6}"/>
            </c:ext>
          </c:extLst>
        </c:ser>
        <c:ser>
          <c:idx val="1"/>
          <c:order val="1"/>
          <c:tx>
            <c:strRef>
              <c:f>TasaNat!$S$4</c:f>
              <c:strCache>
                <c:ptCount val="1"/>
                <c:pt idx="0">
                  <c:v>2018</c:v>
                </c:pt>
              </c:strCache>
            </c:strRef>
          </c:tx>
          <c:spPr>
            <a:solidFill>
              <a:schemeClr val="accent2"/>
            </a:solidFill>
            <a:ln>
              <a:noFill/>
            </a:ln>
            <a:effectLst/>
            <a:sp3d/>
          </c:spPr>
          <c:invertIfNegative val="0"/>
          <c:dLbls>
            <c:dLbl>
              <c:idx val="0"/>
              <c:layout>
                <c:manualLayout>
                  <c:x val="6.2305285761311774E-3"/>
                  <c:y val="-1.2099213551119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05-4E60-81D4-12FB370D8CC6}"/>
                </c:ext>
              </c:extLst>
            </c:dLbl>
            <c:dLbl>
              <c:idx val="2"/>
              <c:layout>
                <c:manualLayout>
                  <c:x val="8.3073714348415959E-3"/>
                  <c:y val="-2.41984271022383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05-4E60-81D4-12FB370D8CC6}"/>
                </c:ext>
              </c:extLst>
            </c:dLbl>
            <c:dLbl>
              <c:idx val="7"/>
              <c:layout>
                <c:manualLayout>
                  <c:x val="4.1536857174208361E-3"/>
                  <c:y val="-7.2595281306715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05-4E60-81D4-12FB370D8CC6}"/>
                </c:ext>
              </c:extLst>
            </c:dLbl>
            <c:dLbl>
              <c:idx val="10"/>
              <c:layout>
                <c:manualLayout>
                  <c:x val="-7.6150025127793579E-17"/>
                  <c:y val="-7.2595281306715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05-4E60-81D4-12FB370D8CC6}"/>
                </c:ext>
              </c:extLst>
            </c:dLbl>
            <c:dLbl>
              <c:idx val="11"/>
              <c:layout>
                <c:manualLayout>
                  <c:x val="2.0768428587103417E-3"/>
                  <c:y val="-7.2595281306715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05-4E60-81D4-12FB370D8CC6}"/>
                </c:ext>
              </c:extLst>
            </c:dLbl>
            <c:dLbl>
              <c:idx val="12"/>
              <c:layout>
                <c:manualLayout>
                  <c:x val="-2.0768428587104181E-3"/>
                  <c:y val="1.4519056261343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05-4E60-81D4-12FB370D8CC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TasaNat!$A$8:$A$89</c:f>
              <c:strCache>
                <c:ptCount val="13"/>
                <c:pt idx="0">
                  <c:v>Bocas del Toro</c:v>
                </c:pt>
                <c:pt idx="1">
                  <c:v>Coclé</c:v>
                </c:pt>
                <c:pt idx="2">
                  <c:v>Colón</c:v>
                </c:pt>
                <c:pt idx="3">
                  <c:v>Chiriquí</c:v>
                </c:pt>
                <c:pt idx="4">
                  <c:v>Darién</c:v>
                </c:pt>
                <c:pt idx="5">
                  <c:v>Herrera</c:v>
                </c:pt>
                <c:pt idx="6">
                  <c:v>Los Santos</c:v>
                </c:pt>
                <c:pt idx="7">
                  <c:v>Panamá</c:v>
                </c:pt>
                <c:pt idx="8">
                  <c:v>Panamá Oeste </c:v>
                </c:pt>
                <c:pt idx="9">
                  <c:v>Veraguas</c:v>
                </c:pt>
                <c:pt idx="10">
                  <c:v>Comarca Guna Yala</c:v>
                </c:pt>
                <c:pt idx="11">
                  <c:v>Comarca Emberá</c:v>
                </c:pt>
                <c:pt idx="12">
                  <c:v>Comarca Ngäbe Buglé</c:v>
                </c:pt>
              </c:strCache>
            </c:strRef>
          </c:cat>
          <c:val>
            <c:numRef>
              <c:f>TasaNat!$S$8:$S$89</c:f>
              <c:numCache>
                <c:formatCode>0.0</c:formatCode>
                <c:ptCount val="13"/>
                <c:pt idx="0">
                  <c:v>27.019727571629872</c:v>
                </c:pt>
                <c:pt idx="1">
                  <c:v>16.033944403503838</c:v>
                </c:pt>
                <c:pt idx="2">
                  <c:v>18.78770309631286</c:v>
                </c:pt>
                <c:pt idx="3">
                  <c:v>18.60907450811413</c:v>
                </c:pt>
                <c:pt idx="4">
                  <c:v>21.985225078392119</c:v>
                </c:pt>
                <c:pt idx="5">
                  <c:v>13.744778331761218</c:v>
                </c:pt>
                <c:pt idx="6">
                  <c:v>11.363041315389852</c:v>
                </c:pt>
                <c:pt idx="7">
                  <c:v>16.091292793496951</c:v>
                </c:pt>
                <c:pt idx="8">
                  <c:v>18.931160499542976</c:v>
                </c:pt>
                <c:pt idx="9">
                  <c:v>17.245918371479835</c:v>
                </c:pt>
                <c:pt idx="10">
                  <c:v>16.778671854275359</c:v>
                </c:pt>
                <c:pt idx="11">
                  <c:v>21.392081736909322</c:v>
                </c:pt>
                <c:pt idx="12">
                  <c:v>37.155148227812589</c:v>
                </c:pt>
              </c:numCache>
            </c:numRef>
          </c:val>
          <c:extLst>
            <c:ext xmlns:c16="http://schemas.microsoft.com/office/drawing/2014/chart" uri="{C3380CC4-5D6E-409C-BE32-E72D297353CC}">
              <c16:uniqueId val="{00000009-A705-4E60-81D4-12FB370D8CC6}"/>
            </c:ext>
          </c:extLst>
        </c:ser>
        <c:dLbls>
          <c:showLegendKey val="0"/>
          <c:showVal val="0"/>
          <c:showCatName val="0"/>
          <c:showSerName val="0"/>
          <c:showPercent val="0"/>
          <c:showBubbleSize val="0"/>
        </c:dLbls>
        <c:gapWidth val="150"/>
        <c:shape val="box"/>
        <c:axId val="568019784"/>
        <c:axId val="568018608"/>
        <c:axId val="0"/>
      </c:bar3DChart>
      <c:catAx>
        <c:axId val="568019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568018608"/>
        <c:crosses val="autoZero"/>
        <c:auto val="1"/>
        <c:lblAlgn val="ctr"/>
        <c:lblOffset val="100"/>
        <c:noMultiLvlLbl val="0"/>
      </c:catAx>
      <c:valAx>
        <c:axId val="568018608"/>
        <c:scaling>
          <c:orientation val="minMax"/>
          <c:max val="37"/>
          <c:min val="1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568019784"/>
        <c:crosses val="autoZero"/>
        <c:crossBetween val="between"/>
      </c:valAx>
      <c:spPr>
        <a:noFill/>
        <a:ln>
          <a:noFill/>
        </a:ln>
        <a:effectLst/>
      </c:spPr>
    </c:plotArea>
    <c:legend>
      <c:legendPos val="b"/>
      <c:layout>
        <c:manualLayout>
          <c:xMode val="edge"/>
          <c:yMode val="edge"/>
          <c:x val="0.80960752305059391"/>
          <c:y val="0.23541375042224519"/>
          <c:w val="0.12878289311354255"/>
          <c:h val="8.151906055276413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solidFill>
          <a:schemeClr val="bg1"/>
        </a:solidFill>
        <a:ln>
          <a:noFill/>
        </a:ln>
        <a:effectLst/>
        <a:sp3d/>
      </c:spPr>
    </c:sideWall>
    <c:backWall>
      <c:thickness val="0"/>
      <c:spPr>
        <a:solidFill>
          <a:schemeClr val="bg1"/>
        </a:solidFill>
        <a:ln>
          <a:noFill/>
        </a:ln>
        <a:effectLst/>
        <a:sp3d/>
      </c:spPr>
    </c:backWall>
    <c:plotArea>
      <c:layout>
        <c:manualLayout>
          <c:layoutTarget val="inner"/>
          <c:xMode val="edge"/>
          <c:yMode val="edge"/>
          <c:x val="9.762825207855054E-2"/>
          <c:y val="2.318522022203055E-2"/>
          <c:w val="0.88794289202747012"/>
          <c:h val="0.84424411612859351"/>
        </c:manualLayout>
      </c:layout>
      <c:bar3DChart>
        <c:barDir val="bar"/>
        <c:grouping val="clustered"/>
        <c:varyColors val="0"/>
        <c:ser>
          <c:idx val="0"/>
          <c:order val="0"/>
          <c:tx>
            <c:strRef>
              <c:f>TasaFecund!$C$4</c:f>
              <c:strCache>
                <c:ptCount val="1"/>
                <c:pt idx="0">
                  <c:v>2018</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TasaFecund!$A$8:$A$20</c:f>
              <c:strCache>
                <c:ptCount val="13"/>
                <c:pt idx="0">
                  <c:v>Bocas del Toro</c:v>
                </c:pt>
                <c:pt idx="1">
                  <c:v>Coclé</c:v>
                </c:pt>
                <c:pt idx="2">
                  <c:v>Colón</c:v>
                </c:pt>
                <c:pt idx="3">
                  <c:v>Chiriquí</c:v>
                </c:pt>
                <c:pt idx="4">
                  <c:v>Darién</c:v>
                </c:pt>
                <c:pt idx="5">
                  <c:v>Herrera</c:v>
                </c:pt>
                <c:pt idx="6">
                  <c:v>Los Santos</c:v>
                </c:pt>
                <c:pt idx="7">
                  <c:v>Panamá</c:v>
                </c:pt>
                <c:pt idx="8">
                  <c:v>Panamá Oeste</c:v>
                </c:pt>
                <c:pt idx="9">
                  <c:v>Veraguas</c:v>
                </c:pt>
                <c:pt idx="10">
                  <c:v>Comarca Guna Yala</c:v>
                </c:pt>
                <c:pt idx="11">
                  <c:v>Comarca Emberá</c:v>
                </c:pt>
                <c:pt idx="12">
                  <c:v>Comarca Ngäbe Buglé</c:v>
                </c:pt>
              </c:strCache>
            </c:strRef>
          </c:cat>
          <c:val>
            <c:numRef>
              <c:f>TasaFecund!$C$8:$C$20</c:f>
              <c:numCache>
                <c:formatCode>0.0</c:formatCode>
                <c:ptCount val="13"/>
                <c:pt idx="0">
                  <c:v>108.14240394783221</c:v>
                </c:pt>
                <c:pt idx="1">
                  <c:v>64.194789591349448</c:v>
                </c:pt>
                <c:pt idx="2">
                  <c:v>75.185062424041547</c:v>
                </c:pt>
                <c:pt idx="3">
                  <c:v>79.129034646135622</c:v>
                </c:pt>
                <c:pt idx="4">
                  <c:v>93.547414442936841</c:v>
                </c:pt>
                <c:pt idx="5">
                  <c:v>56.568457538994799</c:v>
                </c:pt>
                <c:pt idx="6">
                  <c:v>48.556724099351086</c:v>
                </c:pt>
                <c:pt idx="7">
                  <c:v>58.965863315781512</c:v>
                </c:pt>
                <c:pt idx="8">
                  <c:v>71.728923743679701</c:v>
                </c:pt>
                <c:pt idx="9">
                  <c:v>74.401537655076012</c:v>
                </c:pt>
                <c:pt idx="10">
                  <c:v>73.319165378670789</c:v>
                </c:pt>
                <c:pt idx="11">
                  <c:v>94.632768361581924</c:v>
                </c:pt>
                <c:pt idx="12">
                  <c:v>151.71939739942337</c:v>
                </c:pt>
              </c:numCache>
            </c:numRef>
          </c:val>
          <c:extLst>
            <c:ext xmlns:c16="http://schemas.microsoft.com/office/drawing/2014/chart" uri="{C3380CC4-5D6E-409C-BE32-E72D297353CC}">
              <c16:uniqueId val="{00000000-94AD-4182-8478-BF9C3BBFD5AA}"/>
            </c:ext>
          </c:extLst>
        </c:ser>
        <c:ser>
          <c:idx val="1"/>
          <c:order val="1"/>
          <c:tx>
            <c:strRef>
              <c:f>TasaFecund!$B$4</c:f>
              <c:strCache>
                <c:ptCount val="1"/>
                <c:pt idx="0">
                  <c:v>2010</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0"/>
                  <c:y val="-1.7513130021062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AD-4182-8478-BF9C3BBFD5AA}"/>
                </c:ext>
              </c:extLst>
            </c:dLbl>
            <c:dLbl>
              <c:idx val="12"/>
              <c:layout>
                <c:manualLayout>
                  <c:x val="1.9047619047619746E-3"/>
                  <c:y val="-7.0052520084250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AD-4182-8478-BF9C3BBFD5A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TasaFecund!$B$8:$B$20</c:f>
              <c:numCache>
                <c:formatCode>0.0</c:formatCode>
                <c:ptCount val="13"/>
                <c:pt idx="0">
                  <c:v>101.21377260341838</c:v>
                </c:pt>
                <c:pt idx="1">
                  <c:v>54.059963376971218</c:v>
                </c:pt>
                <c:pt idx="2">
                  <c:v>67.262500963094226</c:v>
                </c:pt>
                <c:pt idx="3">
                  <c:v>59.873876249796382</c:v>
                </c:pt>
                <c:pt idx="4">
                  <c:v>66.826787228030526</c:v>
                </c:pt>
                <c:pt idx="5">
                  <c:v>40.300627293170791</c:v>
                </c:pt>
                <c:pt idx="6">
                  <c:v>39.594140982606042</c:v>
                </c:pt>
                <c:pt idx="7">
                  <c:v>56.588973178817938</c:v>
                </c:pt>
                <c:pt idx="8">
                  <c:v>0</c:v>
                </c:pt>
                <c:pt idx="9">
                  <c:v>56.680825694910205</c:v>
                </c:pt>
                <c:pt idx="10">
                  <c:v>80.100009260116678</c:v>
                </c:pt>
                <c:pt idx="11">
                  <c:v>85.733422638981907</c:v>
                </c:pt>
                <c:pt idx="12">
                  <c:v>94.736032014776058</c:v>
                </c:pt>
              </c:numCache>
            </c:numRef>
          </c:val>
          <c:extLst>
            <c:ext xmlns:c16="http://schemas.microsoft.com/office/drawing/2014/chart" uri="{C3380CC4-5D6E-409C-BE32-E72D297353CC}">
              <c16:uniqueId val="{00000003-94AD-4182-8478-BF9C3BBFD5AA}"/>
            </c:ext>
          </c:extLst>
        </c:ser>
        <c:dLbls>
          <c:showLegendKey val="0"/>
          <c:showVal val="0"/>
          <c:showCatName val="0"/>
          <c:showSerName val="0"/>
          <c:showPercent val="0"/>
          <c:showBubbleSize val="0"/>
        </c:dLbls>
        <c:gapWidth val="65"/>
        <c:shape val="box"/>
        <c:axId val="568019000"/>
        <c:axId val="568010376"/>
        <c:axId val="0"/>
      </c:bar3DChart>
      <c:catAx>
        <c:axId val="56801900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1" i="0" u="none" strike="noStrike" kern="1200" cap="all" baseline="0">
                <a:solidFill>
                  <a:sysClr val="windowText" lastClr="000000"/>
                </a:solidFill>
                <a:latin typeface="+mn-lt"/>
                <a:ea typeface="+mn-ea"/>
                <a:cs typeface="+mn-cs"/>
              </a:defRPr>
            </a:pPr>
            <a:endParaRPr lang="en-US"/>
          </a:p>
        </c:txPr>
        <c:crossAx val="568010376"/>
        <c:crosses val="autoZero"/>
        <c:auto val="1"/>
        <c:lblAlgn val="ctr"/>
        <c:lblOffset val="100"/>
        <c:noMultiLvlLbl val="0"/>
      </c:catAx>
      <c:valAx>
        <c:axId val="568010376"/>
        <c:scaling>
          <c:orientation val="minMax"/>
          <c:max val="160"/>
          <c:min val="1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568019000"/>
        <c:crosses val="autoZero"/>
        <c:crossBetween val="between"/>
      </c:valAx>
      <c:spPr>
        <a:noFill/>
        <a:ln>
          <a:noFill/>
        </a:ln>
        <a:effectLst/>
      </c:spPr>
    </c:plotArea>
    <c:legend>
      <c:legendPos val="r"/>
      <c:layout>
        <c:manualLayout>
          <c:xMode val="edge"/>
          <c:yMode val="edge"/>
          <c:x val="0.80878635170603674"/>
          <c:y val="0.36989247489761712"/>
          <c:w val="0.12445007510517397"/>
          <c:h val="0.191117850551366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77721310016109E-2"/>
          <c:y val="8.2538840111575265E-2"/>
          <c:w val="0.89972936458714925"/>
          <c:h val="0.70837256615439037"/>
        </c:manualLayout>
      </c:layout>
      <c:barChart>
        <c:barDir val="bar"/>
        <c:grouping val="clustered"/>
        <c:varyColors val="0"/>
        <c:ser>
          <c:idx val="0"/>
          <c:order val="0"/>
          <c:tx>
            <c:strRef>
              <c:f>NacEdad!$B$3</c:f>
              <c:strCache>
                <c:ptCount val="1"/>
                <c:pt idx="0">
                  <c:v>2010</c:v>
                </c:pt>
              </c:strCache>
            </c:strRef>
          </c:tx>
          <c:spPr>
            <a:solidFill>
              <a:schemeClr val="accent1">
                <a:alpha val="85000"/>
              </a:schemeClr>
            </a:solidFill>
            <a:ln w="9525" cap="flat" cmpd="sng" algn="ctr">
              <a:solidFill>
                <a:schemeClr val="accent1">
                  <a:lumMod val="75000"/>
                </a:schemeClr>
              </a:solidFill>
              <a:round/>
            </a:ln>
            <a:effectLst/>
          </c:spPr>
          <c:invertIfNegative val="0"/>
          <c:dLbls>
            <c:dLbl>
              <c:idx val="1"/>
              <c:layout>
                <c:manualLayout>
                  <c:x val="-1.7985611510791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99-41D3-BDE8-DC3803E7492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NacEdad!$A$5:$A$13</c:f>
              <c:strCache>
                <c:ptCount val="9"/>
                <c:pt idx="0">
                  <c:v>Menos de 15</c:v>
                </c:pt>
                <c:pt idx="1">
                  <c:v>De 15 a 19</c:v>
                </c:pt>
                <c:pt idx="2">
                  <c:v>De 20 a 24</c:v>
                </c:pt>
                <c:pt idx="3">
                  <c:v>De 25 a 29</c:v>
                </c:pt>
                <c:pt idx="4">
                  <c:v>De 30 a 34</c:v>
                </c:pt>
                <c:pt idx="5">
                  <c:v>De 35 a 39</c:v>
                </c:pt>
                <c:pt idx="6">
                  <c:v>De 40 a 44</c:v>
                </c:pt>
                <c:pt idx="7">
                  <c:v>De 45 a 49</c:v>
                </c:pt>
                <c:pt idx="8">
                  <c:v>De 50 y más</c:v>
                </c:pt>
              </c:strCache>
            </c:strRef>
          </c:cat>
          <c:val>
            <c:numRef>
              <c:f>NacEdad!$B$5:$B$13</c:f>
              <c:numCache>
                <c:formatCode>#,##0</c:formatCode>
                <c:ptCount val="9"/>
                <c:pt idx="0">
                  <c:v>609</c:v>
                </c:pt>
                <c:pt idx="1">
                  <c:v>12944</c:v>
                </c:pt>
                <c:pt idx="2">
                  <c:v>19605</c:v>
                </c:pt>
                <c:pt idx="3">
                  <c:v>16130</c:v>
                </c:pt>
                <c:pt idx="4">
                  <c:v>11136</c:v>
                </c:pt>
                <c:pt idx="5">
                  <c:v>5881</c:v>
                </c:pt>
                <c:pt idx="6">
                  <c:v>1414</c:v>
                </c:pt>
                <c:pt idx="7">
                  <c:v>105</c:v>
                </c:pt>
                <c:pt idx="8">
                  <c:v>18</c:v>
                </c:pt>
              </c:numCache>
            </c:numRef>
          </c:val>
          <c:extLst>
            <c:ext xmlns:c16="http://schemas.microsoft.com/office/drawing/2014/chart" uri="{C3380CC4-5D6E-409C-BE32-E72D297353CC}">
              <c16:uniqueId val="{00000001-E299-41D3-BDE8-DC3803E7492C}"/>
            </c:ext>
          </c:extLst>
        </c:ser>
        <c:ser>
          <c:idx val="1"/>
          <c:order val="1"/>
          <c:tx>
            <c:strRef>
              <c:f>NacEdad!$C$3</c:f>
              <c:strCache>
                <c:ptCount val="1"/>
                <c:pt idx="0">
                  <c:v>2018</c:v>
                </c:pt>
              </c:strCache>
            </c:strRef>
          </c:tx>
          <c:spPr>
            <a:solidFill>
              <a:schemeClr val="accent2">
                <a:alpha val="85000"/>
              </a:schemeClr>
            </a:solidFill>
            <a:ln w="9525" cap="flat" cmpd="sng" algn="ctr">
              <a:solidFill>
                <a:schemeClr val="accent2">
                  <a:lumMod val="75000"/>
                </a:schemeClr>
              </a:solidFill>
              <a:round/>
            </a:ln>
            <a:effectLst/>
          </c:spPr>
          <c:invertIfNegative val="0"/>
          <c:dLbls>
            <c:dLbl>
              <c:idx val="1"/>
              <c:layout>
                <c:manualLayout>
                  <c:x val="5.1387461459403436E-3"/>
                  <c:y val="-7.10173215090017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99-41D3-BDE8-DC3803E7492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NacEdad!$A$5:$A$13</c:f>
              <c:strCache>
                <c:ptCount val="9"/>
                <c:pt idx="0">
                  <c:v>Menos de 15</c:v>
                </c:pt>
                <c:pt idx="1">
                  <c:v>De 15 a 19</c:v>
                </c:pt>
                <c:pt idx="2">
                  <c:v>De 20 a 24</c:v>
                </c:pt>
                <c:pt idx="3">
                  <c:v>De 25 a 29</c:v>
                </c:pt>
                <c:pt idx="4">
                  <c:v>De 30 a 34</c:v>
                </c:pt>
                <c:pt idx="5">
                  <c:v>De 35 a 39</c:v>
                </c:pt>
                <c:pt idx="6">
                  <c:v>De 40 a 44</c:v>
                </c:pt>
                <c:pt idx="7">
                  <c:v>De 45 a 49</c:v>
                </c:pt>
                <c:pt idx="8">
                  <c:v>De 50 y más</c:v>
                </c:pt>
              </c:strCache>
            </c:strRef>
          </c:cat>
          <c:val>
            <c:numRef>
              <c:f>NacEdad!$C$5:$C$13</c:f>
              <c:numCache>
                <c:formatCode>#,##0;"-";"-"</c:formatCode>
                <c:ptCount val="9"/>
                <c:pt idx="0">
                  <c:v>522</c:v>
                </c:pt>
                <c:pt idx="1">
                  <c:v>12840</c:v>
                </c:pt>
                <c:pt idx="2">
                  <c:v>21903</c:v>
                </c:pt>
                <c:pt idx="3">
                  <c:v>18602</c:v>
                </c:pt>
                <c:pt idx="4">
                  <c:v>13506</c:v>
                </c:pt>
                <c:pt idx="5">
                  <c:v>7368</c:v>
                </c:pt>
                <c:pt idx="6">
                  <c:v>1965</c:v>
                </c:pt>
                <c:pt idx="7">
                  <c:v>137</c:v>
                </c:pt>
                <c:pt idx="8">
                  <c:v>9</c:v>
                </c:pt>
              </c:numCache>
            </c:numRef>
          </c:val>
          <c:extLst>
            <c:ext xmlns:c16="http://schemas.microsoft.com/office/drawing/2014/chart" uri="{C3380CC4-5D6E-409C-BE32-E72D297353CC}">
              <c16:uniqueId val="{00000003-E299-41D3-BDE8-DC3803E7492C}"/>
            </c:ext>
          </c:extLst>
        </c:ser>
        <c:dLbls>
          <c:showLegendKey val="0"/>
          <c:showVal val="0"/>
          <c:showCatName val="0"/>
          <c:showSerName val="0"/>
          <c:showPercent val="0"/>
          <c:showBubbleSize val="0"/>
        </c:dLbls>
        <c:gapWidth val="65"/>
        <c:axId val="568011552"/>
        <c:axId val="568015080"/>
      </c:barChart>
      <c:catAx>
        <c:axId val="56801155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ysClr val="windowText" lastClr="000000"/>
                </a:solidFill>
                <a:latin typeface="+mn-lt"/>
                <a:ea typeface="+mn-ea"/>
                <a:cs typeface="+mn-cs"/>
              </a:defRPr>
            </a:pPr>
            <a:endParaRPr lang="en-US"/>
          </a:p>
        </c:txPr>
        <c:crossAx val="568015080"/>
        <c:crosses val="autoZero"/>
        <c:auto val="1"/>
        <c:lblAlgn val="ctr"/>
        <c:lblOffset val="100"/>
        <c:noMultiLvlLbl val="0"/>
      </c:catAx>
      <c:valAx>
        <c:axId val="568015080"/>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011552"/>
        <c:crosses val="autoZero"/>
        <c:crossBetween val="between"/>
      </c:valAx>
      <c:spPr>
        <a:noFill/>
        <a:ln>
          <a:noFill/>
        </a:ln>
        <a:effectLst/>
      </c:spPr>
    </c:plotArea>
    <c:legend>
      <c:legendPos val="r"/>
      <c:layout>
        <c:manualLayout>
          <c:xMode val="edge"/>
          <c:yMode val="edge"/>
          <c:x val="0.72952138870517436"/>
          <c:y val="0.22591789887650182"/>
          <c:w val="0.11476765623115491"/>
          <c:h val="0.162310835643536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23884514435696"/>
          <c:y val="2.1224185364864295E-2"/>
          <c:w val="0.87093219597550309"/>
          <c:h val="0.87347598376127367"/>
        </c:manualLayout>
      </c:layout>
      <c:bar3DChart>
        <c:barDir val="bar"/>
        <c:grouping val="clustered"/>
        <c:varyColors val="0"/>
        <c:ser>
          <c:idx val="0"/>
          <c:order val="0"/>
          <c:tx>
            <c:strRef>
              <c:f>'PartoAsist10-18'!$F$3</c:f>
              <c:strCache>
                <c:ptCount val="1"/>
                <c:pt idx="0">
                  <c:v>2010</c:v>
                </c:pt>
              </c:strCache>
            </c:strRef>
          </c:tx>
          <c:spPr>
            <a:solidFill>
              <a:schemeClr val="accent1"/>
            </a:solidFill>
            <a:ln>
              <a:noFill/>
            </a:ln>
            <a:effectLst/>
            <a:sp3d/>
          </c:spPr>
          <c:invertIfNegative val="0"/>
          <c:dLbls>
            <c:dLbl>
              <c:idx val="0"/>
              <c:layout>
                <c:manualLayout>
                  <c:x val="5.5555555555555558E-3"/>
                  <c:y val="1.0850808783971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82-459E-A44D-9162339462DA}"/>
                </c:ext>
              </c:extLst>
            </c:dLbl>
            <c:dLbl>
              <c:idx val="2"/>
              <c:layout>
                <c:manualLayout>
                  <c:x val="0"/>
                  <c:y val="7.23387252264785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82-459E-A44D-9162339462DA}"/>
                </c:ext>
              </c:extLst>
            </c:dLbl>
            <c:dLbl>
              <c:idx val="3"/>
              <c:layout>
                <c:manualLayout>
                  <c:x val="2.777777777777803E-3"/>
                  <c:y val="7.23387252264785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82-459E-A44D-9162339462DA}"/>
                </c:ext>
              </c:extLst>
            </c:dLbl>
            <c:dLbl>
              <c:idx val="4"/>
              <c:layout>
                <c:manualLayout>
                  <c:x val="0"/>
                  <c:y val="1.4467745045295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82-459E-A44D-9162339462DA}"/>
                </c:ext>
              </c:extLst>
            </c:dLbl>
            <c:dLbl>
              <c:idx val="5"/>
              <c:layout>
                <c:manualLayout>
                  <c:x val="2.5462668816039986E-17"/>
                  <c:y val="1.0850808783971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82-459E-A44D-9162339462DA}"/>
                </c:ext>
              </c:extLst>
            </c:dLbl>
            <c:dLbl>
              <c:idx val="6"/>
              <c:layout>
                <c:manualLayout>
                  <c:x val="0"/>
                  <c:y val="7.23387252264779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82-459E-A44D-9162339462DA}"/>
                </c:ext>
              </c:extLst>
            </c:dLbl>
            <c:dLbl>
              <c:idx val="7"/>
              <c:layout>
                <c:manualLayout>
                  <c:x val="-2.5462668816039986E-17"/>
                  <c:y val="1.0850808783971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82-459E-A44D-9162339462DA}"/>
                </c:ext>
              </c:extLst>
            </c:dLbl>
            <c:dLbl>
              <c:idx val="8"/>
              <c:layout>
                <c:manualLayout>
                  <c:x val="0"/>
                  <c:y val="1.0850808783971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82-459E-A44D-9162339462DA}"/>
                </c:ext>
              </c:extLst>
            </c:dLbl>
            <c:dLbl>
              <c:idx val="9"/>
              <c:layout>
                <c:manualLayout>
                  <c:x val="5.5555555555555558E-3"/>
                  <c:y val="1.0850808783971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F82-459E-A44D-9162339462DA}"/>
                </c:ext>
              </c:extLst>
            </c:dLbl>
            <c:dLbl>
              <c:idx val="10"/>
              <c:layout>
                <c:manualLayout>
                  <c:x val="-1.0185067526415994E-16"/>
                  <c:y val="1.8084681306619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82-459E-A44D-9162339462D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'PartoAsist10-18'!$I$7:$I$85</c:f>
              <c:strCache>
                <c:ptCount val="11"/>
                <c:pt idx="0">
                  <c:v>Bocas del Toro</c:v>
                </c:pt>
                <c:pt idx="1">
                  <c:v>Coclé</c:v>
                </c:pt>
                <c:pt idx="2">
                  <c:v>Colón</c:v>
                </c:pt>
                <c:pt idx="3">
                  <c:v>Chiriquí</c:v>
                </c:pt>
                <c:pt idx="4">
                  <c:v>Darién</c:v>
                </c:pt>
                <c:pt idx="5">
                  <c:v>Herrera</c:v>
                </c:pt>
                <c:pt idx="6">
                  <c:v>Los Santos</c:v>
                </c:pt>
                <c:pt idx="7">
                  <c:v>Panamá</c:v>
                </c:pt>
                <c:pt idx="8">
                  <c:v>Panamá Oeste</c:v>
                </c:pt>
                <c:pt idx="9">
                  <c:v>Veraguas</c:v>
                </c:pt>
                <c:pt idx="10">
                  <c:v>Comarcas</c:v>
                </c:pt>
              </c:strCache>
            </c:strRef>
          </c:cat>
          <c:val>
            <c:numRef>
              <c:f>'PartoAsist10-18'!$J$7:$J$85</c:f>
              <c:numCache>
                <c:formatCode>0.00%</c:formatCode>
                <c:ptCount val="11"/>
                <c:pt idx="0">
                  <c:v>0.10647773279352227</c:v>
                </c:pt>
                <c:pt idx="1">
                  <c:v>8.6234817813765186E-2</c:v>
                </c:pt>
                <c:pt idx="2">
                  <c:v>3.6032388663967609E-2</c:v>
                </c:pt>
                <c:pt idx="3">
                  <c:v>4.65587044534413E-3</c:v>
                </c:pt>
                <c:pt idx="4">
                  <c:v>2.7732793522267207E-2</c:v>
                </c:pt>
                <c:pt idx="5">
                  <c:v>2.8340080971659921E-3</c:v>
                </c:pt>
                <c:pt idx="6">
                  <c:v>8.0971659919028337E-4</c:v>
                </c:pt>
                <c:pt idx="7">
                  <c:v>2.3886639676113361E-2</c:v>
                </c:pt>
                <c:pt idx="8">
                  <c:v>0</c:v>
                </c:pt>
                <c:pt idx="9">
                  <c:v>4.8178137651821863E-2</c:v>
                </c:pt>
                <c:pt idx="10">
                  <c:v>0.57810000000000006</c:v>
                </c:pt>
              </c:numCache>
            </c:numRef>
          </c:val>
          <c:extLst>
            <c:ext xmlns:c16="http://schemas.microsoft.com/office/drawing/2014/chart" uri="{C3380CC4-5D6E-409C-BE32-E72D297353CC}">
              <c16:uniqueId val="{0000000A-9F82-459E-A44D-9162339462DA}"/>
            </c:ext>
          </c:extLst>
        </c:ser>
        <c:ser>
          <c:idx val="1"/>
          <c:order val="1"/>
          <c:tx>
            <c:strRef>
              <c:f>'PartoAsist10-18'!$G$3</c:f>
              <c:strCache>
                <c:ptCount val="1"/>
                <c:pt idx="0">
                  <c:v>2018</c:v>
                </c:pt>
              </c:strCache>
            </c:strRef>
          </c:tx>
          <c:spPr>
            <a:solidFill>
              <a:schemeClr val="accent2"/>
            </a:solidFill>
            <a:ln>
              <a:noFill/>
            </a:ln>
            <a:effectLst/>
            <a:sp3d/>
          </c:spPr>
          <c:invertIfNegative val="0"/>
          <c:dLbls>
            <c:dLbl>
              <c:idx val="1"/>
              <c:layout>
                <c:manualLayout>
                  <c:x val="2.2222222222222223E-2"/>
                  <c:y val="-1.1213048810313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F82-459E-A44D-9162339462D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'PartoAsist10-18'!$I$7:$I$85</c:f>
              <c:strCache>
                <c:ptCount val="11"/>
                <c:pt idx="0">
                  <c:v>Bocas del Toro</c:v>
                </c:pt>
                <c:pt idx="1">
                  <c:v>Coclé</c:v>
                </c:pt>
                <c:pt idx="2">
                  <c:v>Colón</c:v>
                </c:pt>
                <c:pt idx="3">
                  <c:v>Chiriquí</c:v>
                </c:pt>
                <c:pt idx="4">
                  <c:v>Darién</c:v>
                </c:pt>
                <c:pt idx="5">
                  <c:v>Herrera</c:v>
                </c:pt>
                <c:pt idx="6">
                  <c:v>Los Santos</c:v>
                </c:pt>
                <c:pt idx="7">
                  <c:v>Panamá</c:v>
                </c:pt>
                <c:pt idx="8">
                  <c:v>Panamá Oeste</c:v>
                </c:pt>
                <c:pt idx="9">
                  <c:v>Veraguas</c:v>
                </c:pt>
                <c:pt idx="10">
                  <c:v>Comarcas</c:v>
                </c:pt>
              </c:strCache>
            </c:strRef>
          </c:cat>
          <c:val>
            <c:numRef>
              <c:f>'PartoAsist10-18'!$K$7:$K$85</c:f>
              <c:numCache>
                <c:formatCode>0.00%</c:formatCode>
                <c:ptCount val="11"/>
                <c:pt idx="0">
                  <c:v>0.10279514527399779</c:v>
                </c:pt>
                <c:pt idx="1">
                  <c:v>4.2846634792203013E-2</c:v>
                </c:pt>
                <c:pt idx="2">
                  <c:v>3.4939315924972417E-2</c:v>
                </c:pt>
                <c:pt idx="3">
                  <c:v>1.7285766826038985E-2</c:v>
                </c:pt>
                <c:pt idx="4">
                  <c:v>3.4387642515630749E-2</c:v>
                </c:pt>
                <c:pt idx="5">
                  <c:v>1.471129091577786E-3</c:v>
                </c:pt>
                <c:pt idx="6">
                  <c:v>1.2872379551305626E-3</c:v>
                </c:pt>
                <c:pt idx="7">
                  <c:v>3.9720485472600223E-2</c:v>
                </c:pt>
                <c:pt idx="8">
                  <c:v>2.5928650239058479E-2</c:v>
                </c:pt>
                <c:pt idx="9">
                  <c:v>4.873115115851416E-2</c:v>
                </c:pt>
                <c:pt idx="10">
                  <c:v>0.65060000000000007</c:v>
                </c:pt>
              </c:numCache>
            </c:numRef>
          </c:val>
          <c:extLst>
            <c:ext xmlns:c16="http://schemas.microsoft.com/office/drawing/2014/chart" uri="{C3380CC4-5D6E-409C-BE32-E72D297353CC}">
              <c16:uniqueId val="{0000000C-9F82-459E-A44D-9162339462DA}"/>
            </c:ext>
          </c:extLst>
        </c:ser>
        <c:dLbls>
          <c:showLegendKey val="0"/>
          <c:showVal val="0"/>
          <c:showCatName val="0"/>
          <c:showSerName val="0"/>
          <c:showPercent val="0"/>
          <c:showBubbleSize val="0"/>
        </c:dLbls>
        <c:gapWidth val="150"/>
        <c:shape val="box"/>
        <c:axId val="568013120"/>
        <c:axId val="568015472"/>
        <c:axId val="0"/>
      </c:bar3DChart>
      <c:catAx>
        <c:axId val="568013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68015472"/>
        <c:crosses val="autoZero"/>
        <c:auto val="1"/>
        <c:lblAlgn val="ctr"/>
        <c:lblOffset val="100"/>
        <c:noMultiLvlLbl val="0"/>
      </c:catAx>
      <c:valAx>
        <c:axId val="5680154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8013120"/>
        <c:crosses val="autoZero"/>
        <c:crossBetween val="between"/>
      </c:valAx>
      <c:spPr>
        <a:noFill/>
        <a:ln>
          <a:noFill/>
        </a:ln>
        <a:effectLst/>
      </c:spPr>
    </c:plotArea>
    <c:legend>
      <c:legendPos val="b"/>
      <c:layout>
        <c:manualLayout>
          <c:xMode val="edge"/>
          <c:yMode val="edge"/>
          <c:x val="0.77846719160104982"/>
          <c:y val="0.29122364671936068"/>
          <c:w val="0.15009645669291335"/>
          <c:h val="0.113442091232673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w="6480">
          <a:noFill/>
        </a:ln>
      </c:spPr>
    </c:floor>
    <c:sideWall>
      <c:thickness val="0"/>
    </c:sideWall>
    <c:backWall>
      <c:thickness val="0"/>
      <c:spPr>
        <a:noFill/>
        <a:ln w="6480">
          <a:noFill/>
        </a:ln>
      </c:spPr>
    </c:backWall>
    <c:plotArea>
      <c:layout/>
      <c:bar3DChart>
        <c:barDir val="col"/>
        <c:grouping val="clustered"/>
        <c:varyColors val="0"/>
        <c:ser>
          <c:idx val="0"/>
          <c:order val="0"/>
          <c:tx>
            <c:strRef>
              <c:f>label 0</c:f>
              <c:strCache>
                <c:ptCount val="1"/>
                <c:pt idx="0">
                  <c:v>Hombres </c:v>
                </c:pt>
              </c:strCache>
            </c:strRef>
          </c:tx>
          <c:spPr>
            <a:solidFill>
              <a:srgbClr val="00B0F0"/>
            </a:solidFill>
            <a:ln>
              <a:noFill/>
            </a:ln>
          </c:spPr>
          <c:invertIfNegative val="0"/>
          <c:dLbls>
            <c:dLbl>
              <c:idx val="0"/>
              <c:tx>
                <c:rich>
                  <a:bodyPr/>
                  <a:lstStyle/>
                  <a:p>
                    <a:r>
                      <a:rPr lang="en-US"/>
                      <a:t>84%</a:t>
                    </a:r>
                  </a:p>
                </c:rich>
              </c:tx>
              <c:showLegendKey val="0"/>
              <c:showVal val="1"/>
              <c:showCatName val="0"/>
              <c:showSerName val="0"/>
              <c:showPercent val="0"/>
              <c:showBubbleSize val="1"/>
              <c:extLst>
                <c:ext xmlns:c15="http://schemas.microsoft.com/office/drawing/2012/chart" uri="{CE6537A1-D6FC-4f65-9D91-7224C49458BB}">
                  <c15:showDataLabelsRange val="0"/>
                </c:ext>
                <c:ext xmlns:c16="http://schemas.microsoft.com/office/drawing/2014/chart" uri="{C3380CC4-5D6E-409C-BE32-E72D297353CC}">
                  <c16:uniqueId val="{00000000-B024-404E-A689-7759B7889A3E}"/>
                </c:ext>
              </c:extLst>
            </c:dLbl>
            <c:dLbl>
              <c:idx val="1"/>
              <c:tx>
                <c:rich>
                  <a:bodyPr/>
                  <a:lstStyle/>
                  <a:p>
                    <a:r>
                      <a:rPr lang="en-US"/>
                      <a:t>85%</a:t>
                    </a:r>
                  </a:p>
                </c:rich>
              </c:tx>
              <c:showLegendKey val="0"/>
              <c:showVal val="1"/>
              <c:showCatName val="0"/>
              <c:showSerName val="0"/>
              <c:showPercent val="0"/>
              <c:showBubbleSize val="1"/>
              <c:extLst>
                <c:ext xmlns:c15="http://schemas.microsoft.com/office/drawing/2012/chart" uri="{CE6537A1-D6FC-4f65-9D91-7224C49458BB}">
                  <c15:showDataLabelsRange val="0"/>
                </c:ext>
                <c:ext xmlns:c16="http://schemas.microsoft.com/office/drawing/2014/chart" uri="{C3380CC4-5D6E-409C-BE32-E72D297353CC}">
                  <c16:uniqueId val="{00000001-B024-404E-A689-7759B7889A3E}"/>
                </c:ext>
              </c:extLst>
            </c:dLbl>
            <c:dLbl>
              <c:idx val="2"/>
              <c:tx>
                <c:rich>
                  <a:bodyPr/>
                  <a:lstStyle/>
                  <a:p>
                    <a:r>
                      <a:rPr lang="en-US"/>
                      <a:t>83.2%</a:t>
                    </a:r>
                  </a:p>
                </c:rich>
              </c:tx>
              <c:showLegendKey val="0"/>
              <c:showVal val="1"/>
              <c:showCatName val="0"/>
              <c:showSerName val="0"/>
              <c:showPercent val="0"/>
              <c:showBubbleSize val="1"/>
              <c:extLst>
                <c:ext xmlns:c15="http://schemas.microsoft.com/office/drawing/2012/chart" uri="{CE6537A1-D6FC-4f65-9D91-7224C49458BB}">
                  <c15:showDataLabelsRange val="0"/>
                </c:ext>
                <c:ext xmlns:c16="http://schemas.microsoft.com/office/drawing/2014/chart" uri="{C3380CC4-5D6E-409C-BE32-E72D297353CC}">
                  <c16:uniqueId val="{00000002-B024-404E-A689-7759B7889A3E}"/>
                </c:ext>
              </c:extLst>
            </c:dLbl>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3"/>
                <c:pt idx="0">
                  <c:v>2009</c:v>
                </c:pt>
                <c:pt idx="1">
                  <c:v>2014</c:v>
                </c:pt>
                <c:pt idx="2">
                  <c:v>2019</c:v>
                </c:pt>
              </c:strCache>
            </c:strRef>
          </c:cat>
          <c:val>
            <c:numRef>
              <c:f>0</c:f>
              <c:numCache>
                <c:formatCode>General</c:formatCode>
                <c:ptCount val="3"/>
                <c:pt idx="0">
                  <c:v>0.84</c:v>
                </c:pt>
                <c:pt idx="1">
                  <c:v>0.85</c:v>
                </c:pt>
                <c:pt idx="2">
                  <c:v>0.83199999999999996</c:v>
                </c:pt>
              </c:numCache>
            </c:numRef>
          </c:val>
          <c:extLst>
            <c:ext xmlns:c16="http://schemas.microsoft.com/office/drawing/2014/chart" uri="{C3380CC4-5D6E-409C-BE32-E72D297353CC}">
              <c16:uniqueId val="{00000003-B024-404E-A689-7759B7889A3E}"/>
            </c:ext>
          </c:extLst>
        </c:ser>
        <c:ser>
          <c:idx val="1"/>
          <c:order val="1"/>
          <c:tx>
            <c:strRef>
              <c:f>label 1</c:f>
              <c:strCache>
                <c:ptCount val="1"/>
                <c:pt idx="0">
                  <c:v>Mujeres </c:v>
                </c:pt>
              </c:strCache>
            </c:strRef>
          </c:tx>
          <c:spPr>
            <a:solidFill>
              <a:srgbClr val="FF0000"/>
            </a:solidFill>
            <a:ln>
              <a:noFill/>
            </a:ln>
          </c:spPr>
          <c:invertIfNegative val="0"/>
          <c:dLbls>
            <c:dLbl>
              <c:idx val="0"/>
              <c:tx>
                <c:rich>
                  <a:bodyPr/>
                  <a:lstStyle/>
                  <a:p>
                    <a:r>
                      <a:rPr lang="en-US"/>
                      <a:t>16%</a:t>
                    </a:r>
                  </a:p>
                </c:rich>
              </c:tx>
              <c:showLegendKey val="0"/>
              <c:showVal val="1"/>
              <c:showCatName val="0"/>
              <c:showSerName val="0"/>
              <c:showPercent val="0"/>
              <c:showBubbleSize val="1"/>
              <c:extLst>
                <c:ext xmlns:c15="http://schemas.microsoft.com/office/drawing/2012/chart" uri="{CE6537A1-D6FC-4f65-9D91-7224C49458BB}">
                  <c15:showDataLabelsRange val="0"/>
                </c:ext>
                <c:ext xmlns:c16="http://schemas.microsoft.com/office/drawing/2014/chart" uri="{C3380CC4-5D6E-409C-BE32-E72D297353CC}">
                  <c16:uniqueId val="{00000004-B024-404E-A689-7759B7889A3E}"/>
                </c:ext>
              </c:extLst>
            </c:dLbl>
            <c:dLbl>
              <c:idx val="1"/>
              <c:tx>
                <c:rich>
                  <a:bodyPr/>
                  <a:lstStyle/>
                  <a:p>
                    <a:r>
                      <a:rPr lang="en-US"/>
                      <a:t>15%</a:t>
                    </a:r>
                  </a:p>
                </c:rich>
              </c:tx>
              <c:showLegendKey val="0"/>
              <c:showVal val="1"/>
              <c:showCatName val="0"/>
              <c:showSerName val="0"/>
              <c:showPercent val="0"/>
              <c:showBubbleSize val="1"/>
              <c:extLst>
                <c:ext xmlns:c15="http://schemas.microsoft.com/office/drawing/2012/chart" uri="{CE6537A1-D6FC-4f65-9D91-7224C49458BB}">
                  <c15:showDataLabelsRange val="0"/>
                </c:ext>
                <c:ext xmlns:c16="http://schemas.microsoft.com/office/drawing/2014/chart" uri="{C3380CC4-5D6E-409C-BE32-E72D297353CC}">
                  <c16:uniqueId val="{00000005-B024-404E-A689-7759B7889A3E}"/>
                </c:ext>
              </c:extLst>
            </c:dLbl>
            <c:dLbl>
              <c:idx val="2"/>
              <c:tx>
                <c:rich>
                  <a:bodyPr/>
                  <a:lstStyle/>
                  <a:p>
                    <a:r>
                      <a:rPr lang="en-US"/>
                      <a:t>16.8%</a:t>
                    </a:r>
                  </a:p>
                </c:rich>
              </c:tx>
              <c:showLegendKey val="0"/>
              <c:showVal val="1"/>
              <c:showCatName val="0"/>
              <c:showSerName val="0"/>
              <c:showPercent val="0"/>
              <c:showBubbleSize val="1"/>
              <c:extLst>
                <c:ext xmlns:c15="http://schemas.microsoft.com/office/drawing/2012/chart" uri="{CE6537A1-D6FC-4f65-9D91-7224C49458BB}">
                  <c15:showDataLabelsRange val="0"/>
                </c:ext>
                <c:ext xmlns:c16="http://schemas.microsoft.com/office/drawing/2014/chart" uri="{C3380CC4-5D6E-409C-BE32-E72D297353CC}">
                  <c16:uniqueId val="{00000006-B024-404E-A689-7759B7889A3E}"/>
                </c:ext>
              </c:extLst>
            </c:dLbl>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3"/>
                <c:pt idx="0">
                  <c:v>2009</c:v>
                </c:pt>
                <c:pt idx="1">
                  <c:v>2014</c:v>
                </c:pt>
                <c:pt idx="2">
                  <c:v>2019</c:v>
                </c:pt>
              </c:strCache>
            </c:strRef>
          </c:cat>
          <c:val>
            <c:numRef>
              <c:f>1</c:f>
              <c:numCache>
                <c:formatCode>General</c:formatCode>
                <c:ptCount val="3"/>
                <c:pt idx="0">
                  <c:v>0.16</c:v>
                </c:pt>
                <c:pt idx="1">
                  <c:v>0.15</c:v>
                </c:pt>
                <c:pt idx="2">
                  <c:v>0.16800000000000001</c:v>
                </c:pt>
              </c:numCache>
            </c:numRef>
          </c:val>
          <c:extLst>
            <c:ext xmlns:c16="http://schemas.microsoft.com/office/drawing/2014/chart" uri="{C3380CC4-5D6E-409C-BE32-E72D297353CC}">
              <c16:uniqueId val="{00000007-B024-404E-A689-7759B7889A3E}"/>
            </c:ext>
          </c:extLst>
        </c:ser>
        <c:dLbls>
          <c:showLegendKey val="0"/>
          <c:showVal val="0"/>
          <c:showCatName val="0"/>
          <c:showSerName val="0"/>
          <c:showPercent val="0"/>
          <c:showBubbleSize val="0"/>
        </c:dLbls>
        <c:gapWidth val="75"/>
        <c:shape val="box"/>
        <c:axId val="759894088"/>
        <c:axId val="759903496"/>
        <c:axId val="0"/>
      </c:bar3DChart>
      <c:catAx>
        <c:axId val="759894088"/>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900" b="1" strike="noStrike" spc="-1">
                <a:solidFill>
                  <a:srgbClr val="595959"/>
                </a:solidFill>
                <a:uFill>
                  <a:solidFill>
                    <a:srgbClr val="FFFFFF"/>
                  </a:solidFill>
                </a:uFill>
                <a:latin typeface="Calibri"/>
              </a:defRPr>
            </a:pPr>
            <a:endParaRPr lang="en-US"/>
          </a:p>
        </c:txPr>
        <c:crossAx val="759903496"/>
        <c:crosses val="autoZero"/>
        <c:auto val="1"/>
        <c:lblAlgn val="ctr"/>
        <c:lblOffset val="100"/>
        <c:noMultiLvlLbl val="1"/>
      </c:catAx>
      <c:valAx>
        <c:axId val="759903496"/>
        <c:scaling>
          <c:orientation val="minMax"/>
        </c:scaling>
        <c:delete val="1"/>
        <c:axPos val="l"/>
        <c:numFmt formatCode="0%" sourceLinked="0"/>
        <c:majorTickMark val="none"/>
        <c:minorTickMark val="none"/>
        <c:tickLblPos val="nextTo"/>
        <c:crossAx val="759894088"/>
        <c:crosses val="autoZero"/>
        <c:crossBetween val="midCat"/>
      </c:valAx>
      <c:spPr>
        <a:noFill/>
        <a:ln w="6480">
          <a:noFill/>
        </a:ln>
      </c:spPr>
    </c:plotArea>
    <c:legend>
      <c:legendPos val="r"/>
      <c:layout>
        <c:manualLayout>
          <c:xMode val="edge"/>
          <c:yMode val="edge"/>
          <c:x val="9.9396883900150806E-2"/>
          <c:y val="0.9213851839948578"/>
          <c:w val="0.74404087786898987"/>
          <c:h val="7.8614816005142196E-2"/>
        </c:manualLayout>
      </c:layout>
      <c:overlay val="1"/>
      <c:spPr>
        <a:noFill/>
        <a:ln>
          <a:noFill/>
        </a:ln>
      </c:spPr>
    </c:legend>
    <c:plotVisOnly val="1"/>
    <c:dispBlanksAs val="gap"/>
    <c:showDLblsOverMax val="1"/>
  </c:chart>
  <c:spPr>
    <a:solidFill>
      <a:srgbClr val="FFFFFF"/>
    </a:solidFill>
    <a:ln w="9360">
      <a:solidFill>
        <a:srgbClr val="D9D9D9"/>
      </a:solidFill>
      <a:round/>
    </a:ln>
  </c:spPr>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192489718312771E-2"/>
          <c:y val="2.7600247885680957E-2"/>
          <c:w val="0.90271039742079484"/>
          <c:h val="0.85148585593467485"/>
        </c:manualLayout>
      </c:layout>
      <c:bar3DChart>
        <c:barDir val="bar"/>
        <c:grouping val="clustered"/>
        <c:varyColors val="0"/>
        <c:ser>
          <c:idx val="0"/>
          <c:order val="0"/>
          <c:tx>
            <c:strRef>
              <c:f>MortCausas!$E$3</c:f>
              <c:strCache>
                <c:ptCount val="1"/>
                <c:pt idx="0">
                  <c:v>Hombres</c:v>
                </c:pt>
              </c:strCache>
            </c:strRef>
          </c:tx>
          <c:spPr>
            <a:solidFill>
              <a:schemeClr val="accent4">
                <a:tint val="77000"/>
              </a:schemeClr>
            </a:solidFill>
            <a:ln>
              <a:noFill/>
            </a:ln>
            <a:effectLst/>
            <a:sp3d/>
          </c:spPr>
          <c:invertIfNegative val="0"/>
          <c:dLbls>
            <c:dLbl>
              <c:idx val="4"/>
              <c:layout>
                <c:manualLayout>
                  <c:x val="-6.3041759953855418E-3"/>
                  <c:y val="3.51802990325411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3D-4EB8-94F4-26C600060896}"/>
                </c:ext>
              </c:extLst>
            </c:dLbl>
            <c:dLbl>
              <c:idx val="6"/>
              <c:layout>
                <c:manualLayout>
                  <c:x val="2.6500596263415925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3D-4EB8-94F4-26C600060896}"/>
                </c:ext>
              </c:extLst>
            </c:dLbl>
            <c:dLbl>
              <c:idx val="7"/>
              <c:layout>
                <c:manualLayout>
                  <c:x val="0"/>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3D-4EB8-94F4-26C600060896}"/>
                </c:ext>
              </c:extLst>
            </c:dLbl>
            <c:dLbl>
              <c:idx val="9"/>
              <c:layout>
                <c:manualLayout>
                  <c:x val="2.6500596263415925E-3"/>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3D-4EB8-94F4-26C60006089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MortCausas!$L$6:$L$16</c:f>
              <c:strCache>
                <c:ptCount val="10"/>
                <c:pt idx="0">
                  <c:v>Neoplasias</c:v>
                </c:pt>
                <c:pt idx="1">
                  <c:v>Enferm. isquémicas </c:v>
                </c:pt>
                <c:pt idx="2">
                  <c:v>Enferm. cerebrovasculares</c:v>
                </c:pt>
                <c:pt idx="3">
                  <c:v>Accidentes, lesiones y otra violencia</c:v>
                </c:pt>
                <c:pt idx="4">
                  <c:v>Diabetes mellitus</c:v>
                </c:pt>
                <c:pt idx="5">
                  <c:v>Enferm. del corazón</c:v>
                </c:pt>
                <c:pt idx="6">
                  <c:v>Enferm. hipertensivas</c:v>
                </c:pt>
                <c:pt idx="7">
                  <c:v>Enferm. Crónicas respiratorias </c:v>
                </c:pt>
                <c:pt idx="8">
                  <c:v>Virus del VIH</c:v>
                </c:pt>
                <c:pt idx="9">
                  <c:v>Afecciones en el período perinatal</c:v>
                </c:pt>
              </c:strCache>
            </c:strRef>
          </c:cat>
          <c:val>
            <c:numRef>
              <c:f>MortCausas!$M$6:$M$15</c:f>
              <c:numCache>
                <c:formatCode>#,##0.0</c:formatCode>
                <c:ptCount val="10"/>
                <c:pt idx="0">
                  <c:v>78.956830221242129</c:v>
                </c:pt>
                <c:pt idx="1">
                  <c:v>50.192957645197637</c:v>
                </c:pt>
                <c:pt idx="2">
                  <c:v>48.85064359164889</c:v>
                </c:pt>
                <c:pt idx="3">
                  <c:v>60.212373259186464</c:v>
                </c:pt>
                <c:pt idx="4">
                  <c:v>32.023778134662862</c:v>
                </c:pt>
                <c:pt idx="5">
                  <c:v>33.366092188211603</c:v>
                </c:pt>
                <c:pt idx="6">
                  <c:v>21.141446343392701</c:v>
                </c:pt>
                <c:pt idx="7">
                  <c:v>15.244852465303579</c:v>
                </c:pt>
                <c:pt idx="8">
                  <c:v>20.901747405258995</c:v>
                </c:pt>
                <c:pt idx="9">
                  <c:v>14.238116925142021</c:v>
                </c:pt>
              </c:numCache>
            </c:numRef>
          </c:val>
          <c:extLst>
            <c:ext xmlns:c16="http://schemas.microsoft.com/office/drawing/2014/chart" uri="{C3380CC4-5D6E-409C-BE32-E72D297353CC}">
              <c16:uniqueId val="{00000004-A33D-4EB8-94F4-26C600060896}"/>
            </c:ext>
          </c:extLst>
        </c:ser>
        <c:ser>
          <c:idx val="1"/>
          <c:order val="1"/>
          <c:tx>
            <c:strRef>
              <c:f>MortCausas!$H$3</c:f>
              <c:strCache>
                <c:ptCount val="1"/>
                <c:pt idx="0">
                  <c:v>Mujeres</c:v>
                </c:pt>
              </c:strCache>
            </c:strRef>
          </c:tx>
          <c:spPr>
            <a:solidFill>
              <a:schemeClr val="accent4">
                <a:shade val="76000"/>
              </a:schemeClr>
            </a:solidFill>
            <a:ln>
              <a:noFill/>
            </a:ln>
            <a:effectLst/>
            <a:sp3d/>
          </c:spPr>
          <c:invertIfNegative val="0"/>
          <c:dLbls>
            <c:dLbl>
              <c:idx val="0"/>
              <c:layout>
                <c:manualLayout>
                  <c:x val="-1.1906488368429234E-3"/>
                  <c:y val="-1.962999416739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3D-4EB8-94F4-26C600060896}"/>
                </c:ext>
              </c:extLst>
            </c:dLbl>
            <c:dLbl>
              <c:idx val="1"/>
              <c:layout>
                <c:manualLayout>
                  <c:x val="2.5567858741387638E-3"/>
                  <c:y val="-9.2592592592593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3D-4EB8-94F4-26C600060896}"/>
                </c:ext>
              </c:extLst>
            </c:dLbl>
            <c:dLbl>
              <c:idx val="2"/>
              <c:layout>
                <c:manualLayout>
                  <c:x val="6.7595300421818549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3D-4EB8-94F4-26C600060896}"/>
                </c:ext>
              </c:extLst>
            </c:dLbl>
            <c:dLbl>
              <c:idx val="3"/>
              <c:layout>
                <c:manualLayout>
                  <c:x val="1.05069599923092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3D-4EB8-94F4-26C600060896}"/>
                </c:ext>
              </c:extLst>
            </c:dLbl>
            <c:dLbl>
              <c:idx val="4"/>
              <c:layout>
                <c:manualLayout>
                  <c:x val="6.30417599538554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3D-4EB8-94F4-26C600060896}"/>
                </c:ext>
              </c:extLst>
            </c:dLbl>
            <c:dLbl>
              <c:idx val="5"/>
              <c:layout>
                <c:manualLayout>
                  <c:x val="8.4055679938473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3D-4EB8-94F4-26C600060896}"/>
                </c:ext>
              </c:extLst>
            </c:dLbl>
            <c:dLbl>
              <c:idx val="6"/>
              <c:layout>
                <c:manualLayout>
                  <c:x val="8.40556799384731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3D-4EB8-94F4-26C600060896}"/>
                </c:ext>
              </c:extLst>
            </c:dLbl>
            <c:dLbl>
              <c:idx val="7"/>
              <c:layout>
                <c:manualLayout>
                  <c:x val="4.20278399692354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3D-4EB8-94F4-26C600060896}"/>
                </c:ext>
              </c:extLst>
            </c:dLbl>
            <c:dLbl>
              <c:idx val="8"/>
              <c:layout>
                <c:manualLayout>
                  <c:x val="2.0082026648748719E-3"/>
                  <c:y val="-2.22331583552060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3D-4EB8-94F4-26C600060896}"/>
                </c:ext>
              </c:extLst>
            </c:dLbl>
            <c:dLbl>
              <c:idx val="9"/>
              <c:layout>
                <c:manualLayout>
                  <c:x val="2.1013919984618473E-2"/>
                  <c:y val="-3.5180299032541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33D-4EB8-94F4-26C60006089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MortCausas!$L$6:$L$16</c:f>
              <c:strCache>
                <c:ptCount val="10"/>
                <c:pt idx="0">
                  <c:v>Neoplasias</c:v>
                </c:pt>
                <c:pt idx="1">
                  <c:v>Enferm. isquémicas </c:v>
                </c:pt>
                <c:pt idx="2">
                  <c:v>Enferm. cerebrovasculares</c:v>
                </c:pt>
                <c:pt idx="3">
                  <c:v>Accidentes, lesiones y otra violencia</c:v>
                </c:pt>
                <c:pt idx="4">
                  <c:v>Diabetes mellitus</c:v>
                </c:pt>
                <c:pt idx="5">
                  <c:v>Enferm. del corazón</c:v>
                </c:pt>
                <c:pt idx="6">
                  <c:v>Enferm. hipertensivas</c:v>
                </c:pt>
                <c:pt idx="7">
                  <c:v>Enferm. Crónicas respiratorias </c:v>
                </c:pt>
                <c:pt idx="8">
                  <c:v>Virus del VIH</c:v>
                </c:pt>
                <c:pt idx="9">
                  <c:v>Afecciones en el período perinatal</c:v>
                </c:pt>
              </c:strCache>
            </c:strRef>
          </c:cat>
          <c:val>
            <c:numRef>
              <c:f>MortCausas!$N$6:$N$15</c:f>
              <c:numCache>
                <c:formatCode>#,##0.0</c:formatCode>
                <c:ptCount val="10"/>
                <c:pt idx="0">
                  <c:v>71.930541437732813</c:v>
                </c:pt>
                <c:pt idx="1">
                  <c:v>36.182364908316295</c:v>
                </c:pt>
                <c:pt idx="2">
                  <c:v>37.29195743217133</c:v>
                </c:pt>
                <c:pt idx="3">
                  <c:v>12.494976681671897</c:v>
                </c:pt>
                <c:pt idx="4">
                  <c:v>33.625477788128613</c:v>
                </c:pt>
                <c:pt idx="5">
                  <c:v>28.222244628486713</c:v>
                </c:pt>
                <c:pt idx="6">
                  <c:v>19.007802365168828</c:v>
                </c:pt>
                <c:pt idx="7">
                  <c:v>12.591462988094072</c:v>
                </c:pt>
                <c:pt idx="8">
                  <c:v>5.6444489256973425</c:v>
                </c:pt>
                <c:pt idx="9">
                  <c:v>10.806466319283802</c:v>
                </c:pt>
              </c:numCache>
            </c:numRef>
          </c:val>
          <c:extLst>
            <c:ext xmlns:c16="http://schemas.microsoft.com/office/drawing/2014/chart" uri="{C3380CC4-5D6E-409C-BE32-E72D297353CC}">
              <c16:uniqueId val="{0000000F-A33D-4EB8-94F4-26C600060896}"/>
            </c:ext>
          </c:extLst>
        </c:ser>
        <c:dLbls>
          <c:showLegendKey val="0"/>
          <c:showVal val="0"/>
          <c:showCatName val="0"/>
          <c:showSerName val="0"/>
          <c:showPercent val="0"/>
          <c:showBubbleSize val="0"/>
        </c:dLbls>
        <c:gapWidth val="150"/>
        <c:shape val="box"/>
        <c:axId val="568016648"/>
        <c:axId val="568023312"/>
        <c:axId val="0"/>
      </c:bar3DChart>
      <c:catAx>
        <c:axId val="568016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68023312"/>
        <c:crosses val="autoZero"/>
        <c:auto val="1"/>
        <c:lblAlgn val="ctr"/>
        <c:lblOffset val="100"/>
        <c:noMultiLvlLbl val="0"/>
      </c:catAx>
      <c:valAx>
        <c:axId val="5680233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68016648"/>
        <c:crosses val="autoZero"/>
        <c:crossBetween val="between"/>
      </c:valAx>
      <c:spPr>
        <a:noFill/>
        <a:ln>
          <a:noFill/>
        </a:ln>
        <a:effectLst/>
      </c:spPr>
    </c:plotArea>
    <c:legend>
      <c:legendPos val="b"/>
      <c:layout>
        <c:manualLayout>
          <c:xMode val="edge"/>
          <c:yMode val="edge"/>
          <c:x val="0.75729832469418557"/>
          <c:y val="0.20465407045865783"/>
          <c:w val="0.19838067063526407"/>
          <c:h val="0.12884256074504946"/>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500000000000001E-2"/>
          <c:y val="1.9908337145930152E-2"/>
          <c:w val="0.98750000000000004"/>
          <c:h val="0.76355285864496292"/>
        </c:manualLayout>
      </c:layout>
      <c:bar3DChart>
        <c:barDir val="col"/>
        <c:grouping val="clustered"/>
        <c:varyColors val="0"/>
        <c:ser>
          <c:idx val="0"/>
          <c:order val="0"/>
          <c:tx>
            <c:strRef>
              <c:f>MatCaus!$J$4</c:f>
              <c:strCache>
                <c:ptCount val="1"/>
                <c:pt idx="0">
                  <c:v>2010</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dLbl>
              <c:idx val="1"/>
              <c:layout>
                <c:manualLayout>
                  <c:x val="3.7037037037036696E-3"/>
                  <c:y val="-2.2661979622062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7C-41F7-A9EC-D7171ED8D488}"/>
                </c:ext>
              </c:extLst>
            </c:dLbl>
            <c:dLbl>
              <c:idx val="3"/>
              <c:layout>
                <c:manualLayout>
                  <c:x val="4.6296296296296294E-3"/>
                  <c:y val="-9.06479184882496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7C-41F7-A9EC-D7171ED8D488}"/>
                </c:ext>
              </c:extLst>
            </c:dLbl>
            <c:dLbl>
              <c:idx val="5"/>
              <c:layout>
                <c:manualLayout>
                  <c:x val="-9.2592592592592596E-4"/>
                  <c:y val="9.06479184882496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7C-41F7-A9EC-D7171ED8D48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MatCaus!$K$2:$V$2</c:f>
              <c:strCache>
                <c:ptCount val="12"/>
                <c:pt idx="0">
                  <c:v>Panamá</c:v>
                </c:pt>
                <c:pt idx="1">
                  <c:v>Ngäbe Buglé</c:v>
                </c:pt>
                <c:pt idx="2">
                  <c:v>Kuna Yala</c:v>
                </c:pt>
                <c:pt idx="3">
                  <c:v>Bocas del Toro</c:v>
                </c:pt>
                <c:pt idx="4">
                  <c:v>Chiriquí</c:v>
                </c:pt>
                <c:pt idx="5">
                  <c:v>Coclé</c:v>
                </c:pt>
                <c:pt idx="6">
                  <c:v>Panamá Oeste</c:v>
                </c:pt>
                <c:pt idx="7">
                  <c:v>Colón</c:v>
                </c:pt>
                <c:pt idx="8">
                  <c:v>Veraguas</c:v>
                </c:pt>
                <c:pt idx="9">
                  <c:v>Darién</c:v>
                </c:pt>
                <c:pt idx="10">
                  <c:v>Herrera</c:v>
                </c:pt>
                <c:pt idx="11">
                  <c:v>Los Santos</c:v>
                </c:pt>
              </c:strCache>
            </c:strRef>
          </c:cat>
          <c:val>
            <c:numRef>
              <c:f>MatCaus!$K$4:$V$4</c:f>
              <c:numCache>
                <c:formatCode>#,##0</c:formatCode>
                <c:ptCount val="12"/>
                <c:pt idx="0">
                  <c:v>14</c:v>
                </c:pt>
                <c:pt idx="1">
                  <c:v>10</c:v>
                </c:pt>
                <c:pt idx="2">
                  <c:v>4</c:v>
                </c:pt>
                <c:pt idx="3">
                  <c:v>2</c:v>
                </c:pt>
                <c:pt idx="4">
                  <c:v>3</c:v>
                </c:pt>
                <c:pt idx="5">
                  <c:v>2</c:v>
                </c:pt>
                <c:pt idx="6">
                  <c:v>0</c:v>
                </c:pt>
                <c:pt idx="7">
                  <c:v>3</c:v>
                </c:pt>
                <c:pt idx="8">
                  <c:v>2</c:v>
                </c:pt>
                <c:pt idx="9">
                  <c:v>1</c:v>
                </c:pt>
                <c:pt idx="10">
                  <c:v>0</c:v>
                </c:pt>
                <c:pt idx="11">
                  <c:v>0</c:v>
                </c:pt>
              </c:numCache>
            </c:numRef>
          </c:val>
          <c:extLst>
            <c:ext xmlns:c16="http://schemas.microsoft.com/office/drawing/2014/chart" uri="{C3380CC4-5D6E-409C-BE32-E72D297353CC}">
              <c16:uniqueId val="{00000003-057C-41F7-A9EC-D7171ED8D488}"/>
            </c:ext>
          </c:extLst>
        </c:ser>
        <c:ser>
          <c:idx val="1"/>
          <c:order val="1"/>
          <c:tx>
            <c:strRef>
              <c:f>MatCaus!$J$3</c:f>
              <c:strCache>
                <c:ptCount val="1"/>
                <c:pt idx="0">
                  <c:v>2018</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dLbl>
              <c:idx val="0"/>
              <c:layout>
                <c:manualLayout>
                  <c:x val="1.1111111111111112E-2"/>
                  <c:y val="-4.53239592441244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7C-41F7-A9EC-D7171ED8D488}"/>
                </c:ext>
              </c:extLst>
            </c:dLbl>
            <c:dLbl>
              <c:idx val="1"/>
              <c:layout>
                <c:manualLayout>
                  <c:x val="9.2592592592592587E-3"/>
                  <c:y val="4.53239592441244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7C-41F7-A9EC-D7171ED8D488}"/>
                </c:ext>
              </c:extLst>
            </c:dLbl>
            <c:dLbl>
              <c:idx val="2"/>
              <c:layout>
                <c:manualLayout>
                  <c:x val="7.4074074074073739E-3"/>
                  <c:y val="-4.53239592441248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7C-41F7-A9EC-D7171ED8D488}"/>
                </c:ext>
              </c:extLst>
            </c:dLbl>
            <c:dLbl>
              <c:idx val="4"/>
              <c:layout>
                <c:manualLayout>
                  <c:x val="7.4074074074074077E-3"/>
                  <c:y val="4.5323959244124839E-3"/>
                </c:manualLayout>
              </c:layout>
              <c:showLegendKey val="0"/>
              <c:showVal val="1"/>
              <c:showCatName val="0"/>
              <c:showSerName val="0"/>
              <c:showPercent val="0"/>
              <c:showBubbleSize val="0"/>
              <c:extLst>
                <c:ext xmlns:c15="http://schemas.microsoft.com/office/drawing/2012/chart" uri="{CE6537A1-D6FC-4f65-9D91-7224C49458BB}">
                  <c15:layout>
                    <c:manualLayout>
                      <c:w val="2.2351851851851852E-2"/>
                      <c:h val="6.891525847147624E-2"/>
                    </c:manualLayout>
                  </c15:layout>
                </c:ext>
                <c:ext xmlns:c16="http://schemas.microsoft.com/office/drawing/2014/chart" uri="{C3380CC4-5D6E-409C-BE32-E72D297353CC}">
                  <c16:uniqueId val="{00000007-057C-41F7-A9EC-D7171ED8D488}"/>
                </c:ext>
              </c:extLst>
            </c:dLbl>
            <c:dLbl>
              <c:idx val="7"/>
              <c:layout>
                <c:manualLayout>
                  <c:x val="7.40740740740727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57C-41F7-A9EC-D7171ED8D488}"/>
                </c:ext>
              </c:extLst>
            </c:dLbl>
            <c:dLbl>
              <c:idx val="8"/>
              <c:layout>
                <c:manualLayout>
                  <c:x val="5.5555555555555558E-3"/>
                  <c:y val="4.53239592441248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7C-41F7-A9EC-D7171ED8D488}"/>
                </c:ext>
              </c:extLst>
            </c:dLbl>
            <c:dLbl>
              <c:idx val="9"/>
              <c:layout>
                <c:manualLayout>
                  <c:x val="7.40740740740740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7C-41F7-A9EC-D7171ED8D48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MatCaus!$K$2:$V$2</c:f>
              <c:strCache>
                <c:ptCount val="12"/>
                <c:pt idx="0">
                  <c:v>Panamá</c:v>
                </c:pt>
                <c:pt idx="1">
                  <c:v>Ngäbe Buglé</c:v>
                </c:pt>
                <c:pt idx="2">
                  <c:v>Kuna Yala</c:v>
                </c:pt>
                <c:pt idx="3">
                  <c:v>Bocas del Toro</c:v>
                </c:pt>
                <c:pt idx="4">
                  <c:v>Chiriquí</c:v>
                </c:pt>
                <c:pt idx="5">
                  <c:v>Coclé</c:v>
                </c:pt>
                <c:pt idx="6">
                  <c:v>Panamá Oeste</c:v>
                </c:pt>
                <c:pt idx="7">
                  <c:v>Colón</c:v>
                </c:pt>
                <c:pt idx="8">
                  <c:v>Veraguas</c:v>
                </c:pt>
                <c:pt idx="9">
                  <c:v>Darién</c:v>
                </c:pt>
                <c:pt idx="10">
                  <c:v>Herrera</c:v>
                </c:pt>
                <c:pt idx="11">
                  <c:v>Los Santos</c:v>
                </c:pt>
              </c:strCache>
            </c:strRef>
          </c:cat>
          <c:val>
            <c:numRef>
              <c:f>MatCaus!$K$3:$V$3</c:f>
              <c:numCache>
                <c:formatCode>#,##0</c:formatCode>
                <c:ptCount val="12"/>
                <c:pt idx="0">
                  <c:v>8</c:v>
                </c:pt>
                <c:pt idx="1">
                  <c:v>11</c:v>
                </c:pt>
                <c:pt idx="2">
                  <c:v>2</c:v>
                </c:pt>
                <c:pt idx="3">
                  <c:v>3</c:v>
                </c:pt>
                <c:pt idx="4">
                  <c:v>2</c:v>
                </c:pt>
                <c:pt idx="5">
                  <c:v>3</c:v>
                </c:pt>
                <c:pt idx="6">
                  <c:v>3</c:v>
                </c:pt>
                <c:pt idx="7">
                  <c:v>1</c:v>
                </c:pt>
                <c:pt idx="8">
                  <c:v>0</c:v>
                </c:pt>
                <c:pt idx="9">
                  <c:v>0</c:v>
                </c:pt>
                <c:pt idx="10">
                  <c:v>1</c:v>
                </c:pt>
                <c:pt idx="11">
                  <c:v>1</c:v>
                </c:pt>
              </c:numCache>
            </c:numRef>
          </c:val>
          <c:extLst>
            <c:ext xmlns:c16="http://schemas.microsoft.com/office/drawing/2014/chart" uri="{C3380CC4-5D6E-409C-BE32-E72D297353CC}">
              <c16:uniqueId val="{0000000B-057C-41F7-A9EC-D7171ED8D488}"/>
            </c:ext>
          </c:extLst>
        </c:ser>
        <c:dLbls>
          <c:showLegendKey val="0"/>
          <c:showVal val="0"/>
          <c:showCatName val="0"/>
          <c:showSerName val="0"/>
          <c:showPercent val="0"/>
          <c:showBubbleSize val="0"/>
        </c:dLbls>
        <c:gapWidth val="150"/>
        <c:shape val="box"/>
        <c:axId val="568022136"/>
        <c:axId val="568022528"/>
        <c:axId val="0"/>
      </c:bar3DChart>
      <c:catAx>
        <c:axId val="568022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crossAx val="568022528"/>
        <c:crosses val="autoZero"/>
        <c:auto val="1"/>
        <c:lblAlgn val="ctr"/>
        <c:lblOffset val="100"/>
        <c:noMultiLvlLbl val="0"/>
      </c:catAx>
      <c:valAx>
        <c:axId val="568022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crossAx val="568022136"/>
        <c:crosses val="autoZero"/>
        <c:crossBetween val="between"/>
      </c:valAx>
      <c:spPr>
        <a:noFill/>
        <a:ln>
          <a:noFill/>
        </a:ln>
        <a:effectLst/>
      </c:spPr>
    </c:plotArea>
    <c:legend>
      <c:legendPos val="r"/>
      <c:layout>
        <c:manualLayout>
          <c:xMode val="edge"/>
          <c:yMode val="edge"/>
          <c:x val="0.81631525226013413"/>
          <c:y val="0.19757534662122375"/>
          <c:w val="9.7461032450438134E-2"/>
          <c:h val="0.18586035224210845"/>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'[Gráficas comparativas 2019.xls]F. Año'!$B$1</c:f>
              <c:strCache>
                <c:ptCount val="1"/>
                <c:pt idx="0">
                  <c:v>Total</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comparativas 2019.xls]F. Año'!$A$2:$A$8</c:f>
              <c:strCache>
                <c:ptCount val="7"/>
                <c:pt idx="0">
                  <c:v>Total</c:v>
                </c:pt>
                <c:pt idx="1">
                  <c:v>Año 2014</c:v>
                </c:pt>
                <c:pt idx="2">
                  <c:v>Año 2015</c:v>
                </c:pt>
                <c:pt idx="3">
                  <c:v>Año 2016</c:v>
                </c:pt>
                <c:pt idx="4">
                  <c:v>Año 2017</c:v>
                </c:pt>
                <c:pt idx="5">
                  <c:v>Año 2018</c:v>
                </c:pt>
                <c:pt idx="6">
                  <c:v>Año 2019</c:v>
                </c:pt>
              </c:strCache>
            </c:strRef>
          </c:cat>
          <c:val>
            <c:numRef>
              <c:f>'[Gráficas comparativas 2019.xls]F. Año'!$B$2:$B$8</c:f>
              <c:numCache>
                <c:formatCode>General</c:formatCode>
                <c:ptCount val="7"/>
                <c:pt idx="0">
                  <c:v>199</c:v>
                </c:pt>
                <c:pt idx="1">
                  <c:v>39</c:v>
                </c:pt>
                <c:pt idx="2">
                  <c:v>46</c:v>
                </c:pt>
                <c:pt idx="3">
                  <c:v>23</c:v>
                </c:pt>
                <c:pt idx="4">
                  <c:v>31</c:v>
                </c:pt>
                <c:pt idx="5">
                  <c:v>34</c:v>
                </c:pt>
                <c:pt idx="6">
                  <c:v>26</c:v>
                </c:pt>
              </c:numCache>
            </c:numRef>
          </c:val>
          <c:extLst>
            <c:ext xmlns:c16="http://schemas.microsoft.com/office/drawing/2014/chart" uri="{C3380CC4-5D6E-409C-BE32-E72D297353CC}">
              <c16:uniqueId val="{00000000-A1FB-4228-B038-C13D66F56782}"/>
            </c:ext>
          </c:extLst>
        </c:ser>
        <c:ser>
          <c:idx val="2"/>
          <c:order val="1"/>
          <c:tx>
            <c:strRef>
              <c:f>'[Gráficas comparativas 2019.xls]F. Año'!$C$1</c:f>
              <c:strCache>
                <c:ptCount val="1"/>
                <c:pt idx="0">
                  <c:v>Femicidio</c:v>
                </c:pt>
              </c:strCache>
            </c:strRef>
          </c:tx>
          <c:spPr>
            <a:solidFill>
              <a:schemeClr val="accent6"/>
            </a:solidFill>
            <a:ln>
              <a:noFill/>
            </a:ln>
            <a:effectLst/>
          </c:spPr>
          <c:invertIfNegative val="0"/>
          <c:dLbls>
            <c:dLbl>
              <c:idx val="0"/>
              <c:layout>
                <c:manualLayout>
                  <c:x val="1.3289036544850499E-2"/>
                  <c:y val="-1.8726591760299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FB-4228-B038-C13D66F56782}"/>
                </c:ext>
              </c:extLst>
            </c:dLbl>
            <c:spPr>
              <a:noFill/>
              <a:ln w="25400">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comparativas 2019.xls]F. Año'!$A$2:$A$8</c:f>
              <c:strCache>
                <c:ptCount val="7"/>
                <c:pt idx="0">
                  <c:v>Total</c:v>
                </c:pt>
                <c:pt idx="1">
                  <c:v>Año 2014</c:v>
                </c:pt>
                <c:pt idx="2">
                  <c:v>Año 2015</c:v>
                </c:pt>
                <c:pt idx="3">
                  <c:v>Año 2016</c:v>
                </c:pt>
                <c:pt idx="4">
                  <c:v>Año 2017</c:v>
                </c:pt>
                <c:pt idx="5">
                  <c:v>Año 2018</c:v>
                </c:pt>
                <c:pt idx="6">
                  <c:v>Año 2019</c:v>
                </c:pt>
              </c:strCache>
            </c:strRef>
          </c:cat>
          <c:val>
            <c:numRef>
              <c:f>'[Gráficas comparativas 2019.xls]F. Año'!$C$2:$C$8</c:f>
              <c:numCache>
                <c:formatCode>General</c:formatCode>
                <c:ptCount val="7"/>
                <c:pt idx="0">
                  <c:v>133</c:v>
                </c:pt>
                <c:pt idx="1">
                  <c:v>26</c:v>
                </c:pt>
                <c:pt idx="2">
                  <c:v>29</c:v>
                </c:pt>
                <c:pt idx="3">
                  <c:v>19</c:v>
                </c:pt>
                <c:pt idx="4">
                  <c:v>18</c:v>
                </c:pt>
                <c:pt idx="5">
                  <c:v>20</c:v>
                </c:pt>
                <c:pt idx="6">
                  <c:v>21</c:v>
                </c:pt>
              </c:numCache>
            </c:numRef>
          </c:val>
          <c:extLst>
            <c:ext xmlns:c16="http://schemas.microsoft.com/office/drawing/2014/chart" uri="{C3380CC4-5D6E-409C-BE32-E72D297353CC}">
              <c16:uniqueId val="{00000002-A1FB-4228-B038-C13D66F56782}"/>
            </c:ext>
          </c:extLst>
        </c:ser>
        <c:ser>
          <c:idx val="3"/>
          <c:order val="2"/>
          <c:tx>
            <c:strRef>
              <c:f>'[Gráficas comparativas 2019.xls]F. Año'!$D$1</c:f>
              <c:strCache>
                <c:ptCount val="1"/>
                <c:pt idx="0">
                  <c:v>Tentativa femicidio</c:v>
                </c:pt>
              </c:strCache>
            </c:strRef>
          </c:tx>
          <c:spPr>
            <a:solidFill>
              <a:schemeClr val="accent2">
                <a:lumMod val="60000"/>
              </a:schemeClr>
            </a:solidFill>
            <a:ln>
              <a:noFill/>
            </a:ln>
            <a:effectLst/>
          </c:spPr>
          <c:invertIfNegative val="0"/>
          <c:dLbls>
            <c:spPr>
              <a:noFill/>
              <a:ln w="25400">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comparativas 2019.xls]F. Año'!$A$2:$A$8</c:f>
              <c:strCache>
                <c:ptCount val="7"/>
                <c:pt idx="0">
                  <c:v>Total</c:v>
                </c:pt>
                <c:pt idx="1">
                  <c:v>Año 2014</c:v>
                </c:pt>
                <c:pt idx="2">
                  <c:v>Año 2015</c:v>
                </c:pt>
                <c:pt idx="3">
                  <c:v>Año 2016</c:v>
                </c:pt>
                <c:pt idx="4">
                  <c:v>Año 2017</c:v>
                </c:pt>
                <c:pt idx="5">
                  <c:v>Año 2018</c:v>
                </c:pt>
                <c:pt idx="6">
                  <c:v>Año 2019</c:v>
                </c:pt>
              </c:strCache>
            </c:strRef>
          </c:cat>
          <c:val>
            <c:numRef>
              <c:f>'[Gráficas comparativas 2019.xls]F. Año'!$D$2:$D$8</c:f>
              <c:numCache>
                <c:formatCode>General</c:formatCode>
                <c:ptCount val="7"/>
                <c:pt idx="0">
                  <c:v>66</c:v>
                </c:pt>
                <c:pt idx="1">
                  <c:v>13</c:v>
                </c:pt>
                <c:pt idx="2">
                  <c:v>17</c:v>
                </c:pt>
                <c:pt idx="3">
                  <c:v>4</c:v>
                </c:pt>
                <c:pt idx="4">
                  <c:v>13</c:v>
                </c:pt>
                <c:pt idx="5">
                  <c:v>14</c:v>
                </c:pt>
                <c:pt idx="6">
                  <c:v>5</c:v>
                </c:pt>
              </c:numCache>
            </c:numRef>
          </c:val>
          <c:extLst>
            <c:ext xmlns:c16="http://schemas.microsoft.com/office/drawing/2014/chart" uri="{C3380CC4-5D6E-409C-BE32-E72D297353CC}">
              <c16:uniqueId val="{00000003-A1FB-4228-B038-C13D66F56782}"/>
            </c:ext>
          </c:extLst>
        </c:ser>
        <c:dLbls>
          <c:showLegendKey val="0"/>
          <c:showVal val="0"/>
          <c:showCatName val="0"/>
          <c:showSerName val="0"/>
          <c:showPercent val="0"/>
          <c:showBubbleSize val="0"/>
        </c:dLbls>
        <c:gapWidth val="150"/>
        <c:axId val="657580496"/>
        <c:axId val="657582064"/>
      </c:barChart>
      <c:catAx>
        <c:axId val="657580496"/>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57582064"/>
        <c:crosses val="autoZero"/>
        <c:auto val="1"/>
        <c:lblAlgn val="ctr"/>
        <c:lblOffset val="100"/>
        <c:noMultiLvlLbl val="0"/>
      </c:catAx>
      <c:valAx>
        <c:axId val="657582064"/>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en-US"/>
          </a:p>
        </c:txPr>
        <c:crossAx val="65758049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800"/>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05790537244791"/>
          <c:y val="1.6192213547021869E-2"/>
          <c:w val="0.85103059020277327"/>
          <c:h val="0.60320718545396657"/>
        </c:manualLayout>
      </c:layout>
      <c:barChart>
        <c:barDir val="col"/>
        <c:grouping val="clustered"/>
        <c:varyColors val="0"/>
        <c:ser>
          <c:idx val="0"/>
          <c:order val="0"/>
          <c:tx>
            <c:strRef>
              <c:f>'F. Edad'!$A$2</c:f>
              <c:strCache>
                <c:ptCount val="1"/>
                <c:pt idx="0">
                  <c:v>Total</c:v>
                </c:pt>
              </c:strCache>
            </c:strRef>
          </c:tx>
          <c:spPr>
            <a:solidFill>
              <a:schemeClr val="accent2"/>
            </a:solidFill>
            <a:ln>
              <a:noFill/>
            </a:ln>
            <a:effectLst/>
          </c:spPr>
          <c:invertIfNegative val="0"/>
          <c:cat>
            <c:strRef>
              <c:f>'F. Edad'!$B$1:$J$1</c:f>
              <c:strCache>
                <c:ptCount val="9"/>
                <c:pt idx="0">
                  <c:v>Total</c:v>
                </c:pt>
                <c:pt idx="1">
                  <c:v>Menores de 9 años</c:v>
                </c:pt>
                <c:pt idx="2">
                  <c:v>10-17 años</c:v>
                </c:pt>
                <c:pt idx="3">
                  <c:v>18-29 años</c:v>
                </c:pt>
                <c:pt idx="4">
                  <c:v>30-39 años</c:v>
                </c:pt>
                <c:pt idx="5">
                  <c:v>40-49 años</c:v>
                </c:pt>
                <c:pt idx="6">
                  <c:v>50-59 años</c:v>
                </c:pt>
                <c:pt idx="7">
                  <c:v>60 y más</c:v>
                </c:pt>
                <c:pt idx="8">
                  <c:v>No consta</c:v>
                </c:pt>
              </c:strCache>
            </c:strRef>
          </c:cat>
          <c:val>
            <c:numRef>
              <c:f>'F. Edad'!$B$2:$J$2</c:f>
              <c:numCache>
                <c:formatCode>General</c:formatCode>
                <c:ptCount val="9"/>
                <c:pt idx="0">
                  <c:v>199</c:v>
                </c:pt>
                <c:pt idx="1">
                  <c:v>9</c:v>
                </c:pt>
                <c:pt idx="2">
                  <c:v>9</c:v>
                </c:pt>
                <c:pt idx="3">
                  <c:v>63</c:v>
                </c:pt>
                <c:pt idx="4">
                  <c:v>58</c:v>
                </c:pt>
                <c:pt idx="5">
                  <c:v>29</c:v>
                </c:pt>
                <c:pt idx="6">
                  <c:v>7</c:v>
                </c:pt>
                <c:pt idx="7">
                  <c:v>14</c:v>
                </c:pt>
                <c:pt idx="8">
                  <c:v>10</c:v>
                </c:pt>
              </c:numCache>
            </c:numRef>
          </c:val>
          <c:extLst>
            <c:ext xmlns:c16="http://schemas.microsoft.com/office/drawing/2014/chart" uri="{C3380CC4-5D6E-409C-BE32-E72D297353CC}">
              <c16:uniqueId val="{00000000-3A19-47B7-9FF7-32DEEA28ABB5}"/>
            </c:ext>
          </c:extLst>
        </c:ser>
        <c:ser>
          <c:idx val="1"/>
          <c:order val="1"/>
          <c:tx>
            <c:strRef>
              <c:f>'F. Edad'!$A$3</c:f>
              <c:strCache>
                <c:ptCount val="1"/>
                <c:pt idx="0">
                  <c:v>Año 2014</c:v>
                </c:pt>
              </c:strCache>
            </c:strRef>
          </c:tx>
          <c:spPr>
            <a:solidFill>
              <a:schemeClr val="accent4"/>
            </a:solidFill>
            <a:ln>
              <a:noFill/>
            </a:ln>
            <a:effectLst/>
          </c:spPr>
          <c:invertIfNegative val="0"/>
          <c:cat>
            <c:strRef>
              <c:f>'F. Edad'!$B$1:$J$1</c:f>
              <c:strCache>
                <c:ptCount val="9"/>
                <c:pt idx="0">
                  <c:v>Total</c:v>
                </c:pt>
                <c:pt idx="1">
                  <c:v>Menores de 9 años</c:v>
                </c:pt>
                <c:pt idx="2">
                  <c:v>10-17 años</c:v>
                </c:pt>
                <c:pt idx="3">
                  <c:v>18-29 años</c:v>
                </c:pt>
                <c:pt idx="4">
                  <c:v>30-39 años</c:v>
                </c:pt>
                <c:pt idx="5">
                  <c:v>40-49 años</c:v>
                </c:pt>
                <c:pt idx="6">
                  <c:v>50-59 años</c:v>
                </c:pt>
                <c:pt idx="7">
                  <c:v>60 y más</c:v>
                </c:pt>
                <c:pt idx="8">
                  <c:v>No consta</c:v>
                </c:pt>
              </c:strCache>
            </c:strRef>
          </c:cat>
          <c:val>
            <c:numRef>
              <c:f>'F. Edad'!$B$3:$J$3</c:f>
              <c:numCache>
                <c:formatCode>General</c:formatCode>
                <c:ptCount val="9"/>
                <c:pt idx="0">
                  <c:v>39</c:v>
                </c:pt>
                <c:pt idx="1">
                  <c:v>4</c:v>
                </c:pt>
                <c:pt idx="2">
                  <c:v>2</c:v>
                </c:pt>
                <c:pt idx="3">
                  <c:v>13</c:v>
                </c:pt>
                <c:pt idx="4">
                  <c:v>9</c:v>
                </c:pt>
                <c:pt idx="5">
                  <c:v>6</c:v>
                </c:pt>
                <c:pt idx="6">
                  <c:v>3</c:v>
                </c:pt>
                <c:pt idx="7">
                  <c:v>2</c:v>
                </c:pt>
                <c:pt idx="8">
                  <c:v>0</c:v>
                </c:pt>
              </c:numCache>
            </c:numRef>
          </c:val>
          <c:extLst>
            <c:ext xmlns:c16="http://schemas.microsoft.com/office/drawing/2014/chart" uri="{C3380CC4-5D6E-409C-BE32-E72D297353CC}">
              <c16:uniqueId val="{00000001-3A19-47B7-9FF7-32DEEA28ABB5}"/>
            </c:ext>
          </c:extLst>
        </c:ser>
        <c:ser>
          <c:idx val="2"/>
          <c:order val="2"/>
          <c:tx>
            <c:strRef>
              <c:f>'F. Edad'!$A$4</c:f>
              <c:strCache>
                <c:ptCount val="1"/>
                <c:pt idx="0">
                  <c:v>Año 2015</c:v>
                </c:pt>
              </c:strCache>
            </c:strRef>
          </c:tx>
          <c:spPr>
            <a:solidFill>
              <a:schemeClr val="accent6"/>
            </a:solidFill>
            <a:ln>
              <a:noFill/>
            </a:ln>
            <a:effectLst/>
          </c:spPr>
          <c:invertIfNegative val="0"/>
          <c:cat>
            <c:strRef>
              <c:f>'F. Edad'!$B$1:$J$1</c:f>
              <c:strCache>
                <c:ptCount val="9"/>
                <c:pt idx="0">
                  <c:v>Total</c:v>
                </c:pt>
                <c:pt idx="1">
                  <c:v>Menores de 9 años</c:v>
                </c:pt>
                <c:pt idx="2">
                  <c:v>10-17 años</c:v>
                </c:pt>
                <c:pt idx="3">
                  <c:v>18-29 años</c:v>
                </c:pt>
                <c:pt idx="4">
                  <c:v>30-39 años</c:v>
                </c:pt>
                <c:pt idx="5">
                  <c:v>40-49 años</c:v>
                </c:pt>
                <c:pt idx="6">
                  <c:v>50-59 años</c:v>
                </c:pt>
                <c:pt idx="7">
                  <c:v>60 y más</c:v>
                </c:pt>
                <c:pt idx="8">
                  <c:v>No consta</c:v>
                </c:pt>
              </c:strCache>
            </c:strRef>
          </c:cat>
          <c:val>
            <c:numRef>
              <c:f>'F. Edad'!$B$4:$J$4</c:f>
              <c:numCache>
                <c:formatCode>General</c:formatCode>
                <c:ptCount val="9"/>
                <c:pt idx="0">
                  <c:v>46</c:v>
                </c:pt>
                <c:pt idx="1">
                  <c:v>1</c:v>
                </c:pt>
                <c:pt idx="2">
                  <c:v>4</c:v>
                </c:pt>
                <c:pt idx="3">
                  <c:v>15</c:v>
                </c:pt>
                <c:pt idx="4">
                  <c:v>12</c:v>
                </c:pt>
                <c:pt idx="5">
                  <c:v>8</c:v>
                </c:pt>
                <c:pt idx="6">
                  <c:v>2</c:v>
                </c:pt>
                <c:pt idx="7">
                  <c:v>3</c:v>
                </c:pt>
                <c:pt idx="8">
                  <c:v>1</c:v>
                </c:pt>
              </c:numCache>
            </c:numRef>
          </c:val>
          <c:extLst>
            <c:ext xmlns:c16="http://schemas.microsoft.com/office/drawing/2014/chart" uri="{C3380CC4-5D6E-409C-BE32-E72D297353CC}">
              <c16:uniqueId val="{00000002-3A19-47B7-9FF7-32DEEA28ABB5}"/>
            </c:ext>
          </c:extLst>
        </c:ser>
        <c:ser>
          <c:idx val="3"/>
          <c:order val="3"/>
          <c:tx>
            <c:strRef>
              <c:f>'F. Edad'!$A$5</c:f>
              <c:strCache>
                <c:ptCount val="1"/>
                <c:pt idx="0">
                  <c:v>Año 2016</c:v>
                </c:pt>
              </c:strCache>
            </c:strRef>
          </c:tx>
          <c:spPr>
            <a:solidFill>
              <a:schemeClr val="accent2">
                <a:lumMod val="60000"/>
              </a:schemeClr>
            </a:solidFill>
            <a:ln>
              <a:noFill/>
            </a:ln>
            <a:effectLst/>
          </c:spPr>
          <c:invertIfNegative val="0"/>
          <c:cat>
            <c:strRef>
              <c:f>'F. Edad'!$B$1:$J$1</c:f>
              <c:strCache>
                <c:ptCount val="9"/>
                <c:pt idx="0">
                  <c:v>Total</c:v>
                </c:pt>
                <c:pt idx="1">
                  <c:v>Menores de 9 años</c:v>
                </c:pt>
                <c:pt idx="2">
                  <c:v>10-17 años</c:v>
                </c:pt>
                <c:pt idx="3">
                  <c:v>18-29 años</c:v>
                </c:pt>
                <c:pt idx="4">
                  <c:v>30-39 años</c:v>
                </c:pt>
                <c:pt idx="5">
                  <c:v>40-49 años</c:v>
                </c:pt>
                <c:pt idx="6">
                  <c:v>50-59 años</c:v>
                </c:pt>
                <c:pt idx="7">
                  <c:v>60 y más</c:v>
                </c:pt>
                <c:pt idx="8">
                  <c:v>No consta</c:v>
                </c:pt>
              </c:strCache>
            </c:strRef>
          </c:cat>
          <c:val>
            <c:numRef>
              <c:f>'F. Edad'!$B$5:$J$5</c:f>
              <c:numCache>
                <c:formatCode>General</c:formatCode>
                <c:ptCount val="9"/>
                <c:pt idx="0">
                  <c:v>23</c:v>
                </c:pt>
                <c:pt idx="1">
                  <c:v>0</c:v>
                </c:pt>
                <c:pt idx="2">
                  <c:v>0</c:v>
                </c:pt>
                <c:pt idx="3">
                  <c:v>10</c:v>
                </c:pt>
                <c:pt idx="4">
                  <c:v>8</c:v>
                </c:pt>
                <c:pt idx="5">
                  <c:v>2</c:v>
                </c:pt>
                <c:pt idx="6">
                  <c:v>1</c:v>
                </c:pt>
                <c:pt idx="7">
                  <c:v>2</c:v>
                </c:pt>
                <c:pt idx="8">
                  <c:v>0</c:v>
                </c:pt>
              </c:numCache>
            </c:numRef>
          </c:val>
          <c:extLst>
            <c:ext xmlns:c16="http://schemas.microsoft.com/office/drawing/2014/chart" uri="{C3380CC4-5D6E-409C-BE32-E72D297353CC}">
              <c16:uniqueId val="{00000003-3A19-47B7-9FF7-32DEEA28ABB5}"/>
            </c:ext>
          </c:extLst>
        </c:ser>
        <c:ser>
          <c:idx val="4"/>
          <c:order val="4"/>
          <c:tx>
            <c:strRef>
              <c:f>'F. Edad'!$A$6</c:f>
              <c:strCache>
                <c:ptCount val="1"/>
                <c:pt idx="0">
                  <c:v>Año 2017</c:v>
                </c:pt>
              </c:strCache>
            </c:strRef>
          </c:tx>
          <c:spPr>
            <a:solidFill>
              <a:schemeClr val="accent4">
                <a:lumMod val="60000"/>
              </a:schemeClr>
            </a:solidFill>
            <a:ln>
              <a:noFill/>
            </a:ln>
            <a:effectLst/>
          </c:spPr>
          <c:invertIfNegative val="0"/>
          <c:cat>
            <c:strRef>
              <c:f>'F. Edad'!$B$1:$J$1</c:f>
              <c:strCache>
                <c:ptCount val="9"/>
                <c:pt idx="0">
                  <c:v>Total</c:v>
                </c:pt>
                <c:pt idx="1">
                  <c:v>Menores de 9 años</c:v>
                </c:pt>
                <c:pt idx="2">
                  <c:v>10-17 años</c:v>
                </c:pt>
                <c:pt idx="3">
                  <c:v>18-29 años</c:v>
                </c:pt>
                <c:pt idx="4">
                  <c:v>30-39 años</c:v>
                </c:pt>
                <c:pt idx="5">
                  <c:v>40-49 años</c:v>
                </c:pt>
                <c:pt idx="6">
                  <c:v>50-59 años</c:v>
                </c:pt>
                <c:pt idx="7">
                  <c:v>60 y más</c:v>
                </c:pt>
                <c:pt idx="8">
                  <c:v>No consta</c:v>
                </c:pt>
              </c:strCache>
            </c:strRef>
          </c:cat>
          <c:val>
            <c:numRef>
              <c:f>'F. Edad'!$B$6:$J$6</c:f>
              <c:numCache>
                <c:formatCode>General</c:formatCode>
                <c:ptCount val="9"/>
                <c:pt idx="0">
                  <c:v>31</c:v>
                </c:pt>
                <c:pt idx="1">
                  <c:v>3</c:v>
                </c:pt>
                <c:pt idx="2">
                  <c:v>0</c:v>
                </c:pt>
                <c:pt idx="3">
                  <c:v>9</c:v>
                </c:pt>
                <c:pt idx="4">
                  <c:v>10</c:v>
                </c:pt>
                <c:pt idx="5">
                  <c:v>5</c:v>
                </c:pt>
                <c:pt idx="6">
                  <c:v>1</c:v>
                </c:pt>
                <c:pt idx="7">
                  <c:v>2</c:v>
                </c:pt>
                <c:pt idx="8">
                  <c:v>1</c:v>
                </c:pt>
              </c:numCache>
            </c:numRef>
          </c:val>
          <c:extLst>
            <c:ext xmlns:c16="http://schemas.microsoft.com/office/drawing/2014/chart" uri="{C3380CC4-5D6E-409C-BE32-E72D297353CC}">
              <c16:uniqueId val="{00000004-3A19-47B7-9FF7-32DEEA28ABB5}"/>
            </c:ext>
          </c:extLst>
        </c:ser>
        <c:ser>
          <c:idx val="5"/>
          <c:order val="5"/>
          <c:tx>
            <c:strRef>
              <c:f>'F. Edad'!$A$7</c:f>
              <c:strCache>
                <c:ptCount val="1"/>
                <c:pt idx="0">
                  <c:v>Año 2018</c:v>
                </c:pt>
              </c:strCache>
            </c:strRef>
          </c:tx>
          <c:spPr>
            <a:solidFill>
              <a:schemeClr val="accent6">
                <a:lumMod val="60000"/>
              </a:schemeClr>
            </a:solidFill>
            <a:ln>
              <a:noFill/>
            </a:ln>
            <a:effectLst/>
          </c:spPr>
          <c:invertIfNegative val="0"/>
          <c:cat>
            <c:strRef>
              <c:f>'F. Edad'!$B$1:$J$1</c:f>
              <c:strCache>
                <c:ptCount val="9"/>
                <c:pt idx="0">
                  <c:v>Total</c:v>
                </c:pt>
                <c:pt idx="1">
                  <c:v>Menores de 9 años</c:v>
                </c:pt>
                <c:pt idx="2">
                  <c:v>10-17 años</c:v>
                </c:pt>
                <c:pt idx="3">
                  <c:v>18-29 años</c:v>
                </c:pt>
                <c:pt idx="4">
                  <c:v>30-39 años</c:v>
                </c:pt>
                <c:pt idx="5">
                  <c:v>40-49 años</c:v>
                </c:pt>
                <c:pt idx="6">
                  <c:v>50-59 años</c:v>
                </c:pt>
                <c:pt idx="7">
                  <c:v>60 y más</c:v>
                </c:pt>
                <c:pt idx="8">
                  <c:v>No consta</c:v>
                </c:pt>
              </c:strCache>
            </c:strRef>
          </c:cat>
          <c:val>
            <c:numRef>
              <c:f>'F. Edad'!$B$7:$J$7</c:f>
              <c:numCache>
                <c:formatCode>General</c:formatCode>
                <c:ptCount val="9"/>
                <c:pt idx="0">
                  <c:v>34</c:v>
                </c:pt>
                <c:pt idx="1">
                  <c:v>0</c:v>
                </c:pt>
                <c:pt idx="2">
                  <c:v>2</c:v>
                </c:pt>
                <c:pt idx="3">
                  <c:v>7</c:v>
                </c:pt>
                <c:pt idx="4">
                  <c:v>13</c:v>
                </c:pt>
                <c:pt idx="5">
                  <c:v>6</c:v>
                </c:pt>
                <c:pt idx="6">
                  <c:v>0</c:v>
                </c:pt>
                <c:pt idx="7">
                  <c:v>2</c:v>
                </c:pt>
                <c:pt idx="8">
                  <c:v>4</c:v>
                </c:pt>
              </c:numCache>
            </c:numRef>
          </c:val>
          <c:extLst>
            <c:ext xmlns:c16="http://schemas.microsoft.com/office/drawing/2014/chart" uri="{C3380CC4-5D6E-409C-BE32-E72D297353CC}">
              <c16:uniqueId val="{00000005-3A19-47B7-9FF7-32DEEA28ABB5}"/>
            </c:ext>
          </c:extLst>
        </c:ser>
        <c:ser>
          <c:idx val="6"/>
          <c:order val="6"/>
          <c:tx>
            <c:strRef>
              <c:f>'F. Edad'!$A$8</c:f>
              <c:strCache>
                <c:ptCount val="1"/>
                <c:pt idx="0">
                  <c:v>Año 2019</c:v>
                </c:pt>
              </c:strCache>
            </c:strRef>
          </c:tx>
          <c:spPr>
            <a:solidFill>
              <a:schemeClr val="accent2">
                <a:lumMod val="80000"/>
                <a:lumOff val="20000"/>
              </a:schemeClr>
            </a:solidFill>
            <a:ln>
              <a:noFill/>
            </a:ln>
            <a:effectLst/>
          </c:spPr>
          <c:invertIfNegative val="0"/>
          <c:cat>
            <c:strRef>
              <c:f>'F. Edad'!$B$1:$J$1</c:f>
              <c:strCache>
                <c:ptCount val="9"/>
                <c:pt idx="0">
                  <c:v>Total</c:v>
                </c:pt>
                <c:pt idx="1">
                  <c:v>Menores de 9 años</c:v>
                </c:pt>
                <c:pt idx="2">
                  <c:v>10-17 años</c:v>
                </c:pt>
                <c:pt idx="3">
                  <c:v>18-29 años</c:v>
                </c:pt>
                <c:pt idx="4">
                  <c:v>30-39 años</c:v>
                </c:pt>
                <c:pt idx="5">
                  <c:v>40-49 años</c:v>
                </c:pt>
                <c:pt idx="6">
                  <c:v>50-59 años</c:v>
                </c:pt>
                <c:pt idx="7">
                  <c:v>60 y más</c:v>
                </c:pt>
                <c:pt idx="8">
                  <c:v>No consta</c:v>
                </c:pt>
              </c:strCache>
            </c:strRef>
          </c:cat>
          <c:val>
            <c:numRef>
              <c:f>'F. Edad'!$B$8:$J$8</c:f>
              <c:numCache>
                <c:formatCode>General</c:formatCode>
                <c:ptCount val="9"/>
                <c:pt idx="0">
                  <c:v>26</c:v>
                </c:pt>
                <c:pt idx="1">
                  <c:v>1</c:v>
                </c:pt>
                <c:pt idx="2">
                  <c:v>1</c:v>
                </c:pt>
                <c:pt idx="3">
                  <c:v>9</c:v>
                </c:pt>
                <c:pt idx="4">
                  <c:v>6</c:v>
                </c:pt>
                <c:pt idx="5">
                  <c:v>2</c:v>
                </c:pt>
                <c:pt idx="6">
                  <c:v>0</c:v>
                </c:pt>
                <c:pt idx="7">
                  <c:v>3</c:v>
                </c:pt>
                <c:pt idx="8">
                  <c:v>4</c:v>
                </c:pt>
              </c:numCache>
            </c:numRef>
          </c:val>
          <c:extLst>
            <c:ext xmlns:c16="http://schemas.microsoft.com/office/drawing/2014/chart" uri="{C3380CC4-5D6E-409C-BE32-E72D297353CC}">
              <c16:uniqueId val="{00000006-3A19-47B7-9FF7-32DEEA28ABB5}"/>
            </c:ext>
          </c:extLst>
        </c:ser>
        <c:dLbls>
          <c:showLegendKey val="0"/>
          <c:showVal val="0"/>
          <c:showCatName val="0"/>
          <c:showSerName val="0"/>
          <c:showPercent val="0"/>
          <c:showBubbleSize val="0"/>
        </c:dLbls>
        <c:gapWidth val="219"/>
        <c:overlap val="-27"/>
        <c:axId val="604014256"/>
        <c:axId val="604009552"/>
      </c:barChart>
      <c:catAx>
        <c:axId val="60401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604009552"/>
        <c:crosses val="autoZero"/>
        <c:auto val="1"/>
        <c:lblAlgn val="ctr"/>
        <c:lblOffset val="100"/>
        <c:noMultiLvlLbl val="0"/>
      </c:catAx>
      <c:valAx>
        <c:axId val="60400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604014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entury Schoolbook" panose="020406040505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comparativas 2019.xls]F. Arma'!$A$2</c:f>
              <c:strCache>
                <c:ptCount val="1"/>
                <c:pt idx="0">
                  <c:v>Total</c:v>
                </c:pt>
              </c:strCache>
            </c:strRef>
          </c:tx>
          <c:spPr>
            <a:solidFill>
              <a:srgbClr val="4F81BD"/>
            </a:solidFill>
            <a:ln w="25400">
              <a:noFill/>
            </a:ln>
          </c:spPr>
          <c:invertIfNegative val="0"/>
          <c:cat>
            <c:strRef>
              <c:f>'[Gráficas comparativas 2019.xls]F. Arma'!$B$1:$H$1</c:f>
              <c:strCache>
                <c:ptCount val="7"/>
                <c:pt idx="0">
                  <c:v>Total</c:v>
                </c:pt>
                <c:pt idx="1">
                  <c:v>Arma blanca</c:v>
                </c:pt>
                <c:pt idx="2">
                  <c:v>Arma de fuego</c:v>
                </c:pt>
                <c:pt idx="3">
                  <c:v>Asfixia mecánica</c:v>
                </c:pt>
                <c:pt idx="4">
                  <c:v>Objeto contundente</c:v>
                </c:pt>
                <c:pt idx="5">
                  <c:v>Otros</c:v>
                </c:pt>
                <c:pt idx="6">
                  <c:v>Por determinar</c:v>
                </c:pt>
              </c:strCache>
            </c:strRef>
          </c:cat>
          <c:val>
            <c:numRef>
              <c:f>'[Gráficas comparativas 2019.xls]F. Arma'!$B$2:$H$2</c:f>
              <c:numCache>
                <c:formatCode>General</c:formatCode>
                <c:ptCount val="7"/>
                <c:pt idx="0">
                  <c:v>199</c:v>
                </c:pt>
                <c:pt idx="1">
                  <c:v>82</c:v>
                </c:pt>
                <c:pt idx="2">
                  <c:v>55</c:v>
                </c:pt>
                <c:pt idx="3">
                  <c:v>20</c:v>
                </c:pt>
                <c:pt idx="4">
                  <c:v>12</c:v>
                </c:pt>
                <c:pt idx="5">
                  <c:v>6</c:v>
                </c:pt>
                <c:pt idx="6">
                  <c:v>24</c:v>
                </c:pt>
              </c:numCache>
            </c:numRef>
          </c:val>
          <c:extLst>
            <c:ext xmlns:c16="http://schemas.microsoft.com/office/drawing/2014/chart" uri="{C3380CC4-5D6E-409C-BE32-E72D297353CC}">
              <c16:uniqueId val="{00000000-5447-4C33-AC37-10CF067EC43A}"/>
            </c:ext>
          </c:extLst>
        </c:ser>
        <c:ser>
          <c:idx val="1"/>
          <c:order val="1"/>
          <c:tx>
            <c:strRef>
              <c:f>'[Gráficas comparativas 2019.xls]F. Arma'!$A$3</c:f>
              <c:strCache>
                <c:ptCount val="1"/>
                <c:pt idx="0">
                  <c:v>Año 2014</c:v>
                </c:pt>
              </c:strCache>
            </c:strRef>
          </c:tx>
          <c:spPr>
            <a:solidFill>
              <a:srgbClr val="C0504D"/>
            </a:solidFill>
            <a:ln w="25400">
              <a:noFill/>
            </a:ln>
          </c:spPr>
          <c:invertIfNegative val="0"/>
          <c:cat>
            <c:strRef>
              <c:f>'[Gráficas comparativas 2019.xls]F. Arma'!$B$1:$H$1</c:f>
              <c:strCache>
                <c:ptCount val="7"/>
                <c:pt idx="0">
                  <c:v>Total</c:v>
                </c:pt>
                <c:pt idx="1">
                  <c:v>Arma blanca</c:v>
                </c:pt>
                <c:pt idx="2">
                  <c:v>Arma de fuego</c:v>
                </c:pt>
                <c:pt idx="3">
                  <c:v>Asfixia mecánica</c:v>
                </c:pt>
                <c:pt idx="4">
                  <c:v>Objeto contundente</c:v>
                </c:pt>
                <c:pt idx="5">
                  <c:v>Otros</c:v>
                </c:pt>
                <c:pt idx="6">
                  <c:v>Por determinar</c:v>
                </c:pt>
              </c:strCache>
            </c:strRef>
          </c:cat>
          <c:val>
            <c:numRef>
              <c:f>'[Gráficas comparativas 2019.xls]F. Arma'!$B$3:$H$3</c:f>
              <c:numCache>
                <c:formatCode>General</c:formatCode>
                <c:ptCount val="7"/>
                <c:pt idx="0">
                  <c:v>39</c:v>
                </c:pt>
                <c:pt idx="1">
                  <c:v>19</c:v>
                </c:pt>
                <c:pt idx="2">
                  <c:v>5</c:v>
                </c:pt>
                <c:pt idx="3">
                  <c:v>7</c:v>
                </c:pt>
                <c:pt idx="4">
                  <c:v>0</c:v>
                </c:pt>
                <c:pt idx="5">
                  <c:v>2</c:v>
                </c:pt>
                <c:pt idx="6">
                  <c:v>6</c:v>
                </c:pt>
              </c:numCache>
            </c:numRef>
          </c:val>
          <c:extLst>
            <c:ext xmlns:c16="http://schemas.microsoft.com/office/drawing/2014/chart" uri="{C3380CC4-5D6E-409C-BE32-E72D297353CC}">
              <c16:uniqueId val="{00000001-5447-4C33-AC37-10CF067EC43A}"/>
            </c:ext>
          </c:extLst>
        </c:ser>
        <c:ser>
          <c:idx val="2"/>
          <c:order val="2"/>
          <c:tx>
            <c:strRef>
              <c:f>'[Gráficas comparativas 2019.xls]F. Arma'!$A$4</c:f>
              <c:strCache>
                <c:ptCount val="1"/>
                <c:pt idx="0">
                  <c:v>Año 2015</c:v>
                </c:pt>
              </c:strCache>
            </c:strRef>
          </c:tx>
          <c:spPr>
            <a:solidFill>
              <a:srgbClr val="9BBB59"/>
            </a:solidFill>
            <a:ln w="25400">
              <a:noFill/>
            </a:ln>
          </c:spPr>
          <c:invertIfNegative val="0"/>
          <c:cat>
            <c:strRef>
              <c:f>'[Gráficas comparativas 2019.xls]F. Arma'!$B$1:$H$1</c:f>
              <c:strCache>
                <c:ptCount val="7"/>
                <c:pt idx="0">
                  <c:v>Total</c:v>
                </c:pt>
                <c:pt idx="1">
                  <c:v>Arma blanca</c:v>
                </c:pt>
                <c:pt idx="2">
                  <c:v>Arma de fuego</c:v>
                </c:pt>
                <c:pt idx="3">
                  <c:v>Asfixia mecánica</c:v>
                </c:pt>
                <c:pt idx="4">
                  <c:v>Objeto contundente</c:v>
                </c:pt>
                <c:pt idx="5">
                  <c:v>Otros</c:v>
                </c:pt>
                <c:pt idx="6">
                  <c:v>Por determinar</c:v>
                </c:pt>
              </c:strCache>
            </c:strRef>
          </c:cat>
          <c:val>
            <c:numRef>
              <c:f>'[Gráficas comparativas 2019.xls]F. Arma'!$B$4:$H$4</c:f>
              <c:numCache>
                <c:formatCode>General</c:formatCode>
                <c:ptCount val="7"/>
                <c:pt idx="0">
                  <c:v>46</c:v>
                </c:pt>
                <c:pt idx="1">
                  <c:v>22</c:v>
                </c:pt>
                <c:pt idx="2">
                  <c:v>14</c:v>
                </c:pt>
                <c:pt idx="3">
                  <c:v>2</c:v>
                </c:pt>
                <c:pt idx="4">
                  <c:v>2</c:v>
                </c:pt>
                <c:pt idx="5">
                  <c:v>3</c:v>
                </c:pt>
                <c:pt idx="6">
                  <c:v>3</c:v>
                </c:pt>
              </c:numCache>
            </c:numRef>
          </c:val>
          <c:extLst>
            <c:ext xmlns:c16="http://schemas.microsoft.com/office/drawing/2014/chart" uri="{C3380CC4-5D6E-409C-BE32-E72D297353CC}">
              <c16:uniqueId val="{00000002-5447-4C33-AC37-10CF067EC43A}"/>
            </c:ext>
          </c:extLst>
        </c:ser>
        <c:ser>
          <c:idx val="3"/>
          <c:order val="3"/>
          <c:tx>
            <c:strRef>
              <c:f>'[Gráficas comparativas 2019.xls]F. Arma'!$A$5</c:f>
              <c:strCache>
                <c:ptCount val="1"/>
                <c:pt idx="0">
                  <c:v>Año 2016</c:v>
                </c:pt>
              </c:strCache>
            </c:strRef>
          </c:tx>
          <c:spPr>
            <a:solidFill>
              <a:srgbClr val="8064A2"/>
            </a:solidFill>
            <a:ln w="25400">
              <a:noFill/>
            </a:ln>
          </c:spPr>
          <c:invertIfNegative val="0"/>
          <c:cat>
            <c:strRef>
              <c:f>'[Gráficas comparativas 2019.xls]F. Arma'!$B$1:$H$1</c:f>
              <c:strCache>
                <c:ptCount val="7"/>
                <c:pt idx="0">
                  <c:v>Total</c:v>
                </c:pt>
                <c:pt idx="1">
                  <c:v>Arma blanca</c:v>
                </c:pt>
                <c:pt idx="2">
                  <c:v>Arma de fuego</c:v>
                </c:pt>
                <c:pt idx="3">
                  <c:v>Asfixia mecánica</c:v>
                </c:pt>
                <c:pt idx="4">
                  <c:v>Objeto contundente</c:v>
                </c:pt>
                <c:pt idx="5">
                  <c:v>Otros</c:v>
                </c:pt>
                <c:pt idx="6">
                  <c:v>Por determinar</c:v>
                </c:pt>
              </c:strCache>
            </c:strRef>
          </c:cat>
          <c:val>
            <c:numRef>
              <c:f>'[Gráficas comparativas 2019.xls]F. Arma'!$B$5:$H$5</c:f>
              <c:numCache>
                <c:formatCode>General</c:formatCode>
                <c:ptCount val="7"/>
                <c:pt idx="0">
                  <c:v>23</c:v>
                </c:pt>
                <c:pt idx="1">
                  <c:v>6</c:v>
                </c:pt>
                <c:pt idx="2">
                  <c:v>9</c:v>
                </c:pt>
                <c:pt idx="3">
                  <c:v>2</c:v>
                </c:pt>
                <c:pt idx="4">
                  <c:v>0</c:v>
                </c:pt>
                <c:pt idx="5">
                  <c:v>0</c:v>
                </c:pt>
                <c:pt idx="6">
                  <c:v>6</c:v>
                </c:pt>
              </c:numCache>
            </c:numRef>
          </c:val>
          <c:extLst>
            <c:ext xmlns:c16="http://schemas.microsoft.com/office/drawing/2014/chart" uri="{C3380CC4-5D6E-409C-BE32-E72D297353CC}">
              <c16:uniqueId val="{00000003-5447-4C33-AC37-10CF067EC43A}"/>
            </c:ext>
          </c:extLst>
        </c:ser>
        <c:ser>
          <c:idx val="4"/>
          <c:order val="4"/>
          <c:tx>
            <c:strRef>
              <c:f>'[Gráficas comparativas 2019.xls]F. Arma'!$A$6</c:f>
              <c:strCache>
                <c:ptCount val="1"/>
                <c:pt idx="0">
                  <c:v>Año 2017</c:v>
                </c:pt>
              </c:strCache>
            </c:strRef>
          </c:tx>
          <c:spPr>
            <a:solidFill>
              <a:srgbClr val="4BACC6"/>
            </a:solidFill>
            <a:ln w="25400">
              <a:noFill/>
            </a:ln>
          </c:spPr>
          <c:invertIfNegative val="0"/>
          <c:cat>
            <c:strRef>
              <c:f>'[Gráficas comparativas 2019.xls]F. Arma'!$B$1:$H$1</c:f>
              <c:strCache>
                <c:ptCount val="7"/>
                <c:pt idx="0">
                  <c:v>Total</c:v>
                </c:pt>
                <c:pt idx="1">
                  <c:v>Arma blanca</c:v>
                </c:pt>
                <c:pt idx="2">
                  <c:v>Arma de fuego</c:v>
                </c:pt>
                <c:pt idx="3">
                  <c:v>Asfixia mecánica</c:v>
                </c:pt>
                <c:pt idx="4">
                  <c:v>Objeto contundente</c:v>
                </c:pt>
                <c:pt idx="5">
                  <c:v>Otros</c:v>
                </c:pt>
                <c:pt idx="6">
                  <c:v>Por determinar</c:v>
                </c:pt>
              </c:strCache>
            </c:strRef>
          </c:cat>
          <c:val>
            <c:numRef>
              <c:f>'[Gráficas comparativas 2019.xls]F. Arma'!$B$6:$H$6</c:f>
              <c:numCache>
                <c:formatCode>General</c:formatCode>
                <c:ptCount val="7"/>
                <c:pt idx="0">
                  <c:v>31</c:v>
                </c:pt>
                <c:pt idx="1">
                  <c:v>11</c:v>
                </c:pt>
                <c:pt idx="2">
                  <c:v>10</c:v>
                </c:pt>
                <c:pt idx="3">
                  <c:v>3</c:v>
                </c:pt>
                <c:pt idx="4">
                  <c:v>4</c:v>
                </c:pt>
                <c:pt idx="5">
                  <c:v>0</c:v>
                </c:pt>
                <c:pt idx="6">
                  <c:v>3</c:v>
                </c:pt>
              </c:numCache>
            </c:numRef>
          </c:val>
          <c:extLst>
            <c:ext xmlns:c16="http://schemas.microsoft.com/office/drawing/2014/chart" uri="{C3380CC4-5D6E-409C-BE32-E72D297353CC}">
              <c16:uniqueId val="{00000004-5447-4C33-AC37-10CF067EC43A}"/>
            </c:ext>
          </c:extLst>
        </c:ser>
        <c:ser>
          <c:idx val="5"/>
          <c:order val="5"/>
          <c:tx>
            <c:strRef>
              <c:f>'[Gráficas comparativas 2019.xls]F. Arma'!$A$7</c:f>
              <c:strCache>
                <c:ptCount val="1"/>
                <c:pt idx="0">
                  <c:v>Año 2018</c:v>
                </c:pt>
              </c:strCache>
            </c:strRef>
          </c:tx>
          <c:invertIfNegative val="0"/>
          <c:cat>
            <c:strRef>
              <c:f>'[Gráficas comparativas 2019.xls]F. Arma'!$B$1:$H$1</c:f>
              <c:strCache>
                <c:ptCount val="7"/>
                <c:pt idx="0">
                  <c:v>Total</c:v>
                </c:pt>
                <c:pt idx="1">
                  <c:v>Arma blanca</c:v>
                </c:pt>
                <c:pt idx="2">
                  <c:v>Arma de fuego</c:v>
                </c:pt>
                <c:pt idx="3">
                  <c:v>Asfixia mecánica</c:v>
                </c:pt>
                <c:pt idx="4">
                  <c:v>Objeto contundente</c:v>
                </c:pt>
                <c:pt idx="5">
                  <c:v>Otros</c:v>
                </c:pt>
                <c:pt idx="6">
                  <c:v>Por determinar</c:v>
                </c:pt>
              </c:strCache>
            </c:strRef>
          </c:cat>
          <c:val>
            <c:numRef>
              <c:f>'[Gráficas comparativas 2019.xls]F. Arma'!$B$7:$H$7</c:f>
              <c:numCache>
                <c:formatCode>General</c:formatCode>
                <c:ptCount val="7"/>
                <c:pt idx="0">
                  <c:v>34</c:v>
                </c:pt>
                <c:pt idx="1">
                  <c:v>11</c:v>
                </c:pt>
                <c:pt idx="2">
                  <c:v>12</c:v>
                </c:pt>
                <c:pt idx="3">
                  <c:v>3</c:v>
                </c:pt>
                <c:pt idx="4">
                  <c:v>4</c:v>
                </c:pt>
                <c:pt idx="5">
                  <c:v>1</c:v>
                </c:pt>
                <c:pt idx="6">
                  <c:v>3</c:v>
                </c:pt>
              </c:numCache>
            </c:numRef>
          </c:val>
          <c:extLst>
            <c:ext xmlns:c16="http://schemas.microsoft.com/office/drawing/2014/chart" uri="{C3380CC4-5D6E-409C-BE32-E72D297353CC}">
              <c16:uniqueId val="{00000005-5447-4C33-AC37-10CF067EC43A}"/>
            </c:ext>
          </c:extLst>
        </c:ser>
        <c:ser>
          <c:idx val="6"/>
          <c:order val="6"/>
          <c:tx>
            <c:strRef>
              <c:f>'[Gráficas comparativas 2019.xls]F. Arma'!$A$8</c:f>
              <c:strCache>
                <c:ptCount val="1"/>
                <c:pt idx="0">
                  <c:v>Año 2019</c:v>
                </c:pt>
              </c:strCache>
            </c:strRef>
          </c:tx>
          <c:invertIfNegative val="0"/>
          <c:cat>
            <c:strRef>
              <c:f>'[Gráficas comparativas 2019.xls]F. Arma'!$B$1:$H$1</c:f>
              <c:strCache>
                <c:ptCount val="7"/>
                <c:pt idx="0">
                  <c:v>Total</c:v>
                </c:pt>
                <c:pt idx="1">
                  <c:v>Arma blanca</c:v>
                </c:pt>
                <c:pt idx="2">
                  <c:v>Arma de fuego</c:v>
                </c:pt>
                <c:pt idx="3">
                  <c:v>Asfixia mecánica</c:v>
                </c:pt>
                <c:pt idx="4">
                  <c:v>Objeto contundente</c:v>
                </c:pt>
                <c:pt idx="5">
                  <c:v>Otros</c:v>
                </c:pt>
                <c:pt idx="6">
                  <c:v>Por determinar</c:v>
                </c:pt>
              </c:strCache>
            </c:strRef>
          </c:cat>
          <c:val>
            <c:numRef>
              <c:f>'[Gráficas comparativas 2019.xls]F. Arma'!$B$8:$H$8</c:f>
              <c:numCache>
                <c:formatCode>General</c:formatCode>
                <c:ptCount val="7"/>
                <c:pt idx="0">
                  <c:v>26</c:v>
                </c:pt>
                <c:pt idx="1">
                  <c:v>13</c:v>
                </c:pt>
                <c:pt idx="2">
                  <c:v>5</c:v>
                </c:pt>
                <c:pt idx="3">
                  <c:v>3</c:v>
                </c:pt>
                <c:pt idx="4">
                  <c:v>2</c:v>
                </c:pt>
                <c:pt idx="5">
                  <c:v>0</c:v>
                </c:pt>
                <c:pt idx="6">
                  <c:v>3</c:v>
                </c:pt>
              </c:numCache>
            </c:numRef>
          </c:val>
          <c:extLst>
            <c:ext xmlns:c16="http://schemas.microsoft.com/office/drawing/2014/chart" uri="{C3380CC4-5D6E-409C-BE32-E72D297353CC}">
              <c16:uniqueId val="{00000006-5447-4C33-AC37-10CF067EC43A}"/>
            </c:ext>
          </c:extLst>
        </c:ser>
        <c:dLbls>
          <c:showLegendKey val="0"/>
          <c:showVal val="0"/>
          <c:showCatName val="0"/>
          <c:showSerName val="0"/>
          <c:showPercent val="0"/>
          <c:showBubbleSize val="0"/>
        </c:dLbls>
        <c:gapWidth val="150"/>
        <c:axId val="398217600"/>
        <c:axId val="398214464"/>
      </c:barChart>
      <c:catAx>
        <c:axId val="39821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98214464"/>
        <c:crosses val="autoZero"/>
        <c:auto val="1"/>
        <c:lblAlgn val="ctr"/>
        <c:lblOffset val="100"/>
        <c:noMultiLvlLbl val="0"/>
      </c:catAx>
      <c:valAx>
        <c:axId val="39821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en-US"/>
          </a:p>
        </c:txPr>
        <c:crossAx val="398217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800"/>
            </a:pPr>
            <a:endParaRPr lang="en-US"/>
          </a:p>
        </c:txPr>
      </c:dTable>
      <c:spPr>
        <a:noFill/>
        <a:ln w="25400">
          <a:noFill/>
        </a:ln>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Century Schoolbook" panose="02040604050505020304" pitchFamily="18"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04796040006201"/>
          <c:y val="4.6758767268862911E-2"/>
          <c:w val="0.67321712077232709"/>
          <c:h val="0.42481093157722971"/>
        </c:manualLayout>
      </c:layout>
      <c:barChart>
        <c:barDir val="bar"/>
        <c:grouping val="stacked"/>
        <c:varyColors val="0"/>
        <c:ser>
          <c:idx val="0"/>
          <c:order val="0"/>
          <c:tx>
            <c:strRef>
              <c:f>'V. Doméstica'!$B$1</c:f>
              <c:strCache>
                <c:ptCount val="1"/>
                <c:pt idx="0">
                  <c:v>Total</c:v>
                </c:pt>
              </c:strCache>
            </c:strRef>
          </c:tx>
          <c:spPr>
            <a:solidFill>
              <a:schemeClr val="accent1"/>
            </a:solidFill>
            <a:ln>
              <a:noFill/>
            </a:ln>
            <a:effectLst/>
          </c:spPr>
          <c:invertIfNegative val="0"/>
          <c:cat>
            <c:strRef>
              <c:f>'V. Doméstica'!$A$2:$A$8</c:f>
              <c:strCache>
                <c:ptCount val="7"/>
                <c:pt idx="0">
                  <c:v>Total</c:v>
                </c:pt>
                <c:pt idx="1">
                  <c:v>Año 2014</c:v>
                </c:pt>
                <c:pt idx="2">
                  <c:v>Año 2015</c:v>
                </c:pt>
                <c:pt idx="3">
                  <c:v>Año 2016</c:v>
                </c:pt>
                <c:pt idx="4">
                  <c:v>Año 2017</c:v>
                </c:pt>
                <c:pt idx="5">
                  <c:v>Año 2018</c:v>
                </c:pt>
                <c:pt idx="6">
                  <c:v>Año 2019</c:v>
                </c:pt>
              </c:strCache>
            </c:strRef>
          </c:cat>
          <c:val>
            <c:numRef>
              <c:f>'V. Doméstica'!$B$2:$B$8</c:f>
              <c:numCache>
                <c:formatCode>General</c:formatCode>
                <c:ptCount val="7"/>
                <c:pt idx="0">
                  <c:v>105222</c:v>
                </c:pt>
                <c:pt idx="1">
                  <c:v>17321</c:v>
                </c:pt>
                <c:pt idx="2">
                  <c:v>20516</c:v>
                </c:pt>
                <c:pt idx="3">
                  <c:v>19711</c:v>
                </c:pt>
                <c:pt idx="4">
                  <c:v>15389</c:v>
                </c:pt>
                <c:pt idx="5">
                  <c:v>15434</c:v>
                </c:pt>
                <c:pt idx="6">
                  <c:v>16851</c:v>
                </c:pt>
              </c:numCache>
            </c:numRef>
          </c:val>
          <c:extLst>
            <c:ext xmlns:c16="http://schemas.microsoft.com/office/drawing/2014/chart" uri="{C3380CC4-5D6E-409C-BE32-E72D297353CC}">
              <c16:uniqueId val="{00000000-ADB0-4EC9-8E6D-772484DDC000}"/>
            </c:ext>
          </c:extLst>
        </c:ser>
        <c:ser>
          <c:idx val="1"/>
          <c:order val="1"/>
          <c:tx>
            <c:strRef>
              <c:f>'V. Doméstica'!$C$1</c:f>
              <c:strCache>
                <c:ptCount val="1"/>
                <c:pt idx="0">
                  <c:v>Primer Distrito Judicial</c:v>
                </c:pt>
              </c:strCache>
            </c:strRef>
          </c:tx>
          <c:spPr>
            <a:solidFill>
              <a:schemeClr val="accent2"/>
            </a:solidFill>
            <a:ln>
              <a:noFill/>
            </a:ln>
            <a:effectLst/>
          </c:spPr>
          <c:invertIfNegative val="0"/>
          <c:cat>
            <c:strRef>
              <c:f>'V. Doméstica'!$A$2:$A$8</c:f>
              <c:strCache>
                <c:ptCount val="7"/>
                <c:pt idx="0">
                  <c:v>Total</c:v>
                </c:pt>
                <c:pt idx="1">
                  <c:v>Año 2014</c:v>
                </c:pt>
                <c:pt idx="2">
                  <c:v>Año 2015</c:v>
                </c:pt>
                <c:pt idx="3">
                  <c:v>Año 2016</c:v>
                </c:pt>
                <c:pt idx="4">
                  <c:v>Año 2017</c:v>
                </c:pt>
                <c:pt idx="5">
                  <c:v>Año 2018</c:v>
                </c:pt>
                <c:pt idx="6">
                  <c:v>Año 2019</c:v>
                </c:pt>
              </c:strCache>
            </c:strRef>
          </c:cat>
          <c:val>
            <c:numRef>
              <c:f>'V. Doméstica'!$C$2:$C$8</c:f>
              <c:numCache>
                <c:formatCode>General</c:formatCode>
                <c:ptCount val="7"/>
                <c:pt idx="0">
                  <c:v>72696</c:v>
                </c:pt>
                <c:pt idx="1">
                  <c:v>11732</c:v>
                </c:pt>
                <c:pt idx="2">
                  <c:v>14132</c:v>
                </c:pt>
                <c:pt idx="3">
                  <c:v>15047</c:v>
                </c:pt>
                <c:pt idx="4">
                  <c:v>10417</c:v>
                </c:pt>
                <c:pt idx="5">
                  <c:v>10018</c:v>
                </c:pt>
                <c:pt idx="6">
                  <c:v>11350</c:v>
                </c:pt>
              </c:numCache>
            </c:numRef>
          </c:val>
          <c:extLst>
            <c:ext xmlns:c16="http://schemas.microsoft.com/office/drawing/2014/chart" uri="{C3380CC4-5D6E-409C-BE32-E72D297353CC}">
              <c16:uniqueId val="{00000001-ADB0-4EC9-8E6D-772484DDC000}"/>
            </c:ext>
          </c:extLst>
        </c:ser>
        <c:ser>
          <c:idx val="2"/>
          <c:order val="2"/>
          <c:tx>
            <c:strRef>
              <c:f>'V. Doméstica'!$D$1</c:f>
              <c:strCache>
                <c:ptCount val="1"/>
                <c:pt idx="0">
                  <c:v>Segundo Distrito Judicial</c:v>
                </c:pt>
              </c:strCache>
            </c:strRef>
          </c:tx>
          <c:spPr>
            <a:solidFill>
              <a:schemeClr val="accent3"/>
            </a:solidFill>
            <a:ln>
              <a:noFill/>
            </a:ln>
            <a:effectLst/>
          </c:spPr>
          <c:invertIfNegative val="0"/>
          <c:cat>
            <c:strRef>
              <c:f>'V. Doméstica'!$A$2:$A$8</c:f>
              <c:strCache>
                <c:ptCount val="7"/>
                <c:pt idx="0">
                  <c:v>Total</c:v>
                </c:pt>
                <c:pt idx="1">
                  <c:v>Año 2014</c:v>
                </c:pt>
                <c:pt idx="2">
                  <c:v>Año 2015</c:v>
                </c:pt>
                <c:pt idx="3">
                  <c:v>Año 2016</c:v>
                </c:pt>
                <c:pt idx="4">
                  <c:v>Año 2017</c:v>
                </c:pt>
                <c:pt idx="5">
                  <c:v>Año 2018</c:v>
                </c:pt>
                <c:pt idx="6">
                  <c:v>Año 2019</c:v>
                </c:pt>
              </c:strCache>
            </c:strRef>
          </c:cat>
          <c:val>
            <c:numRef>
              <c:f>'V. Doméstica'!$D$2:$D$8</c:f>
              <c:numCache>
                <c:formatCode>General</c:formatCode>
                <c:ptCount val="7"/>
                <c:pt idx="0">
                  <c:v>8856</c:v>
                </c:pt>
                <c:pt idx="1">
                  <c:v>1268</c:v>
                </c:pt>
                <c:pt idx="2">
                  <c:v>1157</c:v>
                </c:pt>
                <c:pt idx="3">
                  <c:v>1286</c:v>
                </c:pt>
                <c:pt idx="4">
                  <c:v>1504</c:v>
                </c:pt>
                <c:pt idx="5">
                  <c:v>1758</c:v>
                </c:pt>
                <c:pt idx="6">
                  <c:v>1883</c:v>
                </c:pt>
              </c:numCache>
            </c:numRef>
          </c:val>
          <c:extLst>
            <c:ext xmlns:c16="http://schemas.microsoft.com/office/drawing/2014/chart" uri="{C3380CC4-5D6E-409C-BE32-E72D297353CC}">
              <c16:uniqueId val="{00000002-ADB0-4EC9-8E6D-772484DDC000}"/>
            </c:ext>
          </c:extLst>
        </c:ser>
        <c:ser>
          <c:idx val="3"/>
          <c:order val="3"/>
          <c:tx>
            <c:strRef>
              <c:f>'V. Doméstica'!$E$1</c:f>
              <c:strCache>
                <c:ptCount val="1"/>
                <c:pt idx="0">
                  <c:v>Tercer Distrito Judicial</c:v>
                </c:pt>
              </c:strCache>
            </c:strRef>
          </c:tx>
          <c:spPr>
            <a:solidFill>
              <a:schemeClr val="accent4"/>
            </a:solidFill>
            <a:ln>
              <a:noFill/>
            </a:ln>
            <a:effectLst/>
          </c:spPr>
          <c:invertIfNegative val="0"/>
          <c:cat>
            <c:strRef>
              <c:f>'V. Doméstica'!$A$2:$A$8</c:f>
              <c:strCache>
                <c:ptCount val="7"/>
                <c:pt idx="0">
                  <c:v>Total</c:v>
                </c:pt>
                <c:pt idx="1">
                  <c:v>Año 2014</c:v>
                </c:pt>
                <c:pt idx="2">
                  <c:v>Año 2015</c:v>
                </c:pt>
                <c:pt idx="3">
                  <c:v>Año 2016</c:v>
                </c:pt>
                <c:pt idx="4">
                  <c:v>Año 2017</c:v>
                </c:pt>
                <c:pt idx="5">
                  <c:v>Año 2018</c:v>
                </c:pt>
                <c:pt idx="6">
                  <c:v>Año 2019</c:v>
                </c:pt>
              </c:strCache>
            </c:strRef>
          </c:cat>
          <c:val>
            <c:numRef>
              <c:f>'V. Doméstica'!$E$2:$E$8</c:f>
              <c:numCache>
                <c:formatCode>General</c:formatCode>
                <c:ptCount val="7"/>
                <c:pt idx="0">
                  <c:v>18113</c:v>
                </c:pt>
                <c:pt idx="1">
                  <c:v>3405</c:v>
                </c:pt>
                <c:pt idx="2">
                  <c:v>4163</c:v>
                </c:pt>
                <c:pt idx="3">
                  <c:v>2499</c:v>
                </c:pt>
                <c:pt idx="4">
                  <c:v>2629</c:v>
                </c:pt>
                <c:pt idx="5">
                  <c:v>2754</c:v>
                </c:pt>
                <c:pt idx="6">
                  <c:v>2663</c:v>
                </c:pt>
              </c:numCache>
            </c:numRef>
          </c:val>
          <c:extLst>
            <c:ext xmlns:c16="http://schemas.microsoft.com/office/drawing/2014/chart" uri="{C3380CC4-5D6E-409C-BE32-E72D297353CC}">
              <c16:uniqueId val="{00000003-ADB0-4EC9-8E6D-772484DDC000}"/>
            </c:ext>
          </c:extLst>
        </c:ser>
        <c:ser>
          <c:idx val="4"/>
          <c:order val="4"/>
          <c:tx>
            <c:strRef>
              <c:f>'V. Doméstica'!$F$1</c:f>
              <c:strCache>
                <c:ptCount val="1"/>
                <c:pt idx="0">
                  <c:v>Cuarto Distrito Judicial</c:v>
                </c:pt>
              </c:strCache>
            </c:strRef>
          </c:tx>
          <c:spPr>
            <a:solidFill>
              <a:schemeClr val="accent5"/>
            </a:solidFill>
            <a:ln>
              <a:noFill/>
            </a:ln>
            <a:effectLst/>
          </c:spPr>
          <c:invertIfNegative val="0"/>
          <c:cat>
            <c:strRef>
              <c:f>'V. Doméstica'!$A$2:$A$8</c:f>
              <c:strCache>
                <c:ptCount val="7"/>
                <c:pt idx="0">
                  <c:v>Total</c:v>
                </c:pt>
                <c:pt idx="1">
                  <c:v>Año 2014</c:v>
                </c:pt>
                <c:pt idx="2">
                  <c:v>Año 2015</c:v>
                </c:pt>
                <c:pt idx="3">
                  <c:v>Año 2016</c:v>
                </c:pt>
                <c:pt idx="4">
                  <c:v>Año 2017</c:v>
                </c:pt>
                <c:pt idx="5">
                  <c:v>Año 2018</c:v>
                </c:pt>
                <c:pt idx="6">
                  <c:v>Año 2019</c:v>
                </c:pt>
              </c:strCache>
            </c:strRef>
          </c:cat>
          <c:val>
            <c:numRef>
              <c:f>'V. Doméstica'!$F$2:$F$8</c:f>
              <c:numCache>
                <c:formatCode>General</c:formatCode>
                <c:ptCount val="7"/>
                <c:pt idx="0">
                  <c:v>5557</c:v>
                </c:pt>
                <c:pt idx="1">
                  <c:v>916</c:v>
                </c:pt>
                <c:pt idx="2">
                  <c:v>1064</c:v>
                </c:pt>
                <c:pt idx="3">
                  <c:v>879</c:v>
                </c:pt>
                <c:pt idx="4">
                  <c:v>839</c:v>
                </c:pt>
                <c:pt idx="5">
                  <c:v>904</c:v>
                </c:pt>
                <c:pt idx="6">
                  <c:v>955</c:v>
                </c:pt>
              </c:numCache>
            </c:numRef>
          </c:val>
          <c:extLst>
            <c:ext xmlns:c16="http://schemas.microsoft.com/office/drawing/2014/chart" uri="{C3380CC4-5D6E-409C-BE32-E72D297353CC}">
              <c16:uniqueId val="{00000004-ADB0-4EC9-8E6D-772484DDC000}"/>
            </c:ext>
          </c:extLst>
        </c:ser>
        <c:dLbls>
          <c:showLegendKey val="0"/>
          <c:showVal val="0"/>
          <c:showCatName val="0"/>
          <c:showSerName val="0"/>
          <c:showPercent val="0"/>
          <c:showBubbleSize val="0"/>
        </c:dLbls>
        <c:gapWidth val="150"/>
        <c:overlap val="100"/>
        <c:axId val="598751992"/>
        <c:axId val="598752384"/>
        <c:extLst>
          <c:ext xmlns:c15="http://schemas.microsoft.com/office/drawing/2012/chart" uri="{02D57815-91ED-43cb-92C2-25804820EDAC}">
            <c15:filteredBarSeries>
              <c15:ser>
                <c:idx val="5"/>
                <c:order val="5"/>
                <c:tx>
                  <c:strRef>
                    <c:extLst>
                      <c:ext uri="{02D57815-91ED-43cb-92C2-25804820EDAC}">
                        <c15:formulaRef>
                          <c15:sqref>'V. Doméstica'!$G$1</c15:sqref>
                        </c15:formulaRef>
                      </c:ext>
                    </c:extLst>
                    <c:strCache>
                      <c:ptCount val="1"/>
                    </c:strCache>
                  </c:strRef>
                </c:tx>
                <c:spPr>
                  <a:solidFill>
                    <a:schemeClr val="accent6"/>
                  </a:solidFill>
                  <a:ln>
                    <a:noFill/>
                  </a:ln>
                  <a:effectLst/>
                </c:spPr>
                <c:invertIfNegative val="0"/>
                <c:cat>
                  <c:strRef>
                    <c:extLst>
                      <c:ext uri="{02D57815-91ED-43cb-92C2-25804820EDAC}">
                        <c15:formulaRef>
                          <c15:sqref>'V. Doméstica'!$A$2:$A$8</c15:sqref>
                        </c15:formulaRef>
                      </c:ext>
                    </c:extLst>
                    <c:strCache>
                      <c:ptCount val="7"/>
                      <c:pt idx="0">
                        <c:v>Total</c:v>
                      </c:pt>
                      <c:pt idx="1">
                        <c:v>Año 2014</c:v>
                      </c:pt>
                      <c:pt idx="2">
                        <c:v>Año 2015</c:v>
                      </c:pt>
                      <c:pt idx="3">
                        <c:v>Año 2016</c:v>
                      </c:pt>
                      <c:pt idx="4">
                        <c:v>Año 2017</c:v>
                      </c:pt>
                      <c:pt idx="5">
                        <c:v>Año 2018</c:v>
                      </c:pt>
                      <c:pt idx="6">
                        <c:v>Año 2019</c:v>
                      </c:pt>
                    </c:strCache>
                  </c:strRef>
                </c:cat>
                <c:val>
                  <c:numRef>
                    <c:extLst>
                      <c:ext uri="{02D57815-91ED-43cb-92C2-25804820EDAC}">
                        <c15:formulaRef>
                          <c15:sqref>'V. Doméstica'!$G$2:$G$8</c15:sqref>
                        </c15:formulaRef>
                      </c:ext>
                    </c:extLst>
                    <c:numCache>
                      <c:formatCode>General</c:formatCode>
                      <c:ptCount val="7"/>
                    </c:numCache>
                  </c:numRef>
                </c:val>
                <c:extLst>
                  <c:ext xmlns:c16="http://schemas.microsoft.com/office/drawing/2014/chart" uri="{C3380CC4-5D6E-409C-BE32-E72D297353CC}">
                    <c16:uniqueId val="{00000005-ADB0-4EC9-8E6D-772484DDC000}"/>
                  </c:ext>
                </c:extLst>
              </c15:ser>
            </c15:filteredBarSeries>
          </c:ext>
        </c:extLst>
      </c:barChart>
      <c:catAx>
        <c:axId val="598751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752384"/>
        <c:crosses val="autoZero"/>
        <c:auto val="1"/>
        <c:lblAlgn val="ctr"/>
        <c:lblOffset val="100"/>
        <c:noMultiLvlLbl val="0"/>
      </c:catAx>
      <c:valAx>
        <c:axId val="598752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751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Hoja1!$E$15:$N$15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Hoja1!$E$16:$N$16</c:f>
              <c:numCache>
                <c:formatCode>General</c:formatCode>
                <c:ptCount val="10"/>
                <c:pt idx="0">
                  <c:v>559</c:v>
                </c:pt>
                <c:pt idx="1">
                  <c:v>283</c:v>
                </c:pt>
                <c:pt idx="2">
                  <c:v>1777</c:v>
                </c:pt>
                <c:pt idx="3">
                  <c:v>3051</c:v>
                </c:pt>
                <c:pt idx="4">
                  <c:v>6175</c:v>
                </c:pt>
                <c:pt idx="5">
                  <c:v>29289</c:v>
                </c:pt>
                <c:pt idx="6">
                  <c:v>30055</c:v>
                </c:pt>
                <c:pt idx="7">
                  <c:v>678</c:v>
                </c:pt>
                <c:pt idx="8">
                  <c:v>9222</c:v>
                </c:pt>
                <c:pt idx="9">
                  <c:v>23968</c:v>
                </c:pt>
              </c:numCache>
            </c:numRef>
          </c:val>
          <c:smooth val="0"/>
          <c:extLst>
            <c:ext xmlns:c16="http://schemas.microsoft.com/office/drawing/2014/chart" uri="{C3380CC4-5D6E-409C-BE32-E72D297353CC}">
              <c16:uniqueId val="{00000000-E5C1-4308-9383-758F7B680968}"/>
            </c:ext>
          </c:extLst>
        </c:ser>
        <c:dLbls>
          <c:showLegendKey val="0"/>
          <c:showVal val="0"/>
          <c:showCatName val="0"/>
          <c:showSerName val="0"/>
          <c:showPercent val="0"/>
          <c:showBubbleSize val="0"/>
        </c:dLbls>
        <c:smooth val="0"/>
        <c:axId val="674826856"/>
        <c:axId val="674820192"/>
      </c:lineChart>
      <c:catAx>
        <c:axId val="67482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4820192"/>
        <c:crosses val="autoZero"/>
        <c:auto val="1"/>
        <c:lblAlgn val="ctr"/>
        <c:lblOffset val="100"/>
        <c:noMultiLvlLbl val="0"/>
      </c:catAx>
      <c:valAx>
        <c:axId val="67482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4826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20091149064818"/>
          <c:y val="8.2212257100149483E-2"/>
          <c:w val="0.56690476727658334"/>
          <c:h val="0.73934889304756202"/>
        </c:manualLayout>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245-4151-B859-00882AF6278B}"/>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245-4151-B859-00882AF6278B}"/>
              </c:ext>
            </c:extLst>
          </c:dPt>
          <c:dLbls>
            <c:dLbl>
              <c:idx val="0"/>
              <c:tx>
                <c:rich>
                  <a:bodyPr/>
                  <a:lstStyle/>
                  <a:p>
                    <a:fld id="{487AC590-8277-4F17-8CF4-9C7DAD8217A3}" type="PERCENTAGE">
                      <a:rPr lang="en-US" baseline="0"/>
                      <a:pPr/>
                      <a:t>[PERCENTAGE]</a:t>
                    </a:fld>
                    <a:endParaRPr lang="en-US"/>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245-4151-B859-00882AF6278B}"/>
                </c:ext>
              </c:extLst>
            </c:dLbl>
            <c:dLbl>
              <c:idx val="1"/>
              <c:tx>
                <c:rich>
                  <a:bodyPr/>
                  <a:lstStyle/>
                  <a:p>
                    <a:fld id="{5E19B706-4CD3-4018-83F2-447DA59C2299}" type="PERCENTAGE">
                      <a:rPr lang="en-US" baseline="0"/>
                      <a:pPr/>
                      <a:t>[PERCENTAGE]</a:t>
                    </a:fld>
                    <a:endParaRPr lang="en-US"/>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245-4151-B859-00882AF627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Hoja3!$A$3:$A$4</c:f>
              <c:strCache>
                <c:ptCount val="2"/>
                <c:pt idx="0">
                  <c:v>Hombres</c:v>
                </c:pt>
                <c:pt idx="1">
                  <c:v>Mujeres</c:v>
                </c:pt>
              </c:strCache>
            </c:strRef>
          </c:cat>
          <c:val>
            <c:numRef>
              <c:f>Hoja3!$B$3:$B$4</c:f>
              <c:numCache>
                <c:formatCode>_(* #,##0_);_(* \(#,##0\);_(* "-"_);_(@_)</c:formatCode>
                <c:ptCount val="2"/>
                <c:pt idx="0">
                  <c:v>15095</c:v>
                </c:pt>
                <c:pt idx="1">
                  <c:v>8873</c:v>
                </c:pt>
              </c:numCache>
            </c:numRef>
          </c:val>
          <c:extLst>
            <c:ext xmlns:c16="http://schemas.microsoft.com/office/drawing/2014/chart" uri="{C3380CC4-5D6E-409C-BE32-E72D297353CC}">
              <c16:uniqueId val="{00000004-C245-4151-B859-00882AF6278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39838851727869"/>
          <c:y val="3.9304276688734069E-2"/>
          <c:w val="0.41755621345898436"/>
          <c:h val="0.92117003161166122"/>
        </c:manualLayout>
      </c:layout>
      <c:pieChart>
        <c:varyColors val="1"/>
        <c:ser>
          <c:idx val="0"/>
          <c:order val="0"/>
          <c:tx>
            <c:strRef>
              <c:f>Hoja1!$B$1</c:f>
              <c:strCache>
                <c:ptCount val="1"/>
                <c:pt idx="0">
                  <c:v>Ventas</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519A-4896-A01D-C07F64EF3198}"/>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519A-4896-A01D-C07F64EF3198}"/>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519A-4896-A01D-C07F64EF3198}"/>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519A-4896-A01D-C07F64EF3198}"/>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519A-4896-A01D-C07F64EF3198}"/>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519A-4896-A01D-C07F64EF3198}"/>
              </c:ext>
            </c:extLst>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D-519A-4896-A01D-C07F64EF3198}"/>
              </c:ext>
            </c:extLst>
          </c:dPt>
          <c:dPt>
            <c:idx val="7"/>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F-519A-4896-A01D-C07F64EF3198}"/>
              </c:ext>
            </c:extLst>
          </c:dPt>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Hoja1!$A$2:$A$11</c:f>
              <c:strCache>
                <c:ptCount val="8"/>
                <c:pt idx="0">
                  <c:v>Panamá</c:v>
                </c:pt>
                <c:pt idx="1">
                  <c:v>Veraguas </c:v>
                </c:pt>
                <c:pt idx="2">
                  <c:v>Coclé</c:v>
                </c:pt>
                <c:pt idx="3">
                  <c:v>Colón </c:v>
                </c:pt>
                <c:pt idx="4">
                  <c:v>Los   Santos </c:v>
                </c:pt>
                <c:pt idx="5">
                  <c:v>Herrera </c:v>
                </c:pt>
                <c:pt idx="6">
                  <c:v>Bocas del Toro </c:v>
                </c:pt>
                <c:pt idx="7">
                  <c:v>Chiriquí </c:v>
                </c:pt>
              </c:strCache>
            </c:strRef>
          </c:cat>
          <c:val>
            <c:numRef>
              <c:f>Hoja1!$B$2:$B$11</c:f>
              <c:numCache>
                <c:formatCode>General</c:formatCode>
                <c:ptCount val="8"/>
                <c:pt idx="0">
                  <c:v>12369</c:v>
                </c:pt>
                <c:pt idx="1">
                  <c:v>528</c:v>
                </c:pt>
                <c:pt idx="2">
                  <c:v>765</c:v>
                </c:pt>
                <c:pt idx="3">
                  <c:v>1653</c:v>
                </c:pt>
                <c:pt idx="4">
                  <c:v>238</c:v>
                </c:pt>
                <c:pt idx="5">
                  <c:v>283</c:v>
                </c:pt>
                <c:pt idx="6">
                  <c:v>482</c:v>
                </c:pt>
                <c:pt idx="7">
                  <c:v>1809</c:v>
                </c:pt>
              </c:numCache>
            </c:numRef>
          </c:val>
          <c:extLst>
            <c:ext xmlns:c16="http://schemas.microsoft.com/office/drawing/2014/chart" uri="{C3380CC4-5D6E-409C-BE32-E72D297353CC}">
              <c16:uniqueId val="{00000010-519A-4896-A01D-C07F64EF319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3421861427802715"/>
          <c:y val="0"/>
          <c:w val="0.23526478821578067"/>
          <c:h val="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6.2796850393700782E-2"/>
          <c:y val="5.4191109577438279E-2"/>
          <c:w val="0.89930828186242562"/>
          <c:h val="0.73332573853800187"/>
        </c:manualLayout>
      </c:layout>
      <c:pie3DChart>
        <c:varyColors val="1"/>
        <c:ser>
          <c:idx val="0"/>
          <c:order val="0"/>
          <c:spPr>
            <a:solidFill>
              <a:srgbClr val="9999FF"/>
            </a:solidFill>
            <a:ln w="12700">
              <a:solidFill>
                <a:srgbClr val="000000"/>
              </a:solidFill>
              <a:prstDash val="solid"/>
            </a:ln>
          </c:spPr>
          <c:explosion val="39"/>
          <c:dPt>
            <c:idx val="0"/>
            <c:bubble3D val="0"/>
            <c:extLst>
              <c:ext xmlns:c16="http://schemas.microsoft.com/office/drawing/2014/chart" uri="{C3380CC4-5D6E-409C-BE32-E72D297353CC}">
                <c16:uniqueId val="{00000000-61B5-4196-BCDA-65BC6EE7B1A5}"/>
              </c:ext>
            </c:extLst>
          </c:dPt>
          <c:dPt>
            <c:idx val="1"/>
            <c:bubble3D val="0"/>
            <c:spPr>
              <a:solidFill>
                <a:srgbClr val="FF6600"/>
              </a:solidFill>
              <a:ln w="12700">
                <a:solidFill>
                  <a:srgbClr val="000000"/>
                </a:solidFill>
                <a:prstDash val="solid"/>
              </a:ln>
            </c:spPr>
            <c:extLst>
              <c:ext xmlns:c16="http://schemas.microsoft.com/office/drawing/2014/chart" uri="{C3380CC4-5D6E-409C-BE32-E72D297353CC}">
                <c16:uniqueId val="{00000002-61B5-4196-BCDA-65BC6EE7B1A5}"/>
              </c:ext>
            </c:extLst>
          </c:dPt>
          <c:dPt>
            <c:idx val="2"/>
            <c:bubble3D val="0"/>
            <c:spPr>
              <a:solidFill>
                <a:srgbClr val="0000FF"/>
              </a:solidFill>
              <a:ln w="12700">
                <a:solidFill>
                  <a:srgbClr val="000000"/>
                </a:solidFill>
                <a:prstDash val="solid"/>
              </a:ln>
            </c:spPr>
            <c:extLst>
              <c:ext xmlns:c16="http://schemas.microsoft.com/office/drawing/2014/chart" uri="{C3380CC4-5D6E-409C-BE32-E72D297353CC}">
                <c16:uniqueId val="{00000004-61B5-4196-BCDA-65BC6EE7B1A5}"/>
              </c:ext>
            </c:extLst>
          </c:dPt>
          <c:dPt>
            <c:idx val="3"/>
            <c:bubble3D val="0"/>
            <c:spPr>
              <a:solidFill>
                <a:srgbClr val="808000"/>
              </a:solidFill>
              <a:ln w="12700">
                <a:solidFill>
                  <a:srgbClr val="000000"/>
                </a:solidFill>
                <a:prstDash val="solid"/>
              </a:ln>
            </c:spPr>
            <c:extLst>
              <c:ext xmlns:c16="http://schemas.microsoft.com/office/drawing/2014/chart" uri="{C3380CC4-5D6E-409C-BE32-E72D297353CC}">
                <c16:uniqueId val="{00000006-61B5-4196-BCDA-65BC6EE7B1A5}"/>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61B5-4196-BCDA-65BC6EE7B1A5}"/>
              </c:ext>
            </c:extLst>
          </c:dPt>
          <c:dPt>
            <c:idx val="5"/>
            <c:bubble3D val="0"/>
            <c:spPr>
              <a:solidFill>
                <a:srgbClr val="FFFF00"/>
              </a:solidFill>
              <a:ln w="12700">
                <a:solidFill>
                  <a:srgbClr val="000000"/>
                </a:solidFill>
                <a:prstDash val="solid"/>
              </a:ln>
            </c:spPr>
            <c:extLst>
              <c:ext xmlns:c16="http://schemas.microsoft.com/office/drawing/2014/chart" uri="{C3380CC4-5D6E-409C-BE32-E72D297353CC}">
                <c16:uniqueId val="{0000000A-61B5-4196-BCDA-65BC6EE7B1A5}"/>
              </c:ext>
            </c:extLst>
          </c:dPt>
          <c:dLbls>
            <c:numFmt formatCode="0%" sourceLinked="0"/>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Hoja1!$A$264:$A$267</c:f>
              <c:strCache>
                <c:ptCount val="4"/>
                <c:pt idx="0">
                  <c:v>CEFERE </c:v>
                </c:pt>
                <c:pt idx="1">
                  <c:v>Algarrobo</c:v>
                </c:pt>
                <c:pt idx="2">
                  <c:v>Llano Marín </c:v>
                </c:pt>
                <c:pt idx="3">
                  <c:v>Colón </c:v>
                </c:pt>
              </c:strCache>
            </c:strRef>
          </c:cat>
          <c:val>
            <c:numRef>
              <c:f>Hoja1!$B$264:$B$267</c:f>
              <c:numCache>
                <c:formatCode>0%</c:formatCode>
                <c:ptCount val="4"/>
                <c:pt idx="0">
                  <c:v>0.66</c:v>
                </c:pt>
                <c:pt idx="1">
                  <c:v>0.21</c:v>
                </c:pt>
                <c:pt idx="2">
                  <c:v>0.06</c:v>
                </c:pt>
                <c:pt idx="3">
                  <c:v>7.0000000000000007E-2</c:v>
                </c:pt>
              </c:numCache>
            </c:numRef>
          </c:val>
          <c:extLst>
            <c:ext xmlns:c16="http://schemas.microsoft.com/office/drawing/2014/chart" uri="{C3380CC4-5D6E-409C-BE32-E72D297353CC}">
              <c16:uniqueId val="{0000000B-61B5-4196-BCDA-65BC6EE7B1A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6.7081400856382659E-2"/>
          <c:y val="0.812622996593511"/>
          <c:w val="0.87138238725407613"/>
          <c:h val="0.14139855922265032"/>
        </c:manualLayout>
      </c:layout>
      <c:overlay val="0"/>
      <c:spPr>
        <a:solidFill>
          <a:srgbClr val="FFFFFF"/>
        </a:solid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9525">
      <a:noFill/>
    </a:ln>
  </c:spPr>
  <c:txPr>
    <a:bodyPr/>
    <a:lstStyle/>
    <a:p>
      <a:pPr>
        <a:defRPr sz="105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US" sz="1000"/>
              <a:t> Hombres y mujeres en la magistratura del país . 2010 - 2020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046993206731511"/>
          <c:y val="0.17584886392647431"/>
          <c:w val="0.85459542740980909"/>
          <c:h val="0.49122199015396245"/>
        </c:manualLayout>
      </c:layout>
      <c:lineChart>
        <c:grouping val="standard"/>
        <c:varyColors val="0"/>
        <c:ser>
          <c:idx val="0"/>
          <c:order val="0"/>
          <c:tx>
            <c:strRef>
              <c:f>Hoja1!$B$308:$B$309</c:f>
              <c:strCache>
                <c:ptCount val="2"/>
                <c:pt idx="1">
                  <c:v>Hombre </c:v>
                </c:pt>
              </c:strCache>
            </c:strRef>
          </c:tx>
          <c:spPr>
            <a:ln w="28575" cap="rnd">
              <a:solidFill>
                <a:schemeClr val="accent1"/>
              </a:solidFill>
              <a:round/>
            </a:ln>
            <a:effectLst/>
          </c:spPr>
          <c:marker>
            <c:symbol val="none"/>
          </c:marker>
          <c:cat>
            <c:numRef>
              <c:f>Hoja1!$A$310:$A$320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Hoja1!$B$310:$B$320</c:f>
              <c:numCache>
                <c:formatCode>General</c:formatCode>
                <c:ptCount val="11"/>
                <c:pt idx="0">
                  <c:v>9</c:v>
                </c:pt>
                <c:pt idx="1">
                  <c:v>9</c:v>
                </c:pt>
                <c:pt idx="2">
                  <c:v>9</c:v>
                </c:pt>
                <c:pt idx="3">
                  <c:v>9</c:v>
                </c:pt>
                <c:pt idx="4">
                  <c:v>9</c:v>
                </c:pt>
                <c:pt idx="5">
                  <c:v>8</c:v>
                </c:pt>
                <c:pt idx="6">
                  <c:v>8</c:v>
                </c:pt>
                <c:pt idx="7">
                  <c:v>8</c:v>
                </c:pt>
                <c:pt idx="8">
                  <c:v>8</c:v>
                </c:pt>
                <c:pt idx="9">
                  <c:v>8</c:v>
                </c:pt>
                <c:pt idx="10">
                  <c:v>6</c:v>
                </c:pt>
              </c:numCache>
            </c:numRef>
          </c:val>
          <c:smooth val="0"/>
          <c:extLst>
            <c:ext xmlns:c16="http://schemas.microsoft.com/office/drawing/2014/chart" uri="{C3380CC4-5D6E-409C-BE32-E72D297353CC}">
              <c16:uniqueId val="{00000000-25E7-46E2-833C-7EC5E452AE42}"/>
            </c:ext>
          </c:extLst>
        </c:ser>
        <c:ser>
          <c:idx val="1"/>
          <c:order val="1"/>
          <c:tx>
            <c:strRef>
              <c:f>Hoja1!$C$308:$C$309</c:f>
              <c:strCache>
                <c:ptCount val="2"/>
                <c:pt idx="1">
                  <c:v>Mujer </c:v>
                </c:pt>
              </c:strCache>
            </c:strRef>
          </c:tx>
          <c:spPr>
            <a:ln w="28575" cap="rnd">
              <a:solidFill>
                <a:schemeClr val="accent2"/>
              </a:solidFill>
              <a:round/>
            </a:ln>
            <a:effectLst/>
          </c:spPr>
          <c:marker>
            <c:symbol val="none"/>
          </c:marker>
          <c:cat>
            <c:numRef>
              <c:f>Hoja1!$A$310:$A$320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Hoja1!$C$310:$C$320</c:f>
              <c:numCache>
                <c:formatCode>General</c:formatCode>
                <c:ptCount val="11"/>
                <c:pt idx="5">
                  <c:v>1</c:v>
                </c:pt>
                <c:pt idx="6">
                  <c:v>1</c:v>
                </c:pt>
                <c:pt idx="7">
                  <c:v>1</c:v>
                </c:pt>
                <c:pt idx="8">
                  <c:v>1</c:v>
                </c:pt>
                <c:pt idx="9">
                  <c:v>1</c:v>
                </c:pt>
                <c:pt idx="10">
                  <c:v>3</c:v>
                </c:pt>
              </c:numCache>
            </c:numRef>
          </c:val>
          <c:smooth val="0"/>
          <c:extLst>
            <c:ext xmlns:c16="http://schemas.microsoft.com/office/drawing/2014/chart" uri="{C3380CC4-5D6E-409C-BE32-E72D297353CC}">
              <c16:uniqueId val="{00000001-25E7-46E2-833C-7EC5E452AE42}"/>
            </c:ext>
          </c:extLst>
        </c:ser>
        <c:dLbls>
          <c:showLegendKey val="0"/>
          <c:showVal val="0"/>
          <c:showCatName val="0"/>
          <c:showSerName val="0"/>
          <c:showPercent val="0"/>
          <c:showBubbleSize val="0"/>
        </c:dLbls>
        <c:smooth val="0"/>
        <c:axId val="759898400"/>
        <c:axId val="759904672"/>
      </c:lineChart>
      <c:catAx>
        <c:axId val="7598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904672"/>
        <c:crosses val="autoZero"/>
        <c:auto val="1"/>
        <c:lblAlgn val="ctr"/>
        <c:lblOffset val="100"/>
        <c:noMultiLvlLbl val="0"/>
      </c:catAx>
      <c:valAx>
        <c:axId val="75990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898400"/>
        <c:crosses val="autoZero"/>
        <c:crossBetween val="between"/>
      </c:valAx>
      <c:spPr>
        <a:noFill/>
        <a:ln>
          <a:noFill/>
        </a:ln>
        <a:effectLst/>
      </c:spPr>
    </c:plotArea>
    <c:legend>
      <c:legendPos val="b"/>
      <c:layout>
        <c:manualLayout>
          <c:xMode val="edge"/>
          <c:yMode val="edge"/>
          <c:x val="0.23957078894549946"/>
          <c:y val="0.86572871003261798"/>
          <c:w val="0.52085842210900113"/>
          <c:h val="8.6777886273450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
          <c:y val="9.2273560144604583E-2"/>
          <c:w val="0.96087153999367103"/>
          <c:h val="0.65772743029762792"/>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00FFFF"/>
              </a:solidFill>
              <a:ln w="12700">
                <a:solidFill>
                  <a:srgbClr val="000000"/>
                </a:solidFill>
                <a:prstDash val="solid"/>
              </a:ln>
            </c:spPr>
            <c:extLst>
              <c:ext xmlns:c16="http://schemas.microsoft.com/office/drawing/2014/chart" uri="{C3380CC4-5D6E-409C-BE32-E72D297353CC}">
                <c16:uniqueId val="{00000001-1363-417E-8BBA-A6775AA9EFF3}"/>
              </c:ext>
            </c:extLst>
          </c:dPt>
          <c:dPt>
            <c:idx val="1"/>
            <c:bubble3D val="0"/>
            <c:spPr>
              <a:solidFill>
                <a:srgbClr val="FF99CC"/>
              </a:solidFill>
              <a:ln w="12700">
                <a:solidFill>
                  <a:srgbClr val="000000"/>
                </a:solidFill>
                <a:prstDash val="solid"/>
              </a:ln>
            </c:spPr>
            <c:extLst>
              <c:ext xmlns:c16="http://schemas.microsoft.com/office/drawing/2014/chart" uri="{C3380CC4-5D6E-409C-BE32-E72D297353CC}">
                <c16:uniqueId val="{00000003-1363-417E-8BBA-A6775AA9EFF3}"/>
              </c:ext>
            </c:extLst>
          </c:dPt>
          <c:dLbls>
            <c:numFmt formatCode="0%" sourceLinked="0"/>
            <c:spPr>
              <a:noFill/>
              <a:ln w="25400">
                <a:noFill/>
              </a:ln>
            </c:spPr>
            <c:txPr>
              <a:bodyPr wrap="square" lIns="38100" tIns="19050" rIns="38100" bIns="19050" anchor="ctr">
                <a:spAutoFit/>
              </a:bodyPr>
              <a:lstStyle/>
              <a:p>
                <a:pPr>
                  <a:defRPr sz="825"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Hoja1!$A$1:$A$2</c:f>
              <c:strCache>
                <c:ptCount val="2"/>
                <c:pt idx="0">
                  <c:v>Hombres </c:v>
                </c:pt>
                <c:pt idx="1">
                  <c:v>Mujeres </c:v>
                </c:pt>
              </c:strCache>
            </c:strRef>
          </c:cat>
          <c:val>
            <c:numRef>
              <c:f>Hoja1!$B$1:$B$2</c:f>
              <c:numCache>
                <c:formatCode>General</c:formatCode>
                <c:ptCount val="2"/>
                <c:pt idx="0">
                  <c:v>17132</c:v>
                </c:pt>
                <c:pt idx="1">
                  <c:v>995</c:v>
                </c:pt>
              </c:numCache>
            </c:numRef>
          </c:val>
          <c:extLst>
            <c:ext xmlns:c16="http://schemas.microsoft.com/office/drawing/2014/chart" uri="{C3380CC4-5D6E-409C-BE32-E72D297353CC}">
              <c16:uniqueId val="{00000004-1363-417E-8BBA-A6775AA9EFF3}"/>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1.0330578512396695E-2"/>
          <c:y val="0.88571578552680907"/>
          <c:w val="0.98140604325285785"/>
          <c:h val="8.5714285714285743E-2"/>
        </c:manualLayout>
      </c:layout>
      <c:overlay val="0"/>
      <c:spPr>
        <a:solidFill>
          <a:srgbClr val="FFFFFF"/>
        </a:solidFill>
        <a:ln w="25400">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1594469279237"/>
          <c:y val="5.4726368159203981E-2"/>
          <c:w val="0.86756714848684258"/>
          <c:h val="0.697789007717319"/>
        </c:manualLayout>
      </c:layout>
      <c:barChart>
        <c:barDir val="col"/>
        <c:grouping val="clustered"/>
        <c:varyColors val="0"/>
        <c:ser>
          <c:idx val="0"/>
          <c:order val="0"/>
          <c:tx>
            <c:strRef>
              <c:f>Hoja1!$B$1</c:f>
              <c:strCache>
                <c:ptCount val="1"/>
                <c:pt idx="0">
                  <c:v>Condenadas </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HOMBRES</c:v>
                </c:pt>
                <c:pt idx="1">
                  <c:v>MUJERES</c:v>
                </c:pt>
                <c:pt idx="2">
                  <c:v>TOTAL</c:v>
                </c:pt>
              </c:strCache>
            </c:strRef>
          </c:cat>
          <c:val>
            <c:numRef>
              <c:f>Hoja1!$B$2:$B$4</c:f>
              <c:numCache>
                <c:formatCode>General</c:formatCode>
                <c:ptCount val="3"/>
                <c:pt idx="0">
                  <c:v>58</c:v>
                </c:pt>
                <c:pt idx="1">
                  <c:v>65</c:v>
                </c:pt>
                <c:pt idx="2">
                  <c:v>58</c:v>
                </c:pt>
              </c:numCache>
            </c:numRef>
          </c:val>
          <c:extLst>
            <c:ext xmlns:c16="http://schemas.microsoft.com/office/drawing/2014/chart" uri="{C3380CC4-5D6E-409C-BE32-E72D297353CC}">
              <c16:uniqueId val="{00000000-11B7-4B33-B5D0-CC0956FE0C95}"/>
            </c:ext>
          </c:extLst>
        </c:ser>
        <c:ser>
          <c:idx val="1"/>
          <c:order val="1"/>
          <c:tx>
            <c:strRef>
              <c:f>Hoja1!$C$1</c:f>
              <c:strCache>
                <c:ptCount val="1"/>
                <c:pt idx="0">
                  <c:v>Procesadas</c:v>
                </c:pt>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HOMBRES</c:v>
                </c:pt>
                <c:pt idx="1">
                  <c:v>MUJERES</c:v>
                </c:pt>
                <c:pt idx="2">
                  <c:v>TOTAL</c:v>
                </c:pt>
              </c:strCache>
            </c:strRef>
          </c:cat>
          <c:val>
            <c:numRef>
              <c:f>Hoja1!$C$2:$C$4</c:f>
              <c:numCache>
                <c:formatCode>General</c:formatCode>
                <c:ptCount val="3"/>
                <c:pt idx="0">
                  <c:v>42</c:v>
                </c:pt>
                <c:pt idx="1">
                  <c:v>35</c:v>
                </c:pt>
                <c:pt idx="2">
                  <c:v>42</c:v>
                </c:pt>
              </c:numCache>
            </c:numRef>
          </c:val>
          <c:extLst>
            <c:ext xmlns:c16="http://schemas.microsoft.com/office/drawing/2014/chart" uri="{C3380CC4-5D6E-409C-BE32-E72D297353CC}">
              <c16:uniqueId val="{00000001-11B7-4B33-B5D0-CC0956FE0C95}"/>
            </c:ext>
          </c:extLst>
        </c:ser>
        <c:dLbls>
          <c:dLblPos val="outEnd"/>
          <c:showLegendKey val="0"/>
          <c:showVal val="1"/>
          <c:showCatName val="0"/>
          <c:showSerName val="0"/>
          <c:showPercent val="0"/>
          <c:showBubbleSize val="0"/>
        </c:dLbls>
        <c:gapWidth val="100"/>
        <c:overlap val="-24"/>
        <c:axId val="674822936"/>
        <c:axId val="674823328"/>
      </c:barChart>
      <c:catAx>
        <c:axId val="674822936"/>
        <c:scaling>
          <c:orientation val="minMax"/>
        </c:scaling>
        <c:delete val="0"/>
        <c:axPos val="b"/>
        <c:title>
          <c:layout>
            <c:manualLayout>
              <c:xMode val="edge"/>
              <c:yMode val="edge"/>
              <c:x val="0.47252036579001111"/>
              <c:y val="0.840823833587965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small" baseline="0">
                <a:solidFill>
                  <a:schemeClr val="tx1">
                    <a:lumMod val="65000"/>
                    <a:lumOff val="35000"/>
                  </a:schemeClr>
                </a:solidFill>
                <a:latin typeface="+mn-lt"/>
                <a:ea typeface="+mn-ea"/>
                <a:cs typeface="+mn-cs"/>
              </a:defRPr>
            </a:pPr>
            <a:endParaRPr lang="en-US"/>
          </a:p>
        </c:txPr>
        <c:crossAx val="674823328"/>
        <c:crosses val="autoZero"/>
        <c:auto val="1"/>
        <c:lblAlgn val="ctr"/>
        <c:lblOffset val="100"/>
        <c:noMultiLvlLbl val="0"/>
      </c:catAx>
      <c:valAx>
        <c:axId val="674823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A"/>
                  <a:t>PORCENTAJE</a:t>
                </a:r>
                <a:r>
                  <a:rPr lang="es-PA" baseline="0"/>
                  <a:t> </a:t>
                </a:r>
                <a:endParaRPr lang="es-PA"/>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822936"/>
        <c:crosses val="autoZero"/>
        <c:crossBetween val="between"/>
      </c:valAx>
      <c:spPr>
        <a:noFill/>
        <a:ln>
          <a:noFill/>
        </a:ln>
        <a:effectLst/>
      </c:spPr>
    </c:plotArea>
    <c:legend>
      <c:legendPos val="b"/>
      <c:layout>
        <c:manualLayout>
          <c:xMode val="edge"/>
          <c:yMode val="edge"/>
          <c:x val="0.33953837542641463"/>
          <c:y val="0.89828652015512966"/>
          <c:w val="0.32092324914717074"/>
          <c:h val="8.18129823324323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
          <c:y val="7.8962911003006633E-2"/>
          <c:w val="1"/>
          <c:h val="0.74287389526836178"/>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00FFFF"/>
              </a:solidFill>
              <a:ln w="12700">
                <a:solidFill>
                  <a:srgbClr val="000000"/>
                </a:solidFill>
                <a:prstDash val="solid"/>
              </a:ln>
            </c:spPr>
            <c:extLst>
              <c:ext xmlns:c16="http://schemas.microsoft.com/office/drawing/2014/chart" uri="{C3380CC4-5D6E-409C-BE32-E72D297353CC}">
                <c16:uniqueId val="{00000001-5486-4A64-AC42-CD4C198EBE60}"/>
              </c:ext>
            </c:extLst>
          </c:dPt>
          <c:dPt>
            <c:idx val="1"/>
            <c:bubble3D val="0"/>
            <c:spPr>
              <a:solidFill>
                <a:srgbClr val="FF99CC"/>
              </a:solidFill>
              <a:ln w="12700">
                <a:solidFill>
                  <a:srgbClr val="000000"/>
                </a:solidFill>
                <a:prstDash val="solid"/>
              </a:ln>
            </c:spPr>
            <c:extLst>
              <c:ext xmlns:c16="http://schemas.microsoft.com/office/drawing/2014/chart" uri="{C3380CC4-5D6E-409C-BE32-E72D297353CC}">
                <c16:uniqueId val="{00000003-5486-4A64-AC42-CD4C198EBE60}"/>
              </c:ext>
            </c:extLst>
          </c:dPt>
          <c:dLbls>
            <c:dLbl>
              <c:idx val="0"/>
              <c:tx>
                <c:rich>
                  <a:bodyPr/>
                  <a:lstStyle/>
                  <a:p>
                    <a:r>
                      <a:rPr lang="en-US"/>
                      <a:t>5.50%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5486-4A64-AC42-CD4C198EBE60}"/>
                </c:ext>
              </c:extLst>
            </c:dLbl>
            <c:dLbl>
              <c:idx val="1"/>
              <c:tx>
                <c:rich>
                  <a:bodyPr/>
                  <a:lstStyle/>
                  <a:p>
                    <a:r>
                      <a:rPr lang="en-US"/>
                      <a:t>94.50%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5486-4A64-AC42-CD4C198EBE60}"/>
                </c:ext>
              </c:extLst>
            </c:dLbl>
            <c:numFmt formatCode="0%" sourceLinked="0"/>
            <c:spPr>
              <a:noFill/>
              <a:ln w="25400">
                <a:noFill/>
              </a:ln>
            </c:spPr>
            <c:txPr>
              <a:bodyPr wrap="square" lIns="38100" tIns="19050" rIns="38100" bIns="19050" anchor="ctr">
                <a:spAutoFit/>
              </a:bodyPr>
              <a:lstStyle/>
              <a:p>
                <a:pPr>
                  <a:defRPr sz="8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'[DISCAPACIDAD-ENCUESTA HOGARES-2019.-2xls.xls]Hoja1'!$A$1:$A$2</c:f>
              <c:strCache>
                <c:ptCount val="2"/>
                <c:pt idx="0">
                  <c:v>Con discapacidad </c:v>
                </c:pt>
                <c:pt idx="1">
                  <c:v>Sin discapacidad </c:v>
                </c:pt>
              </c:strCache>
            </c:strRef>
          </c:cat>
          <c:val>
            <c:numRef>
              <c:f>'[DISCAPACIDAD-ENCUESTA HOGARES-2019.-2xls.xls]Hoja1'!$B$1:$B$2</c:f>
              <c:numCache>
                <c:formatCode>0.00%</c:formatCode>
                <c:ptCount val="2"/>
                <c:pt idx="0">
                  <c:v>5.5E-2</c:v>
                </c:pt>
                <c:pt idx="1">
                  <c:v>0.94499999999999995</c:v>
                </c:pt>
              </c:numCache>
            </c:numRef>
          </c:val>
          <c:extLst>
            <c:ext xmlns:c16="http://schemas.microsoft.com/office/drawing/2014/chart" uri="{C3380CC4-5D6E-409C-BE32-E72D297353CC}">
              <c16:uniqueId val="{00000004-5486-4A64-AC42-CD4C198EBE60}"/>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11501377410468319"/>
          <c:y val="0.88571578552680907"/>
          <c:w val="0.78030411487820228"/>
          <c:h val="8.5714285714285743E-2"/>
        </c:manualLayout>
      </c:layout>
      <c:overlay val="0"/>
      <c:spPr>
        <a:solidFill>
          <a:srgbClr val="FFFFFF"/>
        </a:solidFill>
        <a:ln w="25400">
          <a:noFill/>
        </a:ln>
      </c:spPr>
      <c:txPr>
        <a:bodyPr/>
        <a:lstStyle/>
        <a:p>
          <a:pPr>
            <a:defRPr sz="800"/>
          </a:pPr>
          <a:endParaRPr lang="en-US"/>
        </a:p>
      </c:txPr>
    </c:legend>
    <c:plotVisOnly val="1"/>
    <c:dispBlanksAs val="zero"/>
    <c:showDLblsOverMax val="0"/>
  </c:chart>
  <c:spPr>
    <a:solidFill>
      <a:srgbClr val="E6D5F3"/>
    </a:solidFill>
    <a:ln w="9525">
      <a:noFill/>
    </a:ln>
  </c:spPr>
  <c:txPr>
    <a:bodyPr/>
    <a:lstStyle/>
    <a:p>
      <a:pPr>
        <a:defRPr sz="1000" b="0" i="0" u="none" strike="noStrike" baseline="0">
          <a:solidFill>
            <a:srgbClr val="000000"/>
          </a:solidFill>
          <a:latin typeface="+mj-lt"/>
          <a:ea typeface="Arial"/>
          <a:cs typeface="Arial"/>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752261417866526E-2"/>
          <c:y val="2.50768381781717E-2"/>
          <c:w val="0.94862813776999422"/>
          <c:h val="0.89172433622708025"/>
        </c:manualLayout>
      </c:layout>
      <c:barChart>
        <c:barDir val="col"/>
        <c:grouping val="clustered"/>
        <c:varyColors val="0"/>
        <c:ser>
          <c:idx val="0"/>
          <c:order val="0"/>
          <c:tx>
            <c:strRef>
              <c:f>Hoja1!$M$178</c:f>
              <c:strCache>
                <c:ptCount val="1"/>
                <c:pt idx="0">
                  <c:v>Hombres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Hoja1!$L$179:$L$184</c:f>
              <c:strCache>
                <c:ptCount val="6"/>
                <c:pt idx="0">
                  <c:v>Visual</c:v>
                </c:pt>
                <c:pt idx="1">
                  <c:v>Auditiva</c:v>
                </c:pt>
                <c:pt idx="2">
                  <c:v>Intelectual</c:v>
                </c:pt>
                <c:pt idx="3">
                  <c:v>Física</c:v>
                </c:pt>
                <c:pt idx="4">
                  <c:v>Mental</c:v>
                </c:pt>
                <c:pt idx="5">
                  <c:v>Visceral</c:v>
                </c:pt>
              </c:strCache>
            </c:strRef>
          </c:cat>
          <c:val>
            <c:numRef>
              <c:f>Hoja1!$M$179:$M$184</c:f>
              <c:numCache>
                <c:formatCode>0.00%</c:formatCode>
                <c:ptCount val="6"/>
                <c:pt idx="0">
                  <c:v>0.14610000000000001</c:v>
                </c:pt>
                <c:pt idx="1">
                  <c:v>6.4399999999999999E-2</c:v>
                </c:pt>
                <c:pt idx="2">
                  <c:v>5.6300000000000003E-2</c:v>
                </c:pt>
                <c:pt idx="3">
                  <c:v>0.15609999999999999</c:v>
                </c:pt>
                <c:pt idx="4">
                  <c:v>5.0700000000000002E-2</c:v>
                </c:pt>
                <c:pt idx="5">
                  <c:v>2.5600000000000001E-2</c:v>
                </c:pt>
              </c:numCache>
            </c:numRef>
          </c:val>
          <c:extLst>
            <c:ext xmlns:c16="http://schemas.microsoft.com/office/drawing/2014/chart" uri="{C3380CC4-5D6E-409C-BE32-E72D297353CC}">
              <c16:uniqueId val="{00000000-7C6C-4379-8958-DFD68AF31CEF}"/>
            </c:ext>
          </c:extLst>
        </c:ser>
        <c:ser>
          <c:idx val="1"/>
          <c:order val="1"/>
          <c:tx>
            <c:strRef>
              <c:f>Hoja1!$N$178</c:f>
              <c:strCache>
                <c:ptCount val="1"/>
                <c:pt idx="0">
                  <c:v>Mujeres  </c:v>
                </c:pt>
              </c:strCache>
            </c:strRef>
          </c:tx>
          <c:spPr>
            <a:solidFill>
              <a:srgbClr val="C915BC"/>
            </a:solidFill>
            <a:ln>
              <a:noFill/>
            </a:ln>
            <a:effectLst/>
          </c:spPr>
          <c:invertIfNegative val="0"/>
          <c:dLbls>
            <c:dLbl>
              <c:idx val="5"/>
              <c:layout>
                <c:manualLayout>
                  <c:x val="2.4167098221992058E-2"/>
                  <c:y val="-3.2955715756951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6C-4379-8958-DFD68AF31C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Hoja1!$L$179:$L$184</c:f>
              <c:strCache>
                <c:ptCount val="6"/>
                <c:pt idx="0">
                  <c:v>Visual</c:v>
                </c:pt>
                <c:pt idx="1">
                  <c:v>Auditiva</c:v>
                </c:pt>
                <c:pt idx="2">
                  <c:v>Intelectual</c:v>
                </c:pt>
                <c:pt idx="3">
                  <c:v>Física</c:v>
                </c:pt>
                <c:pt idx="4">
                  <c:v>Mental</c:v>
                </c:pt>
                <c:pt idx="5">
                  <c:v>Visceral</c:v>
                </c:pt>
              </c:strCache>
            </c:strRef>
          </c:cat>
          <c:val>
            <c:numRef>
              <c:f>Hoja1!$N$179:$N$184</c:f>
              <c:numCache>
                <c:formatCode>0.00%</c:formatCode>
                <c:ptCount val="6"/>
                <c:pt idx="0">
                  <c:v>0.18490000000000001</c:v>
                </c:pt>
                <c:pt idx="1">
                  <c:v>4.87E-2</c:v>
                </c:pt>
                <c:pt idx="2">
                  <c:v>4.6800000000000001E-2</c:v>
                </c:pt>
                <c:pt idx="3">
                  <c:v>0.1477</c:v>
                </c:pt>
                <c:pt idx="4">
                  <c:v>4.4600000000000001E-2</c:v>
                </c:pt>
                <c:pt idx="5">
                  <c:v>2.7799999999999998E-2</c:v>
                </c:pt>
              </c:numCache>
            </c:numRef>
          </c:val>
          <c:extLst>
            <c:ext xmlns:c16="http://schemas.microsoft.com/office/drawing/2014/chart" uri="{C3380CC4-5D6E-409C-BE32-E72D297353CC}">
              <c16:uniqueId val="{00000002-7C6C-4379-8958-DFD68AF31CEF}"/>
            </c:ext>
          </c:extLst>
        </c:ser>
        <c:dLbls>
          <c:showLegendKey val="0"/>
          <c:showVal val="1"/>
          <c:showCatName val="0"/>
          <c:showSerName val="0"/>
          <c:showPercent val="0"/>
          <c:showBubbleSize val="0"/>
        </c:dLbls>
        <c:gapWidth val="150"/>
        <c:overlap val="-25"/>
        <c:axId val="674831168"/>
        <c:axId val="674830776"/>
      </c:barChart>
      <c:catAx>
        <c:axId val="67483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4830776"/>
        <c:crosses val="autoZero"/>
        <c:auto val="1"/>
        <c:lblAlgn val="ctr"/>
        <c:lblOffset val="100"/>
        <c:noMultiLvlLbl val="0"/>
      </c:catAx>
      <c:valAx>
        <c:axId val="674830776"/>
        <c:scaling>
          <c:orientation val="minMax"/>
        </c:scaling>
        <c:delete val="1"/>
        <c:axPos val="l"/>
        <c:numFmt formatCode="0.00%" sourceLinked="1"/>
        <c:majorTickMark val="none"/>
        <c:minorTickMark val="none"/>
        <c:tickLblPos val="nextTo"/>
        <c:crossAx val="674831168"/>
        <c:crosses val="autoZero"/>
        <c:crossBetween val="between"/>
      </c:valAx>
      <c:spPr>
        <a:noFill/>
        <a:ln>
          <a:noFill/>
        </a:ln>
        <a:effectLst/>
      </c:spPr>
    </c:plotArea>
    <c:legend>
      <c:legendPos val="t"/>
      <c:layout>
        <c:manualLayout>
          <c:xMode val="edge"/>
          <c:yMode val="edge"/>
          <c:x val="0.6152456603204246"/>
          <c:y val="6.3506464050805178E-2"/>
          <c:w val="0.37023342045993601"/>
          <c:h val="7.45947355355812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E6D5F3"/>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1.3560146096195812E-2"/>
          <c:w val="0.93888888888888888"/>
          <c:h val="0.80959625905195576"/>
        </c:manualLayout>
      </c:layout>
      <c:barChart>
        <c:barDir val="col"/>
        <c:grouping val="clustered"/>
        <c:varyColors val="0"/>
        <c:ser>
          <c:idx val="0"/>
          <c:order val="0"/>
          <c:tx>
            <c:strRef>
              <c:f>Hoja1!$Y$248</c:f>
              <c:strCache>
                <c:ptCount val="1"/>
                <c:pt idx="0">
                  <c:v>Hombres </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Hoja1!$Z$247:$AA$247</c:f>
              <c:strCache>
                <c:ptCount val="2"/>
                <c:pt idx="0">
                  <c:v>Ocupados </c:v>
                </c:pt>
                <c:pt idx="1">
                  <c:v>Desocupados </c:v>
                </c:pt>
              </c:strCache>
            </c:strRef>
          </c:cat>
          <c:val>
            <c:numRef>
              <c:f>Hoja1!$Z$248:$AA$248</c:f>
              <c:numCache>
                <c:formatCode>0.00%</c:formatCode>
                <c:ptCount val="2"/>
                <c:pt idx="0">
                  <c:v>0.67600000000000005</c:v>
                </c:pt>
                <c:pt idx="1">
                  <c:v>0.50700000000000001</c:v>
                </c:pt>
              </c:numCache>
            </c:numRef>
          </c:val>
          <c:extLst>
            <c:ext xmlns:c16="http://schemas.microsoft.com/office/drawing/2014/chart" uri="{C3380CC4-5D6E-409C-BE32-E72D297353CC}">
              <c16:uniqueId val="{00000000-0587-4850-A527-006E19B511D3}"/>
            </c:ext>
          </c:extLst>
        </c:ser>
        <c:ser>
          <c:idx val="1"/>
          <c:order val="1"/>
          <c:tx>
            <c:strRef>
              <c:f>Hoja1!$Y$249</c:f>
              <c:strCache>
                <c:ptCount val="1"/>
                <c:pt idx="0">
                  <c:v>Mujeres </c:v>
                </c:pt>
              </c:strCache>
            </c:strRef>
          </c:tx>
          <c:spPr>
            <a:solidFill>
              <a:srgbClr val="C915B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Hoja1!$Z$247:$AA$247</c:f>
              <c:strCache>
                <c:ptCount val="2"/>
                <c:pt idx="0">
                  <c:v>Ocupados </c:v>
                </c:pt>
                <c:pt idx="1">
                  <c:v>Desocupados </c:v>
                </c:pt>
              </c:strCache>
            </c:strRef>
          </c:cat>
          <c:val>
            <c:numRef>
              <c:f>Hoja1!$Z$249:$AA$249</c:f>
              <c:numCache>
                <c:formatCode>0.00%</c:formatCode>
                <c:ptCount val="2"/>
                <c:pt idx="0">
                  <c:v>0.32400000000000001</c:v>
                </c:pt>
                <c:pt idx="1">
                  <c:v>0.49299999999999999</c:v>
                </c:pt>
              </c:numCache>
            </c:numRef>
          </c:val>
          <c:extLst>
            <c:ext xmlns:c16="http://schemas.microsoft.com/office/drawing/2014/chart" uri="{C3380CC4-5D6E-409C-BE32-E72D297353CC}">
              <c16:uniqueId val="{00000001-0587-4850-A527-006E19B511D3}"/>
            </c:ext>
          </c:extLst>
        </c:ser>
        <c:dLbls>
          <c:showLegendKey val="0"/>
          <c:showVal val="1"/>
          <c:showCatName val="0"/>
          <c:showSerName val="0"/>
          <c:showPercent val="0"/>
          <c:showBubbleSize val="0"/>
        </c:dLbls>
        <c:gapWidth val="150"/>
        <c:overlap val="-25"/>
        <c:axId val="674831952"/>
        <c:axId val="674832344"/>
      </c:barChart>
      <c:catAx>
        <c:axId val="67483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832344"/>
        <c:crosses val="autoZero"/>
        <c:auto val="1"/>
        <c:lblAlgn val="ctr"/>
        <c:lblOffset val="100"/>
        <c:noMultiLvlLbl val="0"/>
      </c:catAx>
      <c:valAx>
        <c:axId val="674832344"/>
        <c:scaling>
          <c:orientation val="minMax"/>
        </c:scaling>
        <c:delete val="1"/>
        <c:axPos val="l"/>
        <c:numFmt formatCode="0.00%" sourceLinked="1"/>
        <c:majorTickMark val="none"/>
        <c:minorTickMark val="none"/>
        <c:tickLblPos val="nextTo"/>
        <c:crossAx val="674831952"/>
        <c:crosses val="autoZero"/>
        <c:crossBetween val="between"/>
      </c:valAx>
      <c:spPr>
        <a:noFill/>
        <a:ln>
          <a:noFill/>
        </a:ln>
        <a:effectLst/>
      </c:spPr>
    </c:plotArea>
    <c:legend>
      <c:legendPos val="t"/>
      <c:layout>
        <c:manualLayout>
          <c:xMode val="edge"/>
          <c:yMode val="edge"/>
          <c:x val="0.25702230971128609"/>
          <c:y val="0.92171296296296301"/>
          <c:w val="0.4803998250218722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6D5F3"/>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9550484699007"/>
          <c:y val="0.13317147856517933"/>
          <c:w val="0.69569718155451321"/>
          <c:h val="0.64889617964421109"/>
        </c:manualLayout>
      </c:layout>
      <c:barChart>
        <c:barDir val="bar"/>
        <c:grouping val="clustered"/>
        <c:varyColors val="0"/>
        <c:ser>
          <c:idx val="0"/>
          <c:order val="0"/>
          <c:tx>
            <c:strRef>
              <c:f>GRAFICAS!$D$10</c:f>
              <c:strCache>
                <c:ptCount val="1"/>
                <c:pt idx="0">
                  <c:v>General</c:v>
                </c:pt>
              </c:strCache>
            </c:strRef>
          </c:tx>
          <c:spPr>
            <a:solidFill>
              <a:srgbClr val="7030A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GRAFICAS!$C$11:$C$14</c:f>
              <c:strCache>
                <c:ptCount val="4"/>
                <c:pt idx="0">
                  <c:v>Ocupada plena</c:v>
                </c:pt>
                <c:pt idx="1">
                  <c:v>Ocupada a tiempo parcial</c:v>
                </c:pt>
                <c:pt idx="2">
                  <c:v>Subempleo visible</c:v>
                </c:pt>
                <c:pt idx="3">
                  <c:v>Subempleo invisible</c:v>
                </c:pt>
              </c:strCache>
            </c:strRef>
          </c:cat>
          <c:val>
            <c:numRef>
              <c:f>GRAFICAS!$D$11:$D$14</c:f>
              <c:numCache>
                <c:formatCode>0.0</c:formatCode>
                <c:ptCount val="4"/>
                <c:pt idx="0">
                  <c:v>54.571706202342327</c:v>
                </c:pt>
                <c:pt idx="1">
                  <c:v>32.849599778465496</c:v>
                </c:pt>
                <c:pt idx="2" formatCode="General">
                  <c:v>4.2</c:v>
                </c:pt>
                <c:pt idx="3" formatCode="General">
                  <c:v>8.4</c:v>
                </c:pt>
              </c:numCache>
            </c:numRef>
          </c:val>
          <c:extLst>
            <c:ext xmlns:c16="http://schemas.microsoft.com/office/drawing/2014/chart" uri="{C3380CC4-5D6E-409C-BE32-E72D297353CC}">
              <c16:uniqueId val="{00000000-29DA-481C-A4CA-34C30C8EC034}"/>
            </c:ext>
          </c:extLst>
        </c:ser>
        <c:ser>
          <c:idx val="1"/>
          <c:order val="1"/>
          <c:tx>
            <c:strRef>
              <c:f>GRAFICAS!$E$10</c:f>
              <c:strCache>
                <c:ptCount val="1"/>
                <c:pt idx="0">
                  <c:v>Urbana</c:v>
                </c:pt>
              </c:strCache>
            </c:strRef>
          </c:tx>
          <c:spPr>
            <a:blipFill dpi="0" rotWithShape="0">
              <a:blip xmlns:r="http://schemas.openxmlformats.org/officeDocument/2006/relationships" r:embed="rId2"/>
              <a:srcRect/>
              <a:tile tx="0" ty="0" sx="100000" sy="100000" flip="none" algn="tl"/>
            </a:blip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GRAFICAS!$C$11:$C$14</c:f>
              <c:strCache>
                <c:ptCount val="4"/>
                <c:pt idx="0">
                  <c:v>Ocupada plena</c:v>
                </c:pt>
                <c:pt idx="1">
                  <c:v>Ocupada a tiempo parcial</c:v>
                </c:pt>
                <c:pt idx="2">
                  <c:v>Subempleo visible</c:v>
                </c:pt>
                <c:pt idx="3">
                  <c:v>Subempleo invisible</c:v>
                </c:pt>
              </c:strCache>
            </c:strRef>
          </c:cat>
          <c:val>
            <c:numRef>
              <c:f>GRAFICAS!$E$11:$E$14</c:f>
              <c:numCache>
                <c:formatCode>0.0</c:formatCode>
                <c:ptCount val="4"/>
                <c:pt idx="0">
                  <c:v>64.714970706888806</c:v>
                </c:pt>
                <c:pt idx="1">
                  <c:v>22.795611334860403</c:v>
                </c:pt>
                <c:pt idx="2">
                  <c:v>4.3373327700797919</c:v>
                </c:pt>
                <c:pt idx="3">
                  <c:v>8.1520851881710037</c:v>
                </c:pt>
              </c:numCache>
            </c:numRef>
          </c:val>
          <c:extLst>
            <c:ext xmlns:c16="http://schemas.microsoft.com/office/drawing/2014/chart" uri="{C3380CC4-5D6E-409C-BE32-E72D297353CC}">
              <c16:uniqueId val="{00000001-29DA-481C-A4CA-34C30C8EC034}"/>
            </c:ext>
          </c:extLst>
        </c:ser>
        <c:ser>
          <c:idx val="2"/>
          <c:order val="2"/>
          <c:tx>
            <c:strRef>
              <c:f>GRAFICAS!$F$10</c:f>
              <c:strCache>
                <c:ptCount val="1"/>
                <c:pt idx="0">
                  <c:v>Rural</c:v>
                </c:pt>
              </c:strCache>
            </c:strRef>
          </c:tx>
          <c:spPr>
            <a:solidFill>
              <a:srgbClr val="A5A5A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GRAFICAS!$C$11:$C$14</c:f>
              <c:strCache>
                <c:ptCount val="4"/>
                <c:pt idx="0">
                  <c:v>Ocupada plena</c:v>
                </c:pt>
                <c:pt idx="1">
                  <c:v>Ocupada a tiempo parcial</c:v>
                </c:pt>
                <c:pt idx="2">
                  <c:v>Subempleo visible</c:v>
                </c:pt>
                <c:pt idx="3">
                  <c:v>Subempleo invisible</c:v>
                </c:pt>
              </c:strCache>
            </c:strRef>
          </c:cat>
          <c:val>
            <c:numRef>
              <c:f>GRAFICAS!$F$11:$F$14</c:f>
              <c:numCache>
                <c:formatCode>0.0</c:formatCode>
                <c:ptCount val="4"/>
                <c:pt idx="0">
                  <c:v>25.528879979182129</c:v>
                </c:pt>
                <c:pt idx="1">
                  <c:v>61.636805227599098</c:v>
                </c:pt>
                <c:pt idx="2">
                  <c:v>3.8</c:v>
                </c:pt>
                <c:pt idx="3">
                  <c:v>9</c:v>
                </c:pt>
              </c:numCache>
            </c:numRef>
          </c:val>
          <c:extLst>
            <c:ext xmlns:c16="http://schemas.microsoft.com/office/drawing/2014/chart" uri="{C3380CC4-5D6E-409C-BE32-E72D297353CC}">
              <c16:uniqueId val="{00000002-29DA-481C-A4CA-34C30C8EC034}"/>
            </c:ext>
          </c:extLst>
        </c:ser>
        <c:ser>
          <c:idx val="3"/>
          <c:order val="3"/>
          <c:tx>
            <c:strRef>
              <c:f>GRAFICAS!$G$10</c:f>
              <c:strCache>
                <c:ptCount val="1"/>
                <c:pt idx="0">
                  <c:v>Comarcas</c:v>
                </c:pt>
              </c:strCache>
            </c:strRef>
          </c:tx>
          <c:spPr>
            <a:blipFill dpi="0" rotWithShape="0">
              <a:blip xmlns:r="http://schemas.openxmlformats.org/officeDocument/2006/relationships" r:embed="rId3"/>
              <a:srcRect/>
              <a:tile tx="0" ty="0" sx="100000" sy="100000" flip="none" algn="tl"/>
            </a:blip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GRAFICAS!$C$11:$C$14</c:f>
              <c:strCache>
                <c:ptCount val="4"/>
                <c:pt idx="0">
                  <c:v>Ocupada plena</c:v>
                </c:pt>
                <c:pt idx="1">
                  <c:v>Ocupada a tiempo parcial</c:v>
                </c:pt>
                <c:pt idx="2">
                  <c:v>Subempleo visible</c:v>
                </c:pt>
                <c:pt idx="3">
                  <c:v>Subempleo invisible</c:v>
                </c:pt>
              </c:strCache>
            </c:strRef>
          </c:cat>
          <c:val>
            <c:numRef>
              <c:f>GRAFICAS!$G$11:$G$14</c:f>
              <c:numCache>
                <c:formatCode>0.0</c:formatCode>
                <c:ptCount val="4"/>
                <c:pt idx="0">
                  <c:v>4.7395471056495868</c:v>
                </c:pt>
                <c:pt idx="1">
                  <c:v>86.677873096839008</c:v>
                </c:pt>
                <c:pt idx="2">
                  <c:v>2.2000000000000002</c:v>
                </c:pt>
                <c:pt idx="3">
                  <c:v>6.4</c:v>
                </c:pt>
              </c:numCache>
            </c:numRef>
          </c:val>
          <c:extLst>
            <c:ext xmlns:c16="http://schemas.microsoft.com/office/drawing/2014/chart" uri="{C3380CC4-5D6E-409C-BE32-E72D297353CC}">
              <c16:uniqueId val="{00000003-29DA-481C-A4CA-34C30C8EC034}"/>
            </c:ext>
          </c:extLst>
        </c:ser>
        <c:dLbls>
          <c:showLegendKey val="0"/>
          <c:showVal val="0"/>
          <c:showCatName val="0"/>
          <c:showSerName val="0"/>
          <c:showPercent val="0"/>
          <c:showBubbleSize val="0"/>
        </c:dLbls>
        <c:gapWidth val="182"/>
        <c:axId val="759896048"/>
        <c:axId val="759897224"/>
      </c:barChart>
      <c:catAx>
        <c:axId val="759896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897224"/>
        <c:crosses val="autoZero"/>
        <c:auto val="1"/>
        <c:lblAlgn val="ctr"/>
        <c:lblOffset val="100"/>
        <c:noMultiLvlLbl val="0"/>
      </c:catAx>
      <c:valAx>
        <c:axId val="7598972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5989604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A" sz="900">
                <a:latin typeface="Century Schoolbook" panose="02040604050505020304" pitchFamily="18" charset="0"/>
              </a:rPr>
              <a:t>Fuente: Procesamiento de microdatos.</a:t>
            </a:r>
            <a:r>
              <a:rPr lang="es-PA" sz="900" baseline="0">
                <a:latin typeface="Century Schoolbook" panose="02040604050505020304" pitchFamily="18" charset="0"/>
              </a:rPr>
              <a:t> Encuesta propósitos múltiples, 2019</a:t>
            </a:r>
            <a:r>
              <a:rPr lang="es-PA" sz="900"/>
              <a:t> </a:t>
            </a:r>
          </a:p>
        </c:rich>
      </c:tx>
      <c:layout>
        <c:manualLayout>
          <c:xMode val="edge"/>
          <c:yMode val="edge"/>
          <c:x val="0.11596485221955953"/>
          <c:y val="0.9007407407407407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099754605306317E-2"/>
          <c:y val="7.5995552639253422E-2"/>
          <c:w val="0.89179468793720196"/>
          <c:h val="0.52115995917177016"/>
        </c:manualLayout>
      </c:layout>
      <c:barChart>
        <c:barDir val="col"/>
        <c:grouping val="clustered"/>
        <c:varyColors val="0"/>
        <c:ser>
          <c:idx val="0"/>
          <c:order val="0"/>
          <c:tx>
            <c:strRef>
              <c:f>Hoja4!$C$13</c:f>
              <c:strCache>
                <c:ptCount val="1"/>
                <c:pt idx="0">
                  <c:v>Hombres </c:v>
                </c:pt>
              </c:strCache>
            </c:strRef>
          </c:tx>
          <c:spPr>
            <a:solidFill>
              <a:schemeClr val="accent6"/>
            </a:solidFill>
            <a:ln>
              <a:noFill/>
            </a:ln>
            <a:effectLst/>
          </c:spPr>
          <c:invertIfNegative val="0"/>
          <c:dLbls>
            <c:dLbl>
              <c:idx val="3"/>
              <c:layout>
                <c:manualLayout>
                  <c:x val="0"/>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7C-4D40-B1DB-9EEB86156926}"/>
                </c:ext>
              </c:extLst>
            </c:dLbl>
            <c:dLbl>
              <c:idx val="5"/>
              <c:layout>
                <c:manualLayout>
                  <c:x val="-2.7777777777778798E-3"/>
                  <c:y val="-4.6296296296296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7C-4D40-B1DB-9EEB861569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Hoja4!$B$14:$B$19</c:f>
              <c:strCache>
                <c:ptCount val="6"/>
                <c:pt idx="0">
                  <c:v>Asegurado/a directa</c:v>
                </c:pt>
                <c:pt idx="1">
                  <c:v>Beneficiario/a</c:v>
                </c:pt>
                <c:pt idx="2">
                  <c:v>Jubilada/o</c:v>
                </c:pt>
                <c:pt idx="3">
                  <c:v>Pensionada/o</c:v>
                </c:pt>
                <c:pt idx="4">
                  <c:v>Jubilada/o pensionada/o de otro país</c:v>
                </c:pt>
                <c:pt idx="5">
                  <c:v>No tiene</c:v>
                </c:pt>
              </c:strCache>
            </c:strRef>
          </c:cat>
          <c:val>
            <c:numRef>
              <c:f>Hoja4!$C$14:$C$19</c:f>
              <c:numCache>
                <c:formatCode>0.00</c:formatCode>
                <c:ptCount val="6"/>
                <c:pt idx="0">
                  <c:v>58.078918788463859</c:v>
                </c:pt>
                <c:pt idx="1">
                  <c:v>39.024632499006756</c:v>
                </c:pt>
                <c:pt idx="2">
                  <c:v>56.887385210246499</c:v>
                </c:pt>
                <c:pt idx="3">
                  <c:v>51.152073732718897</c:v>
                </c:pt>
                <c:pt idx="4">
                  <c:v>47.222222222222221</c:v>
                </c:pt>
                <c:pt idx="5">
                  <c:v>50.265969538531486</c:v>
                </c:pt>
              </c:numCache>
            </c:numRef>
          </c:val>
          <c:extLst>
            <c:ext xmlns:c16="http://schemas.microsoft.com/office/drawing/2014/chart" uri="{C3380CC4-5D6E-409C-BE32-E72D297353CC}">
              <c16:uniqueId val="{00000002-9E7C-4D40-B1DB-9EEB86156926}"/>
            </c:ext>
          </c:extLst>
        </c:ser>
        <c:ser>
          <c:idx val="1"/>
          <c:order val="1"/>
          <c:tx>
            <c:strRef>
              <c:f>Hoja4!$D$13</c:f>
              <c:strCache>
                <c:ptCount val="1"/>
                <c:pt idx="0">
                  <c:v>Mujeres</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Hoja4!$B$14:$B$19</c:f>
              <c:strCache>
                <c:ptCount val="6"/>
                <c:pt idx="0">
                  <c:v>Asegurado/a directa</c:v>
                </c:pt>
                <c:pt idx="1">
                  <c:v>Beneficiario/a</c:v>
                </c:pt>
                <c:pt idx="2">
                  <c:v>Jubilada/o</c:v>
                </c:pt>
                <c:pt idx="3">
                  <c:v>Pensionada/o</c:v>
                </c:pt>
                <c:pt idx="4">
                  <c:v>Jubilada/o pensionada/o de otro país</c:v>
                </c:pt>
                <c:pt idx="5">
                  <c:v>No tiene</c:v>
                </c:pt>
              </c:strCache>
            </c:strRef>
          </c:cat>
          <c:val>
            <c:numRef>
              <c:f>Hoja4!$D$14:$D$19</c:f>
              <c:numCache>
                <c:formatCode>0.00</c:formatCode>
                <c:ptCount val="6"/>
                <c:pt idx="0">
                  <c:v>41.921081211536141</c:v>
                </c:pt>
                <c:pt idx="1">
                  <c:v>60.975367500993251</c:v>
                </c:pt>
                <c:pt idx="2">
                  <c:v>43.112614789753508</c:v>
                </c:pt>
                <c:pt idx="3">
                  <c:v>48.847926267281103</c:v>
                </c:pt>
                <c:pt idx="4">
                  <c:v>52.777777777777779</c:v>
                </c:pt>
                <c:pt idx="5">
                  <c:v>49.734030461468514</c:v>
                </c:pt>
              </c:numCache>
            </c:numRef>
          </c:val>
          <c:extLst>
            <c:ext xmlns:c16="http://schemas.microsoft.com/office/drawing/2014/chart" uri="{C3380CC4-5D6E-409C-BE32-E72D297353CC}">
              <c16:uniqueId val="{00000003-9E7C-4D40-B1DB-9EEB86156926}"/>
            </c:ext>
          </c:extLst>
        </c:ser>
        <c:dLbls>
          <c:dLblPos val="outEnd"/>
          <c:showLegendKey val="0"/>
          <c:showVal val="1"/>
          <c:showCatName val="0"/>
          <c:showSerName val="0"/>
          <c:showPercent val="0"/>
          <c:showBubbleSize val="0"/>
        </c:dLbls>
        <c:gapWidth val="219"/>
        <c:overlap val="-27"/>
        <c:axId val="759900360"/>
        <c:axId val="759901536"/>
      </c:barChart>
      <c:catAx>
        <c:axId val="759900360"/>
        <c:scaling>
          <c:orientation val="minMax"/>
        </c:scaling>
        <c:delete val="0"/>
        <c:axPos val="b"/>
        <c:title>
          <c:layout>
            <c:manualLayout>
              <c:xMode val="edge"/>
              <c:yMode val="edge"/>
              <c:x val="0.45641921428770388"/>
              <c:y val="0.721461067366579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901536"/>
        <c:crosses val="autoZero"/>
        <c:auto val="1"/>
        <c:lblAlgn val="ctr"/>
        <c:lblOffset val="100"/>
        <c:noMultiLvlLbl val="0"/>
      </c:catAx>
      <c:valAx>
        <c:axId val="759901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900360"/>
        <c:crosses val="autoZero"/>
        <c:crossBetween val="between"/>
      </c:valAx>
      <c:spPr>
        <a:noFill/>
        <a:ln>
          <a:noFill/>
        </a:ln>
        <a:effectLst/>
      </c:spPr>
    </c:plotArea>
    <c:legend>
      <c:legendPos val="b"/>
      <c:layout>
        <c:manualLayout>
          <c:xMode val="edge"/>
          <c:yMode val="edge"/>
          <c:x val="0.34374737734982719"/>
          <c:y val="0.79687445319335082"/>
          <c:w val="0.2847274715660542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68304714922683"/>
          <c:y val="0.10185185185185185"/>
          <c:w val="0.75514024602346397"/>
          <c:h val="0.66833843686205885"/>
        </c:manualLayout>
      </c:layout>
      <c:barChart>
        <c:barDir val="bar"/>
        <c:grouping val="clustered"/>
        <c:varyColors val="0"/>
        <c:ser>
          <c:idx val="0"/>
          <c:order val="0"/>
          <c:tx>
            <c:strRef>
              <c:f>Hoja4!$B$33</c:f>
              <c:strCache>
                <c:ptCount val="1"/>
                <c:pt idx="0">
                  <c:v>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Hoja4!$C$32:$D$32</c:f>
              <c:strCache>
                <c:ptCount val="2"/>
                <c:pt idx="0">
                  <c:v>Hombres</c:v>
                </c:pt>
                <c:pt idx="1">
                  <c:v>Mujeres</c:v>
                </c:pt>
              </c:strCache>
            </c:strRef>
          </c:cat>
          <c:val>
            <c:numRef>
              <c:f>Hoja4!$C$33:$D$33</c:f>
              <c:numCache>
                <c:formatCode>0.00%</c:formatCode>
                <c:ptCount val="2"/>
                <c:pt idx="0">
                  <c:v>0.49430000000000002</c:v>
                </c:pt>
                <c:pt idx="1">
                  <c:v>0.50560000000000005</c:v>
                </c:pt>
              </c:numCache>
            </c:numRef>
          </c:val>
          <c:extLst>
            <c:ext xmlns:c16="http://schemas.microsoft.com/office/drawing/2014/chart" uri="{C3380CC4-5D6E-409C-BE32-E72D297353CC}">
              <c16:uniqueId val="{00000000-958F-4DC6-B12F-43914DE31C3B}"/>
            </c:ext>
          </c:extLst>
        </c:ser>
        <c:ser>
          <c:idx val="1"/>
          <c:order val="1"/>
          <c:tx>
            <c:strRef>
              <c:f>Hoja4!$B$34</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Hoja4!$C$32:$D$32</c:f>
              <c:strCache>
                <c:ptCount val="2"/>
                <c:pt idx="0">
                  <c:v>Hombres</c:v>
                </c:pt>
                <c:pt idx="1">
                  <c:v>Mujeres</c:v>
                </c:pt>
              </c:strCache>
            </c:strRef>
          </c:cat>
          <c:val>
            <c:numRef>
              <c:f>Hoja4!$C$34:$D$34</c:f>
              <c:numCache>
                <c:formatCode>0.00%</c:formatCode>
                <c:ptCount val="2"/>
                <c:pt idx="0">
                  <c:v>0.48509999999999998</c:v>
                </c:pt>
                <c:pt idx="1">
                  <c:v>0.51480000000000004</c:v>
                </c:pt>
              </c:numCache>
            </c:numRef>
          </c:val>
          <c:extLst>
            <c:ext xmlns:c16="http://schemas.microsoft.com/office/drawing/2014/chart" uri="{C3380CC4-5D6E-409C-BE32-E72D297353CC}">
              <c16:uniqueId val="{00000001-958F-4DC6-B12F-43914DE31C3B}"/>
            </c:ext>
          </c:extLst>
        </c:ser>
        <c:dLbls>
          <c:showLegendKey val="0"/>
          <c:showVal val="0"/>
          <c:showCatName val="0"/>
          <c:showSerName val="0"/>
          <c:showPercent val="0"/>
          <c:showBubbleSize val="0"/>
        </c:dLbls>
        <c:gapWidth val="182"/>
        <c:axId val="759901928"/>
        <c:axId val="759894480"/>
      </c:barChart>
      <c:catAx>
        <c:axId val="759901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759894480"/>
        <c:crosses val="autoZero"/>
        <c:auto val="1"/>
        <c:lblAlgn val="ctr"/>
        <c:lblOffset val="100"/>
        <c:noMultiLvlLbl val="0"/>
      </c:catAx>
      <c:valAx>
        <c:axId val="759894480"/>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A" sz="800"/>
                  <a:t>Fuente: Procesamiento de microdatos. Encuesta de propósitos múltiples, marzo 2019.</a:t>
                </a:r>
              </a:p>
            </c:rich>
          </c:tx>
          <c:layout>
            <c:manualLayout>
              <c:xMode val="edge"/>
              <c:yMode val="edge"/>
              <c:x val="3.0179352580927424E-2"/>
              <c:y val="0.902406678331875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crossAx val="759901928"/>
        <c:crosses val="autoZero"/>
        <c:crossBetween val="between"/>
      </c:valAx>
      <c:spPr>
        <a:noFill/>
        <a:ln>
          <a:noFill/>
        </a:ln>
        <a:effectLst/>
      </c:spPr>
    </c:plotArea>
    <c:legend>
      <c:legendPos val="b"/>
      <c:layout>
        <c:manualLayout>
          <c:xMode val="edge"/>
          <c:yMode val="edge"/>
          <c:x val="0.3684621185243741"/>
          <c:y val="0.76286005525106737"/>
          <c:w val="0.3102135575523506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j-lt"/>
                <a:ea typeface="+mn-ea"/>
                <a:cs typeface="+mn-cs"/>
              </a:defRPr>
            </a:pPr>
            <a:r>
              <a:rPr lang="es-PA" sz="1000" i="1"/>
              <a:t>(*)  En valores porcentuales</a:t>
            </a:r>
          </a:p>
        </c:rich>
      </c:tx>
      <c:layout>
        <c:manualLayout>
          <c:xMode val="edge"/>
          <c:yMode val="edge"/>
          <c:x val="0.32932633420822399"/>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j-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20603674540682"/>
          <c:y val="0.14949074074074073"/>
          <c:w val="0.89779396325459326"/>
          <c:h val="0.62484543598716835"/>
        </c:manualLayout>
      </c:layout>
      <c:bar3DChart>
        <c:barDir val="col"/>
        <c:grouping val="clustered"/>
        <c:varyColors val="0"/>
        <c:ser>
          <c:idx val="0"/>
          <c:order val="0"/>
          <c:tx>
            <c:strRef>
              <c:f>Alfabetismo!$C$48</c:f>
              <c:strCache>
                <c:ptCount val="1"/>
                <c:pt idx="0">
                  <c:v>Hombres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Alfabetismo!$D$47:$F$47</c:f>
              <c:numCache>
                <c:formatCode>General</c:formatCode>
                <c:ptCount val="3"/>
                <c:pt idx="0">
                  <c:v>2000</c:v>
                </c:pt>
                <c:pt idx="1">
                  <c:v>2010</c:v>
                </c:pt>
                <c:pt idx="2">
                  <c:v>2020</c:v>
                </c:pt>
              </c:numCache>
            </c:numRef>
          </c:cat>
          <c:val>
            <c:numRef>
              <c:f>Alfabetismo!$D$48:$F$48</c:f>
              <c:numCache>
                <c:formatCode>0.00%</c:formatCode>
                <c:ptCount val="3"/>
                <c:pt idx="0">
                  <c:v>7.0999999999999994E-2</c:v>
                </c:pt>
                <c:pt idx="1">
                  <c:v>4.9000000000000002E-2</c:v>
                </c:pt>
                <c:pt idx="2">
                  <c:v>3.5400000000000001E-2</c:v>
                </c:pt>
              </c:numCache>
            </c:numRef>
          </c:val>
          <c:extLst>
            <c:ext xmlns:c16="http://schemas.microsoft.com/office/drawing/2014/chart" uri="{C3380CC4-5D6E-409C-BE32-E72D297353CC}">
              <c16:uniqueId val="{00000000-C7FA-4648-BFDA-E4877D7FFB6A}"/>
            </c:ext>
          </c:extLst>
        </c:ser>
        <c:ser>
          <c:idx val="1"/>
          <c:order val="1"/>
          <c:tx>
            <c:strRef>
              <c:f>Alfabetismo!$C$49</c:f>
              <c:strCache>
                <c:ptCount val="1"/>
                <c:pt idx="0">
                  <c:v>Mujeres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Alfabetismo!$D$47:$F$47</c:f>
              <c:numCache>
                <c:formatCode>General</c:formatCode>
                <c:ptCount val="3"/>
                <c:pt idx="0">
                  <c:v>2000</c:v>
                </c:pt>
                <c:pt idx="1">
                  <c:v>2010</c:v>
                </c:pt>
                <c:pt idx="2">
                  <c:v>2020</c:v>
                </c:pt>
              </c:numCache>
            </c:numRef>
          </c:cat>
          <c:val>
            <c:numRef>
              <c:f>Alfabetismo!$D$49:$F$49</c:f>
              <c:numCache>
                <c:formatCode>0.00%</c:formatCode>
                <c:ptCount val="3"/>
                <c:pt idx="0">
                  <c:v>8.2000000000000003E-2</c:v>
                </c:pt>
                <c:pt idx="1">
                  <c:v>0.06</c:v>
                </c:pt>
                <c:pt idx="2">
                  <c:v>4.3999999999999997E-2</c:v>
                </c:pt>
              </c:numCache>
            </c:numRef>
          </c:val>
          <c:extLst>
            <c:ext xmlns:c16="http://schemas.microsoft.com/office/drawing/2014/chart" uri="{C3380CC4-5D6E-409C-BE32-E72D297353CC}">
              <c16:uniqueId val="{00000001-C7FA-4648-BFDA-E4877D7FFB6A}"/>
            </c:ext>
          </c:extLst>
        </c:ser>
        <c:dLbls>
          <c:showLegendKey val="0"/>
          <c:showVal val="0"/>
          <c:showCatName val="0"/>
          <c:showSerName val="0"/>
          <c:showPercent val="0"/>
          <c:showBubbleSize val="0"/>
        </c:dLbls>
        <c:gapWidth val="65"/>
        <c:shape val="box"/>
        <c:axId val="759902712"/>
        <c:axId val="759904280"/>
        <c:axId val="0"/>
      </c:bar3DChart>
      <c:catAx>
        <c:axId val="759902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j-lt"/>
                <a:ea typeface="+mn-ea"/>
                <a:cs typeface="+mn-cs"/>
              </a:defRPr>
            </a:pPr>
            <a:endParaRPr lang="en-US"/>
          </a:p>
        </c:txPr>
        <c:crossAx val="759904280"/>
        <c:crosses val="autoZero"/>
        <c:auto val="1"/>
        <c:lblAlgn val="ctr"/>
        <c:lblOffset val="100"/>
        <c:noMultiLvlLbl val="0"/>
      </c:catAx>
      <c:valAx>
        <c:axId val="75990428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mj-lt"/>
                <a:ea typeface="+mn-ea"/>
                <a:cs typeface="+mn-cs"/>
              </a:defRPr>
            </a:pPr>
            <a:endParaRPr lang="en-US"/>
          </a:p>
        </c:txPr>
        <c:crossAx val="759902712"/>
        <c:crosses val="autoZero"/>
        <c:crossBetween val="between"/>
      </c:valAx>
      <c:spPr>
        <a:noFill/>
        <a:ln>
          <a:noFill/>
        </a:ln>
        <a:effectLst/>
      </c:spPr>
    </c:plotArea>
    <c:legend>
      <c:legendPos val="b"/>
      <c:layout>
        <c:manualLayout>
          <c:xMode val="edge"/>
          <c:yMode val="edge"/>
          <c:x val="0.67769466316710414"/>
          <c:y val="0.20428186060075823"/>
          <c:w val="0.3087810586176728"/>
          <c:h val="8.371719160104987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681541589378727E-2"/>
          <c:y val="4.5387130619021922E-2"/>
          <c:w val="0.92081651707996781"/>
          <c:h val="0.64718108744929614"/>
        </c:manualLayout>
      </c:layout>
      <c:bar3DChart>
        <c:barDir val="col"/>
        <c:grouping val="clustered"/>
        <c:varyColors val="0"/>
        <c:ser>
          <c:idx val="0"/>
          <c:order val="0"/>
          <c:tx>
            <c:strRef>
              <c:f>'Maternal10-18'!$AI$4</c:f>
              <c:strCache>
                <c:ptCount val="1"/>
                <c:pt idx="0">
                  <c:v>Niños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1.5865517520153579E-2"/>
                  <c:y val="6.85175763768660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7A-4255-B13F-195CA01D3EE4}"/>
                </c:ext>
              </c:extLst>
            </c:dLbl>
            <c:dLbl>
              <c:idx val="2"/>
              <c:layout>
                <c:manualLayout>
                  <c:x val="-9.06601001151633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7A-4255-B13F-195CA01D3EE4}"/>
                </c:ext>
              </c:extLst>
            </c:dLbl>
            <c:dLbl>
              <c:idx val="5"/>
              <c:layout>
                <c:manualLayout>
                  <c:x val="-1.35990150172744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7A-4255-B13F-195CA01D3EE4}"/>
                </c:ext>
              </c:extLst>
            </c:dLbl>
            <c:dLbl>
              <c:idx val="6"/>
              <c:layout>
                <c:manualLayout>
                  <c:x val="-6.788866259334691E-3"/>
                  <c:y val="-3.95280757816920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7A-4255-B13F-195CA01D3EE4}"/>
                </c:ext>
              </c:extLst>
            </c:dLbl>
            <c:dLbl>
              <c:idx val="7"/>
              <c:layout>
                <c:manualLayout>
                  <c:x val="-4.5401656768464024E-3"/>
                  <c:y val="-6.8516500120537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7A-4255-B13F-195CA01D3EE4}"/>
                </c:ext>
              </c:extLst>
            </c:dLbl>
            <c:dLbl>
              <c:idx val="8"/>
              <c:layout>
                <c:manualLayout>
                  <c:x val="-2.2807739663906574E-3"/>
                  <c:y val="-1.11638535480606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7A-4255-B13F-195CA01D3EE4}"/>
                </c:ext>
              </c:extLst>
            </c:dLbl>
            <c:dLbl>
              <c:idx val="9"/>
              <c:layout>
                <c:manualLayout>
                  <c:x val="-1.1332512514395415E-2"/>
                  <c:y val="-6.85175763768660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7A-4255-B13F-195CA01D3EE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'Maternal10-18'!$AH$5:$AH$14</c:f>
              <c:strCache>
                <c:ptCount val="10"/>
                <c:pt idx="0">
                  <c:v>Bocas del Toro</c:v>
                </c:pt>
                <c:pt idx="1">
                  <c:v>Chiriqui</c:v>
                </c:pt>
                <c:pt idx="2">
                  <c:v>Coclé</c:v>
                </c:pt>
                <c:pt idx="3">
                  <c:v>Colón</c:v>
                </c:pt>
                <c:pt idx="4">
                  <c:v>Darien</c:v>
                </c:pt>
                <c:pt idx="5">
                  <c:v>Herrera</c:v>
                </c:pt>
                <c:pt idx="6">
                  <c:v>Los Santos</c:v>
                </c:pt>
                <c:pt idx="7">
                  <c:v>Panamá</c:v>
                </c:pt>
                <c:pt idx="8">
                  <c:v>Veraguas</c:v>
                </c:pt>
                <c:pt idx="9">
                  <c:v>Comarcas</c:v>
                </c:pt>
              </c:strCache>
            </c:strRef>
          </c:cat>
          <c:val>
            <c:numRef>
              <c:f>'Maternal10-18'!$AI$5:$AI$14</c:f>
              <c:numCache>
                <c:formatCode>0.0%</c:formatCode>
                <c:ptCount val="10"/>
                <c:pt idx="0">
                  <c:v>0.50795209110543882</c:v>
                </c:pt>
                <c:pt idx="1">
                  <c:v>0.5106403940886699</c:v>
                </c:pt>
                <c:pt idx="2">
                  <c:v>0.51141488162344984</c:v>
                </c:pt>
                <c:pt idx="3">
                  <c:v>0.51519815313582151</c:v>
                </c:pt>
                <c:pt idx="4">
                  <c:v>0.52885187388459254</c:v>
                </c:pt>
                <c:pt idx="5">
                  <c:v>0.51362007168458779</c:v>
                </c:pt>
                <c:pt idx="6">
                  <c:v>0.50162337662337664</c:v>
                </c:pt>
                <c:pt idx="7">
                  <c:v>0.5001884142372649</c:v>
                </c:pt>
                <c:pt idx="8">
                  <c:v>0.50642584230635634</c:v>
                </c:pt>
                <c:pt idx="9">
                  <c:v>0.51487811225817648</c:v>
                </c:pt>
              </c:numCache>
            </c:numRef>
          </c:val>
          <c:extLst>
            <c:ext xmlns:c16="http://schemas.microsoft.com/office/drawing/2014/chart" uri="{C3380CC4-5D6E-409C-BE32-E72D297353CC}">
              <c16:uniqueId val="{00000007-E77A-4255-B13F-195CA01D3EE4}"/>
            </c:ext>
          </c:extLst>
        </c:ser>
        <c:ser>
          <c:idx val="1"/>
          <c:order val="1"/>
          <c:tx>
            <c:strRef>
              <c:f>'Maternal10-18'!$AJ$4</c:f>
              <c:strCache>
                <c:ptCount val="1"/>
                <c:pt idx="0">
                  <c:v>Niñas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9.066010011516309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7A-4255-B13F-195CA01D3EE4}"/>
                </c:ext>
              </c:extLst>
            </c:dLbl>
            <c:dLbl>
              <c:idx val="1"/>
              <c:layout>
                <c:manualLayout>
                  <c:x val="2.4931527531669911E-2"/>
                  <c:y val="-1.0277636456529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7A-4255-B13F-195CA01D3EE4}"/>
                </c:ext>
              </c:extLst>
            </c:dLbl>
            <c:dLbl>
              <c:idx val="2"/>
              <c:layout>
                <c:manualLayout>
                  <c:x val="1.3599015017274455E-2"/>
                  <c:y val="-6.28070527930271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7A-4255-B13F-195CA01D3EE4}"/>
                </c:ext>
              </c:extLst>
            </c:dLbl>
            <c:dLbl>
              <c:idx val="3"/>
              <c:layout>
                <c:manualLayout>
                  <c:x val="2.49315275316698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7A-4255-B13F-195CA01D3EE4}"/>
                </c:ext>
              </c:extLst>
            </c:dLbl>
            <c:dLbl>
              <c:idx val="4"/>
              <c:layout>
                <c:manualLayout>
                  <c:x val="1.35990150172744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7A-4255-B13F-195CA01D3EE4}"/>
                </c:ext>
              </c:extLst>
            </c:dLbl>
            <c:dLbl>
              <c:idx val="5"/>
              <c:layout>
                <c:manualLayout>
                  <c:x val="1.1332512514395415E-2"/>
                  <c:y val="-1.256141055860543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7A-4255-B13F-195CA01D3EE4}"/>
                </c:ext>
              </c:extLst>
            </c:dLbl>
            <c:dLbl>
              <c:idx val="6"/>
              <c:layout>
                <c:manualLayout>
                  <c:x val="1.5865455718238886E-2"/>
                  <c:y val="8.6244070720137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77A-4255-B13F-195CA01D3EE4}"/>
                </c:ext>
              </c:extLst>
            </c:dLbl>
            <c:dLbl>
              <c:idx val="7"/>
              <c:layout>
                <c:manualLayout>
                  <c:x val="2.71980300345488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77A-4255-B13F-195CA01D3EE4}"/>
                </c:ext>
              </c:extLst>
            </c:dLbl>
            <c:dLbl>
              <c:idx val="8"/>
              <c:layout>
                <c:manualLayout>
                  <c:x val="2.03985225259117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77A-4255-B13F-195CA01D3EE4}"/>
                </c:ext>
              </c:extLst>
            </c:dLbl>
            <c:dLbl>
              <c:idx val="9"/>
              <c:layout>
                <c:manualLayout>
                  <c:x val="2.7180232817130039E-2"/>
                  <c:y val="6.8516500120537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77A-4255-B13F-195CA01D3EE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'Maternal10-18'!$AH$5:$AH$14</c:f>
              <c:strCache>
                <c:ptCount val="10"/>
                <c:pt idx="0">
                  <c:v>Bocas del Toro</c:v>
                </c:pt>
                <c:pt idx="1">
                  <c:v>Chiriqui</c:v>
                </c:pt>
                <c:pt idx="2">
                  <c:v>Coclé</c:v>
                </c:pt>
                <c:pt idx="3">
                  <c:v>Colón</c:v>
                </c:pt>
                <c:pt idx="4">
                  <c:v>Darien</c:v>
                </c:pt>
                <c:pt idx="5">
                  <c:v>Herrera</c:v>
                </c:pt>
                <c:pt idx="6">
                  <c:v>Los Santos</c:v>
                </c:pt>
                <c:pt idx="7">
                  <c:v>Panamá</c:v>
                </c:pt>
                <c:pt idx="8">
                  <c:v>Veraguas</c:v>
                </c:pt>
                <c:pt idx="9">
                  <c:v>Comarcas</c:v>
                </c:pt>
              </c:strCache>
            </c:strRef>
          </c:cat>
          <c:val>
            <c:numRef>
              <c:f>'Maternal10-18'!$AJ$5:$AJ$14</c:f>
              <c:numCache>
                <c:formatCode>0.0%</c:formatCode>
                <c:ptCount val="10"/>
                <c:pt idx="0">
                  <c:v>0.49204790889456118</c:v>
                </c:pt>
                <c:pt idx="1">
                  <c:v>0.48935960591133004</c:v>
                </c:pt>
                <c:pt idx="2">
                  <c:v>0.48858511837655016</c:v>
                </c:pt>
                <c:pt idx="3">
                  <c:v>0.48480184686417854</c:v>
                </c:pt>
                <c:pt idx="4">
                  <c:v>0.47114812611540752</c:v>
                </c:pt>
                <c:pt idx="5">
                  <c:v>0.48637992831541221</c:v>
                </c:pt>
                <c:pt idx="6">
                  <c:v>0.49837662337662336</c:v>
                </c:pt>
                <c:pt idx="7">
                  <c:v>0.4998115857627351</c:v>
                </c:pt>
                <c:pt idx="8">
                  <c:v>0.4935741576936436</c:v>
                </c:pt>
                <c:pt idx="9">
                  <c:v>0.48512188774182352</c:v>
                </c:pt>
              </c:numCache>
            </c:numRef>
          </c:val>
          <c:extLst>
            <c:ext xmlns:c16="http://schemas.microsoft.com/office/drawing/2014/chart" uri="{C3380CC4-5D6E-409C-BE32-E72D297353CC}">
              <c16:uniqueId val="{00000012-E77A-4255-B13F-195CA01D3EE4}"/>
            </c:ext>
          </c:extLst>
        </c:ser>
        <c:dLbls>
          <c:showLegendKey val="0"/>
          <c:showVal val="0"/>
          <c:showCatName val="0"/>
          <c:showSerName val="0"/>
          <c:showPercent val="0"/>
          <c:showBubbleSize val="0"/>
        </c:dLbls>
        <c:gapWidth val="150"/>
        <c:shape val="box"/>
        <c:axId val="759903888"/>
        <c:axId val="759905456"/>
        <c:axId val="0"/>
      </c:bar3DChart>
      <c:catAx>
        <c:axId val="759903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9905456"/>
        <c:crosses val="autoZero"/>
        <c:auto val="1"/>
        <c:lblAlgn val="ctr"/>
        <c:lblOffset val="100"/>
        <c:noMultiLvlLbl val="0"/>
      </c:catAx>
      <c:valAx>
        <c:axId val="759905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59903888"/>
        <c:crosses val="autoZero"/>
        <c:crossBetween val="between"/>
      </c:valAx>
      <c:spPr>
        <a:noFill/>
        <a:ln>
          <a:noFill/>
        </a:ln>
        <a:effectLst/>
      </c:spPr>
    </c:plotArea>
    <c:legend>
      <c:legendPos val="b"/>
      <c:layout>
        <c:manualLayout>
          <c:xMode val="edge"/>
          <c:yMode val="edge"/>
          <c:x val="0.7338440128792455"/>
          <c:y val="1.8084884275829154E-2"/>
          <c:w val="0.19731117847957658"/>
          <c:h val="6.403560971741086E-2"/>
        </c:manualLayout>
      </c:layout>
      <c:overlay val="0"/>
      <c:spPr>
        <a:solidFill>
          <a:schemeClr val="bg1"/>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170556996418425E-2"/>
          <c:y val="0.17905888456181246"/>
          <c:w val="0.94565888600716319"/>
          <c:h val="0.7194167685266778"/>
        </c:manualLayout>
      </c:layout>
      <c:barChart>
        <c:barDir val="col"/>
        <c:grouping val="clustered"/>
        <c:varyColors val="0"/>
        <c:ser>
          <c:idx val="0"/>
          <c:order val="0"/>
          <c:tx>
            <c:strRef>
              <c:f>'Piramide 10-18'!$AP$2</c:f>
              <c:strCache>
                <c:ptCount val="1"/>
                <c:pt idx="0">
                  <c:v>Primaria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'Piramide 10-18'!$AO$3:$AO$6</c:f>
              <c:strCache>
                <c:ptCount val="4"/>
                <c:pt idx="0">
                  <c:v>Hombres (2010)</c:v>
                </c:pt>
                <c:pt idx="1">
                  <c:v>Mujeres (2010)</c:v>
                </c:pt>
                <c:pt idx="2">
                  <c:v>Hombres (2018)</c:v>
                </c:pt>
                <c:pt idx="3">
                  <c:v>Mujeres (2018)</c:v>
                </c:pt>
              </c:strCache>
            </c:strRef>
          </c:cat>
          <c:val>
            <c:numRef>
              <c:f>'Piramide 10-18'!$AP$3:$AP$6</c:f>
              <c:numCache>
                <c:formatCode>General</c:formatCode>
                <c:ptCount val="4"/>
                <c:pt idx="0">
                  <c:v>228177</c:v>
                </c:pt>
                <c:pt idx="1">
                  <c:v>211569</c:v>
                </c:pt>
                <c:pt idx="2">
                  <c:v>227181</c:v>
                </c:pt>
                <c:pt idx="3">
                  <c:v>214474</c:v>
                </c:pt>
              </c:numCache>
            </c:numRef>
          </c:val>
          <c:extLst>
            <c:ext xmlns:c16="http://schemas.microsoft.com/office/drawing/2014/chart" uri="{C3380CC4-5D6E-409C-BE32-E72D297353CC}">
              <c16:uniqueId val="{00000000-E553-4700-8C73-F1973085E4DA}"/>
            </c:ext>
          </c:extLst>
        </c:ser>
        <c:ser>
          <c:idx val="1"/>
          <c:order val="1"/>
          <c:tx>
            <c:strRef>
              <c:f>'Piramide 10-18'!$AQ$2</c:f>
              <c:strCache>
                <c:ptCount val="1"/>
                <c:pt idx="0">
                  <c:v>Secundaria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'Piramide 10-18'!$AO$3:$AO$6</c:f>
              <c:strCache>
                <c:ptCount val="4"/>
                <c:pt idx="0">
                  <c:v>Hombres (2010)</c:v>
                </c:pt>
                <c:pt idx="1">
                  <c:v>Mujeres (2010)</c:v>
                </c:pt>
                <c:pt idx="2">
                  <c:v>Hombres (2018)</c:v>
                </c:pt>
                <c:pt idx="3">
                  <c:v>Mujeres (2018)</c:v>
                </c:pt>
              </c:strCache>
            </c:strRef>
          </c:cat>
          <c:val>
            <c:numRef>
              <c:f>'Piramide 10-18'!$AQ$3:$AQ$6</c:f>
              <c:numCache>
                <c:formatCode>General</c:formatCode>
                <c:ptCount val="4"/>
                <c:pt idx="0">
                  <c:v>140061</c:v>
                </c:pt>
                <c:pt idx="1">
                  <c:v>143686</c:v>
                </c:pt>
                <c:pt idx="2">
                  <c:v>132150</c:v>
                </c:pt>
                <c:pt idx="3">
                  <c:v>139167</c:v>
                </c:pt>
              </c:numCache>
            </c:numRef>
          </c:val>
          <c:extLst>
            <c:ext xmlns:c16="http://schemas.microsoft.com/office/drawing/2014/chart" uri="{C3380CC4-5D6E-409C-BE32-E72D297353CC}">
              <c16:uniqueId val="{00000001-E553-4700-8C73-F1973085E4DA}"/>
            </c:ext>
          </c:extLst>
        </c:ser>
        <c:ser>
          <c:idx val="2"/>
          <c:order val="2"/>
          <c:tx>
            <c:strRef>
              <c:f>'Piramide 10-18'!$AR$2</c:f>
              <c:strCache>
                <c:ptCount val="1"/>
                <c:pt idx="0">
                  <c:v>Universidad</c:v>
                </c:pt>
              </c:strCache>
            </c:strRef>
          </c:tx>
          <c:spPr>
            <a:solidFill>
              <a:srgbClr val="92D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'Piramide 10-18'!$AO$3:$AO$6</c:f>
              <c:strCache>
                <c:ptCount val="4"/>
                <c:pt idx="0">
                  <c:v>Hombres (2010)</c:v>
                </c:pt>
                <c:pt idx="1">
                  <c:v>Mujeres (2010)</c:v>
                </c:pt>
                <c:pt idx="2">
                  <c:v>Hombres (2018)</c:v>
                </c:pt>
                <c:pt idx="3">
                  <c:v>Mujeres (2018)</c:v>
                </c:pt>
              </c:strCache>
            </c:strRef>
          </c:cat>
          <c:val>
            <c:numRef>
              <c:f>'Piramide 10-18'!$AR$3:$AR$6</c:f>
              <c:numCache>
                <c:formatCode>0</c:formatCode>
                <c:ptCount val="4"/>
                <c:pt idx="0" formatCode="General">
                  <c:v>56039</c:v>
                </c:pt>
                <c:pt idx="1">
                  <c:v>83077</c:v>
                </c:pt>
                <c:pt idx="2" formatCode="#,##0">
                  <c:v>70459.179000000004</c:v>
                </c:pt>
                <c:pt idx="3" formatCode="#,##0">
                  <c:v>111419.55300000001</c:v>
                </c:pt>
              </c:numCache>
            </c:numRef>
          </c:val>
          <c:extLst>
            <c:ext xmlns:c16="http://schemas.microsoft.com/office/drawing/2014/chart" uri="{C3380CC4-5D6E-409C-BE32-E72D297353CC}">
              <c16:uniqueId val="{00000002-E553-4700-8C73-F1973085E4DA}"/>
            </c:ext>
          </c:extLst>
        </c:ser>
        <c:dLbls>
          <c:dLblPos val="outEnd"/>
          <c:showLegendKey val="0"/>
          <c:showVal val="1"/>
          <c:showCatName val="0"/>
          <c:showSerName val="0"/>
          <c:showPercent val="0"/>
          <c:showBubbleSize val="0"/>
        </c:dLbls>
        <c:gapWidth val="444"/>
        <c:overlap val="-90"/>
        <c:axId val="759895656"/>
        <c:axId val="759908592"/>
      </c:barChart>
      <c:catAx>
        <c:axId val="759895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j-lt"/>
                <a:ea typeface="+mn-ea"/>
                <a:cs typeface="+mn-cs"/>
              </a:defRPr>
            </a:pPr>
            <a:endParaRPr lang="en-US"/>
          </a:p>
        </c:txPr>
        <c:crossAx val="759908592"/>
        <c:crosses val="autoZero"/>
        <c:auto val="1"/>
        <c:lblAlgn val="ctr"/>
        <c:lblOffset val="100"/>
        <c:noMultiLvlLbl val="0"/>
      </c:catAx>
      <c:valAx>
        <c:axId val="759908592"/>
        <c:scaling>
          <c:orientation val="minMax"/>
        </c:scaling>
        <c:delete val="1"/>
        <c:axPos val="l"/>
        <c:numFmt formatCode="General" sourceLinked="1"/>
        <c:majorTickMark val="none"/>
        <c:minorTickMark val="none"/>
        <c:tickLblPos val="nextTo"/>
        <c:crossAx val="759895656"/>
        <c:crosses val="autoZero"/>
        <c:crossBetween val="between"/>
      </c:valAx>
      <c:spPr>
        <a:noFill/>
        <a:ln>
          <a:noFill/>
        </a:ln>
        <a:effectLst/>
      </c:spPr>
    </c:plotArea>
    <c:legend>
      <c:legendPos val="t"/>
      <c:layout>
        <c:manualLayout>
          <c:xMode val="edge"/>
          <c:yMode val="edge"/>
          <c:x val="0.22576787942263052"/>
          <c:y val="2.7438244407174739E-2"/>
          <c:w val="0.52376298645668573"/>
          <c:h val="6.504485627914914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Reversed" id="24">
  <a:schemeClr val="accent4"/>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0.00834</cdr:x>
      <cdr:y>0.86111</cdr:y>
    </cdr:from>
    <cdr:to>
      <cdr:x>1</cdr:x>
      <cdr:y>1</cdr:y>
    </cdr:to>
    <cdr:sp macro="" textlink="">
      <cdr:nvSpPr>
        <cdr:cNvPr id="3" name="CuadroTexto 2"/>
        <cdr:cNvSpPr txBox="1"/>
      </cdr:nvSpPr>
      <cdr:spPr>
        <a:xfrm xmlns:a="http://schemas.openxmlformats.org/drawingml/2006/main">
          <a:off x="38130" y="2362197"/>
          <a:ext cx="4533870" cy="3810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A" sz="800" b="0"/>
            <a:t>Fuente:Elaboración propia en base a datos del Instituto de Estadística y Censo de la Contraloría General de la República de Panamá.  (*) Datos estimados</a:t>
          </a:r>
          <a:r>
            <a:rPr lang="es-PA" sz="800" b="1"/>
            <a:t>.</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0.94738</cdr:y>
    </cdr:from>
    <cdr:to>
      <cdr:x>0.98655</cdr:x>
      <cdr:y>1</cdr:y>
    </cdr:to>
    <cdr:sp macro="" textlink="">
      <cdr:nvSpPr>
        <cdr:cNvPr id="2" name="CuadroTexto 1"/>
        <cdr:cNvSpPr txBox="1"/>
      </cdr:nvSpPr>
      <cdr:spPr>
        <a:xfrm xmlns:a="http://schemas.openxmlformats.org/drawingml/2006/main">
          <a:off x="0" y="3148716"/>
          <a:ext cx="4510507" cy="1748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A" sz="900" b="1">
              <a:solidFill>
                <a:sysClr val="windowText" lastClr="000000"/>
              </a:solidFill>
            </a:rPr>
            <a:t>Fuente: INEC, Estadisticas Vitales, Años 2010 y 2018</a:t>
          </a:r>
          <a:r>
            <a:rPr lang="es-PA" sz="900">
              <a:solidFill>
                <a:sysClr val="windowText" lastClr="000000"/>
              </a:solidFill>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0.01</cdr:x>
      <cdr:y>0.91895</cdr:y>
    </cdr:from>
    <cdr:to>
      <cdr:x>0.96351</cdr:x>
      <cdr:y>0.99151</cdr:y>
    </cdr:to>
    <cdr:sp macro="" textlink="">
      <cdr:nvSpPr>
        <cdr:cNvPr id="2" name="CuadroTexto 1"/>
        <cdr:cNvSpPr txBox="1"/>
      </cdr:nvSpPr>
      <cdr:spPr>
        <a:xfrm xmlns:a="http://schemas.openxmlformats.org/drawingml/2006/main">
          <a:off x="47926" y="2520864"/>
          <a:ext cx="4569549" cy="1990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A" sz="800" b="1"/>
            <a:t>Fuente: INEC, Estadísticas Vitales 2018</a:t>
          </a:r>
        </a:p>
      </cdr:txBody>
    </cdr:sp>
  </cdr:relSizeAnchor>
</c:userShapes>
</file>

<file path=word/drawings/drawing12.xml><?xml version="1.0" encoding="utf-8"?>
<c:userShapes xmlns:c="http://schemas.openxmlformats.org/drawingml/2006/chart">
  <cdr:relSizeAnchor xmlns:cdr="http://schemas.openxmlformats.org/drawingml/2006/chartDrawing">
    <cdr:from>
      <cdr:x>0.01562</cdr:x>
      <cdr:y>0.93467</cdr:y>
    </cdr:from>
    <cdr:to>
      <cdr:x>0.83333</cdr:x>
      <cdr:y>1</cdr:y>
    </cdr:to>
    <cdr:sp macro="" textlink="">
      <cdr:nvSpPr>
        <cdr:cNvPr id="2" name="CuadroTexto 1"/>
        <cdr:cNvSpPr txBox="1"/>
      </cdr:nvSpPr>
      <cdr:spPr>
        <a:xfrm xmlns:a="http://schemas.openxmlformats.org/drawingml/2006/main">
          <a:off x="76176" y="2911193"/>
          <a:ext cx="3987808" cy="2034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A" sz="1100">
              <a:solidFill>
                <a:schemeClr val="bg1"/>
              </a:solidFill>
            </a:rPr>
            <a:t>Fuente:  INEC, Estadísticas Vitales 2018. </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0.91305</cdr:y>
    </cdr:from>
    <cdr:to>
      <cdr:x>1</cdr:x>
      <cdr:y>1</cdr:y>
    </cdr:to>
    <cdr:sp macro="" textlink="">
      <cdr:nvSpPr>
        <cdr:cNvPr id="2" name="CuadroTexto 1"/>
        <cdr:cNvSpPr txBox="1"/>
      </cdr:nvSpPr>
      <cdr:spPr>
        <a:xfrm xmlns:a="http://schemas.openxmlformats.org/drawingml/2006/main">
          <a:off x="0" y="2449019"/>
          <a:ext cx="5612130" cy="2332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PA" sz="800" b="1"/>
            <a:t>Fuente:  Departamento de Estadistica del MEDUCA y del Instituto de Estadística y Censo (INEC).</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0.891</cdr:y>
    </cdr:from>
    <cdr:to>
      <cdr:x>0.98957</cdr:x>
      <cdr:y>1</cdr:y>
    </cdr:to>
    <cdr:sp macro="" textlink="">
      <cdr:nvSpPr>
        <cdr:cNvPr id="2" name="CuadroTexto 1"/>
        <cdr:cNvSpPr txBox="1"/>
      </cdr:nvSpPr>
      <cdr:spPr>
        <a:xfrm xmlns:a="http://schemas.openxmlformats.org/drawingml/2006/main">
          <a:off x="0" y="2522283"/>
          <a:ext cx="4500438" cy="3085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PA" sz="700" b="1"/>
            <a:t>Fuente: Elaboración propia en base a datos del Departamento de Estadistica del MEDUCA y del Instituto de Estadística y Censo </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0.9368</cdr:y>
    </cdr:from>
    <cdr:to>
      <cdr:x>0.99664</cdr:x>
      <cdr:y>1</cdr:y>
    </cdr:to>
    <cdr:sp macro="" textlink="">
      <cdr:nvSpPr>
        <cdr:cNvPr id="2" name="Rectángulo 1"/>
        <cdr:cNvSpPr/>
      </cdr:nvSpPr>
      <cdr:spPr>
        <a:xfrm xmlns:a="http://schemas.openxmlformats.org/drawingml/2006/main">
          <a:off x="0" y="3600449"/>
          <a:ext cx="7053263" cy="242888"/>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PA" sz="800">
              <a:solidFill>
                <a:sysClr val="windowText" lastClr="000000"/>
              </a:solidFill>
            </a:rPr>
            <a:t>Fuente:  Instituto de Estadística y Censo de la Contraloría General de la República de Panamá.</a:t>
          </a:r>
        </a:p>
      </cdr:txBody>
    </cdr:sp>
  </cdr:relSizeAnchor>
</c:userShapes>
</file>

<file path=word/drawings/drawing5.xml><?xml version="1.0" encoding="utf-8"?>
<c:userShapes xmlns:c="http://schemas.openxmlformats.org/drawingml/2006/chart">
  <cdr:relSizeAnchor xmlns:cdr="http://schemas.openxmlformats.org/drawingml/2006/chartDrawing">
    <cdr:from>
      <cdr:x>0.00187</cdr:x>
      <cdr:y>0.95048</cdr:y>
    </cdr:from>
    <cdr:to>
      <cdr:x>1</cdr:x>
      <cdr:y>1</cdr:y>
    </cdr:to>
    <cdr:sp macro="" textlink="">
      <cdr:nvSpPr>
        <cdr:cNvPr id="2" name="CuadroTexto 1"/>
        <cdr:cNvSpPr txBox="1"/>
      </cdr:nvSpPr>
      <cdr:spPr>
        <a:xfrm xmlns:a="http://schemas.openxmlformats.org/drawingml/2006/main">
          <a:off x="10583" y="3859743"/>
          <a:ext cx="5650444" cy="2010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A" sz="900" b="1"/>
            <a:t>Fuente: Elaboración propia en base a datos del Depto. de Estadistica del MEDUCA y del</a:t>
          </a:r>
          <a:r>
            <a:rPr lang="es-PA" sz="900" b="1" baseline="0"/>
            <a:t> INEC</a:t>
          </a:r>
          <a:r>
            <a:rPr lang="es-PA" sz="900" b="1"/>
            <a:t>.</a:t>
          </a:r>
        </a:p>
      </cdr:txBody>
    </cdr:sp>
  </cdr:relSizeAnchor>
</c:userShapes>
</file>

<file path=word/drawings/drawing6.xml><?xml version="1.0" encoding="utf-8"?>
<c:userShapes xmlns:c="http://schemas.openxmlformats.org/drawingml/2006/chart">
  <cdr:relSizeAnchor xmlns:cdr="http://schemas.openxmlformats.org/drawingml/2006/chartDrawing">
    <cdr:from>
      <cdr:x>0.11041</cdr:x>
      <cdr:y>0.79592</cdr:y>
    </cdr:from>
    <cdr:to>
      <cdr:x>0.90416</cdr:x>
      <cdr:y>1</cdr:y>
    </cdr:to>
    <cdr:sp macro="" textlink="">
      <cdr:nvSpPr>
        <cdr:cNvPr id="2" name="CuadroTexto 1"/>
        <cdr:cNvSpPr txBox="1"/>
      </cdr:nvSpPr>
      <cdr:spPr>
        <a:xfrm xmlns:a="http://schemas.openxmlformats.org/drawingml/2006/main">
          <a:off x="504810" y="2365315"/>
          <a:ext cx="3629025" cy="6064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PA" sz="1100"/>
        </a:p>
      </cdr:txBody>
    </cdr:sp>
  </cdr:relSizeAnchor>
  <cdr:relSizeAnchor xmlns:cdr="http://schemas.openxmlformats.org/drawingml/2006/chartDrawing">
    <cdr:from>
      <cdr:x>0.01667</cdr:x>
      <cdr:y>0.86928</cdr:y>
    </cdr:from>
    <cdr:to>
      <cdr:x>1</cdr:x>
      <cdr:y>1</cdr:y>
    </cdr:to>
    <cdr:sp macro="" textlink="">
      <cdr:nvSpPr>
        <cdr:cNvPr id="3" name="CuadroTexto 2"/>
        <cdr:cNvSpPr txBox="1"/>
      </cdr:nvSpPr>
      <cdr:spPr>
        <a:xfrm xmlns:a="http://schemas.openxmlformats.org/drawingml/2006/main">
          <a:off x="90738" y="2026920"/>
          <a:ext cx="5352482"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A" sz="900"/>
            <a:t>Fuente: Las autoras en base a Estadísticas Vitales 2018. INEC. (*) Proyecciones INEC y DIPLAN del MINSA.</a:t>
          </a:r>
        </a:p>
      </cdr:txBody>
    </cdr:sp>
  </cdr:relSizeAnchor>
</c:userShapes>
</file>

<file path=word/drawings/drawing7.xml><?xml version="1.0" encoding="utf-8"?>
<c:userShapes xmlns:c="http://schemas.openxmlformats.org/drawingml/2006/chart">
  <cdr:relSizeAnchor xmlns:cdr="http://schemas.openxmlformats.org/drawingml/2006/chartDrawing">
    <cdr:from>
      <cdr:x>0.01128</cdr:x>
      <cdr:y>0.89976</cdr:y>
    </cdr:from>
    <cdr:to>
      <cdr:x>0.99085</cdr:x>
      <cdr:y>0.98597</cdr:y>
    </cdr:to>
    <cdr:sp macro="" textlink="">
      <cdr:nvSpPr>
        <cdr:cNvPr id="2" name="CuadroTexto 1"/>
        <cdr:cNvSpPr txBox="1"/>
      </cdr:nvSpPr>
      <cdr:spPr>
        <a:xfrm xmlns:a="http://schemas.openxmlformats.org/drawingml/2006/main">
          <a:off x="57150" y="3505200"/>
          <a:ext cx="4962525" cy="33584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nchor="ctr"/>
        <a:lstStyle xmlns:a="http://schemas.openxmlformats.org/drawingml/2006/main"/>
        <a:p xmlns:a="http://schemas.openxmlformats.org/drawingml/2006/main">
          <a:pPr algn="l"/>
          <a:r>
            <a:rPr lang="es-PA" sz="700"/>
            <a:t>Fuente: INEC, Tasa de natalidad en la República, según provincia y comarca indígena: años 2014-2018. Panamá, con base en los registros de MINSA y CSS y del Registro Civil.  (*)</a:t>
          </a:r>
          <a:r>
            <a:rPr lang="es-PA" sz="700" baseline="0"/>
            <a:t>Panamá Oeste no presenta datos porque existia como provincia en el año 2010)</a:t>
          </a:r>
          <a:endParaRPr lang="es-PA" sz="700"/>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0.77122</cdr:y>
    </cdr:from>
    <cdr:to>
      <cdr:x>1</cdr:x>
      <cdr:y>1</cdr:y>
    </cdr:to>
    <cdr:sp macro="" textlink="">
      <cdr:nvSpPr>
        <cdr:cNvPr id="2" name="CuadroTexto 1"/>
        <cdr:cNvSpPr txBox="1"/>
      </cdr:nvSpPr>
      <cdr:spPr>
        <a:xfrm xmlns:a="http://schemas.openxmlformats.org/drawingml/2006/main">
          <a:off x="63500" y="2694517"/>
          <a:ext cx="6053667" cy="730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PA" sz="1100"/>
        </a:p>
      </cdr:txBody>
    </cdr:sp>
  </cdr:relSizeAnchor>
  <cdr:relSizeAnchor xmlns:cdr="http://schemas.openxmlformats.org/drawingml/2006/chartDrawing">
    <cdr:from>
      <cdr:x>0</cdr:x>
      <cdr:y>0.92546</cdr:y>
    </cdr:from>
    <cdr:to>
      <cdr:x>1</cdr:x>
      <cdr:y>0.99509</cdr:y>
    </cdr:to>
    <cdr:sp macro="" textlink="">
      <cdr:nvSpPr>
        <cdr:cNvPr id="3" name="CuadroTexto 2"/>
        <cdr:cNvSpPr txBox="1"/>
      </cdr:nvSpPr>
      <cdr:spPr>
        <a:xfrm xmlns:a="http://schemas.openxmlformats.org/drawingml/2006/main">
          <a:off x="0" y="3355591"/>
          <a:ext cx="6667500" cy="2524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A" sz="900"/>
            <a:t>FUENTE: INEC, Tasa de Fecundidad, según provincia y comarca indígena de residencia: años 2010-2018.</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0.91576</cdr:y>
    </cdr:from>
    <cdr:to>
      <cdr:x>0.99422</cdr:x>
      <cdr:y>1</cdr:y>
    </cdr:to>
    <cdr:sp macro="" textlink="">
      <cdr:nvSpPr>
        <cdr:cNvPr id="2" name="CuadroTexto 1"/>
        <cdr:cNvSpPr txBox="1"/>
      </cdr:nvSpPr>
      <cdr:spPr>
        <a:xfrm xmlns:a="http://schemas.openxmlformats.org/drawingml/2006/main">
          <a:off x="0" y="3002755"/>
          <a:ext cx="4914899"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A" sz="800" b="1"/>
            <a:t>Fuente: INEC, Nacimientos Vivos, según provincia y comarca indígena de residencia: año 2010-2018.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ONU18</b:Tag>
    <b:SourceType>Book</b:SourceType>
    <b:Guid>{94536547-99B9-4099-8285-2473AF381A91}</b:Guid>
    <b:Title>Perfiles de Páises según igualdad de género: Nota de Orientación</b:Title>
    <b:Year>2018</b:Year>
    <b:Author>
      <b:Author>
        <b:NameList>
          <b:Person>
            <b:Last>ONU Mujeres</b:Last>
          </b:Person>
        </b:NameList>
      </b:Author>
    </b:Author>
    <b:City>New York</b:City>
    <b:Publisher>Sección de Investigación y Datos de ONU Mujeres</b:Publisher>
    <b:CountryRegion>Estados Unidos</b:CountryRegion>
    <b:RefOrder>1</b:RefOrder>
  </b:Source>
  <b:Source>
    <b:Tag>INE18</b:Tag>
    <b:SourceType>Report</b:SourceType>
    <b:Guid>{CB319A73-7A8A-4C86-8AC2-60E4B3C7378C}</b:Guid>
    <b:Author>
      <b:Author>
        <b:NameList>
          <b:Person>
            <b:Last>INEC</b:Last>
          </b:Person>
        </b:NameList>
      </b:Author>
    </b:Author>
    <b:Title>Estadísticas Vitales 2018 del Instituto Nacional de Estadística</b:Title>
    <b:Year>2018</b:Year>
    <b:Publisher>Contraloría General de la República</b:Publisher>
    <b:City>Panamá.</b:City>
    <b:RefOrder>4</b:RefOrder>
  </b:Source>
  <b:Source>
    <b:Tag>INE181</b:Tag>
    <b:SourceType>Report</b:SourceType>
    <b:Guid>{687BF4E4-CA8A-4E24-8F46-0280AD03E87B}</b:Guid>
    <b:Author>
      <b:Author>
        <b:NameList>
          <b:Person>
            <b:Last>INEC</b:Last>
          </b:Person>
        </b:NameList>
      </b:Author>
    </b:Author>
    <b:Title>Estadísticas Vitales,  Tasa de natalidad en la República</b:Title>
    <b:Year>2010-2018</b:Year>
    <b:Publisher>Contraloría General</b:Publisher>
    <b:City>Panamá</b:City>
    <b:RefOrder>5</b:RefOrder>
  </b:Source>
  <b:Source>
    <b:Tag>INE182</b:Tag>
    <b:SourceType>Report</b:SourceType>
    <b:Guid>{41C6D0BC-4292-425E-87E7-1159E77F0CAC}</b:Guid>
    <b:Author>
      <b:Author>
        <b:NameList>
          <b:Person>
            <b:Last>INEC</b:Last>
            <b:First>Instituto</b:First>
            <b:Middle>de Estadística y Censo</b:Middle>
          </b:Person>
        </b:NameList>
      </b:Author>
    </b:Author>
    <b:Title>Tasa de Fecundidad, según provincia y comarca indígena de residencia</b:Title>
    <b:Year>2010-2018</b:Year>
    <b:Publisher>Contraloría General de la República</b:Publisher>
    <b:City>Panamá</b:City>
    <b:RefOrder>6</b:RefOrder>
  </b:Source>
  <b:Source>
    <b:Tag>MIN13</b:Tag>
    <b:SourceType>Report</b:SourceType>
    <b:Guid>{D10943B9-11C3-49EA-AB7A-742ACF79A4EC}</b:Guid>
    <b:Author>
      <b:Author>
        <b:NameList>
          <b:Person>
            <b:Last>MINSA</b:Last>
            <b:First>Ministerio</b:First>
            <b:Middle>de Salud</b:Middle>
          </b:Person>
        </b:NameList>
      </b:Author>
    </b:Author>
    <b:Title>Situación de Salud de Panamá</b:Title>
    <b:Year>2013</b:Year>
    <b:Publisher>Dirección Nacional de Planificación del MINSA</b:Publisher>
    <b:City>Panamá</b:City>
    <b:RefOrder>7</b:RefOrder>
  </b:Source>
  <b:Source>
    <b:Tag>Ara20</b:Tag>
    <b:SourceType>ArticleInAPeriodical</b:SourceType>
    <b:Guid>{4E45917B-3F2E-49BB-950E-11AE4F3DE5C3}</b:Guid>
    <b:Title>Día Internacional de la Mujer: Mujeres Cambiando el Mundo</b:Title>
    <b:Year>2020</b:Year>
    <b:City>Panamá</b:City>
    <b:Author>
      <b:Author>
        <b:NameList>
          <b:Person>
            <b:Last>De León</b:Last>
            <b:First>Aracelly</b:First>
          </b:Person>
        </b:NameList>
      </b:Author>
    </b:Author>
    <b:PeriodicalTitle>La Prensa</b:PeriodicalTitle>
    <b:Month>Marzo</b:Month>
    <b:Day>7</b:Day>
    <b:Pages>4</b:Pages>
    <b:YearAccessed>2020</b:YearAccessed>
    <b:MonthAccessed>marzo</b:MonthAccessed>
    <b:DayAccessed>8</b:DayAccessed>
    <b:URL>https://www.prensa.com/impresa/opinion/mujeres-cambiando-el-mundo/</b:URL>
    <b:RefOrder>8</b:RefOrder>
  </b:Source>
  <b:Source>
    <b:Tag>INE10</b:Tag>
    <b:SourceType>Book</b:SourceType>
    <b:Guid>{A05D2D0D-E28E-48D7-8329-07A29DD759C1}</b:Guid>
    <b:Title>Censo Nacional de Población y Vivienda </b:Title>
    <b:Year>2010</b:Year>
    <b:Author>
      <b:Author>
        <b:NameList>
          <b:Person>
            <b:Last>INEC</b:Last>
            <b:First>Instituto</b:First>
            <b:Middle>Nacional de Estadística y Censo</b:Middle>
          </b:Person>
        </b:NameList>
      </b:Author>
    </b:Author>
    <b:City>Panamá</b:City>
    <b:Publisher>Contraloría General de la República</b:Publisher>
    <b:RefOrder>2</b:RefOrder>
  </b:Source>
  <b:Source>
    <b:Tag>MarcadorDePosición1</b:Tag>
    <b:SourceType>Report</b:SourceType>
    <b:Guid>{CF1D9511-405A-4385-B2CF-AEB2A9C54702}</b:Guid>
    <b:Author>
      <b:Author>
        <b:Corporate>INEC</b:Corporate>
      </b:Author>
    </b:Author>
    <b:Title>IX Censo Nacional de Población y Vivienda y VII de Vivienda</b:Title>
    <b:Year>2010</b:Year>
    <b:Publisher>Instituto Nacional de Estadística y Censo, Contraloría General de la República de Panamá</b:Publisher>
    <b:City>Panamá</b:City>
    <b:RefOrder>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6F30B5173EA044B88D0D4BEDCFF5468" ma:contentTypeVersion="13" ma:contentTypeDescription="Create a new document." ma:contentTypeScope="" ma:versionID="773592b9b2d13a34b558ea36c655eb91">
  <xsd:schema xmlns:xsd="http://www.w3.org/2001/XMLSchema" xmlns:xs="http://www.w3.org/2001/XMLSchema" xmlns:p="http://schemas.microsoft.com/office/2006/metadata/properties" xmlns:ns3="7c546a9a-3acd-4ac9-b9f5-bc49556ee284" xmlns:ns4="18d280b4-5007-4e69-84af-5712522d6759" targetNamespace="http://schemas.microsoft.com/office/2006/metadata/properties" ma:root="true" ma:fieldsID="8221ec601b69debf83048769a6afc2b4" ns3:_="" ns4:_="">
    <xsd:import namespace="7c546a9a-3acd-4ac9-b9f5-bc49556ee284"/>
    <xsd:import namespace="18d280b4-5007-4e69-84af-5712522d675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46a9a-3acd-4ac9-b9f5-bc49556ee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d280b4-5007-4e69-84af-5712522d67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349EFF-BC4C-4EB0-ACE1-B776EF97AA56}">
  <ds:schemaRefs>
    <ds:schemaRef ds:uri="http://schemas.microsoft.com/sharepoint/v3/contenttype/forms"/>
  </ds:schemaRefs>
</ds:datastoreItem>
</file>

<file path=customXml/itemProps2.xml><?xml version="1.0" encoding="utf-8"?>
<ds:datastoreItem xmlns:ds="http://schemas.openxmlformats.org/officeDocument/2006/customXml" ds:itemID="{EA67B1D6-9FEE-4880-86FD-212B8158F4A8}">
  <ds:schemaRefs>
    <ds:schemaRef ds:uri="http://schemas.openxmlformats.org/officeDocument/2006/bibliography"/>
  </ds:schemaRefs>
</ds:datastoreItem>
</file>

<file path=customXml/itemProps3.xml><?xml version="1.0" encoding="utf-8"?>
<ds:datastoreItem xmlns:ds="http://schemas.openxmlformats.org/officeDocument/2006/customXml" ds:itemID="{A0087C0D-164E-4DDF-A1BD-DA965E2E7758}">
  <ds:schemaRefs>
    <ds:schemaRef ds:uri="http://purl.org/dc/elements/1.1/"/>
    <ds:schemaRef ds:uri="18d280b4-5007-4e69-84af-5712522d6759"/>
    <ds:schemaRef ds:uri="http://schemas.openxmlformats.org/package/2006/metadata/core-properties"/>
    <ds:schemaRef ds:uri="http://purl.org/dc/terms/"/>
    <ds:schemaRef ds:uri="7c546a9a-3acd-4ac9-b9f5-bc49556ee284"/>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6DDD95D-8EDB-4E1D-BCFE-0508AD5A1E9A}">
  <ds:schemaRefs>
    <ds:schemaRef ds:uri="http://schemas.microsoft.com/sharepoint/v3/contenttype/forms"/>
  </ds:schemaRefs>
</ds:datastoreItem>
</file>

<file path=customXml/itemProps5.xml><?xml version="1.0" encoding="utf-8"?>
<ds:datastoreItem xmlns:ds="http://schemas.openxmlformats.org/officeDocument/2006/customXml" ds:itemID="{CAB58B23-A40B-418F-9C2D-1B2C1A470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46a9a-3acd-4ac9-b9f5-bc49556ee284"/>
    <ds:schemaRef ds:uri="18d280b4-5007-4e69-84af-5712522d67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5C5D408-A71A-4D07-B533-4D50F40760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63843</Words>
  <Characters>363910</Characters>
  <Application>Microsoft Office Word</Application>
  <DocSecurity>0</DocSecurity>
  <Lines>3032</Lines>
  <Paragraphs>853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Camargo</dc:creator>
  <cp:keywords/>
  <dc:description/>
  <cp:lastModifiedBy>Dayanara</cp:lastModifiedBy>
  <cp:revision>3</cp:revision>
  <dcterms:created xsi:type="dcterms:W3CDTF">2020-06-24T15:54:00Z</dcterms:created>
  <dcterms:modified xsi:type="dcterms:W3CDTF">2020-06-24T15:54:00Z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0x01010049B55F8228ADF54D8EC8C860D50A41DD</vt:lpwstr>
  </property>
</Properties>
</file>