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both"/>
        <w:rPr>
          <w:color w:val="FF0000"/>
          <w:spacing w:val="-3"/>
        </w:rPr>
      </w:pPr>
      <w:bookmarkStart w:id="0" w:name="_GoBack"/>
      <w:bookmarkEnd w:id="0"/>
    </w:p>
    <w:p>
      <w:pPr>
        <w:rPr>
          <w:b/>
          <w:color w:val="000000"/>
        </w:rPr>
      </w:pPr>
      <w:r>
        <w:rPr>
          <w:b/>
          <w:color w:val="000000"/>
        </w:rPr>
        <w:t xml:space="preserve">   </w:t>
      </w:r>
    </w:p>
    <w:p>
      <w:pPr>
        <w:rPr>
          <w:color w:val="000000"/>
          <w:sz w:val="6"/>
        </w:rPr>
        <w:sectPr>
          <w:headerReference w:type="default" r:id="rId11"/>
          <w:footerReference w:type="even" r:id="rId12"/>
          <w:footerReference w:type="default" r:id="rId13"/>
          <w:headerReference w:type="first" r:id="rId14"/>
          <w:footnotePr>
            <w:numRestart w:val="eachSect"/>
          </w:footnotePr>
          <w:endnotePr>
            <w:numFmt w:val="decimal"/>
            <w:numStart w:val="7"/>
          </w:endnotePr>
          <w:pgSz w:w="12240" w:h="15840" w:code="1"/>
          <w:pgMar w:top="1166" w:right="1195" w:bottom="1440" w:left="1195" w:header="576" w:footer="1030" w:gutter="0"/>
          <w:pgNumType w:start="1"/>
          <w:cols w:space="720"/>
          <w:titlePg/>
        </w:sectPr>
      </w:pPr>
    </w:p>
    <w:p>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color w:val="000000"/>
        </w:rPr>
      </w:pPr>
      <w:r>
        <w:rPr>
          <w:b/>
          <w:color w:val="000000"/>
        </w:rPr>
        <w:t>[Session] of (year)</w:t>
      </w:r>
    </w:p>
    <w:p>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rPr>
      </w:pPr>
      <w:r>
        <w:rPr>
          <w:color w:val="000000"/>
        </w:rPr>
        <w:t>(date), (Location)</w:t>
      </w:r>
    </w:p>
    <w:p>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rPr>
      </w:pPr>
      <w:r>
        <w:rPr>
          <w:color w:val="000000"/>
        </w:rPr>
        <w:t>Item (number) of the provisional agenda</w:t>
      </w:r>
    </w:p>
    <w:p>
      <w:pPr>
        <w:ind w:right="1260"/>
        <w:rPr>
          <w:b/>
          <w:color w:val="000000"/>
        </w:rPr>
      </w:pPr>
      <w:r>
        <w:rPr>
          <w:b/>
          <w:color w:val="000000"/>
        </w:rPr>
        <w:t xml:space="preserve">Country </w:t>
      </w:r>
      <w:proofErr w:type="spellStart"/>
      <w:r>
        <w:rPr>
          <w:b/>
          <w:color w:val="000000"/>
        </w:rPr>
        <w:t>programmes</w:t>
      </w:r>
      <w:proofErr w:type="spellEnd"/>
      <w:r>
        <w:rPr>
          <w:b/>
          <w:color w:val="000000"/>
        </w:rPr>
        <w:t xml:space="preserve"> and related matters</w:t>
      </w:r>
    </w:p>
    <w:p>
      <w:pPr>
        <w:pStyle w:val="SingleTxt"/>
        <w:spacing w:after="0" w:line="120" w:lineRule="exact"/>
        <w:rPr>
          <w:color w:val="000000"/>
          <w:sz w:val="10"/>
        </w:rPr>
      </w:pPr>
    </w:p>
    <w:p>
      <w:pPr>
        <w:pStyle w:val="SingleTxt"/>
        <w:spacing w:after="0" w:line="120" w:lineRule="exact"/>
        <w:rPr>
          <w:color w:val="000000"/>
          <w:sz w:val="10"/>
        </w:rPr>
      </w:pPr>
    </w:p>
    <w:p>
      <w:pPr>
        <w:pStyle w:val="SingleTxt"/>
        <w:spacing w:after="0" w:line="120" w:lineRule="exact"/>
        <w:rPr>
          <w:color w:val="000000"/>
          <w:sz w:val="10"/>
        </w:rPr>
      </w:pPr>
    </w:p>
    <w:p>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color w:val="000000"/>
        </w:rPr>
      </w:pPr>
      <w:r>
        <w:rPr>
          <w:rFonts w:asciiTheme="minorHAnsi" w:hAnsiTheme="minorHAnsi"/>
          <w:color w:val="000000"/>
        </w:rPr>
        <w:tab/>
      </w:r>
      <w:r>
        <w:rPr>
          <w:color w:val="000000"/>
        </w:rPr>
        <w:t>Draft country programme document for Panama 2021-2025</w:t>
      </w:r>
      <w:r>
        <w:rPr>
          <w:color w:val="000000"/>
        </w:rPr>
        <w:br/>
      </w:r>
    </w:p>
    <w:p>
      <w:pPr>
        <w:pStyle w:val="HCh"/>
        <w:spacing w:after="120"/>
        <w:rPr>
          <w:b w:val="0"/>
          <w:color w:val="000000"/>
          <w:sz w:val="20"/>
          <w:lang w:val="fr-FR"/>
        </w:rPr>
      </w:pPr>
      <w:r>
        <w:rPr>
          <w:b w:val="0"/>
          <w:color w:val="000000"/>
          <w:sz w:val="20"/>
          <w:lang w:val="en-US"/>
        </w:rPr>
        <w:t xml:space="preserve"> </w:t>
      </w:r>
      <w:r>
        <w:rPr>
          <w:b w:val="0"/>
          <w:color w:val="000000"/>
          <w:sz w:val="20"/>
          <w:lang w:val="fr-FR"/>
        </w:rPr>
        <w:t>Content</w:t>
      </w:r>
    </w:p>
    <w:tbl>
      <w:tblPr>
        <w:tblW w:w="11694" w:type="dxa"/>
        <w:tblLayout w:type="fixed"/>
        <w:tblLook w:val="01E0" w:firstRow="1" w:lastRow="1" w:firstColumn="1" w:lastColumn="1" w:noHBand="0" w:noVBand="0"/>
      </w:tblPr>
      <w:tblGrid>
        <w:gridCol w:w="1728"/>
        <w:gridCol w:w="7758"/>
        <w:gridCol w:w="1553"/>
        <w:gridCol w:w="655"/>
      </w:tblGrid>
      <w:tr>
        <w:trPr>
          <w:trHeight w:val="382"/>
        </w:trPr>
        <w:tc>
          <w:tcPr>
            <w:tcW w:w="1728" w:type="dxa"/>
            <w:vAlign w:val="center"/>
          </w:tcPr>
          <w:p>
            <w:pPr>
              <w:spacing w:after="60"/>
              <w:rPr>
                <w:color w:val="000000"/>
              </w:rPr>
            </w:pPr>
          </w:p>
        </w:tc>
        <w:tc>
          <w:tcPr>
            <w:tcW w:w="7758" w:type="dxa"/>
            <w:vAlign w:val="center"/>
          </w:tcPr>
          <w:p>
            <w:pPr>
              <w:pStyle w:val="ListParagraph"/>
              <w:numPr>
                <w:ilvl w:val="0"/>
                <w:numId w:val="17"/>
              </w:numPr>
              <w:spacing w:after="120"/>
              <w:rPr>
                <w:color w:val="000000"/>
              </w:rPr>
            </w:pPr>
            <w:r>
              <w:rPr>
                <w:color w:val="000000"/>
              </w:rPr>
              <w:t xml:space="preserve">UNDP’s Contribution to the UN Cooperation Framework </w:t>
            </w:r>
          </w:p>
        </w:tc>
        <w:tc>
          <w:tcPr>
            <w:tcW w:w="1553" w:type="dxa"/>
            <w:vAlign w:val="center"/>
          </w:tcPr>
          <w:p>
            <w:pPr>
              <w:spacing w:after="60"/>
              <w:rPr>
                <w:color w:val="000000"/>
              </w:rPr>
            </w:pPr>
          </w:p>
        </w:tc>
        <w:tc>
          <w:tcPr>
            <w:tcW w:w="655" w:type="dxa"/>
            <w:vAlign w:val="center"/>
          </w:tcPr>
          <w:p>
            <w:pPr>
              <w:spacing w:after="60"/>
              <w:rPr>
                <w:color w:val="000000"/>
              </w:rPr>
            </w:pPr>
          </w:p>
        </w:tc>
      </w:tr>
      <w:tr>
        <w:trPr>
          <w:trHeight w:val="427"/>
        </w:trPr>
        <w:tc>
          <w:tcPr>
            <w:tcW w:w="1728" w:type="dxa"/>
            <w:vAlign w:val="center"/>
          </w:tcPr>
          <w:p>
            <w:pPr>
              <w:spacing w:after="60"/>
              <w:rPr>
                <w:color w:val="000000"/>
              </w:rPr>
            </w:pPr>
          </w:p>
        </w:tc>
        <w:tc>
          <w:tcPr>
            <w:tcW w:w="7758" w:type="dxa"/>
            <w:vAlign w:val="center"/>
          </w:tcPr>
          <w:p>
            <w:pPr>
              <w:pStyle w:val="ListParagraph"/>
              <w:numPr>
                <w:ilvl w:val="0"/>
                <w:numId w:val="17"/>
              </w:numPr>
              <w:spacing w:after="120"/>
              <w:rPr>
                <w:color w:val="000000"/>
              </w:rPr>
            </w:pPr>
            <w:r>
              <w:rPr>
                <w:color w:val="000000"/>
              </w:rPr>
              <w:t>Programme Priorities and Partnerships</w:t>
            </w:r>
          </w:p>
        </w:tc>
        <w:tc>
          <w:tcPr>
            <w:tcW w:w="1553" w:type="dxa"/>
            <w:vAlign w:val="center"/>
          </w:tcPr>
          <w:p>
            <w:pPr>
              <w:spacing w:after="60"/>
              <w:rPr>
                <w:color w:val="000000"/>
              </w:rPr>
            </w:pPr>
          </w:p>
        </w:tc>
        <w:tc>
          <w:tcPr>
            <w:tcW w:w="655" w:type="dxa"/>
            <w:vAlign w:val="center"/>
          </w:tcPr>
          <w:p>
            <w:pPr>
              <w:spacing w:after="60"/>
              <w:rPr>
                <w:color w:val="000000"/>
              </w:rPr>
            </w:pPr>
          </w:p>
        </w:tc>
      </w:tr>
      <w:tr>
        <w:tc>
          <w:tcPr>
            <w:tcW w:w="1728" w:type="dxa"/>
            <w:vAlign w:val="center"/>
          </w:tcPr>
          <w:p>
            <w:pPr>
              <w:spacing w:after="60"/>
              <w:rPr>
                <w:color w:val="000000"/>
              </w:rPr>
            </w:pPr>
          </w:p>
        </w:tc>
        <w:tc>
          <w:tcPr>
            <w:tcW w:w="7758" w:type="dxa"/>
            <w:vAlign w:val="center"/>
          </w:tcPr>
          <w:p>
            <w:pPr>
              <w:pStyle w:val="ListParagraph"/>
              <w:numPr>
                <w:ilvl w:val="0"/>
                <w:numId w:val="17"/>
              </w:numPr>
              <w:spacing w:after="120"/>
              <w:rPr>
                <w:color w:val="000000"/>
              </w:rPr>
            </w:pPr>
            <w:r>
              <w:rPr>
                <w:color w:val="000000"/>
              </w:rPr>
              <w:t>Programme and Risk Management</w:t>
            </w:r>
          </w:p>
          <w:p>
            <w:pPr>
              <w:pStyle w:val="ListParagraph"/>
              <w:numPr>
                <w:ilvl w:val="0"/>
                <w:numId w:val="17"/>
              </w:numPr>
              <w:spacing w:after="120"/>
              <w:rPr>
                <w:color w:val="000000"/>
              </w:rPr>
            </w:pPr>
            <w:r>
              <w:rPr>
                <w:color w:val="000000"/>
              </w:rPr>
              <w:t>Monitoring and Evaluation</w:t>
            </w:r>
          </w:p>
        </w:tc>
        <w:tc>
          <w:tcPr>
            <w:tcW w:w="1553" w:type="dxa"/>
            <w:vAlign w:val="center"/>
          </w:tcPr>
          <w:p>
            <w:pPr>
              <w:spacing w:after="60"/>
              <w:rPr>
                <w:color w:val="000000"/>
              </w:rPr>
            </w:pPr>
          </w:p>
        </w:tc>
        <w:tc>
          <w:tcPr>
            <w:tcW w:w="655" w:type="dxa"/>
            <w:vAlign w:val="center"/>
          </w:tcPr>
          <w:p>
            <w:pPr>
              <w:spacing w:after="60"/>
              <w:rPr>
                <w:color w:val="000000"/>
              </w:rPr>
            </w:pPr>
          </w:p>
        </w:tc>
      </w:tr>
      <w:tr>
        <w:tc>
          <w:tcPr>
            <w:tcW w:w="1728" w:type="dxa"/>
            <w:vAlign w:val="center"/>
          </w:tcPr>
          <w:p>
            <w:pPr>
              <w:spacing w:after="60"/>
              <w:rPr>
                <w:color w:val="000000"/>
              </w:rPr>
            </w:pPr>
          </w:p>
        </w:tc>
        <w:tc>
          <w:tcPr>
            <w:tcW w:w="7758" w:type="dxa"/>
            <w:vAlign w:val="center"/>
          </w:tcPr>
          <w:p>
            <w:pPr>
              <w:spacing w:after="120"/>
              <w:rPr>
                <w:color w:val="000000"/>
              </w:rPr>
            </w:pPr>
          </w:p>
        </w:tc>
        <w:tc>
          <w:tcPr>
            <w:tcW w:w="1553" w:type="dxa"/>
            <w:vAlign w:val="center"/>
          </w:tcPr>
          <w:p>
            <w:pPr>
              <w:spacing w:after="60"/>
              <w:rPr>
                <w:color w:val="000000"/>
              </w:rPr>
            </w:pPr>
          </w:p>
        </w:tc>
        <w:tc>
          <w:tcPr>
            <w:tcW w:w="655" w:type="dxa"/>
            <w:vAlign w:val="center"/>
          </w:tcPr>
          <w:p>
            <w:pPr>
              <w:spacing w:after="60"/>
              <w:rPr>
                <w:color w:val="000000"/>
              </w:rPr>
            </w:pPr>
          </w:p>
        </w:tc>
      </w:tr>
      <w:tr>
        <w:trPr>
          <w:trHeight w:val="247"/>
        </w:trPr>
        <w:tc>
          <w:tcPr>
            <w:tcW w:w="1728" w:type="dxa"/>
            <w:vAlign w:val="center"/>
          </w:tcPr>
          <w:p>
            <w:pPr>
              <w:spacing w:after="120"/>
              <w:rPr>
                <w:color w:val="000000"/>
              </w:rPr>
            </w:pPr>
            <w:r>
              <w:rPr>
                <w:color w:val="000000"/>
              </w:rPr>
              <w:t xml:space="preserve"> Annexes</w:t>
            </w:r>
          </w:p>
        </w:tc>
        <w:tc>
          <w:tcPr>
            <w:tcW w:w="7758" w:type="dxa"/>
            <w:vAlign w:val="center"/>
          </w:tcPr>
          <w:p>
            <w:pPr>
              <w:spacing w:after="120"/>
              <w:rPr>
                <w:color w:val="000000"/>
              </w:rPr>
            </w:pPr>
          </w:p>
        </w:tc>
        <w:tc>
          <w:tcPr>
            <w:tcW w:w="1553" w:type="dxa"/>
            <w:vAlign w:val="center"/>
          </w:tcPr>
          <w:p>
            <w:pPr>
              <w:spacing w:after="120"/>
              <w:rPr>
                <w:color w:val="000000"/>
              </w:rPr>
            </w:pPr>
          </w:p>
        </w:tc>
        <w:tc>
          <w:tcPr>
            <w:tcW w:w="655" w:type="dxa"/>
            <w:vAlign w:val="center"/>
          </w:tcPr>
          <w:p>
            <w:pPr>
              <w:spacing w:after="120"/>
              <w:rPr>
                <w:color w:val="000000"/>
              </w:rPr>
            </w:pPr>
          </w:p>
        </w:tc>
      </w:tr>
      <w:tr>
        <w:tc>
          <w:tcPr>
            <w:tcW w:w="1728" w:type="dxa"/>
            <w:vAlign w:val="center"/>
          </w:tcPr>
          <w:p>
            <w:pPr>
              <w:rPr>
                <w:color w:val="000000"/>
              </w:rPr>
            </w:pPr>
          </w:p>
        </w:tc>
        <w:tc>
          <w:tcPr>
            <w:tcW w:w="7758" w:type="dxa"/>
            <w:vAlign w:val="center"/>
          </w:tcPr>
          <w:p>
            <w:pPr>
              <w:rPr>
                <w:color w:val="000000"/>
              </w:rPr>
            </w:pPr>
            <w:r>
              <w:rPr>
                <w:color w:val="000000"/>
              </w:rPr>
              <w:t xml:space="preserve">A. Results and Resources Framework </w:t>
            </w:r>
          </w:p>
          <w:p>
            <w:pPr>
              <w:rPr>
                <w:color w:val="000000"/>
              </w:rPr>
            </w:pPr>
            <w:r>
              <w:rPr>
                <w:color w:val="000000"/>
              </w:rPr>
              <w:t>B. Fully costed Evaluation Plan</w:t>
            </w:r>
          </w:p>
          <w:p>
            <w:pPr>
              <w:rPr>
                <w:i/>
                <w:color w:val="000000"/>
              </w:rPr>
            </w:pPr>
          </w:p>
        </w:tc>
        <w:tc>
          <w:tcPr>
            <w:tcW w:w="1553" w:type="dxa"/>
            <w:vAlign w:val="center"/>
          </w:tcPr>
          <w:p>
            <w:pPr>
              <w:rPr>
                <w:color w:val="000000"/>
              </w:rPr>
            </w:pPr>
          </w:p>
        </w:tc>
        <w:tc>
          <w:tcPr>
            <w:tcW w:w="655" w:type="dxa"/>
            <w:vAlign w:val="center"/>
          </w:tcPr>
          <w:p>
            <w:pPr>
              <w:rPr>
                <w:color w:val="000000"/>
              </w:rPr>
            </w:pPr>
          </w:p>
        </w:tc>
      </w:tr>
      <w:tr>
        <w:trPr>
          <w:trHeight w:val="418"/>
        </w:trPr>
        <w:tc>
          <w:tcPr>
            <w:tcW w:w="1728" w:type="dxa"/>
            <w:vAlign w:val="center"/>
          </w:tcPr>
          <w:p>
            <w:pPr>
              <w:rPr>
                <w:color w:val="000000"/>
              </w:rPr>
            </w:pPr>
            <w:r>
              <w:rPr>
                <w:color w:val="000000"/>
              </w:rPr>
              <w:t>Attachments</w:t>
            </w:r>
          </w:p>
        </w:tc>
        <w:tc>
          <w:tcPr>
            <w:tcW w:w="7758" w:type="dxa"/>
            <w:vAlign w:val="center"/>
          </w:tcPr>
          <w:p>
            <w:pPr>
              <w:rPr>
                <w:color w:val="000000"/>
              </w:rPr>
            </w:pPr>
            <w:r>
              <w:rPr>
                <w:color w:val="000000"/>
              </w:rPr>
              <w:t xml:space="preserve"> </w:t>
            </w:r>
          </w:p>
          <w:p>
            <w:pPr>
              <w:rPr>
                <w:color w:val="0000FF"/>
              </w:rPr>
            </w:pPr>
            <w:r>
              <w:rPr>
                <w:color w:val="000000"/>
              </w:rPr>
              <w:t xml:space="preserve"> I. Resource Mobilization Target (RMT) Table </w:t>
            </w:r>
            <w:r>
              <w:rPr>
                <w:color w:val="0000FF"/>
              </w:rPr>
              <w:t>(FOR INTERNAL USE ONLY)</w:t>
            </w:r>
          </w:p>
          <w:p>
            <w:pPr>
              <w:rPr>
                <w:color w:val="0000FF"/>
              </w:rPr>
            </w:pPr>
            <w:r>
              <w:rPr>
                <w:color w:val="000000"/>
              </w:rPr>
              <w:t xml:space="preserve">II. CO Profile &amp; PCAT </w:t>
            </w:r>
            <w:r>
              <w:rPr>
                <w:color w:val="0000FF"/>
              </w:rPr>
              <w:t>(FOR INTERNAL USE ONLY)</w:t>
            </w:r>
          </w:p>
          <w:p>
            <w:pPr>
              <w:rPr>
                <w:color w:val="000000"/>
              </w:rPr>
            </w:pPr>
            <w:r>
              <w:t xml:space="preserve">III. One-page diagram of the </w:t>
            </w:r>
            <w:proofErr w:type="spellStart"/>
            <w:r>
              <w:t>programme’s</w:t>
            </w:r>
            <w:proofErr w:type="spellEnd"/>
            <w:r>
              <w:t xml:space="preserve"> theory of change </w:t>
            </w:r>
            <w:r>
              <w:rPr>
                <w:color w:val="0000FF"/>
              </w:rPr>
              <w:t>(FOR INTERNAL USE ONLY)</w:t>
            </w:r>
          </w:p>
        </w:tc>
        <w:tc>
          <w:tcPr>
            <w:tcW w:w="1553" w:type="dxa"/>
            <w:vAlign w:val="center"/>
          </w:tcPr>
          <w:p>
            <w:pPr>
              <w:rPr>
                <w:color w:val="000000"/>
              </w:rPr>
            </w:pPr>
          </w:p>
        </w:tc>
        <w:tc>
          <w:tcPr>
            <w:tcW w:w="655" w:type="dxa"/>
            <w:vAlign w:val="center"/>
          </w:tcPr>
          <w:p>
            <w:pPr>
              <w:rPr>
                <w:color w:val="000000"/>
              </w:rPr>
            </w:pPr>
          </w:p>
        </w:tc>
      </w:tr>
    </w:tbl>
    <w:p/>
    <w:p>
      <w:pPr>
        <w:pStyle w:val="Heading2"/>
        <w:ind w:left="1530" w:right="1267" w:hanging="263"/>
        <w:jc w:val="both"/>
        <w:rPr>
          <w:rFonts w:ascii="Times New Roman" w:hAnsi="Times New Roman"/>
          <w:bCs/>
          <w:color w:val="000000"/>
          <w:sz w:val="24"/>
          <w:szCs w:val="24"/>
        </w:rPr>
      </w:pPr>
      <w:r>
        <w:br w:type="page"/>
      </w:r>
      <w:r>
        <w:rPr>
          <w:rFonts w:ascii="Times New Roman" w:hAnsi="Times New Roman"/>
          <w:bCs/>
          <w:color w:val="000000"/>
          <w:sz w:val="24"/>
          <w:szCs w:val="24"/>
        </w:rPr>
        <w:lastRenderedPageBreak/>
        <w:t>I. UNDP’s Contribution to the Cooperation Framework</w:t>
      </w:r>
    </w:p>
    <w:p>
      <w:pPr>
        <w:ind w:left="1260" w:right="1210"/>
        <w:jc w:val="both"/>
      </w:pPr>
    </w:p>
    <w:p>
      <w:pPr>
        <w:pStyle w:val="ListParagraph"/>
        <w:numPr>
          <w:ilvl w:val="0"/>
          <w:numId w:val="25"/>
        </w:numPr>
        <w:ind w:right="1210"/>
        <w:jc w:val="both"/>
      </w:pPr>
      <w:r>
        <w:t xml:space="preserve">Over the past decade, Panama has experienced high growth and sustained poverty reduction, doubling the GDP per capita, and reducing poverty from 23.1 percent to 14.5 percent between 2011 and 2018 (Economic Commission for Latin America and the Caribbean - ECLAC 2019). The expansion of the Canal, the construction boom, and the large copper mining operations have been the main engines of economic growth. This growth has averaged 4.6 percent over the last five years, making Panama one of the fastest-growing economies in the world. Since 2018, however, the fiscal deficit has grown, and the public debt increased, now estimated to reach 41.5 percent in 2020 (IMF 2020).  </w:t>
      </w:r>
    </w:p>
    <w:p>
      <w:pPr>
        <w:pStyle w:val="ListParagraph"/>
      </w:pPr>
    </w:p>
    <w:p>
      <w:pPr>
        <w:pStyle w:val="ListParagraph"/>
        <w:numPr>
          <w:ilvl w:val="0"/>
          <w:numId w:val="25"/>
        </w:numPr>
        <w:ind w:right="1210"/>
        <w:jc w:val="both"/>
      </w:pPr>
      <w:r>
        <w:t>Furthermore, Panama’s economic prosperity has not been evenly shared among the population. Despite some improvements in income inequality, Panama remains one of the most unequal countries in the world, both in terms of regional disparities and population groups. Vulnerable groups such as women, indigenous and afro descendants are disproportionately affected by income poverty and multiple deprivations, often lacking access to services and social protection. The femininity index of poor households has increased significantly from 2008 to 2018 moving from 112.5 to 123.2 at the national level. Multidimensional poverty is 4.5 times higher in indigenous regions than the rest of the country. Additionally, women and minorities are overrepresented in the informal sector and self-employment, placing them in a situation of social vulnerability.</w:t>
      </w:r>
    </w:p>
    <w:p>
      <w:pPr>
        <w:pStyle w:val="ListParagraph"/>
        <w:ind w:right="1210"/>
        <w:jc w:val="both"/>
      </w:pPr>
    </w:p>
    <w:p>
      <w:pPr>
        <w:pStyle w:val="ListParagraph"/>
        <w:numPr>
          <w:ilvl w:val="0"/>
          <w:numId w:val="25"/>
        </w:numPr>
        <w:ind w:right="1210"/>
        <w:jc w:val="both"/>
      </w:pPr>
      <w:r>
        <w:t xml:space="preserve">In terms of social protection, only 65 per cent of the population is covered by the social security system, and 45 per cent of women do not have any coverage. Furthermore, only 18.5 per cent of working women are insured, compared to 25 per cent of men, resulting in less protection and greater vulnerability. Social </w:t>
      </w:r>
      <w:proofErr w:type="spellStart"/>
      <w:r>
        <w:t>programmes</w:t>
      </w:r>
      <w:proofErr w:type="spellEnd"/>
      <w:r>
        <w:t xml:space="preserve"> have benefited many households with monetary transfers (both conditional and unconditional) and direct social services; nonetheless, the lack of a beneficiary registry makes targeting difficult.</w:t>
      </w:r>
    </w:p>
    <w:p>
      <w:pPr>
        <w:pStyle w:val="ListParagraph"/>
        <w:spacing w:line="259" w:lineRule="auto"/>
        <w:ind w:right="1210"/>
        <w:jc w:val="both"/>
      </w:pPr>
    </w:p>
    <w:p>
      <w:pPr>
        <w:pStyle w:val="ListParagraph"/>
        <w:numPr>
          <w:ilvl w:val="0"/>
          <w:numId w:val="25"/>
        </w:numPr>
        <w:ind w:right="1210"/>
        <w:jc w:val="both"/>
      </w:pPr>
      <w:r>
        <w:t xml:space="preserve">With more than 30 percent of the territory as natural protected areas and some of the largest ocean coasts in Central America, Panama has great natural wealth. Yet, despite efforts made to date, the implementation of policies for climate change adaptation and mitigation, biodiversity protection, integrated environmental management, and disaster risk reduction is uneven. The environment and nature-based solutions have not been integrated in a consistent manner in development policy and planning in both public and private sectors, and there are few incentives for applying environmental sustainability and resilience standards. In turn, this reduces the resilience of actors and value and production chains to climate events and disasters.  The rapid loss of biodiversity and forests puts at risk the provision of fundamental ecosystem services for people and the economy. The use and management of natural resources such as water, the management of solid waste and biohazards, and the adaptation and mitigation of climate change are important challenges for the country. There are limited incentives for clean energy production and use. There are no fiscal and budgetary incentives from the central government to "green" municipalities or provinces. Insurance companies do not favor the conservation of biodiversity. An agreement is needed between the public and private sectors on a common approach, which recognizes the role of ecosystems and their services in achieving clean and resilient development, which in turn has the potential to boost local economies sustainably.  </w:t>
      </w:r>
    </w:p>
    <w:p>
      <w:pPr>
        <w:pStyle w:val="ListParagraph"/>
        <w:spacing w:line="259" w:lineRule="auto"/>
        <w:ind w:right="1210"/>
        <w:jc w:val="both"/>
      </w:pPr>
    </w:p>
    <w:p>
      <w:pPr>
        <w:pStyle w:val="ListParagraph"/>
        <w:numPr>
          <w:ilvl w:val="0"/>
          <w:numId w:val="25"/>
        </w:numPr>
        <w:ind w:right="1210"/>
        <w:jc w:val="both"/>
      </w:pPr>
      <w:r>
        <w:t>The institutional weakness affects the capacity of the state both to implement efficiently public policies and to achieve a sustainable and inclusive development model throughout the territory. Although there is a rule of law, low levels of citizen trust</w:t>
      </w:r>
      <w:r>
        <w:rPr>
          <w:rStyle w:val="FootnoteReference"/>
        </w:rPr>
        <w:footnoteReference w:id="1"/>
      </w:r>
      <w:r>
        <w:t xml:space="preserve">, high turnover of the civil service, and charges of corruption in the public and private spheres, all limit the state’s substantive legitimacy. This in turn limits the capacity to drive reforms and the country's progress towards new levels of development. There are also implications for public management since there are no clear criteria for resource allocation; systems for monitoring social </w:t>
      </w:r>
      <w:proofErr w:type="spellStart"/>
      <w:r>
        <w:t>programmes</w:t>
      </w:r>
      <w:proofErr w:type="spellEnd"/>
      <w:r>
        <w:t xml:space="preserve"> are not operational, and therefore public policies have limited impact in reducing inequalities. </w:t>
      </w:r>
    </w:p>
    <w:p>
      <w:pPr>
        <w:ind w:left="1260" w:right="1210"/>
        <w:jc w:val="both"/>
      </w:pPr>
    </w:p>
    <w:p>
      <w:pPr>
        <w:pStyle w:val="ListParagraph"/>
        <w:numPr>
          <w:ilvl w:val="0"/>
          <w:numId w:val="25"/>
        </w:numPr>
        <w:ind w:right="1210"/>
        <w:jc w:val="both"/>
      </w:pPr>
      <w:r>
        <w:lastRenderedPageBreak/>
        <w:t xml:space="preserve">Panama committed to the 2030 Agenda for Sustainable Development and the Sustainable Development Goals (SDGs) in 2015. The country has since developed a National Strategic Plan with State Vision, Panama 2030, and presented its Second National Voluntary Review (VNR) in July 2020.  The Government of Panama pledged to continue the country´s efforts towards addressing the deep inequalities affecting the population, especially the most vulnerable, which have been heightened by the COVID 19 pandemic. The Government Strategic Plan 2019-24 identified five priority areas of intervention: good governance; rule of law; competitive and job-generating economy; reduction of poverty and inequality; and education, science, technology, and culture. </w:t>
      </w:r>
    </w:p>
    <w:p>
      <w:r>
        <w:t xml:space="preserve">  </w:t>
      </w:r>
    </w:p>
    <w:p>
      <w:pPr>
        <w:pStyle w:val="ListParagraph"/>
        <w:numPr>
          <w:ilvl w:val="0"/>
          <w:numId w:val="25"/>
        </w:numPr>
        <w:ind w:right="1210"/>
        <w:jc w:val="both"/>
      </w:pPr>
      <w:r>
        <w:t xml:space="preserve">This </w:t>
      </w:r>
      <w:proofErr w:type="spellStart"/>
      <w:r>
        <w:t>programme</w:t>
      </w:r>
      <w:proofErr w:type="spellEnd"/>
      <w:r>
        <w:t xml:space="preserve"> document is aligned to the vision expressed in these national strategic documents and is informed by the consultation processes with civil society and government stakeholders, the analysis was jointly done with the United Nations Country Team (UNCT) for the development of the Common Country Analysis (CCA) and the United Nations Sustainable Development Cooperation Framework (UNSDCF) 2021-2025. </w:t>
      </w:r>
    </w:p>
    <w:p>
      <w:pPr>
        <w:pStyle w:val="ListParagraph"/>
      </w:pPr>
    </w:p>
    <w:p>
      <w:pPr>
        <w:pStyle w:val="ListParagraph"/>
        <w:numPr>
          <w:ilvl w:val="0"/>
          <w:numId w:val="25"/>
        </w:numPr>
        <w:ind w:right="1210"/>
        <w:jc w:val="both"/>
      </w:pPr>
      <w:r>
        <w:t xml:space="preserve">The Independent Country Programme Evaluation (ICPE 2019) shows that through its previous </w:t>
      </w:r>
      <w:proofErr w:type="spellStart"/>
      <w:r>
        <w:t>programme</w:t>
      </w:r>
      <w:proofErr w:type="spellEnd"/>
      <w:r>
        <w:t xml:space="preserve">, UNDP contributed significantly to Panama’s development, focusing on four thematic areas: public policies for social and economic inclusion; inclusive, participatory and efficient governance systems; violence prevention, access to justice, and citizen security; and policies and </w:t>
      </w:r>
      <w:proofErr w:type="spellStart"/>
      <w:r>
        <w:t>programmes</w:t>
      </w:r>
      <w:proofErr w:type="spellEnd"/>
      <w:r>
        <w:t xml:space="preserve"> for sustainable development and climate Change. UNDP has shown significant value-added and unique comparative advantage to address specific key challenges identified above.</w:t>
      </w:r>
      <w:r>
        <w:rPr>
          <w:rStyle w:val="FootnoteReference"/>
        </w:rPr>
        <w:footnoteReference w:id="2"/>
      </w:r>
      <w:r>
        <w:t xml:space="preserve"> </w:t>
      </w:r>
    </w:p>
    <w:p>
      <w:pPr>
        <w:pStyle w:val="ListParagraph"/>
      </w:pPr>
    </w:p>
    <w:p>
      <w:pPr>
        <w:pStyle w:val="ListParagraph"/>
        <w:numPr>
          <w:ilvl w:val="0"/>
          <w:numId w:val="25"/>
        </w:numPr>
        <w:ind w:right="1210"/>
        <w:jc w:val="both"/>
      </w:pPr>
      <w:r>
        <w:t xml:space="preserve">Working with several ministries (including the Ministry of Social Development [MIDES], which coordinates the Government's Social Cabinet, UNDP has provided technical support for the adoption of methodologies and tools that strengthen planning, monitoring and evaluation systems for government management, including the local level, key tools for the integration and localization of the Goals in public policies. UNDP has also strengthened institutional capacities for the National Information System; supported development initiatives aimed at vulnerable groups (indigenous, afro descendants, women, and youth); and advocated and provided technical assistance on climate change mitigation and adaptation measures in the country. In the coming years, UNDP will continue and expand this work through the new UNSDCF and the new UNDP country </w:t>
      </w:r>
      <w:proofErr w:type="spellStart"/>
      <w:r>
        <w:t>programme</w:t>
      </w:r>
      <w:proofErr w:type="spellEnd"/>
      <w:r>
        <w:t>, among others.</w:t>
      </w:r>
    </w:p>
    <w:p>
      <w:pPr>
        <w:pStyle w:val="ListParagraph"/>
        <w:ind w:right="1210"/>
        <w:jc w:val="both"/>
      </w:pPr>
    </w:p>
    <w:p>
      <w:pPr>
        <w:pStyle w:val="ListParagraph"/>
        <w:numPr>
          <w:ilvl w:val="0"/>
          <w:numId w:val="25"/>
        </w:numPr>
        <w:ind w:right="1210"/>
        <w:jc w:val="both"/>
      </w:pPr>
      <w:r>
        <w:t>The ICPE 2019 found that UNDP has been effective in achieving most output targets and produced positive results of varied scope, scale, and strategic importance. It also found that the organization was well-positioned and valued in Panama as a strategic, reliable, and inclusive partner. The evaluation noted that the organization has not only complemented and made significant contributions to the national priorities but also succeeded in pushing for multidimensional approaches and behavioral change.</w:t>
      </w:r>
      <w:r>
        <w:rPr>
          <w:rStyle w:val="FootnoteReference"/>
        </w:rPr>
        <w:footnoteReference w:id="3"/>
      </w:r>
      <w:r>
        <w:t xml:space="preserve"> Support was provided for the creation of the National Council for the Integral Development of Indigenous Peoples, as a space for effective participation, exchange and decision-making on the development issues affecting indigenous peoples in the country. </w:t>
      </w:r>
    </w:p>
    <w:p>
      <w:pPr>
        <w:ind w:right="1210"/>
        <w:jc w:val="both"/>
      </w:pPr>
    </w:p>
    <w:p>
      <w:pPr>
        <w:pStyle w:val="ListParagraph"/>
        <w:numPr>
          <w:ilvl w:val="0"/>
          <w:numId w:val="25"/>
        </w:numPr>
        <w:ind w:right="1210"/>
        <w:jc w:val="both"/>
      </w:pPr>
      <w:r>
        <w:t xml:space="preserve">UNDP generated important results and highlighted the value-added in several areas.  It has shown a significant capacity for knowledge production, technical capacity building, and supporting institutional change (for example, the National Human Development Report on Institutions, the Multidimensional Poverty Index [MPI], and the diagnostics on national care systems). Furthermore, UNDP supported public policy proposals through multi-stakeholder participatory processes, accompanying their implementation (i.e. the national dialogues for education and health) which evaluators identified as a key value-added and area of expertise and strength. These experiences led the Ministry of the Presidency to invite UNDP to facilitate an inclusive and participatory dialogue for the national constitutional reform. UNDP supported actions for building citizenship (i.e. such as facilitating co-creation spaces for developing Panama´s Open Government Action Plans 2017 and 2019). </w:t>
      </w:r>
    </w:p>
    <w:p>
      <w:pPr>
        <w:pStyle w:val="ListParagraph"/>
      </w:pPr>
    </w:p>
    <w:p>
      <w:pPr>
        <w:pStyle w:val="ListParagraph"/>
        <w:numPr>
          <w:ilvl w:val="0"/>
          <w:numId w:val="25"/>
        </w:numPr>
        <w:ind w:right="1210"/>
        <w:jc w:val="both"/>
      </w:pPr>
      <w:r>
        <w:lastRenderedPageBreak/>
        <w:t xml:space="preserve">UNDP has worked continuously on mainstreaming gender equality and women's empowerment in its </w:t>
      </w:r>
      <w:proofErr w:type="spellStart"/>
      <w:r>
        <w:t>programme</w:t>
      </w:r>
      <w:proofErr w:type="spellEnd"/>
      <w:r>
        <w:t xml:space="preserve"> and projects, </w:t>
      </w:r>
      <w:proofErr w:type="gramStart"/>
      <w:r>
        <w:t>opening up</w:t>
      </w:r>
      <w:proofErr w:type="gramEnd"/>
      <w:r>
        <w:t xml:space="preserve"> new niches for addressing gender inequalities, such as women's economic empowerment and women's participation in decision-making at different levels. Efforts to mainstream gender in programming have resulted in improved gender markers in the portfolio.  UNDP has also used corporate tools, such as the Gender Seal for the public and private sectors, as an important strategy to address barriers to gender equality and women's empowerment in Panama. For the next </w:t>
      </w:r>
      <w:proofErr w:type="spellStart"/>
      <w:r>
        <w:t>programme</w:t>
      </w:r>
      <w:proofErr w:type="spellEnd"/>
      <w:r>
        <w:t xml:space="preserve"> cycle, progress will be built on and efforts to overcome structural barriers and root causes will be expanded through strategic planning, capacity development, and the creation of a more comprehensive gender mainstreaming system to monitor transformational results.</w:t>
      </w:r>
    </w:p>
    <w:p>
      <w:pPr>
        <w:pStyle w:val="ListParagraph"/>
      </w:pPr>
    </w:p>
    <w:p>
      <w:pPr>
        <w:pStyle w:val="ListParagraph"/>
        <w:numPr>
          <w:ilvl w:val="0"/>
          <w:numId w:val="25"/>
        </w:numPr>
        <w:ind w:right="1210"/>
        <w:jc w:val="both"/>
      </w:pPr>
      <w:r>
        <w:t xml:space="preserve">UNDP will continue to play its integrator role to ensure a more coherent UN development response.  This role has been demonstrated through the co-chairing of the SDG Task Force, which has helped coordinate and integrate support of agencies to national efforts related to the Goals.  UNDP has also provided technical assistance to the technical secretary of the Social Cabinet with the development of the MPI, goals, and the preparation and consultation process of the VNR. This integrator and technical lead for the socio-economic response to COVID-19, where UNDP led the UN efforts to analyze the socio-economic impact of the pandemic and its effects on women and vulnerable groups. Moreover, a key recommendation of the ICPE was to use innovation to help Panama close the inequality gap by better directing the attention of projects, initiatives, and investments to innovative solutions that accelerate the achievement of the Goals with a renewed focus on leaving no one behind. An Accelerator Lab is being established in Panama in 2020, which will contribute to existing efforts by the organization to address complex development challenges through innovative problem-solving. The Accelerator Lab will complement the offer by UNDP and continue to strengthen its integrator role.  </w:t>
      </w:r>
    </w:p>
    <w:p>
      <w:pPr>
        <w:pStyle w:val="ListParagraph"/>
        <w:ind w:right="1210"/>
        <w:jc w:val="both"/>
      </w:pPr>
    </w:p>
    <w:p>
      <w:pPr>
        <w:pStyle w:val="ListParagraph"/>
        <w:numPr>
          <w:ilvl w:val="0"/>
          <w:numId w:val="25"/>
        </w:numPr>
        <w:ind w:right="1210"/>
        <w:jc w:val="both"/>
      </w:pPr>
      <w:r>
        <w:t xml:space="preserve">UNDP has used south-south cooperation and knowledge management for the implementation of the </w:t>
      </w:r>
      <w:proofErr w:type="spellStart"/>
      <w:r>
        <w:t>programme</w:t>
      </w:r>
      <w:proofErr w:type="spellEnd"/>
      <w:r>
        <w:t xml:space="preserve"> and will continue and deepen this work in the next </w:t>
      </w:r>
      <w:proofErr w:type="spellStart"/>
      <w:r>
        <w:t>programme</w:t>
      </w:r>
      <w:proofErr w:type="spellEnd"/>
      <w:r>
        <w:t>. One of the most important contributions in this regard includes the creation of a platform to promote South-South and triangular cooperation initiatives within the framework of the National Cooperation Plan “</w:t>
      </w:r>
      <w:r>
        <w:rPr>
          <w:i/>
          <w:iCs/>
        </w:rPr>
        <w:t xml:space="preserve">Panama </w:t>
      </w:r>
      <w:proofErr w:type="spellStart"/>
      <w:r>
        <w:rPr>
          <w:i/>
          <w:iCs/>
        </w:rPr>
        <w:t>Coopera</w:t>
      </w:r>
      <w:proofErr w:type="spellEnd"/>
      <w:r>
        <w:t xml:space="preserve"> 2030”.  UNDP has also fostered knowledge mechanisms and South-South Cooperation, sharing experiences with several countries in the region on municipal local citizen security plans, youth networks, and policies on care systems. </w:t>
      </w:r>
    </w:p>
    <w:p>
      <w:pPr>
        <w:pStyle w:val="ListParagraph"/>
      </w:pPr>
    </w:p>
    <w:p>
      <w:pPr>
        <w:pStyle w:val="ListParagraph"/>
        <w:numPr>
          <w:ilvl w:val="0"/>
          <w:numId w:val="25"/>
        </w:numPr>
        <w:ind w:right="1210"/>
        <w:jc w:val="both"/>
      </w:pPr>
      <w:r>
        <w:t>UNDP has been a key partner for Panama, providing expertise in the implementation of projects on governance, environment, and sustainable development and inclusion, which have had a positive impact on human rights, capacity development, knowledge sharing, and the promotion of gender equality. In the new programming cycle, UNDP will continue to work closely with counterparts to address the country's key development challenges to reduce inequalities, promote inclusion, strengthen institutions, and promote resilience and sustainability.</w:t>
      </w:r>
      <w:r>
        <w:rPr>
          <w:color w:val="943634" w:themeColor="accent2" w:themeShade="BF"/>
        </w:rPr>
        <w:t xml:space="preserve"> </w:t>
      </w:r>
    </w:p>
    <w:p/>
    <w:p>
      <w:pPr>
        <w:pStyle w:val="Heading2"/>
        <w:ind w:left="1267" w:right="1267"/>
        <w:jc w:val="both"/>
        <w:rPr>
          <w:rFonts w:ascii="Times New Roman" w:hAnsi="Times New Roman"/>
          <w:bCs/>
          <w:color w:val="000000"/>
          <w:sz w:val="24"/>
          <w:szCs w:val="24"/>
        </w:rPr>
      </w:pPr>
      <w:r>
        <w:rPr>
          <w:rFonts w:ascii="Times New Roman" w:hAnsi="Times New Roman"/>
          <w:bCs/>
          <w:color w:val="000000"/>
          <w:sz w:val="24"/>
          <w:szCs w:val="24"/>
        </w:rPr>
        <w:t xml:space="preserve">II. Programme Priorities and Partnerships </w:t>
      </w:r>
    </w:p>
    <w:p/>
    <w:p/>
    <w:p>
      <w:pPr>
        <w:pStyle w:val="ListParagraph"/>
        <w:numPr>
          <w:ilvl w:val="0"/>
          <w:numId w:val="25"/>
        </w:numPr>
        <w:ind w:right="1210"/>
        <w:jc w:val="both"/>
      </w:pPr>
      <w:r>
        <w:t xml:space="preserve">UNDP´s vision is to contribute to Panama´s efforts toward achieving the SDGs and the Agenda 2030. In doing so, the new </w:t>
      </w:r>
      <w:proofErr w:type="spellStart"/>
      <w:r>
        <w:t>programme</w:t>
      </w:r>
      <w:proofErr w:type="spellEnd"/>
      <w:r>
        <w:t xml:space="preserve"> will focus on three of the four outcomes of the UNSDCF, by supporting public policies for inclusive and sustainable social and economic development; strengthening inclusive, effective and transparent governance processes and institutions, and supporting policies and intervention for sustainable environmental management, mitigation, and adaptation to climate change and resilience. Gender equality and human rights will be mainstreamed throughout the results areas. This CPD will go beyond the national level and prioritize interventions at the subnational level to build local capacity for governance and sustainable development. </w:t>
      </w:r>
    </w:p>
    <w:p>
      <w:pPr>
        <w:pStyle w:val="ListParagraph"/>
        <w:ind w:right="1210"/>
        <w:jc w:val="both"/>
      </w:pPr>
    </w:p>
    <w:p>
      <w:pPr>
        <w:pStyle w:val="ListParagraph"/>
        <w:numPr>
          <w:ilvl w:val="0"/>
          <w:numId w:val="25"/>
        </w:numPr>
        <w:ind w:right="1210"/>
        <w:jc w:val="both"/>
      </w:pPr>
      <w:r>
        <w:t xml:space="preserve">This </w:t>
      </w:r>
      <w:proofErr w:type="spellStart"/>
      <w:r>
        <w:t>programme</w:t>
      </w:r>
      <w:proofErr w:type="spellEnd"/>
      <w:r>
        <w:t xml:space="preserve"> is closely aligned to the UNSDCF. It is informed by the priorities emanating from the Government Strategic Plan 2019-2024, the analysis elaborated together with the UN agencies during the development of the CCA, the consultations with more than 150 key government and civil society stakeholders in the country, organized with Ministry of Foreign Affairs (MIRE) as a national </w:t>
      </w:r>
      <w:r>
        <w:lastRenderedPageBreak/>
        <w:t xml:space="preserve">counterpart for the elaboration of UNSDCF 2021-2025. This </w:t>
      </w:r>
      <w:proofErr w:type="spellStart"/>
      <w:r>
        <w:t>programme</w:t>
      </w:r>
      <w:proofErr w:type="spellEnd"/>
      <w:r>
        <w:t xml:space="preserve"> is derived from and is aligned with the UNDP Strategic Plan, the signature solutions approach, and the regional strategy of strengthening effective governance: productivity, inclusion, and resilience. </w:t>
      </w:r>
    </w:p>
    <w:p>
      <w:pPr>
        <w:pStyle w:val="ListParagraph"/>
        <w:ind w:right="1210"/>
        <w:jc w:val="both"/>
      </w:pPr>
    </w:p>
    <w:p>
      <w:pPr>
        <w:pStyle w:val="ListParagraph"/>
        <w:numPr>
          <w:ilvl w:val="0"/>
          <w:numId w:val="25"/>
        </w:numPr>
        <w:ind w:right="1210"/>
        <w:jc w:val="both"/>
      </w:pPr>
      <w:r>
        <w:t xml:space="preserve">The </w:t>
      </w:r>
      <w:proofErr w:type="spellStart"/>
      <w:r>
        <w:t>programme</w:t>
      </w:r>
      <w:proofErr w:type="spellEnd"/>
      <w:r>
        <w:t xml:space="preserve"> will use a multidimensional and multi-stakeholder approach for achieving these results with our key partners.  Moreover, UNDP will build on strong collaboration and existing projects with over 15 local governments and 30 national government institutions (including the Ministry of the Presidency, the </w:t>
      </w:r>
      <w:bookmarkStart w:id="1" w:name="_Hlk47402979"/>
      <w:r>
        <w:t xml:space="preserve">Ministry of Economy and Finance </w:t>
      </w:r>
      <w:bookmarkEnd w:id="1"/>
      <w:r>
        <w:t xml:space="preserve">(MEF), MIDES,  </w:t>
      </w:r>
      <w:bookmarkStart w:id="2" w:name="_Hlk47403003"/>
      <w:r>
        <w:t>Ministry of Industry and Commerce (MICI), Ministry of Education (MEDUCA), Ministry of Labor (MITRADEL), MIRE, the Authority of Panama Canal (ACP), Ministry of Environment (</w:t>
      </w:r>
      <w:proofErr w:type="spellStart"/>
      <w:r>
        <w:t>MiAMBIENTE</w:t>
      </w:r>
      <w:proofErr w:type="spellEnd"/>
      <w:r>
        <w:t>),</w:t>
      </w:r>
      <w:bookmarkEnd w:id="2"/>
      <w:r>
        <w:t xml:space="preserve"> </w:t>
      </w:r>
      <w:bookmarkStart w:id="3" w:name="_Hlk47409483"/>
      <w:r>
        <w:t>Secretary for Science, Technology, and Innovation (SENACYT</w:t>
      </w:r>
      <w:bookmarkEnd w:id="3"/>
      <w:r>
        <w:t xml:space="preserve">), etc.). Increased collaboration with international financial institutions is envisioned in the coming years, especially partnering with them on the post-COVID-19 recovery, in areas where UNDP has a strong value-added (i.e. social protection, education, small and medium businesses, gender equality, governance, water and coastal management, and green/blue economy). </w:t>
      </w:r>
    </w:p>
    <w:p>
      <w:pPr>
        <w:pStyle w:val="ListParagraph"/>
      </w:pPr>
    </w:p>
    <w:p>
      <w:pPr>
        <w:pStyle w:val="ListParagraph"/>
        <w:numPr>
          <w:ilvl w:val="0"/>
          <w:numId w:val="25"/>
        </w:numPr>
        <w:ind w:right="1210"/>
        <w:jc w:val="both"/>
      </w:pPr>
      <w:r>
        <w:t xml:space="preserve">UNDP will support integrated planning and institutional coordination at all levels (national and local government institutions, private sector, civil society, and academia, among others). UNDP will strengthen the measurement of SDG indicators, as well as the institutional systems and inclusive processes, that generate evidence and data-driven policy for sustainable development. UNDP will encourage the use of social innovation and new digital technologies to solve old development problems, but also new challenges raised by the COVID-19 pandemic. Innovation and digital transformation will be important components of the UNDP strategy for supporting reform, addressing key structural barriers, and responding to the needs of women and vulnerable groups in a manner that includes their social, cultural, environmental, and economic reality of the territories where they live. This will also enable a coherent strategy to support SDG achievement at the local level. </w:t>
      </w:r>
    </w:p>
    <w:p>
      <w:pPr>
        <w:pStyle w:val="ListParagraph"/>
        <w:ind w:right="1210"/>
        <w:jc w:val="both"/>
      </w:pPr>
    </w:p>
    <w:p>
      <w:pPr>
        <w:pStyle w:val="ListParagraph"/>
        <w:numPr>
          <w:ilvl w:val="0"/>
          <w:numId w:val="25"/>
        </w:numPr>
        <w:ind w:right="1210"/>
        <w:jc w:val="both"/>
      </w:pPr>
      <w:r>
        <w:t xml:space="preserve">For addressing inclusive and sustainable economic and social development, UNDP will build on existing work and value-added in economic inclusion focusing on improving women´s and vulnerable groups' access to labor markets and essential services, including access to justice, advocating for a more egalitarian society, free from gender, age, ethnic, racial, and sexual orientation discrimination. UNDP will promote a social protection system with greater co-responsibility for care tasks between women and men, as well as between households, the State, and the market. UNDP will work in partnership with other members of the UNCT, such as the International </w:t>
      </w:r>
      <w:proofErr w:type="spellStart"/>
      <w:r>
        <w:t>Labour</w:t>
      </w:r>
      <w:proofErr w:type="spellEnd"/>
      <w:r>
        <w:t xml:space="preserve"> Organization (ILO), the United Nations Entity for Gender Equality and the Empowerment of Women (UN Women), UNICEF, UNESCO, and the United Nations Population Fund (UNFPA), to establish an accessible and comprehensive social protection system, which includes policies related to a national care system with localized services according to the specific population needs. These efforts will ensure “leaving no-one behind,” addressing the underlying drivers of exclusion and expanding essential services (including those related to education, health, security, and justice), making them adaptable to the specific characteristics of the territories. </w:t>
      </w:r>
    </w:p>
    <w:p>
      <w:pPr>
        <w:pStyle w:val="ListParagraph"/>
      </w:pPr>
    </w:p>
    <w:p>
      <w:pPr>
        <w:pStyle w:val="ListParagraph"/>
        <w:numPr>
          <w:ilvl w:val="0"/>
          <w:numId w:val="25"/>
        </w:numPr>
        <w:ind w:right="1210"/>
        <w:jc w:val="both"/>
      </w:pPr>
      <w:r>
        <w:t>UNDP will also support the government in transforming the educational system, both formal and vocational. The work will be done, together and in close coordination with the United Nations Educational, Scientific and Cultural Organization (UNESCO), the United Nations Children’s Fund (UNICEF), and the Food and Agricultural Organization (FAO); each agency will contribute with their expertise and value-added.  UNDP will support the educational system to ensure high quality, competitive, inclusive, and resilient education that allows educational and employment trajectories for all, reducing educational inequality while generating human capital. UNDP will support the educational system´s digital transformation and decentralization process required to adapt to the productivity needs of the labor market. UNDP will promote academic and social inclusion through innovative methodologies and curricular content related to gender equality, environmental sustainability, and human rights.</w:t>
      </w:r>
    </w:p>
    <w:p>
      <w:pPr>
        <w:ind w:left="360" w:right="1210"/>
        <w:jc w:val="both"/>
      </w:pPr>
    </w:p>
    <w:p>
      <w:pPr>
        <w:pStyle w:val="ListParagraph"/>
        <w:numPr>
          <w:ilvl w:val="0"/>
          <w:numId w:val="25"/>
        </w:numPr>
        <w:ind w:right="1210"/>
        <w:jc w:val="both"/>
      </w:pPr>
      <w:r>
        <w:t xml:space="preserve"> UNDP will contribute to a more sustainable production and consumption model. It will work on local economic development to catalyze gender equity, sustainable human development, and the </w:t>
      </w:r>
      <w:r>
        <w:lastRenderedPageBreak/>
        <w:t xml:space="preserve">generation of livelihoods, establishing productive systems and value chains at the national and sub-national levels that are sustainable and resilient to current and/or future economic, social and environmental crises.  UNDP will promote the access of micro, small, and medium-sized enterprises (MSME) to financial and non-financial services; encourage digitalization and introduction of technology to improve their sustainable production in close collaboration with </w:t>
      </w:r>
      <w:r>
        <w:t>MICI  and the Authority for Micro, Small and Medium Enterprises (AMPYME)</w:t>
      </w:r>
      <w:r>
        <w:t>.</w:t>
      </w:r>
    </w:p>
    <w:p/>
    <w:p>
      <w:pPr>
        <w:pStyle w:val="ListParagraph"/>
        <w:numPr>
          <w:ilvl w:val="0"/>
          <w:numId w:val="25"/>
        </w:numPr>
        <w:ind w:right="1210"/>
        <w:jc w:val="both"/>
      </w:pPr>
      <w:r>
        <w:t xml:space="preserve">UNDP will support Panama´s efforts to make its governance institutions and processes more inclusive, effective, and transparent at the national and sub-national levels. To support more equitable public investment focused on development results and based on territorial needs, UNDP will develop capacities for sub-national governments to manage an effective transfer of competencies, contributing effective and decentralized policies and processes. UNDP will also work with national counterparts, such as the National Authority for Transparency and Access to Information (ANTAI), to establish transparency and anti-corruption measures and more inclusive local planning and investment for women and vulnerable groups (children, youth, older adults, indigenous people, afro descendants, among others). UNDP will support integrated and strengthened governance systems and institutions at the national and sub-national levels for more resilient, inclusive, and responsive public services (including justice) and management of a future crisis, boosting the use of innovative tools and digital solutions that close the gap in access to services. </w:t>
      </w:r>
    </w:p>
    <w:p>
      <w:pPr>
        <w:pStyle w:val="ListParagraph"/>
        <w:ind w:right="1210"/>
        <w:jc w:val="both"/>
      </w:pPr>
    </w:p>
    <w:p>
      <w:pPr>
        <w:pStyle w:val="ListParagraph"/>
        <w:numPr>
          <w:ilvl w:val="0"/>
          <w:numId w:val="25"/>
        </w:numPr>
        <w:ind w:right="1210"/>
        <w:jc w:val="both"/>
      </w:pPr>
      <w:r>
        <w:t>UNDP will support the protection of rights, access to justice, and conflict and violence prevention.  UNDP will continue supporting accountability systems, that with access to accurate information, will enable the empowerment and greater participation of women, young people, and vulnerable groups in decision-making at national and sub-national levels; this will strengthen democratic values and citizen awareness and reinforce social auditing in line with the international and regional agreement, regulations and commitments. This access and space will facilitate an inclusive and expanded planning and decision-making process for sustainable local development that will bring the government closer to the community and strengthen trust in the authorities.</w:t>
      </w:r>
    </w:p>
    <w:p>
      <w:pPr>
        <w:pStyle w:val="ListParagraph"/>
        <w:ind w:right="1210"/>
        <w:jc w:val="both"/>
      </w:pPr>
    </w:p>
    <w:p>
      <w:pPr>
        <w:pStyle w:val="ListParagraph"/>
        <w:numPr>
          <w:ilvl w:val="0"/>
          <w:numId w:val="25"/>
        </w:numPr>
        <w:ind w:right="1210"/>
        <w:jc w:val="both"/>
      </w:pPr>
      <w:r>
        <w:t xml:space="preserve">Concerning climate action, UNDP will work on further integrating climate change strategies (national and international) into policy and regulatory frameworks for climate and ecosystem-based actions. To this end, UNDP will support </w:t>
      </w:r>
      <w:proofErr w:type="spellStart"/>
      <w:r>
        <w:t>MiAMBIENTE</w:t>
      </w:r>
      <w:proofErr w:type="spellEnd"/>
      <w:r>
        <w:t xml:space="preserve"> and other government institutions, in fulfilling the commitments made in the Nationally Determined Contributions (NDC) and other multilateral environmental agreements, contributing to the reduction of environmental vulnerabilities and exposure to disasters and health crises. Furthermore, UNDP will support integrated water and coastal management that strengthen climate resilience and includes good practices and lessons on green and blue economy supply chains. UNDP will work with the national and local authorities to improve the policy, legal and institutional frameworks and capacities for developing nature-based solutions and climate change adaptation that generate sustainable livelihoods for the population. UNDP will collaborate with the United Nations Environment Programme (UNEP), the Global Environment Facility (GEF), and International Financing Institutions (IFIs) for this work. The </w:t>
      </w:r>
      <w:proofErr w:type="spellStart"/>
      <w:r>
        <w:t>programme</w:t>
      </w:r>
      <w:proofErr w:type="spellEnd"/>
      <w:r>
        <w:t xml:space="preserve"> will build on existing corporate initiatives, such as UNDP Climate Promise and UNDP NDC Support Programme, for strengthening outreach, behavioral change, and promoting environmental and climate change education, taking advantage of the digitalization disruption.</w:t>
      </w:r>
    </w:p>
    <w:p>
      <w:pPr>
        <w:pStyle w:val="ListParagraph"/>
        <w:ind w:right="1210"/>
        <w:jc w:val="both"/>
      </w:pPr>
    </w:p>
    <w:p>
      <w:pPr>
        <w:pStyle w:val="ListParagraph"/>
        <w:numPr>
          <w:ilvl w:val="0"/>
          <w:numId w:val="25"/>
        </w:numPr>
        <w:ind w:right="1210"/>
        <w:jc w:val="both"/>
      </w:pPr>
      <w:r>
        <w:t xml:space="preserve">UNDP will work transversally in the three outcome areas while leveraging innovation, technology, and digitalization for the systematization of processes and optimized efficiency. To promote greater innovation and use of technology, UNDP will foster the development of differentiated solutions according to the specific needs of vulnerable/community groups. The </w:t>
      </w:r>
      <w:proofErr w:type="spellStart"/>
      <w:r>
        <w:t>programme</w:t>
      </w:r>
      <w:proofErr w:type="spellEnd"/>
      <w:r>
        <w:t xml:space="preserve"> will also promote the establishment of gender equality standards and policies in the public and private sectors, the promotion of comprehensive planning and institutional coordination at all levels, and the use of data and evidence for sustainable development policy formulation.</w:t>
      </w:r>
    </w:p>
    <w:p>
      <w:pPr>
        <w:pStyle w:val="ListParagraph"/>
      </w:pPr>
    </w:p>
    <w:p>
      <w:pPr>
        <w:pStyle w:val="ListParagraph"/>
        <w:numPr>
          <w:ilvl w:val="0"/>
          <w:numId w:val="25"/>
        </w:numPr>
        <w:ind w:right="1210"/>
        <w:jc w:val="both"/>
      </w:pPr>
      <w:r>
        <w:t xml:space="preserve">UN Women, UNDP, UNICEF, and UNFPA, given their desire to work in an integrated manner and build on their respective strengths, have agreed to promote, through their respective </w:t>
      </w:r>
      <w:proofErr w:type="spellStart"/>
      <w:r>
        <w:t>programmes</w:t>
      </w:r>
      <w:proofErr w:type="spellEnd"/>
      <w:r>
        <w:t xml:space="preserve">, </w:t>
      </w:r>
      <w:r>
        <w:lastRenderedPageBreak/>
        <w:t>the necessary coordination mechanisms in order not to leave anyone behind and to accelerate the achievement of the objectives of Agenda 2030 under the UNSDCF. The Country Programme will support the efforts of the Government of Panama to achieve significant and measurable results in terms of (1) management of the social protection system with an emphasis on comprehensive care management, (2) skills development for adolescents and youth (education, employability, life skills, adaptation to climate change, prevention of adolescent pregnancy), and (3) prevention and care against all types of violence, including gender-based violence, suffered by adolescents, youth and women, within the framework of the provision of essential services.</w:t>
      </w:r>
    </w:p>
    <w:p>
      <w:pPr>
        <w:pStyle w:val="ListParagraph"/>
        <w:ind w:right="1210"/>
        <w:jc w:val="both"/>
      </w:pPr>
    </w:p>
    <w:p>
      <w:pPr>
        <w:ind w:left="1627" w:right="1267"/>
        <w:jc w:val="both"/>
        <w:rPr>
          <w:color w:val="000000"/>
        </w:rPr>
      </w:pPr>
    </w:p>
    <w:p>
      <w:pPr>
        <w:pStyle w:val="Heading1"/>
        <w:tabs>
          <w:tab w:val="left" w:pos="1800"/>
        </w:tabs>
        <w:spacing w:after="120"/>
        <w:ind w:left="1267" w:right="1267"/>
        <w:jc w:val="both"/>
        <w:rPr>
          <w:rFonts w:ascii="Times New Roman" w:hAnsi="Times New Roman"/>
          <w:color w:val="000000"/>
          <w:sz w:val="20"/>
          <w:lang w:val="en-US"/>
        </w:rPr>
      </w:pPr>
      <w:r>
        <w:rPr>
          <w:rFonts w:ascii="Times New Roman" w:hAnsi="Times New Roman"/>
          <w:color w:val="000000"/>
          <w:sz w:val="24"/>
          <w:szCs w:val="24"/>
        </w:rPr>
        <w:t>I</w:t>
      </w:r>
      <w:r>
        <w:rPr>
          <w:rFonts w:ascii="Times New Roman" w:hAnsi="Times New Roman"/>
          <w:color w:val="000000"/>
          <w:sz w:val="24"/>
          <w:szCs w:val="24"/>
          <w:lang w:val="en-US"/>
        </w:rPr>
        <w:t>II</w:t>
      </w:r>
      <w:r>
        <w:rPr>
          <w:rFonts w:ascii="Times New Roman" w:hAnsi="Times New Roman"/>
          <w:color w:val="000000"/>
          <w:sz w:val="24"/>
          <w:szCs w:val="24"/>
        </w:rPr>
        <w:t xml:space="preserve">. </w:t>
      </w:r>
      <w:r>
        <w:rPr>
          <w:rFonts w:ascii="Times New Roman" w:hAnsi="Times New Roman"/>
          <w:color w:val="000000"/>
          <w:sz w:val="24"/>
          <w:szCs w:val="24"/>
          <w:lang w:val="en-US"/>
        </w:rPr>
        <w:t>Programme and Risk Management</w:t>
      </w:r>
      <w:r>
        <w:rPr>
          <w:rFonts w:ascii="Times New Roman" w:hAnsi="Times New Roman"/>
          <w:color w:val="000000"/>
          <w:sz w:val="24"/>
          <w:szCs w:val="24"/>
        </w:rPr>
        <w:t xml:space="preserve"> </w:t>
      </w:r>
    </w:p>
    <w:p>
      <w:pPr>
        <w:spacing w:before="120"/>
        <w:ind w:right="1210"/>
        <w:jc w:val="both"/>
        <w:rPr>
          <w:iCs/>
          <w:highlight w:val="yellow"/>
          <w:lang w:val="en-ZW"/>
        </w:rPr>
      </w:pPr>
    </w:p>
    <w:p>
      <w:pPr>
        <w:pStyle w:val="ListParagraph"/>
        <w:numPr>
          <w:ilvl w:val="0"/>
          <w:numId w:val="25"/>
        </w:numPr>
        <w:ind w:right="1210"/>
        <w:jc w:val="both"/>
      </w:pPr>
      <w:r>
        <w:t xml:space="preserve">Risks identified that may affect the implementation of this </w:t>
      </w:r>
      <w:proofErr w:type="spellStart"/>
      <w:r>
        <w:t>programme</w:t>
      </w:r>
      <w:proofErr w:type="spellEnd"/>
      <w:r>
        <w:t xml:space="preserve"> are associated with strategic, political, institutional, financial, and environmental risks. </w:t>
      </w:r>
    </w:p>
    <w:p>
      <w:pPr>
        <w:pStyle w:val="ListParagraph"/>
        <w:ind w:right="1210"/>
        <w:jc w:val="both"/>
      </w:pPr>
    </w:p>
    <w:p>
      <w:pPr>
        <w:pStyle w:val="ListParagraph"/>
        <w:numPr>
          <w:ilvl w:val="0"/>
          <w:numId w:val="25"/>
        </w:numPr>
        <w:ind w:right="1210"/>
        <w:jc w:val="both"/>
      </w:pPr>
      <w:r>
        <w:t>One of the main risks is the lack of political will to improve governance systems and justice. To address this, UNDP will support legal and institutional frameworks to facilitate the participation of people experiencing greater vulnerability and territories historically excluded from decision-making structures. Advocacy for civil service, effective participation, and accountability will continue.</w:t>
      </w:r>
    </w:p>
    <w:p>
      <w:pPr>
        <w:pStyle w:val="ListParagraph"/>
      </w:pPr>
    </w:p>
    <w:p>
      <w:pPr>
        <w:pStyle w:val="ListParagraph"/>
        <w:numPr>
          <w:ilvl w:val="0"/>
          <w:numId w:val="25"/>
        </w:numPr>
        <w:ind w:right="1210"/>
        <w:jc w:val="both"/>
      </w:pPr>
      <w:r>
        <w:t xml:space="preserve">Social and environmental risk is demonstrated by the possible collapse of essential services in the face of the COVID-19 crisis, including gender-based violence and social inequality during and after the pandemic. The economic revival in the early recovery phase of COVID-19 could focus only on the economic and quick profits "business as usual" without nature-based solutions, nor on the people who depend on it. As a mitigation measure, UNDP will advocate making available state, private, and international organization planning and budget allocations that consider the people and territories at risk of being left behind. It is expected that everyone will have access to basic social protection services, technical assistance, and financial resources during the recovery phase of COVID-19. The Social and Environmental Standards and Accountability Mechanism from UNDP will be applied in the </w:t>
      </w:r>
      <w:proofErr w:type="spellStart"/>
      <w:r>
        <w:t>programme</w:t>
      </w:r>
      <w:proofErr w:type="spellEnd"/>
      <w:r>
        <w:t>. To implement the grievance mechanisms, stakeholder mapping will be conducted to locate those who are lagging and to create measures of inclusion and to strengthen local governance structures. This is particularly important regarding indigenous peoples to improve access to information and timely inclusive participation in relevant consultations and decision-making processes that may impact their livelihoods or the ecosystems on which they depend</w:t>
      </w:r>
      <w:r>
        <w:rPr>
          <w:rStyle w:val="FootnoteReference"/>
        </w:rPr>
        <w:footnoteReference w:id="4"/>
      </w:r>
      <w:r>
        <w:t>.</w:t>
      </w:r>
    </w:p>
    <w:p>
      <w:pPr>
        <w:pStyle w:val="ListParagraph"/>
      </w:pPr>
    </w:p>
    <w:p>
      <w:pPr>
        <w:pStyle w:val="ListParagraph"/>
        <w:numPr>
          <w:ilvl w:val="0"/>
          <w:numId w:val="25"/>
        </w:numPr>
        <w:ind w:right="1210"/>
        <w:jc w:val="both"/>
      </w:pPr>
      <w:r>
        <w:t>A programmatic risk is a potential difficulty in mobilizing resources for a high-income country in a changing development cooperation scenario. To this end, the partnerships and resource mobilization strategy will be redesigned, including alliances with state, private, and international actors.</w:t>
      </w:r>
    </w:p>
    <w:p>
      <w:pPr>
        <w:pStyle w:val="ListParagraph"/>
      </w:pPr>
    </w:p>
    <w:p>
      <w:pPr>
        <w:pStyle w:val="ListParagraph"/>
        <w:numPr>
          <w:ilvl w:val="0"/>
          <w:numId w:val="25"/>
        </w:numPr>
        <w:ind w:right="1210"/>
        <w:jc w:val="both"/>
      </w:pPr>
      <w:r>
        <w:t xml:space="preserve">An issues-based multidimensional approach will be adopted, with outputs under each thematic area complementing each other, and synergies sought in interventions that can impact multiple areas (e.g., opportunities for citizen participation). Operational synergies will be leveraged, by combining various modalities of work depending on the objective (e.g., capacity development, network promotion, mediation, research, communication, etc.). Programme implementation will adopt a networked approach that both facilitates partnering with organizations, and fosters collaboration among actors/projects and </w:t>
      </w:r>
      <w:proofErr w:type="spellStart"/>
      <w:r>
        <w:t>programme</w:t>
      </w:r>
      <w:proofErr w:type="spellEnd"/>
      <w:r>
        <w:t xml:space="preserve">. A Business Continuity Plan (BCP) will be in place to ensure the continuity of the </w:t>
      </w:r>
      <w:proofErr w:type="spellStart"/>
      <w:r>
        <w:t>programme</w:t>
      </w:r>
      <w:proofErr w:type="spellEnd"/>
      <w:r>
        <w:t xml:space="preserve">. </w:t>
      </w:r>
    </w:p>
    <w:p>
      <w:pPr>
        <w:pStyle w:val="ListParagraph"/>
      </w:pPr>
    </w:p>
    <w:p>
      <w:pPr>
        <w:pStyle w:val="ListParagraph"/>
        <w:numPr>
          <w:ilvl w:val="0"/>
          <w:numId w:val="25"/>
        </w:numPr>
        <w:ind w:right="1210"/>
        <w:jc w:val="both"/>
      </w:pPr>
      <w:r>
        <w:t>Findings and recommendations of the ICPE and other evaluations will be used as references for this cycle. Risks will be monitored through strict compliance with the corporative requirements.</w:t>
      </w:r>
    </w:p>
    <w:p>
      <w:pPr>
        <w:ind w:left="1260" w:right="1210"/>
        <w:jc w:val="both"/>
        <w:rPr>
          <w:color w:val="FF0000"/>
        </w:rPr>
      </w:pPr>
    </w:p>
    <w:p>
      <w:pPr>
        <w:pStyle w:val="ListParagraph"/>
        <w:numPr>
          <w:ilvl w:val="0"/>
          <w:numId w:val="25"/>
        </w:numPr>
        <w:ind w:right="1210"/>
        <w:jc w:val="both"/>
      </w:pPr>
      <w:r>
        <w:t xml:space="preserve">This country </w:t>
      </w:r>
      <w:proofErr w:type="spellStart"/>
      <w:r>
        <w:t>programme</w:t>
      </w:r>
      <w:proofErr w:type="spellEnd"/>
      <w:r>
        <w:t xml:space="preserve"> document outlines the contributions by UNDP to national results and serves as the primary unit of accountability to the Executive Board for results alignment and </w:t>
      </w:r>
      <w:r>
        <w:lastRenderedPageBreak/>
        <w:t xml:space="preserve">resources assigned to the </w:t>
      </w:r>
      <w:proofErr w:type="spellStart"/>
      <w:r>
        <w:t>programme</w:t>
      </w:r>
      <w:proofErr w:type="spellEnd"/>
      <w:r>
        <w:t xml:space="preserve"> at the country level. Accountabilities of managers at the country, regional and headquarter levels for country </w:t>
      </w:r>
      <w:proofErr w:type="spellStart"/>
      <w:r>
        <w:t>programmes</w:t>
      </w:r>
      <w:proofErr w:type="spellEnd"/>
      <w:r>
        <w:t xml:space="preserve"> is prescribed in the organization’s </w:t>
      </w:r>
      <w:hyperlink r:id="rId15" w:history="1">
        <w:r>
          <w:t>Programme and Operations Policies and Procedures</w:t>
        </w:r>
      </w:hyperlink>
      <w:r>
        <w:t xml:space="preserve"> and </w:t>
      </w:r>
      <w:hyperlink r:id="rId16" w:history="1">
        <w:r>
          <w:t>Internal Control Framework</w:t>
        </w:r>
      </w:hyperlink>
      <w:r>
        <w:t>.</w:t>
      </w:r>
    </w:p>
    <w:p>
      <w:pPr>
        <w:ind w:left="1620" w:right="1210"/>
        <w:contextualSpacing/>
        <w:jc w:val="both"/>
      </w:pPr>
    </w:p>
    <w:p>
      <w:pPr>
        <w:pStyle w:val="ListParagraph"/>
        <w:numPr>
          <w:ilvl w:val="0"/>
          <w:numId w:val="25"/>
        </w:numPr>
        <w:ind w:right="1210"/>
        <w:jc w:val="both"/>
      </w:pPr>
      <w:r>
        <w:t xml:space="preserve">The </w:t>
      </w:r>
      <w:proofErr w:type="spellStart"/>
      <w:r>
        <w:t>programme</w:t>
      </w:r>
      <w:proofErr w:type="spellEnd"/>
      <w:r>
        <w:t xml:space="preserve"> will be nationally executed. If necessary, national execution may be replaced by direct execution for part or </w:t>
      </w:r>
      <w:proofErr w:type="gramStart"/>
      <w:r>
        <w:t>all of</w:t>
      </w:r>
      <w:proofErr w:type="gramEnd"/>
      <w:r>
        <w:t xml:space="preserve"> the </w:t>
      </w:r>
      <w:proofErr w:type="spellStart"/>
      <w:r>
        <w:t>programme</w:t>
      </w:r>
      <w:proofErr w:type="spellEnd"/>
      <w:r>
        <w:t xml:space="preserve"> to enable a response to </w:t>
      </w:r>
      <w:r>
        <w:rPr>
          <w:i/>
          <w:iCs/>
        </w:rPr>
        <w:t>force majeure</w:t>
      </w:r>
      <w:r>
        <w:t xml:space="preserve">. </w:t>
      </w:r>
      <w:proofErr w:type="spellStart"/>
      <w:r>
        <w:t>Harmonised</w:t>
      </w:r>
      <w:proofErr w:type="spellEnd"/>
      <w:r>
        <w:t xml:space="preserve"> Approach to Cash Transfers (HACT), will be used in a coordinated fashion with other UN agencies to manage financial risks. Cost definitions and classifications for </w:t>
      </w:r>
      <w:proofErr w:type="spellStart"/>
      <w:r>
        <w:t>programme</w:t>
      </w:r>
      <w:proofErr w:type="spellEnd"/>
      <w:r>
        <w:t xml:space="preserve"> and development effectiveness will be charged to the concerned projects.</w:t>
      </w:r>
    </w:p>
    <w:p>
      <w:pPr>
        <w:spacing w:before="120"/>
        <w:ind w:right="1210"/>
        <w:jc w:val="both"/>
        <w:rPr>
          <w:iCs/>
          <w:highlight w:val="yellow"/>
          <w:lang w:val="en-ZW"/>
        </w:rPr>
      </w:pPr>
    </w:p>
    <w:p>
      <w:pPr>
        <w:ind w:left="1620" w:right="1267"/>
        <w:jc w:val="both"/>
        <w:rPr>
          <w:color w:val="000000"/>
        </w:rPr>
      </w:pPr>
    </w:p>
    <w:p>
      <w:pPr>
        <w:pStyle w:val="Heading1"/>
        <w:tabs>
          <w:tab w:val="left" w:pos="1800"/>
        </w:tabs>
        <w:ind w:left="1267" w:right="1267"/>
        <w:jc w:val="both"/>
        <w:rPr>
          <w:rFonts w:ascii="Times New Roman" w:hAnsi="Times New Roman"/>
          <w:color w:val="000000"/>
          <w:sz w:val="24"/>
          <w:szCs w:val="24"/>
          <w:lang w:val="en-US"/>
        </w:rPr>
      </w:pPr>
      <w:r>
        <w:rPr>
          <w:rFonts w:ascii="Times New Roman" w:hAnsi="Times New Roman"/>
          <w:color w:val="000000"/>
          <w:sz w:val="24"/>
          <w:szCs w:val="24"/>
        </w:rPr>
        <w:t>I</w:t>
      </w:r>
      <w:r>
        <w:rPr>
          <w:rFonts w:ascii="Times New Roman" w:hAnsi="Times New Roman"/>
          <w:color w:val="000000"/>
          <w:sz w:val="24"/>
          <w:szCs w:val="24"/>
          <w:lang w:val="en-US"/>
        </w:rPr>
        <w:t>V</w:t>
      </w:r>
      <w:r>
        <w:rPr>
          <w:rFonts w:ascii="Times New Roman" w:hAnsi="Times New Roman"/>
          <w:color w:val="000000"/>
          <w:sz w:val="24"/>
          <w:szCs w:val="24"/>
        </w:rPr>
        <w:t xml:space="preserve">. Monitoring and </w:t>
      </w:r>
      <w:r>
        <w:rPr>
          <w:rFonts w:ascii="Times New Roman" w:hAnsi="Times New Roman"/>
          <w:color w:val="000000"/>
          <w:sz w:val="24"/>
          <w:szCs w:val="24"/>
          <w:lang w:val="en-US"/>
        </w:rPr>
        <w:t>Evaluation</w:t>
      </w:r>
    </w:p>
    <w:p>
      <w:pPr>
        <w:pStyle w:val="Heading1"/>
        <w:tabs>
          <w:tab w:val="left" w:pos="1800"/>
        </w:tabs>
        <w:ind w:left="1267" w:right="1267"/>
        <w:jc w:val="both"/>
        <w:rPr>
          <w:rFonts w:ascii="Times New Roman" w:hAnsi="Times New Roman"/>
          <w:color w:val="000000"/>
          <w:sz w:val="24"/>
          <w:szCs w:val="24"/>
          <w:lang w:val="en-US"/>
        </w:rPr>
      </w:pPr>
    </w:p>
    <w:p>
      <w:pPr>
        <w:pStyle w:val="ListParagraph"/>
        <w:numPr>
          <w:ilvl w:val="0"/>
          <w:numId w:val="25"/>
        </w:numPr>
        <w:ind w:right="1210"/>
        <w:jc w:val="both"/>
      </w:pPr>
      <w:r>
        <w:t xml:space="preserve">The Monitoring and Evaluation Plan registers and facilitates oversight; it also identifies the factors that limit and/or enhance the achievement of the results. The plan combines the lessons learned from project and outcome evaluations with monitoring the realization of the identified national priorities.  The plan focuses on the identification of best practices as linked to the implementation of the </w:t>
      </w:r>
      <w:proofErr w:type="spellStart"/>
      <w:r>
        <w:t>programme</w:t>
      </w:r>
      <w:proofErr w:type="spellEnd"/>
      <w:r>
        <w:t>.</w:t>
      </w:r>
    </w:p>
    <w:p>
      <w:pPr>
        <w:pStyle w:val="ListParagraph"/>
        <w:ind w:left="1440" w:right="1210"/>
        <w:jc w:val="both"/>
      </w:pPr>
    </w:p>
    <w:p>
      <w:pPr>
        <w:pStyle w:val="ListParagraph"/>
        <w:numPr>
          <w:ilvl w:val="0"/>
          <w:numId w:val="25"/>
        </w:numPr>
        <w:ind w:right="1210"/>
        <w:jc w:val="both"/>
      </w:pPr>
      <w:r>
        <w:t xml:space="preserve">UNDP will work with government agencies to improve mechanisms/tools for the generation and access to data especially the National Institute for Statistics and Census (INEC), MEF, and academia (i.e. University of Panama). UNDP will mainstream data generation into its projects. Moreover, specifically dedicated efforts to improve the development of evidence, including the support to the MIDES to improve monitoring and analysis capabilities for effective implementation of public policies, and the partnership with the </w:t>
      </w:r>
      <w:bookmarkStart w:id="4" w:name="_Hlk47020954"/>
      <w:r>
        <w:t>MEF</w:t>
      </w:r>
      <w:bookmarkEnd w:id="4"/>
      <w:r>
        <w:t xml:space="preserve"> and MIDES in compliance with the Panama 2030 plan, will continue. UNDP will also contribute to strengthening the generation and availability of national development statistics.  </w:t>
      </w:r>
    </w:p>
    <w:p>
      <w:pPr>
        <w:ind w:right="1210"/>
        <w:jc w:val="both"/>
      </w:pPr>
    </w:p>
    <w:p>
      <w:pPr>
        <w:pStyle w:val="ListParagraph"/>
        <w:numPr>
          <w:ilvl w:val="0"/>
          <w:numId w:val="25"/>
        </w:numPr>
        <w:ind w:right="1210"/>
        <w:jc w:val="both"/>
      </w:pPr>
      <w:r>
        <w:t xml:space="preserve">The </w:t>
      </w:r>
      <w:proofErr w:type="spellStart"/>
      <w:r>
        <w:t>programme</w:t>
      </w:r>
      <w:proofErr w:type="spellEnd"/>
      <w:r>
        <w:t xml:space="preserve"> disaggregates indicator data, according to the most relevant criteria (gender, ethnicity, age, territory, etc.) for each intervention, based on the map of risks and resources (MRR) methodology and contributes to the UNSDCF. To improve evidence-based competencies, internal capacities for data collection and analysis will be strengthened via training and introduction of new analysis tools, in collaboration with academic institutions. UNDP will use its new Accelerator Lab to help monitor progress of the </w:t>
      </w:r>
      <w:proofErr w:type="spellStart"/>
      <w:r>
        <w:t>programme</w:t>
      </w:r>
      <w:proofErr w:type="spellEnd"/>
      <w:r>
        <w:t>. Moreover, collaboration with the UNDP Regional Hub shall be extended to increase access to South-South cooperation.</w:t>
      </w:r>
    </w:p>
    <w:p>
      <w:pPr>
        <w:pStyle w:val="ListParagraph"/>
        <w:jc w:val="both"/>
      </w:pPr>
    </w:p>
    <w:p>
      <w:pPr>
        <w:pStyle w:val="ListParagraph"/>
        <w:numPr>
          <w:ilvl w:val="0"/>
          <w:numId w:val="25"/>
        </w:numPr>
        <w:ind w:right="1210"/>
        <w:jc w:val="both"/>
        <w:sectPr>
          <w:footnotePr>
            <w:numRestart w:val="eachSect"/>
          </w:footnotePr>
          <w:endnotePr>
            <w:numFmt w:val="decimal"/>
            <w:numStart w:val="7"/>
          </w:endnotePr>
          <w:type w:val="continuous"/>
          <w:pgSz w:w="12240" w:h="15840" w:code="1"/>
          <w:pgMar w:top="1166" w:right="1195" w:bottom="1440" w:left="1195" w:header="576" w:footer="1037" w:gutter="0"/>
          <w:cols w:space="720"/>
          <w:noEndnote/>
          <w:titlePg/>
          <w:docGrid w:linePitch="272"/>
        </w:sectPr>
      </w:pPr>
      <w:r>
        <w:t>Finally, innovation in tools and monitoring processes will provide a larger and better-quality pool of data/information and will expand the possibilities of involving beneficiaries in its implementation, through participatory statistics and visual data representation (maps, interactive sites). These methods will help develop the capabilities of partners to monitor their initiatives at the local level.</w:t>
      </w:r>
    </w:p>
    <w:p>
      <w:pPr>
        <w:pStyle w:val="Heading4"/>
        <w:spacing w:after="120"/>
        <w:rPr>
          <w:rFonts w:ascii="Times New Roman" w:hAnsi="Times New Roman"/>
          <w:color w:val="0000FF"/>
          <w:sz w:val="20"/>
        </w:rPr>
      </w:pPr>
      <w:r>
        <w:rPr>
          <w:rFonts w:ascii="Times New Roman" w:hAnsi="Times New Roman"/>
          <w:bCs/>
          <w:color w:val="000000"/>
          <w:sz w:val="20"/>
        </w:rPr>
        <w:lastRenderedPageBreak/>
        <w:t xml:space="preserve">ANNEX A:  RESULTS AND RESOURCES </w:t>
      </w:r>
    </w:p>
    <w:tbl>
      <w:tblPr>
        <w:tblW w:w="4800" w:type="pct"/>
        <w:tblBorders>
          <w:insideH w:val="single" w:sz="4" w:space="0" w:color="auto"/>
          <w:insideV w:val="single" w:sz="4" w:space="0" w:color="auto"/>
        </w:tblBorders>
        <w:tblCellMar>
          <w:left w:w="29" w:type="dxa"/>
          <w:right w:w="29" w:type="dxa"/>
        </w:tblCellMar>
        <w:tblLook w:val="00A0" w:firstRow="1" w:lastRow="0" w:firstColumn="1" w:lastColumn="0" w:noHBand="0" w:noVBand="0"/>
      </w:tblPr>
      <w:tblGrid>
        <w:gridCol w:w="2851"/>
        <w:gridCol w:w="3062"/>
        <w:gridCol w:w="2838"/>
        <w:gridCol w:w="1754"/>
        <w:gridCol w:w="2490"/>
      </w:tblGrid>
      <w:tr>
        <w:trPr>
          <w:trHeight w:val="25"/>
        </w:trPr>
        <w:tc>
          <w:tcPr>
            <w:tcW w:w="5000" w:type="pct"/>
            <w:gridSpan w:val="5"/>
            <w:tcBorders>
              <w:top w:val="nil"/>
              <w:left w:val="nil"/>
              <w:bottom w:val="single" w:sz="4" w:space="0" w:color="auto"/>
              <w:right w:val="nil"/>
            </w:tcBorders>
            <w:shd w:val="clear" w:color="auto" w:fill="DBE5F1" w:themeFill="accent1" w:themeFillTint="33"/>
            <w:tcMar>
              <w:top w:w="72" w:type="dxa"/>
              <w:left w:w="144" w:type="dxa"/>
              <w:bottom w:w="72" w:type="dxa"/>
              <w:right w:w="144" w:type="dxa"/>
            </w:tcMar>
            <w:hideMark/>
          </w:tcPr>
          <w:p>
            <w:pPr>
              <w:rPr>
                <w:color w:val="000000"/>
                <w:sz w:val="16"/>
                <w:szCs w:val="16"/>
                <w:lang w:val="en-GB" w:eastAsia="en-GB"/>
              </w:rPr>
            </w:pPr>
            <w:r>
              <w:rPr>
                <w:b/>
                <w:bCs/>
                <w:color w:val="000000"/>
                <w:sz w:val="16"/>
                <w:szCs w:val="16"/>
                <w:lang w:val="en-GB" w:eastAsia="en-GB"/>
              </w:rPr>
              <w:t xml:space="preserve">NATIONAL PRIORITY OR GOAL: </w:t>
            </w:r>
            <w:r>
              <w:rPr>
                <w:color w:val="000000"/>
                <w:sz w:val="16"/>
                <w:szCs w:val="16"/>
                <w:lang w:val="en-GB" w:eastAsia="en-GB"/>
              </w:rPr>
              <w:t xml:space="preserve">Good governance, Rule of, law and order, Competitive economy that generate jobs, Fight against poverty and inequality, Education, Science, Technology and culture, SDGs: </w:t>
            </w:r>
            <w:r>
              <w:rPr>
                <w:sz w:val="16"/>
                <w:szCs w:val="16"/>
                <w:lang w:val="en-GB" w:eastAsia="en-GB"/>
              </w:rPr>
              <w:t>1, 2, 3, 4, 5, 8, 9,10, 11, 12, 16, 17</w:t>
            </w:r>
          </w:p>
        </w:tc>
      </w:tr>
      <w:tr>
        <w:trPr>
          <w:trHeight w:val="124"/>
        </w:trPr>
        <w:tc>
          <w:tcPr>
            <w:tcW w:w="5000" w:type="pct"/>
            <w:gridSpan w:val="5"/>
            <w:tcBorders>
              <w:top w:val="single" w:sz="4" w:space="0" w:color="auto"/>
              <w:left w:val="nil"/>
              <w:bottom w:val="single" w:sz="4" w:space="0" w:color="auto"/>
              <w:right w:val="nil"/>
            </w:tcBorders>
            <w:shd w:val="clear" w:color="auto" w:fill="DBE5F1" w:themeFill="accent1" w:themeFillTint="33"/>
            <w:tcMar>
              <w:top w:w="72" w:type="dxa"/>
              <w:left w:w="144" w:type="dxa"/>
              <w:bottom w:w="72" w:type="dxa"/>
              <w:right w:w="144" w:type="dxa"/>
            </w:tcMar>
            <w:hideMark/>
          </w:tcPr>
          <w:p>
            <w:pPr>
              <w:spacing w:line="276" w:lineRule="auto"/>
              <w:jc w:val="both"/>
              <w:rPr>
                <w:i/>
                <w:iCs/>
                <w:sz w:val="16"/>
                <w:szCs w:val="16"/>
                <w:lang w:val="en-GB" w:eastAsia="en-GB"/>
              </w:rPr>
            </w:pPr>
            <w:r>
              <w:rPr>
                <w:b/>
                <w:bCs/>
                <w:color w:val="000000" w:themeColor="text1"/>
                <w:sz w:val="16"/>
                <w:szCs w:val="16"/>
                <w:lang w:val="en-GB" w:eastAsia="en-GB"/>
              </w:rPr>
              <w:t>COOPERATION FRAMEWORK OUTCOME INVOLVING UNDP #1:</w:t>
            </w:r>
            <w:r>
              <w:rPr>
                <w:color w:val="000000" w:themeColor="text1"/>
                <w:sz w:val="16"/>
                <w:szCs w:val="16"/>
                <w:lang w:val="en-GB" w:eastAsia="en-GB"/>
              </w:rPr>
              <w:t xml:space="preserve"> </w:t>
            </w:r>
            <w:r>
              <w:rPr>
                <w:i/>
                <w:iCs/>
                <w:sz w:val="16"/>
                <w:szCs w:val="16"/>
                <w:lang w:val="en-GB" w:eastAsia="en-GB"/>
              </w:rPr>
              <w:t>“By 2025, Panama favours economic, social, and environmentally sustainable and inclusive development: it ensures equitable access to essential quality services, livelihoods and ecosystem services for all people; it promotes inclusion, innovation, competitiveness, industrial development and entrepreneurship, with a territorial, human rights, intercultural, gender, and life-course approach and without leaving anyone behind”.</w:t>
            </w:r>
          </w:p>
          <w:p>
            <w:pPr>
              <w:rPr>
                <w:rFonts w:cstheme="minorHAnsi"/>
                <w:sz w:val="18"/>
                <w:szCs w:val="18"/>
              </w:rPr>
            </w:pPr>
            <w:r>
              <w:rPr>
                <w:rFonts w:eastAsia="Calibri"/>
                <w:i/>
                <w:iCs/>
                <w:color w:val="000000" w:themeColor="text1"/>
                <w:sz w:val="16"/>
                <w:szCs w:val="16"/>
                <w:lang w:val="en-GB" w:eastAsia="en-GB"/>
              </w:rPr>
              <w:t>IRRF: 1.1.1.3 Country has data collection/analysis mechanisms providing disaggregated data to monitor progress towards the SDGs:</w:t>
            </w:r>
          </w:p>
          <w:p>
            <w:pPr>
              <w:pStyle w:val="ListParagraph"/>
              <w:ind w:left="360"/>
              <w:rPr>
                <w:rFonts w:cstheme="minorHAnsi"/>
                <w:sz w:val="18"/>
                <w:szCs w:val="18"/>
                <w:lang w:val="en-GB"/>
              </w:rPr>
            </w:pPr>
            <w:r>
              <w:rPr>
                <w:i/>
                <w:iCs/>
                <w:sz w:val="16"/>
                <w:szCs w:val="16"/>
                <w:lang w:val="en-GB" w:eastAsia="en-GB"/>
              </w:rPr>
              <w:t>B: Yes (2020</w:t>
            </w:r>
            <w:proofErr w:type="gramStart"/>
            <w:r>
              <w:rPr>
                <w:i/>
                <w:iCs/>
                <w:sz w:val="16"/>
                <w:szCs w:val="16"/>
                <w:lang w:val="en-GB" w:eastAsia="en-GB"/>
              </w:rPr>
              <w:t>)  T</w:t>
            </w:r>
            <w:proofErr w:type="gramEnd"/>
            <w:r>
              <w:rPr>
                <w:i/>
                <w:iCs/>
                <w:sz w:val="16"/>
                <w:szCs w:val="16"/>
                <w:lang w:val="en-GB" w:eastAsia="en-GB"/>
              </w:rPr>
              <w:t xml:space="preserve">: Yes (2021) </w:t>
            </w:r>
          </w:p>
          <w:p>
            <w:pPr>
              <w:spacing w:line="276" w:lineRule="auto"/>
              <w:jc w:val="both"/>
              <w:rPr>
                <w:i/>
                <w:iCs/>
                <w:sz w:val="16"/>
                <w:szCs w:val="16"/>
                <w:lang w:val="en-GB" w:eastAsia="en-GB"/>
              </w:rPr>
            </w:pPr>
            <w:r>
              <w:rPr>
                <w:rFonts w:eastAsia="Calibri"/>
                <w:i/>
                <w:iCs/>
                <w:color w:val="000000" w:themeColor="text1"/>
                <w:sz w:val="16"/>
                <w:szCs w:val="16"/>
                <w:lang w:val="en-GB" w:eastAsia="en-GB"/>
              </w:rPr>
              <w:t>IRRF: 2.1.2.1 Country has policy measures and institutional capacities in place to increase access to social protection schemes, disaggregated by target groups</w:t>
            </w:r>
            <w:r>
              <w:rPr>
                <w:i/>
                <w:iCs/>
                <w:sz w:val="16"/>
                <w:szCs w:val="16"/>
                <w:lang w:val="en-GB" w:eastAsia="en-GB"/>
              </w:rPr>
              <w:t xml:space="preserve"> </w:t>
            </w:r>
          </w:p>
          <w:p>
            <w:pPr>
              <w:pStyle w:val="ListParagraph"/>
              <w:ind w:left="360"/>
              <w:rPr>
                <w:i/>
                <w:iCs/>
                <w:sz w:val="16"/>
                <w:szCs w:val="16"/>
                <w:lang w:val="en-GB" w:eastAsia="en-GB"/>
              </w:rPr>
            </w:pPr>
            <w:r>
              <w:rPr>
                <w:i/>
                <w:iCs/>
                <w:sz w:val="16"/>
                <w:szCs w:val="16"/>
                <w:lang w:val="en-GB" w:eastAsia="en-GB"/>
              </w:rPr>
              <w:t>B: Yes (2020</w:t>
            </w:r>
            <w:proofErr w:type="gramStart"/>
            <w:r>
              <w:rPr>
                <w:i/>
                <w:iCs/>
                <w:sz w:val="16"/>
                <w:szCs w:val="16"/>
                <w:lang w:val="en-GB" w:eastAsia="en-GB"/>
              </w:rPr>
              <w:t>)  T</w:t>
            </w:r>
            <w:proofErr w:type="gramEnd"/>
            <w:r>
              <w:rPr>
                <w:i/>
                <w:iCs/>
                <w:sz w:val="16"/>
                <w:szCs w:val="16"/>
                <w:lang w:val="en-GB" w:eastAsia="en-GB"/>
              </w:rPr>
              <w:t xml:space="preserve">: Yes (2021) </w:t>
            </w:r>
          </w:p>
          <w:p>
            <w:pPr>
              <w:spacing w:line="276" w:lineRule="auto"/>
              <w:jc w:val="both"/>
              <w:rPr>
                <w:color w:val="000000"/>
                <w:sz w:val="16"/>
                <w:szCs w:val="16"/>
                <w:lang w:val="en-GB" w:eastAsia="en-GB"/>
              </w:rPr>
            </w:pPr>
          </w:p>
        </w:tc>
      </w:tr>
      <w:tr>
        <w:trPr>
          <w:trHeight w:val="124"/>
        </w:trPr>
        <w:tc>
          <w:tcPr>
            <w:tcW w:w="5000" w:type="pct"/>
            <w:gridSpan w:val="5"/>
            <w:tcBorders>
              <w:top w:val="single" w:sz="4" w:space="0" w:color="auto"/>
              <w:left w:val="nil"/>
              <w:bottom w:val="single" w:sz="4" w:space="0" w:color="auto"/>
              <w:right w:val="nil"/>
            </w:tcBorders>
            <w:shd w:val="clear" w:color="auto" w:fill="DBE5F1" w:themeFill="accent1" w:themeFillTint="33"/>
            <w:tcMar>
              <w:top w:w="72" w:type="dxa"/>
              <w:left w:w="144" w:type="dxa"/>
              <w:bottom w:w="72" w:type="dxa"/>
              <w:right w:w="144" w:type="dxa"/>
            </w:tcMar>
            <w:hideMark/>
          </w:tcPr>
          <w:p>
            <w:pPr>
              <w:rPr>
                <w:b/>
                <w:bCs/>
                <w:color w:val="000000"/>
                <w:sz w:val="16"/>
                <w:szCs w:val="16"/>
                <w:lang w:val="en-GB" w:eastAsia="en-GB"/>
              </w:rPr>
            </w:pPr>
            <w:r>
              <w:rPr>
                <w:b/>
                <w:bCs/>
                <w:color w:val="000000"/>
                <w:sz w:val="16"/>
                <w:szCs w:val="16"/>
                <w:lang w:val="en-GB" w:eastAsia="en-GB"/>
              </w:rPr>
              <w:t xml:space="preserve">RELATED STRATEGIC PLAN OUTCOME: </w:t>
            </w:r>
            <w:r>
              <w:rPr>
                <w:i/>
                <w:iCs/>
                <w:color w:val="0000FF"/>
                <w:sz w:val="16"/>
                <w:szCs w:val="16"/>
                <w:lang w:val="en-GB" w:eastAsia="en-GB"/>
              </w:rPr>
              <w:t>Outcome 1 – Advance poverty eradication in all its forms and dimensions</w:t>
            </w:r>
          </w:p>
        </w:tc>
      </w:tr>
      <w:tr>
        <w:trPr>
          <w:trHeight w:val="322"/>
        </w:trPr>
        <w:tc>
          <w:tcPr>
            <w:tcW w:w="1097" w:type="pct"/>
            <w:tcBorders>
              <w:top w:val="single" w:sz="4" w:space="0" w:color="auto"/>
              <w:left w:val="nil"/>
              <w:bottom w:val="single" w:sz="4" w:space="0" w:color="auto"/>
              <w:right w:val="single" w:sz="4" w:space="0" w:color="auto"/>
            </w:tcBorders>
            <w:shd w:val="clear" w:color="auto" w:fill="DBE5F1" w:themeFill="accent1" w:themeFillTint="33"/>
            <w:tcMar>
              <w:top w:w="72" w:type="dxa"/>
              <w:left w:w="144" w:type="dxa"/>
              <w:bottom w:w="72" w:type="dxa"/>
              <w:right w:w="144" w:type="dxa"/>
            </w:tcMar>
            <w:vAlign w:val="center"/>
            <w:hideMark/>
          </w:tcPr>
          <w:p>
            <w:pPr>
              <w:jc w:val="center"/>
              <w:rPr>
                <w:color w:val="000000"/>
                <w:sz w:val="16"/>
                <w:szCs w:val="16"/>
                <w:lang w:val="en-GB" w:eastAsia="en-GB"/>
              </w:rPr>
            </w:pPr>
            <w:r>
              <w:rPr>
                <w:b/>
                <w:bCs/>
                <w:color w:val="000000"/>
                <w:sz w:val="16"/>
                <w:szCs w:val="16"/>
                <w:lang w:val="en-GB" w:eastAsia="en-GB"/>
              </w:rPr>
              <w:t>COOPERATION FRAMEWORK OUTCOME INDICATOR(S), BASELINES, TARGET(S)</w:t>
            </w:r>
          </w:p>
        </w:tc>
        <w:tc>
          <w:tcPr>
            <w:tcW w:w="11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pPr>
              <w:jc w:val="center"/>
              <w:rPr>
                <w:b/>
                <w:color w:val="000000"/>
                <w:sz w:val="16"/>
                <w:szCs w:val="16"/>
                <w:lang w:val="en-GB" w:eastAsia="en-GB"/>
              </w:rPr>
            </w:pPr>
            <w:r>
              <w:rPr>
                <w:b/>
                <w:color w:val="000000"/>
                <w:sz w:val="16"/>
                <w:szCs w:val="16"/>
                <w:lang w:val="en-GB" w:eastAsia="en-GB"/>
              </w:rPr>
              <w:t>DATA SOURCE AND FREQUENCY OF DATA COLLECTION, AND RESPONSIBILITIES</w:t>
            </w:r>
          </w:p>
        </w:tc>
        <w:tc>
          <w:tcPr>
            <w:tcW w:w="1092"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72" w:type="dxa"/>
              <w:left w:w="144" w:type="dxa"/>
              <w:bottom w:w="72" w:type="dxa"/>
              <w:right w:w="144" w:type="dxa"/>
            </w:tcMar>
            <w:vAlign w:val="center"/>
            <w:hideMark/>
          </w:tcPr>
          <w:p>
            <w:pPr>
              <w:jc w:val="center"/>
              <w:rPr>
                <w:color w:val="000000"/>
                <w:sz w:val="16"/>
                <w:szCs w:val="16"/>
                <w:lang w:val="en-GB" w:eastAsia="en-GB"/>
              </w:rPr>
            </w:pPr>
            <w:r>
              <w:rPr>
                <w:b/>
                <w:bCs/>
                <w:color w:val="000000"/>
                <w:sz w:val="16"/>
                <w:szCs w:val="16"/>
                <w:lang w:val="en-GB" w:eastAsia="en-GB"/>
              </w:rPr>
              <w:t xml:space="preserve">INDICATIVE COUNTRY PROGRAMME OUTPUTS </w:t>
            </w:r>
            <w:r>
              <w:rPr>
                <w:b/>
                <w:bCs/>
                <w:i/>
                <w:color w:val="000000"/>
                <w:sz w:val="16"/>
                <w:szCs w:val="16"/>
                <w:lang w:val="en-GB" w:eastAsia="en-GB"/>
              </w:rPr>
              <w:t>(including indicators, baselines targets)</w:t>
            </w:r>
          </w:p>
        </w:tc>
        <w:tc>
          <w:tcPr>
            <w:tcW w:w="67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pPr>
              <w:jc w:val="center"/>
              <w:rPr>
                <w:b/>
                <w:bCs/>
                <w:color w:val="000000"/>
                <w:sz w:val="16"/>
                <w:szCs w:val="16"/>
                <w:lang w:val="en-GB" w:eastAsia="en-GB"/>
              </w:rPr>
            </w:pPr>
            <w:r>
              <w:rPr>
                <w:b/>
                <w:bCs/>
                <w:color w:val="000000"/>
                <w:sz w:val="16"/>
                <w:szCs w:val="16"/>
                <w:lang w:val="en-GB" w:eastAsia="en-GB"/>
              </w:rPr>
              <w:t>MAJOR PARTNERS / PARTNERSHIPS</w:t>
            </w:r>
          </w:p>
          <w:p>
            <w:pPr>
              <w:jc w:val="center"/>
              <w:rPr>
                <w:b/>
                <w:bCs/>
                <w:color w:val="000000"/>
                <w:sz w:val="16"/>
                <w:szCs w:val="16"/>
                <w:lang w:val="en-GB" w:eastAsia="en-GB"/>
              </w:rPr>
            </w:pPr>
            <w:r>
              <w:rPr>
                <w:b/>
                <w:bCs/>
                <w:color w:val="000000"/>
                <w:sz w:val="16"/>
                <w:szCs w:val="16"/>
                <w:lang w:val="en-GB" w:eastAsia="en-GB"/>
              </w:rPr>
              <w:t>FRAMEWORKS</w:t>
            </w:r>
          </w:p>
        </w:tc>
        <w:tc>
          <w:tcPr>
            <w:tcW w:w="958" w:type="pct"/>
            <w:tcBorders>
              <w:top w:val="single" w:sz="4" w:space="0" w:color="auto"/>
              <w:left w:val="single" w:sz="4" w:space="0" w:color="auto"/>
              <w:bottom w:val="single" w:sz="4" w:space="0" w:color="auto"/>
              <w:right w:val="nil"/>
            </w:tcBorders>
            <w:shd w:val="clear" w:color="auto" w:fill="DBE5F1" w:themeFill="accent1" w:themeFillTint="33"/>
            <w:tcMar>
              <w:top w:w="15" w:type="dxa"/>
              <w:left w:w="108" w:type="dxa"/>
              <w:bottom w:w="0" w:type="dxa"/>
              <w:right w:w="108" w:type="dxa"/>
            </w:tcMar>
            <w:vAlign w:val="center"/>
            <w:hideMark/>
          </w:tcPr>
          <w:p>
            <w:pPr>
              <w:jc w:val="center"/>
              <w:rPr>
                <w:i/>
                <w:color w:val="0000FF"/>
                <w:sz w:val="16"/>
                <w:szCs w:val="16"/>
                <w:lang w:val="en-GB" w:eastAsia="en-GB"/>
              </w:rPr>
            </w:pPr>
            <w:r>
              <w:rPr>
                <w:b/>
                <w:bCs/>
                <w:color w:val="000000"/>
                <w:sz w:val="16"/>
                <w:szCs w:val="16"/>
                <w:lang w:val="en-GB" w:eastAsia="en-GB"/>
              </w:rPr>
              <w:t>ESTIMATED COST BY OUTCOME (US$)</w:t>
            </w:r>
          </w:p>
        </w:tc>
      </w:tr>
      <w:tr>
        <w:trPr>
          <w:trHeight w:val="627"/>
        </w:trPr>
        <w:tc>
          <w:tcPr>
            <w:tcW w:w="1097" w:type="pct"/>
            <w:vMerge w:val="restart"/>
            <w:tcBorders>
              <w:top w:val="single" w:sz="4" w:space="0" w:color="auto"/>
              <w:left w:val="nil"/>
              <w:bottom w:val="nil"/>
              <w:right w:val="single" w:sz="4" w:space="0" w:color="auto"/>
            </w:tcBorders>
            <w:tcMar>
              <w:top w:w="72" w:type="dxa"/>
              <w:left w:w="144" w:type="dxa"/>
              <w:bottom w:w="72" w:type="dxa"/>
              <w:right w:w="144" w:type="dxa"/>
            </w:tcMar>
            <w:hideMark/>
          </w:tcPr>
          <w:p>
            <w:pPr>
              <w:rPr>
                <w:i/>
                <w:iCs/>
                <w:sz w:val="16"/>
                <w:szCs w:val="16"/>
                <w:u w:val="single"/>
                <w:lang w:eastAsia="en-GB"/>
              </w:rPr>
            </w:pPr>
            <w:r>
              <w:rPr>
                <w:i/>
                <w:iCs/>
                <w:sz w:val="16"/>
                <w:szCs w:val="16"/>
                <w:lang w:eastAsia="en-GB"/>
              </w:rPr>
              <w:t xml:space="preserve">I:  1.2.2 Multidimensional Poverty, by sex, location (urban/rural) </w:t>
            </w:r>
          </w:p>
          <w:p>
            <w:pPr>
              <w:rPr>
                <w:i/>
                <w:iCs/>
                <w:sz w:val="16"/>
                <w:szCs w:val="16"/>
                <w:u w:val="single"/>
                <w:lang w:eastAsia="en-GB"/>
              </w:rPr>
            </w:pPr>
          </w:p>
          <w:p>
            <w:pPr>
              <w:pStyle w:val="ListParagraph"/>
              <w:ind w:left="360"/>
              <w:rPr>
                <w:i/>
                <w:iCs/>
                <w:sz w:val="16"/>
                <w:szCs w:val="16"/>
                <w:lang w:val="en-GB" w:eastAsia="en-GB"/>
              </w:rPr>
            </w:pPr>
            <w:r>
              <w:rPr>
                <w:i/>
                <w:iCs/>
                <w:sz w:val="16"/>
                <w:szCs w:val="16"/>
                <w:lang w:val="en-GB" w:eastAsia="en-GB"/>
              </w:rPr>
              <w:t>B: 19% (2019) -men 19.5-women 18.6 -</w:t>
            </w:r>
            <w:r>
              <w:rPr>
                <w:i/>
                <w:iCs/>
                <w:sz w:val="16"/>
                <w:szCs w:val="16"/>
                <w:lang w:eastAsia="en-GB"/>
              </w:rPr>
              <w:t>urban 10.4 - rural 37.8</w:t>
            </w:r>
          </w:p>
          <w:p>
            <w:pPr>
              <w:pStyle w:val="ListParagraph"/>
              <w:ind w:left="360"/>
              <w:rPr>
                <w:i/>
                <w:iCs/>
                <w:sz w:val="16"/>
                <w:szCs w:val="16"/>
                <w:lang w:val="en-GB" w:eastAsia="en-GB"/>
              </w:rPr>
            </w:pPr>
          </w:p>
          <w:p>
            <w:pPr>
              <w:pStyle w:val="ListParagraph"/>
              <w:ind w:left="360"/>
              <w:rPr>
                <w:i/>
                <w:iCs/>
                <w:sz w:val="16"/>
                <w:szCs w:val="16"/>
                <w:lang w:eastAsia="en-GB"/>
              </w:rPr>
            </w:pPr>
            <w:r>
              <w:rPr>
                <w:i/>
                <w:iCs/>
                <w:sz w:val="16"/>
                <w:szCs w:val="16"/>
                <w:lang w:val="en-GB" w:eastAsia="en-GB"/>
              </w:rPr>
              <w:t>T: 15% (2025) -men 15.5-women 14.6 -</w:t>
            </w:r>
            <w:r>
              <w:rPr>
                <w:i/>
                <w:iCs/>
                <w:sz w:val="16"/>
                <w:szCs w:val="16"/>
                <w:lang w:eastAsia="en-GB"/>
              </w:rPr>
              <w:t>urban 8.4 -rural 27</w:t>
            </w:r>
          </w:p>
          <w:p>
            <w:pPr>
              <w:pStyle w:val="ListParagraph"/>
              <w:ind w:left="360"/>
              <w:rPr>
                <w:i/>
                <w:iCs/>
                <w:sz w:val="16"/>
                <w:szCs w:val="16"/>
                <w:lang w:eastAsia="en-GB"/>
              </w:rPr>
            </w:pPr>
          </w:p>
          <w:p>
            <w:pPr>
              <w:pStyle w:val="ListParagraph"/>
              <w:ind w:left="360"/>
              <w:rPr>
                <w:i/>
                <w:iCs/>
                <w:sz w:val="16"/>
                <w:szCs w:val="16"/>
                <w:lang w:val="en-GB" w:eastAsia="en-GB"/>
              </w:rPr>
            </w:pPr>
          </w:p>
          <w:p>
            <w:pPr>
              <w:rPr>
                <w:i/>
                <w:iCs/>
                <w:sz w:val="16"/>
                <w:szCs w:val="16"/>
                <w:lang w:eastAsia="en-GB"/>
              </w:rPr>
            </w:pPr>
            <w:r>
              <w:rPr>
                <w:i/>
                <w:iCs/>
                <w:sz w:val="16"/>
                <w:szCs w:val="16"/>
                <w:lang w:eastAsia="en-GB"/>
              </w:rPr>
              <w:t>I:  1.4.2 Proportion of the</w:t>
            </w:r>
          </w:p>
          <w:p>
            <w:pPr>
              <w:rPr>
                <w:i/>
                <w:iCs/>
                <w:sz w:val="16"/>
                <w:szCs w:val="16"/>
                <w:lang w:eastAsia="en-GB"/>
              </w:rPr>
            </w:pPr>
            <w:r>
              <w:rPr>
                <w:i/>
                <w:iCs/>
                <w:sz w:val="16"/>
                <w:szCs w:val="16"/>
                <w:lang w:eastAsia="en-GB"/>
              </w:rPr>
              <w:t>population living in</w:t>
            </w:r>
          </w:p>
          <w:p>
            <w:pPr>
              <w:rPr>
                <w:i/>
                <w:iCs/>
                <w:sz w:val="16"/>
                <w:szCs w:val="16"/>
                <w:lang w:eastAsia="en-GB"/>
              </w:rPr>
            </w:pPr>
            <w:r>
              <w:rPr>
                <w:i/>
                <w:iCs/>
                <w:sz w:val="16"/>
                <w:szCs w:val="16"/>
                <w:lang w:eastAsia="en-GB"/>
              </w:rPr>
              <w:t>households with access to</w:t>
            </w:r>
          </w:p>
          <w:p>
            <w:pPr>
              <w:rPr>
                <w:i/>
                <w:iCs/>
                <w:sz w:val="16"/>
                <w:szCs w:val="16"/>
                <w:lang w:eastAsia="en-GB"/>
              </w:rPr>
            </w:pPr>
            <w:r>
              <w:rPr>
                <w:i/>
                <w:iCs/>
                <w:sz w:val="16"/>
                <w:szCs w:val="16"/>
                <w:lang w:eastAsia="en-GB"/>
              </w:rPr>
              <w:t>basic services</w:t>
            </w:r>
          </w:p>
          <w:p>
            <w:pPr>
              <w:rPr>
                <w:i/>
                <w:iCs/>
                <w:sz w:val="16"/>
                <w:szCs w:val="16"/>
                <w:lang w:eastAsia="en-GB"/>
              </w:rPr>
            </w:pPr>
          </w:p>
          <w:p>
            <w:pPr>
              <w:pStyle w:val="ListParagraph"/>
              <w:ind w:left="360"/>
              <w:rPr>
                <w:i/>
                <w:iCs/>
                <w:sz w:val="16"/>
                <w:szCs w:val="16"/>
                <w:lang w:val="en-GB" w:eastAsia="en-GB"/>
              </w:rPr>
            </w:pPr>
            <w:r>
              <w:rPr>
                <w:i/>
                <w:iCs/>
                <w:sz w:val="16"/>
                <w:szCs w:val="16"/>
                <w:lang w:val="en-GB" w:eastAsia="en-GB"/>
              </w:rPr>
              <w:t>B: 77(2019) -men 76.8-women 77.8 -</w:t>
            </w:r>
            <w:r>
              <w:rPr>
                <w:i/>
                <w:iCs/>
                <w:sz w:val="16"/>
                <w:szCs w:val="16"/>
                <w:lang w:eastAsia="en-GB"/>
              </w:rPr>
              <w:t>urban 82.5 -rural 66</w:t>
            </w:r>
          </w:p>
          <w:p>
            <w:pPr>
              <w:pStyle w:val="ListParagraph"/>
              <w:ind w:left="360"/>
              <w:rPr>
                <w:i/>
                <w:iCs/>
                <w:sz w:val="16"/>
                <w:szCs w:val="16"/>
                <w:lang w:val="en-GB" w:eastAsia="en-GB"/>
              </w:rPr>
            </w:pPr>
          </w:p>
          <w:p>
            <w:pPr>
              <w:pStyle w:val="ListParagraph"/>
              <w:ind w:left="360"/>
              <w:rPr>
                <w:i/>
                <w:iCs/>
                <w:sz w:val="16"/>
                <w:szCs w:val="16"/>
                <w:lang w:eastAsia="en-GB"/>
              </w:rPr>
            </w:pPr>
            <w:r>
              <w:rPr>
                <w:i/>
                <w:iCs/>
                <w:sz w:val="16"/>
                <w:szCs w:val="16"/>
                <w:lang w:val="en-GB" w:eastAsia="en-GB"/>
              </w:rPr>
              <w:t>T: 82</w:t>
            </w:r>
            <w:proofErr w:type="gramStart"/>
            <w:r>
              <w:rPr>
                <w:i/>
                <w:iCs/>
                <w:sz w:val="16"/>
                <w:szCs w:val="16"/>
                <w:lang w:val="en-GB" w:eastAsia="en-GB"/>
              </w:rPr>
              <w:t>%(</w:t>
            </w:r>
            <w:proofErr w:type="gramEnd"/>
            <w:r>
              <w:rPr>
                <w:i/>
                <w:iCs/>
                <w:sz w:val="16"/>
                <w:szCs w:val="16"/>
                <w:lang w:val="en-GB" w:eastAsia="en-GB"/>
              </w:rPr>
              <w:t>2025) -men 81.8-women 82.8 -</w:t>
            </w:r>
            <w:r>
              <w:rPr>
                <w:i/>
                <w:iCs/>
                <w:sz w:val="16"/>
                <w:szCs w:val="16"/>
                <w:lang w:eastAsia="en-GB"/>
              </w:rPr>
              <w:t>urban 85 -rural 76</w:t>
            </w:r>
          </w:p>
          <w:p>
            <w:pPr>
              <w:rPr>
                <w:i/>
                <w:iCs/>
                <w:sz w:val="16"/>
                <w:szCs w:val="16"/>
                <w:lang w:eastAsia="en-GB"/>
              </w:rPr>
            </w:pPr>
          </w:p>
          <w:p>
            <w:pPr>
              <w:rPr>
                <w:bCs/>
                <w:i/>
                <w:color w:val="000000"/>
                <w:sz w:val="16"/>
                <w:szCs w:val="16"/>
                <w:lang w:eastAsia="en-GB"/>
              </w:rPr>
            </w:pPr>
          </w:p>
        </w:tc>
        <w:tc>
          <w:tcPr>
            <w:tcW w:w="1178" w:type="pct"/>
            <w:vMerge w:val="restart"/>
            <w:tcBorders>
              <w:top w:val="single" w:sz="4" w:space="0" w:color="auto"/>
              <w:left w:val="single" w:sz="4" w:space="0" w:color="auto"/>
              <w:bottom w:val="nil"/>
              <w:right w:val="single" w:sz="4" w:space="0" w:color="auto"/>
            </w:tcBorders>
          </w:tcPr>
          <w:p>
            <w:pPr>
              <w:rPr>
                <w:i/>
                <w:iCs/>
                <w:sz w:val="16"/>
                <w:szCs w:val="16"/>
                <w:lang w:val="en-GB" w:eastAsia="en-GB"/>
              </w:rPr>
            </w:pPr>
            <w:r>
              <w:rPr>
                <w:i/>
                <w:iCs/>
                <w:sz w:val="16"/>
                <w:szCs w:val="16"/>
                <w:lang w:val="en-GB" w:eastAsia="en-GB"/>
              </w:rPr>
              <w:t xml:space="preserve">Data source </w:t>
            </w:r>
            <w:proofErr w:type="gramStart"/>
            <w:r>
              <w:rPr>
                <w:i/>
                <w:iCs/>
                <w:sz w:val="16"/>
                <w:szCs w:val="16"/>
                <w:lang w:val="en-GB" w:eastAsia="en-GB"/>
              </w:rPr>
              <w:t>MEF,  Annual</w:t>
            </w:r>
            <w:proofErr w:type="gramEnd"/>
          </w:p>
          <w:p>
            <w:pPr>
              <w:rPr>
                <w:b/>
                <w:bCs/>
                <w:i/>
                <w:color w:val="000000"/>
                <w:sz w:val="16"/>
                <w:szCs w:val="16"/>
                <w:lang w:val="en-GB" w:eastAsia="en-GB"/>
              </w:rPr>
            </w:pPr>
          </w:p>
          <w:p>
            <w:pPr>
              <w:rPr>
                <w:b/>
                <w:bCs/>
                <w:i/>
                <w:color w:val="000000"/>
                <w:sz w:val="16"/>
                <w:szCs w:val="16"/>
                <w:lang w:val="en-GB" w:eastAsia="en-GB"/>
              </w:rPr>
            </w:pPr>
          </w:p>
          <w:p>
            <w:pPr>
              <w:rPr>
                <w:b/>
                <w:bCs/>
                <w:i/>
                <w:color w:val="000000"/>
                <w:sz w:val="16"/>
                <w:szCs w:val="16"/>
                <w:lang w:val="en-GB" w:eastAsia="en-GB"/>
              </w:rPr>
            </w:pPr>
          </w:p>
          <w:p>
            <w:pPr>
              <w:rPr>
                <w:b/>
                <w:bCs/>
                <w:i/>
                <w:color w:val="000000"/>
                <w:sz w:val="16"/>
                <w:szCs w:val="16"/>
                <w:lang w:val="en-GB" w:eastAsia="en-GB"/>
              </w:rPr>
            </w:pPr>
          </w:p>
          <w:p>
            <w:pPr>
              <w:rPr>
                <w:b/>
                <w:bCs/>
                <w:i/>
                <w:color w:val="000000"/>
                <w:sz w:val="16"/>
                <w:szCs w:val="16"/>
                <w:lang w:val="en-GB" w:eastAsia="en-GB"/>
              </w:rPr>
            </w:pPr>
          </w:p>
          <w:p>
            <w:pPr>
              <w:rPr>
                <w:b/>
                <w:bCs/>
                <w:i/>
                <w:color w:val="000000"/>
                <w:sz w:val="16"/>
                <w:szCs w:val="16"/>
                <w:lang w:val="en-GB" w:eastAsia="en-GB"/>
              </w:rPr>
            </w:pPr>
          </w:p>
          <w:p>
            <w:pPr>
              <w:rPr>
                <w:b/>
                <w:bCs/>
                <w:i/>
                <w:color w:val="000000"/>
                <w:sz w:val="16"/>
                <w:szCs w:val="16"/>
                <w:lang w:val="en-GB" w:eastAsia="en-GB"/>
              </w:rPr>
            </w:pPr>
          </w:p>
          <w:p>
            <w:pPr>
              <w:rPr>
                <w:b/>
                <w:bCs/>
                <w:i/>
                <w:color w:val="000000"/>
                <w:sz w:val="16"/>
                <w:szCs w:val="16"/>
                <w:lang w:val="en-GB" w:eastAsia="en-GB"/>
              </w:rPr>
            </w:pPr>
          </w:p>
          <w:p>
            <w:pPr>
              <w:rPr>
                <w:b/>
                <w:bCs/>
                <w:i/>
                <w:color w:val="000000"/>
                <w:sz w:val="16"/>
                <w:szCs w:val="16"/>
                <w:lang w:val="en-GB" w:eastAsia="en-GB"/>
              </w:rPr>
            </w:pPr>
          </w:p>
          <w:p>
            <w:pPr>
              <w:rPr>
                <w:i/>
                <w:iCs/>
                <w:sz w:val="16"/>
                <w:szCs w:val="16"/>
                <w:lang w:val="en-GB" w:eastAsia="en-GB"/>
              </w:rPr>
            </w:pPr>
            <w:r>
              <w:rPr>
                <w:i/>
                <w:iCs/>
                <w:sz w:val="16"/>
                <w:szCs w:val="16"/>
                <w:lang w:val="en-GB" w:eastAsia="en-GB"/>
              </w:rPr>
              <w:t xml:space="preserve">Data source </w:t>
            </w:r>
            <w:proofErr w:type="gramStart"/>
            <w:r>
              <w:rPr>
                <w:i/>
                <w:iCs/>
                <w:sz w:val="16"/>
                <w:szCs w:val="16"/>
                <w:lang w:val="en-GB" w:eastAsia="en-GB"/>
              </w:rPr>
              <w:t>MIDES,  Annual</w:t>
            </w:r>
            <w:proofErr w:type="gramEnd"/>
          </w:p>
          <w:p>
            <w:pPr>
              <w:rPr>
                <w:b/>
                <w:bCs/>
                <w:i/>
                <w:color w:val="000000"/>
                <w:sz w:val="16"/>
                <w:szCs w:val="16"/>
                <w:lang w:val="en-GB" w:eastAsia="en-GB"/>
              </w:rPr>
            </w:pPr>
          </w:p>
        </w:tc>
        <w:tc>
          <w:tcPr>
            <w:tcW w:w="1092" w:type="pct"/>
            <w:vMerge w:val="restart"/>
            <w:tcBorders>
              <w:top w:val="single" w:sz="4" w:space="0" w:color="auto"/>
              <w:left w:val="single" w:sz="4" w:space="0" w:color="auto"/>
              <w:bottom w:val="nil"/>
              <w:right w:val="single" w:sz="4" w:space="0" w:color="auto"/>
            </w:tcBorders>
            <w:tcMar>
              <w:top w:w="72" w:type="dxa"/>
              <w:left w:w="144" w:type="dxa"/>
              <w:bottom w:w="72" w:type="dxa"/>
              <w:right w:w="144" w:type="dxa"/>
            </w:tcMar>
          </w:tcPr>
          <w:p>
            <w:pPr>
              <w:rPr>
                <w:rFonts w:eastAsia="Calibri"/>
                <w:b/>
                <w:bCs/>
                <w:i/>
                <w:iCs/>
                <w:color w:val="000000" w:themeColor="text1"/>
                <w:sz w:val="16"/>
                <w:szCs w:val="16"/>
                <w:lang w:val="en-GB" w:eastAsia="en-GB"/>
              </w:rPr>
            </w:pPr>
            <w:r>
              <w:rPr>
                <w:b/>
                <w:bCs/>
                <w:i/>
                <w:iCs/>
                <w:color w:val="000000" w:themeColor="text1"/>
                <w:sz w:val="16"/>
                <w:szCs w:val="16"/>
                <w:lang w:val="en-GB" w:eastAsia="en-GB"/>
              </w:rPr>
              <w:t xml:space="preserve">1.1: </w:t>
            </w:r>
            <w:r>
              <w:rPr>
                <w:rFonts w:eastAsia="Calibri"/>
                <w:b/>
                <w:bCs/>
                <w:i/>
                <w:iCs/>
                <w:color w:val="000000" w:themeColor="text1"/>
                <w:sz w:val="16"/>
                <w:szCs w:val="16"/>
                <w:lang w:val="en-GB" w:eastAsia="en-GB"/>
              </w:rPr>
              <w:t>Policies and strategic actions supported for the establishment of a Social Protection System to help improve the access of women and vulnerable groups to decent work and sustainable livelihoods</w:t>
            </w:r>
          </w:p>
          <w:p>
            <w:pPr>
              <w:rPr>
                <w:i/>
                <w:iCs/>
                <w:color w:val="000000" w:themeColor="text1"/>
                <w:sz w:val="16"/>
                <w:szCs w:val="16"/>
                <w:lang w:val="en-GB" w:eastAsia="en-GB"/>
              </w:rPr>
            </w:pPr>
          </w:p>
          <w:p>
            <w:pPr>
              <w:rPr>
                <w:rFonts w:eastAsia="Calibri"/>
                <w:i/>
                <w:iCs/>
                <w:color w:val="000000"/>
                <w:sz w:val="16"/>
                <w:szCs w:val="16"/>
                <w:lang w:val="en-GB" w:eastAsia="en-GB"/>
              </w:rPr>
            </w:pPr>
            <w:r>
              <w:rPr>
                <w:rFonts w:eastAsia="Calibri"/>
                <w:i/>
                <w:iCs/>
                <w:color w:val="000000" w:themeColor="text1"/>
                <w:sz w:val="16"/>
                <w:szCs w:val="16"/>
                <w:lang w:val="en-GB" w:eastAsia="en-GB"/>
              </w:rPr>
              <w:t>I: Number of institutions supported to design/implement policy measures and/or strategic actions to improve women´s and vulnerable groups' access to decent work and sustainable livelihoods.</w:t>
            </w:r>
          </w:p>
          <w:p>
            <w:pPr>
              <w:pStyle w:val="ListParagraph"/>
              <w:ind w:left="360"/>
              <w:rPr>
                <w:i/>
                <w:iCs/>
                <w:sz w:val="16"/>
                <w:szCs w:val="16"/>
                <w:lang w:val="en-GB" w:eastAsia="en-GB"/>
              </w:rPr>
            </w:pPr>
            <w:r>
              <w:rPr>
                <w:i/>
                <w:iCs/>
                <w:sz w:val="16"/>
                <w:szCs w:val="16"/>
                <w:lang w:val="en-GB" w:eastAsia="en-GB"/>
              </w:rPr>
              <w:t>B: 3 (2020)</w:t>
            </w:r>
          </w:p>
          <w:p>
            <w:pPr>
              <w:pStyle w:val="ListParagraph"/>
              <w:ind w:left="360"/>
              <w:rPr>
                <w:i/>
                <w:iCs/>
                <w:sz w:val="16"/>
                <w:szCs w:val="16"/>
                <w:lang w:val="en-GB" w:eastAsia="en-GB"/>
              </w:rPr>
            </w:pPr>
            <w:r>
              <w:rPr>
                <w:i/>
                <w:iCs/>
                <w:sz w:val="16"/>
                <w:szCs w:val="16"/>
                <w:lang w:val="en-GB" w:eastAsia="en-GB"/>
              </w:rPr>
              <w:t>T: 10 (2025)</w:t>
            </w:r>
          </w:p>
          <w:p>
            <w:pPr>
              <w:pStyle w:val="ListParagraph"/>
              <w:ind w:left="360"/>
              <w:rPr>
                <w:i/>
                <w:iCs/>
                <w:sz w:val="16"/>
                <w:szCs w:val="16"/>
                <w:lang w:val="en-GB" w:eastAsia="en-GB"/>
              </w:rPr>
            </w:pPr>
            <w:r>
              <w:rPr>
                <w:i/>
                <w:iCs/>
                <w:sz w:val="16"/>
                <w:szCs w:val="16"/>
                <w:lang w:val="en-GB" w:eastAsia="en-GB"/>
              </w:rPr>
              <w:t>Data source MITRADEL, Annual</w:t>
            </w:r>
          </w:p>
          <w:p>
            <w:pPr>
              <w:rPr>
                <w:b/>
                <w:bCs/>
                <w:i/>
                <w:iCs/>
                <w:color w:val="000000"/>
                <w:sz w:val="16"/>
                <w:szCs w:val="16"/>
                <w:lang w:val="en-GB" w:eastAsia="en-GB"/>
              </w:rPr>
            </w:pPr>
          </w:p>
          <w:p>
            <w:pPr>
              <w:rPr>
                <w:rFonts w:eastAsia="Calibri"/>
                <w:i/>
                <w:iCs/>
                <w:color w:val="000000" w:themeColor="text1"/>
                <w:sz w:val="16"/>
                <w:szCs w:val="16"/>
                <w:lang w:val="en-GB" w:eastAsia="en-GB"/>
              </w:rPr>
            </w:pPr>
            <w:r>
              <w:rPr>
                <w:rFonts w:eastAsia="Calibri"/>
                <w:i/>
                <w:iCs/>
                <w:color w:val="000000" w:themeColor="text1"/>
                <w:sz w:val="16"/>
                <w:szCs w:val="16"/>
                <w:lang w:val="en-GB" w:eastAsia="en-GB"/>
              </w:rPr>
              <w:t>I: Number of policy measures and strategic actions that improve women´s and vulnerable groups' access to decent work and sustainable livelihoods designed/implemented at the territories.</w:t>
            </w:r>
          </w:p>
          <w:p>
            <w:pPr>
              <w:pStyle w:val="ListParagraph"/>
              <w:ind w:left="360"/>
              <w:rPr>
                <w:i/>
                <w:iCs/>
                <w:sz w:val="16"/>
                <w:szCs w:val="16"/>
                <w:lang w:val="en-GB" w:eastAsia="en-GB"/>
              </w:rPr>
            </w:pPr>
            <w:r>
              <w:rPr>
                <w:i/>
                <w:iCs/>
                <w:sz w:val="16"/>
                <w:szCs w:val="16"/>
                <w:lang w:val="en-GB" w:eastAsia="en-GB"/>
              </w:rPr>
              <w:t>B: 2 (2020)</w:t>
            </w:r>
          </w:p>
          <w:p>
            <w:pPr>
              <w:pStyle w:val="ListParagraph"/>
              <w:ind w:left="360"/>
              <w:rPr>
                <w:i/>
                <w:iCs/>
                <w:sz w:val="16"/>
                <w:szCs w:val="16"/>
                <w:lang w:val="en-GB" w:eastAsia="en-GB"/>
              </w:rPr>
            </w:pPr>
            <w:r>
              <w:rPr>
                <w:i/>
                <w:iCs/>
                <w:sz w:val="16"/>
                <w:szCs w:val="16"/>
                <w:lang w:val="en-GB" w:eastAsia="en-GB"/>
              </w:rPr>
              <w:t>T: 10 (2025)</w:t>
            </w:r>
          </w:p>
          <w:p>
            <w:pPr>
              <w:pStyle w:val="ListParagraph"/>
              <w:ind w:left="360"/>
              <w:rPr>
                <w:i/>
                <w:iCs/>
                <w:sz w:val="16"/>
                <w:szCs w:val="16"/>
                <w:lang w:val="en-GB" w:eastAsia="en-GB"/>
              </w:rPr>
            </w:pPr>
            <w:r>
              <w:rPr>
                <w:i/>
                <w:iCs/>
                <w:sz w:val="16"/>
                <w:szCs w:val="16"/>
                <w:lang w:val="en-GB" w:eastAsia="en-GB"/>
              </w:rPr>
              <w:t>Data source UNDP, Annual</w:t>
            </w:r>
          </w:p>
          <w:p>
            <w:pPr>
              <w:rPr>
                <w:b/>
                <w:bCs/>
                <w:i/>
                <w:iCs/>
                <w:color w:val="000000" w:themeColor="text1"/>
                <w:sz w:val="16"/>
                <w:szCs w:val="16"/>
                <w:lang w:val="en-GB" w:eastAsia="en-GB"/>
              </w:rPr>
            </w:pPr>
          </w:p>
          <w:p>
            <w:pPr>
              <w:rPr>
                <w:rFonts w:eastAsia="Calibri"/>
                <w:b/>
                <w:bCs/>
                <w:i/>
                <w:iCs/>
                <w:sz w:val="16"/>
                <w:szCs w:val="16"/>
                <w:lang w:val="en-GB" w:eastAsia="en-GB"/>
              </w:rPr>
            </w:pPr>
            <w:r>
              <w:rPr>
                <w:b/>
                <w:bCs/>
                <w:i/>
                <w:iCs/>
                <w:color w:val="000000" w:themeColor="text1"/>
                <w:sz w:val="16"/>
                <w:szCs w:val="16"/>
                <w:lang w:val="en-GB" w:eastAsia="en-GB"/>
              </w:rPr>
              <w:t xml:space="preserve">1.2: </w:t>
            </w:r>
            <w:r>
              <w:rPr>
                <w:rFonts w:eastAsia="Calibri"/>
                <w:b/>
                <w:bCs/>
                <w:i/>
                <w:iCs/>
                <w:sz w:val="16"/>
                <w:szCs w:val="16"/>
                <w:lang w:val="en-GB" w:eastAsia="en-GB"/>
              </w:rPr>
              <w:t xml:space="preserve">Local economic development processes promoted and implemented following an approach that fosters </w:t>
            </w:r>
            <w:r>
              <w:rPr>
                <w:rFonts w:eastAsia="Calibri"/>
                <w:b/>
                <w:bCs/>
                <w:i/>
                <w:iCs/>
                <w:sz w:val="16"/>
                <w:szCs w:val="16"/>
                <w:lang w:val="en-GB" w:eastAsia="en-GB"/>
              </w:rPr>
              <w:lastRenderedPageBreak/>
              <w:t>social and economic inclusion, innovation, competitiveness, gender equality, and environmental sustainability</w:t>
            </w:r>
          </w:p>
          <w:p>
            <w:pPr>
              <w:rPr>
                <w:b/>
                <w:bCs/>
                <w:i/>
                <w:iCs/>
                <w:color w:val="000000" w:themeColor="text1"/>
                <w:sz w:val="16"/>
                <w:szCs w:val="16"/>
                <w:lang w:val="en-GB" w:eastAsia="en-GB"/>
              </w:rPr>
            </w:pPr>
          </w:p>
          <w:p>
            <w:pPr>
              <w:rPr>
                <w:rFonts w:eastAsia="Calibri"/>
                <w:i/>
                <w:iCs/>
                <w:color w:val="000000" w:themeColor="text1"/>
                <w:sz w:val="16"/>
                <w:szCs w:val="16"/>
                <w:lang w:val="en-GB" w:eastAsia="en-GB"/>
              </w:rPr>
            </w:pPr>
            <w:r>
              <w:rPr>
                <w:i/>
                <w:iCs/>
                <w:color w:val="000000" w:themeColor="text1"/>
                <w:sz w:val="16"/>
                <w:szCs w:val="16"/>
                <w:lang w:val="en-GB" w:eastAsia="en-GB"/>
              </w:rPr>
              <w:t xml:space="preserve">I: </w:t>
            </w:r>
            <w:r>
              <w:rPr>
                <w:rFonts w:eastAsia="Calibri"/>
                <w:i/>
                <w:iCs/>
                <w:color w:val="000000" w:themeColor="text1"/>
                <w:sz w:val="16"/>
                <w:szCs w:val="16"/>
                <w:lang w:val="en-GB" w:eastAsia="en-GB"/>
              </w:rPr>
              <w:t>Number of municipalities that implement gender-sensitive and environmentally sustainable local economic development processes.</w:t>
            </w:r>
          </w:p>
          <w:p>
            <w:pPr>
              <w:pStyle w:val="ListParagraph"/>
              <w:ind w:left="360"/>
              <w:rPr>
                <w:i/>
                <w:iCs/>
                <w:sz w:val="16"/>
                <w:szCs w:val="16"/>
                <w:lang w:val="en-GB" w:eastAsia="en-GB"/>
              </w:rPr>
            </w:pPr>
            <w:r>
              <w:rPr>
                <w:i/>
                <w:iCs/>
                <w:sz w:val="16"/>
                <w:szCs w:val="16"/>
                <w:lang w:val="en-GB" w:eastAsia="en-GB"/>
              </w:rPr>
              <w:t>B: 0 (2020)</w:t>
            </w:r>
          </w:p>
          <w:p>
            <w:pPr>
              <w:pStyle w:val="ListParagraph"/>
              <w:ind w:left="360"/>
              <w:rPr>
                <w:i/>
                <w:iCs/>
                <w:sz w:val="16"/>
                <w:szCs w:val="16"/>
                <w:lang w:val="en-GB" w:eastAsia="en-GB"/>
              </w:rPr>
            </w:pPr>
            <w:r>
              <w:rPr>
                <w:i/>
                <w:iCs/>
                <w:sz w:val="16"/>
                <w:szCs w:val="16"/>
                <w:lang w:val="en-GB" w:eastAsia="en-GB"/>
              </w:rPr>
              <w:t>T: 10 (2025)</w:t>
            </w:r>
          </w:p>
          <w:p>
            <w:pPr>
              <w:pStyle w:val="ListParagraph"/>
              <w:ind w:left="360"/>
              <w:rPr>
                <w:i/>
                <w:iCs/>
                <w:sz w:val="16"/>
                <w:szCs w:val="16"/>
                <w:lang w:val="en-GB" w:eastAsia="en-GB"/>
              </w:rPr>
            </w:pPr>
            <w:r>
              <w:rPr>
                <w:i/>
                <w:iCs/>
                <w:sz w:val="16"/>
                <w:szCs w:val="16"/>
                <w:lang w:val="en-GB" w:eastAsia="en-GB"/>
              </w:rPr>
              <w:t xml:space="preserve">Data source </w:t>
            </w:r>
            <w:r>
              <w:rPr>
                <w:rFonts w:eastAsia="Calibri"/>
                <w:i/>
                <w:iCs/>
                <w:color w:val="000000" w:themeColor="text1"/>
                <w:sz w:val="16"/>
                <w:szCs w:val="16"/>
                <w:lang w:val="en-GB" w:eastAsia="en-GB"/>
              </w:rPr>
              <w:t>municipalities</w:t>
            </w:r>
            <w:r>
              <w:rPr>
                <w:i/>
                <w:iCs/>
                <w:sz w:val="16"/>
                <w:szCs w:val="16"/>
                <w:lang w:val="en-GB" w:eastAsia="en-GB"/>
              </w:rPr>
              <w:t>, Annual</w:t>
            </w:r>
          </w:p>
          <w:p>
            <w:pPr>
              <w:pStyle w:val="ListParagraph"/>
              <w:ind w:left="360"/>
              <w:rPr>
                <w:i/>
                <w:iCs/>
                <w:color w:val="000000" w:themeColor="text1"/>
                <w:sz w:val="16"/>
                <w:szCs w:val="16"/>
                <w:lang w:val="en-GB" w:eastAsia="en-GB"/>
              </w:rPr>
            </w:pPr>
          </w:p>
          <w:p>
            <w:pPr>
              <w:rPr>
                <w:rFonts w:eastAsia="Calibri"/>
                <w:i/>
                <w:iCs/>
                <w:color w:val="000000" w:themeColor="text1"/>
                <w:sz w:val="16"/>
                <w:szCs w:val="16"/>
                <w:lang w:val="en-GB" w:eastAsia="en-GB"/>
              </w:rPr>
            </w:pPr>
            <w:r>
              <w:rPr>
                <w:i/>
                <w:iCs/>
                <w:color w:val="000000" w:themeColor="text1"/>
                <w:sz w:val="16"/>
                <w:szCs w:val="16"/>
                <w:lang w:val="en-GB" w:eastAsia="en-GB"/>
              </w:rPr>
              <w:t xml:space="preserve">I: </w:t>
            </w:r>
            <w:r>
              <w:rPr>
                <w:rFonts w:eastAsia="Calibri"/>
                <w:i/>
                <w:iCs/>
                <w:color w:val="000000" w:themeColor="text1"/>
                <w:sz w:val="16"/>
                <w:szCs w:val="16"/>
                <w:lang w:val="en-GB" w:eastAsia="en-GB"/>
              </w:rPr>
              <w:t>Number of green and blue value chains supported to improve resilience to shocks and crises (environmental, economic, and social).</w:t>
            </w:r>
          </w:p>
          <w:p>
            <w:pPr>
              <w:pStyle w:val="ListParagraph"/>
              <w:ind w:left="360"/>
              <w:rPr>
                <w:i/>
                <w:iCs/>
                <w:sz w:val="16"/>
                <w:szCs w:val="16"/>
                <w:lang w:val="en-GB" w:eastAsia="en-GB"/>
              </w:rPr>
            </w:pPr>
            <w:r>
              <w:rPr>
                <w:i/>
                <w:iCs/>
                <w:sz w:val="16"/>
                <w:szCs w:val="16"/>
                <w:lang w:val="en-GB" w:eastAsia="en-GB"/>
              </w:rPr>
              <w:t>B: 0 (2020)</w:t>
            </w:r>
          </w:p>
          <w:p>
            <w:pPr>
              <w:pStyle w:val="ListParagraph"/>
              <w:ind w:left="360"/>
              <w:rPr>
                <w:i/>
                <w:iCs/>
                <w:sz w:val="16"/>
                <w:szCs w:val="16"/>
                <w:lang w:val="en-GB" w:eastAsia="en-GB"/>
              </w:rPr>
            </w:pPr>
            <w:r>
              <w:rPr>
                <w:i/>
                <w:iCs/>
                <w:sz w:val="16"/>
                <w:szCs w:val="16"/>
                <w:lang w:val="en-GB" w:eastAsia="en-GB"/>
              </w:rPr>
              <w:t>T: 10 (2025)</w:t>
            </w:r>
          </w:p>
          <w:p>
            <w:pPr>
              <w:pStyle w:val="ListParagraph"/>
              <w:ind w:left="360"/>
              <w:rPr>
                <w:i/>
                <w:iCs/>
                <w:sz w:val="16"/>
                <w:szCs w:val="16"/>
                <w:lang w:val="en-GB" w:eastAsia="en-GB"/>
              </w:rPr>
            </w:pPr>
            <w:r>
              <w:rPr>
                <w:i/>
                <w:iCs/>
                <w:sz w:val="16"/>
                <w:szCs w:val="16"/>
                <w:lang w:val="en-GB" w:eastAsia="en-GB"/>
              </w:rPr>
              <w:t>Data source UNDP, Annual</w:t>
            </w:r>
          </w:p>
          <w:p>
            <w:pPr>
              <w:rPr>
                <w:rFonts w:eastAsia="Calibri"/>
                <w:i/>
                <w:iCs/>
                <w:color w:val="000000" w:themeColor="text1"/>
                <w:sz w:val="16"/>
                <w:szCs w:val="16"/>
                <w:lang w:val="en-GB" w:eastAsia="en-GB"/>
              </w:rPr>
            </w:pPr>
          </w:p>
          <w:p>
            <w:pPr>
              <w:rPr>
                <w:rFonts w:eastAsia="Calibri"/>
                <w:b/>
                <w:bCs/>
                <w:i/>
                <w:iCs/>
                <w:color w:val="000000" w:themeColor="text1"/>
                <w:sz w:val="16"/>
                <w:szCs w:val="16"/>
                <w:lang w:val="en-GB" w:eastAsia="en-GB"/>
              </w:rPr>
            </w:pPr>
            <w:r>
              <w:rPr>
                <w:rFonts w:eastAsia="Calibri"/>
                <w:b/>
                <w:bCs/>
                <w:i/>
                <w:iCs/>
                <w:color w:val="000000" w:themeColor="text1"/>
                <w:sz w:val="16"/>
                <w:szCs w:val="16"/>
                <w:lang w:val="en-GB" w:eastAsia="en-GB"/>
              </w:rPr>
              <w:t xml:space="preserve">1.3: Essential services (education, </w:t>
            </w:r>
            <w:bookmarkStart w:id="5" w:name="_Hlk47435355"/>
            <w:r>
              <w:rPr>
                <w:rFonts w:eastAsia="Calibri"/>
                <w:b/>
                <w:bCs/>
                <w:i/>
                <w:iCs/>
                <w:color w:val="000000" w:themeColor="text1"/>
                <w:sz w:val="16"/>
                <w:szCs w:val="16"/>
                <w:lang w:val="en-GB" w:eastAsia="en-GB"/>
              </w:rPr>
              <w:t>health, housing, water, etc.) are accessible and adaptable to the needs of the population at the subnational level</w:t>
            </w:r>
          </w:p>
          <w:p>
            <w:pPr>
              <w:rPr>
                <w:rFonts w:eastAsia="Calibri"/>
                <w:b/>
                <w:bCs/>
                <w:i/>
                <w:iCs/>
                <w:color w:val="000000" w:themeColor="text1"/>
                <w:sz w:val="16"/>
                <w:szCs w:val="16"/>
                <w:lang w:val="en-GB" w:eastAsia="en-GB"/>
              </w:rPr>
            </w:pPr>
          </w:p>
          <w:p>
            <w:pPr>
              <w:rPr>
                <w:rFonts w:eastAsia="Calibri"/>
                <w:i/>
                <w:iCs/>
                <w:color w:val="000000" w:themeColor="text1"/>
                <w:sz w:val="16"/>
                <w:szCs w:val="16"/>
                <w:lang w:val="en-GB" w:eastAsia="en-GB"/>
              </w:rPr>
            </w:pPr>
            <w:r>
              <w:rPr>
                <w:rFonts w:eastAsia="Calibri"/>
                <w:i/>
                <w:iCs/>
                <w:color w:val="000000" w:themeColor="text1"/>
                <w:sz w:val="16"/>
                <w:szCs w:val="16"/>
                <w:lang w:val="en-GB" w:eastAsia="en-GB"/>
              </w:rPr>
              <w:t>Reduction in performance gap in Spanish and Math test scores</w:t>
            </w:r>
            <w:r>
              <w:rPr>
                <w:rStyle w:val="FootnoteReference"/>
                <w:rFonts w:eastAsia="Calibri"/>
                <w:i/>
                <w:iCs/>
                <w:color w:val="000000" w:themeColor="text1"/>
                <w:sz w:val="16"/>
                <w:szCs w:val="16"/>
                <w:lang w:val="en-GB" w:eastAsia="en-GB"/>
              </w:rPr>
              <w:footnoteReference w:id="5"/>
            </w:r>
            <w:r>
              <w:rPr>
                <w:rFonts w:eastAsia="Calibri"/>
                <w:i/>
                <w:iCs/>
                <w:color w:val="000000" w:themeColor="text1"/>
                <w:sz w:val="16"/>
                <w:szCs w:val="16"/>
                <w:lang w:val="en-GB" w:eastAsia="en-GB"/>
              </w:rPr>
              <w:t xml:space="preserve"> between top and lowest ranking schools</w:t>
            </w:r>
          </w:p>
          <w:p>
            <w:pPr>
              <w:pStyle w:val="ListParagraph"/>
              <w:ind w:left="360"/>
              <w:rPr>
                <w:i/>
                <w:iCs/>
                <w:sz w:val="16"/>
                <w:szCs w:val="16"/>
                <w:lang w:val="en-GB" w:eastAsia="en-GB"/>
              </w:rPr>
            </w:pPr>
            <w:r>
              <w:rPr>
                <w:i/>
                <w:iCs/>
                <w:sz w:val="16"/>
                <w:szCs w:val="16"/>
                <w:lang w:val="en-GB" w:eastAsia="en-GB"/>
              </w:rPr>
              <w:t>B: 68.7% Spanish; 73.5% Math (2017)</w:t>
            </w:r>
          </w:p>
          <w:p>
            <w:pPr>
              <w:pStyle w:val="ListParagraph"/>
              <w:ind w:left="360"/>
              <w:rPr>
                <w:i/>
                <w:iCs/>
                <w:sz w:val="16"/>
                <w:szCs w:val="16"/>
                <w:lang w:val="en-GB" w:eastAsia="en-GB"/>
              </w:rPr>
            </w:pPr>
            <w:r>
              <w:rPr>
                <w:i/>
                <w:iCs/>
                <w:sz w:val="16"/>
                <w:szCs w:val="16"/>
                <w:lang w:val="en-GB" w:eastAsia="en-GB"/>
              </w:rPr>
              <w:t>T: 50% Spanish; 50% Math (2025)</w:t>
            </w:r>
          </w:p>
          <w:bookmarkEnd w:id="5"/>
          <w:p>
            <w:pPr>
              <w:pStyle w:val="ListParagraph"/>
              <w:ind w:left="360"/>
              <w:rPr>
                <w:lang w:val="en-GB" w:eastAsia="en-GB"/>
              </w:rPr>
            </w:pPr>
            <w:r>
              <w:rPr>
                <w:i/>
                <w:iCs/>
                <w:sz w:val="16"/>
                <w:szCs w:val="16"/>
                <w:lang w:val="en-GB" w:eastAsia="en-GB"/>
              </w:rPr>
              <w:t xml:space="preserve">Data source MEDUCA Test </w:t>
            </w:r>
            <w:proofErr w:type="spellStart"/>
            <w:r>
              <w:rPr>
                <w:i/>
                <w:iCs/>
                <w:sz w:val="16"/>
                <w:szCs w:val="16"/>
                <w:lang w:val="en-GB" w:eastAsia="en-GB"/>
              </w:rPr>
              <w:t>Crecer</w:t>
            </w:r>
            <w:proofErr w:type="spellEnd"/>
          </w:p>
          <w:p>
            <w:pPr>
              <w:rPr>
                <w:rFonts w:eastAsia="Calibri"/>
                <w:i/>
                <w:iCs/>
                <w:color w:val="000000" w:themeColor="text1"/>
                <w:sz w:val="16"/>
                <w:szCs w:val="16"/>
                <w:lang w:val="en-GB" w:eastAsia="en-GB"/>
              </w:rPr>
            </w:pPr>
            <w:r>
              <w:rPr>
                <w:rFonts w:eastAsia="Calibri"/>
                <w:i/>
                <w:iCs/>
                <w:color w:val="000000" w:themeColor="text1"/>
                <w:sz w:val="16"/>
                <w:szCs w:val="16"/>
                <w:lang w:val="en-GB" w:eastAsia="en-GB"/>
              </w:rPr>
              <w:t xml:space="preserve"> </w:t>
            </w:r>
          </w:p>
          <w:p>
            <w:pPr>
              <w:rPr>
                <w:rFonts w:eastAsia="Calibri"/>
                <w:b/>
                <w:bCs/>
                <w:i/>
                <w:iCs/>
                <w:color w:val="000000" w:themeColor="text1"/>
                <w:sz w:val="16"/>
                <w:szCs w:val="16"/>
                <w:lang w:val="en-GB" w:eastAsia="en-GB"/>
              </w:rPr>
            </w:pPr>
          </w:p>
          <w:p>
            <w:pPr>
              <w:rPr>
                <w:rFonts w:eastAsia="Calibri"/>
                <w:b/>
                <w:bCs/>
                <w:i/>
                <w:iCs/>
                <w:color w:val="000000" w:themeColor="text1"/>
                <w:sz w:val="16"/>
                <w:szCs w:val="16"/>
                <w:lang w:val="en-GB" w:eastAsia="en-GB"/>
              </w:rPr>
            </w:pPr>
          </w:p>
          <w:p>
            <w:pPr>
              <w:rPr>
                <w:rFonts w:eastAsia="Calibri"/>
                <w:b/>
                <w:bCs/>
                <w:i/>
                <w:iCs/>
                <w:color w:val="000000" w:themeColor="text1"/>
                <w:sz w:val="16"/>
                <w:szCs w:val="16"/>
                <w:lang w:val="en-GB" w:eastAsia="en-GB"/>
              </w:rPr>
            </w:pPr>
          </w:p>
          <w:p>
            <w:pPr>
              <w:rPr>
                <w:rFonts w:eastAsia="Calibri"/>
                <w:b/>
                <w:bCs/>
                <w:i/>
                <w:iCs/>
                <w:color w:val="000000" w:themeColor="text1"/>
                <w:sz w:val="16"/>
                <w:szCs w:val="16"/>
                <w:lang w:val="en-GB" w:eastAsia="en-GB"/>
              </w:rPr>
            </w:pPr>
          </w:p>
          <w:p>
            <w:pPr>
              <w:rPr>
                <w:rFonts w:eastAsia="Calibri"/>
                <w:b/>
                <w:bCs/>
                <w:i/>
                <w:iCs/>
                <w:color w:val="000000" w:themeColor="text1"/>
                <w:sz w:val="16"/>
                <w:szCs w:val="16"/>
                <w:lang w:val="en-GB" w:eastAsia="en-GB"/>
              </w:rPr>
            </w:pPr>
          </w:p>
          <w:p>
            <w:pPr>
              <w:rPr>
                <w:rFonts w:eastAsia="Calibri"/>
                <w:b/>
                <w:bCs/>
                <w:i/>
                <w:iCs/>
                <w:color w:val="000000" w:themeColor="text1"/>
                <w:sz w:val="16"/>
                <w:szCs w:val="16"/>
                <w:lang w:val="en-GB" w:eastAsia="en-GB"/>
              </w:rPr>
            </w:pPr>
          </w:p>
          <w:p>
            <w:pPr>
              <w:rPr>
                <w:b/>
                <w:bCs/>
                <w:i/>
                <w:iCs/>
                <w:color w:val="000000"/>
                <w:sz w:val="16"/>
                <w:szCs w:val="16"/>
                <w:lang w:val="en-GB" w:eastAsia="en-GB"/>
              </w:rPr>
            </w:pPr>
          </w:p>
        </w:tc>
        <w:tc>
          <w:tcPr>
            <w:tcW w:w="675" w:type="pct"/>
            <w:vMerge w:val="restart"/>
            <w:tcBorders>
              <w:top w:val="single" w:sz="4" w:space="0" w:color="auto"/>
              <w:left w:val="single" w:sz="4" w:space="0" w:color="auto"/>
              <w:bottom w:val="nil"/>
              <w:right w:val="single" w:sz="4" w:space="0" w:color="auto"/>
            </w:tcBorders>
            <w:hideMark/>
          </w:tcPr>
          <w:p>
            <w:pPr>
              <w:rPr>
                <w:i/>
                <w:iCs/>
                <w:color w:val="000000"/>
                <w:sz w:val="16"/>
                <w:szCs w:val="16"/>
                <w:lang w:val="en-GB" w:eastAsia="en-GB"/>
              </w:rPr>
            </w:pPr>
          </w:p>
          <w:p>
            <w:pPr>
              <w:rPr>
                <w:i/>
                <w:iCs/>
                <w:sz w:val="16"/>
                <w:szCs w:val="16"/>
                <w:lang w:eastAsia="en-GB"/>
              </w:rPr>
            </w:pPr>
            <w:r>
              <w:rPr>
                <w:i/>
                <w:iCs/>
                <w:sz w:val="16"/>
                <w:szCs w:val="16"/>
                <w:lang w:eastAsia="en-GB"/>
              </w:rPr>
              <w:t>Government:</w:t>
            </w:r>
          </w:p>
          <w:p>
            <w:pPr>
              <w:rPr>
                <w:i/>
                <w:iCs/>
                <w:sz w:val="16"/>
                <w:szCs w:val="16"/>
                <w:lang w:eastAsia="en-GB"/>
              </w:rPr>
            </w:pPr>
          </w:p>
          <w:p>
            <w:pPr>
              <w:rPr>
                <w:i/>
                <w:iCs/>
                <w:sz w:val="16"/>
                <w:szCs w:val="16"/>
                <w:lang w:eastAsia="en-GB"/>
              </w:rPr>
            </w:pPr>
            <w:r>
              <w:rPr>
                <w:i/>
                <w:iCs/>
                <w:sz w:val="16"/>
                <w:szCs w:val="16"/>
                <w:lang w:eastAsia="en-GB"/>
              </w:rPr>
              <w:t>MIDES</w:t>
            </w:r>
          </w:p>
          <w:p>
            <w:pPr>
              <w:rPr>
                <w:i/>
                <w:iCs/>
                <w:sz w:val="16"/>
                <w:szCs w:val="16"/>
                <w:lang w:eastAsia="en-GB"/>
              </w:rPr>
            </w:pPr>
            <w:r>
              <w:rPr>
                <w:i/>
                <w:iCs/>
                <w:sz w:val="16"/>
                <w:szCs w:val="16"/>
                <w:lang w:eastAsia="en-GB"/>
              </w:rPr>
              <w:t>MEF</w:t>
            </w:r>
          </w:p>
          <w:p>
            <w:pPr>
              <w:rPr>
                <w:i/>
                <w:iCs/>
                <w:sz w:val="16"/>
                <w:szCs w:val="16"/>
                <w:lang w:eastAsia="en-GB"/>
              </w:rPr>
            </w:pPr>
            <w:r>
              <w:rPr>
                <w:i/>
                <w:iCs/>
                <w:sz w:val="16"/>
                <w:szCs w:val="16"/>
                <w:lang w:eastAsia="en-GB"/>
              </w:rPr>
              <w:t>MEDUCA</w:t>
            </w:r>
          </w:p>
          <w:p>
            <w:pPr>
              <w:rPr>
                <w:i/>
                <w:iCs/>
                <w:sz w:val="16"/>
                <w:szCs w:val="16"/>
                <w:lang w:eastAsia="en-GB"/>
              </w:rPr>
            </w:pPr>
            <w:r>
              <w:rPr>
                <w:i/>
                <w:iCs/>
                <w:sz w:val="16"/>
                <w:szCs w:val="16"/>
                <w:lang w:eastAsia="en-GB"/>
              </w:rPr>
              <w:t>MITRADEL</w:t>
            </w:r>
          </w:p>
          <w:p>
            <w:pPr>
              <w:rPr>
                <w:i/>
                <w:iCs/>
                <w:sz w:val="16"/>
                <w:szCs w:val="16"/>
                <w:lang w:eastAsia="en-GB"/>
              </w:rPr>
            </w:pPr>
            <w:r>
              <w:rPr>
                <w:i/>
                <w:iCs/>
                <w:sz w:val="16"/>
                <w:szCs w:val="16"/>
                <w:lang w:eastAsia="en-GB"/>
              </w:rPr>
              <w:t>INAMU (National Institute for Women)</w:t>
            </w:r>
          </w:p>
          <w:p>
            <w:pPr>
              <w:rPr>
                <w:i/>
                <w:iCs/>
                <w:sz w:val="16"/>
                <w:szCs w:val="16"/>
                <w:lang w:eastAsia="en-GB"/>
              </w:rPr>
            </w:pPr>
            <w:r>
              <w:rPr>
                <w:i/>
                <w:iCs/>
                <w:sz w:val="16"/>
                <w:szCs w:val="16"/>
                <w:lang w:eastAsia="en-GB"/>
              </w:rPr>
              <w:t>INADEH (National Institute for Skill Training and Human Development)</w:t>
            </w:r>
          </w:p>
          <w:p>
            <w:pPr>
              <w:rPr>
                <w:i/>
                <w:iCs/>
                <w:sz w:val="16"/>
                <w:szCs w:val="16"/>
                <w:lang w:eastAsia="en-GB"/>
              </w:rPr>
            </w:pPr>
          </w:p>
          <w:p>
            <w:pPr>
              <w:rPr>
                <w:i/>
                <w:iCs/>
                <w:sz w:val="16"/>
                <w:szCs w:val="16"/>
                <w:lang w:eastAsia="en-GB"/>
              </w:rPr>
            </w:pPr>
            <w:r>
              <w:rPr>
                <w:i/>
                <w:iCs/>
                <w:sz w:val="16"/>
                <w:szCs w:val="16"/>
                <w:lang w:eastAsia="en-GB"/>
              </w:rPr>
              <w:t>Local governments</w:t>
            </w:r>
          </w:p>
          <w:p>
            <w:pPr>
              <w:rPr>
                <w:i/>
                <w:iCs/>
                <w:sz w:val="16"/>
                <w:szCs w:val="16"/>
                <w:lang w:eastAsia="en-GB"/>
              </w:rPr>
            </w:pPr>
          </w:p>
          <w:p>
            <w:pPr>
              <w:rPr>
                <w:i/>
                <w:iCs/>
                <w:sz w:val="16"/>
                <w:szCs w:val="16"/>
                <w:lang w:eastAsia="en-GB"/>
              </w:rPr>
            </w:pPr>
            <w:r>
              <w:rPr>
                <w:i/>
                <w:iCs/>
                <w:sz w:val="16"/>
                <w:szCs w:val="16"/>
                <w:lang w:eastAsia="en-GB"/>
              </w:rPr>
              <w:t>Private Sector</w:t>
            </w:r>
          </w:p>
          <w:p>
            <w:pPr>
              <w:rPr>
                <w:i/>
                <w:iCs/>
                <w:sz w:val="16"/>
                <w:szCs w:val="16"/>
                <w:lang w:eastAsia="en-GB"/>
              </w:rPr>
            </w:pPr>
          </w:p>
          <w:p>
            <w:pPr>
              <w:rPr>
                <w:i/>
                <w:iCs/>
                <w:sz w:val="16"/>
                <w:szCs w:val="16"/>
                <w:lang w:eastAsia="en-GB"/>
              </w:rPr>
            </w:pPr>
            <w:r>
              <w:rPr>
                <w:i/>
                <w:iCs/>
                <w:sz w:val="16"/>
                <w:szCs w:val="16"/>
                <w:lang w:eastAsia="en-GB"/>
              </w:rPr>
              <w:t>ONGs</w:t>
            </w:r>
          </w:p>
          <w:p>
            <w:pPr>
              <w:rPr>
                <w:i/>
                <w:iCs/>
                <w:sz w:val="16"/>
                <w:szCs w:val="16"/>
                <w:lang w:val="en-GB" w:eastAsia="en-GB"/>
              </w:rPr>
            </w:pPr>
            <w:r>
              <w:rPr>
                <w:i/>
                <w:iCs/>
                <w:sz w:val="16"/>
                <w:szCs w:val="16"/>
                <w:lang w:val="en-GB" w:eastAsia="en-GB"/>
              </w:rPr>
              <w:t>Inter-cultural communities and indigenous groups</w:t>
            </w:r>
          </w:p>
          <w:p>
            <w:pPr>
              <w:rPr>
                <w:i/>
                <w:iCs/>
                <w:sz w:val="16"/>
                <w:szCs w:val="16"/>
                <w:lang w:val="en-GB" w:eastAsia="en-GB"/>
              </w:rPr>
            </w:pPr>
            <w:r>
              <w:rPr>
                <w:i/>
                <w:iCs/>
                <w:sz w:val="16"/>
                <w:szCs w:val="16"/>
                <w:lang w:val="en-GB" w:eastAsia="en-GB"/>
              </w:rPr>
              <w:t>Civil society</w:t>
            </w:r>
          </w:p>
          <w:p>
            <w:pPr>
              <w:rPr>
                <w:i/>
                <w:iCs/>
                <w:sz w:val="16"/>
                <w:szCs w:val="16"/>
                <w:lang w:val="en-GB" w:eastAsia="en-GB"/>
              </w:rPr>
            </w:pPr>
          </w:p>
          <w:p>
            <w:pPr>
              <w:rPr>
                <w:i/>
                <w:iCs/>
                <w:sz w:val="16"/>
                <w:szCs w:val="16"/>
                <w:lang w:val="en-GB" w:eastAsia="en-GB"/>
              </w:rPr>
            </w:pPr>
            <w:r>
              <w:rPr>
                <w:i/>
                <w:iCs/>
                <w:sz w:val="16"/>
                <w:szCs w:val="16"/>
                <w:lang w:val="en-GB" w:eastAsia="en-GB"/>
              </w:rPr>
              <w:t>Donors:</w:t>
            </w:r>
          </w:p>
          <w:p>
            <w:pPr>
              <w:pStyle w:val="ListParagraph"/>
              <w:numPr>
                <w:ilvl w:val="0"/>
                <w:numId w:val="40"/>
              </w:numPr>
              <w:rPr>
                <w:i/>
                <w:iCs/>
                <w:sz w:val="16"/>
                <w:szCs w:val="16"/>
                <w:lang w:val="en-GB" w:eastAsia="en-GB"/>
              </w:rPr>
            </w:pPr>
            <w:r>
              <w:rPr>
                <w:i/>
                <w:iCs/>
                <w:sz w:val="16"/>
                <w:szCs w:val="16"/>
                <w:lang w:val="en-GB" w:eastAsia="en-GB"/>
              </w:rPr>
              <w:t>GF</w:t>
            </w:r>
          </w:p>
          <w:p>
            <w:pPr>
              <w:pStyle w:val="ListParagraph"/>
              <w:numPr>
                <w:ilvl w:val="0"/>
                <w:numId w:val="40"/>
              </w:numPr>
              <w:rPr>
                <w:i/>
                <w:iCs/>
                <w:sz w:val="16"/>
                <w:szCs w:val="16"/>
                <w:lang w:val="en-GB" w:eastAsia="en-GB"/>
              </w:rPr>
            </w:pPr>
            <w:r>
              <w:rPr>
                <w:i/>
                <w:iCs/>
                <w:sz w:val="16"/>
                <w:szCs w:val="16"/>
                <w:lang w:val="en-GB" w:eastAsia="en-GB"/>
              </w:rPr>
              <w:t>IADB, CAF, WB</w:t>
            </w:r>
          </w:p>
          <w:p>
            <w:pPr>
              <w:pStyle w:val="ListParagraph"/>
              <w:ind w:left="360"/>
              <w:rPr>
                <w:i/>
                <w:iCs/>
                <w:sz w:val="16"/>
                <w:szCs w:val="16"/>
                <w:lang w:val="en-GB" w:eastAsia="en-GB"/>
              </w:rPr>
            </w:pPr>
          </w:p>
          <w:p>
            <w:pPr>
              <w:rPr>
                <w:i/>
                <w:iCs/>
                <w:sz w:val="16"/>
                <w:szCs w:val="16"/>
                <w:lang w:val="en-GB" w:eastAsia="en-GB"/>
              </w:rPr>
            </w:pPr>
          </w:p>
          <w:p>
            <w:pPr>
              <w:rPr>
                <w:i/>
                <w:iCs/>
                <w:sz w:val="16"/>
                <w:szCs w:val="16"/>
                <w:lang w:val="en-GB" w:eastAsia="en-GB"/>
              </w:rPr>
            </w:pPr>
          </w:p>
          <w:p>
            <w:pPr>
              <w:rPr>
                <w:i/>
                <w:iCs/>
                <w:sz w:val="16"/>
                <w:szCs w:val="16"/>
                <w:lang w:val="en-GB" w:eastAsia="en-GB"/>
              </w:rPr>
            </w:pPr>
            <w:r>
              <w:rPr>
                <w:i/>
                <w:iCs/>
                <w:sz w:val="16"/>
                <w:szCs w:val="16"/>
                <w:lang w:val="en-GB" w:eastAsia="en-GB"/>
              </w:rPr>
              <w:t>Other partners:</w:t>
            </w:r>
          </w:p>
          <w:p>
            <w:pPr>
              <w:rPr>
                <w:i/>
                <w:iCs/>
                <w:sz w:val="16"/>
                <w:szCs w:val="16"/>
                <w:lang w:val="en-GB" w:eastAsia="en-GB"/>
              </w:rPr>
            </w:pPr>
            <w:r>
              <w:rPr>
                <w:i/>
                <w:iCs/>
                <w:sz w:val="16"/>
                <w:szCs w:val="16"/>
                <w:lang w:val="en-GB" w:eastAsia="en-GB"/>
              </w:rPr>
              <w:lastRenderedPageBreak/>
              <w:t>UNFPA, UNWOMEN, UNICEF</w:t>
            </w:r>
          </w:p>
          <w:p>
            <w:pPr>
              <w:rPr>
                <w:i/>
                <w:iCs/>
                <w:color w:val="000000"/>
                <w:sz w:val="16"/>
                <w:szCs w:val="16"/>
                <w:lang w:val="en-GB" w:eastAsia="en-GB"/>
              </w:rPr>
            </w:pPr>
          </w:p>
        </w:tc>
        <w:tc>
          <w:tcPr>
            <w:tcW w:w="958" w:type="pct"/>
            <w:tcBorders>
              <w:top w:val="single" w:sz="4" w:space="0" w:color="auto"/>
              <w:left w:val="single" w:sz="4" w:space="0" w:color="auto"/>
              <w:bottom w:val="single" w:sz="4" w:space="0" w:color="auto"/>
              <w:right w:val="nil"/>
            </w:tcBorders>
            <w:tcMar>
              <w:top w:w="15" w:type="dxa"/>
              <w:left w:w="108" w:type="dxa"/>
              <w:bottom w:w="0" w:type="dxa"/>
              <w:right w:w="108" w:type="dxa"/>
            </w:tcMar>
            <w:hideMark/>
          </w:tcPr>
          <w:p>
            <w:pPr>
              <w:rPr>
                <w:b/>
                <w:color w:val="000000"/>
                <w:sz w:val="16"/>
                <w:szCs w:val="16"/>
                <w:lang w:val="en-GB" w:eastAsia="en-GB"/>
              </w:rPr>
            </w:pPr>
            <w:r>
              <w:rPr>
                <w:b/>
                <w:color w:val="000000"/>
                <w:sz w:val="16"/>
                <w:szCs w:val="16"/>
                <w:lang w:val="en-GB" w:eastAsia="en-GB"/>
              </w:rPr>
              <w:lastRenderedPageBreak/>
              <w:t>Regular</w:t>
            </w:r>
          </w:p>
          <w:p>
            <w:pPr>
              <w:rPr>
                <w:b/>
                <w:color w:val="000000"/>
                <w:sz w:val="16"/>
                <w:szCs w:val="16"/>
                <w:lang w:val="en-GB" w:eastAsia="en-GB"/>
              </w:rPr>
            </w:pPr>
            <w:r>
              <w:rPr>
                <w:sz w:val="17"/>
                <w:szCs w:val="17"/>
              </w:rPr>
              <w:t>305,000</w:t>
            </w:r>
          </w:p>
        </w:tc>
      </w:tr>
      <w:tr>
        <w:trPr>
          <w:trHeight w:val="461"/>
        </w:trPr>
        <w:tc>
          <w:tcPr>
            <w:tcW w:w="0" w:type="auto"/>
            <w:vMerge/>
            <w:tcBorders>
              <w:top w:val="single" w:sz="4" w:space="0" w:color="auto"/>
              <w:left w:val="nil"/>
              <w:bottom w:val="nil"/>
              <w:right w:val="single" w:sz="4" w:space="0" w:color="auto"/>
            </w:tcBorders>
            <w:vAlign w:val="center"/>
            <w:hideMark/>
          </w:tcPr>
          <w:p>
            <w:pPr>
              <w:rPr>
                <w:bCs/>
                <w:i/>
                <w:color w:val="000000"/>
                <w:sz w:val="16"/>
                <w:szCs w:val="16"/>
                <w:lang w:val="en-GB" w:eastAsia="en-GB"/>
              </w:rPr>
            </w:pPr>
          </w:p>
        </w:tc>
        <w:tc>
          <w:tcPr>
            <w:tcW w:w="0" w:type="auto"/>
            <w:vMerge/>
            <w:tcBorders>
              <w:top w:val="single" w:sz="4" w:space="0" w:color="auto"/>
              <w:left w:val="single" w:sz="4" w:space="0" w:color="auto"/>
              <w:bottom w:val="nil"/>
              <w:right w:val="single" w:sz="4" w:space="0" w:color="auto"/>
            </w:tcBorders>
            <w:vAlign w:val="center"/>
            <w:hideMark/>
          </w:tcPr>
          <w:p>
            <w:pPr>
              <w:rPr>
                <w:b/>
                <w:bCs/>
                <w:i/>
                <w:color w:val="000000"/>
                <w:sz w:val="16"/>
                <w:szCs w:val="16"/>
                <w:lang w:val="en-GB" w:eastAsia="en-GB"/>
              </w:rPr>
            </w:pPr>
          </w:p>
        </w:tc>
        <w:tc>
          <w:tcPr>
            <w:tcW w:w="0" w:type="auto"/>
            <w:vMerge/>
            <w:tcBorders>
              <w:top w:val="single" w:sz="4" w:space="0" w:color="auto"/>
              <w:left w:val="single" w:sz="4" w:space="0" w:color="auto"/>
              <w:bottom w:val="nil"/>
              <w:right w:val="single" w:sz="4" w:space="0" w:color="auto"/>
            </w:tcBorders>
            <w:vAlign w:val="center"/>
            <w:hideMark/>
          </w:tcPr>
          <w:p>
            <w:pPr>
              <w:rPr>
                <w:b/>
                <w:bCs/>
                <w:color w:val="000000"/>
                <w:sz w:val="16"/>
                <w:szCs w:val="16"/>
                <w:lang w:val="en-GB" w:eastAsia="en-GB"/>
              </w:rPr>
            </w:pPr>
          </w:p>
        </w:tc>
        <w:tc>
          <w:tcPr>
            <w:tcW w:w="0" w:type="auto"/>
            <w:vMerge/>
            <w:tcBorders>
              <w:top w:val="single" w:sz="4" w:space="0" w:color="auto"/>
              <w:left w:val="single" w:sz="4" w:space="0" w:color="auto"/>
              <w:bottom w:val="nil"/>
              <w:right w:val="single" w:sz="4" w:space="0" w:color="auto"/>
            </w:tcBorders>
            <w:vAlign w:val="center"/>
            <w:hideMark/>
          </w:tcPr>
          <w:p>
            <w:pPr>
              <w:rPr>
                <w:i/>
                <w:iCs/>
                <w:color w:val="000000"/>
                <w:sz w:val="16"/>
                <w:szCs w:val="16"/>
                <w:lang w:val="en-GB" w:eastAsia="en-GB"/>
              </w:rPr>
            </w:pPr>
          </w:p>
        </w:tc>
        <w:tc>
          <w:tcPr>
            <w:tcW w:w="958" w:type="pct"/>
            <w:tcBorders>
              <w:top w:val="single" w:sz="4" w:space="0" w:color="auto"/>
              <w:left w:val="single" w:sz="4" w:space="0" w:color="auto"/>
              <w:bottom w:val="nil"/>
              <w:right w:val="nil"/>
            </w:tcBorders>
            <w:tcMar>
              <w:top w:w="15" w:type="dxa"/>
              <w:left w:w="108" w:type="dxa"/>
              <w:bottom w:w="0" w:type="dxa"/>
              <w:right w:w="108" w:type="dxa"/>
            </w:tcMar>
          </w:tcPr>
          <w:p>
            <w:pPr>
              <w:rPr>
                <w:b/>
                <w:color w:val="000000"/>
                <w:sz w:val="16"/>
                <w:szCs w:val="16"/>
                <w:lang w:val="en-GB" w:eastAsia="en-GB"/>
              </w:rPr>
            </w:pPr>
            <w:r>
              <w:rPr>
                <w:b/>
                <w:color w:val="000000"/>
                <w:sz w:val="16"/>
                <w:szCs w:val="16"/>
                <w:lang w:val="en-GB" w:eastAsia="en-GB"/>
              </w:rPr>
              <w:t>Other</w:t>
            </w:r>
          </w:p>
          <w:p>
            <w:pPr>
              <w:rPr>
                <w:b/>
                <w:color w:val="000000"/>
                <w:sz w:val="16"/>
                <w:szCs w:val="16"/>
                <w:lang w:val="en-GB" w:eastAsia="en-GB"/>
              </w:rPr>
            </w:pPr>
            <w:r>
              <w:rPr>
                <w:sz w:val="17"/>
                <w:szCs w:val="17"/>
              </w:rPr>
              <w:t>59,800,000</w:t>
            </w:r>
          </w:p>
          <w:p>
            <w:pPr>
              <w:rPr>
                <w:b/>
                <w:color w:val="000000"/>
                <w:sz w:val="16"/>
                <w:szCs w:val="16"/>
                <w:lang w:val="en-GB" w:eastAsia="en-GB"/>
              </w:rPr>
            </w:pPr>
          </w:p>
          <w:p>
            <w:pPr>
              <w:rPr>
                <w:b/>
                <w:color w:val="000000"/>
                <w:sz w:val="16"/>
                <w:szCs w:val="16"/>
                <w:lang w:val="en-GB" w:eastAsia="en-GB"/>
              </w:rPr>
            </w:pPr>
          </w:p>
          <w:p>
            <w:pPr>
              <w:rPr>
                <w:i/>
                <w:iCs/>
                <w:color w:val="000000"/>
                <w:sz w:val="16"/>
                <w:szCs w:val="16"/>
                <w:lang w:val="en-GB" w:eastAsia="en-GB"/>
              </w:rPr>
            </w:pPr>
          </w:p>
          <w:p>
            <w:pPr>
              <w:rPr>
                <w:i/>
                <w:iCs/>
                <w:color w:val="000000"/>
                <w:sz w:val="16"/>
                <w:szCs w:val="16"/>
                <w:lang w:val="en-GB" w:eastAsia="en-GB"/>
              </w:rPr>
            </w:pPr>
          </w:p>
          <w:p>
            <w:pPr>
              <w:rPr>
                <w:b/>
                <w:color w:val="000000"/>
                <w:sz w:val="16"/>
                <w:szCs w:val="16"/>
                <w:lang w:val="en-GB" w:eastAsia="en-GB"/>
              </w:rPr>
            </w:pPr>
          </w:p>
        </w:tc>
      </w:tr>
    </w:tbl>
    <w:p>
      <w:pPr>
        <w:rPr>
          <w:color w:val="000000"/>
        </w:rPr>
      </w:pPr>
    </w:p>
    <w:tbl>
      <w:tblPr>
        <w:tblW w:w="4800" w:type="pct"/>
        <w:tblBorders>
          <w:insideH w:val="single" w:sz="4" w:space="0" w:color="auto"/>
          <w:insideV w:val="single" w:sz="4" w:space="0" w:color="auto"/>
        </w:tblBorders>
        <w:tblCellMar>
          <w:left w:w="29" w:type="dxa"/>
          <w:right w:w="29" w:type="dxa"/>
        </w:tblCellMar>
        <w:tblLook w:val="00A0" w:firstRow="1" w:lastRow="0" w:firstColumn="1" w:lastColumn="0" w:noHBand="0" w:noVBand="0"/>
      </w:tblPr>
      <w:tblGrid>
        <w:gridCol w:w="2851"/>
        <w:gridCol w:w="3062"/>
        <w:gridCol w:w="2838"/>
        <w:gridCol w:w="1754"/>
        <w:gridCol w:w="2490"/>
      </w:tblGrid>
      <w:tr>
        <w:trPr>
          <w:trHeight w:val="25"/>
        </w:trPr>
        <w:tc>
          <w:tcPr>
            <w:tcW w:w="5000" w:type="pct"/>
            <w:gridSpan w:val="5"/>
            <w:tcBorders>
              <w:top w:val="nil"/>
              <w:left w:val="nil"/>
              <w:bottom w:val="single" w:sz="4" w:space="0" w:color="auto"/>
              <w:right w:val="nil"/>
            </w:tcBorders>
            <w:shd w:val="clear" w:color="auto" w:fill="DBE5F1" w:themeFill="accent1" w:themeFillTint="33"/>
            <w:tcMar>
              <w:top w:w="72" w:type="dxa"/>
              <w:left w:w="144" w:type="dxa"/>
              <w:bottom w:w="72" w:type="dxa"/>
              <w:right w:w="144" w:type="dxa"/>
            </w:tcMar>
            <w:hideMark/>
          </w:tcPr>
          <w:p>
            <w:pPr>
              <w:rPr>
                <w:color w:val="000000"/>
                <w:sz w:val="16"/>
                <w:szCs w:val="16"/>
                <w:lang w:val="en-GB" w:eastAsia="en-GB"/>
              </w:rPr>
            </w:pPr>
            <w:r>
              <w:rPr>
                <w:color w:val="000000"/>
              </w:rPr>
              <w:lastRenderedPageBreak/>
              <w:br w:type="page"/>
            </w:r>
            <w:r>
              <w:rPr>
                <w:b/>
                <w:bCs/>
                <w:color w:val="000000"/>
                <w:sz w:val="16"/>
                <w:szCs w:val="16"/>
                <w:lang w:val="en-GB" w:eastAsia="en-GB"/>
              </w:rPr>
              <w:t xml:space="preserve">NATIONAL PRIORITY OR GOAL: </w:t>
            </w:r>
            <w:r>
              <w:rPr>
                <w:color w:val="000000"/>
                <w:sz w:val="16"/>
                <w:szCs w:val="16"/>
                <w:lang w:val="en-GB" w:eastAsia="en-GB"/>
              </w:rPr>
              <w:t>Good governance, Rule of law, Competitive economy that generate jobs, Fight against poverty and inequality, Education, Science, Technology and culture, SDGs: 1, 5, 8, 9,10, 11, 16, 17</w:t>
            </w:r>
          </w:p>
        </w:tc>
      </w:tr>
      <w:tr>
        <w:trPr>
          <w:trHeight w:val="124"/>
        </w:trPr>
        <w:tc>
          <w:tcPr>
            <w:tcW w:w="5000" w:type="pct"/>
            <w:gridSpan w:val="5"/>
            <w:tcBorders>
              <w:top w:val="single" w:sz="4" w:space="0" w:color="auto"/>
              <w:left w:val="nil"/>
              <w:bottom w:val="single" w:sz="4" w:space="0" w:color="auto"/>
              <w:right w:val="nil"/>
            </w:tcBorders>
            <w:shd w:val="clear" w:color="auto" w:fill="DBE5F1" w:themeFill="accent1" w:themeFillTint="33"/>
            <w:tcMar>
              <w:top w:w="72" w:type="dxa"/>
              <w:left w:w="144" w:type="dxa"/>
              <w:bottom w:w="72" w:type="dxa"/>
              <w:right w:w="144" w:type="dxa"/>
            </w:tcMar>
            <w:hideMark/>
          </w:tcPr>
          <w:p>
            <w:pPr>
              <w:spacing w:line="276" w:lineRule="auto"/>
              <w:jc w:val="both"/>
              <w:rPr>
                <w:i/>
                <w:iCs/>
                <w:sz w:val="16"/>
                <w:szCs w:val="16"/>
                <w:lang w:val="en-GB" w:eastAsia="en-GB"/>
              </w:rPr>
            </w:pPr>
            <w:r>
              <w:rPr>
                <w:b/>
                <w:bCs/>
                <w:color w:val="000000" w:themeColor="text1"/>
                <w:sz w:val="16"/>
                <w:szCs w:val="16"/>
                <w:lang w:val="en-GB" w:eastAsia="en-GB"/>
              </w:rPr>
              <w:t>COOPERATION FRAMEWORK  OUTCOME INVOLVING UNDP #2:</w:t>
            </w:r>
            <w:r>
              <w:rPr>
                <w:color w:val="000000" w:themeColor="text1"/>
                <w:sz w:val="16"/>
                <w:szCs w:val="16"/>
                <w:lang w:val="en-GB" w:eastAsia="en-GB"/>
              </w:rPr>
              <w:t xml:space="preserve"> </w:t>
            </w:r>
            <w:r>
              <w:rPr>
                <w:i/>
                <w:iCs/>
                <w:sz w:val="16"/>
                <w:szCs w:val="16"/>
                <w:lang w:val="en-GB" w:eastAsia="en-GB"/>
              </w:rPr>
              <w:t>"By 2025, Panama has participatory governance and inclusive, effective, transparent and fair national and local institutions at the service of the people, articulated among themselves and in alliance with non-governmental actors; with a territorial, human rights, intercultural, gender, and life-course approach and leaving no one behind".</w:t>
            </w:r>
          </w:p>
          <w:p>
            <w:pPr>
              <w:rPr>
                <w:rFonts w:eastAsia="Calibri"/>
                <w:i/>
                <w:iCs/>
                <w:sz w:val="16"/>
                <w:szCs w:val="16"/>
                <w:lang w:val="en-GB" w:eastAsia="en-GB"/>
              </w:rPr>
            </w:pPr>
            <w:r>
              <w:rPr>
                <w:rFonts w:eastAsia="Calibri"/>
                <w:i/>
                <w:iCs/>
                <w:sz w:val="16"/>
                <w:szCs w:val="16"/>
                <w:lang w:val="en-GB" w:eastAsia="en-GB"/>
              </w:rPr>
              <w:t xml:space="preserve">IRRF: 2.2.3.1 Country has strengthened institutions and systems supporting </w:t>
            </w:r>
            <w:proofErr w:type="spellStart"/>
            <w:r>
              <w:rPr>
                <w:rFonts w:eastAsia="Calibri"/>
                <w:i/>
                <w:iCs/>
                <w:sz w:val="16"/>
                <w:szCs w:val="16"/>
                <w:lang w:val="en-GB" w:eastAsia="en-GB"/>
              </w:rPr>
              <w:t>fulfillment</w:t>
            </w:r>
            <w:proofErr w:type="spellEnd"/>
            <w:r>
              <w:rPr>
                <w:rFonts w:eastAsia="Calibri"/>
                <w:i/>
                <w:iCs/>
                <w:sz w:val="16"/>
                <w:szCs w:val="16"/>
                <w:lang w:val="en-GB" w:eastAsia="en-GB"/>
              </w:rPr>
              <w:t xml:space="preserve"> of nationally and internationally ratified human rights obligations</w:t>
            </w:r>
          </w:p>
          <w:p>
            <w:pPr>
              <w:pStyle w:val="ListParagraph"/>
              <w:ind w:left="360"/>
              <w:rPr>
                <w:rFonts w:eastAsia="Calibri"/>
                <w:i/>
                <w:iCs/>
                <w:sz w:val="16"/>
                <w:szCs w:val="16"/>
                <w:lang w:val="en-GB" w:eastAsia="en-GB"/>
              </w:rPr>
            </w:pPr>
            <w:r>
              <w:rPr>
                <w:i/>
                <w:iCs/>
                <w:sz w:val="16"/>
                <w:szCs w:val="16"/>
                <w:lang w:val="en-GB" w:eastAsia="en-GB"/>
              </w:rPr>
              <w:t>B: Yes (2020</w:t>
            </w:r>
            <w:proofErr w:type="gramStart"/>
            <w:r>
              <w:rPr>
                <w:i/>
                <w:iCs/>
                <w:sz w:val="16"/>
                <w:szCs w:val="16"/>
                <w:lang w:val="en-GB" w:eastAsia="en-GB"/>
              </w:rPr>
              <w:t>)  T</w:t>
            </w:r>
            <w:proofErr w:type="gramEnd"/>
            <w:r>
              <w:rPr>
                <w:i/>
                <w:iCs/>
                <w:sz w:val="16"/>
                <w:szCs w:val="16"/>
                <w:lang w:val="en-GB" w:eastAsia="en-GB"/>
              </w:rPr>
              <w:t xml:space="preserve">: Yes (2021) </w:t>
            </w:r>
          </w:p>
          <w:p>
            <w:pPr>
              <w:rPr>
                <w:rFonts w:eastAsia="Calibri"/>
                <w:i/>
                <w:iCs/>
                <w:sz w:val="16"/>
                <w:szCs w:val="16"/>
                <w:lang w:val="en-GB" w:eastAsia="en-GB"/>
              </w:rPr>
            </w:pPr>
            <w:r>
              <w:rPr>
                <w:rFonts w:eastAsia="Calibri"/>
                <w:i/>
                <w:iCs/>
                <w:sz w:val="16"/>
                <w:szCs w:val="16"/>
                <w:lang w:val="en-GB" w:eastAsia="en-GB"/>
              </w:rPr>
              <w:t>IRRF: 2.2.3.3 Country has strengthened capacities for governance and oversight of rule of law institutions</w:t>
            </w:r>
          </w:p>
          <w:p>
            <w:pPr>
              <w:pStyle w:val="ListParagraph"/>
              <w:ind w:left="360"/>
              <w:rPr>
                <w:color w:val="000000"/>
                <w:sz w:val="16"/>
                <w:szCs w:val="16"/>
                <w:lang w:val="en-GB" w:eastAsia="en-GB"/>
              </w:rPr>
            </w:pPr>
            <w:r>
              <w:rPr>
                <w:i/>
                <w:iCs/>
                <w:sz w:val="16"/>
                <w:szCs w:val="16"/>
                <w:lang w:val="en-GB" w:eastAsia="en-GB"/>
              </w:rPr>
              <w:t>B: Yes (2020</w:t>
            </w:r>
            <w:proofErr w:type="gramStart"/>
            <w:r>
              <w:rPr>
                <w:i/>
                <w:iCs/>
                <w:sz w:val="16"/>
                <w:szCs w:val="16"/>
                <w:lang w:val="en-GB" w:eastAsia="en-GB"/>
              </w:rPr>
              <w:t>)  T</w:t>
            </w:r>
            <w:proofErr w:type="gramEnd"/>
            <w:r>
              <w:rPr>
                <w:i/>
                <w:iCs/>
                <w:sz w:val="16"/>
                <w:szCs w:val="16"/>
                <w:lang w:val="en-GB" w:eastAsia="en-GB"/>
              </w:rPr>
              <w:t xml:space="preserve">: Yes (2021) </w:t>
            </w:r>
          </w:p>
          <w:p>
            <w:pPr>
              <w:pStyle w:val="ListParagraph"/>
              <w:ind w:left="360"/>
              <w:rPr>
                <w:color w:val="000000"/>
                <w:sz w:val="16"/>
                <w:szCs w:val="16"/>
                <w:lang w:val="en-GB" w:eastAsia="en-GB"/>
              </w:rPr>
            </w:pPr>
          </w:p>
        </w:tc>
      </w:tr>
      <w:tr>
        <w:trPr>
          <w:trHeight w:val="124"/>
        </w:trPr>
        <w:tc>
          <w:tcPr>
            <w:tcW w:w="5000" w:type="pct"/>
            <w:gridSpan w:val="5"/>
            <w:tcBorders>
              <w:top w:val="single" w:sz="4" w:space="0" w:color="auto"/>
              <w:left w:val="nil"/>
              <w:bottom w:val="single" w:sz="4" w:space="0" w:color="auto"/>
              <w:right w:val="nil"/>
            </w:tcBorders>
            <w:shd w:val="clear" w:color="auto" w:fill="DBE5F1" w:themeFill="accent1" w:themeFillTint="33"/>
            <w:tcMar>
              <w:top w:w="72" w:type="dxa"/>
              <w:left w:w="144" w:type="dxa"/>
              <w:bottom w:w="72" w:type="dxa"/>
              <w:right w:w="144" w:type="dxa"/>
            </w:tcMar>
            <w:hideMark/>
          </w:tcPr>
          <w:p>
            <w:pPr>
              <w:rPr>
                <w:b/>
                <w:bCs/>
                <w:color w:val="000000"/>
                <w:sz w:val="16"/>
                <w:szCs w:val="16"/>
                <w:lang w:val="en-GB" w:eastAsia="en-GB"/>
              </w:rPr>
            </w:pPr>
            <w:r>
              <w:rPr>
                <w:b/>
                <w:bCs/>
                <w:color w:val="000000"/>
                <w:sz w:val="16"/>
                <w:szCs w:val="16"/>
                <w:lang w:val="en-GB" w:eastAsia="en-GB"/>
              </w:rPr>
              <w:t xml:space="preserve">RELATED STRATEGIC PLAN OUTCOME: </w:t>
            </w:r>
            <w:r>
              <w:rPr>
                <w:i/>
                <w:iCs/>
                <w:color w:val="0000FF"/>
                <w:sz w:val="16"/>
                <w:szCs w:val="16"/>
                <w:lang w:val="en-GB" w:eastAsia="en-GB"/>
              </w:rPr>
              <w:t>Outcome 2 – Accelerate structural transformations for sustainable development</w:t>
            </w:r>
          </w:p>
          <w:p>
            <w:pPr>
              <w:rPr>
                <w:b/>
                <w:bCs/>
                <w:color w:val="000000"/>
                <w:sz w:val="16"/>
                <w:szCs w:val="16"/>
                <w:lang w:val="en-GB" w:eastAsia="en-GB"/>
              </w:rPr>
            </w:pPr>
          </w:p>
        </w:tc>
      </w:tr>
      <w:tr>
        <w:trPr>
          <w:trHeight w:val="322"/>
        </w:trPr>
        <w:tc>
          <w:tcPr>
            <w:tcW w:w="1097" w:type="pct"/>
            <w:tcBorders>
              <w:top w:val="single" w:sz="4" w:space="0" w:color="auto"/>
              <w:left w:val="nil"/>
              <w:bottom w:val="single" w:sz="4" w:space="0" w:color="auto"/>
              <w:right w:val="single" w:sz="4" w:space="0" w:color="auto"/>
            </w:tcBorders>
            <w:shd w:val="clear" w:color="auto" w:fill="DBE5F1" w:themeFill="accent1" w:themeFillTint="33"/>
            <w:tcMar>
              <w:top w:w="72" w:type="dxa"/>
              <w:left w:w="144" w:type="dxa"/>
              <w:bottom w:w="72" w:type="dxa"/>
              <w:right w:w="144" w:type="dxa"/>
            </w:tcMar>
            <w:vAlign w:val="center"/>
            <w:hideMark/>
          </w:tcPr>
          <w:p>
            <w:pPr>
              <w:jc w:val="center"/>
              <w:rPr>
                <w:color w:val="000000"/>
                <w:sz w:val="16"/>
                <w:szCs w:val="16"/>
                <w:lang w:val="en-GB" w:eastAsia="en-GB"/>
              </w:rPr>
            </w:pPr>
            <w:r>
              <w:rPr>
                <w:b/>
                <w:bCs/>
                <w:color w:val="000000"/>
                <w:sz w:val="16"/>
                <w:szCs w:val="16"/>
                <w:lang w:val="en-GB" w:eastAsia="en-GB"/>
              </w:rPr>
              <w:t>COOPERATION FRAMEWORK OUTCOME INDICATOR(S), BASELINES, TARGET(S)</w:t>
            </w:r>
          </w:p>
        </w:tc>
        <w:tc>
          <w:tcPr>
            <w:tcW w:w="11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pPr>
              <w:jc w:val="center"/>
              <w:rPr>
                <w:b/>
                <w:color w:val="000000"/>
                <w:sz w:val="16"/>
                <w:szCs w:val="16"/>
                <w:lang w:val="en-GB" w:eastAsia="en-GB"/>
              </w:rPr>
            </w:pPr>
            <w:r>
              <w:rPr>
                <w:b/>
                <w:color w:val="000000"/>
                <w:sz w:val="16"/>
                <w:szCs w:val="16"/>
                <w:lang w:val="en-GB" w:eastAsia="en-GB"/>
              </w:rPr>
              <w:t>DATA SOURCE AND FREQUENCY OF DATA COLLECTION, AND RESPONSIBILITIES</w:t>
            </w:r>
          </w:p>
        </w:tc>
        <w:tc>
          <w:tcPr>
            <w:tcW w:w="1092"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72" w:type="dxa"/>
              <w:left w:w="144" w:type="dxa"/>
              <w:bottom w:w="72" w:type="dxa"/>
              <w:right w:w="144" w:type="dxa"/>
            </w:tcMar>
            <w:vAlign w:val="center"/>
            <w:hideMark/>
          </w:tcPr>
          <w:p>
            <w:pPr>
              <w:jc w:val="center"/>
              <w:rPr>
                <w:color w:val="000000"/>
                <w:sz w:val="16"/>
                <w:szCs w:val="16"/>
                <w:lang w:val="en-GB" w:eastAsia="en-GB"/>
              </w:rPr>
            </w:pPr>
            <w:r>
              <w:rPr>
                <w:b/>
                <w:bCs/>
                <w:color w:val="000000"/>
                <w:sz w:val="16"/>
                <w:szCs w:val="16"/>
                <w:lang w:val="en-GB" w:eastAsia="en-GB"/>
              </w:rPr>
              <w:t xml:space="preserve">INDICATIVE COUNTRY PROGRAMME OUTPUTS </w:t>
            </w:r>
            <w:r>
              <w:rPr>
                <w:b/>
                <w:bCs/>
                <w:i/>
                <w:color w:val="000000"/>
                <w:sz w:val="16"/>
                <w:szCs w:val="16"/>
                <w:lang w:val="en-GB" w:eastAsia="en-GB"/>
              </w:rPr>
              <w:t>(including indicators, baselines targets)</w:t>
            </w:r>
          </w:p>
        </w:tc>
        <w:tc>
          <w:tcPr>
            <w:tcW w:w="67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pPr>
              <w:jc w:val="center"/>
              <w:rPr>
                <w:b/>
                <w:bCs/>
                <w:color w:val="000000"/>
                <w:sz w:val="16"/>
                <w:szCs w:val="16"/>
                <w:lang w:val="en-GB" w:eastAsia="en-GB"/>
              </w:rPr>
            </w:pPr>
            <w:r>
              <w:rPr>
                <w:b/>
                <w:bCs/>
                <w:color w:val="000000"/>
                <w:sz w:val="16"/>
                <w:szCs w:val="16"/>
                <w:lang w:val="en-GB" w:eastAsia="en-GB"/>
              </w:rPr>
              <w:t>MAJOR PARTNERS / PARTNERSHIPS</w:t>
            </w:r>
          </w:p>
          <w:p>
            <w:pPr>
              <w:jc w:val="center"/>
              <w:rPr>
                <w:b/>
                <w:bCs/>
                <w:color w:val="000000"/>
                <w:sz w:val="16"/>
                <w:szCs w:val="16"/>
                <w:lang w:val="en-GB" w:eastAsia="en-GB"/>
              </w:rPr>
            </w:pPr>
            <w:r>
              <w:rPr>
                <w:b/>
                <w:bCs/>
                <w:color w:val="000000"/>
                <w:sz w:val="16"/>
                <w:szCs w:val="16"/>
                <w:lang w:val="en-GB" w:eastAsia="en-GB"/>
              </w:rPr>
              <w:t>FRAMEWORKS</w:t>
            </w:r>
          </w:p>
        </w:tc>
        <w:tc>
          <w:tcPr>
            <w:tcW w:w="958" w:type="pct"/>
            <w:tcBorders>
              <w:top w:val="single" w:sz="4" w:space="0" w:color="auto"/>
              <w:left w:val="single" w:sz="4" w:space="0" w:color="auto"/>
              <w:bottom w:val="single" w:sz="4" w:space="0" w:color="auto"/>
              <w:right w:val="nil"/>
            </w:tcBorders>
            <w:shd w:val="clear" w:color="auto" w:fill="DBE5F1" w:themeFill="accent1" w:themeFillTint="33"/>
            <w:tcMar>
              <w:top w:w="15" w:type="dxa"/>
              <w:left w:w="108" w:type="dxa"/>
              <w:bottom w:w="0" w:type="dxa"/>
              <w:right w:w="108" w:type="dxa"/>
            </w:tcMar>
            <w:vAlign w:val="center"/>
            <w:hideMark/>
          </w:tcPr>
          <w:p>
            <w:pPr>
              <w:jc w:val="center"/>
              <w:rPr>
                <w:i/>
                <w:color w:val="0000FF"/>
                <w:sz w:val="16"/>
                <w:szCs w:val="16"/>
                <w:lang w:val="en-GB" w:eastAsia="en-GB"/>
              </w:rPr>
            </w:pPr>
            <w:r>
              <w:rPr>
                <w:b/>
                <w:bCs/>
                <w:color w:val="000000"/>
                <w:sz w:val="16"/>
                <w:szCs w:val="16"/>
                <w:lang w:val="en-GB" w:eastAsia="en-GB"/>
              </w:rPr>
              <w:t>ESTIMATED COST BY OUTCOME (US$)</w:t>
            </w:r>
          </w:p>
        </w:tc>
      </w:tr>
      <w:tr>
        <w:trPr>
          <w:trHeight w:val="233"/>
        </w:trPr>
        <w:tc>
          <w:tcPr>
            <w:tcW w:w="1097" w:type="pct"/>
            <w:vMerge w:val="restart"/>
            <w:tcBorders>
              <w:top w:val="single" w:sz="4" w:space="0" w:color="auto"/>
              <w:left w:val="nil"/>
              <w:bottom w:val="nil"/>
              <w:right w:val="single" w:sz="4" w:space="0" w:color="auto"/>
            </w:tcBorders>
            <w:tcMar>
              <w:top w:w="72" w:type="dxa"/>
              <w:left w:w="144" w:type="dxa"/>
              <w:bottom w:w="72" w:type="dxa"/>
              <w:right w:w="144" w:type="dxa"/>
            </w:tcMar>
            <w:hideMark/>
          </w:tcPr>
          <w:p>
            <w:pPr>
              <w:rPr>
                <w:i/>
                <w:iCs/>
                <w:sz w:val="16"/>
                <w:szCs w:val="16"/>
                <w:lang w:eastAsia="en-GB"/>
              </w:rPr>
            </w:pPr>
          </w:p>
          <w:p>
            <w:pPr>
              <w:rPr>
                <w:i/>
                <w:iCs/>
                <w:sz w:val="16"/>
                <w:szCs w:val="16"/>
                <w:lang w:eastAsia="en-GB"/>
              </w:rPr>
            </w:pPr>
            <w:r>
              <w:rPr>
                <w:i/>
                <w:iCs/>
                <w:sz w:val="16"/>
                <w:szCs w:val="16"/>
                <w:lang w:eastAsia="en-GB"/>
              </w:rPr>
              <w:t>I: 5.5.1 Proportion of seats held by women in national parliaments and local governments</w:t>
            </w:r>
          </w:p>
          <w:p>
            <w:pPr>
              <w:rPr>
                <w:i/>
                <w:iCs/>
                <w:sz w:val="16"/>
                <w:szCs w:val="16"/>
                <w:lang w:eastAsia="en-GB"/>
              </w:rPr>
            </w:pPr>
          </w:p>
          <w:p>
            <w:pPr>
              <w:pStyle w:val="ListParagraph"/>
              <w:ind w:left="360"/>
              <w:rPr>
                <w:i/>
                <w:iCs/>
                <w:sz w:val="16"/>
                <w:szCs w:val="16"/>
                <w:lang w:val="en-GB" w:eastAsia="en-GB"/>
              </w:rPr>
            </w:pPr>
            <w:r>
              <w:rPr>
                <w:i/>
                <w:iCs/>
                <w:sz w:val="16"/>
                <w:szCs w:val="16"/>
                <w:lang w:val="en-GB" w:eastAsia="en-GB"/>
              </w:rPr>
              <w:t xml:space="preserve">B: 12.6% (2019) </w:t>
            </w:r>
          </w:p>
          <w:p>
            <w:pPr>
              <w:pStyle w:val="ListParagraph"/>
              <w:ind w:left="360"/>
              <w:rPr>
                <w:i/>
                <w:iCs/>
                <w:sz w:val="16"/>
                <w:szCs w:val="16"/>
                <w:lang w:val="en-GB" w:eastAsia="en-GB"/>
              </w:rPr>
            </w:pPr>
            <w:r>
              <w:rPr>
                <w:i/>
                <w:iCs/>
                <w:sz w:val="16"/>
                <w:szCs w:val="16"/>
                <w:lang w:val="en-GB" w:eastAsia="en-GB"/>
              </w:rPr>
              <w:t>T: 20% (2025)</w:t>
            </w:r>
          </w:p>
          <w:p>
            <w:pPr>
              <w:rPr>
                <w:i/>
                <w:iCs/>
                <w:sz w:val="16"/>
                <w:szCs w:val="16"/>
                <w:lang w:val="en-GB" w:eastAsia="en-GB"/>
              </w:rPr>
            </w:pPr>
          </w:p>
          <w:p>
            <w:pPr>
              <w:rPr>
                <w:i/>
                <w:iCs/>
                <w:sz w:val="16"/>
                <w:szCs w:val="16"/>
                <w:lang w:eastAsia="en-GB"/>
              </w:rPr>
            </w:pPr>
          </w:p>
          <w:p>
            <w:pPr>
              <w:rPr>
                <w:i/>
                <w:iCs/>
                <w:sz w:val="16"/>
                <w:szCs w:val="16"/>
                <w:lang w:eastAsia="en-GB"/>
              </w:rPr>
            </w:pPr>
          </w:p>
          <w:p>
            <w:pPr>
              <w:rPr>
                <w:i/>
                <w:iCs/>
                <w:sz w:val="16"/>
                <w:szCs w:val="16"/>
                <w:lang w:eastAsia="en-GB"/>
              </w:rPr>
            </w:pPr>
          </w:p>
          <w:p>
            <w:pPr>
              <w:rPr>
                <w:i/>
                <w:iCs/>
                <w:sz w:val="16"/>
                <w:szCs w:val="16"/>
                <w:u w:val="single"/>
                <w:lang w:eastAsia="en-GB"/>
              </w:rPr>
            </w:pPr>
            <w:r>
              <w:rPr>
                <w:i/>
                <w:iCs/>
                <w:sz w:val="16"/>
                <w:szCs w:val="16"/>
                <w:lang w:eastAsia="en-GB"/>
              </w:rPr>
              <w:t>I:   16.1.1 Number of victims of intentional homicide per 100,000 population, by sex and age</w:t>
            </w:r>
          </w:p>
          <w:p>
            <w:pPr>
              <w:rPr>
                <w:i/>
                <w:iCs/>
                <w:sz w:val="16"/>
                <w:szCs w:val="16"/>
                <w:u w:val="single"/>
                <w:lang w:eastAsia="en-GB"/>
              </w:rPr>
            </w:pPr>
          </w:p>
          <w:p>
            <w:pPr>
              <w:pStyle w:val="ListParagraph"/>
              <w:ind w:left="360"/>
              <w:rPr>
                <w:i/>
                <w:iCs/>
                <w:sz w:val="16"/>
                <w:szCs w:val="16"/>
                <w:lang w:val="en-GB" w:eastAsia="en-GB"/>
              </w:rPr>
            </w:pPr>
            <w:r>
              <w:rPr>
                <w:i/>
                <w:iCs/>
                <w:sz w:val="16"/>
                <w:szCs w:val="16"/>
                <w:lang w:val="en-GB" w:eastAsia="en-GB"/>
              </w:rPr>
              <w:t xml:space="preserve">B: 18.8 men, 1.9 women (2018) </w:t>
            </w:r>
          </w:p>
          <w:p>
            <w:pPr>
              <w:pStyle w:val="ListParagraph"/>
              <w:ind w:left="360"/>
              <w:rPr>
                <w:i/>
                <w:iCs/>
                <w:sz w:val="16"/>
                <w:szCs w:val="16"/>
                <w:lang w:val="en-GB" w:eastAsia="en-GB"/>
              </w:rPr>
            </w:pPr>
            <w:r>
              <w:rPr>
                <w:i/>
                <w:iCs/>
                <w:sz w:val="16"/>
                <w:szCs w:val="16"/>
                <w:lang w:val="en-GB" w:eastAsia="en-GB"/>
              </w:rPr>
              <w:t>T: 15.0 men, 0.5 women (2025)</w:t>
            </w:r>
          </w:p>
          <w:p>
            <w:pPr>
              <w:rPr>
                <w:i/>
                <w:iCs/>
                <w:sz w:val="16"/>
                <w:szCs w:val="16"/>
                <w:u w:val="single"/>
                <w:lang w:eastAsia="en-GB"/>
              </w:rPr>
            </w:pPr>
          </w:p>
          <w:p>
            <w:pPr>
              <w:rPr>
                <w:i/>
                <w:iCs/>
                <w:sz w:val="16"/>
                <w:szCs w:val="16"/>
                <w:u w:val="single"/>
                <w:lang w:eastAsia="en-GB"/>
              </w:rPr>
            </w:pPr>
          </w:p>
          <w:p>
            <w:pPr>
              <w:rPr>
                <w:i/>
                <w:iCs/>
                <w:sz w:val="16"/>
                <w:szCs w:val="16"/>
                <w:u w:val="single"/>
                <w:lang w:eastAsia="en-GB"/>
              </w:rPr>
            </w:pPr>
          </w:p>
          <w:p>
            <w:pPr>
              <w:rPr>
                <w:i/>
                <w:iCs/>
                <w:sz w:val="16"/>
                <w:szCs w:val="16"/>
                <w:lang w:eastAsia="en-GB"/>
              </w:rPr>
            </w:pPr>
          </w:p>
          <w:p>
            <w:pPr>
              <w:rPr>
                <w:i/>
                <w:iCs/>
                <w:sz w:val="16"/>
                <w:szCs w:val="16"/>
                <w:highlight w:val="yellow"/>
                <w:lang w:eastAsia="en-GB"/>
              </w:rPr>
            </w:pPr>
          </w:p>
        </w:tc>
        <w:tc>
          <w:tcPr>
            <w:tcW w:w="1178" w:type="pct"/>
            <w:vMerge w:val="restart"/>
            <w:tcBorders>
              <w:top w:val="single" w:sz="4" w:space="0" w:color="auto"/>
              <w:left w:val="single" w:sz="4" w:space="0" w:color="auto"/>
              <w:bottom w:val="nil"/>
              <w:right w:val="single" w:sz="4" w:space="0" w:color="auto"/>
            </w:tcBorders>
          </w:tcPr>
          <w:p>
            <w:pPr>
              <w:rPr>
                <w:i/>
                <w:iCs/>
                <w:sz w:val="16"/>
                <w:szCs w:val="16"/>
                <w:lang w:eastAsia="en-GB"/>
              </w:rPr>
            </w:pPr>
          </w:p>
          <w:p>
            <w:pPr>
              <w:rPr>
                <w:i/>
                <w:iCs/>
                <w:sz w:val="16"/>
                <w:szCs w:val="16"/>
                <w:lang w:val="en-GB" w:eastAsia="en-GB"/>
              </w:rPr>
            </w:pPr>
            <w:r>
              <w:rPr>
                <w:i/>
                <w:iCs/>
                <w:sz w:val="16"/>
                <w:szCs w:val="16"/>
                <w:lang w:val="en-GB" w:eastAsia="en-GB"/>
              </w:rPr>
              <w:t>Data source TE, Annual</w:t>
            </w:r>
          </w:p>
          <w:p>
            <w:pPr>
              <w:rPr>
                <w:i/>
                <w:iCs/>
                <w:sz w:val="16"/>
                <w:szCs w:val="16"/>
                <w:lang w:val="en-GB" w:eastAsia="en-GB"/>
              </w:rPr>
            </w:pPr>
          </w:p>
          <w:p>
            <w:pPr>
              <w:rPr>
                <w:i/>
                <w:iCs/>
                <w:sz w:val="16"/>
                <w:szCs w:val="16"/>
                <w:lang w:val="en-GB" w:eastAsia="en-GB"/>
              </w:rPr>
            </w:pPr>
          </w:p>
          <w:p>
            <w:pPr>
              <w:rPr>
                <w:i/>
                <w:iCs/>
                <w:sz w:val="16"/>
                <w:szCs w:val="16"/>
                <w:lang w:val="en-GB" w:eastAsia="en-GB"/>
              </w:rPr>
            </w:pPr>
          </w:p>
          <w:p>
            <w:pPr>
              <w:rPr>
                <w:i/>
                <w:iCs/>
                <w:sz w:val="16"/>
                <w:szCs w:val="16"/>
                <w:lang w:val="en-GB" w:eastAsia="en-GB"/>
              </w:rPr>
            </w:pPr>
          </w:p>
          <w:p>
            <w:pPr>
              <w:rPr>
                <w:i/>
                <w:iCs/>
                <w:sz w:val="16"/>
                <w:szCs w:val="16"/>
                <w:lang w:val="en-GB" w:eastAsia="en-GB"/>
              </w:rPr>
            </w:pPr>
          </w:p>
          <w:p>
            <w:pPr>
              <w:rPr>
                <w:i/>
                <w:iCs/>
                <w:sz w:val="16"/>
                <w:szCs w:val="16"/>
                <w:lang w:val="en-GB" w:eastAsia="en-GB"/>
              </w:rPr>
            </w:pPr>
          </w:p>
          <w:p>
            <w:pPr>
              <w:rPr>
                <w:i/>
                <w:iCs/>
                <w:sz w:val="16"/>
                <w:szCs w:val="16"/>
                <w:lang w:val="en-GB" w:eastAsia="en-GB"/>
              </w:rPr>
            </w:pPr>
          </w:p>
          <w:p>
            <w:pPr>
              <w:rPr>
                <w:i/>
                <w:iCs/>
                <w:sz w:val="16"/>
                <w:szCs w:val="16"/>
                <w:lang w:val="en-GB" w:eastAsia="en-GB"/>
              </w:rPr>
            </w:pPr>
          </w:p>
          <w:p>
            <w:pPr>
              <w:rPr>
                <w:i/>
                <w:iCs/>
                <w:sz w:val="16"/>
                <w:szCs w:val="16"/>
                <w:lang w:val="en-GB" w:eastAsia="en-GB"/>
              </w:rPr>
            </w:pPr>
          </w:p>
          <w:p>
            <w:pPr>
              <w:rPr>
                <w:i/>
                <w:iCs/>
                <w:sz w:val="16"/>
                <w:szCs w:val="16"/>
                <w:lang w:val="en-GB" w:eastAsia="en-GB"/>
              </w:rPr>
            </w:pPr>
            <w:r>
              <w:rPr>
                <w:i/>
                <w:iCs/>
                <w:sz w:val="16"/>
                <w:szCs w:val="16"/>
                <w:lang w:val="en-GB" w:eastAsia="en-GB"/>
              </w:rPr>
              <w:t>Data source Public Ministry, Annual</w:t>
            </w:r>
          </w:p>
          <w:p>
            <w:pPr>
              <w:rPr>
                <w:i/>
                <w:iCs/>
                <w:sz w:val="16"/>
                <w:szCs w:val="16"/>
                <w:lang w:val="en-GB" w:eastAsia="en-GB"/>
              </w:rPr>
            </w:pPr>
          </w:p>
          <w:p>
            <w:pPr>
              <w:rPr>
                <w:i/>
                <w:iCs/>
                <w:sz w:val="16"/>
                <w:szCs w:val="16"/>
                <w:lang w:val="en-GB" w:eastAsia="en-GB"/>
              </w:rPr>
            </w:pPr>
          </w:p>
          <w:p>
            <w:pPr>
              <w:rPr>
                <w:i/>
                <w:iCs/>
                <w:sz w:val="16"/>
                <w:szCs w:val="16"/>
                <w:lang w:val="en-GB" w:eastAsia="en-GB"/>
              </w:rPr>
            </w:pPr>
          </w:p>
          <w:p>
            <w:pPr>
              <w:rPr>
                <w:i/>
                <w:iCs/>
                <w:sz w:val="16"/>
                <w:szCs w:val="16"/>
                <w:lang w:val="en-GB" w:eastAsia="en-GB"/>
              </w:rPr>
            </w:pPr>
          </w:p>
          <w:p>
            <w:pPr>
              <w:rPr>
                <w:i/>
                <w:iCs/>
                <w:sz w:val="16"/>
                <w:szCs w:val="16"/>
                <w:lang w:val="en-GB" w:eastAsia="en-GB"/>
              </w:rPr>
            </w:pPr>
          </w:p>
          <w:p>
            <w:pPr>
              <w:rPr>
                <w:i/>
                <w:iCs/>
                <w:sz w:val="16"/>
                <w:szCs w:val="16"/>
                <w:lang w:val="en-GB" w:eastAsia="en-GB"/>
              </w:rPr>
            </w:pPr>
          </w:p>
          <w:p>
            <w:pPr>
              <w:rPr>
                <w:i/>
                <w:iCs/>
                <w:sz w:val="16"/>
                <w:szCs w:val="16"/>
                <w:lang w:val="en-GB" w:eastAsia="en-GB"/>
              </w:rPr>
            </w:pPr>
          </w:p>
          <w:p>
            <w:pPr>
              <w:rPr>
                <w:i/>
                <w:iCs/>
                <w:sz w:val="16"/>
                <w:szCs w:val="16"/>
                <w:lang w:val="en-GB" w:eastAsia="en-GB"/>
              </w:rPr>
            </w:pPr>
          </w:p>
          <w:p>
            <w:pPr>
              <w:rPr>
                <w:i/>
                <w:iCs/>
                <w:sz w:val="16"/>
                <w:szCs w:val="16"/>
                <w:lang w:val="en-GB" w:eastAsia="en-GB"/>
              </w:rPr>
            </w:pPr>
          </w:p>
        </w:tc>
        <w:tc>
          <w:tcPr>
            <w:tcW w:w="1092" w:type="pct"/>
            <w:vMerge w:val="restart"/>
            <w:tcBorders>
              <w:top w:val="single" w:sz="4" w:space="0" w:color="auto"/>
              <w:left w:val="single" w:sz="4" w:space="0" w:color="auto"/>
              <w:bottom w:val="nil"/>
              <w:right w:val="single" w:sz="4" w:space="0" w:color="auto"/>
            </w:tcBorders>
            <w:tcMar>
              <w:top w:w="72" w:type="dxa"/>
              <w:left w:w="144" w:type="dxa"/>
              <w:bottom w:w="72" w:type="dxa"/>
              <w:right w:w="144" w:type="dxa"/>
            </w:tcMar>
          </w:tcPr>
          <w:p>
            <w:pPr>
              <w:rPr>
                <w:b/>
                <w:bCs/>
                <w:i/>
                <w:iCs/>
                <w:sz w:val="16"/>
                <w:szCs w:val="16"/>
                <w:lang w:val="en-GB"/>
              </w:rPr>
            </w:pPr>
            <w:r>
              <w:rPr>
                <w:b/>
                <w:bCs/>
                <w:i/>
                <w:iCs/>
                <w:sz w:val="16"/>
                <w:szCs w:val="16"/>
                <w:lang w:val="en-GB"/>
              </w:rPr>
              <w:t>2.1</w:t>
            </w:r>
            <w:r>
              <w:rPr>
                <w:b/>
                <w:bCs/>
                <w:i/>
                <w:iCs/>
                <w:sz w:val="16"/>
                <w:szCs w:val="16"/>
              </w:rPr>
              <w:t xml:space="preserve"> Modernized and strengthened institutions respond to people´s and territories’ needs and deliver efficient public functions at the national and sub-national level</w:t>
            </w:r>
          </w:p>
          <w:p>
            <w:pPr>
              <w:rPr>
                <w:rFonts w:eastAsia="Calibri"/>
                <w:i/>
                <w:iCs/>
                <w:sz w:val="16"/>
                <w:szCs w:val="16"/>
                <w:lang w:val="en-GB"/>
              </w:rPr>
            </w:pPr>
          </w:p>
          <w:p>
            <w:pPr>
              <w:rPr>
                <w:rFonts w:eastAsia="Calibri"/>
                <w:i/>
                <w:iCs/>
                <w:sz w:val="16"/>
                <w:szCs w:val="16"/>
              </w:rPr>
            </w:pPr>
            <w:r>
              <w:rPr>
                <w:rFonts w:eastAsia="Calibri"/>
                <w:i/>
                <w:iCs/>
                <w:sz w:val="16"/>
                <w:szCs w:val="16"/>
              </w:rPr>
              <w:t>I: Number of technological and/or procedural solutions developed to improve public service delivery and other government functions at the national and sub-national levels.</w:t>
            </w:r>
          </w:p>
          <w:p>
            <w:pPr>
              <w:pStyle w:val="ListParagraph"/>
              <w:ind w:left="360"/>
              <w:rPr>
                <w:i/>
                <w:iCs/>
                <w:sz w:val="16"/>
                <w:szCs w:val="16"/>
                <w:lang w:val="en-GB" w:eastAsia="en-GB"/>
              </w:rPr>
            </w:pPr>
            <w:r>
              <w:rPr>
                <w:i/>
                <w:iCs/>
                <w:sz w:val="16"/>
                <w:szCs w:val="16"/>
                <w:lang w:val="en-GB" w:eastAsia="en-GB"/>
              </w:rPr>
              <w:t>B: 5 (2020)</w:t>
            </w:r>
          </w:p>
          <w:p>
            <w:pPr>
              <w:pStyle w:val="ListParagraph"/>
              <w:ind w:left="360"/>
              <w:rPr>
                <w:i/>
                <w:iCs/>
                <w:sz w:val="16"/>
                <w:szCs w:val="16"/>
                <w:lang w:val="en-GB" w:eastAsia="en-GB"/>
              </w:rPr>
            </w:pPr>
            <w:r>
              <w:rPr>
                <w:i/>
                <w:iCs/>
                <w:sz w:val="16"/>
                <w:szCs w:val="16"/>
                <w:lang w:val="en-GB" w:eastAsia="en-GB"/>
              </w:rPr>
              <w:t>T: 20 (2025)</w:t>
            </w:r>
          </w:p>
          <w:p>
            <w:pPr>
              <w:pStyle w:val="ListParagraph"/>
              <w:ind w:left="360"/>
              <w:rPr>
                <w:i/>
                <w:iCs/>
                <w:sz w:val="16"/>
                <w:szCs w:val="16"/>
                <w:lang w:val="en-GB" w:eastAsia="en-GB"/>
              </w:rPr>
            </w:pPr>
            <w:r>
              <w:rPr>
                <w:i/>
                <w:iCs/>
                <w:sz w:val="16"/>
                <w:szCs w:val="16"/>
                <w:lang w:val="en-GB" w:eastAsia="en-GB"/>
              </w:rPr>
              <w:t>Data source UNDP, Annual</w:t>
            </w:r>
          </w:p>
          <w:p>
            <w:pPr>
              <w:pStyle w:val="ListParagraph"/>
              <w:ind w:left="0"/>
              <w:rPr>
                <w:i/>
                <w:iCs/>
                <w:sz w:val="16"/>
                <w:szCs w:val="16"/>
                <w:lang w:val="en-GB"/>
              </w:rPr>
            </w:pPr>
          </w:p>
          <w:p>
            <w:pPr>
              <w:rPr>
                <w:rFonts w:eastAsia="Calibri"/>
                <w:i/>
                <w:iCs/>
                <w:sz w:val="16"/>
                <w:szCs w:val="16"/>
              </w:rPr>
            </w:pPr>
            <w:r>
              <w:rPr>
                <w:rFonts w:eastAsiaTheme="minorEastAsia"/>
                <w:i/>
                <w:iCs/>
                <w:sz w:val="16"/>
                <w:szCs w:val="16"/>
                <w:lang w:val="en-GB"/>
              </w:rPr>
              <w:t xml:space="preserve">I: </w:t>
            </w:r>
            <w:r>
              <w:rPr>
                <w:rFonts w:eastAsia="Calibri"/>
                <w:i/>
                <w:iCs/>
                <w:sz w:val="16"/>
                <w:szCs w:val="16"/>
              </w:rPr>
              <w:t xml:space="preserve">Number of institutions (at national and sub-national level) that implement inclusive and gender-sensitive planning and participatory budgeting </w:t>
            </w:r>
          </w:p>
          <w:p>
            <w:pPr>
              <w:pStyle w:val="ListParagraph"/>
              <w:ind w:left="360"/>
              <w:rPr>
                <w:i/>
                <w:iCs/>
                <w:sz w:val="16"/>
                <w:szCs w:val="16"/>
                <w:lang w:val="en-GB" w:eastAsia="en-GB"/>
              </w:rPr>
            </w:pPr>
            <w:r>
              <w:rPr>
                <w:i/>
                <w:iCs/>
                <w:sz w:val="16"/>
                <w:szCs w:val="16"/>
                <w:lang w:val="en-GB" w:eastAsia="en-GB"/>
              </w:rPr>
              <w:t>B: 4 (2020)</w:t>
            </w:r>
          </w:p>
          <w:p>
            <w:pPr>
              <w:pStyle w:val="ListParagraph"/>
              <w:ind w:left="360"/>
              <w:rPr>
                <w:i/>
                <w:iCs/>
                <w:sz w:val="16"/>
                <w:szCs w:val="16"/>
                <w:lang w:val="en-GB" w:eastAsia="en-GB"/>
              </w:rPr>
            </w:pPr>
            <w:r>
              <w:rPr>
                <w:i/>
                <w:iCs/>
                <w:sz w:val="16"/>
                <w:szCs w:val="16"/>
                <w:lang w:val="en-GB" w:eastAsia="en-GB"/>
              </w:rPr>
              <w:t>T: 20 (2025)</w:t>
            </w:r>
          </w:p>
          <w:p>
            <w:pPr>
              <w:pStyle w:val="ListParagraph"/>
              <w:ind w:left="360"/>
              <w:rPr>
                <w:i/>
                <w:iCs/>
                <w:sz w:val="16"/>
                <w:szCs w:val="16"/>
                <w:lang w:val="en-GB" w:eastAsia="en-GB"/>
              </w:rPr>
            </w:pPr>
            <w:r>
              <w:rPr>
                <w:i/>
                <w:iCs/>
                <w:sz w:val="16"/>
                <w:szCs w:val="16"/>
                <w:lang w:val="en-GB" w:eastAsia="en-GB"/>
              </w:rPr>
              <w:t>Data source UNDP, Annual</w:t>
            </w:r>
          </w:p>
          <w:p>
            <w:pPr>
              <w:pStyle w:val="ListParagraph"/>
              <w:ind w:left="0"/>
              <w:rPr>
                <w:rFonts w:eastAsiaTheme="minorEastAsia"/>
                <w:i/>
                <w:iCs/>
                <w:sz w:val="16"/>
                <w:szCs w:val="16"/>
                <w:lang w:val="en-GB"/>
              </w:rPr>
            </w:pPr>
          </w:p>
          <w:p>
            <w:pPr>
              <w:rPr>
                <w:rFonts w:eastAsia="Calibri"/>
                <w:b/>
                <w:bCs/>
                <w:i/>
                <w:iCs/>
                <w:sz w:val="16"/>
                <w:szCs w:val="16"/>
              </w:rPr>
            </w:pPr>
            <w:r>
              <w:rPr>
                <w:rFonts w:eastAsiaTheme="minorEastAsia"/>
                <w:i/>
                <w:iCs/>
                <w:sz w:val="16"/>
                <w:szCs w:val="16"/>
                <w:lang w:val="en-GB"/>
              </w:rPr>
              <w:t xml:space="preserve"> </w:t>
            </w:r>
            <w:r>
              <w:rPr>
                <w:rFonts w:eastAsiaTheme="minorEastAsia"/>
                <w:b/>
                <w:bCs/>
                <w:i/>
                <w:iCs/>
                <w:sz w:val="16"/>
                <w:szCs w:val="16"/>
                <w:lang w:val="en-GB"/>
              </w:rPr>
              <w:t xml:space="preserve">2.2: </w:t>
            </w:r>
            <w:r>
              <w:rPr>
                <w:rFonts w:eastAsia="Calibri"/>
                <w:b/>
                <w:bCs/>
                <w:i/>
                <w:iCs/>
                <w:sz w:val="16"/>
                <w:szCs w:val="16"/>
              </w:rPr>
              <w:t xml:space="preserve">Spaces enabled for citizen participation, and interaction in decision-making and public policies and </w:t>
            </w:r>
            <w:proofErr w:type="spellStart"/>
            <w:r>
              <w:rPr>
                <w:rFonts w:eastAsia="Calibri"/>
                <w:b/>
                <w:bCs/>
                <w:i/>
                <w:iCs/>
                <w:sz w:val="16"/>
                <w:szCs w:val="16"/>
              </w:rPr>
              <w:t>programme</w:t>
            </w:r>
            <w:proofErr w:type="spellEnd"/>
            <w:r>
              <w:rPr>
                <w:rFonts w:eastAsia="Calibri"/>
                <w:b/>
                <w:bCs/>
                <w:i/>
                <w:iCs/>
                <w:sz w:val="16"/>
                <w:szCs w:val="16"/>
              </w:rPr>
              <w:t xml:space="preserve"> design, implementation and evaluation, especially for women and vulnerable groups</w:t>
            </w:r>
          </w:p>
          <w:p>
            <w:pPr>
              <w:rPr>
                <w:rFonts w:eastAsia="Calibri"/>
                <w:i/>
                <w:iCs/>
                <w:sz w:val="16"/>
                <w:szCs w:val="16"/>
              </w:rPr>
            </w:pPr>
          </w:p>
          <w:p>
            <w:pPr>
              <w:rPr>
                <w:rFonts w:eastAsia="Calibri"/>
                <w:i/>
                <w:iCs/>
                <w:sz w:val="16"/>
                <w:szCs w:val="16"/>
              </w:rPr>
            </w:pPr>
            <w:r>
              <w:rPr>
                <w:rFonts w:eastAsia="Calibri"/>
                <w:i/>
                <w:iCs/>
                <w:sz w:val="16"/>
                <w:szCs w:val="16"/>
              </w:rPr>
              <w:lastRenderedPageBreak/>
              <w:t>I: Number of innovative solutions that facilitate the participation of people who are left behind in decision making at national and sub-national levels.</w:t>
            </w:r>
          </w:p>
          <w:p>
            <w:pPr>
              <w:pStyle w:val="ListParagraph"/>
              <w:ind w:left="360"/>
              <w:rPr>
                <w:i/>
                <w:iCs/>
                <w:sz w:val="16"/>
                <w:szCs w:val="16"/>
                <w:lang w:val="en-GB" w:eastAsia="en-GB"/>
              </w:rPr>
            </w:pPr>
            <w:r>
              <w:rPr>
                <w:i/>
                <w:iCs/>
                <w:sz w:val="16"/>
                <w:szCs w:val="16"/>
                <w:lang w:val="en-GB" w:eastAsia="en-GB"/>
              </w:rPr>
              <w:t>B: 6 (2020)</w:t>
            </w:r>
          </w:p>
          <w:p>
            <w:pPr>
              <w:pStyle w:val="ListParagraph"/>
              <w:ind w:left="360"/>
              <w:rPr>
                <w:i/>
                <w:iCs/>
                <w:sz w:val="16"/>
                <w:szCs w:val="16"/>
                <w:lang w:val="en-GB" w:eastAsia="en-GB"/>
              </w:rPr>
            </w:pPr>
            <w:r>
              <w:rPr>
                <w:i/>
                <w:iCs/>
                <w:sz w:val="16"/>
                <w:szCs w:val="16"/>
                <w:lang w:val="en-GB" w:eastAsia="en-GB"/>
              </w:rPr>
              <w:t>T: 15 (2025)</w:t>
            </w:r>
          </w:p>
          <w:p>
            <w:pPr>
              <w:pStyle w:val="ListParagraph"/>
              <w:ind w:left="360"/>
              <w:rPr>
                <w:i/>
                <w:iCs/>
                <w:sz w:val="16"/>
                <w:szCs w:val="16"/>
                <w:lang w:val="en-GB" w:eastAsia="en-GB"/>
              </w:rPr>
            </w:pPr>
            <w:r>
              <w:rPr>
                <w:i/>
                <w:iCs/>
                <w:sz w:val="16"/>
                <w:szCs w:val="16"/>
                <w:lang w:val="en-GB" w:eastAsia="en-GB"/>
              </w:rPr>
              <w:t>Data source UNDP, Annual</w:t>
            </w:r>
          </w:p>
          <w:p>
            <w:pPr>
              <w:rPr>
                <w:i/>
                <w:iCs/>
                <w:sz w:val="16"/>
                <w:szCs w:val="16"/>
                <w:lang w:val="en-GB"/>
              </w:rPr>
            </w:pPr>
          </w:p>
          <w:p>
            <w:pPr>
              <w:rPr>
                <w:rFonts w:eastAsia="Calibri"/>
                <w:i/>
                <w:iCs/>
                <w:sz w:val="16"/>
                <w:szCs w:val="16"/>
              </w:rPr>
            </w:pPr>
            <w:r>
              <w:rPr>
                <w:rFonts w:eastAsia="Calibri"/>
                <w:i/>
                <w:iCs/>
                <w:sz w:val="16"/>
                <w:szCs w:val="16"/>
              </w:rPr>
              <w:t xml:space="preserve">I: </w:t>
            </w:r>
            <w:r>
              <w:rPr>
                <w:rFonts w:eastAsiaTheme="minorEastAsia"/>
                <w:i/>
                <w:iCs/>
                <w:sz w:val="16"/>
                <w:szCs w:val="16"/>
                <w:lang w:val="en-GB"/>
              </w:rPr>
              <w:t>Percentage</w:t>
            </w:r>
            <w:r>
              <w:rPr>
                <w:rFonts w:eastAsia="Calibri"/>
                <w:i/>
                <w:iCs/>
                <w:sz w:val="16"/>
                <w:szCs w:val="16"/>
              </w:rPr>
              <w:t xml:space="preserve"> of women, indigenous people, and vulnerable groups involved in decision making at all levels (disaggregated by gender, age, ethnicity/race, urban/rural).</w:t>
            </w:r>
          </w:p>
          <w:p>
            <w:pPr>
              <w:pStyle w:val="ListParagraph"/>
              <w:ind w:left="360"/>
              <w:rPr>
                <w:i/>
                <w:iCs/>
                <w:sz w:val="16"/>
                <w:szCs w:val="16"/>
                <w:lang w:val="en-GB" w:eastAsia="en-GB"/>
              </w:rPr>
            </w:pPr>
            <w:r>
              <w:rPr>
                <w:i/>
                <w:iCs/>
                <w:sz w:val="16"/>
                <w:szCs w:val="16"/>
                <w:lang w:val="en-GB" w:eastAsia="en-GB"/>
              </w:rPr>
              <w:t>B: 10% (2020)</w:t>
            </w:r>
          </w:p>
          <w:p>
            <w:pPr>
              <w:pStyle w:val="ListParagraph"/>
              <w:ind w:left="360"/>
              <w:rPr>
                <w:i/>
                <w:iCs/>
                <w:sz w:val="16"/>
                <w:szCs w:val="16"/>
                <w:lang w:val="en-GB" w:eastAsia="en-GB"/>
              </w:rPr>
            </w:pPr>
            <w:r>
              <w:rPr>
                <w:i/>
                <w:iCs/>
                <w:sz w:val="16"/>
                <w:szCs w:val="16"/>
                <w:lang w:val="en-GB" w:eastAsia="en-GB"/>
              </w:rPr>
              <w:t>T: 30% (2025)</w:t>
            </w:r>
          </w:p>
          <w:p>
            <w:pPr>
              <w:pStyle w:val="ListParagraph"/>
              <w:ind w:left="360"/>
              <w:rPr>
                <w:i/>
                <w:iCs/>
                <w:sz w:val="16"/>
                <w:szCs w:val="16"/>
                <w:lang w:val="en-GB" w:eastAsia="en-GB"/>
              </w:rPr>
            </w:pPr>
            <w:r>
              <w:rPr>
                <w:i/>
                <w:iCs/>
                <w:sz w:val="16"/>
                <w:szCs w:val="16"/>
                <w:lang w:val="en-GB" w:eastAsia="en-GB"/>
              </w:rPr>
              <w:t>Data source UNDP, Annual</w:t>
            </w:r>
          </w:p>
          <w:p>
            <w:pPr>
              <w:rPr>
                <w:i/>
                <w:iCs/>
                <w:sz w:val="16"/>
                <w:szCs w:val="16"/>
                <w:lang w:val="en-GB"/>
              </w:rPr>
            </w:pPr>
          </w:p>
          <w:p>
            <w:pPr>
              <w:rPr>
                <w:rFonts w:eastAsia="Calibri"/>
                <w:i/>
                <w:iCs/>
                <w:sz w:val="16"/>
                <w:szCs w:val="16"/>
              </w:rPr>
            </w:pPr>
            <w:r>
              <w:rPr>
                <w:rFonts w:eastAsia="Calibri"/>
                <w:i/>
                <w:iCs/>
                <w:sz w:val="16"/>
                <w:szCs w:val="16"/>
              </w:rPr>
              <w:t xml:space="preserve">I: Number of initiatives and/or mechanisms that promote access to reliable information and citizen participation </w:t>
            </w:r>
          </w:p>
          <w:p>
            <w:pPr>
              <w:pStyle w:val="ListParagraph"/>
              <w:ind w:left="360"/>
              <w:rPr>
                <w:i/>
                <w:iCs/>
                <w:sz w:val="16"/>
                <w:szCs w:val="16"/>
                <w:lang w:val="en-GB" w:eastAsia="en-GB"/>
              </w:rPr>
            </w:pPr>
            <w:r>
              <w:rPr>
                <w:i/>
                <w:iCs/>
                <w:sz w:val="16"/>
                <w:szCs w:val="16"/>
                <w:lang w:val="en-GB" w:eastAsia="en-GB"/>
              </w:rPr>
              <w:t>B: 1 (2020)</w:t>
            </w:r>
          </w:p>
          <w:p>
            <w:pPr>
              <w:pStyle w:val="ListParagraph"/>
              <w:ind w:left="360"/>
              <w:rPr>
                <w:i/>
                <w:iCs/>
                <w:sz w:val="16"/>
                <w:szCs w:val="16"/>
                <w:lang w:val="en-GB" w:eastAsia="en-GB"/>
              </w:rPr>
            </w:pPr>
            <w:r>
              <w:rPr>
                <w:i/>
                <w:iCs/>
                <w:sz w:val="16"/>
                <w:szCs w:val="16"/>
                <w:lang w:val="en-GB" w:eastAsia="en-GB"/>
              </w:rPr>
              <w:t>T: 15 (2025)</w:t>
            </w:r>
          </w:p>
          <w:p>
            <w:pPr>
              <w:pStyle w:val="ListParagraph"/>
              <w:ind w:left="360"/>
              <w:rPr>
                <w:i/>
                <w:iCs/>
                <w:sz w:val="16"/>
                <w:szCs w:val="16"/>
                <w:lang w:val="en-GB" w:eastAsia="en-GB"/>
              </w:rPr>
            </w:pPr>
            <w:r>
              <w:rPr>
                <w:i/>
                <w:iCs/>
                <w:sz w:val="16"/>
                <w:szCs w:val="16"/>
                <w:lang w:val="en-GB" w:eastAsia="en-GB"/>
              </w:rPr>
              <w:t>Data source UNDP, Annual</w:t>
            </w:r>
          </w:p>
          <w:p>
            <w:pPr>
              <w:rPr>
                <w:rFonts w:eastAsia="Calibri"/>
                <w:i/>
                <w:iCs/>
                <w:sz w:val="16"/>
                <w:szCs w:val="16"/>
                <w:lang w:val="en-GB"/>
              </w:rPr>
            </w:pPr>
          </w:p>
          <w:p>
            <w:pPr>
              <w:pStyle w:val="ListParagraph"/>
              <w:ind w:left="360"/>
              <w:rPr>
                <w:i/>
                <w:iCs/>
                <w:sz w:val="16"/>
                <w:szCs w:val="16"/>
                <w:lang w:val="en-GB"/>
              </w:rPr>
            </w:pPr>
          </w:p>
          <w:p>
            <w:pPr>
              <w:rPr>
                <w:b/>
                <w:bCs/>
                <w:i/>
                <w:iCs/>
                <w:sz w:val="16"/>
                <w:szCs w:val="16"/>
                <w:lang w:val="en-GB"/>
              </w:rPr>
            </w:pPr>
            <w:r>
              <w:rPr>
                <w:b/>
                <w:bCs/>
                <w:i/>
                <w:iCs/>
                <w:sz w:val="16"/>
                <w:szCs w:val="16"/>
                <w:lang w:val="en-GB"/>
              </w:rPr>
              <w:t xml:space="preserve">2.3 </w:t>
            </w:r>
            <w:r>
              <w:rPr>
                <w:b/>
                <w:bCs/>
                <w:i/>
                <w:iCs/>
                <w:sz w:val="16"/>
                <w:szCs w:val="16"/>
              </w:rPr>
              <w:t xml:space="preserve">Capacities of institutions and key actors enhanced to protect human rights and promote social cohesion </w:t>
            </w:r>
          </w:p>
          <w:p>
            <w:pPr>
              <w:rPr>
                <w:i/>
                <w:iCs/>
                <w:sz w:val="16"/>
                <w:szCs w:val="16"/>
                <w:lang w:val="en-GB"/>
              </w:rPr>
            </w:pPr>
          </w:p>
          <w:p>
            <w:pPr>
              <w:rPr>
                <w:i/>
                <w:iCs/>
                <w:sz w:val="16"/>
                <w:szCs w:val="16"/>
              </w:rPr>
            </w:pPr>
            <w:r>
              <w:rPr>
                <w:i/>
                <w:iCs/>
                <w:sz w:val="16"/>
                <w:szCs w:val="16"/>
              </w:rPr>
              <w:t>I: Number of instruments/plans that facilitate access to justice, protection of human rights and/or to prevent and address all types of violence, especially gender-based violence at the national and sub-national levels</w:t>
            </w:r>
          </w:p>
          <w:p>
            <w:pPr>
              <w:pStyle w:val="ListParagraph"/>
              <w:ind w:left="360"/>
              <w:rPr>
                <w:i/>
                <w:iCs/>
                <w:sz w:val="16"/>
                <w:szCs w:val="16"/>
                <w:lang w:val="en-GB" w:eastAsia="en-GB"/>
              </w:rPr>
            </w:pPr>
            <w:r>
              <w:rPr>
                <w:i/>
                <w:iCs/>
                <w:sz w:val="16"/>
                <w:szCs w:val="16"/>
                <w:lang w:val="en-GB" w:eastAsia="en-GB"/>
              </w:rPr>
              <w:t>B: 5 (2020)</w:t>
            </w:r>
          </w:p>
          <w:p>
            <w:pPr>
              <w:pStyle w:val="ListParagraph"/>
              <w:ind w:left="360"/>
              <w:rPr>
                <w:i/>
                <w:iCs/>
                <w:sz w:val="16"/>
                <w:szCs w:val="16"/>
                <w:lang w:val="en-GB" w:eastAsia="en-GB"/>
              </w:rPr>
            </w:pPr>
            <w:r>
              <w:rPr>
                <w:i/>
                <w:iCs/>
                <w:sz w:val="16"/>
                <w:szCs w:val="16"/>
                <w:lang w:val="en-GB" w:eastAsia="en-GB"/>
              </w:rPr>
              <w:t>T: 20 (2025)</w:t>
            </w:r>
          </w:p>
          <w:p>
            <w:pPr>
              <w:pStyle w:val="ListParagraph"/>
              <w:ind w:left="360"/>
              <w:rPr>
                <w:i/>
                <w:iCs/>
                <w:sz w:val="16"/>
                <w:szCs w:val="16"/>
                <w:lang w:val="en-GB" w:eastAsia="en-GB"/>
              </w:rPr>
            </w:pPr>
            <w:r>
              <w:rPr>
                <w:i/>
                <w:iCs/>
                <w:sz w:val="16"/>
                <w:szCs w:val="16"/>
                <w:lang w:val="en-GB" w:eastAsia="en-GB"/>
              </w:rPr>
              <w:t>Data source UNDP, Annual</w:t>
            </w:r>
          </w:p>
          <w:p>
            <w:pPr>
              <w:rPr>
                <w:i/>
                <w:iCs/>
                <w:sz w:val="16"/>
                <w:szCs w:val="16"/>
                <w:lang w:val="en-GB"/>
              </w:rPr>
            </w:pPr>
          </w:p>
          <w:p>
            <w:pPr>
              <w:rPr>
                <w:i/>
                <w:iCs/>
                <w:sz w:val="16"/>
                <w:szCs w:val="16"/>
                <w:lang w:val="en-GB" w:eastAsia="en-GB"/>
              </w:rPr>
            </w:pPr>
          </w:p>
          <w:p>
            <w:pPr>
              <w:rPr>
                <w:i/>
                <w:iCs/>
                <w:sz w:val="16"/>
                <w:szCs w:val="16"/>
                <w:lang w:val="en-GB" w:eastAsia="en-GB"/>
              </w:rPr>
            </w:pPr>
          </w:p>
          <w:p>
            <w:pPr>
              <w:rPr>
                <w:i/>
                <w:iCs/>
                <w:sz w:val="16"/>
                <w:szCs w:val="16"/>
                <w:lang w:val="en-GB" w:eastAsia="en-GB"/>
              </w:rPr>
            </w:pPr>
          </w:p>
          <w:p>
            <w:pPr>
              <w:rPr>
                <w:i/>
                <w:iCs/>
                <w:sz w:val="16"/>
                <w:szCs w:val="16"/>
                <w:lang w:val="en-GB" w:eastAsia="en-GB"/>
              </w:rPr>
            </w:pPr>
          </w:p>
          <w:p>
            <w:pPr>
              <w:rPr>
                <w:i/>
                <w:iCs/>
                <w:sz w:val="16"/>
                <w:szCs w:val="16"/>
                <w:lang w:val="en-GB" w:eastAsia="en-GB"/>
              </w:rPr>
            </w:pPr>
          </w:p>
          <w:p>
            <w:pPr>
              <w:rPr>
                <w:i/>
                <w:iCs/>
                <w:sz w:val="16"/>
                <w:szCs w:val="16"/>
                <w:lang w:val="en-GB" w:eastAsia="en-GB"/>
              </w:rPr>
            </w:pPr>
          </w:p>
          <w:p>
            <w:pPr>
              <w:rPr>
                <w:i/>
                <w:iCs/>
                <w:sz w:val="16"/>
                <w:szCs w:val="16"/>
                <w:lang w:val="en-GB" w:eastAsia="en-GB"/>
              </w:rPr>
            </w:pPr>
          </w:p>
          <w:p>
            <w:pPr>
              <w:rPr>
                <w:i/>
                <w:iCs/>
                <w:sz w:val="16"/>
                <w:szCs w:val="16"/>
                <w:lang w:val="en-GB" w:eastAsia="en-GB"/>
              </w:rPr>
            </w:pPr>
          </w:p>
        </w:tc>
        <w:tc>
          <w:tcPr>
            <w:tcW w:w="675" w:type="pct"/>
            <w:vMerge w:val="restart"/>
            <w:tcBorders>
              <w:top w:val="single" w:sz="4" w:space="0" w:color="auto"/>
              <w:left w:val="single" w:sz="4" w:space="0" w:color="auto"/>
              <w:bottom w:val="nil"/>
              <w:right w:val="single" w:sz="4" w:space="0" w:color="auto"/>
            </w:tcBorders>
          </w:tcPr>
          <w:p>
            <w:pPr>
              <w:rPr>
                <w:i/>
                <w:iCs/>
                <w:sz w:val="16"/>
                <w:szCs w:val="16"/>
                <w:lang w:eastAsia="en-GB"/>
              </w:rPr>
            </w:pPr>
            <w:r>
              <w:rPr>
                <w:i/>
                <w:iCs/>
                <w:sz w:val="16"/>
                <w:szCs w:val="16"/>
                <w:lang w:eastAsia="en-GB"/>
              </w:rPr>
              <w:lastRenderedPageBreak/>
              <w:t>Government:</w:t>
            </w:r>
          </w:p>
          <w:p>
            <w:pPr>
              <w:rPr>
                <w:i/>
                <w:iCs/>
                <w:sz w:val="16"/>
                <w:szCs w:val="16"/>
                <w:lang w:eastAsia="en-GB"/>
              </w:rPr>
            </w:pPr>
          </w:p>
          <w:p>
            <w:pPr>
              <w:rPr>
                <w:i/>
                <w:iCs/>
                <w:sz w:val="16"/>
                <w:szCs w:val="16"/>
                <w:lang w:eastAsia="en-GB"/>
              </w:rPr>
            </w:pPr>
            <w:r>
              <w:rPr>
                <w:i/>
                <w:iCs/>
                <w:sz w:val="16"/>
                <w:szCs w:val="16"/>
                <w:lang w:eastAsia="en-GB"/>
              </w:rPr>
              <w:t>Ministry of Presidency</w:t>
            </w:r>
          </w:p>
          <w:p>
            <w:pPr>
              <w:rPr>
                <w:i/>
                <w:iCs/>
                <w:sz w:val="16"/>
                <w:szCs w:val="16"/>
                <w:lang w:eastAsia="en-GB"/>
              </w:rPr>
            </w:pPr>
            <w:r>
              <w:rPr>
                <w:i/>
                <w:iCs/>
                <w:sz w:val="16"/>
                <w:szCs w:val="16"/>
                <w:lang w:eastAsia="en-GB"/>
              </w:rPr>
              <w:t>MINGOB</w:t>
            </w:r>
          </w:p>
          <w:p>
            <w:pPr>
              <w:rPr>
                <w:i/>
                <w:iCs/>
                <w:sz w:val="16"/>
                <w:szCs w:val="16"/>
                <w:lang w:eastAsia="en-GB"/>
              </w:rPr>
            </w:pPr>
            <w:r>
              <w:rPr>
                <w:i/>
                <w:iCs/>
                <w:sz w:val="16"/>
                <w:szCs w:val="16"/>
                <w:lang w:eastAsia="en-GB"/>
              </w:rPr>
              <w:t>MIRE</w:t>
            </w:r>
          </w:p>
          <w:p>
            <w:pPr>
              <w:rPr>
                <w:i/>
                <w:iCs/>
                <w:sz w:val="16"/>
                <w:szCs w:val="16"/>
                <w:lang w:val="fr-FR" w:eastAsia="en-GB"/>
              </w:rPr>
            </w:pPr>
            <w:r>
              <w:rPr>
                <w:i/>
                <w:iCs/>
                <w:sz w:val="16"/>
                <w:szCs w:val="16"/>
                <w:lang w:val="fr-FR" w:eastAsia="en-GB"/>
              </w:rPr>
              <w:t>MICI</w:t>
            </w:r>
          </w:p>
          <w:p>
            <w:pPr>
              <w:rPr>
                <w:i/>
                <w:iCs/>
                <w:sz w:val="16"/>
                <w:szCs w:val="16"/>
                <w:lang w:val="fr-FR" w:eastAsia="en-GB"/>
              </w:rPr>
            </w:pPr>
            <w:r>
              <w:rPr>
                <w:i/>
                <w:iCs/>
                <w:sz w:val="16"/>
                <w:szCs w:val="16"/>
                <w:lang w:val="fr-FR" w:eastAsia="en-GB"/>
              </w:rPr>
              <w:t>MINSEG</w:t>
            </w:r>
          </w:p>
          <w:p>
            <w:pPr>
              <w:rPr>
                <w:i/>
                <w:iCs/>
                <w:sz w:val="16"/>
                <w:szCs w:val="16"/>
                <w:lang w:val="fr-FR" w:eastAsia="en-GB"/>
              </w:rPr>
            </w:pPr>
            <w:r>
              <w:rPr>
                <w:i/>
                <w:iCs/>
                <w:sz w:val="16"/>
                <w:szCs w:val="16"/>
                <w:lang w:val="fr-FR" w:eastAsia="en-GB"/>
              </w:rPr>
              <w:t>MIDES</w:t>
            </w:r>
          </w:p>
          <w:p>
            <w:pPr>
              <w:rPr>
                <w:i/>
                <w:iCs/>
                <w:sz w:val="16"/>
                <w:szCs w:val="16"/>
                <w:lang w:val="fr-FR" w:eastAsia="en-GB"/>
              </w:rPr>
            </w:pPr>
            <w:r>
              <w:rPr>
                <w:i/>
                <w:iCs/>
                <w:sz w:val="16"/>
                <w:szCs w:val="16"/>
                <w:lang w:val="fr-FR" w:eastAsia="en-GB"/>
              </w:rPr>
              <w:t>MEF</w:t>
            </w:r>
          </w:p>
          <w:p>
            <w:pPr>
              <w:rPr>
                <w:i/>
                <w:iCs/>
                <w:sz w:val="16"/>
                <w:szCs w:val="16"/>
                <w:lang w:val="fr-FR" w:eastAsia="en-GB"/>
              </w:rPr>
            </w:pPr>
            <w:r>
              <w:rPr>
                <w:i/>
                <w:iCs/>
                <w:sz w:val="16"/>
                <w:szCs w:val="16"/>
                <w:lang w:val="fr-FR" w:eastAsia="en-GB"/>
              </w:rPr>
              <w:t>Colon Free Zone</w:t>
            </w:r>
          </w:p>
          <w:p>
            <w:pPr>
              <w:rPr>
                <w:i/>
                <w:iCs/>
                <w:sz w:val="16"/>
                <w:szCs w:val="16"/>
                <w:lang w:eastAsia="en-GB"/>
              </w:rPr>
            </w:pPr>
            <w:r>
              <w:rPr>
                <w:i/>
                <w:iCs/>
                <w:sz w:val="16"/>
                <w:szCs w:val="16"/>
                <w:lang w:eastAsia="en-GB"/>
              </w:rPr>
              <w:t>Ministry of Culture</w:t>
            </w:r>
          </w:p>
          <w:p>
            <w:pPr>
              <w:rPr>
                <w:i/>
                <w:iCs/>
                <w:sz w:val="16"/>
                <w:szCs w:val="16"/>
                <w:lang w:eastAsia="en-GB"/>
              </w:rPr>
            </w:pPr>
            <w:r>
              <w:rPr>
                <w:i/>
                <w:iCs/>
                <w:sz w:val="16"/>
                <w:szCs w:val="16"/>
                <w:lang w:eastAsia="en-GB"/>
              </w:rPr>
              <w:t>National Assembly</w:t>
            </w:r>
          </w:p>
          <w:p>
            <w:pPr>
              <w:rPr>
                <w:i/>
                <w:iCs/>
                <w:sz w:val="16"/>
                <w:szCs w:val="16"/>
                <w:lang w:eastAsia="en-GB"/>
              </w:rPr>
            </w:pPr>
            <w:r>
              <w:rPr>
                <w:i/>
                <w:iCs/>
                <w:sz w:val="16"/>
                <w:szCs w:val="16"/>
                <w:lang w:eastAsia="en-GB"/>
              </w:rPr>
              <w:t>Judicial Body</w:t>
            </w:r>
          </w:p>
          <w:p>
            <w:pPr>
              <w:rPr>
                <w:i/>
                <w:iCs/>
                <w:sz w:val="16"/>
                <w:szCs w:val="16"/>
                <w:lang w:eastAsia="en-GB"/>
              </w:rPr>
            </w:pPr>
            <w:r>
              <w:rPr>
                <w:i/>
                <w:iCs/>
                <w:sz w:val="16"/>
                <w:szCs w:val="16"/>
                <w:lang w:eastAsia="en-GB"/>
              </w:rPr>
              <w:t>Ministry of Agricultural Development</w:t>
            </w:r>
          </w:p>
          <w:p>
            <w:pPr>
              <w:rPr>
                <w:i/>
                <w:iCs/>
                <w:sz w:val="16"/>
                <w:szCs w:val="16"/>
                <w:lang w:eastAsia="en-GB"/>
              </w:rPr>
            </w:pPr>
            <w:r>
              <w:rPr>
                <w:i/>
                <w:iCs/>
                <w:sz w:val="16"/>
                <w:szCs w:val="16"/>
                <w:lang w:eastAsia="en-GB"/>
              </w:rPr>
              <w:t>University of Panama</w:t>
            </w:r>
          </w:p>
          <w:p>
            <w:pPr>
              <w:rPr>
                <w:i/>
                <w:iCs/>
                <w:sz w:val="16"/>
                <w:szCs w:val="16"/>
                <w:lang w:eastAsia="en-GB"/>
              </w:rPr>
            </w:pPr>
          </w:p>
          <w:p>
            <w:pPr>
              <w:rPr>
                <w:i/>
                <w:iCs/>
                <w:sz w:val="16"/>
                <w:szCs w:val="16"/>
                <w:lang w:eastAsia="en-GB"/>
              </w:rPr>
            </w:pPr>
            <w:r>
              <w:rPr>
                <w:i/>
                <w:iCs/>
                <w:sz w:val="16"/>
                <w:szCs w:val="16"/>
                <w:lang w:eastAsia="en-GB"/>
              </w:rPr>
              <w:t>Local governments</w:t>
            </w:r>
          </w:p>
          <w:p>
            <w:pPr>
              <w:rPr>
                <w:i/>
                <w:iCs/>
                <w:sz w:val="16"/>
                <w:szCs w:val="16"/>
                <w:lang w:eastAsia="en-GB"/>
              </w:rPr>
            </w:pPr>
          </w:p>
          <w:p>
            <w:pPr>
              <w:rPr>
                <w:i/>
                <w:iCs/>
                <w:sz w:val="16"/>
                <w:szCs w:val="16"/>
                <w:lang w:eastAsia="en-GB"/>
              </w:rPr>
            </w:pPr>
            <w:r>
              <w:rPr>
                <w:i/>
                <w:iCs/>
                <w:sz w:val="16"/>
                <w:szCs w:val="16"/>
                <w:lang w:eastAsia="en-GB"/>
              </w:rPr>
              <w:t>Private Sector</w:t>
            </w:r>
          </w:p>
          <w:p>
            <w:pPr>
              <w:rPr>
                <w:i/>
                <w:iCs/>
                <w:sz w:val="16"/>
                <w:szCs w:val="16"/>
                <w:lang w:eastAsia="en-GB"/>
              </w:rPr>
            </w:pPr>
          </w:p>
          <w:p>
            <w:pPr>
              <w:rPr>
                <w:i/>
                <w:iCs/>
                <w:sz w:val="16"/>
                <w:szCs w:val="16"/>
                <w:lang w:eastAsia="en-GB"/>
              </w:rPr>
            </w:pPr>
            <w:r>
              <w:rPr>
                <w:i/>
                <w:iCs/>
                <w:sz w:val="16"/>
                <w:szCs w:val="16"/>
                <w:lang w:eastAsia="en-GB"/>
              </w:rPr>
              <w:t>ONGs</w:t>
            </w:r>
          </w:p>
          <w:p>
            <w:pPr>
              <w:rPr>
                <w:i/>
                <w:iCs/>
                <w:sz w:val="16"/>
                <w:szCs w:val="16"/>
                <w:lang w:val="en-GB" w:eastAsia="en-GB"/>
              </w:rPr>
            </w:pPr>
            <w:r>
              <w:rPr>
                <w:i/>
                <w:iCs/>
                <w:sz w:val="16"/>
                <w:szCs w:val="16"/>
                <w:lang w:val="en-GB" w:eastAsia="en-GB"/>
              </w:rPr>
              <w:t>Inter-cultural communities and indigenous groups</w:t>
            </w:r>
          </w:p>
          <w:p>
            <w:pPr>
              <w:rPr>
                <w:i/>
                <w:iCs/>
                <w:sz w:val="16"/>
                <w:szCs w:val="16"/>
                <w:lang w:eastAsia="en-GB"/>
              </w:rPr>
            </w:pPr>
            <w:r>
              <w:rPr>
                <w:i/>
                <w:iCs/>
                <w:sz w:val="16"/>
                <w:szCs w:val="16"/>
                <w:lang w:eastAsia="en-GB"/>
              </w:rPr>
              <w:t>Civil society</w:t>
            </w:r>
          </w:p>
          <w:p>
            <w:pPr>
              <w:rPr>
                <w:i/>
                <w:iCs/>
                <w:sz w:val="16"/>
                <w:szCs w:val="16"/>
                <w:lang w:eastAsia="en-GB"/>
              </w:rPr>
            </w:pPr>
            <w:r>
              <w:rPr>
                <w:i/>
                <w:iCs/>
                <w:sz w:val="16"/>
                <w:szCs w:val="16"/>
                <w:lang w:eastAsia="en-GB"/>
              </w:rPr>
              <w:t>Women's Political Organizations</w:t>
            </w:r>
          </w:p>
          <w:p>
            <w:pPr>
              <w:rPr>
                <w:i/>
                <w:iCs/>
                <w:sz w:val="16"/>
                <w:szCs w:val="16"/>
                <w:lang w:eastAsia="en-GB"/>
              </w:rPr>
            </w:pPr>
          </w:p>
          <w:p>
            <w:pPr>
              <w:rPr>
                <w:i/>
                <w:iCs/>
                <w:sz w:val="16"/>
                <w:szCs w:val="16"/>
                <w:lang w:val="en-GB" w:eastAsia="en-GB"/>
              </w:rPr>
            </w:pPr>
            <w:r>
              <w:rPr>
                <w:i/>
                <w:iCs/>
                <w:sz w:val="16"/>
                <w:szCs w:val="16"/>
                <w:lang w:val="en-GB" w:eastAsia="en-GB"/>
              </w:rPr>
              <w:t>Donors:</w:t>
            </w:r>
          </w:p>
          <w:p>
            <w:pPr>
              <w:rPr>
                <w:i/>
                <w:iCs/>
                <w:sz w:val="16"/>
                <w:szCs w:val="16"/>
                <w:lang w:val="es-419" w:eastAsia="en-GB"/>
              </w:rPr>
            </w:pPr>
            <w:r>
              <w:rPr>
                <w:rFonts w:cstheme="minorHAnsi"/>
                <w:bCs/>
                <w:sz w:val="18"/>
                <w:szCs w:val="18"/>
                <w:lang w:val="es-419"/>
              </w:rPr>
              <w:lastRenderedPageBreak/>
              <w:t xml:space="preserve">INL, CARSI </w:t>
            </w:r>
            <w:proofErr w:type="spellStart"/>
            <w:r>
              <w:rPr>
                <w:rFonts w:cstheme="minorHAnsi"/>
                <w:bCs/>
                <w:sz w:val="18"/>
                <w:szCs w:val="18"/>
                <w:lang w:val="es-419"/>
              </w:rPr>
              <w:t>Us</w:t>
            </w:r>
            <w:proofErr w:type="spellEnd"/>
            <w:r>
              <w:rPr>
                <w:rFonts w:cstheme="minorHAnsi"/>
                <w:bCs/>
                <w:sz w:val="18"/>
                <w:szCs w:val="18"/>
                <w:lang w:val="es-419"/>
              </w:rPr>
              <w:t xml:space="preserve"> Embassy, AECID, EU, </w:t>
            </w:r>
            <w:proofErr w:type="spellStart"/>
            <w:r>
              <w:rPr>
                <w:rFonts w:cstheme="minorHAnsi"/>
                <w:bCs/>
                <w:sz w:val="18"/>
                <w:szCs w:val="18"/>
                <w:lang w:val="es-419"/>
              </w:rPr>
              <w:t>Korea</w:t>
            </w:r>
            <w:proofErr w:type="spellEnd"/>
            <w:r>
              <w:rPr>
                <w:rFonts w:cstheme="minorHAnsi"/>
                <w:bCs/>
                <w:sz w:val="18"/>
                <w:szCs w:val="18"/>
                <w:lang w:val="es-419"/>
              </w:rPr>
              <w:t>, Banesco</w:t>
            </w:r>
            <w:r>
              <w:rPr>
                <w:i/>
                <w:iCs/>
                <w:sz w:val="16"/>
                <w:szCs w:val="16"/>
                <w:lang w:val="es-419" w:eastAsia="en-GB"/>
              </w:rPr>
              <w:t xml:space="preserve"> </w:t>
            </w:r>
          </w:p>
          <w:p>
            <w:pPr>
              <w:rPr>
                <w:i/>
                <w:iCs/>
                <w:sz w:val="16"/>
                <w:szCs w:val="16"/>
                <w:lang w:val="es-419" w:eastAsia="en-GB"/>
              </w:rPr>
            </w:pPr>
          </w:p>
          <w:p>
            <w:pPr>
              <w:rPr>
                <w:i/>
                <w:iCs/>
                <w:sz w:val="16"/>
                <w:szCs w:val="16"/>
                <w:lang w:val="es-419" w:eastAsia="en-GB"/>
              </w:rPr>
            </w:pPr>
          </w:p>
          <w:p>
            <w:pPr>
              <w:rPr>
                <w:i/>
                <w:iCs/>
                <w:sz w:val="16"/>
                <w:szCs w:val="16"/>
                <w:lang w:val="es-419" w:eastAsia="en-GB"/>
              </w:rPr>
            </w:pPr>
          </w:p>
          <w:p>
            <w:pPr>
              <w:rPr>
                <w:i/>
                <w:iCs/>
                <w:sz w:val="16"/>
                <w:szCs w:val="16"/>
                <w:lang w:val="en-GB" w:eastAsia="en-GB"/>
              </w:rPr>
            </w:pPr>
            <w:r>
              <w:rPr>
                <w:i/>
                <w:iCs/>
                <w:sz w:val="16"/>
                <w:szCs w:val="16"/>
                <w:lang w:val="en-GB" w:eastAsia="en-GB"/>
              </w:rPr>
              <w:t>Other partners:</w:t>
            </w:r>
          </w:p>
          <w:p>
            <w:pPr>
              <w:rPr>
                <w:i/>
                <w:iCs/>
                <w:sz w:val="16"/>
                <w:szCs w:val="16"/>
                <w:lang w:val="en-GB" w:eastAsia="en-GB"/>
              </w:rPr>
            </w:pPr>
            <w:r>
              <w:rPr>
                <w:i/>
                <w:iCs/>
                <w:sz w:val="16"/>
                <w:szCs w:val="16"/>
                <w:lang w:val="en-GB" w:eastAsia="en-GB"/>
              </w:rPr>
              <w:t xml:space="preserve">United Nations System </w:t>
            </w:r>
          </w:p>
          <w:p>
            <w:pPr>
              <w:rPr>
                <w:i/>
                <w:iCs/>
                <w:sz w:val="16"/>
                <w:szCs w:val="16"/>
                <w:lang w:val="en-GB" w:eastAsia="en-GB"/>
              </w:rPr>
            </w:pPr>
            <w:r>
              <w:rPr>
                <w:i/>
                <w:iCs/>
                <w:sz w:val="16"/>
                <w:szCs w:val="16"/>
                <w:lang w:val="en-GB" w:eastAsia="en-GB"/>
              </w:rPr>
              <w:t>World Trade Organization</w:t>
            </w:r>
          </w:p>
          <w:p>
            <w:pPr>
              <w:rPr>
                <w:i/>
                <w:iCs/>
                <w:sz w:val="16"/>
                <w:szCs w:val="16"/>
                <w:lang w:val="en-GB" w:eastAsia="en-GB"/>
              </w:rPr>
            </w:pPr>
          </w:p>
        </w:tc>
        <w:tc>
          <w:tcPr>
            <w:tcW w:w="958" w:type="pct"/>
            <w:tcBorders>
              <w:top w:val="single" w:sz="4" w:space="0" w:color="auto"/>
              <w:left w:val="single" w:sz="4" w:space="0" w:color="auto"/>
              <w:bottom w:val="single" w:sz="4" w:space="0" w:color="auto"/>
              <w:right w:val="nil"/>
            </w:tcBorders>
            <w:tcMar>
              <w:top w:w="15" w:type="dxa"/>
              <w:left w:w="108" w:type="dxa"/>
              <w:bottom w:w="0" w:type="dxa"/>
              <w:right w:w="108" w:type="dxa"/>
            </w:tcMar>
            <w:hideMark/>
          </w:tcPr>
          <w:p>
            <w:pPr>
              <w:rPr>
                <w:b/>
                <w:sz w:val="16"/>
                <w:szCs w:val="16"/>
                <w:lang w:val="en-GB" w:eastAsia="en-GB"/>
              </w:rPr>
            </w:pPr>
            <w:r>
              <w:rPr>
                <w:b/>
                <w:sz w:val="16"/>
                <w:szCs w:val="16"/>
                <w:lang w:val="en-GB" w:eastAsia="en-GB"/>
              </w:rPr>
              <w:lastRenderedPageBreak/>
              <w:t>Regular</w:t>
            </w:r>
          </w:p>
          <w:p>
            <w:pPr>
              <w:rPr>
                <w:b/>
                <w:sz w:val="16"/>
                <w:szCs w:val="16"/>
                <w:lang w:val="en-GB" w:eastAsia="en-GB"/>
              </w:rPr>
            </w:pPr>
            <w:r>
              <w:rPr>
                <w:sz w:val="17"/>
                <w:szCs w:val="17"/>
              </w:rPr>
              <w:t>305,000</w:t>
            </w:r>
          </w:p>
        </w:tc>
      </w:tr>
      <w:tr>
        <w:trPr>
          <w:trHeight w:val="232"/>
        </w:trPr>
        <w:tc>
          <w:tcPr>
            <w:tcW w:w="0" w:type="auto"/>
            <w:vMerge/>
            <w:tcBorders>
              <w:top w:val="single" w:sz="4" w:space="0" w:color="auto"/>
              <w:left w:val="nil"/>
              <w:bottom w:val="nil"/>
              <w:right w:val="single" w:sz="4" w:space="0" w:color="auto"/>
            </w:tcBorders>
            <w:vAlign w:val="center"/>
            <w:hideMark/>
          </w:tcPr>
          <w:p>
            <w:pPr>
              <w:rPr>
                <w:i/>
                <w:iCs/>
                <w:sz w:val="16"/>
                <w:szCs w:val="16"/>
                <w:highlight w:val="yellow"/>
                <w:lang w:val="en-GB" w:eastAsia="en-GB"/>
              </w:rPr>
            </w:pPr>
          </w:p>
        </w:tc>
        <w:tc>
          <w:tcPr>
            <w:tcW w:w="0" w:type="auto"/>
            <w:vMerge/>
            <w:tcBorders>
              <w:top w:val="single" w:sz="4" w:space="0" w:color="auto"/>
              <w:left w:val="single" w:sz="4" w:space="0" w:color="auto"/>
              <w:bottom w:val="nil"/>
              <w:right w:val="single" w:sz="4" w:space="0" w:color="auto"/>
            </w:tcBorders>
            <w:vAlign w:val="center"/>
            <w:hideMark/>
          </w:tcPr>
          <w:p>
            <w:pPr>
              <w:rPr>
                <w:i/>
                <w:iCs/>
                <w:sz w:val="16"/>
                <w:szCs w:val="16"/>
                <w:lang w:val="en-GB" w:eastAsia="en-GB"/>
              </w:rPr>
            </w:pPr>
          </w:p>
        </w:tc>
        <w:tc>
          <w:tcPr>
            <w:tcW w:w="0" w:type="auto"/>
            <w:vMerge/>
            <w:tcBorders>
              <w:top w:val="single" w:sz="4" w:space="0" w:color="auto"/>
              <w:left w:val="single" w:sz="4" w:space="0" w:color="auto"/>
              <w:bottom w:val="nil"/>
              <w:right w:val="single" w:sz="4" w:space="0" w:color="auto"/>
            </w:tcBorders>
            <w:vAlign w:val="center"/>
            <w:hideMark/>
          </w:tcPr>
          <w:p>
            <w:pPr>
              <w:rPr>
                <w:i/>
                <w:iCs/>
                <w:sz w:val="16"/>
                <w:szCs w:val="16"/>
                <w:lang w:val="en-GB" w:eastAsia="en-GB"/>
              </w:rPr>
            </w:pPr>
          </w:p>
        </w:tc>
        <w:tc>
          <w:tcPr>
            <w:tcW w:w="0" w:type="auto"/>
            <w:vMerge/>
            <w:tcBorders>
              <w:top w:val="single" w:sz="4" w:space="0" w:color="auto"/>
              <w:left w:val="single" w:sz="4" w:space="0" w:color="auto"/>
              <w:bottom w:val="nil"/>
              <w:right w:val="single" w:sz="4" w:space="0" w:color="auto"/>
            </w:tcBorders>
            <w:vAlign w:val="center"/>
            <w:hideMark/>
          </w:tcPr>
          <w:p>
            <w:pPr>
              <w:rPr>
                <w:i/>
                <w:iCs/>
                <w:sz w:val="16"/>
                <w:szCs w:val="16"/>
                <w:lang w:val="en-GB" w:eastAsia="en-GB"/>
              </w:rPr>
            </w:pPr>
          </w:p>
        </w:tc>
        <w:tc>
          <w:tcPr>
            <w:tcW w:w="958" w:type="pct"/>
            <w:tcBorders>
              <w:top w:val="single" w:sz="4" w:space="0" w:color="auto"/>
              <w:left w:val="single" w:sz="4" w:space="0" w:color="auto"/>
              <w:bottom w:val="nil"/>
              <w:right w:val="nil"/>
            </w:tcBorders>
            <w:tcMar>
              <w:top w:w="15" w:type="dxa"/>
              <w:left w:w="108" w:type="dxa"/>
              <w:bottom w:w="0" w:type="dxa"/>
              <w:right w:w="108" w:type="dxa"/>
            </w:tcMar>
            <w:hideMark/>
          </w:tcPr>
          <w:p>
            <w:pPr>
              <w:rPr>
                <w:b/>
                <w:sz w:val="16"/>
                <w:szCs w:val="16"/>
                <w:lang w:val="en-GB" w:eastAsia="en-GB"/>
              </w:rPr>
            </w:pPr>
            <w:r>
              <w:rPr>
                <w:b/>
                <w:sz w:val="16"/>
                <w:szCs w:val="16"/>
                <w:lang w:val="en-GB" w:eastAsia="en-GB"/>
              </w:rPr>
              <w:t>Other</w:t>
            </w:r>
          </w:p>
          <w:p>
            <w:pPr>
              <w:rPr>
                <w:b/>
                <w:sz w:val="16"/>
                <w:szCs w:val="16"/>
                <w:lang w:val="en-GB" w:eastAsia="en-GB"/>
              </w:rPr>
            </w:pPr>
            <w:r>
              <w:rPr>
                <w:sz w:val="17"/>
                <w:szCs w:val="17"/>
              </w:rPr>
              <w:t>40,200,000</w:t>
            </w:r>
          </w:p>
          <w:p>
            <w:pPr>
              <w:rPr>
                <w:b/>
                <w:sz w:val="16"/>
                <w:szCs w:val="16"/>
                <w:lang w:val="en-GB" w:eastAsia="en-GB"/>
              </w:rPr>
            </w:pPr>
          </w:p>
        </w:tc>
      </w:tr>
      <w:tr>
        <w:trPr>
          <w:trHeight w:val="25"/>
        </w:trPr>
        <w:tc>
          <w:tcPr>
            <w:tcW w:w="5000" w:type="pct"/>
            <w:gridSpan w:val="5"/>
            <w:tcBorders>
              <w:top w:val="nil"/>
              <w:left w:val="nil"/>
              <w:bottom w:val="single" w:sz="4" w:space="0" w:color="auto"/>
              <w:right w:val="nil"/>
            </w:tcBorders>
            <w:shd w:val="clear" w:color="auto" w:fill="DBE5F1" w:themeFill="accent1" w:themeFillTint="33"/>
            <w:tcMar>
              <w:top w:w="72" w:type="dxa"/>
              <w:left w:w="144" w:type="dxa"/>
              <w:bottom w:w="72" w:type="dxa"/>
              <w:right w:w="144" w:type="dxa"/>
            </w:tcMar>
            <w:hideMark/>
          </w:tcPr>
          <w:p>
            <w:pPr>
              <w:rPr>
                <w:color w:val="000000"/>
                <w:sz w:val="16"/>
                <w:szCs w:val="16"/>
                <w:lang w:val="en-GB" w:eastAsia="en-GB"/>
              </w:rPr>
            </w:pPr>
            <w:r>
              <w:rPr>
                <w:b/>
                <w:bCs/>
                <w:color w:val="000000"/>
                <w:sz w:val="16"/>
                <w:szCs w:val="16"/>
                <w:lang w:val="en-GB" w:eastAsia="en-GB"/>
              </w:rPr>
              <w:lastRenderedPageBreak/>
              <w:t xml:space="preserve">NATIONAL PRIORITY OR GOAL: </w:t>
            </w:r>
            <w:r>
              <w:rPr>
                <w:color w:val="000000"/>
                <w:sz w:val="16"/>
                <w:szCs w:val="16"/>
                <w:lang w:val="en-GB" w:eastAsia="en-GB"/>
              </w:rPr>
              <w:t>Good governance, Rule of law, Competitive economy that generate jobs, Fight against poverty and inequality, Education, Science, Technology and culture, SDGs: 1, 3, 4, 5, 6, 7, 8, 10, 11, 12, 13, 14, 15, 16,17</w:t>
            </w:r>
          </w:p>
        </w:tc>
      </w:tr>
      <w:tr>
        <w:trPr>
          <w:trHeight w:val="124"/>
        </w:trPr>
        <w:tc>
          <w:tcPr>
            <w:tcW w:w="5000" w:type="pct"/>
            <w:gridSpan w:val="5"/>
            <w:tcBorders>
              <w:top w:val="single" w:sz="4" w:space="0" w:color="auto"/>
              <w:left w:val="nil"/>
              <w:bottom w:val="single" w:sz="4" w:space="0" w:color="auto"/>
              <w:right w:val="nil"/>
            </w:tcBorders>
            <w:shd w:val="clear" w:color="auto" w:fill="DBE5F1" w:themeFill="accent1" w:themeFillTint="33"/>
            <w:tcMar>
              <w:top w:w="72" w:type="dxa"/>
              <w:left w:w="144" w:type="dxa"/>
              <w:bottom w:w="72" w:type="dxa"/>
              <w:right w:w="144" w:type="dxa"/>
            </w:tcMar>
            <w:hideMark/>
          </w:tcPr>
          <w:p>
            <w:pPr>
              <w:jc w:val="both"/>
              <w:rPr>
                <w:i/>
                <w:iCs/>
                <w:sz w:val="16"/>
                <w:szCs w:val="16"/>
                <w:lang w:val="en-GB" w:eastAsia="en-GB"/>
              </w:rPr>
            </w:pPr>
            <w:r>
              <w:rPr>
                <w:b/>
                <w:bCs/>
                <w:sz w:val="16"/>
                <w:szCs w:val="16"/>
                <w:lang w:val="en-GB" w:eastAsia="en-GB"/>
              </w:rPr>
              <w:t>COOPERATION FRAMEWORK  OUTCOME INVOLVING UNDP #3:</w:t>
            </w:r>
            <w:r>
              <w:rPr>
                <w:sz w:val="16"/>
                <w:szCs w:val="16"/>
                <w:lang w:val="en-GB" w:eastAsia="en-GB"/>
              </w:rPr>
              <w:t xml:space="preserve"> </w:t>
            </w:r>
            <w:r>
              <w:rPr>
                <w:i/>
                <w:iCs/>
                <w:sz w:val="16"/>
                <w:szCs w:val="16"/>
                <w:lang w:val="en-GB" w:eastAsia="en-GB"/>
              </w:rPr>
              <w:t>By 2025, Panama is resilient and has implemented public policies for adaptation and mitigation of climate change, the neutrality of land degradation, protection of biodiversity, integrated environmental management and risk reduction of disasters and health crises, with a territorial, intercultural, human rights, gender, and life course approach”</w:t>
            </w:r>
          </w:p>
          <w:p>
            <w:pPr>
              <w:rPr>
                <w:rFonts w:eastAsia="Calibri"/>
                <w:i/>
                <w:iCs/>
                <w:color w:val="000000" w:themeColor="text1"/>
                <w:sz w:val="16"/>
                <w:szCs w:val="16"/>
                <w:lang w:val="en-GB" w:eastAsia="en-GB"/>
              </w:rPr>
            </w:pPr>
            <w:r>
              <w:rPr>
                <w:rFonts w:eastAsia="Calibri"/>
                <w:i/>
                <w:iCs/>
                <w:color w:val="000000" w:themeColor="text1"/>
                <w:sz w:val="16"/>
                <w:szCs w:val="16"/>
                <w:lang w:val="en-GB" w:eastAsia="en-GB"/>
              </w:rPr>
              <w:t>IRRF: 2.1.1.1 Country has targets for low emission and climate-resilient development</w:t>
            </w:r>
          </w:p>
          <w:p>
            <w:pPr>
              <w:pStyle w:val="ListParagraph"/>
              <w:ind w:left="360"/>
              <w:rPr>
                <w:i/>
                <w:iCs/>
                <w:sz w:val="16"/>
                <w:szCs w:val="16"/>
                <w:lang w:val="en-GB" w:eastAsia="en-GB"/>
              </w:rPr>
            </w:pPr>
            <w:r>
              <w:rPr>
                <w:i/>
                <w:iCs/>
                <w:sz w:val="16"/>
                <w:szCs w:val="16"/>
                <w:lang w:val="en-GB" w:eastAsia="en-GB"/>
              </w:rPr>
              <w:t>B: Yes (2020</w:t>
            </w:r>
            <w:proofErr w:type="gramStart"/>
            <w:r>
              <w:rPr>
                <w:i/>
                <w:iCs/>
                <w:sz w:val="16"/>
                <w:szCs w:val="16"/>
                <w:lang w:val="en-GB" w:eastAsia="en-GB"/>
              </w:rPr>
              <w:t>)  T</w:t>
            </w:r>
            <w:proofErr w:type="gramEnd"/>
            <w:r>
              <w:rPr>
                <w:i/>
                <w:iCs/>
                <w:sz w:val="16"/>
                <w:szCs w:val="16"/>
                <w:lang w:val="en-GB" w:eastAsia="en-GB"/>
              </w:rPr>
              <w:t xml:space="preserve">: Yes (2021) </w:t>
            </w:r>
          </w:p>
          <w:p>
            <w:pPr>
              <w:jc w:val="both"/>
              <w:rPr>
                <w:rFonts w:eastAsia="Calibri"/>
                <w:i/>
                <w:iCs/>
                <w:color w:val="000000" w:themeColor="text1"/>
                <w:sz w:val="16"/>
                <w:szCs w:val="16"/>
                <w:lang w:val="en-GB" w:eastAsia="en-GB"/>
              </w:rPr>
            </w:pPr>
            <w:r>
              <w:rPr>
                <w:rFonts w:eastAsia="Calibri"/>
                <w:i/>
                <w:iCs/>
                <w:color w:val="000000" w:themeColor="text1"/>
                <w:sz w:val="16"/>
                <w:szCs w:val="16"/>
                <w:lang w:val="en-GB" w:eastAsia="en-GB"/>
              </w:rPr>
              <w:t>IRRF: 2.1.1.2 Country has public-private partnerships at national level to improve the enabling framework for economic diversification and green growth</w:t>
            </w:r>
          </w:p>
          <w:p>
            <w:pPr>
              <w:pStyle w:val="ListParagraph"/>
              <w:ind w:left="360"/>
              <w:rPr>
                <w:i/>
                <w:iCs/>
                <w:sz w:val="16"/>
                <w:szCs w:val="16"/>
                <w:lang w:val="en-GB" w:eastAsia="en-GB"/>
              </w:rPr>
            </w:pPr>
            <w:r>
              <w:rPr>
                <w:i/>
                <w:iCs/>
                <w:sz w:val="16"/>
                <w:szCs w:val="16"/>
                <w:lang w:val="en-GB" w:eastAsia="en-GB"/>
              </w:rPr>
              <w:t>B: Yes (2020</w:t>
            </w:r>
            <w:proofErr w:type="gramStart"/>
            <w:r>
              <w:rPr>
                <w:i/>
                <w:iCs/>
                <w:sz w:val="16"/>
                <w:szCs w:val="16"/>
                <w:lang w:val="en-GB" w:eastAsia="en-GB"/>
              </w:rPr>
              <w:t>)  T</w:t>
            </w:r>
            <w:proofErr w:type="gramEnd"/>
            <w:r>
              <w:rPr>
                <w:i/>
                <w:iCs/>
                <w:sz w:val="16"/>
                <w:szCs w:val="16"/>
                <w:lang w:val="en-GB" w:eastAsia="en-GB"/>
              </w:rPr>
              <w:t xml:space="preserve">: Yes (2021) </w:t>
            </w:r>
          </w:p>
          <w:p>
            <w:pPr>
              <w:jc w:val="both"/>
              <w:rPr>
                <w:sz w:val="16"/>
                <w:szCs w:val="16"/>
                <w:lang w:eastAsia="en-GB"/>
              </w:rPr>
            </w:pPr>
          </w:p>
        </w:tc>
      </w:tr>
      <w:tr>
        <w:trPr>
          <w:trHeight w:val="124"/>
        </w:trPr>
        <w:tc>
          <w:tcPr>
            <w:tcW w:w="5000" w:type="pct"/>
            <w:gridSpan w:val="5"/>
            <w:tcBorders>
              <w:top w:val="single" w:sz="4" w:space="0" w:color="auto"/>
              <w:left w:val="nil"/>
              <w:bottom w:val="single" w:sz="4" w:space="0" w:color="auto"/>
              <w:right w:val="nil"/>
            </w:tcBorders>
            <w:shd w:val="clear" w:color="auto" w:fill="DBE5F1" w:themeFill="accent1" w:themeFillTint="33"/>
            <w:tcMar>
              <w:top w:w="72" w:type="dxa"/>
              <w:left w:w="144" w:type="dxa"/>
              <w:bottom w:w="72" w:type="dxa"/>
              <w:right w:w="144" w:type="dxa"/>
            </w:tcMar>
            <w:hideMark/>
          </w:tcPr>
          <w:p>
            <w:pPr>
              <w:rPr>
                <w:b/>
                <w:bCs/>
                <w:sz w:val="16"/>
                <w:szCs w:val="16"/>
                <w:lang w:val="en-GB" w:eastAsia="en-GB"/>
              </w:rPr>
            </w:pPr>
            <w:r>
              <w:rPr>
                <w:b/>
                <w:bCs/>
                <w:sz w:val="16"/>
                <w:szCs w:val="16"/>
                <w:lang w:val="en-GB" w:eastAsia="en-GB"/>
              </w:rPr>
              <w:t xml:space="preserve">RELATED STRATEGIC PLAN OUTCOME: </w:t>
            </w:r>
            <w:r>
              <w:rPr>
                <w:i/>
                <w:iCs/>
                <w:sz w:val="16"/>
                <w:szCs w:val="16"/>
                <w:lang w:val="en-GB" w:eastAsia="en-GB"/>
              </w:rPr>
              <w:t>Outcome 2 – Accelerate structural transformations for sustainable development</w:t>
            </w:r>
          </w:p>
        </w:tc>
      </w:tr>
      <w:tr>
        <w:trPr>
          <w:trHeight w:val="322"/>
        </w:trPr>
        <w:tc>
          <w:tcPr>
            <w:tcW w:w="1097" w:type="pct"/>
            <w:tcBorders>
              <w:top w:val="single" w:sz="4" w:space="0" w:color="auto"/>
              <w:left w:val="nil"/>
              <w:bottom w:val="single" w:sz="4" w:space="0" w:color="auto"/>
              <w:right w:val="single" w:sz="4" w:space="0" w:color="auto"/>
            </w:tcBorders>
            <w:shd w:val="clear" w:color="auto" w:fill="DBE5F1" w:themeFill="accent1" w:themeFillTint="33"/>
            <w:tcMar>
              <w:top w:w="72" w:type="dxa"/>
              <w:left w:w="144" w:type="dxa"/>
              <w:bottom w:w="72" w:type="dxa"/>
              <w:right w:w="144" w:type="dxa"/>
            </w:tcMar>
            <w:vAlign w:val="center"/>
            <w:hideMark/>
          </w:tcPr>
          <w:p>
            <w:pPr>
              <w:jc w:val="center"/>
              <w:rPr>
                <w:color w:val="000000"/>
                <w:sz w:val="16"/>
                <w:szCs w:val="16"/>
                <w:lang w:val="en-GB" w:eastAsia="en-GB"/>
              </w:rPr>
            </w:pPr>
            <w:r>
              <w:rPr>
                <w:b/>
                <w:bCs/>
                <w:color w:val="000000"/>
                <w:sz w:val="16"/>
                <w:szCs w:val="16"/>
                <w:lang w:val="en-GB" w:eastAsia="en-GB"/>
              </w:rPr>
              <w:t>COOPERATION FRAMEWORK OUTCOME INDICATOR(S), BASELINES, TARGET(S)</w:t>
            </w:r>
          </w:p>
        </w:tc>
        <w:tc>
          <w:tcPr>
            <w:tcW w:w="117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pPr>
              <w:jc w:val="center"/>
              <w:rPr>
                <w:b/>
                <w:color w:val="000000"/>
                <w:sz w:val="16"/>
                <w:szCs w:val="16"/>
                <w:lang w:val="en-GB" w:eastAsia="en-GB"/>
              </w:rPr>
            </w:pPr>
            <w:r>
              <w:rPr>
                <w:b/>
                <w:color w:val="000000"/>
                <w:sz w:val="16"/>
                <w:szCs w:val="16"/>
                <w:lang w:val="en-GB" w:eastAsia="en-GB"/>
              </w:rPr>
              <w:t>DATA SOURCE AND FREQUENCY OF DATA COLLECTION, AND RESPONSIBILITIES</w:t>
            </w:r>
          </w:p>
        </w:tc>
        <w:tc>
          <w:tcPr>
            <w:tcW w:w="1092"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72" w:type="dxa"/>
              <w:left w:w="144" w:type="dxa"/>
              <w:bottom w:w="72" w:type="dxa"/>
              <w:right w:w="144" w:type="dxa"/>
            </w:tcMar>
            <w:vAlign w:val="center"/>
            <w:hideMark/>
          </w:tcPr>
          <w:p>
            <w:pPr>
              <w:jc w:val="center"/>
              <w:rPr>
                <w:color w:val="000000"/>
                <w:sz w:val="16"/>
                <w:szCs w:val="16"/>
                <w:lang w:val="en-GB" w:eastAsia="en-GB"/>
              </w:rPr>
            </w:pPr>
            <w:r>
              <w:rPr>
                <w:b/>
                <w:bCs/>
                <w:color w:val="000000"/>
                <w:sz w:val="16"/>
                <w:szCs w:val="16"/>
                <w:lang w:val="en-GB" w:eastAsia="en-GB"/>
              </w:rPr>
              <w:t xml:space="preserve">INDICATIVE COUNTRY PROGRAMME OUTPUTS </w:t>
            </w:r>
            <w:r>
              <w:rPr>
                <w:b/>
                <w:bCs/>
                <w:i/>
                <w:color w:val="000000"/>
                <w:sz w:val="16"/>
                <w:szCs w:val="16"/>
                <w:lang w:val="en-GB" w:eastAsia="en-GB"/>
              </w:rPr>
              <w:t>(including indicators, baselines targets)</w:t>
            </w:r>
          </w:p>
        </w:tc>
        <w:tc>
          <w:tcPr>
            <w:tcW w:w="67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pPr>
              <w:jc w:val="center"/>
              <w:rPr>
                <w:b/>
                <w:bCs/>
                <w:color w:val="000000"/>
                <w:lang w:val="en-GB" w:eastAsia="en-GB"/>
              </w:rPr>
            </w:pPr>
            <w:r>
              <w:rPr>
                <w:b/>
                <w:bCs/>
                <w:color w:val="000000"/>
                <w:lang w:val="en-GB" w:eastAsia="en-GB"/>
              </w:rPr>
              <w:t>MAJOR PARTNERS / PARTNERSHIPS</w:t>
            </w:r>
          </w:p>
          <w:p>
            <w:pPr>
              <w:jc w:val="center"/>
              <w:rPr>
                <w:b/>
                <w:bCs/>
                <w:color w:val="000000"/>
                <w:lang w:val="en-GB" w:eastAsia="en-GB"/>
              </w:rPr>
            </w:pPr>
            <w:r>
              <w:rPr>
                <w:b/>
                <w:bCs/>
                <w:color w:val="000000"/>
                <w:lang w:val="en-GB" w:eastAsia="en-GB"/>
              </w:rPr>
              <w:t>FRAMEWORKS</w:t>
            </w:r>
          </w:p>
        </w:tc>
        <w:tc>
          <w:tcPr>
            <w:tcW w:w="958" w:type="pct"/>
            <w:tcBorders>
              <w:top w:val="single" w:sz="4" w:space="0" w:color="auto"/>
              <w:left w:val="single" w:sz="4" w:space="0" w:color="auto"/>
              <w:bottom w:val="single" w:sz="4" w:space="0" w:color="auto"/>
              <w:right w:val="nil"/>
            </w:tcBorders>
            <w:shd w:val="clear" w:color="auto" w:fill="DBE5F1" w:themeFill="accent1" w:themeFillTint="33"/>
            <w:tcMar>
              <w:top w:w="15" w:type="dxa"/>
              <w:left w:w="108" w:type="dxa"/>
              <w:bottom w:w="0" w:type="dxa"/>
              <w:right w:w="108" w:type="dxa"/>
            </w:tcMar>
            <w:vAlign w:val="center"/>
            <w:hideMark/>
          </w:tcPr>
          <w:p>
            <w:pPr>
              <w:jc w:val="center"/>
              <w:rPr>
                <w:i/>
                <w:color w:val="0000FF"/>
                <w:sz w:val="16"/>
                <w:szCs w:val="16"/>
                <w:lang w:val="en-GB" w:eastAsia="en-GB"/>
              </w:rPr>
            </w:pPr>
            <w:r>
              <w:rPr>
                <w:b/>
                <w:bCs/>
                <w:color w:val="000000"/>
                <w:sz w:val="16"/>
                <w:szCs w:val="16"/>
                <w:lang w:val="en-GB" w:eastAsia="en-GB"/>
              </w:rPr>
              <w:t>ESTIMATED COST BY OUTCOME (US$)</w:t>
            </w:r>
          </w:p>
        </w:tc>
      </w:tr>
      <w:tr>
        <w:trPr>
          <w:trHeight w:val="133"/>
        </w:trPr>
        <w:tc>
          <w:tcPr>
            <w:tcW w:w="1097" w:type="pct"/>
            <w:vMerge w:val="restart"/>
            <w:tcBorders>
              <w:top w:val="single" w:sz="4" w:space="0" w:color="auto"/>
              <w:left w:val="nil"/>
              <w:bottom w:val="single" w:sz="4" w:space="0" w:color="auto"/>
              <w:right w:val="single" w:sz="4" w:space="0" w:color="auto"/>
            </w:tcBorders>
            <w:tcMar>
              <w:top w:w="72" w:type="dxa"/>
              <w:left w:w="144" w:type="dxa"/>
              <w:bottom w:w="72" w:type="dxa"/>
              <w:right w:w="144" w:type="dxa"/>
            </w:tcMar>
            <w:hideMark/>
          </w:tcPr>
          <w:p>
            <w:pPr>
              <w:ind w:left="360"/>
              <w:rPr>
                <w:i/>
                <w:iCs/>
                <w:sz w:val="16"/>
                <w:szCs w:val="16"/>
                <w:lang w:eastAsia="en-GB"/>
              </w:rPr>
            </w:pPr>
            <w:r>
              <w:rPr>
                <w:i/>
                <w:iCs/>
                <w:sz w:val="16"/>
                <w:szCs w:val="16"/>
                <w:lang w:eastAsia="en-GB"/>
              </w:rPr>
              <w:t>I:  14.5.1 Proportion of the</w:t>
            </w:r>
          </w:p>
          <w:p>
            <w:pPr>
              <w:ind w:left="360"/>
              <w:rPr>
                <w:i/>
                <w:iCs/>
                <w:sz w:val="16"/>
                <w:szCs w:val="16"/>
                <w:lang w:eastAsia="en-GB"/>
              </w:rPr>
            </w:pPr>
            <w:r>
              <w:rPr>
                <w:i/>
                <w:iCs/>
                <w:sz w:val="16"/>
                <w:szCs w:val="16"/>
                <w:lang w:eastAsia="en-GB"/>
              </w:rPr>
              <w:t>Marine surface</w:t>
            </w:r>
          </w:p>
          <w:p>
            <w:pPr>
              <w:ind w:left="360"/>
              <w:rPr>
                <w:i/>
                <w:iCs/>
                <w:sz w:val="16"/>
                <w:szCs w:val="16"/>
                <w:lang w:eastAsia="en-GB"/>
              </w:rPr>
            </w:pPr>
            <w:r>
              <w:rPr>
                <w:i/>
                <w:iCs/>
                <w:sz w:val="16"/>
                <w:szCs w:val="16"/>
                <w:lang w:eastAsia="en-GB"/>
              </w:rPr>
              <w:t>Protected</w:t>
            </w:r>
          </w:p>
          <w:p>
            <w:pPr>
              <w:pStyle w:val="ListParagraph"/>
              <w:ind w:left="360"/>
              <w:rPr>
                <w:i/>
                <w:iCs/>
                <w:sz w:val="16"/>
                <w:szCs w:val="16"/>
                <w:lang w:eastAsia="en-GB"/>
              </w:rPr>
            </w:pPr>
            <w:r>
              <w:rPr>
                <w:i/>
                <w:iCs/>
                <w:sz w:val="16"/>
                <w:szCs w:val="16"/>
                <w:lang w:eastAsia="en-GB"/>
              </w:rPr>
              <w:t xml:space="preserve">B: 12.6% (2019) </w:t>
            </w:r>
          </w:p>
          <w:p>
            <w:pPr>
              <w:pStyle w:val="ListParagraph"/>
              <w:ind w:left="360"/>
              <w:rPr>
                <w:i/>
                <w:iCs/>
                <w:sz w:val="16"/>
                <w:szCs w:val="16"/>
                <w:lang w:eastAsia="en-GB"/>
              </w:rPr>
            </w:pPr>
            <w:r>
              <w:rPr>
                <w:i/>
                <w:iCs/>
                <w:sz w:val="16"/>
                <w:szCs w:val="16"/>
                <w:lang w:eastAsia="en-GB"/>
              </w:rPr>
              <w:t>T: 15% (2025)</w:t>
            </w:r>
          </w:p>
          <w:p>
            <w:pPr>
              <w:pStyle w:val="ListParagraph"/>
              <w:ind w:left="360"/>
              <w:rPr>
                <w:i/>
                <w:iCs/>
                <w:sz w:val="16"/>
                <w:szCs w:val="16"/>
                <w:lang w:eastAsia="en-GB"/>
              </w:rPr>
            </w:pPr>
          </w:p>
          <w:p>
            <w:pPr>
              <w:pStyle w:val="ListParagraph"/>
              <w:ind w:left="360"/>
              <w:rPr>
                <w:i/>
                <w:iCs/>
                <w:sz w:val="16"/>
                <w:szCs w:val="16"/>
                <w:lang w:eastAsia="en-GB"/>
              </w:rPr>
            </w:pPr>
          </w:p>
          <w:p>
            <w:pPr>
              <w:ind w:left="360"/>
              <w:rPr>
                <w:i/>
                <w:iCs/>
                <w:sz w:val="16"/>
                <w:szCs w:val="16"/>
                <w:lang w:eastAsia="en-GB"/>
              </w:rPr>
            </w:pPr>
            <w:r>
              <w:rPr>
                <w:i/>
                <w:iCs/>
                <w:sz w:val="16"/>
                <w:szCs w:val="16"/>
                <w:lang w:eastAsia="en-GB"/>
              </w:rPr>
              <w:t xml:space="preserve">I:  15.2.1 - Area reforested by </w:t>
            </w:r>
            <w:proofErr w:type="spellStart"/>
            <w:r>
              <w:rPr>
                <w:i/>
                <w:iCs/>
                <w:sz w:val="16"/>
                <w:szCs w:val="16"/>
                <w:lang w:eastAsia="en-GB"/>
              </w:rPr>
              <w:t>MiAMBIENTE</w:t>
            </w:r>
            <w:proofErr w:type="spellEnd"/>
            <w:r>
              <w:rPr>
                <w:i/>
                <w:iCs/>
                <w:sz w:val="16"/>
                <w:szCs w:val="16"/>
                <w:lang w:eastAsia="en-GB"/>
              </w:rPr>
              <w:t xml:space="preserve"> and Managers</w:t>
            </w:r>
          </w:p>
          <w:p>
            <w:pPr>
              <w:ind w:left="360"/>
              <w:rPr>
                <w:i/>
                <w:iCs/>
                <w:sz w:val="16"/>
                <w:szCs w:val="16"/>
                <w:lang w:eastAsia="en-GB"/>
              </w:rPr>
            </w:pPr>
            <w:r>
              <w:rPr>
                <w:i/>
                <w:iCs/>
                <w:sz w:val="16"/>
                <w:szCs w:val="16"/>
                <w:lang w:eastAsia="en-GB"/>
              </w:rPr>
              <w:t xml:space="preserve">B: 65.4% (2019) </w:t>
            </w:r>
          </w:p>
          <w:p>
            <w:pPr>
              <w:pStyle w:val="ListParagraph"/>
              <w:ind w:left="360"/>
              <w:rPr>
                <w:i/>
                <w:iCs/>
                <w:sz w:val="16"/>
                <w:szCs w:val="16"/>
                <w:lang w:eastAsia="en-GB"/>
              </w:rPr>
            </w:pPr>
            <w:r>
              <w:rPr>
                <w:i/>
                <w:iCs/>
                <w:sz w:val="16"/>
                <w:szCs w:val="16"/>
                <w:lang w:eastAsia="en-GB"/>
              </w:rPr>
              <w:t>T: 70% (2025)</w:t>
            </w:r>
          </w:p>
          <w:p>
            <w:pPr>
              <w:pStyle w:val="ListParagraph"/>
              <w:ind w:left="360"/>
              <w:rPr>
                <w:bCs/>
                <w:i/>
                <w:color w:val="000000"/>
                <w:sz w:val="16"/>
                <w:szCs w:val="16"/>
                <w:lang w:eastAsia="en-GB"/>
              </w:rPr>
            </w:pPr>
          </w:p>
        </w:tc>
        <w:tc>
          <w:tcPr>
            <w:tcW w:w="1178" w:type="pct"/>
            <w:vMerge w:val="restart"/>
            <w:tcBorders>
              <w:top w:val="single" w:sz="4" w:space="0" w:color="auto"/>
              <w:left w:val="single" w:sz="4" w:space="0" w:color="auto"/>
              <w:bottom w:val="single" w:sz="4" w:space="0" w:color="auto"/>
              <w:right w:val="single" w:sz="4" w:space="0" w:color="auto"/>
            </w:tcBorders>
          </w:tcPr>
          <w:p>
            <w:pPr>
              <w:rPr>
                <w:i/>
                <w:iCs/>
                <w:sz w:val="16"/>
                <w:szCs w:val="16"/>
                <w:lang w:val="en-GB" w:eastAsia="en-GB"/>
              </w:rPr>
            </w:pPr>
            <w:r>
              <w:rPr>
                <w:i/>
                <w:iCs/>
                <w:sz w:val="16"/>
                <w:szCs w:val="16"/>
                <w:lang w:val="en-GB" w:eastAsia="en-GB"/>
              </w:rPr>
              <w:t xml:space="preserve">Data source: </w:t>
            </w:r>
            <w:proofErr w:type="spellStart"/>
            <w:r>
              <w:rPr>
                <w:i/>
                <w:iCs/>
                <w:sz w:val="16"/>
                <w:szCs w:val="16"/>
                <w:lang w:val="en-GB" w:eastAsia="en-GB"/>
              </w:rPr>
              <w:t>MiAmbiente</w:t>
            </w:r>
            <w:proofErr w:type="spellEnd"/>
            <w:r>
              <w:rPr>
                <w:i/>
                <w:iCs/>
                <w:sz w:val="16"/>
                <w:szCs w:val="16"/>
                <w:lang w:val="en-GB" w:eastAsia="en-GB"/>
              </w:rPr>
              <w:t>, Annual</w:t>
            </w:r>
          </w:p>
          <w:p>
            <w:pPr>
              <w:pStyle w:val="ListParagraph"/>
              <w:ind w:left="360"/>
              <w:rPr>
                <w:b/>
                <w:bCs/>
                <w:i/>
                <w:color w:val="000000"/>
                <w:sz w:val="16"/>
                <w:szCs w:val="16"/>
                <w:lang w:val="en-GB" w:eastAsia="en-GB"/>
              </w:rPr>
            </w:pPr>
          </w:p>
        </w:tc>
        <w:tc>
          <w:tcPr>
            <w:tcW w:w="1092" w:type="pct"/>
            <w:vMerge w:val="restar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pPr>
              <w:rPr>
                <w:i/>
                <w:iCs/>
                <w:sz w:val="16"/>
                <w:szCs w:val="16"/>
                <w:lang w:eastAsia="en-GB"/>
              </w:rPr>
            </w:pPr>
            <w:r>
              <w:rPr>
                <w:b/>
                <w:bCs/>
                <w:i/>
                <w:iCs/>
                <w:sz w:val="16"/>
                <w:szCs w:val="16"/>
                <w:lang w:val="en-GB" w:eastAsia="en-GB"/>
              </w:rPr>
              <w:t>3.1: Government institutions and municipalities have improved institutional and legal frameworks and capacities to respond to climate change and to ensure resilience to environmental vulnerabilities and emergencies</w:t>
            </w:r>
          </w:p>
          <w:p>
            <w:pPr>
              <w:pStyle w:val="ListParagraph"/>
              <w:ind w:left="0"/>
              <w:rPr>
                <w:i/>
                <w:iCs/>
                <w:sz w:val="16"/>
                <w:szCs w:val="16"/>
                <w:lang w:val="en-GB" w:eastAsia="en-GB"/>
              </w:rPr>
            </w:pPr>
          </w:p>
          <w:p>
            <w:pPr>
              <w:pStyle w:val="ListParagraph"/>
              <w:ind w:left="0"/>
              <w:rPr>
                <w:i/>
                <w:iCs/>
                <w:sz w:val="16"/>
                <w:szCs w:val="16"/>
                <w:lang w:val="en-GB" w:eastAsia="en-GB"/>
              </w:rPr>
            </w:pPr>
            <w:r>
              <w:rPr>
                <w:i/>
                <w:iCs/>
                <w:sz w:val="16"/>
                <w:szCs w:val="16"/>
                <w:lang w:val="en-GB" w:eastAsia="en-GB"/>
              </w:rPr>
              <w:t>I:  Number of national/subnational development and key sectorial</w:t>
            </w:r>
          </w:p>
          <w:p>
            <w:pPr>
              <w:pStyle w:val="ListParagraph"/>
              <w:ind w:left="0"/>
              <w:rPr>
                <w:i/>
                <w:iCs/>
                <w:sz w:val="16"/>
                <w:szCs w:val="16"/>
                <w:lang w:val="en-GB" w:eastAsia="en-GB"/>
              </w:rPr>
            </w:pPr>
            <w:r>
              <w:rPr>
                <w:i/>
                <w:iCs/>
                <w:sz w:val="16"/>
                <w:szCs w:val="16"/>
                <w:lang w:val="en-GB" w:eastAsia="en-GB"/>
              </w:rPr>
              <w:t>plans being implemented that explicitly address disaster and/or climate risk</w:t>
            </w:r>
          </w:p>
          <w:p>
            <w:pPr>
              <w:pStyle w:val="ListParagraph"/>
              <w:ind w:left="0"/>
              <w:rPr>
                <w:i/>
                <w:iCs/>
                <w:sz w:val="16"/>
                <w:szCs w:val="16"/>
                <w:lang w:val="en-GB" w:eastAsia="en-GB"/>
              </w:rPr>
            </w:pPr>
            <w:r>
              <w:rPr>
                <w:i/>
                <w:iCs/>
                <w:sz w:val="16"/>
                <w:szCs w:val="16"/>
                <w:lang w:val="en-GB" w:eastAsia="en-GB"/>
              </w:rPr>
              <w:t>management, disaggregated by those that are gender-responsive</w:t>
            </w:r>
          </w:p>
          <w:p>
            <w:pPr>
              <w:pStyle w:val="ListParagraph"/>
              <w:ind w:left="360"/>
              <w:rPr>
                <w:i/>
                <w:iCs/>
                <w:sz w:val="16"/>
                <w:szCs w:val="16"/>
                <w:lang w:val="en-GB" w:eastAsia="en-GB"/>
              </w:rPr>
            </w:pPr>
            <w:r>
              <w:rPr>
                <w:i/>
                <w:iCs/>
                <w:sz w:val="16"/>
                <w:szCs w:val="16"/>
                <w:lang w:val="en-GB" w:eastAsia="en-GB"/>
              </w:rPr>
              <w:t>B: 10 (2020)</w:t>
            </w:r>
          </w:p>
          <w:p>
            <w:pPr>
              <w:pStyle w:val="ListParagraph"/>
              <w:ind w:left="360"/>
              <w:rPr>
                <w:i/>
                <w:iCs/>
                <w:sz w:val="16"/>
                <w:szCs w:val="16"/>
                <w:lang w:val="en-GB" w:eastAsia="en-GB"/>
              </w:rPr>
            </w:pPr>
            <w:r>
              <w:rPr>
                <w:i/>
                <w:iCs/>
                <w:sz w:val="16"/>
                <w:szCs w:val="16"/>
                <w:lang w:val="en-GB" w:eastAsia="en-GB"/>
              </w:rPr>
              <w:t>T: 20 (2025)</w:t>
            </w:r>
          </w:p>
          <w:p>
            <w:pPr>
              <w:pStyle w:val="ListParagraph"/>
              <w:ind w:left="360"/>
              <w:rPr>
                <w:i/>
                <w:iCs/>
                <w:sz w:val="16"/>
                <w:szCs w:val="16"/>
                <w:lang w:val="en-GB" w:eastAsia="en-GB"/>
              </w:rPr>
            </w:pPr>
            <w:r>
              <w:rPr>
                <w:i/>
                <w:iCs/>
                <w:sz w:val="16"/>
                <w:szCs w:val="16"/>
                <w:lang w:val="en-GB" w:eastAsia="en-GB"/>
              </w:rPr>
              <w:t>Data source UNDP, Annual</w:t>
            </w:r>
          </w:p>
          <w:p>
            <w:pPr>
              <w:rPr>
                <w:i/>
                <w:iCs/>
                <w:sz w:val="16"/>
                <w:szCs w:val="16"/>
                <w:lang w:val="en-GB" w:eastAsia="en-GB"/>
              </w:rPr>
            </w:pPr>
          </w:p>
          <w:p>
            <w:pPr>
              <w:pStyle w:val="ListParagraph"/>
              <w:ind w:left="0"/>
              <w:rPr>
                <w:i/>
                <w:iCs/>
                <w:sz w:val="16"/>
                <w:szCs w:val="16"/>
                <w:lang w:val="en-GB" w:eastAsia="en-GB"/>
              </w:rPr>
            </w:pPr>
            <w:r>
              <w:rPr>
                <w:i/>
                <w:iCs/>
                <w:sz w:val="16"/>
                <w:szCs w:val="16"/>
                <w:lang w:val="en-GB" w:eastAsia="en-GB"/>
              </w:rPr>
              <w:t xml:space="preserve">I:  Number of financial incentives and grants provided for energy efficiency and renewable energy, including credit services, that are accessible to both women and men </w:t>
            </w:r>
          </w:p>
          <w:p>
            <w:pPr>
              <w:pStyle w:val="ListParagraph"/>
              <w:ind w:left="360"/>
              <w:rPr>
                <w:i/>
                <w:iCs/>
                <w:sz w:val="16"/>
                <w:szCs w:val="16"/>
                <w:lang w:val="en-GB" w:eastAsia="en-GB"/>
              </w:rPr>
            </w:pPr>
            <w:r>
              <w:rPr>
                <w:i/>
                <w:iCs/>
                <w:sz w:val="16"/>
                <w:szCs w:val="16"/>
                <w:lang w:val="en-GB" w:eastAsia="en-GB"/>
              </w:rPr>
              <w:t>B: 0 (2020)</w:t>
            </w:r>
          </w:p>
          <w:p>
            <w:pPr>
              <w:pStyle w:val="ListParagraph"/>
              <w:ind w:left="360"/>
              <w:rPr>
                <w:i/>
                <w:iCs/>
                <w:sz w:val="16"/>
                <w:szCs w:val="16"/>
                <w:lang w:val="en-GB" w:eastAsia="en-GB"/>
              </w:rPr>
            </w:pPr>
            <w:r>
              <w:rPr>
                <w:i/>
                <w:iCs/>
                <w:sz w:val="16"/>
                <w:szCs w:val="16"/>
                <w:lang w:val="en-GB" w:eastAsia="en-GB"/>
              </w:rPr>
              <w:t>T: 5 (2025)</w:t>
            </w:r>
          </w:p>
          <w:p>
            <w:pPr>
              <w:pStyle w:val="ListParagraph"/>
              <w:ind w:left="360"/>
              <w:rPr>
                <w:b/>
                <w:bCs/>
                <w:sz w:val="16"/>
                <w:szCs w:val="16"/>
                <w:lang w:val="en-GB" w:eastAsia="en-GB"/>
              </w:rPr>
            </w:pPr>
            <w:r>
              <w:rPr>
                <w:i/>
                <w:iCs/>
                <w:sz w:val="16"/>
                <w:szCs w:val="16"/>
                <w:lang w:val="en-GB" w:eastAsia="en-GB"/>
              </w:rPr>
              <w:t>Data source UNDP, Annual</w:t>
            </w:r>
          </w:p>
          <w:p>
            <w:pPr>
              <w:pStyle w:val="ListParagraph"/>
              <w:ind w:left="360"/>
              <w:rPr>
                <w:b/>
                <w:bCs/>
                <w:sz w:val="16"/>
                <w:szCs w:val="16"/>
                <w:lang w:val="en-GB" w:eastAsia="en-GB"/>
              </w:rPr>
            </w:pPr>
          </w:p>
          <w:p>
            <w:pPr>
              <w:rPr>
                <w:b/>
                <w:bCs/>
                <w:i/>
                <w:iCs/>
                <w:sz w:val="16"/>
                <w:szCs w:val="16"/>
                <w:lang w:val="en-GB" w:eastAsia="en-GB"/>
              </w:rPr>
            </w:pPr>
            <w:r>
              <w:rPr>
                <w:b/>
                <w:bCs/>
                <w:i/>
                <w:iCs/>
                <w:sz w:val="16"/>
                <w:szCs w:val="16"/>
                <w:lang w:val="en-GB" w:eastAsia="en-GB"/>
              </w:rPr>
              <w:t>3.2: Integrated water and coastal management include climate resilience and good practices in green supply chains.</w:t>
            </w:r>
          </w:p>
          <w:p>
            <w:pPr>
              <w:rPr>
                <w:i/>
                <w:iCs/>
                <w:sz w:val="16"/>
                <w:szCs w:val="16"/>
                <w:lang w:val="en-GB" w:eastAsia="en-GB"/>
              </w:rPr>
            </w:pPr>
          </w:p>
          <w:p>
            <w:pPr>
              <w:rPr>
                <w:i/>
                <w:iCs/>
                <w:sz w:val="16"/>
                <w:szCs w:val="16"/>
                <w:lang w:val="en-GB" w:eastAsia="en-GB"/>
              </w:rPr>
            </w:pPr>
            <w:r>
              <w:rPr>
                <w:i/>
                <w:iCs/>
                <w:sz w:val="16"/>
                <w:szCs w:val="16"/>
                <w:lang w:val="en-GB" w:eastAsia="en-GB"/>
              </w:rPr>
              <w:lastRenderedPageBreak/>
              <w:t>I:  Number of chemicals and waste integrated management initiatives implemented by the private sector in partnership with government and civil society</w:t>
            </w:r>
          </w:p>
          <w:p>
            <w:pPr>
              <w:pStyle w:val="ListParagraph"/>
              <w:ind w:left="360"/>
              <w:rPr>
                <w:i/>
                <w:iCs/>
                <w:sz w:val="16"/>
                <w:szCs w:val="16"/>
                <w:lang w:val="en-GB" w:eastAsia="en-GB"/>
              </w:rPr>
            </w:pPr>
            <w:r>
              <w:rPr>
                <w:i/>
                <w:iCs/>
                <w:sz w:val="16"/>
                <w:szCs w:val="16"/>
                <w:lang w:val="en-GB" w:eastAsia="en-GB"/>
              </w:rPr>
              <w:t>B: 0 (2020)</w:t>
            </w:r>
          </w:p>
          <w:p>
            <w:pPr>
              <w:pStyle w:val="ListParagraph"/>
              <w:ind w:left="360"/>
              <w:rPr>
                <w:i/>
                <w:iCs/>
                <w:sz w:val="16"/>
                <w:szCs w:val="16"/>
                <w:lang w:val="en-GB" w:eastAsia="en-GB"/>
              </w:rPr>
            </w:pPr>
            <w:r>
              <w:rPr>
                <w:i/>
                <w:iCs/>
                <w:sz w:val="16"/>
                <w:szCs w:val="16"/>
                <w:lang w:val="en-GB" w:eastAsia="en-GB"/>
              </w:rPr>
              <w:t>T: 10 (2025)</w:t>
            </w:r>
          </w:p>
          <w:p>
            <w:pPr>
              <w:pStyle w:val="ListParagraph"/>
              <w:ind w:left="360"/>
              <w:rPr>
                <w:i/>
                <w:iCs/>
                <w:sz w:val="16"/>
                <w:szCs w:val="16"/>
                <w:lang w:val="en-GB" w:eastAsia="en-GB"/>
              </w:rPr>
            </w:pPr>
            <w:r>
              <w:rPr>
                <w:i/>
                <w:iCs/>
                <w:sz w:val="16"/>
                <w:szCs w:val="16"/>
                <w:lang w:val="en-GB" w:eastAsia="en-GB"/>
              </w:rPr>
              <w:t>Data source Private Sector, Annual</w:t>
            </w:r>
          </w:p>
          <w:p>
            <w:pPr>
              <w:pStyle w:val="ListParagraph"/>
              <w:ind w:left="360"/>
              <w:rPr>
                <w:i/>
                <w:iCs/>
                <w:sz w:val="16"/>
                <w:szCs w:val="16"/>
                <w:lang w:val="en-GB" w:eastAsia="en-GB"/>
              </w:rPr>
            </w:pPr>
          </w:p>
          <w:p>
            <w:pPr>
              <w:rPr>
                <w:i/>
                <w:iCs/>
                <w:sz w:val="16"/>
                <w:szCs w:val="16"/>
                <w:lang w:val="en-GB" w:eastAsia="en-GB"/>
              </w:rPr>
            </w:pPr>
            <w:r>
              <w:rPr>
                <w:i/>
                <w:iCs/>
                <w:sz w:val="16"/>
                <w:szCs w:val="16"/>
                <w:lang w:val="en-GB" w:eastAsia="en-GB"/>
              </w:rPr>
              <w:t>I: Rate of participation of men and women per district and sub-watersheds engaging in green value chains (blue-green economy) over time and rates of dis-adaptation</w:t>
            </w:r>
          </w:p>
          <w:p>
            <w:pPr>
              <w:pStyle w:val="ListParagraph"/>
              <w:ind w:left="360"/>
              <w:rPr>
                <w:i/>
                <w:iCs/>
                <w:sz w:val="16"/>
                <w:szCs w:val="16"/>
                <w:lang w:val="en-GB" w:eastAsia="en-GB"/>
              </w:rPr>
            </w:pPr>
            <w:r>
              <w:rPr>
                <w:i/>
                <w:iCs/>
                <w:sz w:val="16"/>
                <w:szCs w:val="16"/>
                <w:lang w:val="en-GB" w:eastAsia="en-GB"/>
              </w:rPr>
              <w:t>B: 0% (2020)</w:t>
            </w:r>
          </w:p>
          <w:p>
            <w:pPr>
              <w:pStyle w:val="ListParagraph"/>
              <w:ind w:left="360"/>
              <w:rPr>
                <w:i/>
                <w:iCs/>
                <w:sz w:val="16"/>
                <w:szCs w:val="16"/>
                <w:lang w:val="en-GB" w:eastAsia="en-GB"/>
              </w:rPr>
            </w:pPr>
            <w:r>
              <w:rPr>
                <w:i/>
                <w:iCs/>
                <w:sz w:val="16"/>
                <w:szCs w:val="16"/>
                <w:lang w:val="en-GB" w:eastAsia="en-GB"/>
              </w:rPr>
              <w:t>T: 10% (2025)</w:t>
            </w:r>
          </w:p>
          <w:p>
            <w:pPr>
              <w:pStyle w:val="ListParagraph"/>
              <w:ind w:left="360"/>
              <w:rPr>
                <w:b/>
                <w:bCs/>
                <w:sz w:val="16"/>
                <w:szCs w:val="16"/>
                <w:lang w:val="en-GB" w:eastAsia="en-GB"/>
              </w:rPr>
            </w:pPr>
            <w:r>
              <w:rPr>
                <w:i/>
                <w:iCs/>
                <w:sz w:val="16"/>
                <w:szCs w:val="16"/>
                <w:lang w:val="en-GB" w:eastAsia="en-GB"/>
              </w:rPr>
              <w:t xml:space="preserve">Data source </w:t>
            </w:r>
            <w:proofErr w:type="spellStart"/>
            <w:r>
              <w:rPr>
                <w:i/>
                <w:iCs/>
                <w:sz w:val="16"/>
                <w:szCs w:val="16"/>
                <w:lang w:val="en-GB" w:eastAsia="en-GB"/>
              </w:rPr>
              <w:t>MiAMBIENTE</w:t>
            </w:r>
            <w:proofErr w:type="spellEnd"/>
            <w:r>
              <w:rPr>
                <w:i/>
                <w:iCs/>
                <w:sz w:val="16"/>
                <w:szCs w:val="16"/>
                <w:lang w:val="en-GB" w:eastAsia="en-GB"/>
              </w:rPr>
              <w:t>, Annual</w:t>
            </w:r>
          </w:p>
          <w:p>
            <w:pPr>
              <w:pStyle w:val="ListParagraph"/>
              <w:ind w:left="360"/>
              <w:rPr>
                <w:b/>
                <w:bCs/>
                <w:sz w:val="16"/>
                <w:szCs w:val="16"/>
                <w:lang w:val="en-GB" w:eastAsia="en-GB"/>
              </w:rPr>
            </w:pPr>
          </w:p>
          <w:p>
            <w:pPr>
              <w:rPr>
                <w:i/>
                <w:iCs/>
                <w:sz w:val="16"/>
                <w:szCs w:val="16"/>
                <w:lang w:val="en-GB" w:eastAsia="en-GB"/>
              </w:rPr>
            </w:pPr>
            <w:r>
              <w:rPr>
                <w:i/>
                <w:iCs/>
                <w:sz w:val="16"/>
                <w:szCs w:val="16"/>
                <w:lang w:val="en-GB" w:eastAsia="en-GB"/>
              </w:rPr>
              <w:t>I: Number of institutional and/or private sector system to catalyse investments in low carbon and resilient green urban development</w:t>
            </w:r>
          </w:p>
          <w:p>
            <w:pPr>
              <w:pStyle w:val="ListParagraph"/>
              <w:ind w:left="360"/>
              <w:rPr>
                <w:i/>
                <w:iCs/>
                <w:sz w:val="16"/>
                <w:szCs w:val="16"/>
                <w:lang w:val="en-GB" w:eastAsia="en-GB"/>
              </w:rPr>
            </w:pPr>
            <w:r>
              <w:rPr>
                <w:i/>
                <w:iCs/>
                <w:sz w:val="16"/>
                <w:szCs w:val="16"/>
                <w:lang w:val="en-GB" w:eastAsia="en-GB"/>
              </w:rPr>
              <w:t>B: 0 (2020)</w:t>
            </w:r>
          </w:p>
          <w:p>
            <w:pPr>
              <w:pStyle w:val="ListParagraph"/>
              <w:ind w:left="360"/>
              <w:rPr>
                <w:i/>
                <w:iCs/>
                <w:sz w:val="16"/>
                <w:szCs w:val="16"/>
                <w:lang w:val="en-GB" w:eastAsia="en-GB"/>
              </w:rPr>
            </w:pPr>
            <w:r>
              <w:rPr>
                <w:i/>
                <w:iCs/>
                <w:sz w:val="16"/>
                <w:szCs w:val="16"/>
                <w:lang w:val="en-GB" w:eastAsia="en-GB"/>
              </w:rPr>
              <w:t>T: 5 (2025)</w:t>
            </w:r>
          </w:p>
          <w:p>
            <w:pPr>
              <w:pStyle w:val="ListParagraph"/>
              <w:ind w:left="360"/>
              <w:rPr>
                <w:b/>
                <w:bCs/>
                <w:sz w:val="16"/>
                <w:szCs w:val="16"/>
                <w:lang w:val="en-GB" w:eastAsia="en-GB"/>
              </w:rPr>
            </w:pPr>
            <w:r>
              <w:rPr>
                <w:i/>
                <w:iCs/>
                <w:sz w:val="16"/>
                <w:szCs w:val="16"/>
                <w:lang w:val="en-GB" w:eastAsia="en-GB"/>
              </w:rPr>
              <w:t xml:space="preserve">Data source </w:t>
            </w:r>
            <w:proofErr w:type="spellStart"/>
            <w:r>
              <w:rPr>
                <w:i/>
                <w:iCs/>
                <w:sz w:val="16"/>
                <w:szCs w:val="16"/>
                <w:lang w:val="en-GB" w:eastAsia="en-GB"/>
              </w:rPr>
              <w:t>MiAMBIENTE</w:t>
            </w:r>
            <w:proofErr w:type="spellEnd"/>
            <w:r>
              <w:rPr>
                <w:i/>
                <w:iCs/>
                <w:sz w:val="16"/>
                <w:szCs w:val="16"/>
                <w:lang w:val="en-GB" w:eastAsia="en-GB"/>
              </w:rPr>
              <w:t>, Annual</w:t>
            </w:r>
          </w:p>
          <w:p>
            <w:pPr>
              <w:pStyle w:val="ListParagraph"/>
              <w:ind w:left="360"/>
              <w:rPr>
                <w:b/>
                <w:bCs/>
                <w:sz w:val="16"/>
                <w:szCs w:val="16"/>
                <w:lang w:val="en-GB" w:eastAsia="en-GB"/>
              </w:rPr>
            </w:pPr>
          </w:p>
          <w:p>
            <w:pPr>
              <w:rPr>
                <w:b/>
                <w:bCs/>
                <w:sz w:val="16"/>
                <w:szCs w:val="16"/>
                <w:lang w:val="en-GB" w:eastAsia="en-GB"/>
              </w:rPr>
            </w:pPr>
          </w:p>
          <w:p>
            <w:pPr>
              <w:rPr>
                <w:b/>
                <w:bCs/>
                <w:i/>
                <w:iCs/>
                <w:sz w:val="16"/>
                <w:szCs w:val="16"/>
                <w:lang w:val="en-GB" w:eastAsia="en-GB"/>
              </w:rPr>
            </w:pPr>
            <w:r>
              <w:rPr>
                <w:b/>
                <w:bCs/>
                <w:i/>
                <w:iCs/>
                <w:sz w:val="16"/>
                <w:szCs w:val="16"/>
                <w:lang w:val="en-GB" w:eastAsia="en-GB"/>
              </w:rPr>
              <w:t>3.3: Improved national capacities for nature-based solutions (NBS) and climate change adaptation for livelihoods advanced</w:t>
            </w:r>
          </w:p>
          <w:p>
            <w:pPr>
              <w:rPr>
                <w:i/>
                <w:iCs/>
                <w:sz w:val="16"/>
                <w:szCs w:val="16"/>
                <w:lang w:val="en-GB" w:eastAsia="en-GB"/>
              </w:rPr>
            </w:pPr>
          </w:p>
          <w:p>
            <w:pPr>
              <w:pStyle w:val="ListParagraph"/>
              <w:ind w:left="0"/>
              <w:rPr>
                <w:i/>
                <w:iCs/>
                <w:sz w:val="16"/>
                <w:szCs w:val="16"/>
                <w:lang w:val="en-GB" w:eastAsia="en-GB"/>
              </w:rPr>
            </w:pPr>
            <w:r>
              <w:rPr>
                <w:i/>
                <w:iCs/>
                <w:sz w:val="16"/>
                <w:szCs w:val="16"/>
                <w:lang w:val="en-GB" w:eastAsia="en-GB"/>
              </w:rPr>
              <w:t>I:  Number of NBS and resilient cross-sectoral livelihoods finance mechanisms developed, and funds mobilized</w:t>
            </w:r>
          </w:p>
          <w:p>
            <w:pPr>
              <w:pStyle w:val="ListParagraph"/>
              <w:ind w:left="360"/>
              <w:rPr>
                <w:i/>
                <w:iCs/>
                <w:sz w:val="16"/>
                <w:szCs w:val="16"/>
                <w:lang w:val="en-GB" w:eastAsia="en-GB"/>
              </w:rPr>
            </w:pPr>
            <w:r>
              <w:rPr>
                <w:i/>
                <w:iCs/>
                <w:sz w:val="16"/>
                <w:szCs w:val="16"/>
                <w:lang w:val="en-GB" w:eastAsia="en-GB"/>
              </w:rPr>
              <w:t>B: 0 (2020)</w:t>
            </w:r>
          </w:p>
          <w:p>
            <w:pPr>
              <w:pStyle w:val="ListParagraph"/>
              <w:ind w:left="360"/>
              <w:rPr>
                <w:i/>
                <w:iCs/>
                <w:sz w:val="16"/>
                <w:szCs w:val="16"/>
                <w:lang w:val="en-GB" w:eastAsia="en-GB"/>
              </w:rPr>
            </w:pPr>
            <w:r>
              <w:rPr>
                <w:i/>
                <w:iCs/>
                <w:sz w:val="16"/>
                <w:szCs w:val="16"/>
                <w:lang w:val="en-GB" w:eastAsia="en-GB"/>
              </w:rPr>
              <w:t>T: 10 (2025)</w:t>
            </w:r>
          </w:p>
          <w:p>
            <w:pPr>
              <w:pStyle w:val="ListParagraph"/>
              <w:ind w:left="360"/>
              <w:rPr>
                <w:i/>
                <w:iCs/>
                <w:sz w:val="16"/>
                <w:szCs w:val="16"/>
                <w:lang w:val="en-GB" w:eastAsia="en-GB"/>
              </w:rPr>
            </w:pPr>
            <w:r>
              <w:rPr>
                <w:i/>
                <w:iCs/>
                <w:sz w:val="16"/>
                <w:szCs w:val="16"/>
                <w:lang w:val="en-GB" w:eastAsia="en-GB"/>
              </w:rPr>
              <w:t xml:space="preserve">Data source </w:t>
            </w:r>
            <w:proofErr w:type="spellStart"/>
            <w:r>
              <w:rPr>
                <w:i/>
                <w:iCs/>
                <w:sz w:val="16"/>
                <w:szCs w:val="16"/>
                <w:lang w:val="en-GB" w:eastAsia="en-GB"/>
              </w:rPr>
              <w:t>MiAMBIENTE</w:t>
            </w:r>
            <w:proofErr w:type="spellEnd"/>
            <w:r>
              <w:rPr>
                <w:i/>
                <w:iCs/>
                <w:sz w:val="16"/>
                <w:szCs w:val="16"/>
                <w:lang w:val="en-GB" w:eastAsia="en-GB"/>
              </w:rPr>
              <w:t>, Annual</w:t>
            </w:r>
          </w:p>
          <w:p>
            <w:pPr>
              <w:rPr>
                <w:b/>
                <w:bCs/>
                <w:lang w:val="en-GB" w:eastAsia="en-GB"/>
              </w:rPr>
            </w:pPr>
          </w:p>
          <w:p>
            <w:pPr>
              <w:rPr>
                <w:i/>
                <w:iCs/>
                <w:sz w:val="16"/>
                <w:szCs w:val="16"/>
                <w:lang w:val="en-GB" w:eastAsia="en-GB"/>
              </w:rPr>
            </w:pPr>
            <w:r>
              <w:rPr>
                <w:i/>
                <w:iCs/>
                <w:sz w:val="16"/>
                <w:szCs w:val="16"/>
                <w:lang w:val="en-GB" w:eastAsia="en-GB"/>
              </w:rPr>
              <w:t xml:space="preserve">I:  Number of initiatives for environmental and climate change governance, environmental citizenship, public advocacy, and </w:t>
            </w:r>
            <w:proofErr w:type="spellStart"/>
            <w:r>
              <w:rPr>
                <w:i/>
                <w:iCs/>
                <w:sz w:val="16"/>
                <w:szCs w:val="16"/>
                <w:lang w:val="en-GB" w:eastAsia="en-GB"/>
              </w:rPr>
              <w:t>Escazu</w:t>
            </w:r>
            <w:proofErr w:type="spellEnd"/>
            <w:r>
              <w:rPr>
                <w:i/>
                <w:iCs/>
                <w:sz w:val="16"/>
                <w:szCs w:val="16"/>
                <w:lang w:val="en-GB" w:eastAsia="en-GB"/>
              </w:rPr>
              <w:t xml:space="preserve"> Regional Agreement  </w:t>
            </w:r>
          </w:p>
          <w:p>
            <w:pPr>
              <w:pStyle w:val="ListParagraph"/>
              <w:ind w:left="360"/>
              <w:rPr>
                <w:i/>
                <w:iCs/>
                <w:sz w:val="16"/>
                <w:szCs w:val="16"/>
                <w:lang w:val="en-GB" w:eastAsia="en-GB"/>
              </w:rPr>
            </w:pPr>
            <w:r>
              <w:rPr>
                <w:i/>
                <w:iCs/>
                <w:sz w:val="16"/>
                <w:szCs w:val="16"/>
                <w:lang w:val="en-GB" w:eastAsia="en-GB"/>
              </w:rPr>
              <w:t>B: 0 (2020)</w:t>
            </w:r>
          </w:p>
          <w:p>
            <w:pPr>
              <w:pStyle w:val="ListParagraph"/>
              <w:ind w:left="360"/>
              <w:rPr>
                <w:i/>
                <w:iCs/>
                <w:sz w:val="16"/>
                <w:szCs w:val="16"/>
                <w:lang w:val="en-GB" w:eastAsia="en-GB"/>
              </w:rPr>
            </w:pPr>
            <w:r>
              <w:rPr>
                <w:i/>
                <w:iCs/>
                <w:sz w:val="16"/>
                <w:szCs w:val="16"/>
                <w:lang w:val="en-GB" w:eastAsia="en-GB"/>
              </w:rPr>
              <w:lastRenderedPageBreak/>
              <w:t>T: 10 (2025)</w:t>
            </w:r>
          </w:p>
          <w:p>
            <w:pPr>
              <w:pStyle w:val="ListParagraph"/>
              <w:ind w:left="360"/>
              <w:rPr>
                <w:i/>
                <w:iCs/>
                <w:sz w:val="16"/>
                <w:szCs w:val="16"/>
                <w:lang w:val="en-GB" w:eastAsia="en-GB"/>
              </w:rPr>
            </w:pPr>
            <w:r>
              <w:rPr>
                <w:i/>
                <w:iCs/>
                <w:sz w:val="16"/>
                <w:szCs w:val="16"/>
                <w:lang w:val="en-GB" w:eastAsia="en-GB"/>
              </w:rPr>
              <w:t xml:space="preserve">Data source </w:t>
            </w:r>
            <w:proofErr w:type="spellStart"/>
            <w:r>
              <w:rPr>
                <w:i/>
                <w:iCs/>
                <w:sz w:val="16"/>
                <w:szCs w:val="16"/>
                <w:lang w:val="en-GB" w:eastAsia="en-GB"/>
              </w:rPr>
              <w:t>MiAMBIENTE</w:t>
            </w:r>
            <w:proofErr w:type="spellEnd"/>
            <w:r>
              <w:rPr>
                <w:i/>
                <w:iCs/>
                <w:sz w:val="16"/>
                <w:szCs w:val="16"/>
                <w:lang w:val="en-GB" w:eastAsia="en-GB"/>
              </w:rPr>
              <w:t>, Annual</w:t>
            </w:r>
          </w:p>
          <w:p>
            <w:pPr>
              <w:rPr>
                <w:i/>
                <w:iCs/>
                <w:sz w:val="16"/>
                <w:szCs w:val="16"/>
                <w:lang w:val="en-GB" w:eastAsia="en-GB"/>
              </w:rPr>
            </w:pPr>
          </w:p>
          <w:p>
            <w:pPr>
              <w:rPr>
                <w:i/>
                <w:sz w:val="16"/>
                <w:szCs w:val="16"/>
                <w:lang w:val="en-GB" w:eastAsia="en-GB"/>
              </w:rPr>
            </w:pPr>
            <w:r>
              <w:rPr>
                <w:i/>
                <w:iCs/>
                <w:sz w:val="16"/>
                <w:szCs w:val="16"/>
                <w:lang w:val="en-GB" w:eastAsia="en-GB"/>
              </w:rPr>
              <w:t xml:space="preserve">I:  Number of women that participate in environmental climate change governance structures at the local level, trained and empowered in the environment, and climate change. </w:t>
            </w:r>
          </w:p>
          <w:p>
            <w:pPr>
              <w:pStyle w:val="ListParagraph"/>
              <w:rPr>
                <w:i/>
                <w:iCs/>
                <w:sz w:val="16"/>
                <w:szCs w:val="16"/>
                <w:lang w:val="en-GB" w:eastAsia="en-GB"/>
              </w:rPr>
            </w:pPr>
          </w:p>
          <w:p>
            <w:pPr>
              <w:pStyle w:val="ListParagraph"/>
              <w:ind w:left="360"/>
              <w:rPr>
                <w:i/>
                <w:iCs/>
                <w:sz w:val="16"/>
                <w:szCs w:val="16"/>
                <w:lang w:val="fr-FR" w:eastAsia="en-GB"/>
              </w:rPr>
            </w:pPr>
            <w:proofErr w:type="gramStart"/>
            <w:r>
              <w:rPr>
                <w:i/>
                <w:iCs/>
                <w:sz w:val="16"/>
                <w:szCs w:val="16"/>
                <w:lang w:val="fr-FR" w:eastAsia="en-GB"/>
              </w:rPr>
              <w:t>B:</w:t>
            </w:r>
            <w:proofErr w:type="gramEnd"/>
            <w:r>
              <w:rPr>
                <w:i/>
                <w:iCs/>
                <w:sz w:val="16"/>
                <w:szCs w:val="16"/>
                <w:lang w:val="fr-FR" w:eastAsia="en-GB"/>
              </w:rPr>
              <w:t xml:space="preserve"> 0 (2020)</w:t>
            </w:r>
          </w:p>
          <w:p>
            <w:pPr>
              <w:pStyle w:val="ListParagraph"/>
              <w:ind w:left="360"/>
              <w:rPr>
                <w:i/>
                <w:iCs/>
                <w:sz w:val="16"/>
                <w:szCs w:val="16"/>
                <w:lang w:val="fr-FR" w:eastAsia="en-GB"/>
              </w:rPr>
            </w:pPr>
            <w:proofErr w:type="gramStart"/>
            <w:r>
              <w:rPr>
                <w:i/>
                <w:iCs/>
                <w:sz w:val="16"/>
                <w:szCs w:val="16"/>
                <w:lang w:val="fr-FR" w:eastAsia="en-GB"/>
              </w:rPr>
              <w:t>T:</w:t>
            </w:r>
            <w:proofErr w:type="gramEnd"/>
            <w:r>
              <w:rPr>
                <w:i/>
                <w:iCs/>
                <w:sz w:val="16"/>
                <w:szCs w:val="16"/>
                <w:lang w:val="fr-FR" w:eastAsia="en-GB"/>
              </w:rPr>
              <w:t xml:space="preserve"> 1,000 (2025)</w:t>
            </w:r>
          </w:p>
          <w:p>
            <w:pPr>
              <w:pStyle w:val="ListParagraph"/>
              <w:ind w:left="360"/>
              <w:rPr>
                <w:b/>
                <w:bCs/>
                <w:sz w:val="16"/>
                <w:szCs w:val="16"/>
                <w:lang w:val="en-GB" w:eastAsia="en-GB"/>
              </w:rPr>
            </w:pPr>
            <w:r>
              <w:rPr>
                <w:i/>
                <w:iCs/>
                <w:sz w:val="16"/>
                <w:szCs w:val="16"/>
                <w:lang w:val="en-GB" w:eastAsia="en-GB"/>
              </w:rPr>
              <w:t xml:space="preserve">Data source </w:t>
            </w:r>
            <w:proofErr w:type="spellStart"/>
            <w:r>
              <w:rPr>
                <w:i/>
                <w:iCs/>
                <w:sz w:val="16"/>
                <w:szCs w:val="16"/>
                <w:lang w:val="en-GB" w:eastAsia="en-GB"/>
              </w:rPr>
              <w:t>MiAMBIENTE</w:t>
            </w:r>
            <w:proofErr w:type="spellEnd"/>
            <w:r>
              <w:rPr>
                <w:i/>
                <w:iCs/>
                <w:sz w:val="16"/>
                <w:szCs w:val="16"/>
                <w:lang w:val="en-GB" w:eastAsia="en-GB"/>
              </w:rPr>
              <w:t>, Annual</w:t>
            </w:r>
          </w:p>
          <w:p>
            <w:pPr>
              <w:pStyle w:val="ListParagraph"/>
              <w:ind w:left="0"/>
              <w:rPr>
                <w:b/>
                <w:bCs/>
                <w:sz w:val="16"/>
                <w:szCs w:val="16"/>
                <w:lang w:val="en-GB" w:eastAsia="en-GB"/>
              </w:rPr>
            </w:pPr>
          </w:p>
        </w:tc>
        <w:tc>
          <w:tcPr>
            <w:tcW w:w="675" w:type="pct"/>
            <w:vMerge w:val="restart"/>
            <w:tcBorders>
              <w:top w:val="single" w:sz="4" w:space="0" w:color="auto"/>
              <w:left w:val="single" w:sz="4" w:space="0" w:color="auto"/>
              <w:bottom w:val="single" w:sz="4" w:space="0" w:color="auto"/>
              <w:right w:val="single" w:sz="4" w:space="0" w:color="auto"/>
            </w:tcBorders>
          </w:tcPr>
          <w:p>
            <w:pPr>
              <w:rPr>
                <w:i/>
                <w:iCs/>
                <w:sz w:val="16"/>
                <w:szCs w:val="16"/>
                <w:lang w:eastAsia="en-GB"/>
              </w:rPr>
            </w:pPr>
          </w:p>
          <w:p>
            <w:pPr>
              <w:rPr>
                <w:i/>
                <w:iCs/>
                <w:sz w:val="16"/>
                <w:szCs w:val="16"/>
                <w:lang w:eastAsia="en-GB"/>
              </w:rPr>
            </w:pPr>
            <w:r>
              <w:rPr>
                <w:i/>
                <w:iCs/>
                <w:sz w:val="16"/>
                <w:szCs w:val="16"/>
                <w:lang w:eastAsia="en-GB"/>
              </w:rPr>
              <w:t>Government:</w:t>
            </w:r>
          </w:p>
          <w:p>
            <w:pPr>
              <w:rPr>
                <w:i/>
                <w:iCs/>
                <w:sz w:val="16"/>
                <w:szCs w:val="16"/>
                <w:lang w:eastAsia="en-GB"/>
              </w:rPr>
            </w:pPr>
          </w:p>
          <w:p>
            <w:pPr>
              <w:rPr>
                <w:i/>
                <w:iCs/>
                <w:sz w:val="16"/>
                <w:szCs w:val="16"/>
                <w:lang w:eastAsia="en-GB"/>
              </w:rPr>
            </w:pPr>
            <w:proofErr w:type="spellStart"/>
            <w:r>
              <w:rPr>
                <w:i/>
                <w:iCs/>
                <w:sz w:val="16"/>
                <w:szCs w:val="16"/>
                <w:lang w:eastAsia="en-GB"/>
              </w:rPr>
              <w:t>MiAMBIENTE</w:t>
            </w:r>
            <w:proofErr w:type="spellEnd"/>
          </w:p>
          <w:p>
            <w:pPr>
              <w:rPr>
                <w:i/>
                <w:iCs/>
                <w:sz w:val="16"/>
                <w:szCs w:val="16"/>
                <w:lang w:eastAsia="en-GB"/>
              </w:rPr>
            </w:pPr>
            <w:r>
              <w:rPr>
                <w:i/>
                <w:iCs/>
                <w:sz w:val="16"/>
                <w:szCs w:val="16"/>
                <w:lang w:eastAsia="en-GB"/>
              </w:rPr>
              <w:t xml:space="preserve"> SENACYT</w:t>
            </w:r>
          </w:p>
          <w:p>
            <w:pPr>
              <w:rPr>
                <w:i/>
                <w:iCs/>
                <w:sz w:val="16"/>
                <w:szCs w:val="16"/>
                <w:lang w:eastAsia="en-GB"/>
              </w:rPr>
            </w:pPr>
            <w:r>
              <w:rPr>
                <w:i/>
                <w:iCs/>
                <w:sz w:val="16"/>
                <w:szCs w:val="16"/>
                <w:lang w:eastAsia="en-GB"/>
              </w:rPr>
              <w:t>ACP</w:t>
            </w:r>
          </w:p>
          <w:p>
            <w:pPr>
              <w:rPr>
                <w:i/>
                <w:iCs/>
                <w:sz w:val="16"/>
                <w:szCs w:val="16"/>
                <w:lang w:eastAsia="en-GB"/>
              </w:rPr>
            </w:pPr>
            <w:r>
              <w:rPr>
                <w:i/>
                <w:iCs/>
                <w:sz w:val="16"/>
                <w:szCs w:val="16"/>
                <w:lang w:eastAsia="en-GB"/>
              </w:rPr>
              <w:t>INDICASAT</w:t>
            </w:r>
          </w:p>
          <w:p>
            <w:pPr>
              <w:rPr>
                <w:i/>
                <w:iCs/>
                <w:sz w:val="16"/>
                <w:szCs w:val="16"/>
                <w:lang w:eastAsia="en-GB"/>
              </w:rPr>
            </w:pPr>
            <w:r>
              <w:rPr>
                <w:i/>
                <w:iCs/>
                <w:sz w:val="16"/>
                <w:szCs w:val="16"/>
                <w:lang w:eastAsia="en-GB"/>
              </w:rPr>
              <w:t>MINSA</w:t>
            </w:r>
          </w:p>
          <w:p>
            <w:pPr>
              <w:rPr>
                <w:i/>
                <w:iCs/>
                <w:sz w:val="16"/>
                <w:szCs w:val="16"/>
                <w:lang w:eastAsia="en-GB"/>
              </w:rPr>
            </w:pPr>
            <w:r>
              <w:rPr>
                <w:i/>
                <w:iCs/>
                <w:sz w:val="16"/>
                <w:szCs w:val="16"/>
                <w:lang w:eastAsia="en-GB"/>
              </w:rPr>
              <w:t>ANATI</w:t>
            </w:r>
          </w:p>
          <w:p>
            <w:pPr>
              <w:rPr>
                <w:i/>
                <w:iCs/>
                <w:sz w:val="16"/>
                <w:szCs w:val="16"/>
                <w:lang w:eastAsia="en-GB"/>
              </w:rPr>
            </w:pPr>
            <w:r>
              <w:rPr>
                <w:i/>
                <w:iCs/>
                <w:sz w:val="16"/>
                <w:szCs w:val="16"/>
                <w:lang w:eastAsia="en-GB"/>
              </w:rPr>
              <w:t>National Energy Secretariat</w:t>
            </w:r>
          </w:p>
          <w:p>
            <w:pPr>
              <w:rPr>
                <w:i/>
                <w:iCs/>
                <w:sz w:val="16"/>
                <w:szCs w:val="16"/>
                <w:lang w:eastAsia="en-GB"/>
              </w:rPr>
            </w:pPr>
            <w:r>
              <w:rPr>
                <w:i/>
                <w:iCs/>
                <w:sz w:val="16"/>
                <w:szCs w:val="16"/>
                <w:lang w:eastAsia="en-GB"/>
              </w:rPr>
              <w:t>Local governments</w:t>
            </w:r>
          </w:p>
          <w:p>
            <w:pPr>
              <w:rPr>
                <w:i/>
                <w:iCs/>
                <w:sz w:val="16"/>
                <w:szCs w:val="16"/>
                <w:lang w:eastAsia="en-GB"/>
              </w:rPr>
            </w:pPr>
          </w:p>
          <w:p>
            <w:pPr>
              <w:rPr>
                <w:i/>
                <w:iCs/>
                <w:sz w:val="16"/>
                <w:szCs w:val="16"/>
                <w:lang w:eastAsia="en-GB"/>
              </w:rPr>
            </w:pPr>
            <w:r>
              <w:rPr>
                <w:i/>
                <w:iCs/>
                <w:sz w:val="16"/>
                <w:szCs w:val="16"/>
                <w:lang w:eastAsia="en-GB"/>
              </w:rPr>
              <w:t>ONGs</w:t>
            </w:r>
          </w:p>
          <w:p>
            <w:pPr>
              <w:rPr>
                <w:i/>
                <w:iCs/>
                <w:sz w:val="16"/>
                <w:szCs w:val="16"/>
                <w:lang w:val="en-GB" w:eastAsia="en-GB"/>
              </w:rPr>
            </w:pPr>
            <w:r>
              <w:rPr>
                <w:i/>
                <w:iCs/>
                <w:sz w:val="16"/>
                <w:szCs w:val="16"/>
                <w:lang w:val="en-GB" w:eastAsia="en-GB"/>
              </w:rPr>
              <w:t>Inter-cultural communities and indigenous groups</w:t>
            </w:r>
          </w:p>
          <w:p>
            <w:pPr>
              <w:rPr>
                <w:i/>
                <w:iCs/>
                <w:sz w:val="16"/>
                <w:szCs w:val="16"/>
                <w:lang w:val="en-GB" w:eastAsia="en-GB"/>
              </w:rPr>
            </w:pPr>
            <w:r>
              <w:rPr>
                <w:i/>
                <w:iCs/>
                <w:sz w:val="16"/>
                <w:szCs w:val="16"/>
                <w:lang w:val="en-GB" w:eastAsia="en-GB"/>
              </w:rPr>
              <w:t>Productive organizations of the plural economy</w:t>
            </w:r>
          </w:p>
          <w:p>
            <w:pPr>
              <w:rPr>
                <w:i/>
                <w:iCs/>
                <w:sz w:val="16"/>
                <w:szCs w:val="16"/>
                <w:lang w:val="en-GB" w:eastAsia="en-GB"/>
              </w:rPr>
            </w:pPr>
            <w:r>
              <w:rPr>
                <w:i/>
                <w:iCs/>
                <w:sz w:val="16"/>
                <w:szCs w:val="16"/>
                <w:lang w:val="en-GB" w:eastAsia="en-GB"/>
              </w:rPr>
              <w:t>Civil society</w:t>
            </w:r>
          </w:p>
          <w:p>
            <w:pPr>
              <w:rPr>
                <w:i/>
                <w:iCs/>
                <w:sz w:val="16"/>
                <w:szCs w:val="16"/>
                <w:lang w:val="en-GB" w:eastAsia="en-GB"/>
              </w:rPr>
            </w:pPr>
          </w:p>
          <w:p>
            <w:pPr>
              <w:rPr>
                <w:i/>
                <w:iCs/>
                <w:sz w:val="16"/>
                <w:szCs w:val="16"/>
                <w:lang w:val="en-GB" w:eastAsia="en-GB"/>
              </w:rPr>
            </w:pPr>
            <w:r>
              <w:rPr>
                <w:i/>
                <w:iCs/>
                <w:sz w:val="16"/>
                <w:szCs w:val="16"/>
                <w:lang w:val="en-GB" w:eastAsia="en-GB"/>
              </w:rPr>
              <w:t>Donors:</w:t>
            </w:r>
          </w:p>
          <w:p>
            <w:pPr>
              <w:pStyle w:val="ListParagraph"/>
              <w:numPr>
                <w:ilvl w:val="0"/>
                <w:numId w:val="40"/>
              </w:numPr>
              <w:rPr>
                <w:i/>
                <w:iCs/>
                <w:sz w:val="16"/>
                <w:szCs w:val="16"/>
                <w:lang w:val="en-GB" w:eastAsia="en-GB"/>
              </w:rPr>
            </w:pPr>
            <w:r>
              <w:rPr>
                <w:i/>
                <w:iCs/>
                <w:sz w:val="16"/>
                <w:szCs w:val="16"/>
                <w:lang w:val="en-GB" w:eastAsia="en-GB"/>
              </w:rPr>
              <w:t>GEF</w:t>
            </w:r>
          </w:p>
          <w:p>
            <w:pPr>
              <w:pStyle w:val="ListParagraph"/>
              <w:numPr>
                <w:ilvl w:val="0"/>
                <w:numId w:val="40"/>
              </w:numPr>
              <w:rPr>
                <w:i/>
                <w:iCs/>
                <w:sz w:val="16"/>
                <w:szCs w:val="16"/>
                <w:lang w:val="en-GB" w:eastAsia="en-GB"/>
              </w:rPr>
            </w:pPr>
            <w:r>
              <w:rPr>
                <w:i/>
                <w:iCs/>
                <w:sz w:val="16"/>
                <w:szCs w:val="16"/>
                <w:lang w:val="en-GB" w:eastAsia="en-GB"/>
              </w:rPr>
              <w:t>Private Sector</w:t>
            </w:r>
          </w:p>
          <w:p>
            <w:pPr>
              <w:pStyle w:val="ListParagraph"/>
              <w:numPr>
                <w:ilvl w:val="0"/>
                <w:numId w:val="40"/>
              </w:numPr>
              <w:rPr>
                <w:i/>
                <w:iCs/>
                <w:sz w:val="16"/>
                <w:szCs w:val="16"/>
                <w:lang w:val="en-GB" w:eastAsia="en-GB"/>
              </w:rPr>
            </w:pPr>
            <w:r>
              <w:rPr>
                <w:i/>
                <w:iCs/>
                <w:sz w:val="16"/>
                <w:szCs w:val="16"/>
                <w:lang w:val="en-GB" w:eastAsia="en-GB"/>
              </w:rPr>
              <w:t>GCF</w:t>
            </w:r>
          </w:p>
          <w:p>
            <w:pPr>
              <w:pStyle w:val="ListParagraph"/>
              <w:numPr>
                <w:ilvl w:val="0"/>
                <w:numId w:val="40"/>
              </w:numPr>
              <w:rPr>
                <w:i/>
                <w:iCs/>
                <w:sz w:val="16"/>
                <w:szCs w:val="16"/>
                <w:lang w:val="en-GB" w:eastAsia="en-GB"/>
              </w:rPr>
            </w:pPr>
            <w:r>
              <w:rPr>
                <w:i/>
                <w:iCs/>
                <w:sz w:val="16"/>
                <w:szCs w:val="16"/>
                <w:lang w:val="en-GB" w:eastAsia="en-GB"/>
              </w:rPr>
              <w:t>IKI</w:t>
            </w:r>
          </w:p>
          <w:p>
            <w:pPr>
              <w:pStyle w:val="ListParagraph"/>
              <w:ind w:left="360"/>
              <w:rPr>
                <w:i/>
                <w:iCs/>
                <w:sz w:val="16"/>
                <w:szCs w:val="16"/>
                <w:lang w:val="en-GB" w:eastAsia="en-GB"/>
              </w:rPr>
            </w:pPr>
          </w:p>
          <w:p>
            <w:pPr>
              <w:rPr>
                <w:i/>
                <w:iCs/>
                <w:sz w:val="16"/>
                <w:szCs w:val="16"/>
                <w:lang w:val="en-GB" w:eastAsia="en-GB"/>
              </w:rPr>
            </w:pPr>
          </w:p>
          <w:p>
            <w:pPr>
              <w:rPr>
                <w:i/>
                <w:iCs/>
                <w:sz w:val="16"/>
                <w:szCs w:val="16"/>
                <w:lang w:val="en-GB" w:eastAsia="en-GB"/>
              </w:rPr>
            </w:pPr>
          </w:p>
          <w:p>
            <w:pPr>
              <w:rPr>
                <w:i/>
                <w:iCs/>
                <w:sz w:val="16"/>
                <w:szCs w:val="16"/>
                <w:lang w:val="en-GB" w:eastAsia="en-GB"/>
              </w:rPr>
            </w:pPr>
            <w:r>
              <w:rPr>
                <w:i/>
                <w:iCs/>
                <w:sz w:val="16"/>
                <w:szCs w:val="16"/>
                <w:lang w:val="en-GB" w:eastAsia="en-GB"/>
              </w:rPr>
              <w:t>Other partners:</w:t>
            </w:r>
          </w:p>
          <w:p>
            <w:pPr>
              <w:rPr>
                <w:i/>
                <w:iCs/>
                <w:sz w:val="16"/>
                <w:szCs w:val="16"/>
                <w:lang w:val="en-GB" w:eastAsia="en-GB"/>
              </w:rPr>
            </w:pPr>
            <w:r>
              <w:rPr>
                <w:i/>
                <w:iCs/>
                <w:sz w:val="16"/>
                <w:szCs w:val="16"/>
                <w:lang w:val="en-GB" w:eastAsia="en-GB"/>
              </w:rPr>
              <w:lastRenderedPageBreak/>
              <w:t>UNEP, FAO, UNDRR, UNWOMEN, UNICEF</w:t>
            </w:r>
          </w:p>
          <w:p>
            <w:pPr>
              <w:rPr>
                <w:i/>
                <w:iCs/>
                <w:sz w:val="16"/>
                <w:szCs w:val="16"/>
                <w:lang w:val="en-GB" w:eastAsia="en-GB"/>
              </w:rPr>
            </w:pPr>
          </w:p>
          <w:p>
            <w:pPr>
              <w:rPr>
                <w:i/>
                <w:iCs/>
                <w:sz w:val="16"/>
                <w:szCs w:val="16"/>
                <w:lang w:val="en-GB" w:eastAsia="en-GB"/>
              </w:rPr>
            </w:pPr>
          </w:p>
        </w:tc>
        <w:tc>
          <w:tcPr>
            <w:tcW w:w="958" w:type="pct"/>
            <w:tcBorders>
              <w:top w:val="single" w:sz="4" w:space="0" w:color="auto"/>
              <w:left w:val="single" w:sz="4" w:space="0" w:color="auto"/>
              <w:bottom w:val="single" w:sz="4" w:space="0" w:color="auto"/>
              <w:right w:val="nil"/>
            </w:tcBorders>
            <w:tcMar>
              <w:top w:w="15" w:type="dxa"/>
              <w:left w:w="108" w:type="dxa"/>
              <w:bottom w:w="0" w:type="dxa"/>
              <w:right w:w="108" w:type="dxa"/>
            </w:tcMar>
            <w:hideMark/>
          </w:tcPr>
          <w:p>
            <w:pPr>
              <w:rPr>
                <w:b/>
                <w:color w:val="000000"/>
                <w:sz w:val="16"/>
                <w:szCs w:val="16"/>
                <w:lang w:val="en-GB" w:eastAsia="en-GB"/>
              </w:rPr>
            </w:pPr>
            <w:r>
              <w:rPr>
                <w:b/>
                <w:color w:val="000000"/>
                <w:sz w:val="16"/>
                <w:szCs w:val="16"/>
                <w:lang w:val="en-GB" w:eastAsia="en-GB"/>
              </w:rPr>
              <w:lastRenderedPageBreak/>
              <w:t>Regular</w:t>
            </w:r>
          </w:p>
          <w:p>
            <w:pPr>
              <w:rPr>
                <w:b/>
                <w:color w:val="000000"/>
                <w:sz w:val="16"/>
                <w:szCs w:val="16"/>
                <w:lang w:val="en-GB" w:eastAsia="en-GB"/>
              </w:rPr>
            </w:pPr>
            <w:r>
              <w:rPr>
                <w:sz w:val="17"/>
                <w:szCs w:val="17"/>
              </w:rPr>
              <w:t>305,000</w:t>
            </w:r>
          </w:p>
        </w:tc>
      </w:tr>
      <w:tr>
        <w:trPr>
          <w:trHeight w:val="461"/>
        </w:trPr>
        <w:tc>
          <w:tcPr>
            <w:tcW w:w="0" w:type="auto"/>
            <w:vMerge/>
            <w:tcBorders>
              <w:top w:val="single" w:sz="4" w:space="0" w:color="auto"/>
              <w:left w:val="nil"/>
              <w:bottom w:val="single" w:sz="4" w:space="0" w:color="auto"/>
              <w:right w:val="single" w:sz="4" w:space="0" w:color="auto"/>
            </w:tcBorders>
            <w:vAlign w:val="center"/>
            <w:hideMark/>
          </w:tcPr>
          <w:p>
            <w:pPr>
              <w:rPr>
                <w:bCs/>
                <w:i/>
                <w:color w:val="000000"/>
                <w:sz w:val="16"/>
                <w:szCs w:val="16"/>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b/>
                <w:bCs/>
                <w:i/>
                <w:color w:val="000000"/>
                <w:sz w:val="16"/>
                <w:szCs w:val="16"/>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b/>
                <w:bCs/>
                <w:sz w:val="16"/>
                <w:szCs w:val="16"/>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i/>
                <w:iCs/>
                <w:sz w:val="16"/>
                <w:szCs w:val="16"/>
                <w:lang w:val="en-GB" w:eastAsia="en-GB"/>
              </w:rPr>
            </w:pPr>
          </w:p>
        </w:tc>
        <w:tc>
          <w:tcPr>
            <w:tcW w:w="958" w:type="pct"/>
            <w:tcBorders>
              <w:top w:val="single" w:sz="4" w:space="0" w:color="auto"/>
              <w:left w:val="single" w:sz="4" w:space="0" w:color="auto"/>
              <w:bottom w:val="single" w:sz="4" w:space="0" w:color="auto"/>
              <w:right w:val="nil"/>
            </w:tcBorders>
            <w:tcMar>
              <w:top w:w="15" w:type="dxa"/>
              <w:left w:w="108" w:type="dxa"/>
              <w:bottom w:w="0" w:type="dxa"/>
              <w:right w:w="108" w:type="dxa"/>
            </w:tcMar>
          </w:tcPr>
          <w:p>
            <w:pPr>
              <w:rPr>
                <w:b/>
                <w:color w:val="000000"/>
                <w:sz w:val="16"/>
                <w:szCs w:val="16"/>
                <w:lang w:val="en-GB" w:eastAsia="en-GB"/>
              </w:rPr>
            </w:pPr>
            <w:r>
              <w:rPr>
                <w:b/>
                <w:color w:val="000000"/>
                <w:sz w:val="16"/>
                <w:szCs w:val="16"/>
                <w:lang w:val="en-GB" w:eastAsia="en-GB"/>
              </w:rPr>
              <w:t>Other</w:t>
            </w:r>
          </w:p>
          <w:p>
            <w:pPr>
              <w:rPr>
                <w:b/>
                <w:color w:val="000000"/>
                <w:sz w:val="16"/>
                <w:szCs w:val="16"/>
                <w:lang w:val="en-GB" w:eastAsia="en-GB"/>
              </w:rPr>
            </w:pPr>
            <w:r>
              <w:rPr>
                <w:sz w:val="17"/>
                <w:szCs w:val="17"/>
              </w:rPr>
              <w:t>40,750,000</w:t>
            </w:r>
          </w:p>
          <w:p>
            <w:pPr>
              <w:rPr>
                <w:i/>
                <w:iCs/>
                <w:color w:val="000000"/>
                <w:sz w:val="16"/>
                <w:szCs w:val="16"/>
                <w:lang w:val="en-GB" w:eastAsia="en-GB"/>
              </w:rPr>
            </w:pPr>
          </w:p>
          <w:p>
            <w:pPr>
              <w:rPr>
                <w:i/>
                <w:iCs/>
                <w:color w:val="000000"/>
                <w:sz w:val="16"/>
                <w:szCs w:val="16"/>
                <w:lang w:val="en-GB" w:eastAsia="en-GB"/>
              </w:rPr>
            </w:pPr>
          </w:p>
          <w:p>
            <w:pPr>
              <w:rPr>
                <w:b/>
                <w:color w:val="000000"/>
                <w:sz w:val="16"/>
                <w:szCs w:val="16"/>
                <w:lang w:val="en-GB" w:eastAsia="en-GB"/>
              </w:rPr>
            </w:pPr>
          </w:p>
        </w:tc>
      </w:tr>
    </w:tbl>
    <w:p>
      <w:pPr>
        <w:pStyle w:val="Heading4"/>
        <w:spacing w:after="120"/>
        <w:rPr>
          <w:color w:val="000000"/>
        </w:rPr>
      </w:pPr>
    </w:p>
    <w:sectPr>
      <w:headerReference w:type="even" r:id="rId17"/>
      <w:pgSz w:w="15840" w:h="12240" w:orient="landscape"/>
      <w:pgMar w:top="1440" w:right="1152" w:bottom="1440" w:left="1152" w:header="720" w:footer="720"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7EA8D" w16cex:dateUtc="2020-08-07T18:58:00Z"/>
  <w16cex:commentExtensible w16cex:durableId="22D7EB79" w16cex:dateUtc="2020-08-07T19:02:00Z"/>
  <w16cex:commentExtensible w16cex:durableId="22D7EBF3" w16cex:dateUtc="2020-08-07T19:04:00Z"/>
  <w16cex:commentExtensible w16cex:durableId="22D7EE88" w16cex:dateUtc="2020-08-07T19:15:00Z"/>
  <w16cex:commentExtensible w16cex:durableId="22D7EF47" w16cex:dateUtc="2020-08-07T19:18:00Z"/>
  <w16cex:commentExtensible w16cex:durableId="22D7ECD0" w16cex:dateUtc="2020-08-07T19:08:00Z"/>
  <w16cex:commentExtensible w16cex:durableId="22D7ECF5" w16cex:dateUtc="2020-08-07T19:08:00Z"/>
  <w16cex:commentExtensible w16cex:durableId="22D7ED8A" w16cex:dateUtc="2020-08-07T19:11:00Z"/>
  <w16cex:commentExtensible w16cex:durableId="22D7C05E" w16cex:dateUtc="2020-08-07T15:58:00Z"/>
  <w16cex:commentExtensible w16cex:durableId="22D7C22A" w16cex:dateUtc="2020-08-07T16:06:00Z"/>
  <w16cex:commentExtensible w16cex:durableId="22D7C141" w16cex:dateUtc="2020-08-07T16:02:00Z"/>
  <w16cex:commentExtensible w16cex:durableId="22D7C16F" w16cex:dateUtc="2020-08-07T16:02:00Z"/>
  <w16cex:commentExtensible w16cex:durableId="22D7C09C" w16cex:dateUtc="2020-08-07T15:59:00Z"/>
  <w16cex:commentExtensible w16cex:durableId="22D7E80E" w16cex:dateUtc="2020-08-07T18:47:00Z"/>
  <w16cex:commentExtensible w16cex:durableId="22D7E7E6" w16cex:dateUtc="2020-08-07T18:47:00Z"/>
  <w16cex:commentExtensible w16cex:durableId="22D7C0A5" w16cex:dateUtc="2020-08-07T15:59:00Z"/>
  <w16cex:commentExtensible w16cex:durableId="22D7E84A" w16cex:dateUtc="2020-08-07T18:48:00Z"/>
  <w16cex:commentExtensible w16cex:durableId="22D7E92E" w16cex:dateUtc="2020-08-07T18:52:00Z"/>
  <w16cex:commentExtensible w16cex:durableId="22D7E8F0" w16cex:dateUtc="2020-08-07T18: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rPr>
        <w:b/>
        <w:sz w:val="17"/>
        <w:szCs w:val="17"/>
      </w:rPr>
    </w:pPr>
    <w:r>
      <w:rPr>
        <w:b/>
        <w:sz w:val="17"/>
        <w:szCs w:val="17"/>
      </w:rPr>
      <w:fldChar w:fldCharType="begin"/>
    </w:r>
    <w:r>
      <w:rPr>
        <w:b/>
        <w:sz w:val="17"/>
        <w:szCs w:val="17"/>
      </w:rPr>
      <w:instrText xml:space="preserve"> PAGE   \* MERGEFORMAT </w:instrText>
    </w:r>
    <w:r>
      <w:rPr>
        <w:b/>
        <w:sz w:val="17"/>
        <w:szCs w:val="17"/>
      </w:rPr>
      <w:fldChar w:fldCharType="separate"/>
    </w:r>
    <w:r>
      <w:rPr>
        <w:b/>
        <w:noProof/>
        <w:sz w:val="17"/>
        <w:szCs w:val="17"/>
      </w:rPr>
      <w:t>2</w:t>
    </w:r>
    <w:r>
      <w:rPr>
        <w:b/>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jc w:val="right"/>
      <w:rPr>
        <w:b/>
        <w:sz w:val="17"/>
        <w:szCs w:val="17"/>
      </w:rPr>
    </w:pPr>
    <w:r>
      <w:rPr>
        <w:b/>
        <w:sz w:val="17"/>
        <w:szCs w:val="17"/>
      </w:rPr>
      <w:fldChar w:fldCharType="begin"/>
    </w:r>
    <w:r>
      <w:rPr>
        <w:b/>
        <w:sz w:val="17"/>
        <w:szCs w:val="17"/>
      </w:rPr>
      <w:instrText xml:space="preserve"> PAGE   \* MERGEFORMAT </w:instrText>
    </w:r>
    <w:r>
      <w:rPr>
        <w:b/>
        <w:sz w:val="17"/>
        <w:szCs w:val="17"/>
      </w:rPr>
      <w:fldChar w:fldCharType="separate"/>
    </w:r>
    <w:r>
      <w:rPr>
        <w:b/>
        <w:noProof/>
        <w:sz w:val="17"/>
        <w:szCs w:val="17"/>
      </w:rPr>
      <w:t>3</w:t>
    </w:r>
    <w:r>
      <w:rPr>
        <w:b/>
        <w:sz w:val="17"/>
        <w:szCs w:val="17"/>
      </w:rPr>
      <w:fldChar w:fldCharType="end"/>
    </w:r>
  </w:p>
  <w:p>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 w:id="1">
    <w:p>
      <w:pPr>
        <w:pStyle w:val="FootnoteText"/>
        <w:rPr>
          <w:lang w:val="es-419"/>
        </w:rPr>
      </w:pPr>
      <w:r>
        <w:rPr>
          <w:rStyle w:val="FootnoteReference"/>
        </w:rPr>
        <w:footnoteRef/>
      </w:r>
      <w:r>
        <w:rPr>
          <w:lang w:val="es-419"/>
        </w:rPr>
        <w:t xml:space="preserve"> </w:t>
      </w:r>
      <w:r>
        <w:rPr>
          <w:rFonts w:ascii="Times New Roman" w:hAnsi="Times New Roman"/>
          <w:lang w:val="es-419"/>
        </w:rPr>
        <w:t>Informe Nacional de Desarrollo Humano Panamá 2019, PNUD. / Latinobarómetro 2019. / Transparencia Internacional.</w:t>
      </w:r>
    </w:p>
  </w:footnote>
  <w:footnote w:id="2">
    <w:p>
      <w:pPr>
        <w:pStyle w:val="FootnoteText"/>
        <w:rPr>
          <w:rFonts w:ascii="Times New Roman" w:hAnsi="Times New Roman"/>
          <w:lang w:val="fr-FR"/>
        </w:rPr>
      </w:pPr>
      <w:r>
        <w:rPr>
          <w:rStyle w:val="FootnoteReference"/>
          <w:rFonts w:ascii="Times New Roman" w:hAnsi="Times New Roman"/>
        </w:rPr>
        <w:footnoteRef/>
      </w:r>
      <w:r>
        <w:rPr>
          <w:rFonts w:ascii="Times New Roman" w:hAnsi="Times New Roman"/>
          <w:lang w:val="fr-FR"/>
        </w:rPr>
        <w:t xml:space="preserve"> ICPE, </w:t>
      </w:r>
      <w:proofErr w:type="gramStart"/>
      <w:r>
        <w:rPr>
          <w:rFonts w:ascii="Times New Roman" w:hAnsi="Times New Roman"/>
          <w:lang w:val="fr-FR"/>
        </w:rPr>
        <w:t>2019:</w:t>
      </w:r>
      <w:proofErr w:type="gramEnd"/>
      <w:r>
        <w:rPr>
          <w:rFonts w:ascii="Times New Roman" w:hAnsi="Times New Roman"/>
          <w:lang w:val="fr-FR"/>
        </w:rPr>
        <w:t xml:space="preserve"> </w:t>
      </w:r>
      <w:hyperlink r:id="rId1" w:history="1">
        <w:r>
          <w:rPr>
            <w:rStyle w:val="Hyperlink"/>
            <w:rFonts w:ascii="Times New Roman" w:hAnsi="Times New Roman"/>
            <w:lang w:val="fr-FR"/>
          </w:rPr>
          <w:t>https://erc.undp.org/evaluation/evaluations/detail/12284</w:t>
        </w:r>
      </w:hyperlink>
    </w:p>
  </w:footnote>
  <w:footnote w:id="3">
    <w:p>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ICPE, 2019. </w:t>
      </w:r>
    </w:p>
  </w:footnote>
  <w:footnote w:id="4">
    <w:p>
      <w:pPr>
        <w:pStyle w:val="FootnoteText"/>
      </w:pPr>
      <w:r>
        <w:rPr>
          <w:rStyle w:val="FootnoteReference"/>
        </w:rPr>
        <w:footnoteRef/>
      </w:r>
      <w:r>
        <w:t xml:space="preserve"> </w:t>
      </w:r>
      <w:r>
        <w:rPr>
          <w:rFonts w:ascii="Times New Roman" w:hAnsi="Times New Roman"/>
          <w:sz w:val="16"/>
          <w:szCs w:val="16"/>
        </w:rPr>
        <w:t>The programme will continue with the implementation of the SECU action plan.</w:t>
      </w:r>
    </w:p>
  </w:footnote>
  <w:footnote w:id="5">
    <w:p>
      <w:pPr>
        <w:pStyle w:val="FootnoteText"/>
      </w:pPr>
      <w:r>
        <w:rPr>
          <w:rStyle w:val="FootnoteReference"/>
        </w:rPr>
        <w:footnoteRef/>
      </w:r>
      <w:r>
        <w:t xml:space="preserve"> </w:t>
      </w:r>
      <w:r>
        <w:rPr>
          <w:rFonts w:ascii="Times New Roman" w:hAnsi="Times New Roman"/>
          <w:sz w:val="16"/>
          <w:szCs w:val="16"/>
        </w:rPr>
        <w:t xml:space="preserve">Indicator is </w:t>
      </w:r>
      <w:proofErr w:type="spellStart"/>
      <w:r>
        <w:rPr>
          <w:rFonts w:ascii="Times New Roman" w:hAnsi="Times New Roman"/>
          <w:sz w:val="16"/>
          <w:szCs w:val="16"/>
        </w:rPr>
        <w:t>meassure</w:t>
      </w:r>
      <w:proofErr w:type="spellEnd"/>
      <w:r>
        <w:rPr>
          <w:rFonts w:ascii="Times New Roman" w:hAnsi="Times New Roman"/>
          <w:sz w:val="16"/>
          <w:szCs w:val="16"/>
        </w:rPr>
        <w:t xml:space="preserve"> with third graders test scores.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trPr>
        <w:trHeight w:hRule="exact" w:val="80"/>
      </w:trPr>
      <w:tc>
        <w:tcPr>
          <w:tcW w:w="4838" w:type="dxa"/>
          <w:tcBorders>
            <w:bottom w:val="single" w:sz="4" w:space="0" w:color="auto"/>
          </w:tcBorders>
          <w:vAlign w:val="bottom"/>
        </w:tcPr>
        <w:p>
          <w:pPr>
            <w:pStyle w:val="Header"/>
            <w:spacing w:after="80"/>
            <w:rPr>
              <w:rFonts w:ascii="Times New Roman" w:hAnsi="Times New Roman"/>
              <w:b/>
              <w:sz w:val="17"/>
              <w:szCs w:val="17"/>
              <w:lang w:val="en-US" w:eastAsia="en-US"/>
            </w:rPr>
          </w:pPr>
        </w:p>
      </w:tc>
      <w:tc>
        <w:tcPr>
          <w:tcW w:w="8276" w:type="dxa"/>
          <w:tcBorders>
            <w:bottom w:val="single" w:sz="4" w:space="0" w:color="auto"/>
          </w:tcBorders>
          <w:vAlign w:val="bottom"/>
        </w:tcPr>
        <w:p>
          <w:pPr>
            <w:pStyle w:val="Header"/>
            <w:jc w:val="right"/>
            <w:rPr>
              <w:rFonts w:ascii="Times New Roman" w:hAnsi="Times New Roman"/>
              <w:sz w:val="17"/>
              <w:szCs w:val="17"/>
              <w:lang w:val="en-US" w:eastAsia="en-US"/>
            </w:rPr>
          </w:pPr>
          <w:r>
            <w:rPr>
              <w:rFonts w:ascii="Times New Roman" w:hAnsi="Times New Roman"/>
              <w:b/>
              <w:sz w:val="17"/>
              <w:szCs w:val="17"/>
              <w:lang w:val="en-US" w:eastAsia="en-US"/>
            </w:rPr>
            <w:t>DP/DCP/</w:t>
          </w:r>
        </w:p>
      </w:tc>
    </w:tr>
  </w:tbl>
  <w:p>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521"/>
    </w:tblGrid>
    <w:tr>
      <w:trPr>
        <w:trHeight w:hRule="exact" w:val="864"/>
      </w:trPr>
      <w:tc>
        <w:tcPr>
          <w:tcW w:w="1267" w:type="dxa"/>
          <w:tcBorders>
            <w:top w:val="nil"/>
            <w:left w:val="nil"/>
            <w:bottom w:val="nil"/>
            <w:right w:val="nil"/>
          </w:tcBorders>
          <w:vAlign w:val="bottom"/>
        </w:tcPr>
        <w:p>
          <w:pPr>
            <w:pStyle w:val="Header"/>
            <w:spacing w:after="120"/>
            <w:rPr>
              <w:lang w:val="en-US" w:eastAsia="en-US"/>
            </w:rPr>
          </w:pPr>
        </w:p>
      </w:tc>
      <w:tc>
        <w:tcPr>
          <w:tcW w:w="1872" w:type="dxa"/>
          <w:tcBorders>
            <w:top w:val="nil"/>
            <w:left w:val="nil"/>
            <w:bottom w:val="nil"/>
            <w:right w:val="nil"/>
          </w:tcBorders>
          <w:vAlign w:val="bottom"/>
        </w:tcPr>
        <w:p>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pPr>
            <w:pStyle w:val="Header"/>
            <w:spacing w:after="120"/>
            <w:rPr>
              <w:lang w:val="en-US" w:eastAsia="en-US"/>
            </w:rPr>
          </w:pPr>
        </w:p>
      </w:tc>
      <w:tc>
        <w:tcPr>
          <w:tcW w:w="6876" w:type="dxa"/>
          <w:gridSpan w:val="3"/>
          <w:tcBorders>
            <w:top w:val="nil"/>
            <w:left w:val="nil"/>
            <w:bottom w:val="nil"/>
            <w:right w:val="nil"/>
          </w:tcBorders>
          <w:vAlign w:val="bottom"/>
        </w:tcPr>
        <w:p>
          <w:pPr>
            <w:spacing w:after="80"/>
            <w:jc w:val="center"/>
            <w:rPr>
              <w:position w:val="-4"/>
            </w:rPr>
          </w:pPr>
          <w:r>
            <w:rPr>
              <w:position w:val="-4"/>
              <w:sz w:val="40"/>
            </w:rPr>
            <w:t xml:space="preserve">                         DP</w:t>
          </w:r>
          <w:r>
            <w:rPr>
              <w:position w:val="-4"/>
            </w:rPr>
            <w:t>/DCP/</w:t>
          </w:r>
        </w:p>
      </w:tc>
    </w:tr>
    <w:tr>
      <w:trPr>
        <w:trHeight w:hRule="exact" w:val="1936"/>
      </w:trPr>
      <w:tc>
        <w:tcPr>
          <w:tcW w:w="1267" w:type="dxa"/>
          <w:tcBorders>
            <w:top w:val="single" w:sz="4" w:space="0" w:color="auto"/>
            <w:left w:val="nil"/>
            <w:bottom w:val="single" w:sz="12" w:space="0" w:color="auto"/>
            <w:right w:val="nil"/>
          </w:tcBorders>
        </w:tcPr>
        <w:p>
          <w:pPr>
            <w:pStyle w:val="Header"/>
            <w:spacing w:before="109"/>
            <w:rPr>
              <w:lang w:val="en-US" w:eastAsia="en-US"/>
            </w:rPr>
          </w:pPr>
          <w:r>
            <w:rPr>
              <w:lang w:val="en-US" w:eastAsia="en-US"/>
            </w:rPr>
            <w:t xml:space="preserve"> </w:t>
          </w:r>
          <w:r>
            <w:rPr>
              <w:noProof/>
              <w:lang w:val="en-US" w:eastAsia="en-US"/>
            </w:rPr>
            <w:drawing>
              <wp:inline distT="0" distB="0" distL="0" distR="0">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p>
          <w:pPr>
            <w:pStyle w:val="Header"/>
            <w:spacing w:before="109"/>
            <w:rPr>
              <w:lang w:val="en-US" w:eastAsia="en-US"/>
            </w:rPr>
          </w:pPr>
        </w:p>
      </w:tc>
      <w:tc>
        <w:tcPr>
          <w:tcW w:w="5227" w:type="dxa"/>
          <w:gridSpan w:val="3"/>
          <w:tcBorders>
            <w:top w:val="single" w:sz="4" w:space="0" w:color="auto"/>
            <w:left w:val="nil"/>
            <w:bottom w:val="single" w:sz="12" w:space="0" w:color="auto"/>
            <w:right w:val="nil"/>
          </w:tcBorders>
        </w:tcPr>
        <w:p>
          <w:pPr>
            <w:pStyle w:val="XLarge"/>
            <w:spacing w:before="109" w:line="330" w:lineRule="exact"/>
            <w:rPr>
              <w:sz w:val="34"/>
            </w:rPr>
          </w:pPr>
          <w:r>
            <w:rPr>
              <w:sz w:val="34"/>
            </w:rPr>
            <w:t>Executive Board of the</w:t>
          </w:r>
          <w:r>
            <w:rPr>
              <w:sz w:val="34"/>
            </w:rPr>
            <w:br/>
            <w:t>United Nations Development</w:t>
          </w:r>
          <w:r>
            <w:rPr>
              <w:sz w:val="34"/>
            </w:rPr>
            <w:br/>
            <w:t>Programme, the United Nations Population Fund and the United Nations Office for Project Services</w:t>
          </w:r>
        </w:p>
      </w:tc>
      <w:tc>
        <w:tcPr>
          <w:tcW w:w="245" w:type="dxa"/>
          <w:tcBorders>
            <w:top w:val="single" w:sz="4" w:space="0" w:color="auto"/>
            <w:left w:val="nil"/>
            <w:bottom w:val="single" w:sz="12" w:space="0" w:color="auto"/>
            <w:right w:val="nil"/>
          </w:tcBorders>
        </w:tcPr>
        <w:p>
          <w:pPr>
            <w:pStyle w:val="Header"/>
            <w:spacing w:before="109"/>
            <w:rPr>
              <w:lang w:val="en-US" w:eastAsia="en-US"/>
            </w:rPr>
          </w:pPr>
        </w:p>
      </w:tc>
      <w:tc>
        <w:tcPr>
          <w:tcW w:w="3521" w:type="dxa"/>
          <w:tcBorders>
            <w:top w:val="single" w:sz="4" w:space="0" w:color="auto"/>
            <w:left w:val="nil"/>
            <w:bottom w:val="single" w:sz="12" w:space="0" w:color="auto"/>
            <w:right w:val="nil"/>
          </w:tcBorders>
        </w:tcPr>
        <w:p>
          <w:pPr>
            <w:spacing w:before="240"/>
          </w:pPr>
          <w:r>
            <w:t>Distr.: General</w:t>
          </w:r>
        </w:p>
        <w:p>
          <w:r>
            <w:t>(Date)</w:t>
          </w:r>
        </w:p>
        <w:p/>
        <w:p>
          <w:r>
            <w:t>Original: Language</w:t>
          </w:r>
        </w:p>
      </w:tc>
    </w:tr>
  </w:tbl>
  <w:p>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rPr>
        <w:noProof/>
        <w:lang w:val="en-US" w:eastAsia="en-US"/>
      </w:rPr>
      <mc:AlternateContent>
        <mc:Choice Requires="wps">
          <w:drawing>
            <wp:anchor distT="0" distB="0" distL="114300" distR="114300" simplePos="0" relativeHeight="251657216" behindDoc="0" locked="0" layoutInCell="0" allowOverlap="1">
              <wp:simplePos x="0" y="0"/>
              <wp:positionH relativeFrom="column">
                <wp:posOffset>-73025</wp:posOffset>
              </wp:positionH>
              <wp:positionV relativeFrom="paragraph">
                <wp:posOffset>-302895</wp:posOffset>
              </wp:positionV>
              <wp:extent cx="8464550" cy="640080"/>
              <wp:effectExtent l="3175"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trPr>
                              <w:trHeight w:hRule="exact" w:val="864"/>
                            </w:trPr>
                            <w:tc>
                              <w:tcPr>
                                <w:tcW w:w="4838" w:type="dxa"/>
                                <w:tcBorders>
                                  <w:bottom w:val="single" w:sz="4" w:space="0" w:color="auto"/>
                                </w:tcBorders>
                                <w:vAlign w:val="bottom"/>
                              </w:tcPr>
                              <w:p>
                                <w:pPr>
                                  <w:pStyle w:val="Header"/>
                                  <w:spacing w:after="80"/>
                                  <w:rPr>
                                    <w:rFonts w:ascii="Times New Roman" w:hAnsi="Times New Roman"/>
                                    <w:b/>
                                    <w:sz w:val="17"/>
                                    <w:szCs w:val="17"/>
                                    <w:lang w:val="en-US" w:eastAsia="en-US"/>
                                  </w:rPr>
                                </w:pPr>
                                <w:r>
                                  <w:rPr>
                                    <w:rFonts w:ascii="Times New Roman" w:hAnsi="Times New Roman"/>
                                    <w:b/>
                                    <w:sz w:val="17"/>
                                    <w:szCs w:val="17"/>
                                    <w:lang w:val="en-US" w:eastAsia="en-US"/>
                                  </w:rPr>
                                  <w:t>DP/DCP/</w:t>
                                </w:r>
                              </w:p>
                            </w:tc>
                            <w:tc>
                              <w:tcPr>
                                <w:tcW w:w="8276" w:type="dxa"/>
                                <w:tcBorders>
                                  <w:bottom w:val="single" w:sz="4" w:space="0" w:color="auto"/>
                                </w:tcBorders>
                                <w:vAlign w:val="bottom"/>
                              </w:tcPr>
                              <w:p>
                                <w:pPr>
                                  <w:pStyle w:val="Header"/>
                                  <w:rPr>
                                    <w:rFonts w:ascii="Times New Roman" w:hAnsi="Times New Roman"/>
                                    <w:sz w:val="17"/>
                                    <w:szCs w:val="17"/>
                                    <w:lang w:val="en-US" w:eastAsia="en-US"/>
                                  </w:rPr>
                                </w:pPr>
                              </w:p>
                            </w:tc>
                          </w:tr>
                        </w:tbl>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5pt;margin-top:-23.85pt;width:666.5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" o:allowincell="f" stroked="f">
              <v:textbox inset="0,0,0,0">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trPr>
                        <w:trHeight w:hRule="exact" w:val="864"/>
                      </w:trPr>
                      <w:tc>
                        <w:tcPr>
                          <w:tcW w:w="4838" w:type="dxa"/>
                          <w:tcBorders>
                            <w:bottom w:val="single" w:sz="4" w:space="0" w:color="auto"/>
                          </w:tcBorders>
                          <w:vAlign w:val="bottom"/>
                        </w:tcPr>
                        <w:p>
                          <w:pPr>
                            <w:pStyle w:val="Header"/>
                            <w:spacing w:after="80"/>
                            <w:rPr>
                              <w:rFonts w:ascii="Times New Roman" w:hAnsi="Times New Roman"/>
                              <w:b/>
                              <w:sz w:val="17"/>
                              <w:szCs w:val="17"/>
                              <w:lang w:val="en-US" w:eastAsia="en-US"/>
                            </w:rPr>
                          </w:pPr>
                          <w:r>
                            <w:rPr>
                              <w:rFonts w:ascii="Times New Roman" w:hAnsi="Times New Roman"/>
                              <w:b/>
                              <w:sz w:val="17"/>
                              <w:szCs w:val="17"/>
                              <w:lang w:val="en-US" w:eastAsia="en-US"/>
                            </w:rPr>
                            <w:t>DP/DCP/</w:t>
                          </w:r>
                        </w:p>
                      </w:tc>
                      <w:tc>
                        <w:tcPr>
                          <w:tcW w:w="8276" w:type="dxa"/>
                          <w:tcBorders>
                            <w:bottom w:val="single" w:sz="4" w:space="0" w:color="auto"/>
                          </w:tcBorders>
                          <w:vAlign w:val="bottom"/>
                        </w:tcPr>
                        <w:p>
                          <w:pPr>
                            <w:pStyle w:val="Header"/>
                            <w:rPr>
                              <w:rFonts w:ascii="Times New Roman" w:hAnsi="Times New Roman"/>
                              <w:sz w:val="17"/>
                              <w:szCs w:val="17"/>
                              <w:lang w:val="en-US" w:eastAsia="en-US"/>
                            </w:rPr>
                          </w:pPr>
                        </w:p>
                      </w:tc>
                    </w:tr>
                  </w:tbl>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30F09"/>
    <w:multiLevelType w:val="hybridMultilevel"/>
    <w:tmpl w:val="D7EE4800"/>
    <w:lvl w:ilvl="0" w:tplc="75E07D6A">
      <w:start w:val="1"/>
      <w:numFmt w:val="decimal"/>
      <w:lvlText w:val="%1."/>
      <w:lvlJc w:val="left"/>
      <w:pPr>
        <w:ind w:left="720" w:hanging="360"/>
      </w:pPr>
    </w:lvl>
    <w:lvl w:ilvl="1" w:tplc="F23C9968">
      <w:start w:val="2"/>
      <w:numFmt w:val="decimal"/>
      <w:lvlText w:val="%2."/>
      <w:lvlJc w:val="left"/>
      <w:pPr>
        <w:ind w:left="1440" w:hanging="360"/>
      </w:pPr>
    </w:lvl>
    <w:lvl w:ilvl="2" w:tplc="A4D897C6">
      <w:start w:val="1"/>
      <w:numFmt w:val="lowerRoman"/>
      <w:lvlText w:val="%3."/>
      <w:lvlJc w:val="right"/>
      <w:pPr>
        <w:ind w:left="2160" w:hanging="180"/>
      </w:pPr>
    </w:lvl>
    <w:lvl w:ilvl="3" w:tplc="17661E40">
      <w:start w:val="1"/>
      <w:numFmt w:val="decimal"/>
      <w:lvlText w:val="%4."/>
      <w:lvlJc w:val="left"/>
      <w:pPr>
        <w:ind w:left="2880" w:hanging="360"/>
      </w:pPr>
    </w:lvl>
    <w:lvl w:ilvl="4" w:tplc="EC5C293E">
      <w:start w:val="1"/>
      <w:numFmt w:val="lowerLetter"/>
      <w:lvlText w:val="%5."/>
      <w:lvlJc w:val="left"/>
      <w:pPr>
        <w:ind w:left="3600" w:hanging="360"/>
      </w:pPr>
    </w:lvl>
    <w:lvl w:ilvl="5" w:tplc="9056D4B0">
      <w:start w:val="1"/>
      <w:numFmt w:val="lowerRoman"/>
      <w:lvlText w:val="%6."/>
      <w:lvlJc w:val="right"/>
      <w:pPr>
        <w:ind w:left="4320" w:hanging="180"/>
      </w:pPr>
    </w:lvl>
    <w:lvl w:ilvl="6" w:tplc="1B0C041A">
      <w:start w:val="1"/>
      <w:numFmt w:val="decimal"/>
      <w:lvlText w:val="%7."/>
      <w:lvlJc w:val="left"/>
      <w:pPr>
        <w:ind w:left="5040" w:hanging="360"/>
      </w:pPr>
    </w:lvl>
    <w:lvl w:ilvl="7" w:tplc="AB649B0E">
      <w:start w:val="1"/>
      <w:numFmt w:val="lowerLetter"/>
      <w:lvlText w:val="%8."/>
      <w:lvlJc w:val="left"/>
      <w:pPr>
        <w:ind w:left="5760" w:hanging="360"/>
      </w:pPr>
    </w:lvl>
    <w:lvl w:ilvl="8" w:tplc="11F8D58E">
      <w:start w:val="1"/>
      <w:numFmt w:val="lowerRoman"/>
      <w:lvlText w:val="%9."/>
      <w:lvlJc w:val="right"/>
      <w:pPr>
        <w:ind w:left="6480" w:hanging="180"/>
      </w:pPr>
    </w:lvl>
  </w:abstractNum>
  <w:abstractNum w:abstractNumId="1" w15:restartNumberingAfterBreak="0">
    <w:nsid w:val="13AC72F0"/>
    <w:multiLevelType w:val="hybridMultilevel"/>
    <w:tmpl w:val="4B4ACAF2"/>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15:restartNumberingAfterBreak="0">
    <w:nsid w:val="16CE1AE7"/>
    <w:multiLevelType w:val="hybridMultilevel"/>
    <w:tmpl w:val="979E2340"/>
    <w:lvl w:ilvl="0" w:tplc="ACEA10F4">
      <w:start w:val="1"/>
      <w:numFmt w:val="decimal"/>
      <w:lvlText w:val="%1."/>
      <w:lvlJc w:val="left"/>
      <w:pPr>
        <w:ind w:left="720" w:hanging="360"/>
      </w:pPr>
    </w:lvl>
    <w:lvl w:ilvl="1" w:tplc="D966DDEE">
      <w:start w:val="1"/>
      <w:numFmt w:val="decimal"/>
      <w:lvlText w:val="%2."/>
      <w:lvlJc w:val="left"/>
      <w:pPr>
        <w:ind w:left="1440" w:hanging="360"/>
      </w:pPr>
    </w:lvl>
    <w:lvl w:ilvl="2" w:tplc="9886F136">
      <w:start w:val="1"/>
      <w:numFmt w:val="lowerRoman"/>
      <w:lvlText w:val="%3."/>
      <w:lvlJc w:val="right"/>
      <w:pPr>
        <w:ind w:left="2160" w:hanging="180"/>
      </w:pPr>
    </w:lvl>
    <w:lvl w:ilvl="3" w:tplc="52F63A9C">
      <w:start w:val="1"/>
      <w:numFmt w:val="decimal"/>
      <w:lvlText w:val="%4."/>
      <w:lvlJc w:val="left"/>
      <w:pPr>
        <w:ind w:left="2880" w:hanging="360"/>
      </w:pPr>
    </w:lvl>
    <w:lvl w:ilvl="4" w:tplc="D6B201B4">
      <w:start w:val="1"/>
      <w:numFmt w:val="lowerLetter"/>
      <w:lvlText w:val="%5."/>
      <w:lvlJc w:val="left"/>
      <w:pPr>
        <w:ind w:left="3600" w:hanging="360"/>
      </w:pPr>
    </w:lvl>
    <w:lvl w:ilvl="5" w:tplc="BEDED398">
      <w:start w:val="1"/>
      <w:numFmt w:val="lowerRoman"/>
      <w:lvlText w:val="%6."/>
      <w:lvlJc w:val="right"/>
      <w:pPr>
        <w:ind w:left="4320" w:hanging="180"/>
      </w:pPr>
    </w:lvl>
    <w:lvl w:ilvl="6" w:tplc="2CFAF5F2">
      <w:start w:val="1"/>
      <w:numFmt w:val="decimal"/>
      <w:lvlText w:val="%7."/>
      <w:lvlJc w:val="left"/>
      <w:pPr>
        <w:ind w:left="5040" w:hanging="360"/>
      </w:pPr>
    </w:lvl>
    <w:lvl w:ilvl="7" w:tplc="F9361DB8">
      <w:start w:val="1"/>
      <w:numFmt w:val="lowerLetter"/>
      <w:lvlText w:val="%8."/>
      <w:lvlJc w:val="left"/>
      <w:pPr>
        <w:ind w:left="5760" w:hanging="360"/>
      </w:pPr>
    </w:lvl>
    <w:lvl w:ilvl="8" w:tplc="607249B4">
      <w:start w:val="1"/>
      <w:numFmt w:val="lowerRoman"/>
      <w:lvlText w:val="%9."/>
      <w:lvlJc w:val="right"/>
      <w:pPr>
        <w:ind w:left="6480" w:hanging="180"/>
      </w:pPr>
    </w:lvl>
  </w:abstractNum>
  <w:abstractNum w:abstractNumId="3" w15:restartNumberingAfterBreak="0">
    <w:nsid w:val="19E64F19"/>
    <w:multiLevelType w:val="hybridMultilevel"/>
    <w:tmpl w:val="6492C1B8"/>
    <w:lvl w:ilvl="0" w:tplc="4D6A3C32">
      <w:start w:val="1"/>
      <w:numFmt w:val="decimal"/>
      <w:lvlText w:val="%1."/>
      <w:lvlJc w:val="left"/>
      <w:pPr>
        <w:ind w:left="720" w:hanging="360"/>
      </w:pPr>
    </w:lvl>
    <w:lvl w:ilvl="1" w:tplc="C8FAA784">
      <w:start w:val="2"/>
      <w:numFmt w:val="decimal"/>
      <w:lvlText w:val="%2."/>
      <w:lvlJc w:val="left"/>
      <w:pPr>
        <w:ind w:left="1440" w:hanging="360"/>
      </w:pPr>
    </w:lvl>
    <w:lvl w:ilvl="2" w:tplc="F8F0D2B2">
      <w:start w:val="1"/>
      <w:numFmt w:val="lowerRoman"/>
      <w:lvlText w:val="%3."/>
      <w:lvlJc w:val="right"/>
      <w:pPr>
        <w:ind w:left="2160" w:hanging="180"/>
      </w:pPr>
    </w:lvl>
    <w:lvl w:ilvl="3" w:tplc="79D6A57E">
      <w:start w:val="1"/>
      <w:numFmt w:val="decimal"/>
      <w:lvlText w:val="%4."/>
      <w:lvlJc w:val="left"/>
      <w:pPr>
        <w:ind w:left="2880" w:hanging="360"/>
      </w:pPr>
    </w:lvl>
    <w:lvl w:ilvl="4" w:tplc="47642D52">
      <w:start w:val="1"/>
      <w:numFmt w:val="lowerLetter"/>
      <w:lvlText w:val="%5."/>
      <w:lvlJc w:val="left"/>
      <w:pPr>
        <w:ind w:left="3600" w:hanging="360"/>
      </w:pPr>
    </w:lvl>
    <w:lvl w:ilvl="5" w:tplc="F558D9DE">
      <w:start w:val="1"/>
      <w:numFmt w:val="lowerRoman"/>
      <w:lvlText w:val="%6."/>
      <w:lvlJc w:val="right"/>
      <w:pPr>
        <w:ind w:left="4320" w:hanging="180"/>
      </w:pPr>
    </w:lvl>
    <w:lvl w:ilvl="6" w:tplc="990CD5EE">
      <w:start w:val="1"/>
      <w:numFmt w:val="decimal"/>
      <w:lvlText w:val="%7."/>
      <w:lvlJc w:val="left"/>
      <w:pPr>
        <w:ind w:left="5040" w:hanging="360"/>
      </w:pPr>
    </w:lvl>
    <w:lvl w:ilvl="7" w:tplc="AE7A0922">
      <w:start w:val="1"/>
      <w:numFmt w:val="lowerLetter"/>
      <w:lvlText w:val="%8."/>
      <w:lvlJc w:val="left"/>
      <w:pPr>
        <w:ind w:left="5760" w:hanging="360"/>
      </w:pPr>
    </w:lvl>
    <w:lvl w:ilvl="8" w:tplc="A542443C">
      <w:start w:val="1"/>
      <w:numFmt w:val="lowerRoman"/>
      <w:lvlText w:val="%9."/>
      <w:lvlJc w:val="right"/>
      <w:pPr>
        <w:ind w:left="6480" w:hanging="180"/>
      </w:pPr>
    </w:lvl>
  </w:abstractNum>
  <w:abstractNum w:abstractNumId="4" w15:restartNumberingAfterBreak="0">
    <w:nsid w:val="1B9E32E6"/>
    <w:multiLevelType w:val="multilevel"/>
    <w:tmpl w:val="DFCE93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1F26801"/>
    <w:multiLevelType w:val="hybridMultilevel"/>
    <w:tmpl w:val="630659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25AB3A6F"/>
    <w:multiLevelType w:val="hybridMultilevel"/>
    <w:tmpl w:val="D9E84FBC"/>
    <w:lvl w:ilvl="0" w:tplc="6ADAB4E6">
      <w:start w:val="1"/>
      <w:numFmt w:val="decimal"/>
      <w:lvlText w:val="%1."/>
      <w:lvlJc w:val="left"/>
      <w:pPr>
        <w:ind w:left="720" w:hanging="360"/>
      </w:pPr>
    </w:lvl>
    <w:lvl w:ilvl="1" w:tplc="654EC450">
      <w:start w:val="1"/>
      <w:numFmt w:val="lowerLetter"/>
      <w:lvlText w:val="%2."/>
      <w:lvlJc w:val="left"/>
      <w:pPr>
        <w:ind w:left="1440" w:hanging="360"/>
      </w:pPr>
    </w:lvl>
    <w:lvl w:ilvl="2" w:tplc="D05E62D0">
      <w:start w:val="1"/>
      <w:numFmt w:val="lowerRoman"/>
      <w:lvlText w:val="%3."/>
      <w:lvlJc w:val="right"/>
      <w:pPr>
        <w:ind w:left="2160" w:hanging="180"/>
      </w:pPr>
    </w:lvl>
    <w:lvl w:ilvl="3" w:tplc="4EBCE490">
      <w:start w:val="1"/>
      <w:numFmt w:val="decimal"/>
      <w:lvlText w:val="%4."/>
      <w:lvlJc w:val="left"/>
      <w:pPr>
        <w:ind w:left="2880" w:hanging="360"/>
      </w:pPr>
    </w:lvl>
    <w:lvl w:ilvl="4" w:tplc="1A023A54">
      <w:start w:val="1"/>
      <w:numFmt w:val="lowerLetter"/>
      <w:lvlText w:val="%5."/>
      <w:lvlJc w:val="left"/>
      <w:pPr>
        <w:ind w:left="3600" w:hanging="360"/>
      </w:pPr>
    </w:lvl>
    <w:lvl w:ilvl="5" w:tplc="2F74FEDC">
      <w:start w:val="1"/>
      <w:numFmt w:val="lowerRoman"/>
      <w:lvlText w:val="%6."/>
      <w:lvlJc w:val="right"/>
      <w:pPr>
        <w:ind w:left="4320" w:hanging="180"/>
      </w:pPr>
    </w:lvl>
    <w:lvl w:ilvl="6" w:tplc="D2A0F952">
      <w:start w:val="1"/>
      <w:numFmt w:val="decimal"/>
      <w:lvlText w:val="%7."/>
      <w:lvlJc w:val="left"/>
      <w:pPr>
        <w:ind w:left="5040" w:hanging="360"/>
      </w:pPr>
    </w:lvl>
    <w:lvl w:ilvl="7" w:tplc="7F22BF06">
      <w:start w:val="1"/>
      <w:numFmt w:val="lowerLetter"/>
      <w:lvlText w:val="%8."/>
      <w:lvlJc w:val="left"/>
      <w:pPr>
        <w:ind w:left="5760" w:hanging="360"/>
      </w:pPr>
    </w:lvl>
    <w:lvl w:ilvl="8" w:tplc="CC7AE4BC">
      <w:start w:val="1"/>
      <w:numFmt w:val="lowerRoman"/>
      <w:lvlText w:val="%9."/>
      <w:lvlJc w:val="right"/>
      <w:pPr>
        <w:ind w:left="6480" w:hanging="180"/>
      </w:pPr>
    </w:lvl>
  </w:abstractNum>
  <w:abstractNum w:abstractNumId="7" w15:restartNumberingAfterBreak="0">
    <w:nsid w:val="289F0604"/>
    <w:multiLevelType w:val="hybridMultilevel"/>
    <w:tmpl w:val="0096C96E"/>
    <w:lvl w:ilvl="0" w:tplc="1FB00E5E">
      <w:start w:val="1"/>
      <w:numFmt w:val="decimal"/>
      <w:lvlText w:val="%1."/>
      <w:lvlJc w:val="left"/>
      <w:pPr>
        <w:ind w:left="720" w:hanging="360"/>
      </w:pPr>
    </w:lvl>
    <w:lvl w:ilvl="1" w:tplc="8402DD30">
      <w:start w:val="1"/>
      <w:numFmt w:val="decimal"/>
      <w:lvlText w:val="%2."/>
      <w:lvlJc w:val="left"/>
      <w:pPr>
        <w:ind w:left="1440" w:hanging="360"/>
      </w:pPr>
    </w:lvl>
    <w:lvl w:ilvl="2" w:tplc="2640DC7E">
      <w:start w:val="1"/>
      <w:numFmt w:val="lowerRoman"/>
      <w:lvlText w:val="%3."/>
      <w:lvlJc w:val="right"/>
      <w:pPr>
        <w:ind w:left="2160" w:hanging="180"/>
      </w:pPr>
    </w:lvl>
    <w:lvl w:ilvl="3" w:tplc="7CCC2446">
      <w:start w:val="1"/>
      <w:numFmt w:val="decimal"/>
      <w:lvlText w:val="%4."/>
      <w:lvlJc w:val="left"/>
      <w:pPr>
        <w:ind w:left="2880" w:hanging="360"/>
      </w:pPr>
    </w:lvl>
    <w:lvl w:ilvl="4" w:tplc="12DAB1C0">
      <w:start w:val="1"/>
      <w:numFmt w:val="lowerLetter"/>
      <w:lvlText w:val="%5."/>
      <w:lvlJc w:val="left"/>
      <w:pPr>
        <w:ind w:left="3600" w:hanging="360"/>
      </w:pPr>
    </w:lvl>
    <w:lvl w:ilvl="5" w:tplc="AF0A9862">
      <w:start w:val="1"/>
      <w:numFmt w:val="lowerRoman"/>
      <w:lvlText w:val="%6."/>
      <w:lvlJc w:val="right"/>
      <w:pPr>
        <w:ind w:left="4320" w:hanging="180"/>
      </w:pPr>
    </w:lvl>
    <w:lvl w:ilvl="6" w:tplc="7806DF24">
      <w:start w:val="1"/>
      <w:numFmt w:val="decimal"/>
      <w:lvlText w:val="%7."/>
      <w:lvlJc w:val="left"/>
      <w:pPr>
        <w:ind w:left="5040" w:hanging="360"/>
      </w:pPr>
    </w:lvl>
    <w:lvl w:ilvl="7" w:tplc="14764704">
      <w:start w:val="1"/>
      <w:numFmt w:val="lowerLetter"/>
      <w:lvlText w:val="%8."/>
      <w:lvlJc w:val="left"/>
      <w:pPr>
        <w:ind w:left="5760" w:hanging="360"/>
      </w:pPr>
    </w:lvl>
    <w:lvl w:ilvl="8" w:tplc="F9E438E8">
      <w:start w:val="1"/>
      <w:numFmt w:val="lowerRoman"/>
      <w:lvlText w:val="%9."/>
      <w:lvlJc w:val="right"/>
      <w:pPr>
        <w:ind w:left="6480" w:hanging="180"/>
      </w:pPr>
    </w:lvl>
  </w:abstractNum>
  <w:abstractNum w:abstractNumId="8" w15:restartNumberingAfterBreak="0">
    <w:nsid w:val="2A757C91"/>
    <w:multiLevelType w:val="hybridMultilevel"/>
    <w:tmpl w:val="2DD47AF8"/>
    <w:lvl w:ilvl="0" w:tplc="F26492E0">
      <w:start w:val="1"/>
      <w:numFmt w:val="decimal"/>
      <w:lvlText w:val="%1."/>
      <w:lvlJc w:val="left"/>
      <w:pPr>
        <w:ind w:left="720" w:hanging="360"/>
      </w:pPr>
    </w:lvl>
    <w:lvl w:ilvl="1" w:tplc="105E6004">
      <w:start w:val="1"/>
      <w:numFmt w:val="decimal"/>
      <w:lvlText w:val="%2."/>
      <w:lvlJc w:val="left"/>
      <w:pPr>
        <w:ind w:left="1440" w:hanging="360"/>
      </w:pPr>
    </w:lvl>
    <w:lvl w:ilvl="2" w:tplc="EEEC7F20">
      <w:start w:val="1"/>
      <w:numFmt w:val="lowerRoman"/>
      <w:lvlText w:val="%3."/>
      <w:lvlJc w:val="right"/>
      <w:pPr>
        <w:ind w:left="2160" w:hanging="180"/>
      </w:pPr>
    </w:lvl>
    <w:lvl w:ilvl="3" w:tplc="7EF85376">
      <w:start w:val="1"/>
      <w:numFmt w:val="decimal"/>
      <w:lvlText w:val="%4."/>
      <w:lvlJc w:val="left"/>
      <w:pPr>
        <w:ind w:left="2880" w:hanging="360"/>
      </w:pPr>
    </w:lvl>
    <w:lvl w:ilvl="4" w:tplc="6218863E">
      <w:start w:val="1"/>
      <w:numFmt w:val="lowerLetter"/>
      <w:lvlText w:val="%5."/>
      <w:lvlJc w:val="left"/>
      <w:pPr>
        <w:ind w:left="3600" w:hanging="360"/>
      </w:pPr>
    </w:lvl>
    <w:lvl w:ilvl="5" w:tplc="6E30A726">
      <w:start w:val="1"/>
      <w:numFmt w:val="lowerRoman"/>
      <w:lvlText w:val="%6."/>
      <w:lvlJc w:val="right"/>
      <w:pPr>
        <w:ind w:left="4320" w:hanging="180"/>
      </w:pPr>
    </w:lvl>
    <w:lvl w:ilvl="6" w:tplc="F37C976E">
      <w:start w:val="1"/>
      <w:numFmt w:val="decimal"/>
      <w:lvlText w:val="%7."/>
      <w:lvlJc w:val="left"/>
      <w:pPr>
        <w:ind w:left="5040" w:hanging="360"/>
      </w:pPr>
    </w:lvl>
    <w:lvl w:ilvl="7" w:tplc="BBE4BF7E">
      <w:start w:val="1"/>
      <w:numFmt w:val="lowerLetter"/>
      <w:lvlText w:val="%8."/>
      <w:lvlJc w:val="left"/>
      <w:pPr>
        <w:ind w:left="5760" w:hanging="360"/>
      </w:pPr>
    </w:lvl>
    <w:lvl w:ilvl="8" w:tplc="C69CC3C0">
      <w:start w:val="1"/>
      <w:numFmt w:val="lowerRoman"/>
      <w:lvlText w:val="%9."/>
      <w:lvlJc w:val="right"/>
      <w:pPr>
        <w:ind w:left="6480" w:hanging="180"/>
      </w:pPr>
    </w:lvl>
  </w:abstractNum>
  <w:abstractNum w:abstractNumId="9" w15:restartNumberingAfterBreak="0">
    <w:nsid w:val="2E1D432B"/>
    <w:multiLevelType w:val="hybridMultilevel"/>
    <w:tmpl w:val="3C3AE81C"/>
    <w:lvl w:ilvl="0" w:tplc="313C1D18">
      <w:start w:val="1"/>
      <w:numFmt w:val="decimal"/>
      <w:lvlText w:val="%1."/>
      <w:lvlJc w:val="left"/>
      <w:pPr>
        <w:ind w:left="720" w:hanging="360"/>
      </w:pPr>
    </w:lvl>
    <w:lvl w:ilvl="1" w:tplc="85CEAFAE">
      <w:start w:val="1"/>
      <w:numFmt w:val="decimal"/>
      <w:lvlText w:val="%2."/>
      <w:lvlJc w:val="left"/>
      <w:pPr>
        <w:ind w:left="1440" w:hanging="360"/>
      </w:pPr>
    </w:lvl>
    <w:lvl w:ilvl="2" w:tplc="1F1846D0">
      <w:start w:val="1"/>
      <w:numFmt w:val="lowerRoman"/>
      <w:lvlText w:val="%3."/>
      <w:lvlJc w:val="right"/>
      <w:pPr>
        <w:ind w:left="2160" w:hanging="180"/>
      </w:pPr>
    </w:lvl>
    <w:lvl w:ilvl="3" w:tplc="F5149D8A">
      <w:start w:val="1"/>
      <w:numFmt w:val="decimal"/>
      <w:lvlText w:val="%4."/>
      <w:lvlJc w:val="left"/>
      <w:pPr>
        <w:ind w:left="2880" w:hanging="360"/>
      </w:pPr>
    </w:lvl>
    <w:lvl w:ilvl="4" w:tplc="43906886">
      <w:start w:val="1"/>
      <w:numFmt w:val="lowerLetter"/>
      <w:lvlText w:val="%5."/>
      <w:lvlJc w:val="left"/>
      <w:pPr>
        <w:ind w:left="3600" w:hanging="360"/>
      </w:pPr>
    </w:lvl>
    <w:lvl w:ilvl="5" w:tplc="60A4E172">
      <w:start w:val="1"/>
      <w:numFmt w:val="lowerRoman"/>
      <w:lvlText w:val="%6."/>
      <w:lvlJc w:val="right"/>
      <w:pPr>
        <w:ind w:left="4320" w:hanging="180"/>
      </w:pPr>
    </w:lvl>
    <w:lvl w:ilvl="6" w:tplc="5C0E178E">
      <w:start w:val="1"/>
      <w:numFmt w:val="decimal"/>
      <w:lvlText w:val="%7."/>
      <w:lvlJc w:val="left"/>
      <w:pPr>
        <w:ind w:left="5040" w:hanging="360"/>
      </w:pPr>
    </w:lvl>
    <w:lvl w:ilvl="7" w:tplc="E95CF4B2">
      <w:start w:val="1"/>
      <w:numFmt w:val="lowerLetter"/>
      <w:lvlText w:val="%8."/>
      <w:lvlJc w:val="left"/>
      <w:pPr>
        <w:ind w:left="5760" w:hanging="360"/>
      </w:pPr>
    </w:lvl>
    <w:lvl w:ilvl="8" w:tplc="F2F4FEA2">
      <w:start w:val="1"/>
      <w:numFmt w:val="lowerRoman"/>
      <w:lvlText w:val="%9."/>
      <w:lvlJc w:val="right"/>
      <w:pPr>
        <w:ind w:left="6480" w:hanging="180"/>
      </w:pPr>
    </w:lvl>
  </w:abstractNum>
  <w:abstractNum w:abstractNumId="10" w15:restartNumberingAfterBreak="0">
    <w:nsid w:val="37213A1B"/>
    <w:multiLevelType w:val="hybridMultilevel"/>
    <w:tmpl w:val="A102623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CF0082"/>
    <w:multiLevelType w:val="hybridMultilevel"/>
    <w:tmpl w:val="58C04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21077D"/>
    <w:multiLevelType w:val="hybridMultilevel"/>
    <w:tmpl w:val="FE36E9C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3" w15:restartNumberingAfterBreak="0">
    <w:nsid w:val="43AD737D"/>
    <w:multiLevelType w:val="hybridMultilevel"/>
    <w:tmpl w:val="BC6E3F84"/>
    <w:lvl w:ilvl="0" w:tplc="F9524F46">
      <w:start w:val="1"/>
      <w:numFmt w:val="decimal"/>
      <w:lvlText w:val="%1."/>
      <w:lvlJc w:val="left"/>
      <w:pPr>
        <w:ind w:left="720" w:hanging="360"/>
      </w:pPr>
    </w:lvl>
    <w:lvl w:ilvl="1" w:tplc="A112D934">
      <w:start w:val="1"/>
      <w:numFmt w:val="decimal"/>
      <w:lvlText w:val="%2."/>
      <w:lvlJc w:val="left"/>
      <w:pPr>
        <w:ind w:left="1440" w:hanging="360"/>
      </w:pPr>
    </w:lvl>
    <w:lvl w:ilvl="2" w:tplc="198689AA">
      <w:start w:val="1"/>
      <w:numFmt w:val="lowerRoman"/>
      <w:lvlText w:val="%3."/>
      <w:lvlJc w:val="right"/>
      <w:pPr>
        <w:ind w:left="2160" w:hanging="180"/>
      </w:pPr>
    </w:lvl>
    <w:lvl w:ilvl="3" w:tplc="A80EC29A">
      <w:start w:val="1"/>
      <w:numFmt w:val="decimal"/>
      <w:lvlText w:val="%4."/>
      <w:lvlJc w:val="left"/>
      <w:pPr>
        <w:ind w:left="2880" w:hanging="360"/>
      </w:pPr>
    </w:lvl>
    <w:lvl w:ilvl="4" w:tplc="2D78A04E">
      <w:start w:val="1"/>
      <w:numFmt w:val="lowerLetter"/>
      <w:lvlText w:val="%5."/>
      <w:lvlJc w:val="left"/>
      <w:pPr>
        <w:ind w:left="3600" w:hanging="360"/>
      </w:pPr>
    </w:lvl>
    <w:lvl w:ilvl="5" w:tplc="4D169B5A">
      <w:start w:val="1"/>
      <w:numFmt w:val="lowerRoman"/>
      <w:lvlText w:val="%6."/>
      <w:lvlJc w:val="right"/>
      <w:pPr>
        <w:ind w:left="4320" w:hanging="180"/>
      </w:pPr>
    </w:lvl>
    <w:lvl w:ilvl="6" w:tplc="41F83962">
      <w:start w:val="1"/>
      <w:numFmt w:val="decimal"/>
      <w:lvlText w:val="%7."/>
      <w:lvlJc w:val="left"/>
      <w:pPr>
        <w:ind w:left="5040" w:hanging="360"/>
      </w:pPr>
    </w:lvl>
    <w:lvl w:ilvl="7" w:tplc="D8B64C70">
      <w:start w:val="1"/>
      <w:numFmt w:val="lowerLetter"/>
      <w:lvlText w:val="%8."/>
      <w:lvlJc w:val="left"/>
      <w:pPr>
        <w:ind w:left="5760" w:hanging="360"/>
      </w:pPr>
    </w:lvl>
    <w:lvl w:ilvl="8" w:tplc="E9AE6CD6">
      <w:start w:val="1"/>
      <w:numFmt w:val="lowerRoman"/>
      <w:lvlText w:val="%9."/>
      <w:lvlJc w:val="right"/>
      <w:pPr>
        <w:ind w:left="6480" w:hanging="180"/>
      </w:pPr>
    </w:lvl>
  </w:abstractNum>
  <w:abstractNum w:abstractNumId="14" w15:restartNumberingAfterBreak="0">
    <w:nsid w:val="45580FDB"/>
    <w:multiLevelType w:val="hybridMultilevel"/>
    <w:tmpl w:val="D4C41970"/>
    <w:lvl w:ilvl="0" w:tplc="3EC6A8FA">
      <w:start w:val="1"/>
      <w:numFmt w:val="decimal"/>
      <w:lvlText w:val="%1."/>
      <w:lvlJc w:val="left"/>
      <w:pPr>
        <w:ind w:left="720" w:hanging="360"/>
      </w:pPr>
    </w:lvl>
    <w:lvl w:ilvl="1" w:tplc="2FB6C132">
      <w:start w:val="1"/>
      <w:numFmt w:val="decimal"/>
      <w:lvlText w:val="%2."/>
      <w:lvlJc w:val="left"/>
      <w:pPr>
        <w:ind w:left="1440" w:hanging="360"/>
      </w:pPr>
    </w:lvl>
    <w:lvl w:ilvl="2" w:tplc="4F7A4ADC">
      <w:start w:val="1"/>
      <w:numFmt w:val="lowerRoman"/>
      <w:lvlText w:val="%3."/>
      <w:lvlJc w:val="right"/>
      <w:pPr>
        <w:ind w:left="2160" w:hanging="180"/>
      </w:pPr>
    </w:lvl>
    <w:lvl w:ilvl="3" w:tplc="59C41958">
      <w:start w:val="1"/>
      <w:numFmt w:val="decimal"/>
      <w:lvlText w:val="%4."/>
      <w:lvlJc w:val="left"/>
      <w:pPr>
        <w:ind w:left="2880" w:hanging="360"/>
      </w:pPr>
    </w:lvl>
    <w:lvl w:ilvl="4" w:tplc="C88AD174">
      <w:start w:val="1"/>
      <w:numFmt w:val="lowerLetter"/>
      <w:lvlText w:val="%5."/>
      <w:lvlJc w:val="left"/>
      <w:pPr>
        <w:ind w:left="3600" w:hanging="360"/>
      </w:pPr>
    </w:lvl>
    <w:lvl w:ilvl="5" w:tplc="CEF8B3AE">
      <w:start w:val="1"/>
      <w:numFmt w:val="lowerRoman"/>
      <w:lvlText w:val="%6."/>
      <w:lvlJc w:val="right"/>
      <w:pPr>
        <w:ind w:left="4320" w:hanging="180"/>
      </w:pPr>
    </w:lvl>
    <w:lvl w:ilvl="6" w:tplc="AC26CC3E">
      <w:start w:val="1"/>
      <w:numFmt w:val="decimal"/>
      <w:lvlText w:val="%7."/>
      <w:lvlJc w:val="left"/>
      <w:pPr>
        <w:ind w:left="5040" w:hanging="360"/>
      </w:pPr>
    </w:lvl>
    <w:lvl w:ilvl="7" w:tplc="14BE2C26">
      <w:start w:val="1"/>
      <w:numFmt w:val="lowerLetter"/>
      <w:lvlText w:val="%8."/>
      <w:lvlJc w:val="left"/>
      <w:pPr>
        <w:ind w:left="5760" w:hanging="360"/>
      </w:pPr>
    </w:lvl>
    <w:lvl w:ilvl="8" w:tplc="F92810D0">
      <w:start w:val="1"/>
      <w:numFmt w:val="lowerRoman"/>
      <w:lvlText w:val="%9."/>
      <w:lvlJc w:val="right"/>
      <w:pPr>
        <w:ind w:left="6480" w:hanging="180"/>
      </w:pPr>
    </w:lvl>
  </w:abstractNum>
  <w:abstractNum w:abstractNumId="15" w15:restartNumberingAfterBreak="0">
    <w:nsid w:val="4EFD0C29"/>
    <w:multiLevelType w:val="hybridMultilevel"/>
    <w:tmpl w:val="71F681EE"/>
    <w:lvl w:ilvl="0" w:tplc="11BCB9CC">
      <w:start w:val="1"/>
      <w:numFmt w:val="decimal"/>
      <w:lvlText w:val="%1."/>
      <w:lvlJc w:val="left"/>
      <w:pPr>
        <w:ind w:left="720" w:hanging="360"/>
      </w:pPr>
    </w:lvl>
    <w:lvl w:ilvl="1" w:tplc="7300658C">
      <w:start w:val="1"/>
      <w:numFmt w:val="lowerLetter"/>
      <w:lvlText w:val="%2."/>
      <w:lvlJc w:val="left"/>
      <w:pPr>
        <w:ind w:left="1440" w:hanging="360"/>
      </w:pPr>
    </w:lvl>
    <w:lvl w:ilvl="2" w:tplc="2974941E">
      <w:start w:val="1"/>
      <w:numFmt w:val="lowerRoman"/>
      <w:lvlText w:val="%3."/>
      <w:lvlJc w:val="right"/>
      <w:pPr>
        <w:ind w:left="2160" w:hanging="180"/>
      </w:pPr>
    </w:lvl>
    <w:lvl w:ilvl="3" w:tplc="B3B00C88">
      <w:start w:val="1"/>
      <w:numFmt w:val="decimal"/>
      <w:lvlText w:val="%4."/>
      <w:lvlJc w:val="left"/>
      <w:pPr>
        <w:ind w:left="2880" w:hanging="360"/>
      </w:pPr>
    </w:lvl>
    <w:lvl w:ilvl="4" w:tplc="14569C42">
      <w:start w:val="1"/>
      <w:numFmt w:val="lowerLetter"/>
      <w:lvlText w:val="%5."/>
      <w:lvlJc w:val="left"/>
      <w:pPr>
        <w:ind w:left="3600" w:hanging="360"/>
      </w:pPr>
    </w:lvl>
    <w:lvl w:ilvl="5" w:tplc="2AFA043C">
      <w:start w:val="1"/>
      <w:numFmt w:val="lowerRoman"/>
      <w:lvlText w:val="%6."/>
      <w:lvlJc w:val="right"/>
      <w:pPr>
        <w:ind w:left="4320" w:hanging="180"/>
      </w:pPr>
    </w:lvl>
    <w:lvl w:ilvl="6" w:tplc="C6E02A86">
      <w:start w:val="1"/>
      <w:numFmt w:val="decimal"/>
      <w:lvlText w:val="%7."/>
      <w:lvlJc w:val="left"/>
      <w:pPr>
        <w:ind w:left="5040" w:hanging="360"/>
      </w:pPr>
    </w:lvl>
    <w:lvl w:ilvl="7" w:tplc="BF48DC72">
      <w:start w:val="1"/>
      <w:numFmt w:val="lowerLetter"/>
      <w:lvlText w:val="%8."/>
      <w:lvlJc w:val="left"/>
      <w:pPr>
        <w:ind w:left="5760" w:hanging="360"/>
      </w:pPr>
    </w:lvl>
    <w:lvl w:ilvl="8" w:tplc="B83C4B68">
      <w:start w:val="1"/>
      <w:numFmt w:val="lowerRoman"/>
      <w:lvlText w:val="%9."/>
      <w:lvlJc w:val="right"/>
      <w:pPr>
        <w:ind w:left="6480" w:hanging="180"/>
      </w:pPr>
    </w:lvl>
  </w:abstractNum>
  <w:abstractNum w:abstractNumId="16" w15:restartNumberingAfterBreak="0">
    <w:nsid w:val="54FA5315"/>
    <w:multiLevelType w:val="hybridMultilevel"/>
    <w:tmpl w:val="45484052"/>
    <w:lvl w:ilvl="0" w:tplc="0D0E19EC">
      <w:start w:val="1"/>
      <w:numFmt w:val="decimal"/>
      <w:lvlText w:val="%1."/>
      <w:lvlJc w:val="left"/>
      <w:pPr>
        <w:ind w:left="720" w:hanging="360"/>
      </w:pPr>
    </w:lvl>
    <w:lvl w:ilvl="1" w:tplc="F06ABB28">
      <w:start w:val="1"/>
      <w:numFmt w:val="decimal"/>
      <w:lvlText w:val="%2."/>
      <w:lvlJc w:val="left"/>
      <w:pPr>
        <w:ind w:left="1440" w:hanging="360"/>
      </w:pPr>
    </w:lvl>
    <w:lvl w:ilvl="2" w:tplc="9DC07D80">
      <w:start w:val="1"/>
      <w:numFmt w:val="lowerRoman"/>
      <w:lvlText w:val="%3."/>
      <w:lvlJc w:val="right"/>
      <w:pPr>
        <w:ind w:left="2160" w:hanging="180"/>
      </w:pPr>
    </w:lvl>
    <w:lvl w:ilvl="3" w:tplc="FCDAD71A">
      <w:start w:val="1"/>
      <w:numFmt w:val="decimal"/>
      <w:lvlText w:val="%4."/>
      <w:lvlJc w:val="left"/>
      <w:pPr>
        <w:ind w:left="2880" w:hanging="360"/>
      </w:pPr>
    </w:lvl>
    <w:lvl w:ilvl="4" w:tplc="7C9609F2">
      <w:start w:val="1"/>
      <w:numFmt w:val="lowerLetter"/>
      <w:lvlText w:val="%5."/>
      <w:lvlJc w:val="left"/>
      <w:pPr>
        <w:ind w:left="3600" w:hanging="360"/>
      </w:pPr>
    </w:lvl>
    <w:lvl w:ilvl="5" w:tplc="D7F205F8">
      <w:start w:val="1"/>
      <w:numFmt w:val="lowerRoman"/>
      <w:lvlText w:val="%6."/>
      <w:lvlJc w:val="right"/>
      <w:pPr>
        <w:ind w:left="4320" w:hanging="180"/>
      </w:pPr>
    </w:lvl>
    <w:lvl w:ilvl="6" w:tplc="5B121C88">
      <w:start w:val="1"/>
      <w:numFmt w:val="decimal"/>
      <w:lvlText w:val="%7."/>
      <w:lvlJc w:val="left"/>
      <w:pPr>
        <w:ind w:left="5040" w:hanging="360"/>
      </w:pPr>
    </w:lvl>
    <w:lvl w:ilvl="7" w:tplc="D2B2A672">
      <w:start w:val="1"/>
      <w:numFmt w:val="lowerLetter"/>
      <w:lvlText w:val="%8."/>
      <w:lvlJc w:val="left"/>
      <w:pPr>
        <w:ind w:left="5760" w:hanging="360"/>
      </w:pPr>
    </w:lvl>
    <w:lvl w:ilvl="8" w:tplc="CC94E670">
      <w:start w:val="1"/>
      <w:numFmt w:val="lowerRoman"/>
      <w:lvlText w:val="%9."/>
      <w:lvlJc w:val="right"/>
      <w:pPr>
        <w:ind w:left="6480" w:hanging="180"/>
      </w:pPr>
    </w:lvl>
  </w:abstractNum>
  <w:abstractNum w:abstractNumId="17"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8D10498"/>
    <w:multiLevelType w:val="hybridMultilevel"/>
    <w:tmpl w:val="DDEC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3C15F3"/>
    <w:multiLevelType w:val="hybridMultilevel"/>
    <w:tmpl w:val="5A7CE4CC"/>
    <w:lvl w:ilvl="0" w:tplc="23F4C31E">
      <w:start w:val="1"/>
      <w:numFmt w:val="decimal"/>
      <w:lvlText w:val="%1."/>
      <w:lvlJc w:val="left"/>
      <w:pPr>
        <w:ind w:left="720" w:hanging="360"/>
      </w:pPr>
    </w:lvl>
    <w:lvl w:ilvl="1" w:tplc="E2FA3F32">
      <w:start w:val="1"/>
      <w:numFmt w:val="lowerLetter"/>
      <w:lvlText w:val="%2."/>
      <w:lvlJc w:val="left"/>
      <w:pPr>
        <w:ind w:left="1440" w:hanging="360"/>
      </w:pPr>
    </w:lvl>
    <w:lvl w:ilvl="2" w:tplc="D2D24AE6">
      <w:start w:val="1"/>
      <w:numFmt w:val="lowerRoman"/>
      <w:lvlText w:val="%3."/>
      <w:lvlJc w:val="right"/>
      <w:pPr>
        <w:ind w:left="2160" w:hanging="180"/>
      </w:pPr>
    </w:lvl>
    <w:lvl w:ilvl="3" w:tplc="B596C9A8">
      <w:start w:val="1"/>
      <w:numFmt w:val="decimal"/>
      <w:lvlText w:val="%4."/>
      <w:lvlJc w:val="left"/>
      <w:pPr>
        <w:ind w:left="2880" w:hanging="360"/>
      </w:pPr>
    </w:lvl>
    <w:lvl w:ilvl="4" w:tplc="E8967964">
      <w:start w:val="1"/>
      <w:numFmt w:val="lowerLetter"/>
      <w:lvlText w:val="%5."/>
      <w:lvlJc w:val="left"/>
      <w:pPr>
        <w:ind w:left="3600" w:hanging="360"/>
      </w:pPr>
    </w:lvl>
    <w:lvl w:ilvl="5" w:tplc="92DCAFEC">
      <w:start w:val="1"/>
      <w:numFmt w:val="lowerRoman"/>
      <w:lvlText w:val="%6."/>
      <w:lvlJc w:val="right"/>
      <w:pPr>
        <w:ind w:left="4320" w:hanging="180"/>
      </w:pPr>
    </w:lvl>
    <w:lvl w:ilvl="6" w:tplc="60AE7CA8">
      <w:start w:val="1"/>
      <w:numFmt w:val="decimal"/>
      <w:lvlText w:val="%7."/>
      <w:lvlJc w:val="left"/>
      <w:pPr>
        <w:ind w:left="5040" w:hanging="360"/>
      </w:pPr>
    </w:lvl>
    <w:lvl w:ilvl="7" w:tplc="CC9E49AA">
      <w:start w:val="1"/>
      <w:numFmt w:val="lowerLetter"/>
      <w:lvlText w:val="%8."/>
      <w:lvlJc w:val="left"/>
      <w:pPr>
        <w:ind w:left="5760" w:hanging="360"/>
      </w:pPr>
    </w:lvl>
    <w:lvl w:ilvl="8" w:tplc="8FBA4798">
      <w:start w:val="1"/>
      <w:numFmt w:val="lowerRoman"/>
      <w:lvlText w:val="%9."/>
      <w:lvlJc w:val="right"/>
      <w:pPr>
        <w:ind w:left="6480" w:hanging="180"/>
      </w:pPr>
    </w:lvl>
  </w:abstractNum>
  <w:abstractNum w:abstractNumId="20" w15:restartNumberingAfterBreak="0">
    <w:nsid w:val="64B66A6F"/>
    <w:multiLevelType w:val="hybridMultilevel"/>
    <w:tmpl w:val="0220F42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1" w15:restartNumberingAfterBreak="0">
    <w:nsid w:val="650D74FA"/>
    <w:multiLevelType w:val="hybridMultilevel"/>
    <w:tmpl w:val="CF569FAE"/>
    <w:lvl w:ilvl="0" w:tplc="7F64A870">
      <w:start w:val="1"/>
      <w:numFmt w:val="decimal"/>
      <w:lvlText w:val="%1."/>
      <w:lvlJc w:val="left"/>
      <w:pPr>
        <w:ind w:left="720" w:hanging="360"/>
      </w:pPr>
    </w:lvl>
    <w:lvl w:ilvl="1" w:tplc="3D38F83C">
      <w:start w:val="1"/>
      <w:numFmt w:val="decimal"/>
      <w:lvlText w:val="%2."/>
      <w:lvlJc w:val="left"/>
      <w:pPr>
        <w:ind w:left="1440" w:hanging="360"/>
      </w:pPr>
    </w:lvl>
    <w:lvl w:ilvl="2" w:tplc="9BC098CE">
      <w:start w:val="1"/>
      <w:numFmt w:val="lowerRoman"/>
      <w:lvlText w:val="%3."/>
      <w:lvlJc w:val="right"/>
      <w:pPr>
        <w:ind w:left="2160" w:hanging="180"/>
      </w:pPr>
    </w:lvl>
    <w:lvl w:ilvl="3" w:tplc="8D14A332">
      <w:start w:val="1"/>
      <w:numFmt w:val="decimal"/>
      <w:lvlText w:val="%4."/>
      <w:lvlJc w:val="left"/>
      <w:pPr>
        <w:ind w:left="2880" w:hanging="360"/>
      </w:pPr>
    </w:lvl>
    <w:lvl w:ilvl="4" w:tplc="41CA50F4">
      <w:start w:val="1"/>
      <w:numFmt w:val="lowerLetter"/>
      <w:lvlText w:val="%5."/>
      <w:lvlJc w:val="left"/>
      <w:pPr>
        <w:ind w:left="3600" w:hanging="360"/>
      </w:pPr>
    </w:lvl>
    <w:lvl w:ilvl="5" w:tplc="159A211A">
      <w:start w:val="1"/>
      <w:numFmt w:val="lowerRoman"/>
      <w:lvlText w:val="%6."/>
      <w:lvlJc w:val="right"/>
      <w:pPr>
        <w:ind w:left="4320" w:hanging="180"/>
      </w:pPr>
    </w:lvl>
    <w:lvl w:ilvl="6" w:tplc="4B72DB8A">
      <w:start w:val="1"/>
      <w:numFmt w:val="decimal"/>
      <w:lvlText w:val="%7."/>
      <w:lvlJc w:val="left"/>
      <w:pPr>
        <w:ind w:left="5040" w:hanging="360"/>
      </w:pPr>
    </w:lvl>
    <w:lvl w:ilvl="7" w:tplc="D764C548">
      <w:start w:val="1"/>
      <w:numFmt w:val="lowerLetter"/>
      <w:lvlText w:val="%8."/>
      <w:lvlJc w:val="left"/>
      <w:pPr>
        <w:ind w:left="5760" w:hanging="360"/>
      </w:pPr>
    </w:lvl>
    <w:lvl w:ilvl="8" w:tplc="CD446784">
      <w:start w:val="1"/>
      <w:numFmt w:val="lowerRoman"/>
      <w:lvlText w:val="%9."/>
      <w:lvlJc w:val="right"/>
      <w:pPr>
        <w:ind w:left="6480" w:hanging="180"/>
      </w:pPr>
    </w:lvl>
  </w:abstractNum>
  <w:abstractNum w:abstractNumId="22" w15:restartNumberingAfterBreak="0">
    <w:nsid w:val="6AD2356B"/>
    <w:multiLevelType w:val="hybridMultilevel"/>
    <w:tmpl w:val="0DACEC5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3" w15:restartNumberingAfterBreak="0">
    <w:nsid w:val="6CE7212D"/>
    <w:multiLevelType w:val="hybridMultilevel"/>
    <w:tmpl w:val="FB10223A"/>
    <w:lvl w:ilvl="0" w:tplc="97AC2996">
      <w:start w:val="1"/>
      <w:numFmt w:val="decimal"/>
      <w:lvlText w:val="%1."/>
      <w:lvlJc w:val="left"/>
      <w:pPr>
        <w:ind w:left="720" w:hanging="360"/>
      </w:pPr>
    </w:lvl>
    <w:lvl w:ilvl="1" w:tplc="BFA23F7C">
      <w:start w:val="1"/>
      <w:numFmt w:val="decimal"/>
      <w:lvlText w:val="%2."/>
      <w:lvlJc w:val="left"/>
      <w:pPr>
        <w:ind w:left="1440" w:hanging="360"/>
      </w:pPr>
    </w:lvl>
    <w:lvl w:ilvl="2" w:tplc="DEB442CC">
      <w:start w:val="1"/>
      <w:numFmt w:val="lowerRoman"/>
      <w:lvlText w:val="%3."/>
      <w:lvlJc w:val="right"/>
      <w:pPr>
        <w:ind w:left="2160" w:hanging="180"/>
      </w:pPr>
    </w:lvl>
    <w:lvl w:ilvl="3" w:tplc="EFB46756">
      <w:start w:val="1"/>
      <w:numFmt w:val="decimal"/>
      <w:lvlText w:val="%4."/>
      <w:lvlJc w:val="left"/>
      <w:pPr>
        <w:ind w:left="2880" w:hanging="360"/>
      </w:pPr>
    </w:lvl>
    <w:lvl w:ilvl="4" w:tplc="C75A7746">
      <w:start w:val="1"/>
      <w:numFmt w:val="lowerLetter"/>
      <w:lvlText w:val="%5."/>
      <w:lvlJc w:val="left"/>
      <w:pPr>
        <w:ind w:left="3600" w:hanging="360"/>
      </w:pPr>
    </w:lvl>
    <w:lvl w:ilvl="5" w:tplc="164CB1F4">
      <w:start w:val="1"/>
      <w:numFmt w:val="lowerRoman"/>
      <w:lvlText w:val="%6."/>
      <w:lvlJc w:val="right"/>
      <w:pPr>
        <w:ind w:left="4320" w:hanging="180"/>
      </w:pPr>
    </w:lvl>
    <w:lvl w:ilvl="6" w:tplc="5D1A4216">
      <w:start w:val="1"/>
      <w:numFmt w:val="decimal"/>
      <w:lvlText w:val="%7."/>
      <w:lvlJc w:val="left"/>
      <w:pPr>
        <w:ind w:left="5040" w:hanging="360"/>
      </w:pPr>
    </w:lvl>
    <w:lvl w:ilvl="7" w:tplc="9BBE58F2">
      <w:start w:val="1"/>
      <w:numFmt w:val="lowerLetter"/>
      <w:lvlText w:val="%8."/>
      <w:lvlJc w:val="left"/>
      <w:pPr>
        <w:ind w:left="5760" w:hanging="360"/>
      </w:pPr>
    </w:lvl>
    <w:lvl w:ilvl="8" w:tplc="D6B8D5B8">
      <w:start w:val="1"/>
      <w:numFmt w:val="lowerRoman"/>
      <w:lvlText w:val="%9."/>
      <w:lvlJc w:val="right"/>
      <w:pPr>
        <w:ind w:left="6480" w:hanging="180"/>
      </w:pPr>
    </w:lvl>
  </w:abstractNum>
  <w:abstractNum w:abstractNumId="24" w15:restartNumberingAfterBreak="0">
    <w:nsid w:val="6FA13B3B"/>
    <w:multiLevelType w:val="hybridMultilevel"/>
    <w:tmpl w:val="F29C14C2"/>
    <w:lvl w:ilvl="0" w:tplc="993054E0">
      <w:start w:val="1"/>
      <w:numFmt w:val="decimal"/>
      <w:lvlText w:val="%1."/>
      <w:lvlJc w:val="left"/>
      <w:pPr>
        <w:ind w:left="720" w:hanging="360"/>
      </w:pPr>
    </w:lvl>
    <w:lvl w:ilvl="1" w:tplc="67CC94C4">
      <w:start w:val="1"/>
      <w:numFmt w:val="decimal"/>
      <w:lvlText w:val="%2."/>
      <w:lvlJc w:val="left"/>
      <w:pPr>
        <w:ind w:left="1440" w:hanging="360"/>
      </w:pPr>
    </w:lvl>
    <w:lvl w:ilvl="2" w:tplc="A10CE896">
      <w:start w:val="1"/>
      <w:numFmt w:val="lowerRoman"/>
      <w:lvlText w:val="%3."/>
      <w:lvlJc w:val="right"/>
      <w:pPr>
        <w:ind w:left="2160" w:hanging="180"/>
      </w:pPr>
    </w:lvl>
    <w:lvl w:ilvl="3" w:tplc="668693FE">
      <w:start w:val="1"/>
      <w:numFmt w:val="decimal"/>
      <w:lvlText w:val="%4."/>
      <w:lvlJc w:val="left"/>
      <w:pPr>
        <w:ind w:left="2880" w:hanging="360"/>
      </w:pPr>
    </w:lvl>
    <w:lvl w:ilvl="4" w:tplc="245C5616">
      <w:start w:val="1"/>
      <w:numFmt w:val="lowerLetter"/>
      <w:lvlText w:val="%5."/>
      <w:lvlJc w:val="left"/>
      <w:pPr>
        <w:ind w:left="3600" w:hanging="360"/>
      </w:pPr>
    </w:lvl>
    <w:lvl w:ilvl="5" w:tplc="13167D7C">
      <w:start w:val="1"/>
      <w:numFmt w:val="lowerRoman"/>
      <w:lvlText w:val="%6."/>
      <w:lvlJc w:val="right"/>
      <w:pPr>
        <w:ind w:left="4320" w:hanging="180"/>
      </w:pPr>
    </w:lvl>
    <w:lvl w:ilvl="6" w:tplc="5CE0616A">
      <w:start w:val="1"/>
      <w:numFmt w:val="decimal"/>
      <w:lvlText w:val="%7."/>
      <w:lvlJc w:val="left"/>
      <w:pPr>
        <w:ind w:left="5040" w:hanging="360"/>
      </w:pPr>
    </w:lvl>
    <w:lvl w:ilvl="7" w:tplc="BC78C64C">
      <w:start w:val="1"/>
      <w:numFmt w:val="lowerLetter"/>
      <w:lvlText w:val="%8."/>
      <w:lvlJc w:val="left"/>
      <w:pPr>
        <w:ind w:left="5760" w:hanging="360"/>
      </w:pPr>
    </w:lvl>
    <w:lvl w:ilvl="8" w:tplc="06507B46">
      <w:start w:val="1"/>
      <w:numFmt w:val="lowerRoman"/>
      <w:lvlText w:val="%9."/>
      <w:lvlJc w:val="right"/>
      <w:pPr>
        <w:ind w:left="6480" w:hanging="180"/>
      </w:pPr>
    </w:lvl>
  </w:abstractNum>
  <w:abstractNum w:abstractNumId="25" w15:restartNumberingAfterBreak="0">
    <w:nsid w:val="70BB089D"/>
    <w:multiLevelType w:val="hybridMultilevel"/>
    <w:tmpl w:val="A23A166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FB06B2"/>
    <w:multiLevelType w:val="hybridMultilevel"/>
    <w:tmpl w:val="115C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23"/>
  </w:num>
  <w:num w:numId="5">
    <w:abstractNumId w:val="14"/>
  </w:num>
  <w:num w:numId="6">
    <w:abstractNumId w:val="8"/>
  </w:num>
  <w:num w:numId="7">
    <w:abstractNumId w:val="7"/>
  </w:num>
  <w:num w:numId="8">
    <w:abstractNumId w:val="13"/>
  </w:num>
  <w:num w:numId="9">
    <w:abstractNumId w:val="21"/>
  </w:num>
  <w:num w:numId="10">
    <w:abstractNumId w:val="15"/>
  </w:num>
  <w:num w:numId="11">
    <w:abstractNumId w:val="9"/>
  </w:num>
  <w:num w:numId="12">
    <w:abstractNumId w:val="6"/>
  </w:num>
  <w:num w:numId="13">
    <w:abstractNumId w:val="16"/>
  </w:num>
  <w:num w:numId="14">
    <w:abstractNumId w:val="24"/>
  </w:num>
  <w:num w:numId="15">
    <w:abstractNumId w:val="19"/>
  </w:num>
  <w:num w:numId="16">
    <w:abstractNumId w:val="17"/>
  </w:num>
  <w:num w:numId="17">
    <w:abstractNumId w:val="26"/>
  </w:num>
  <w:num w:numId="18">
    <w:abstractNumId w:val="18"/>
  </w:num>
  <w:num w:numId="19">
    <w:abstractNumId w:val="12"/>
  </w:num>
  <w:num w:numId="20">
    <w:abstractNumId w:val="1"/>
  </w:num>
  <w:num w:numId="21">
    <w:abstractNumId w:val="11"/>
  </w:num>
  <w:num w:numId="22">
    <w:abstractNumId w:val="22"/>
  </w:num>
  <w:num w:numId="23">
    <w:abstractNumId w:val="20"/>
  </w:num>
  <w:num w:numId="24">
    <w:abstractNumId w:val="27"/>
  </w:num>
  <w:num w:numId="25">
    <w:abstractNumId w:val="25"/>
  </w:num>
  <w:num w:numId="26">
    <w:abstractNumId w:val="17"/>
  </w:num>
  <w:num w:numId="27">
    <w:abstractNumId w:val="5"/>
  </w:num>
  <w:num w:numId="28">
    <w:abstractNumId w:val="4"/>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5"/>
  </w:num>
  <w:num w:numId="41">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hyphenationZone w:val="425"/>
  <w:doNotHyphenateCaps/>
  <w:evenAndOddHeaders/>
  <w:drawingGridHorizontalSpacing w:val="100"/>
  <w:displayHorizontalDrawingGridEvery w:val="2"/>
  <w:characterSpacingControl w:val="doNotCompress"/>
  <w:doNotValidateAgainstSchema/>
  <w:doNotDemarcateInvalidXml/>
  <w:hdrShapeDefaults>
    <o:shapedefaults v:ext="edit" spidmax="2049"/>
  </w:hdrShapeDefaults>
  <w:footnotePr>
    <w:numRestart w:val="eachSect"/>
    <w:footnote w:id="-1"/>
    <w:footnote w:id="0"/>
  </w:footnotePr>
  <w:endnotePr>
    <w:numFmt w:val="decimal"/>
    <w:numStart w:val="7"/>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zMLIwNjawsDQxNDVX0lEKTi0uzszPAykwrQUAQD05oCwAAAA="/>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556CB5F8-0802-465B-8588-544A6853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link w:val="Heading1Char"/>
    <w:qFormat/>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pPr>
      <w:keepNext/>
      <w:jc w:val="center"/>
      <w:outlineLvl w:val="1"/>
    </w:pPr>
    <w:rPr>
      <w:rFonts w:ascii="Arial" w:hAnsi="Arial"/>
      <w:b/>
      <w:sz w:val="28"/>
    </w:rPr>
  </w:style>
  <w:style w:type="paragraph" w:styleId="Heading4">
    <w:name w:val="heading 4"/>
    <w:basedOn w:val="Normal"/>
    <w:next w:val="Normal"/>
    <w:link w:val="Heading4Char"/>
    <w:qFormat/>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rPr>
      <w:rFonts w:ascii="Courier" w:hAnsi="Courier"/>
      <w:sz w:val="22"/>
      <w:lang w:val="x-none" w:eastAsia="x-none"/>
    </w:rPr>
  </w:style>
  <w:style w:type="paragraph" w:styleId="FootnoteText">
    <w:name w:val="footnote text"/>
    <w:basedOn w:val="Normal"/>
    <w:link w:val="FootnoteTextChar"/>
    <w:uiPriority w:val="99"/>
    <w:semiHidden/>
    <w:pPr>
      <w:widowControl w:val="0"/>
    </w:pPr>
    <w:rPr>
      <w:rFonts w:ascii="Courier" w:hAnsi="Courier"/>
    </w:rPr>
  </w:style>
  <w:style w:type="paragraph" w:styleId="Subtitle">
    <w:name w:val="Subtitle"/>
    <w:basedOn w:val="Normal"/>
    <w:link w:val="SubtitleChar"/>
    <w:qFormat/>
    <w:pPr>
      <w:spacing w:after="60"/>
      <w:jc w:val="center"/>
      <w:outlineLvl w:val="1"/>
    </w:pPr>
    <w:rPr>
      <w:rFonts w:ascii="Arial" w:hAnsi="Arial" w:cs="Arial"/>
      <w:sz w:val="24"/>
      <w:szCs w:val="24"/>
    </w:rPr>
  </w:style>
  <w:style w:type="character" w:styleId="FootnoteReference">
    <w:name w:val="footnote reference"/>
    <w:semiHidden/>
    <w:rPr>
      <w:rFonts w:cs="Times New Roman"/>
      <w:vertAlign w:val="superscript"/>
    </w:rPr>
  </w:style>
  <w:style w:type="paragraph" w:styleId="Footer">
    <w:name w:val="footer"/>
    <w:basedOn w:val="Normal"/>
    <w:link w:val="FooterChar"/>
    <w:pPr>
      <w:tabs>
        <w:tab w:val="center" w:pos="4320"/>
        <w:tab w:val="right" w:pos="8640"/>
      </w:tabs>
    </w:pPr>
    <w:rPr>
      <w:lang w:val="x-none" w:eastAsia="x-none"/>
    </w:rPr>
  </w:style>
  <w:style w:type="paragraph" w:customStyle="1" w:styleId="HCh">
    <w:name w:val="_ H _Ch"/>
    <w:basedOn w:val="Normal"/>
    <w:next w:val="Normal"/>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Pr>
      <w:rFonts w:ascii="Tahoma" w:hAnsi="Tahoma" w:cs="Tahoma"/>
      <w:sz w:val="16"/>
      <w:szCs w:val="16"/>
    </w:rPr>
  </w:style>
  <w:style w:type="character" w:styleId="Hyperlink">
    <w:name w:val="Hyperlink"/>
    <w:rPr>
      <w:rFonts w:cs="Times New Roman"/>
      <w:color w:val="336699"/>
      <w:u w:val="none"/>
      <w:effect w:val="none"/>
    </w:rPr>
  </w:style>
  <w:style w:type="paragraph" w:styleId="ListParagraph">
    <w:name w:val="List Paragraph"/>
    <w:aliases w:val="List Paragraph (numbered (a))"/>
    <w:basedOn w:val="Normal"/>
    <w:link w:val="ListParagraphChar"/>
    <w:uiPriority w:val="34"/>
    <w:qFormat/>
    <w:pPr>
      <w:ind w:left="720"/>
    </w:pPr>
  </w:style>
  <w:style w:type="paragraph" w:styleId="DocumentMap">
    <w:name w:val="Document Map"/>
    <w:basedOn w:val="Normal"/>
    <w:link w:val="DocumentMapChar"/>
    <w:semiHidden/>
    <w:rPr>
      <w:rFonts w:ascii="Tahoma" w:hAnsi="Tahoma"/>
      <w:sz w:val="16"/>
      <w:szCs w:val="16"/>
      <w:lang w:val="x-none" w:eastAsia="x-none"/>
    </w:rPr>
  </w:style>
  <w:style w:type="character" w:customStyle="1" w:styleId="DocumentMapChar">
    <w:name w:val="Document Map Char"/>
    <w:link w:val="DocumentMap"/>
    <w:locked/>
    <w:rPr>
      <w:rFonts w:ascii="Tahoma" w:hAnsi="Tahoma" w:cs="Tahoma"/>
      <w:sz w:val="16"/>
      <w:szCs w:val="16"/>
    </w:rPr>
  </w:style>
  <w:style w:type="character" w:styleId="CommentReference">
    <w:name w:val="annotation reference"/>
    <w:semiHidden/>
    <w:rPr>
      <w:rFonts w:cs="Times New Roman"/>
      <w:sz w:val="6"/>
      <w:szCs w:val="6"/>
    </w:rPr>
  </w:style>
  <w:style w:type="character" w:customStyle="1" w:styleId="FooterChar">
    <w:name w:val="Footer Char"/>
    <w:link w:val="Footer"/>
    <w:locked/>
    <w:rPr>
      <w:rFonts w:cs="Times New Roman"/>
    </w:rPr>
  </w:style>
  <w:style w:type="paragraph" w:styleId="CommentText">
    <w:name w:val="annotation text"/>
    <w:basedOn w:val="Normal"/>
    <w:link w:val="CommentTextCha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character" w:customStyle="1" w:styleId="Heading1Char">
    <w:name w:val="Heading 1 Char"/>
    <w:link w:val="Heading1"/>
    <w:rPr>
      <w:rFonts w:ascii="Courier" w:hAnsi="Courier"/>
      <w:b/>
      <w:spacing w:val="-3"/>
      <w:sz w:val="28"/>
    </w:rPr>
  </w:style>
  <w:style w:type="character" w:customStyle="1" w:styleId="HeaderChar">
    <w:name w:val="Header Char"/>
    <w:link w:val="Header"/>
    <w:uiPriority w:val="99"/>
    <w:rPr>
      <w:rFonts w:ascii="Courier" w:hAnsi="Courier"/>
      <w:sz w:val="22"/>
    </w:rPr>
  </w:style>
  <w:style w:type="character" w:styleId="PageNumber">
    <w:name w:val="page number"/>
    <w:basedOn w:val="DefaultParagraphFont"/>
    <w:semiHidden/>
  </w:style>
  <w:style w:type="character" w:customStyle="1" w:styleId="SubtitleChar">
    <w:name w:val="Subtitle Char"/>
    <w:basedOn w:val="DefaultParagraphFont"/>
    <w:link w:val="Subtitle"/>
    <w:rPr>
      <w:rFonts w:ascii="Arial" w:hAnsi="Arial" w:cs="Arial"/>
      <w:sz w:val="24"/>
      <w:szCs w:val="24"/>
      <w:lang w:val="en-US" w:eastAsia="en-US"/>
    </w:rPr>
  </w:style>
  <w:style w:type="paragraph" w:styleId="BodyText">
    <w:name w:val="Body Text"/>
    <w:basedOn w:val="Normal"/>
    <w:link w:val="BodyTextChar"/>
    <w:semiHidden/>
    <w:rPr>
      <w:b/>
      <w:bCs/>
      <w:sz w:val="24"/>
    </w:rPr>
  </w:style>
  <w:style w:type="character" w:customStyle="1" w:styleId="BodyTextChar">
    <w:name w:val="Body Text Char"/>
    <w:basedOn w:val="DefaultParagraphFont"/>
    <w:link w:val="BodyText"/>
    <w:semiHidden/>
    <w:rPr>
      <w:b/>
      <w:bCs/>
      <w:sz w:val="24"/>
      <w:lang w:val="en-US" w:eastAsia="en-US"/>
    </w:rPr>
  </w:style>
  <w:style w:type="paragraph" w:styleId="BodyText2">
    <w:name w:val="Body Text 2"/>
    <w:basedOn w:val="Normal"/>
    <w:link w:val="BodyText2Char"/>
    <w:semiHidden/>
    <w:rPr>
      <w:sz w:val="24"/>
    </w:rPr>
  </w:style>
  <w:style w:type="character" w:customStyle="1" w:styleId="BodyText2Char">
    <w:name w:val="Body Text 2 Char"/>
    <w:basedOn w:val="DefaultParagraphFont"/>
    <w:link w:val="BodyText2"/>
    <w:semiHidden/>
    <w:rPr>
      <w:sz w:val="24"/>
      <w:lang w:val="en-US" w:eastAsia="en-US"/>
    </w:rPr>
  </w:style>
  <w:style w:type="paragraph" w:styleId="BodyText3">
    <w:name w:val="Body Text 3"/>
    <w:basedOn w:val="Normal"/>
    <w:link w:val="BodyText3Char"/>
    <w:semiHidden/>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Pr>
      <w:sz w:val="24"/>
      <w:lang w:val="en-US" w:eastAsia="en-US"/>
    </w:rPr>
  </w:style>
  <w:style w:type="character" w:customStyle="1" w:styleId="FootnoteTextChar">
    <w:name w:val="Footnote Text Char"/>
    <w:basedOn w:val="DefaultParagraphFont"/>
    <w:link w:val="FootnoteText"/>
    <w:uiPriority w:val="99"/>
    <w:semiHidden/>
    <w:rPr>
      <w:rFonts w:ascii="Courier" w:hAnsi="Courier"/>
      <w:lang w:val="en-US" w:eastAsia="en-US"/>
    </w:rPr>
  </w:style>
  <w:style w:type="character" w:customStyle="1" w:styleId="ListParagraphChar">
    <w:name w:val="List Paragraph Char"/>
    <w:aliases w:val="List Paragraph (numbered (a)) Char"/>
    <w:link w:val="ListParagraph"/>
    <w:uiPriority w:val="34"/>
    <w:locked/>
    <w:rPr>
      <w:lang w:val="en-US" w:eastAsia="en-US"/>
    </w:rPr>
  </w:style>
  <w:style w:type="paragraph" w:styleId="Revision">
    <w:name w:val="Revision"/>
    <w:hidden/>
    <w:uiPriority w:val="99"/>
    <w:semiHidden/>
    <w:rPr>
      <w:lang w:val="en-US" w:eastAsia="en-US"/>
    </w:rPr>
  </w:style>
  <w:style w:type="character" w:styleId="FollowedHyperlink">
    <w:name w:val="FollowedHyperlink"/>
    <w:basedOn w:val="DefaultParagraphFont"/>
    <w:semiHidden/>
    <w:unhideWhenUsed/>
    <w:rPr>
      <w:color w:val="800080" w:themeColor="followedHyperlink"/>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styleId="Emphasis">
    <w:name w:val="Emphasis"/>
    <w:basedOn w:val="DefaultParagraphFont"/>
    <w:uiPriority w:val="20"/>
    <w:qFormat/>
    <w:locked/>
    <w:rPr>
      <w:b/>
      <w:bCs/>
      <w:i w:val="0"/>
      <w:iCs w:val="0"/>
    </w:rPr>
  </w:style>
  <w:style w:type="character" w:customStyle="1" w:styleId="st1">
    <w:name w:val="st1"/>
    <w:basedOn w:val="DefaultParagraphFont"/>
  </w:style>
  <w:style w:type="character" w:customStyle="1" w:styleId="Heading4Char">
    <w:name w:val="Heading 4 Char"/>
    <w:basedOn w:val="DefaultParagraphFont"/>
    <w:link w:val="Heading4"/>
    <w:rPr>
      <w:rFonts w:ascii="Arial" w:hAnsi="Arial"/>
      <w:b/>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31537567">
      <w:bodyDiv w:val="1"/>
      <w:marLeft w:val="0"/>
      <w:marRight w:val="0"/>
      <w:marTop w:val="0"/>
      <w:marBottom w:val="0"/>
      <w:divBdr>
        <w:top w:val="none" w:sz="0" w:space="0" w:color="auto"/>
        <w:left w:val="none" w:sz="0" w:space="0" w:color="auto"/>
        <w:bottom w:val="none" w:sz="0" w:space="0" w:color="auto"/>
        <w:right w:val="none" w:sz="0" w:space="0" w:color="auto"/>
      </w:divBdr>
      <w:divsChild>
        <w:div w:id="1124663519">
          <w:marLeft w:val="0"/>
          <w:marRight w:val="0"/>
          <w:marTop w:val="0"/>
          <w:marBottom w:val="0"/>
          <w:divBdr>
            <w:top w:val="none" w:sz="0" w:space="0" w:color="auto"/>
            <w:left w:val="none" w:sz="0" w:space="0" w:color="auto"/>
            <w:bottom w:val="none" w:sz="0" w:space="0" w:color="auto"/>
            <w:right w:val="none" w:sz="0" w:space="0" w:color="auto"/>
          </w:divBdr>
          <w:divsChild>
            <w:div w:id="1220361879">
              <w:marLeft w:val="0"/>
              <w:marRight w:val="0"/>
              <w:marTop w:val="0"/>
              <w:marBottom w:val="0"/>
              <w:divBdr>
                <w:top w:val="none" w:sz="0" w:space="0" w:color="auto"/>
                <w:left w:val="none" w:sz="0" w:space="0" w:color="auto"/>
                <w:bottom w:val="none" w:sz="0" w:space="0" w:color="auto"/>
                <w:right w:val="none" w:sz="0" w:space="0" w:color="auto"/>
              </w:divBdr>
              <w:divsChild>
                <w:div w:id="2034067639">
                  <w:marLeft w:val="0"/>
                  <w:marRight w:val="0"/>
                  <w:marTop w:val="0"/>
                  <w:marBottom w:val="0"/>
                  <w:divBdr>
                    <w:top w:val="none" w:sz="0" w:space="0" w:color="auto"/>
                    <w:left w:val="none" w:sz="0" w:space="0" w:color="auto"/>
                    <w:bottom w:val="none" w:sz="0" w:space="0" w:color="auto"/>
                    <w:right w:val="none" w:sz="0" w:space="0" w:color="auto"/>
                  </w:divBdr>
                  <w:divsChild>
                    <w:div w:id="973095984">
                      <w:marLeft w:val="0"/>
                      <w:marRight w:val="0"/>
                      <w:marTop w:val="0"/>
                      <w:marBottom w:val="0"/>
                      <w:divBdr>
                        <w:top w:val="none" w:sz="0" w:space="0" w:color="auto"/>
                        <w:left w:val="none" w:sz="0" w:space="0" w:color="auto"/>
                        <w:bottom w:val="none" w:sz="0" w:space="0" w:color="auto"/>
                        <w:right w:val="none" w:sz="0" w:space="0" w:color="auto"/>
                      </w:divBdr>
                      <w:divsChild>
                        <w:div w:id="1004090540">
                          <w:marLeft w:val="0"/>
                          <w:marRight w:val="0"/>
                          <w:marTop w:val="0"/>
                          <w:marBottom w:val="0"/>
                          <w:divBdr>
                            <w:top w:val="none" w:sz="0" w:space="0" w:color="auto"/>
                            <w:left w:val="none" w:sz="0" w:space="0" w:color="auto"/>
                            <w:bottom w:val="none" w:sz="0" w:space="0" w:color="auto"/>
                            <w:right w:val="none" w:sz="0" w:space="0" w:color="auto"/>
                          </w:divBdr>
                          <w:divsChild>
                            <w:div w:id="883717850">
                              <w:marLeft w:val="0"/>
                              <w:marRight w:val="0"/>
                              <w:marTop w:val="0"/>
                              <w:marBottom w:val="0"/>
                              <w:divBdr>
                                <w:top w:val="none" w:sz="0" w:space="0" w:color="auto"/>
                                <w:left w:val="none" w:sz="0" w:space="0" w:color="auto"/>
                                <w:bottom w:val="none" w:sz="0" w:space="0" w:color="auto"/>
                                <w:right w:val="none" w:sz="0" w:space="0" w:color="auto"/>
                              </w:divBdr>
                              <w:divsChild>
                                <w:div w:id="1847401078">
                                  <w:marLeft w:val="0"/>
                                  <w:marRight w:val="0"/>
                                  <w:marTop w:val="0"/>
                                  <w:marBottom w:val="0"/>
                                  <w:divBdr>
                                    <w:top w:val="none" w:sz="0" w:space="0" w:color="auto"/>
                                    <w:left w:val="none" w:sz="0" w:space="0" w:color="auto"/>
                                    <w:bottom w:val="none" w:sz="0" w:space="0" w:color="auto"/>
                                    <w:right w:val="none" w:sz="0" w:space="0" w:color="auto"/>
                                  </w:divBdr>
                                  <w:divsChild>
                                    <w:div w:id="390227384">
                                      <w:marLeft w:val="0"/>
                                      <w:marRight w:val="0"/>
                                      <w:marTop w:val="0"/>
                                      <w:marBottom w:val="0"/>
                                      <w:divBdr>
                                        <w:top w:val="none" w:sz="0" w:space="0" w:color="auto"/>
                                        <w:left w:val="none" w:sz="0" w:space="0" w:color="auto"/>
                                        <w:bottom w:val="none" w:sz="0" w:space="0" w:color="auto"/>
                                        <w:right w:val="none" w:sz="0" w:space="0" w:color="auto"/>
                                      </w:divBdr>
                                      <w:divsChild>
                                        <w:div w:id="873346973">
                                          <w:marLeft w:val="0"/>
                                          <w:marRight w:val="0"/>
                                          <w:marTop w:val="0"/>
                                          <w:marBottom w:val="0"/>
                                          <w:divBdr>
                                            <w:top w:val="none" w:sz="0" w:space="0" w:color="auto"/>
                                            <w:left w:val="none" w:sz="0" w:space="0" w:color="auto"/>
                                            <w:bottom w:val="none" w:sz="0" w:space="0" w:color="auto"/>
                                            <w:right w:val="none" w:sz="0" w:space="0" w:color="auto"/>
                                          </w:divBdr>
                                          <w:divsChild>
                                            <w:div w:id="62025060">
                                              <w:marLeft w:val="0"/>
                                              <w:marRight w:val="0"/>
                                              <w:marTop w:val="0"/>
                                              <w:marBottom w:val="495"/>
                                              <w:divBdr>
                                                <w:top w:val="none" w:sz="0" w:space="0" w:color="auto"/>
                                                <w:left w:val="none" w:sz="0" w:space="0" w:color="auto"/>
                                                <w:bottom w:val="none" w:sz="0" w:space="0" w:color="auto"/>
                                                <w:right w:val="none" w:sz="0" w:space="0" w:color="auto"/>
                                              </w:divBdr>
                                              <w:divsChild>
                                                <w:div w:id="32139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828852">
      <w:bodyDiv w:val="1"/>
      <w:marLeft w:val="0"/>
      <w:marRight w:val="0"/>
      <w:marTop w:val="0"/>
      <w:marBottom w:val="0"/>
      <w:divBdr>
        <w:top w:val="none" w:sz="0" w:space="0" w:color="auto"/>
        <w:left w:val="none" w:sz="0" w:space="0" w:color="auto"/>
        <w:bottom w:val="none" w:sz="0" w:space="0" w:color="auto"/>
        <w:right w:val="none" w:sz="0" w:space="0" w:color="auto"/>
      </w:divBdr>
    </w:div>
    <w:div w:id="131219437">
      <w:bodyDiv w:val="1"/>
      <w:marLeft w:val="0"/>
      <w:marRight w:val="0"/>
      <w:marTop w:val="0"/>
      <w:marBottom w:val="0"/>
      <w:divBdr>
        <w:top w:val="none" w:sz="0" w:space="0" w:color="auto"/>
        <w:left w:val="none" w:sz="0" w:space="0" w:color="auto"/>
        <w:bottom w:val="none" w:sz="0" w:space="0" w:color="auto"/>
        <w:right w:val="none" w:sz="0" w:space="0" w:color="auto"/>
      </w:divBdr>
    </w:div>
    <w:div w:id="196283582">
      <w:bodyDiv w:val="1"/>
      <w:marLeft w:val="0"/>
      <w:marRight w:val="0"/>
      <w:marTop w:val="0"/>
      <w:marBottom w:val="0"/>
      <w:divBdr>
        <w:top w:val="none" w:sz="0" w:space="0" w:color="auto"/>
        <w:left w:val="none" w:sz="0" w:space="0" w:color="auto"/>
        <w:bottom w:val="none" w:sz="0" w:space="0" w:color="auto"/>
        <w:right w:val="none" w:sz="0" w:space="0" w:color="auto"/>
      </w:divBdr>
    </w:div>
    <w:div w:id="276182604">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405832698">
      <w:bodyDiv w:val="1"/>
      <w:marLeft w:val="0"/>
      <w:marRight w:val="0"/>
      <w:marTop w:val="0"/>
      <w:marBottom w:val="0"/>
      <w:divBdr>
        <w:top w:val="none" w:sz="0" w:space="0" w:color="auto"/>
        <w:left w:val="none" w:sz="0" w:space="0" w:color="auto"/>
        <w:bottom w:val="none" w:sz="0" w:space="0" w:color="auto"/>
        <w:right w:val="none" w:sz="0" w:space="0" w:color="auto"/>
      </w:divBdr>
    </w:div>
    <w:div w:id="1495608935">
      <w:bodyDiv w:val="1"/>
      <w:marLeft w:val="0"/>
      <w:marRight w:val="0"/>
      <w:marTop w:val="0"/>
      <w:marBottom w:val="0"/>
      <w:divBdr>
        <w:top w:val="none" w:sz="0" w:space="0" w:color="auto"/>
        <w:left w:val="none" w:sz="0" w:space="0" w:color="auto"/>
        <w:bottom w:val="none" w:sz="0" w:space="0" w:color="auto"/>
        <w:right w:val="none" w:sz="0" w:space="0" w:color="auto"/>
      </w:divBdr>
    </w:div>
    <w:div w:id="1561552183">
      <w:bodyDiv w:val="1"/>
      <w:marLeft w:val="0"/>
      <w:marRight w:val="0"/>
      <w:marTop w:val="0"/>
      <w:marBottom w:val="0"/>
      <w:divBdr>
        <w:top w:val="none" w:sz="0" w:space="0" w:color="auto"/>
        <w:left w:val="none" w:sz="0" w:space="0" w:color="auto"/>
        <w:bottom w:val="none" w:sz="0" w:space="0" w:color="auto"/>
        <w:right w:val="none" w:sz="0" w:space="0" w:color="auto"/>
      </w:divBdr>
    </w:div>
    <w:div w:id="190194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popp.undp.org/SitePages/POPPSubject.aspx?SBJID=7&amp;Menu=BusinessUn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popp.undp.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erc.undp.org/evaluation/evaluations/detail/1228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6E644ADCE49149A9004DA8A1832DF2" ma:contentTypeVersion="4" ma:contentTypeDescription="Create a new document." ma:contentTypeScope="" ma:versionID="8d6030077bb30832b0d2747a044410d7">
  <xsd:schema xmlns:xsd="http://www.w3.org/2001/XMLSchema" xmlns:xs="http://www.w3.org/2001/XMLSchema" xmlns:p="http://schemas.microsoft.com/office/2006/metadata/properties" xmlns:ns2="72baf418-84d3-4db8-9557-d95121564938" targetNamespace="http://schemas.microsoft.com/office/2006/metadata/properties" ma:root="true" ma:fieldsID="73c8313948e7d682187b34749bf028de" ns2:_="">
    <xsd:import namespace="72baf418-84d3-4db8-9557-d951215649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baf418-84d3-4db8-9557-d951215649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B21DC-D688-44B4-A0BD-E52D2BBD4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baf418-84d3-4db8-9557-d951215649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3.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873108-D544-4376-8589-988254FBE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15</Pages>
  <Words>6330</Words>
  <Characters>36084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42330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creator>John Magoha</dc:creator>
  <cp:lastModifiedBy>Aleida Ferreyra</cp:lastModifiedBy>
  <cp:revision>4</cp:revision>
  <cp:lastPrinted>2014-09-16T19:01:00Z</cp:lastPrinted>
  <dcterms:created xsi:type="dcterms:W3CDTF">2020-08-12T16:29:00Z</dcterms:created>
  <dcterms:modified xsi:type="dcterms:W3CDTF">2020-08-12T16:56:00Z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0x010100F76E644ADCE49149A9004DA8A1832DF2</vt:lpwstr>
  </property>
  <property fmtid="{D5CDD505-2E9C-101B-9397-08002B2CF9AE}" pid="3" name="_dlc_DocIdItemGuid">
    <vt:lpwstr>98e94454-2958-4f8e-953b-d0345c84921c</vt:lpwstr>
  </property>
</Properties>
</file>