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BC118" w14:textId="0EDA1219" w:rsidR="00FD7D80" w:rsidRPr="00C56093" w:rsidRDefault="00FD7D80" w:rsidP="0055773E">
      <w:pPr>
        <w:spacing w:after="0"/>
        <w:jc w:val="both"/>
        <w:rPr>
          <w:b/>
          <w:color w:val="00B0F0"/>
          <w:sz w:val="24"/>
          <w:szCs w:val="24"/>
        </w:rPr>
      </w:pPr>
      <w:r w:rsidRPr="00C56093">
        <w:rPr>
          <w:b/>
          <w:color w:val="00B0F0"/>
          <w:sz w:val="24"/>
          <w:szCs w:val="24"/>
        </w:rPr>
        <w:t xml:space="preserve">UNDP Uzbekistan 2021-2025 </w:t>
      </w:r>
    </w:p>
    <w:p w14:paraId="697DB146" w14:textId="21773D3C" w:rsidR="00E60189" w:rsidRPr="00C56093" w:rsidRDefault="00FD7D80" w:rsidP="00E60189">
      <w:pPr>
        <w:jc w:val="both"/>
        <w:rPr>
          <w:b/>
          <w:color w:val="00B0F0"/>
          <w:sz w:val="24"/>
          <w:szCs w:val="24"/>
        </w:rPr>
      </w:pPr>
      <w:r w:rsidRPr="00C56093">
        <w:rPr>
          <w:b/>
          <w:color w:val="00B0F0"/>
          <w:sz w:val="24"/>
          <w:szCs w:val="24"/>
        </w:rPr>
        <w:t>Partnership and Communication Strategy and Action Plan (PCAP)</w:t>
      </w:r>
    </w:p>
    <w:p w14:paraId="65AD5BA1" w14:textId="6EC53BDB" w:rsidR="00E60189" w:rsidRPr="006F6C74" w:rsidRDefault="00164BF0" w:rsidP="00E60189">
      <w:pPr>
        <w:jc w:val="both"/>
        <w:rPr>
          <w:b/>
          <w:color w:val="00B0F0"/>
          <w:sz w:val="24"/>
          <w:szCs w:val="24"/>
          <w:u w:val="single"/>
        </w:rPr>
      </w:pPr>
      <w:r w:rsidRPr="006F6C74">
        <w:rPr>
          <w:noProof/>
          <w:sz w:val="20"/>
          <w:szCs w:val="20"/>
        </w:rPr>
        <w:drawing>
          <wp:anchor distT="0" distB="0" distL="114300" distR="114300" simplePos="0" relativeHeight="251659264" behindDoc="1" locked="0" layoutInCell="1" allowOverlap="1" wp14:anchorId="417D5C72" wp14:editId="348AB18A">
            <wp:simplePos x="0" y="0"/>
            <wp:positionH relativeFrom="column">
              <wp:posOffset>2519045</wp:posOffset>
            </wp:positionH>
            <wp:positionV relativeFrom="paragraph">
              <wp:posOffset>275520</wp:posOffset>
            </wp:positionV>
            <wp:extent cx="3543300" cy="2806700"/>
            <wp:effectExtent l="0" t="0" r="0" b="12700"/>
            <wp:wrapTight wrapText="bothSides">
              <wp:wrapPolygon edited="0">
                <wp:start x="0" y="0"/>
                <wp:lineTo x="0" y="21551"/>
                <wp:lineTo x="21484" y="21551"/>
                <wp:lineTo x="21484" y="0"/>
                <wp:lineTo x="0" y="0"/>
              </wp:wrapPolygon>
            </wp:wrapTight>
            <wp:docPr id="2" name="Chart 2">
              <a:extLst xmlns:a="http://schemas.openxmlformats.org/drawingml/2006/main">
                <a:ext uri="{FF2B5EF4-FFF2-40B4-BE49-F238E27FC236}">
                  <a16:creationId xmlns:a16="http://schemas.microsoft.com/office/drawing/2014/main" id="{FA23A854-4E3B-4074-85C4-BE5A0DFCE1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E60189" w:rsidRPr="006F6C74">
        <w:rPr>
          <w:b/>
          <w:color w:val="00B0F0"/>
          <w:sz w:val="24"/>
          <w:szCs w:val="24"/>
          <w:u w:val="single"/>
        </w:rPr>
        <w:t xml:space="preserve">PART I.  Partnerships and Resource </w:t>
      </w:r>
      <w:r w:rsidR="0055773E" w:rsidRPr="006F6C74">
        <w:rPr>
          <w:b/>
          <w:color w:val="00B0F0"/>
          <w:sz w:val="24"/>
          <w:szCs w:val="24"/>
          <w:u w:val="single"/>
        </w:rPr>
        <w:t>Mobilization</w:t>
      </w:r>
      <w:r w:rsidR="00E60189" w:rsidRPr="006F6C74">
        <w:rPr>
          <w:b/>
          <w:color w:val="00B0F0"/>
          <w:sz w:val="24"/>
          <w:szCs w:val="24"/>
          <w:u w:val="single"/>
        </w:rPr>
        <w:t xml:space="preserve"> </w:t>
      </w:r>
    </w:p>
    <w:p w14:paraId="46A10DD3" w14:textId="4A676E57" w:rsidR="00E60189" w:rsidRDefault="00E60189" w:rsidP="008370DD">
      <w:pPr>
        <w:pStyle w:val="ListParagraph"/>
        <w:numPr>
          <w:ilvl w:val="0"/>
          <w:numId w:val="2"/>
        </w:numPr>
        <w:spacing w:after="0" w:line="240" w:lineRule="auto"/>
        <w:jc w:val="both"/>
        <w:rPr>
          <w:sz w:val="24"/>
          <w:szCs w:val="24"/>
        </w:rPr>
      </w:pPr>
      <w:r w:rsidRPr="00D666D9">
        <w:rPr>
          <w:b/>
          <w:i/>
          <w:sz w:val="24"/>
          <w:szCs w:val="24"/>
          <w:u w:val="single"/>
        </w:rPr>
        <w:t>Outlook</w:t>
      </w:r>
      <w:r w:rsidRPr="00D666D9">
        <w:rPr>
          <w:b/>
          <w:sz w:val="24"/>
          <w:szCs w:val="24"/>
        </w:rPr>
        <w:t xml:space="preserve"> </w:t>
      </w:r>
    </w:p>
    <w:p w14:paraId="0B220372" w14:textId="0A0C6D45" w:rsidR="00164BF0" w:rsidRDefault="00B617B7" w:rsidP="00B617B7">
      <w:pPr>
        <w:spacing w:after="0" w:line="240" w:lineRule="auto"/>
        <w:jc w:val="both"/>
        <w:rPr>
          <w:sz w:val="24"/>
          <w:szCs w:val="24"/>
        </w:rPr>
      </w:pPr>
      <w:r>
        <w:rPr>
          <w:sz w:val="24"/>
          <w:szCs w:val="24"/>
        </w:rPr>
        <w:t xml:space="preserve">Analyzing the funding allocations for the previous CPD cycle (2016-2019), </w:t>
      </w:r>
      <w:r w:rsidR="0017232A">
        <w:rPr>
          <w:sz w:val="24"/>
          <w:szCs w:val="24"/>
        </w:rPr>
        <w:t xml:space="preserve">the </w:t>
      </w:r>
      <w:r>
        <w:rPr>
          <w:sz w:val="24"/>
          <w:szCs w:val="24"/>
        </w:rPr>
        <w:t xml:space="preserve">Government of Uzbekistan emerges as the top contributor with </w:t>
      </w:r>
      <w:r w:rsidR="00730FAB">
        <w:rPr>
          <w:sz w:val="24"/>
          <w:szCs w:val="24"/>
        </w:rPr>
        <w:t>US $15.3</w:t>
      </w:r>
      <w:r w:rsidR="008C5FA4">
        <w:rPr>
          <w:sz w:val="24"/>
          <w:szCs w:val="24"/>
        </w:rPr>
        <w:t>M</w:t>
      </w:r>
      <w:r w:rsidR="00730FAB">
        <w:rPr>
          <w:sz w:val="24"/>
          <w:szCs w:val="24"/>
        </w:rPr>
        <w:t xml:space="preserve"> (</w:t>
      </w:r>
      <w:r w:rsidR="008C5FA4">
        <w:rPr>
          <w:sz w:val="24"/>
          <w:szCs w:val="24"/>
        </w:rPr>
        <w:t xml:space="preserve">or </w:t>
      </w:r>
      <w:r>
        <w:rPr>
          <w:sz w:val="24"/>
          <w:szCs w:val="24"/>
        </w:rPr>
        <w:t>27%</w:t>
      </w:r>
      <w:r w:rsidR="00730FAB">
        <w:rPr>
          <w:sz w:val="24"/>
          <w:szCs w:val="24"/>
        </w:rPr>
        <w:t>) for</w:t>
      </w:r>
      <w:r w:rsidR="008C5FA4">
        <w:rPr>
          <w:sz w:val="24"/>
          <w:szCs w:val="24"/>
        </w:rPr>
        <w:t xml:space="preserve"> capacity building in the health sector and procurement of medicines. Financing from v</w:t>
      </w:r>
      <w:r>
        <w:rPr>
          <w:sz w:val="24"/>
          <w:szCs w:val="24"/>
        </w:rPr>
        <w:t>ertical funds (</w:t>
      </w:r>
      <w:r w:rsidR="008C5FA4">
        <w:rPr>
          <w:sz w:val="24"/>
          <w:szCs w:val="24"/>
        </w:rPr>
        <w:t xml:space="preserve">$13.7M or </w:t>
      </w:r>
      <w:r>
        <w:rPr>
          <w:sz w:val="24"/>
          <w:szCs w:val="24"/>
        </w:rPr>
        <w:t>24%) and the EU</w:t>
      </w:r>
      <w:r w:rsidR="00540A2B">
        <w:rPr>
          <w:sz w:val="24"/>
          <w:szCs w:val="24"/>
        </w:rPr>
        <w:t>- $11.5M</w:t>
      </w:r>
      <w:r>
        <w:rPr>
          <w:sz w:val="24"/>
          <w:szCs w:val="24"/>
        </w:rPr>
        <w:t xml:space="preserve"> (21%)</w:t>
      </w:r>
      <w:r w:rsidR="00540A2B">
        <w:rPr>
          <w:sz w:val="24"/>
          <w:szCs w:val="24"/>
        </w:rPr>
        <w:t xml:space="preserve"> </w:t>
      </w:r>
      <w:r w:rsidR="008C5FA4">
        <w:rPr>
          <w:sz w:val="24"/>
          <w:szCs w:val="24"/>
        </w:rPr>
        <w:t>follow, for the climate change mitigation and adaption, protection of natural resources; as well as enhancing</w:t>
      </w:r>
      <w:r w:rsidR="00540A2B">
        <w:rPr>
          <w:sz w:val="24"/>
          <w:szCs w:val="24"/>
        </w:rPr>
        <w:t xml:space="preserve"> public service delivery</w:t>
      </w:r>
      <w:r w:rsidR="008C5FA4">
        <w:rPr>
          <w:sz w:val="24"/>
          <w:szCs w:val="24"/>
        </w:rPr>
        <w:t xml:space="preserve"> in rural areas of Uzbekistan. The remaining 28% are divided among various smaller bilateral engagements among which are Japan, US, UK, Russia, Finland, Switzerland, as well as the Multi-Partner Trust Fund. </w:t>
      </w:r>
    </w:p>
    <w:p w14:paraId="759F3663" w14:textId="77777777" w:rsidR="00164BF0" w:rsidRDefault="00164BF0" w:rsidP="00B617B7">
      <w:pPr>
        <w:spacing w:after="0" w:line="240" w:lineRule="auto"/>
        <w:jc w:val="both"/>
        <w:rPr>
          <w:sz w:val="24"/>
          <w:szCs w:val="24"/>
        </w:rPr>
      </w:pPr>
    </w:p>
    <w:p w14:paraId="5202EDF0" w14:textId="32C81E44" w:rsidR="00B617B7" w:rsidRPr="006F6C74" w:rsidRDefault="009A6527" w:rsidP="006F6C74">
      <w:pPr>
        <w:spacing w:after="0" w:line="240" w:lineRule="auto"/>
        <w:jc w:val="both"/>
        <w:rPr>
          <w:sz w:val="24"/>
          <w:szCs w:val="24"/>
        </w:rPr>
      </w:pPr>
      <w:r>
        <w:rPr>
          <w:sz w:val="24"/>
          <w:szCs w:val="24"/>
        </w:rPr>
        <w:t>The CO aims not only to expand th</w:t>
      </w:r>
      <w:r w:rsidR="008C5FA4">
        <w:rPr>
          <w:sz w:val="24"/>
          <w:szCs w:val="24"/>
        </w:rPr>
        <w:t xml:space="preserve">e ongoing </w:t>
      </w:r>
      <w:r>
        <w:rPr>
          <w:sz w:val="24"/>
          <w:szCs w:val="24"/>
        </w:rPr>
        <w:t>partnership</w:t>
      </w:r>
      <w:r w:rsidR="008C5FA4">
        <w:rPr>
          <w:sz w:val="24"/>
          <w:szCs w:val="24"/>
        </w:rPr>
        <w:t>s</w:t>
      </w:r>
      <w:r>
        <w:rPr>
          <w:sz w:val="24"/>
          <w:szCs w:val="24"/>
        </w:rPr>
        <w:t xml:space="preserve">, but also </w:t>
      </w:r>
      <w:r w:rsidR="008C5FA4">
        <w:rPr>
          <w:sz w:val="24"/>
          <w:szCs w:val="24"/>
        </w:rPr>
        <w:t xml:space="preserve">to </w:t>
      </w:r>
      <w:r>
        <w:rPr>
          <w:sz w:val="24"/>
          <w:szCs w:val="24"/>
        </w:rPr>
        <w:t xml:space="preserve">continue diversifying engagement </w:t>
      </w:r>
      <w:r w:rsidR="00672FA5">
        <w:rPr>
          <w:sz w:val="24"/>
          <w:szCs w:val="24"/>
        </w:rPr>
        <w:t xml:space="preserve">with </w:t>
      </w:r>
      <w:r>
        <w:rPr>
          <w:sz w:val="24"/>
          <w:szCs w:val="24"/>
        </w:rPr>
        <w:t>bilateral actors</w:t>
      </w:r>
      <w:r w:rsidR="008C5FA4">
        <w:rPr>
          <w:sz w:val="24"/>
          <w:szCs w:val="24"/>
        </w:rPr>
        <w:t>, a</w:t>
      </w:r>
      <w:r>
        <w:rPr>
          <w:sz w:val="24"/>
          <w:szCs w:val="24"/>
        </w:rPr>
        <w:t xml:space="preserve">s well as international financial institutions (World Bank, Islamic Development Bank) among others. </w:t>
      </w:r>
      <w:r w:rsidR="008C5FA4" w:rsidRPr="006F6C74">
        <w:rPr>
          <w:sz w:val="24"/>
          <w:szCs w:val="24"/>
        </w:rPr>
        <w:t xml:space="preserve">The initial steps are already seen in </w:t>
      </w:r>
      <w:r w:rsidR="006F6C74" w:rsidRPr="006F6C74">
        <w:rPr>
          <w:sz w:val="24"/>
          <w:szCs w:val="24"/>
        </w:rPr>
        <w:t xml:space="preserve">2020 </w:t>
      </w:r>
      <w:r w:rsidR="008C5FA4" w:rsidRPr="006F6C74">
        <w:rPr>
          <w:sz w:val="24"/>
          <w:szCs w:val="24"/>
        </w:rPr>
        <w:t>financing</w:t>
      </w:r>
      <w:r w:rsidR="00672FA5">
        <w:rPr>
          <w:sz w:val="24"/>
          <w:szCs w:val="24"/>
        </w:rPr>
        <w:t>,</w:t>
      </w:r>
      <w:r w:rsidR="00F538A2">
        <w:rPr>
          <w:sz w:val="24"/>
          <w:szCs w:val="24"/>
        </w:rPr>
        <w:t xml:space="preserve"> </w:t>
      </w:r>
      <w:r w:rsidR="006F6C74">
        <w:rPr>
          <w:sz w:val="24"/>
          <w:szCs w:val="24"/>
        </w:rPr>
        <w:t xml:space="preserve">with doubled non-core financing. As of 15 June 2020, based on </w:t>
      </w:r>
      <w:r w:rsidR="005A5F81">
        <w:rPr>
          <w:sz w:val="24"/>
          <w:szCs w:val="24"/>
        </w:rPr>
        <w:t xml:space="preserve">the </w:t>
      </w:r>
      <w:r w:rsidR="006F6C74">
        <w:rPr>
          <w:sz w:val="24"/>
          <w:szCs w:val="24"/>
        </w:rPr>
        <w:t xml:space="preserve">signed contribution agreements and </w:t>
      </w:r>
      <w:r w:rsidR="00EB5457">
        <w:rPr>
          <w:sz w:val="24"/>
          <w:szCs w:val="24"/>
        </w:rPr>
        <w:t xml:space="preserve">scheduled </w:t>
      </w:r>
      <w:r w:rsidR="006F6C74">
        <w:rPr>
          <w:sz w:val="24"/>
          <w:szCs w:val="24"/>
        </w:rPr>
        <w:t xml:space="preserve">installments, $28M are expected, versus the $14M yearly average during 2016-2019. This includes </w:t>
      </w:r>
      <w:r w:rsidR="008C5FA4" w:rsidRPr="006F6C74">
        <w:rPr>
          <w:sz w:val="24"/>
          <w:szCs w:val="24"/>
        </w:rPr>
        <w:t xml:space="preserve">$4.9M or 18% WB contribution for emergency COVID procurement; </w:t>
      </w:r>
      <w:r w:rsidR="006F6C74">
        <w:rPr>
          <w:sz w:val="24"/>
          <w:szCs w:val="24"/>
        </w:rPr>
        <w:t xml:space="preserve">and similar share </w:t>
      </w:r>
      <w:r w:rsidR="005A5F81">
        <w:rPr>
          <w:sz w:val="24"/>
          <w:szCs w:val="24"/>
        </w:rPr>
        <w:t xml:space="preserve">of </w:t>
      </w:r>
      <w:r w:rsidR="006F6C74">
        <w:rPr>
          <w:sz w:val="24"/>
          <w:szCs w:val="24"/>
        </w:rPr>
        <w:t>18%</w:t>
      </w:r>
      <w:r w:rsidR="005A5F81">
        <w:rPr>
          <w:sz w:val="24"/>
          <w:szCs w:val="24"/>
        </w:rPr>
        <w:t xml:space="preserve"> for Japan and t</w:t>
      </w:r>
      <w:r w:rsidR="006F6C74">
        <w:rPr>
          <w:sz w:val="24"/>
          <w:szCs w:val="24"/>
        </w:rPr>
        <w:t>he vertical funds</w:t>
      </w:r>
      <w:r w:rsidR="005A5F81">
        <w:rPr>
          <w:sz w:val="24"/>
          <w:szCs w:val="24"/>
        </w:rPr>
        <w:t>. An</w:t>
      </w:r>
      <w:r w:rsidR="006F6C74">
        <w:rPr>
          <w:sz w:val="24"/>
          <w:szCs w:val="24"/>
        </w:rPr>
        <w:t xml:space="preserve"> increased engagement of private sector (Coca Cola Foundation, crowdfunding)</w:t>
      </w:r>
      <w:r w:rsidR="005A5F81">
        <w:rPr>
          <w:sz w:val="24"/>
          <w:szCs w:val="24"/>
        </w:rPr>
        <w:t xml:space="preserve"> was also noted</w:t>
      </w:r>
      <w:r w:rsidR="00FD4B27">
        <w:rPr>
          <w:sz w:val="24"/>
          <w:szCs w:val="24"/>
        </w:rPr>
        <w:t xml:space="preserve"> and will be further nurtured</w:t>
      </w:r>
      <w:r w:rsidR="005A5F81">
        <w:rPr>
          <w:sz w:val="24"/>
          <w:szCs w:val="24"/>
        </w:rPr>
        <w:t>.</w:t>
      </w:r>
    </w:p>
    <w:p w14:paraId="42DC87D1" w14:textId="1DE06601" w:rsidR="00540A2B" w:rsidRPr="00B617B7" w:rsidRDefault="00540A2B" w:rsidP="00B617B7">
      <w:pPr>
        <w:spacing w:after="0" w:line="240" w:lineRule="auto"/>
        <w:jc w:val="both"/>
        <w:rPr>
          <w:sz w:val="24"/>
          <w:szCs w:val="24"/>
        </w:rPr>
      </w:pPr>
    </w:p>
    <w:p w14:paraId="250C4AA4" w14:textId="1FCF2F80" w:rsidR="00730FAB" w:rsidRDefault="0055773E" w:rsidP="00164BF0">
      <w:pPr>
        <w:spacing w:line="240" w:lineRule="auto"/>
        <w:jc w:val="both"/>
        <w:rPr>
          <w:lang w:val="en-GB"/>
        </w:rPr>
      </w:pPr>
      <w:r>
        <w:rPr>
          <w:sz w:val="24"/>
          <w:szCs w:val="24"/>
        </w:rPr>
        <w:t xml:space="preserve">As outlined by the 2020 Independent Country </w:t>
      </w:r>
      <w:proofErr w:type="spellStart"/>
      <w:r>
        <w:rPr>
          <w:sz w:val="24"/>
          <w:szCs w:val="24"/>
        </w:rPr>
        <w:t>Programme</w:t>
      </w:r>
      <w:proofErr w:type="spellEnd"/>
      <w:r>
        <w:rPr>
          <w:sz w:val="24"/>
          <w:szCs w:val="24"/>
        </w:rPr>
        <w:t xml:space="preserve"> Evaluation, t</w:t>
      </w:r>
      <w:r w:rsidR="009A6527" w:rsidRPr="009A6527">
        <w:rPr>
          <w:sz w:val="24"/>
          <w:szCs w:val="24"/>
        </w:rPr>
        <w:t xml:space="preserve">he current relative strengths of </w:t>
      </w:r>
      <w:r>
        <w:rPr>
          <w:sz w:val="24"/>
          <w:szCs w:val="24"/>
        </w:rPr>
        <w:t>the CO</w:t>
      </w:r>
      <w:r w:rsidR="009A6527" w:rsidRPr="009A6527">
        <w:rPr>
          <w:sz w:val="24"/>
          <w:szCs w:val="24"/>
        </w:rPr>
        <w:t xml:space="preserve"> are (a) the trust in enjoys, esp</w:t>
      </w:r>
      <w:r w:rsidR="009A6527">
        <w:rPr>
          <w:sz w:val="24"/>
          <w:szCs w:val="24"/>
        </w:rPr>
        <w:t xml:space="preserve">ecially </w:t>
      </w:r>
      <w:r w:rsidR="00672FA5">
        <w:rPr>
          <w:sz w:val="24"/>
          <w:szCs w:val="24"/>
        </w:rPr>
        <w:t xml:space="preserve">by </w:t>
      </w:r>
      <w:r w:rsidR="009A6527">
        <w:rPr>
          <w:sz w:val="24"/>
          <w:szCs w:val="24"/>
        </w:rPr>
        <w:t xml:space="preserve">the </w:t>
      </w:r>
      <w:r w:rsidR="009A6527" w:rsidRPr="009A6527">
        <w:rPr>
          <w:sz w:val="24"/>
          <w:szCs w:val="24"/>
        </w:rPr>
        <w:t xml:space="preserve">government, as a development partner; (b) the strengths, qualifications and connections of an empowered local staff; (c) </w:t>
      </w:r>
      <w:r w:rsidR="00730FAB" w:rsidRPr="008C5FA4">
        <w:rPr>
          <w:sz w:val="24"/>
          <w:szCs w:val="24"/>
        </w:rPr>
        <w:t xml:space="preserve">local presence with its regional offices in Nukus (Aral Sea region) and Namangan (in Fergana Valley) provides UNDP with a capacity that is unique among development partners. </w:t>
      </w:r>
    </w:p>
    <w:p w14:paraId="75B6EA60" w14:textId="3282A242" w:rsidR="00540A2B" w:rsidRDefault="008C5FA4" w:rsidP="00540A2B">
      <w:pPr>
        <w:pStyle w:val="paragraph"/>
        <w:spacing w:before="0" w:beforeAutospacing="0" w:after="0" w:afterAutospacing="0"/>
        <w:jc w:val="both"/>
        <w:textAlignment w:val="baseline"/>
        <w:rPr>
          <w:rFonts w:asciiTheme="minorHAnsi" w:eastAsiaTheme="minorHAnsi" w:hAnsiTheme="minorHAnsi" w:cstheme="minorBidi"/>
        </w:rPr>
      </w:pPr>
      <w:r>
        <w:rPr>
          <w:rFonts w:asciiTheme="minorHAnsi" w:eastAsiaTheme="minorHAnsi" w:hAnsiTheme="minorHAnsi" w:cstheme="minorBidi"/>
        </w:rPr>
        <w:t>Looking ahead, g</w:t>
      </w:r>
      <w:r w:rsidR="00540A2B" w:rsidRPr="008C5FA4">
        <w:rPr>
          <w:rFonts w:asciiTheme="minorHAnsi" w:eastAsiaTheme="minorHAnsi" w:hAnsiTheme="minorHAnsi" w:cstheme="minorBidi"/>
        </w:rPr>
        <w:t xml:space="preserve">iven the country’s opening to international cooperation, the development landscape in the </w:t>
      </w:r>
      <w:r w:rsidR="00540A2B" w:rsidRPr="008C5FA4">
        <w:rPr>
          <w:rFonts w:asciiTheme="minorHAnsi" w:eastAsiaTheme="minorHAnsi" w:hAnsiTheme="minorHAnsi" w:cstheme="minorBidi"/>
        </w:rPr>
        <w:t>country</w:t>
      </w:r>
      <w:r>
        <w:rPr>
          <w:rFonts w:asciiTheme="minorHAnsi" w:eastAsiaTheme="minorHAnsi" w:hAnsiTheme="minorHAnsi" w:cstheme="minorBidi"/>
        </w:rPr>
        <w:t xml:space="preserve"> is getting </w:t>
      </w:r>
      <w:r w:rsidR="00540A2B" w:rsidRPr="008C5FA4">
        <w:rPr>
          <w:rFonts w:asciiTheme="minorHAnsi" w:eastAsiaTheme="minorHAnsi" w:hAnsiTheme="minorHAnsi" w:cstheme="minorBidi"/>
        </w:rPr>
        <w:t>crowded by a variety of players</w:t>
      </w:r>
      <w:r>
        <w:rPr>
          <w:rFonts w:asciiTheme="minorHAnsi" w:eastAsiaTheme="minorHAnsi" w:hAnsiTheme="minorHAnsi" w:cstheme="minorBidi"/>
        </w:rPr>
        <w:t>,</w:t>
      </w:r>
      <w:r w:rsidR="00540A2B" w:rsidRPr="008C5FA4">
        <w:rPr>
          <w:rFonts w:asciiTheme="minorHAnsi" w:eastAsiaTheme="minorHAnsi" w:hAnsiTheme="minorHAnsi" w:cstheme="minorBidi"/>
        </w:rPr>
        <w:t xml:space="preserve"> thus tightening the competition over available resources.  </w:t>
      </w:r>
      <w:r w:rsidR="00164BF0" w:rsidRPr="00164BF0">
        <w:rPr>
          <w:rFonts w:asciiTheme="minorHAnsi" w:eastAsiaTheme="minorHAnsi" w:hAnsiTheme="minorHAnsi" w:cstheme="minorBidi"/>
        </w:rPr>
        <w:t>Nurturing partnerships will remain key priority for the CO</w:t>
      </w:r>
      <w:r w:rsidR="00672FA5">
        <w:rPr>
          <w:rFonts w:asciiTheme="minorHAnsi" w:eastAsiaTheme="minorHAnsi" w:hAnsiTheme="minorHAnsi" w:cstheme="minorBidi"/>
        </w:rPr>
        <w:t xml:space="preserve"> and a prerequisite for delivering on the integrator role of UNDP</w:t>
      </w:r>
      <w:r w:rsidR="00164BF0" w:rsidRPr="00164BF0">
        <w:rPr>
          <w:rFonts w:asciiTheme="minorHAnsi" w:eastAsiaTheme="minorHAnsi" w:hAnsiTheme="minorHAnsi" w:cstheme="minorBidi"/>
        </w:rPr>
        <w:t xml:space="preserve">. </w:t>
      </w:r>
      <w:r w:rsidR="00672FA5">
        <w:rPr>
          <w:rFonts w:ascii="ProximaNova" w:hAnsi="ProximaNova"/>
          <w:color w:val="0A0A0A"/>
          <w:spacing w:val="4"/>
          <w:lang w:val="en"/>
        </w:rPr>
        <w:t xml:space="preserve">UNDP’s role in Uzbekistan, a middle-income country in Central Asia is to inform a narrative about how to make a positive change and to build an ecosystem of partners to make that change happen. </w:t>
      </w:r>
      <w:r w:rsidR="00164BF0" w:rsidRPr="00164BF0">
        <w:rPr>
          <w:rFonts w:asciiTheme="minorHAnsi" w:eastAsiaTheme="minorHAnsi" w:hAnsiTheme="minorHAnsi" w:cstheme="minorBidi"/>
        </w:rPr>
        <w:t xml:space="preserve">Strong partnerships are at the core of </w:t>
      </w:r>
      <w:r w:rsidR="00672FA5">
        <w:rPr>
          <w:rFonts w:asciiTheme="minorHAnsi" w:eastAsiaTheme="minorHAnsi" w:hAnsiTheme="minorHAnsi" w:cstheme="minorBidi"/>
        </w:rPr>
        <w:t xml:space="preserve">such </w:t>
      </w:r>
      <w:r w:rsidR="00164BF0" w:rsidRPr="00164BF0">
        <w:rPr>
          <w:rFonts w:asciiTheme="minorHAnsi" w:eastAsiaTheme="minorHAnsi" w:hAnsiTheme="minorHAnsi" w:cstheme="minorBidi"/>
        </w:rPr>
        <w:t>offer and UNDP will tailor its approach to the country middle-income status and changing donor landscape</w:t>
      </w:r>
      <w:r w:rsidR="00164BF0">
        <w:rPr>
          <w:rFonts w:asciiTheme="minorHAnsi" w:eastAsiaTheme="minorHAnsi" w:hAnsiTheme="minorHAnsi" w:cstheme="minorBidi"/>
        </w:rPr>
        <w:t xml:space="preserve">. </w:t>
      </w:r>
      <w:r w:rsidR="00540A2B" w:rsidRPr="008C5FA4">
        <w:rPr>
          <w:rFonts w:asciiTheme="minorHAnsi" w:eastAsiaTheme="minorHAnsi" w:hAnsiTheme="minorHAnsi" w:cstheme="minorBidi"/>
        </w:rPr>
        <w:t>Almost full reliance on donor funding will necessitate UNDP to sharpen its programme delivery efficiency by prioritizing smaller number of large and integrated programmes and optimizing its staffing structure. </w:t>
      </w:r>
    </w:p>
    <w:p w14:paraId="7DC2AC81" w14:textId="77777777" w:rsidR="00164BF0" w:rsidRPr="008C5FA4" w:rsidRDefault="00164BF0" w:rsidP="00540A2B">
      <w:pPr>
        <w:pStyle w:val="paragraph"/>
        <w:spacing w:before="0" w:beforeAutospacing="0" w:after="0" w:afterAutospacing="0"/>
        <w:jc w:val="both"/>
        <w:textAlignment w:val="baseline"/>
        <w:rPr>
          <w:rFonts w:asciiTheme="minorHAnsi" w:eastAsiaTheme="minorHAnsi" w:hAnsiTheme="minorHAnsi" w:cstheme="minorBidi"/>
        </w:rPr>
      </w:pPr>
    </w:p>
    <w:p w14:paraId="265AF63C" w14:textId="77777777" w:rsidR="00E60189" w:rsidRPr="00D666D9" w:rsidRDefault="00E60189" w:rsidP="008370DD">
      <w:pPr>
        <w:pStyle w:val="ListParagraph"/>
        <w:numPr>
          <w:ilvl w:val="0"/>
          <w:numId w:val="2"/>
        </w:numPr>
        <w:spacing w:after="0" w:line="240" w:lineRule="auto"/>
        <w:jc w:val="both"/>
        <w:rPr>
          <w:sz w:val="24"/>
          <w:szCs w:val="24"/>
        </w:rPr>
      </w:pPr>
      <w:r>
        <w:rPr>
          <w:b/>
          <w:i/>
          <w:sz w:val="24"/>
          <w:szCs w:val="24"/>
          <w:u w:val="single"/>
        </w:rPr>
        <w:t xml:space="preserve">Strategic </w:t>
      </w:r>
      <w:r w:rsidRPr="00D666D9">
        <w:rPr>
          <w:b/>
          <w:i/>
          <w:sz w:val="24"/>
          <w:szCs w:val="24"/>
          <w:u w:val="single"/>
        </w:rPr>
        <w:t>Objective</w:t>
      </w:r>
      <w:r>
        <w:rPr>
          <w:b/>
          <w:i/>
          <w:sz w:val="24"/>
          <w:szCs w:val="24"/>
          <w:u w:val="single"/>
        </w:rPr>
        <w:t>s</w:t>
      </w:r>
      <w:r>
        <w:rPr>
          <w:sz w:val="24"/>
          <w:szCs w:val="24"/>
        </w:rPr>
        <w:t xml:space="preserve"> (35</w:t>
      </w:r>
      <w:r w:rsidRPr="00D666D9">
        <w:rPr>
          <w:sz w:val="24"/>
          <w:szCs w:val="24"/>
        </w:rPr>
        <w:t>0 words max)</w:t>
      </w:r>
    </w:p>
    <w:p w14:paraId="29D91940" w14:textId="77777777" w:rsidR="00235483" w:rsidRPr="00235483" w:rsidRDefault="00235483" w:rsidP="00C56093">
      <w:pPr>
        <w:pStyle w:val="ListParagraph"/>
        <w:numPr>
          <w:ilvl w:val="0"/>
          <w:numId w:val="6"/>
        </w:numPr>
        <w:spacing w:after="0"/>
        <w:jc w:val="both"/>
        <w:rPr>
          <w:sz w:val="24"/>
          <w:szCs w:val="24"/>
        </w:rPr>
      </w:pPr>
      <w:r w:rsidRPr="00235483">
        <w:rPr>
          <w:b/>
          <w:bCs/>
          <w:sz w:val="24"/>
          <w:szCs w:val="24"/>
        </w:rPr>
        <w:t xml:space="preserve">Partnerships: </w:t>
      </w:r>
    </w:p>
    <w:p w14:paraId="20EC6413" w14:textId="4EE44104" w:rsidR="006F6C74" w:rsidRDefault="006F6C74" w:rsidP="00235483">
      <w:pPr>
        <w:jc w:val="both"/>
        <w:rPr>
          <w:sz w:val="24"/>
          <w:szCs w:val="24"/>
        </w:rPr>
      </w:pPr>
      <w:bookmarkStart w:id="0" w:name="_Hlk43127375"/>
      <w:r w:rsidRPr="00235483">
        <w:rPr>
          <w:sz w:val="24"/>
          <w:szCs w:val="24"/>
        </w:rPr>
        <w:lastRenderedPageBreak/>
        <w:t xml:space="preserve">UNDP will step up its integrator role and upgrade its value proposition by capitalizing on its strengths.  Agile yet principled approach to addressing the development needs of those left behind, </w:t>
      </w:r>
      <w:r w:rsidRPr="00235483">
        <w:rPr>
          <w:sz w:val="24"/>
          <w:szCs w:val="24"/>
        </w:rPr>
        <w:t xml:space="preserve">especially in rural areas, coupled with forward looking innovative solutions at policy level will distinguish UNDP as a needed partner. </w:t>
      </w:r>
      <w:r w:rsidRPr="005A5F81">
        <w:rPr>
          <w:sz w:val="24"/>
          <w:szCs w:val="24"/>
        </w:rPr>
        <w:t xml:space="preserve">The key elements of UNDP’s approach will include </w:t>
      </w:r>
      <w:r w:rsidR="00672FA5">
        <w:rPr>
          <w:sz w:val="24"/>
          <w:szCs w:val="24"/>
        </w:rPr>
        <w:t xml:space="preserve">integration and </w:t>
      </w:r>
      <w:r w:rsidRPr="005A5F81">
        <w:rPr>
          <w:sz w:val="24"/>
          <w:szCs w:val="24"/>
        </w:rPr>
        <w:t xml:space="preserve">innovation to search for </w:t>
      </w:r>
      <w:r w:rsidRPr="00235483">
        <w:rPr>
          <w:sz w:val="24"/>
          <w:szCs w:val="24"/>
        </w:rPr>
        <w:t xml:space="preserve">and test integrated solutions, using them to accelerate transformational change. </w:t>
      </w:r>
      <w:r w:rsidRPr="005A5F81">
        <w:rPr>
          <w:sz w:val="24"/>
          <w:szCs w:val="24"/>
        </w:rPr>
        <w:t xml:space="preserve">UNDP steered platforms will </w:t>
      </w:r>
      <w:r w:rsidRPr="00235483">
        <w:rPr>
          <w:sz w:val="24"/>
          <w:szCs w:val="24"/>
        </w:rPr>
        <w:t xml:space="preserve">bring multiple stakeholders together, including non-traditional actors, </w:t>
      </w:r>
      <w:r w:rsidR="00235483">
        <w:rPr>
          <w:sz w:val="24"/>
          <w:szCs w:val="24"/>
        </w:rPr>
        <w:t>s</w:t>
      </w:r>
      <w:r w:rsidR="00235483">
        <w:rPr>
          <w:sz w:val="24"/>
          <w:szCs w:val="24"/>
        </w:rPr>
        <w:t xml:space="preserve">uch as </w:t>
      </w:r>
      <w:r w:rsidRPr="00235483">
        <w:rPr>
          <w:sz w:val="24"/>
          <w:szCs w:val="24"/>
        </w:rPr>
        <w:t>businesses and foundations, facilitating their connection to regional and global networks.</w:t>
      </w:r>
      <w:r w:rsidRPr="005A5F81">
        <w:rPr>
          <w:sz w:val="24"/>
          <w:szCs w:val="24"/>
        </w:rPr>
        <w:t xml:space="preserve"> </w:t>
      </w:r>
      <w:r w:rsidRPr="00235483">
        <w:rPr>
          <w:sz w:val="24"/>
          <w:szCs w:val="24"/>
        </w:rPr>
        <w:t xml:space="preserve">It is the coherence and scalability of </w:t>
      </w:r>
      <w:r w:rsidRPr="005A5F81">
        <w:rPr>
          <w:sz w:val="24"/>
          <w:szCs w:val="24"/>
        </w:rPr>
        <w:t xml:space="preserve">systems response and broader development approach which leverage on different resources, that would offer a new opportunity to accelerate the sustainable development of Uzbekistan. </w:t>
      </w:r>
    </w:p>
    <w:p w14:paraId="7CC505D8" w14:textId="02F29E32" w:rsidR="005A5F81" w:rsidRDefault="005A5F81" w:rsidP="005A5F81">
      <w:pPr>
        <w:jc w:val="both"/>
        <w:rPr>
          <w:sz w:val="24"/>
          <w:szCs w:val="24"/>
        </w:rPr>
      </w:pPr>
      <w:bookmarkStart w:id="1" w:name="_Hlk43133626"/>
      <w:r w:rsidRPr="005A5F81">
        <w:rPr>
          <w:sz w:val="24"/>
          <w:szCs w:val="24"/>
        </w:rPr>
        <w:t xml:space="preserve">Government financing will be prioritized as an increasingly important </w:t>
      </w:r>
      <w:r>
        <w:rPr>
          <w:sz w:val="24"/>
          <w:szCs w:val="24"/>
        </w:rPr>
        <w:t xml:space="preserve">part </w:t>
      </w:r>
      <w:r w:rsidRPr="005A5F81">
        <w:rPr>
          <w:sz w:val="24"/>
          <w:szCs w:val="24"/>
        </w:rPr>
        <w:t>of UNDP business model</w:t>
      </w:r>
      <w:r>
        <w:rPr>
          <w:sz w:val="24"/>
          <w:szCs w:val="24"/>
        </w:rPr>
        <w:t>, looking beyond the ongoing cooperation in the health sector and promoting anti-corruption.</w:t>
      </w:r>
      <w:bookmarkEnd w:id="1"/>
      <w:r>
        <w:rPr>
          <w:sz w:val="24"/>
          <w:szCs w:val="24"/>
        </w:rPr>
        <w:t xml:space="preserve"> </w:t>
      </w:r>
      <w:r w:rsidRPr="005A5F81">
        <w:rPr>
          <w:sz w:val="24"/>
          <w:szCs w:val="24"/>
        </w:rPr>
        <w:t xml:space="preserve">UNDP will continue exploring partnership with the development banks, such as World Bank for poverty reduction and digitalization, Islamic Development Bank for green sukuk and women empowerment, as well as Asian Development Bank, European Investment Bank towards enhancing blended and innovative public and private financing for SDGs. UNDP will seek to further expand engagement with vertical funds, double its partnership with the EU and Russia Trust Fund, as well as </w:t>
      </w:r>
      <w:r w:rsidR="00023FE7">
        <w:rPr>
          <w:sz w:val="24"/>
          <w:szCs w:val="24"/>
        </w:rPr>
        <w:t xml:space="preserve">engage in </w:t>
      </w:r>
      <w:r w:rsidRPr="005A5F81">
        <w:rPr>
          <w:sz w:val="24"/>
          <w:szCs w:val="24"/>
        </w:rPr>
        <w:t>joint resource mobilization with UN Agencies through UN pooled funds. Further bilateral engagement with Germany, UK and Switzerland will be pursued for the governance sector, Japan for social cohesion and PVE, and Korea for employment/skills development promotion.</w:t>
      </w:r>
    </w:p>
    <w:p w14:paraId="1D9E0264" w14:textId="77F48648" w:rsidR="00023FE7" w:rsidRPr="00235483" w:rsidRDefault="00023FE7" w:rsidP="00023FE7">
      <w:pPr>
        <w:jc w:val="both"/>
        <w:rPr>
          <w:sz w:val="24"/>
          <w:szCs w:val="24"/>
        </w:rPr>
      </w:pPr>
      <w:r>
        <w:rPr>
          <w:sz w:val="24"/>
          <w:szCs w:val="24"/>
        </w:rPr>
        <w:t xml:space="preserve">In the context of COVID-19 pandemic, UNDP will invest </w:t>
      </w:r>
      <w:r w:rsidRPr="00023FE7">
        <w:rPr>
          <w:sz w:val="24"/>
          <w:szCs w:val="24"/>
        </w:rPr>
        <w:t>in good governance, social protection, green economy and digital solutions as drivers of progress across the SDGs to help build better COVID-19 responses with longer-term sustainable outcomes</w:t>
      </w:r>
      <w:r w:rsidR="00DF2663">
        <w:rPr>
          <w:sz w:val="24"/>
          <w:szCs w:val="24"/>
        </w:rPr>
        <w:t>. Through all initiatives, UNDP will aim to build back better for a greener, resilient and inclusive recovery.</w:t>
      </w:r>
    </w:p>
    <w:bookmarkEnd w:id="0"/>
    <w:p w14:paraId="6A62740F" w14:textId="77777777" w:rsidR="00C03448" w:rsidRPr="00C03448" w:rsidRDefault="00E60189" w:rsidP="008370DD">
      <w:pPr>
        <w:pStyle w:val="ListParagraph"/>
        <w:numPr>
          <w:ilvl w:val="0"/>
          <w:numId w:val="6"/>
        </w:numPr>
        <w:spacing w:after="0" w:line="240" w:lineRule="auto"/>
        <w:jc w:val="both"/>
        <w:rPr>
          <w:sz w:val="24"/>
          <w:szCs w:val="24"/>
        </w:rPr>
      </w:pPr>
      <w:r w:rsidRPr="00C03448">
        <w:rPr>
          <w:b/>
          <w:sz w:val="24"/>
          <w:szCs w:val="24"/>
        </w:rPr>
        <w:t xml:space="preserve">Funding: </w:t>
      </w:r>
    </w:p>
    <w:p w14:paraId="22674756" w14:textId="48663898" w:rsidR="005A5F81" w:rsidRDefault="005A5F81" w:rsidP="008370DD">
      <w:pPr>
        <w:pStyle w:val="ListParagraph"/>
        <w:numPr>
          <w:ilvl w:val="0"/>
          <w:numId w:val="7"/>
        </w:numPr>
        <w:spacing w:after="0" w:line="240" w:lineRule="auto"/>
        <w:jc w:val="both"/>
        <w:rPr>
          <w:bCs/>
          <w:sz w:val="24"/>
          <w:szCs w:val="24"/>
        </w:rPr>
      </w:pPr>
      <w:r>
        <w:rPr>
          <w:bCs/>
          <w:sz w:val="24"/>
          <w:szCs w:val="24"/>
        </w:rPr>
        <w:t>To i</w:t>
      </w:r>
      <w:r w:rsidRPr="005A5F81">
        <w:rPr>
          <w:bCs/>
          <w:sz w:val="24"/>
          <w:szCs w:val="24"/>
        </w:rPr>
        <w:t xml:space="preserve">ncrease the country </w:t>
      </w:r>
      <w:proofErr w:type="spellStart"/>
      <w:r w:rsidRPr="005A5F81">
        <w:rPr>
          <w:bCs/>
          <w:sz w:val="24"/>
          <w:szCs w:val="24"/>
        </w:rPr>
        <w:t>programme’s</w:t>
      </w:r>
      <w:proofErr w:type="spellEnd"/>
      <w:r w:rsidRPr="005A5F81">
        <w:rPr>
          <w:bCs/>
          <w:sz w:val="24"/>
          <w:szCs w:val="24"/>
        </w:rPr>
        <w:t xml:space="preserve"> RM </w:t>
      </w:r>
      <w:r w:rsidRPr="005A5F81">
        <w:rPr>
          <w:bCs/>
          <w:sz w:val="24"/>
          <w:szCs w:val="24"/>
        </w:rPr>
        <w:t xml:space="preserve">target </w:t>
      </w:r>
      <w:r w:rsidR="00435F75">
        <w:rPr>
          <w:bCs/>
          <w:sz w:val="24"/>
          <w:szCs w:val="24"/>
        </w:rPr>
        <w:t>by</w:t>
      </w:r>
      <w:r w:rsidR="00435F75" w:rsidRPr="005A5F81">
        <w:rPr>
          <w:bCs/>
          <w:sz w:val="24"/>
          <w:szCs w:val="24"/>
        </w:rPr>
        <w:t xml:space="preserve"> </w:t>
      </w:r>
      <w:r w:rsidRPr="005A5F81">
        <w:rPr>
          <w:bCs/>
          <w:sz w:val="24"/>
          <w:szCs w:val="24"/>
        </w:rPr>
        <w:t xml:space="preserve">30% </w:t>
      </w:r>
      <w:r>
        <w:rPr>
          <w:bCs/>
          <w:sz w:val="24"/>
          <w:szCs w:val="24"/>
        </w:rPr>
        <w:t>(</w:t>
      </w:r>
      <w:r w:rsidRPr="005A5F81">
        <w:rPr>
          <w:bCs/>
          <w:sz w:val="24"/>
          <w:szCs w:val="24"/>
        </w:rPr>
        <w:t>from 89.1M during 2016-2020 to 115M USD during 2021-2025</w:t>
      </w:r>
      <w:r>
        <w:rPr>
          <w:bCs/>
          <w:sz w:val="24"/>
          <w:szCs w:val="24"/>
        </w:rPr>
        <w:t>);</w:t>
      </w:r>
    </w:p>
    <w:p w14:paraId="4B5353B8" w14:textId="38A921E7" w:rsidR="00FD4B27" w:rsidRDefault="00FD4B27" w:rsidP="008370DD">
      <w:pPr>
        <w:pStyle w:val="ListParagraph"/>
        <w:numPr>
          <w:ilvl w:val="0"/>
          <w:numId w:val="7"/>
        </w:numPr>
        <w:spacing w:after="0" w:line="240" w:lineRule="auto"/>
        <w:jc w:val="both"/>
        <w:rPr>
          <w:bCs/>
          <w:sz w:val="24"/>
          <w:szCs w:val="24"/>
        </w:rPr>
      </w:pPr>
      <w:r>
        <w:rPr>
          <w:bCs/>
          <w:sz w:val="24"/>
          <w:szCs w:val="24"/>
        </w:rPr>
        <w:t>To build strategic alliances to advocate for advancing climate agenda, addressing inequalities in an inclusive manner and promoting benefits of the reforms for all</w:t>
      </w:r>
    </w:p>
    <w:p w14:paraId="493EA750" w14:textId="1495E8F3" w:rsidR="005A5F81" w:rsidRDefault="005A5F81" w:rsidP="008370DD">
      <w:pPr>
        <w:pStyle w:val="ListParagraph"/>
        <w:numPr>
          <w:ilvl w:val="0"/>
          <w:numId w:val="7"/>
        </w:numPr>
        <w:spacing w:after="0" w:line="240" w:lineRule="auto"/>
        <w:jc w:val="both"/>
        <w:rPr>
          <w:bCs/>
          <w:sz w:val="24"/>
          <w:szCs w:val="24"/>
        </w:rPr>
      </w:pPr>
      <w:r>
        <w:rPr>
          <w:bCs/>
          <w:sz w:val="24"/>
          <w:szCs w:val="24"/>
        </w:rPr>
        <w:t xml:space="preserve">To increase RM from vertical funds </w:t>
      </w:r>
      <w:r w:rsidR="00435F75">
        <w:rPr>
          <w:bCs/>
          <w:sz w:val="24"/>
          <w:szCs w:val="24"/>
        </w:rPr>
        <w:t xml:space="preserve">by </w:t>
      </w:r>
      <w:r>
        <w:rPr>
          <w:bCs/>
          <w:sz w:val="24"/>
          <w:szCs w:val="24"/>
        </w:rPr>
        <w:t>30%</w:t>
      </w:r>
    </w:p>
    <w:p w14:paraId="0710C4B3" w14:textId="561681ED" w:rsidR="005A5F81" w:rsidRDefault="005A5F81" w:rsidP="008370DD">
      <w:pPr>
        <w:pStyle w:val="ListParagraph"/>
        <w:numPr>
          <w:ilvl w:val="0"/>
          <w:numId w:val="7"/>
        </w:numPr>
        <w:spacing w:after="0" w:line="240" w:lineRule="auto"/>
        <w:jc w:val="both"/>
        <w:rPr>
          <w:bCs/>
          <w:sz w:val="24"/>
          <w:szCs w:val="24"/>
        </w:rPr>
      </w:pPr>
      <w:r>
        <w:rPr>
          <w:bCs/>
          <w:sz w:val="24"/>
          <w:szCs w:val="24"/>
        </w:rPr>
        <w:t xml:space="preserve">To significantly expand partnership with the EU </w:t>
      </w:r>
      <w:r w:rsidR="00435F75">
        <w:rPr>
          <w:bCs/>
          <w:sz w:val="24"/>
          <w:szCs w:val="24"/>
        </w:rPr>
        <w:t xml:space="preserve">by </w:t>
      </w:r>
      <w:r>
        <w:rPr>
          <w:bCs/>
          <w:sz w:val="24"/>
          <w:szCs w:val="24"/>
        </w:rPr>
        <w:t>90%</w:t>
      </w:r>
    </w:p>
    <w:p w14:paraId="6E6F965C" w14:textId="2C08A202" w:rsidR="005A5F81" w:rsidRDefault="0055773E" w:rsidP="008370DD">
      <w:pPr>
        <w:pStyle w:val="ListParagraph"/>
        <w:numPr>
          <w:ilvl w:val="0"/>
          <w:numId w:val="7"/>
        </w:numPr>
        <w:spacing w:after="0" w:line="240" w:lineRule="auto"/>
        <w:jc w:val="both"/>
        <w:rPr>
          <w:bCs/>
          <w:sz w:val="24"/>
          <w:szCs w:val="24"/>
        </w:rPr>
      </w:pPr>
      <w:r>
        <w:rPr>
          <w:bCs/>
          <w:sz w:val="24"/>
          <w:szCs w:val="24"/>
        </w:rPr>
        <w:t>To expand engagement with Russia, UK/DFID, Germany, Switzerland</w:t>
      </w:r>
      <w:r>
        <w:rPr>
          <w:bCs/>
          <w:sz w:val="24"/>
          <w:szCs w:val="24"/>
        </w:rPr>
        <w:t>, Korea, Japan</w:t>
      </w:r>
    </w:p>
    <w:p w14:paraId="623BF480" w14:textId="442A5A07" w:rsidR="0055773E" w:rsidRPr="005A5F81" w:rsidRDefault="0055773E" w:rsidP="008370DD">
      <w:pPr>
        <w:pStyle w:val="ListParagraph"/>
        <w:numPr>
          <w:ilvl w:val="0"/>
          <w:numId w:val="7"/>
        </w:numPr>
        <w:spacing w:after="0" w:line="240" w:lineRule="auto"/>
        <w:jc w:val="both"/>
        <w:rPr>
          <w:bCs/>
          <w:sz w:val="24"/>
          <w:szCs w:val="24"/>
        </w:rPr>
      </w:pPr>
      <w:r>
        <w:rPr>
          <w:bCs/>
          <w:sz w:val="24"/>
          <w:szCs w:val="24"/>
        </w:rPr>
        <w:t xml:space="preserve">To continue exploring opportunities to engage IFIs, specifically WB and </w:t>
      </w:r>
      <w:proofErr w:type="spellStart"/>
      <w:r>
        <w:rPr>
          <w:bCs/>
          <w:sz w:val="24"/>
          <w:szCs w:val="24"/>
        </w:rPr>
        <w:t>IsDB</w:t>
      </w:r>
      <w:proofErr w:type="spellEnd"/>
    </w:p>
    <w:p w14:paraId="500A8696" w14:textId="77777777" w:rsidR="00E60189" w:rsidRPr="00D666D9" w:rsidRDefault="00E60189" w:rsidP="00E60189">
      <w:pPr>
        <w:pStyle w:val="ListParagraph"/>
        <w:spacing w:after="0" w:line="240" w:lineRule="auto"/>
        <w:ind w:left="1080"/>
        <w:jc w:val="both"/>
        <w:rPr>
          <w:sz w:val="24"/>
          <w:szCs w:val="24"/>
        </w:rPr>
      </w:pPr>
    </w:p>
    <w:p w14:paraId="3ED9F991" w14:textId="77777777" w:rsidR="00E60189" w:rsidRPr="00D666D9" w:rsidRDefault="00E60189" w:rsidP="008370DD">
      <w:pPr>
        <w:pStyle w:val="ListParagraph"/>
        <w:numPr>
          <w:ilvl w:val="0"/>
          <w:numId w:val="6"/>
        </w:numPr>
        <w:spacing w:after="0" w:line="240" w:lineRule="auto"/>
        <w:jc w:val="both"/>
        <w:rPr>
          <w:sz w:val="24"/>
          <w:szCs w:val="24"/>
        </w:rPr>
      </w:pPr>
      <w:r w:rsidRPr="00D666D9">
        <w:rPr>
          <w:b/>
          <w:i/>
          <w:sz w:val="24"/>
          <w:szCs w:val="24"/>
          <w:u w:val="single"/>
        </w:rPr>
        <w:t xml:space="preserve">Actions </w:t>
      </w:r>
    </w:p>
    <w:p w14:paraId="48700789" w14:textId="77777777" w:rsidR="00E60189" w:rsidRPr="00F21BBA" w:rsidRDefault="00E60189" w:rsidP="00F21BBA">
      <w:pPr>
        <w:spacing w:after="0"/>
        <w:jc w:val="both"/>
        <w:rPr>
          <w:sz w:val="24"/>
          <w:szCs w:val="24"/>
        </w:rPr>
      </w:pPr>
      <w:r w:rsidRPr="00F21BBA">
        <w:rPr>
          <w:b/>
          <w:sz w:val="24"/>
          <w:szCs w:val="24"/>
          <w:u w:val="single"/>
        </w:rPr>
        <w:t>Table A.</w:t>
      </w:r>
      <w:r w:rsidRPr="00F21BBA">
        <w:rPr>
          <w:b/>
          <w:sz w:val="24"/>
          <w:szCs w:val="24"/>
        </w:rPr>
        <w:t xml:space="preserve"> Action Plan: </w:t>
      </w:r>
    </w:p>
    <w:p w14:paraId="0CDDFAEC" w14:textId="77777777" w:rsidR="00E60189" w:rsidRPr="001A3A41" w:rsidRDefault="00E60189" w:rsidP="00E60189">
      <w:pPr>
        <w:spacing w:after="0" w:line="240" w:lineRule="auto"/>
        <w:jc w:val="both"/>
        <w:rPr>
          <w:sz w:val="24"/>
          <w:szCs w:val="24"/>
        </w:rPr>
      </w:pPr>
    </w:p>
    <w:tbl>
      <w:tblPr>
        <w:tblStyle w:val="TableGrid"/>
        <w:tblW w:w="10620" w:type="dxa"/>
        <w:tblInd w:w="-635" w:type="dxa"/>
        <w:tblLook w:val="04A0" w:firstRow="1" w:lastRow="0" w:firstColumn="1" w:lastColumn="0" w:noHBand="0" w:noVBand="1"/>
      </w:tblPr>
      <w:tblGrid>
        <w:gridCol w:w="1607"/>
        <w:gridCol w:w="1238"/>
        <w:gridCol w:w="2339"/>
        <w:gridCol w:w="4145"/>
        <w:gridCol w:w="1291"/>
      </w:tblGrid>
      <w:tr w:rsidR="00A32200" w:rsidRPr="005B0EC3" w14:paraId="1045F035" w14:textId="77777777" w:rsidTr="004112B1">
        <w:trPr>
          <w:trHeight w:val="1524"/>
        </w:trPr>
        <w:tc>
          <w:tcPr>
            <w:tcW w:w="1436" w:type="dxa"/>
            <w:shd w:val="clear" w:color="auto" w:fill="DEEAF6" w:themeFill="accent1" w:themeFillTint="33"/>
          </w:tcPr>
          <w:p w14:paraId="3AEFF5A5" w14:textId="218C0680" w:rsidR="00E60189" w:rsidRPr="005B0EC3" w:rsidRDefault="00E60189" w:rsidP="00074A65">
            <w:pPr>
              <w:pStyle w:val="ListParagraph"/>
              <w:ind w:left="0"/>
              <w:jc w:val="center"/>
              <w:rPr>
                <w:b/>
                <w:sz w:val="18"/>
                <w:szCs w:val="18"/>
              </w:rPr>
            </w:pPr>
            <w:r w:rsidRPr="005B0EC3">
              <w:rPr>
                <w:b/>
                <w:sz w:val="18"/>
                <w:szCs w:val="18"/>
                <w:u w:val="single"/>
              </w:rPr>
              <w:t>Target partner</w:t>
            </w:r>
            <w:r w:rsidRPr="005B0EC3">
              <w:rPr>
                <w:b/>
                <w:sz w:val="18"/>
                <w:szCs w:val="18"/>
              </w:rPr>
              <w:t xml:space="preserve"> </w:t>
            </w:r>
          </w:p>
        </w:tc>
        <w:tc>
          <w:tcPr>
            <w:tcW w:w="1252" w:type="dxa"/>
            <w:shd w:val="clear" w:color="auto" w:fill="DEEAF6" w:themeFill="accent1" w:themeFillTint="33"/>
          </w:tcPr>
          <w:p w14:paraId="22AF807A" w14:textId="769086B0" w:rsidR="00E60189" w:rsidRPr="005B0EC3" w:rsidRDefault="00E60189" w:rsidP="00074A65">
            <w:pPr>
              <w:pStyle w:val="ListParagraph"/>
              <w:ind w:left="0"/>
              <w:rPr>
                <w:b/>
                <w:sz w:val="18"/>
                <w:szCs w:val="18"/>
                <w:u w:val="single"/>
              </w:rPr>
            </w:pPr>
            <w:r w:rsidRPr="005B0EC3">
              <w:rPr>
                <w:b/>
                <w:sz w:val="18"/>
                <w:szCs w:val="18"/>
                <w:u w:val="single"/>
              </w:rPr>
              <w:t>Expected funding</w:t>
            </w:r>
            <w:r w:rsidR="00E83EB8">
              <w:rPr>
                <w:b/>
                <w:sz w:val="18"/>
                <w:szCs w:val="18"/>
                <w:u w:val="single"/>
              </w:rPr>
              <w:t xml:space="preserve"> (USD)</w:t>
            </w:r>
          </w:p>
          <w:p w14:paraId="41E09160" w14:textId="77777777" w:rsidR="00E60189" w:rsidRPr="005B0EC3" w:rsidRDefault="00E60189" w:rsidP="00074A65">
            <w:pPr>
              <w:pStyle w:val="ListParagraph"/>
              <w:ind w:left="0"/>
              <w:rPr>
                <w:b/>
                <w:sz w:val="18"/>
                <w:szCs w:val="18"/>
              </w:rPr>
            </w:pPr>
            <w:r>
              <w:rPr>
                <w:i/>
                <w:sz w:val="18"/>
                <w:szCs w:val="18"/>
              </w:rPr>
              <w:t xml:space="preserve">(+X% or $Y from $Z in YYYY) </w:t>
            </w:r>
          </w:p>
        </w:tc>
        <w:tc>
          <w:tcPr>
            <w:tcW w:w="2384" w:type="dxa"/>
            <w:shd w:val="clear" w:color="auto" w:fill="DEEAF6" w:themeFill="accent1" w:themeFillTint="33"/>
          </w:tcPr>
          <w:p w14:paraId="5F35ED89" w14:textId="640CEA29" w:rsidR="00E60189" w:rsidRDefault="00E60189" w:rsidP="00074A65">
            <w:pPr>
              <w:pStyle w:val="ListParagraph"/>
              <w:ind w:left="0"/>
              <w:jc w:val="center"/>
              <w:rPr>
                <w:b/>
                <w:sz w:val="18"/>
                <w:szCs w:val="18"/>
                <w:u w:val="single"/>
              </w:rPr>
            </w:pPr>
            <w:r w:rsidRPr="005B0EC3">
              <w:rPr>
                <w:b/>
                <w:sz w:val="18"/>
                <w:szCs w:val="18"/>
                <w:u w:val="single"/>
              </w:rPr>
              <w:t>Targeted area(s) of cooperation</w:t>
            </w:r>
          </w:p>
          <w:p w14:paraId="32E67C8F" w14:textId="3673364B" w:rsidR="00E60189" w:rsidRDefault="00E60189" w:rsidP="00074A65">
            <w:pPr>
              <w:pStyle w:val="ListParagraph"/>
              <w:ind w:left="0"/>
              <w:jc w:val="center"/>
              <w:rPr>
                <w:b/>
                <w:sz w:val="18"/>
                <w:szCs w:val="18"/>
                <w:u w:val="single"/>
              </w:rPr>
            </w:pPr>
            <w:r>
              <w:rPr>
                <w:i/>
                <w:sz w:val="18"/>
                <w:szCs w:val="18"/>
              </w:rPr>
              <w:t>L</w:t>
            </w:r>
            <w:r w:rsidRPr="005B0EC3">
              <w:rPr>
                <w:i/>
                <w:sz w:val="18"/>
                <w:szCs w:val="18"/>
              </w:rPr>
              <w:t>inked to new Strategic Plan)</w:t>
            </w:r>
            <w:r>
              <w:rPr>
                <w:b/>
                <w:sz w:val="18"/>
                <w:szCs w:val="18"/>
                <w:u w:val="single"/>
              </w:rPr>
              <w:t xml:space="preserve"> </w:t>
            </w:r>
          </w:p>
          <w:p w14:paraId="2EDABE84" w14:textId="13E21A05" w:rsidR="00E60189" w:rsidRPr="005B0EC3" w:rsidRDefault="00E60189" w:rsidP="00074A65">
            <w:pPr>
              <w:pStyle w:val="ListParagraph"/>
              <w:ind w:left="0"/>
              <w:jc w:val="center"/>
              <w:rPr>
                <w:sz w:val="18"/>
                <w:szCs w:val="18"/>
              </w:rPr>
            </w:pPr>
            <w:r w:rsidRPr="005B0EC3">
              <w:rPr>
                <w:sz w:val="18"/>
                <w:szCs w:val="18"/>
              </w:rPr>
              <w:t xml:space="preserve"> </w:t>
            </w:r>
          </w:p>
        </w:tc>
        <w:tc>
          <w:tcPr>
            <w:tcW w:w="4257" w:type="dxa"/>
            <w:shd w:val="clear" w:color="auto" w:fill="DEEAF6" w:themeFill="accent1" w:themeFillTint="33"/>
          </w:tcPr>
          <w:p w14:paraId="18CBA5EC" w14:textId="77777777" w:rsidR="00E60189" w:rsidRPr="005B0EC3" w:rsidRDefault="00E60189" w:rsidP="00074A65">
            <w:pPr>
              <w:pStyle w:val="ListParagraph"/>
              <w:ind w:left="0"/>
              <w:jc w:val="center"/>
              <w:rPr>
                <w:b/>
                <w:sz w:val="18"/>
                <w:szCs w:val="18"/>
                <w:u w:val="single"/>
              </w:rPr>
            </w:pPr>
            <w:r w:rsidRPr="005B0EC3">
              <w:rPr>
                <w:b/>
                <w:sz w:val="18"/>
                <w:szCs w:val="18"/>
                <w:u w:val="single"/>
              </w:rPr>
              <w:t>Concrete actions and timing</w:t>
            </w:r>
            <w:r w:rsidRPr="005B0EC3">
              <w:rPr>
                <w:b/>
                <w:sz w:val="18"/>
                <w:szCs w:val="18"/>
              </w:rPr>
              <w:t xml:space="preserve"> </w:t>
            </w:r>
            <w:r w:rsidRPr="005B0EC3">
              <w:rPr>
                <w:b/>
                <w:sz w:val="18"/>
                <w:szCs w:val="18"/>
                <w:u w:val="single"/>
              </w:rPr>
              <w:t xml:space="preserve">for engagement </w:t>
            </w:r>
          </w:p>
          <w:p w14:paraId="57A90BA6" w14:textId="77777777" w:rsidR="00E60189" w:rsidRPr="005B0EC3" w:rsidRDefault="00E60189" w:rsidP="00074A65">
            <w:pPr>
              <w:pStyle w:val="ListParagraph"/>
              <w:ind w:left="0"/>
              <w:jc w:val="center"/>
              <w:rPr>
                <w:b/>
                <w:sz w:val="18"/>
                <w:szCs w:val="18"/>
              </w:rPr>
            </w:pPr>
            <w:r>
              <w:rPr>
                <w:i/>
                <w:sz w:val="18"/>
                <w:szCs w:val="18"/>
              </w:rPr>
              <w:t>(Consider partners’ budget cycle and most influencing persons for identifying good entry points for partnership and influencing funding decisions by partners. S</w:t>
            </w:r>
            <w:r w:rsidRPr="005B0EC3">
              <w:rPr>
                <w:i/>
                <w:sz w:val="18"/>
                <w:szCs w:val="18"/>
              </w:rPr>
              <w:t>pecify the joint policy dialogues, high level meeting/letters, proposal submissions, etc</w:t>
            </w:r>
            <w:r>
              <w:rPr>
                <w:i/>
                <w:sz w:val="18"/>
                <w:szCs w:val="18"/>
              </w:rPr>
              <w:t>. Indicate needed CO capacity investments</w:t>
            </w:r>
            <w:r w:rsidRPr="005B0EC3">
              <w:rPr>
                <w:i/>
                <w:sz w:val="18"/>
                <w:szCs w:val="18"/>
              </w:rPr>
              <w:t>)</w:t>
            </w:r>
          </w:p>
        </w:tc>
        <w:tc>
          <w:tcPr>
            <w:tcW w:w="1291" w:type="dxa"/>
            <w:shd w:val="clear" w:color="auto" w:fill="DEEAF6" w:themeFill="accent1" w:themeFillTint="33"/>
          </w:tcPr>
          <w:p w14:paraId="0B30D2FF" w14:textId="77777777" w:rsidR="00E60189" w:rsidRPr="005B0EC3" w:rsidRDefault="00E60189" w:rsidP="00074A65">
            <w:pPr>
              <w:pStyle w:val="ListParagraph"/>
              <w:ind w:left="0"/>
              <w:jc w:val="center"/>
              <w:rPr>
                <w:b/>
                <w:sz w:val="18"/>
                <w:szCs w:val="18"/>
                <w:u w:val="single"/>
              </w:rPr>
            </w:pPr>
            <w:r w:rsidRPr="005B0EC3">
              <w:rPr>
                <w:b/>
                <w:sz w:val="18"/>
                <w:szCs w:val="18"/>
                <w:u w:val="single"/>
              </w:rPr>
              <w:t xml:space="preserve">Responsible CO </w:t>
            </w:r>
            <w:r>
              <w:rPr>
                <w:b/>
                <w:sz w:val="18"/>
                <w:szCs w:val="18"/>
                <w:u w:val="single"/>
              </w:rPr>
              <w:t>U</w:t>
            </w:r>
            <w:r w:rsidRPr="005B0EC3">
              <w:rPr>
                <w:b/>
                <w:sz w:val="18"/>
                <w:szCs w:val="18"/>
                <w:u w:val="single"/>
              </w:rPr>
              <w:t>nit/</w:t>
            </w:r>
            <w:r>
              <w:rPr>
                <w:b/>
                <w:sz w:val="18"/>
                <w:szCs w:val="18"/>
                <w:u w:val="single"/>
              </w:rPr>
              <w:t>Person</w:t>
            </w:r>
          </w:p>
          <w:p w14:paraId="6B1B457E" w14:textId="77777777" w:rsidR="00E60189" w:rsidRPr="005B0EC3" w:rsidRDefault="00E60189" w:rsidP="00074A65">
            <w:pPr>
              <w:pStyle w:val="ListParagraph"/>
              <w:ind w:left="0"/>
              <w:jc w:val="center"/>
              <w:rPr>
                <w:sz w:val="18"/>
                <w:szCs w:val="18"/>
              </w:rPr>
            </w:pPr>
            <w:r w:rsidRPr="005B0EC3">
              <w:rPr>
                <w:sz w:val="18"/>
                <w:szCs w:val="18"/>
              </w:rPr>
              <w:t>(</w:t>
            </w:r>
            <w:r>
              <w:rPr>
                <w:sz w:val="18"/>
                <w:szCs w:val="18"/>
              </w:rPr>
              <w:t>A</w:t>
            </w:r>
            <w:r w:rsidRPr="005B0EC3">
              <w:rPr>
                <w:sz w:val="18"/>
                <w:szCs w:val="18"/>
              </w:rPr>
              <w:t>nd supporting</w:t>
            </w:r>
            <w:r>
              <w:rPr>
                <w:sz w:val="18"/>
                <w:szCs w:val="18"/>
              </w:rPr>
              <w:t xml:space="preserve"> unit/persons if any</w:t>
            </w:r>
            <w:r w:rsidRPr="005B0EC3">
              <w:rPr>
                <w:sz w:val="18"/>
                <w:szCs w:val="18"/>
              </w:rPr>
              <w:t>)</w:t>
            </w:r>
          </w:p>
        </w:tc>
      </w:tr>
      <w:tr w:rsidR="00A32200" w:rsidRPr="00020198" w14:paraId="41080CA6" w14:textId="77777777" w:rsidTr="004112B1">
        <w:trPr>
          <w:trHeight w:val="254"/>
        </w:trPr>
        <w:tc>
          <w:tcPr>
            <w:tcW w:w="1436" w:type="dxa"/>
          </w:tcPr>
          <w:p w14:paraId="661CD76D" w14:textId="31A57C64" w:rsidR="00E60189" w:rsidRDefault="00C03448" w:rsidP="00074A65">
            <w:pPr>
              <w:pStyle w:val="ListParagraph"/>
              <w:ind w:left="0"/>
              <w:rPr>
                <w:b/>
                <w:sz w:val="20"/>
                <w:szCs w:val="20"/>
              </w:rPr>
            </w:pPr>
            <w:r>
              <w:rPr>
                <w:b/>
                <w:sz w:val="20"/>
                <w:szCs w:val="20"/>
              </w:rPr>
              <w:t>Government of Uzbekistan</w:t>
            </w:r>
          </w:p>
        </w:tc>
        <w:tc>
          <w:tcPr>
            <w:tcW w:w="1252" w:type="dxa"/>
          </w:tcPr>
          <w:p w14:paraId="7B8156F2" w14:textId="03FEE913" w:rsidR="00E60189" w:rsidRPr="00127F5E" w:rsidRDefault="005A5F81" w:rsidP="00074A65">
            <w:pPr>
              <w:pStyle w:val="ListParagraph"/>
              <w:ind w:left="0"/>
              <w:rPr>
                <w:sz w:val="20"/>
                <w:szCs w:val="20"/>
              </w:rPr>
            </w:pPr>
            <w:r>
              <w:rPr>
                <w:sz w:val="20"/>
                <w:szCs w:val="20"/>
              </w:rPr>
              <w:t>21</w:t>
            </w:r>
            <w:r w:rsidR="001100E4">
              <w:rPr>
                <w:sz w:val="20"/>
                <w:szCs w:val="20"/>
              </w:rPr>
              <w:t>% increase (from 2</w:t>
            </w:r>
            <w:r>
              <w:rPr>
                <w:sz w:val="20"/>
                <w:szCs w:val="20"/>
              </w:rPr>
              <w:t>2</w:t>
            </w:r>
            <w:r w:rsidR="001100E4">
              <w:rPr>
                <w:sz w:val="20"/>
                <w:szCs w:val="20"/>
              </w:rPr>
              <w:t xml:space="preserve">M to </w:t>
            </w:r>
            <w:r>
              <w:rPr>
                <w:sz w:val="20"/>
                <w:szCs w:val="20"/>
              </w:rPr>
              <w:t>27</w:t>
            </w:r>
            <w:r w:rsidR="001100E4">
              <w:rPr>
                <w:sz w:val="20"/>
                <w:szCs w:val="20"/>
              </w:rPr>
              <w:t>M)</w:t>
            </w:r>
          </w:p>
        </w:tc>
        <w:tc>
          <w:tcPr>
            <w:tcW w:w="2384" w:type="dxa"/>
          </w:tcPr>
          <w:p w14:paraId="2BF186C3" w14:textId="448AD176" w:rsidR="00E60189" w:rsidRPr="0055773E" w:rsidRDefault="0055773E" w:rsidP="00074A65">
            <w:pPr>
              <w:pStyle w:val="ListParagraph"/>
              <w:ind w:left="0"/>
              <w:rPr>
                <w:bCs/>
                <w:sz w:val="20"/>
                <w:szCs w:val="20"/>
              </w:rPr>
            </w:pPr>
            <w:r w:rsidRPr="0055773E">
              <w:rPr>
                <w:bCs/>
                <w:sz w:val="20"/>
                <w:szCs w:val="20"/>
              </w:rPr>
              <w:t>Outcome 2: A</w:t>
            </w:r>
            <w:r w:rsidR="00A32200">
              <w:rPr>
                <w:bCs/>
                <w:sz w:val="20"/>
                <w:szCs w:val="20"/>
              </w:rPr>
              <w:t xml:space="preserve">ccelerate Structural Transformations for Sustainable Development </w:t>
            </w:r>
          </w:p>
        </w:tc>
        <w:tc>
          <w:tcPr>
            <w:tcW w:w="4257" w:type="dxa"/>
          </w:tcPr>
          <w:p w14:paraId="0C8A5C6A" w14:textId="1E56CE25" w:rsidR="00E60189" w:rsidRDefault="00037127" w:rsidP="008370DD">
            <w:pPr>
              <w:pStyle w:val="ListParagraph"/>
              <w:numPr>
                <w:ilvl w:val="0"/>
                <w:numId w:val="7"/>
              </w:numPr>
              <w:rPr>
                <w:bCs/>
                <w:sz w:val="20"/>
                <w:szCs w:val="20"/>
              </w:rPr>
            </w:pPr>
            <w:r>
              <w:rPr>
                <w:bCs/>
                <w:sz w:val="20"/>
                <w:szCs w:val="20"/>
              </w:rPr>
              <w:t xml:space="preserve">Enhance strategic engagement with the Ministry of Health to further advance procurement of health products and supply chain management capacity development, </w:t>
            </w:r>
            <w:r>
              <w:rPr>
                <w:bCs/>
                <w:sz w:val="20"/>
                <w:szCs w:val="20"/>
              </w:rPr>
              <w:lastRenderedPageBreak/>
              <w:t>aiming to maintain similar levels of annual engagement</w:t>
            </w:r>
          </w:p>
          <w:p w14:paraId="52457DF2" w14:textId="77777777" w:rsidR="00037127" w:rsidRDefault="00037127" w:rsidP="008370DD">
            <w:pPr>
              <w:pStyle w:val="ListParagraph"/>
              <w:numPr>
                <w:ilvl w:val="0"/>
                <w:numId w:val="7"/>
              </w:numPr>
              <w:rPr>
                <w:bCs/>
                <w:sz w:val="20"/>
                <w:szCs w:val="20"/>
              </w:rPr>
            </w:pPr>
            <w:r>
              <w:rPr>
                <w:bCs/>
                <w:sz w:val="20"/>
                <w:szCs w:val="20"/>
              </w:rPr>
              <w:t>Further nurture strategic and substantive engagement with the Ministry of Justice to advance anti-corruption reform</w:t>
            </w:r>
          </w:p>
          <w:p w14:paraId="6BCBC2A0" w14:textId="089C4C68" w:rsidR="00FD4B27" w:rsidRPr="0055773E" w:rsidRDefault="005A33EE" w:rsidP="005A33EE">
            <w:pPr>
              <w:pStyle w:val="ListParagraph"/>
              <w:numPr>
                <w:ilvl w:val="0"/>
                <w:numId w:val="7"/>
              </w:numPr>
              <w:rPr>
                <w:bCs/>
                <w:sz w:val="20"/>
                <w:szCs w:val="20"/>
              </w:rPr>
            </w:pPr>
            <w:r>
              <w:rPr>
                <w:bCs/>
                <w:sz w:val="20"/>
                <w:szCs w:val="20"/>
              </w:rPr>
              <w:t>Enhance partnership with the Ministry of Finance around Financing for Sustainable Development, to provide coherence and innovative financing for SD, including by engaging t</w:t>
            </w:r>
            <w:r w:rsidR="00FD4B27" w:rsidRPr="00FD4B27">
              <w:rPr>
                <w:bCs/>
                <w:sz w:val="20"/>
                <w:szCs w:val="20"/>
              </w:rPr>
              <w:t>he Capital Market Development Agency to advance green sukuk</w:t>
            </w:r>
          </w:p>
        </w:tc>
        <w:tc>
          <w:tcPr>
            <w:tcW w:w="1291" w:type="dxa"/>
          </w:tcPr>
          <w:p w14:paraId="02F66186" w14:textId="373CC009" w:rsidR="00E60189" w:rsidRPr="00020198" w:rsidRDefault="00037127" w:rsidP="00074A65">
            <w:pPr>
              <w:pStyle w:val="ListParagraph"/>
              <w:ind w:left="0"/>
              <w:rPr>
                <w:b/>
                <w:sz w:val="20"/>
                <w:szCs w:val="20"/>
              </w:rPr>
            </w:pPr>
            <w:r>
              <w:rPr>
                <w:b/>
                <w:sz w:val="20"/>
                <w:szCs w:val="20"/>
              </w:rPr>
              <w:lastRenderedPageBreak/>
              <w:t>Governance Cluster Leader/RR/ DRR</w:t>
            </w:r>
          </w:p>
        </w:tc>
      </w:tr>
      <w:tr w:rsidR="00A32200" w:rsidRPr="00020198" w14:paraId="1E915EE2" w14:textId="77777777" w:rsidTr="004112B1">
        <w:trPr>
          <w:trHeight w:val="254"/>
        </w:trPr>
        <w:tc>
          <w:tcPr>
            <w:tcW w:w="1436" w:type="dxa"/>
          </w:tcPr>
          <w:p w14:paraId="1ED56107" w14:textId="77777777" w:rsidR="0055773E" w:rsidRDefault="0055773E" w:rsidP="0055773E">
            <w:pPr>
              <w:pStyle w:val="ListParagraph"/>
              <w:ind w:left="0"/>
              <w:rPr>
                <w:b/>
                <w:sz w:val="20"/>
                <w:szCs w:val="20"/>
              </w:rPr>
            </w:pPr>
            <w:r>
              <w:rPr>
                <w:b/>
                <w:sz w:val="20"/>
                <w:szCs w:val="20"/>
              </w:rPr>
              <w:t>Vertical Funds</w:t>
            </w:r>
          </w:p>
          <w:p w14:paraId="6CDA1445" w14:textId="26356B30" w:rsidR="0055773E" w:rsidRDefault="0055773E" w:rsidP="0055773E">
            <w:pPr>
              <w:pStyle w:val="ListParagraph"/>
              <w:ind w:left="0"/>
              <w:rPr>
                <w:b/>
                <w:sz w:val="20"/>
                <w:szCs w:val="20"/>
              </w:rPr>
            </w:pPr>
          </w:p>
        </w:tc>
        <w:tc>
          <w:tcPr>
            <w:tcW w:w="1252" w:type="dxa"/>
          </w:tcPr>
          <w:p w14:paraId="0548955A" w14:textId="7AF7FCF1" w:rsidR="0055773E" w:rsidRPr="00020198" w:rsidRDefault="0055773E" w:rsidP="0055773E">
            <w:pPr>
              <w:pStyle w:val="ListParagraph"/>
              <w:ind w:left="0"/>
              <w:rPr>
                <w:b/>
                <w:sz w:val="20"/>
                <w:szCs w:val="20"/>
              </w:rPr>
            </w:pPr>
            <w:r w:rsidRPr="00E83EB8">
              <w:rPr>
                <w:bCs/>
                <w:sz w:val="20"/>
                <w:szCs w:val="20"/>
              </w:rPr>
              <w:t>30% increase (from 18.7M to 24.6M)</w:t>
            </w:r>
          </w:p>
        </w:tc>
        <w:tc>
          <w:tcPr>
            <w:tcW w:w="2384" w:type="dxa"/>
          </w:tcPr>
          <w:p w14:paraId="54AC3E8E" w14:textId="34A23E69" w:rsidR="0055773E" w:rsidRPr="0055773E" w:rsidRDefault="00A32200" w:rsidP="0055773E">
            <w:pPr>
              <w:pStyle w:val="ListParagraph"/>
              <w:ind w:left="0"/>
              <w:rPr>
                <w:bCs/>
                <w:sz w:val="20"/>
                <w:szCs w:val="20"/>
              </w:rPr>
            </w:pPr>
            <w:r w:rsidRPr="0055773E">
              <w:rPr>
                <w:bCs/>
                <w:sz w:val="20"/>
                <w:szCs w:val="20"/>
              </w:rPr>
              <w:t>Outcome 2: A</w:t>
            </w:r>
            <w:r>
              <w:rPr>
                <w:bCs/>
                <w:sz w:val="20"/>
                <w:szCs w:val="20"/>
              </w:rPr>
              <w:t xml:space="preserve">ccelerate Structural Transformations for Sustainable Development </w:t>
            </w:r>
          </w:p>
          <w:p w14:paraId="70F5750A" w14:textId="77777777" w:rsidR="0055773E" w:rsidRPr="0055773E" w:rsidRDefault="0055773E" w:rsidP="0055773E">
            <w:pPr>
              <w:pStyle w:val="ListParagraph"/>
              <w:ind w:left="0"/>
              <w:rPr>
                <w:bCs/>
                <w:sz w:val="20"/>
                <w:szCs w:val="20"/>
              </w:rPr>
            </w:pPr>
          </w:p>
          <w:p w14:paraId="4C9661F4" w14:textId="12D30C36" w:rsidR="0055773E" w:rsidRPr="0055773E" w:rsidRDefault="0055773E" w:rsidP="0055773E">
            <w:pPr>
              <w:pStyle w:val="ListParagraph"/>
              <w:ind w:left="0"/>
              <w:rPr>
                <w:bCs/>
                <w:sz w:val="20"/>
                <w:szCs w:val="20"/>
              </w:rPr>
            </w:pPr>
            <w:r w:rsidRPr="0055773E">
              <w:rPr>
                <w:bCs/>
                <w:sz w:val="20"/>
                <w:szCs w:val="20"/>
              </w:rPr>
              <w:t>Outcome 3: S</w:t>
            </w:r>
            <w:r w:rsidR="00A32200">
              <w:rPr>
                <w:bCs/>
                <w:sz w:val="20"/>
                <w:szCs w:val="20"/>
              </w:rPr>
              <w:t xml:space="preserve">trengthen resilience to shocks and crisis </w:t>
            </w:r>
          </w:p>
        </w:tc>
        <w:tc>
          <w:tcPr>
            <w:tcW w:w="4257" w:type="dxa"/>
          </w:tcPr>
          <w:p w14:paraId="1DF4754D" w14:textId="77777777" w:rsidR="0055773E" w:rsidRDefault="00550019" w:rsidP="008370DD">
            <w:pPr>
              <w:pStyle w:val="ListParagraph"/>
              <w:numPr>
                <w:ilvl w:val="0"/>
                <w:numId w:val="7"/>
              </w:numPr>
              <w:rPr>
                <w:sz w:val="20"/>
                <w:szCs w:val="20"/>
              </w:rPr>
            </w:pPr>
            <w:r w:rsidRPr="00550019">
              <w:rPr>
                <w:sz w:val="20"/>
                <w:szCs w:val="20"/>
              </w:rPr>
              <w:t>Continue close cooperation with regional and HQ technical advisors for timely development of the four proposals in the area of n</w:t>
            </w:r>
            <w:r w:rsidR="0055773E" w:rsidRPr="00550019">
              <w:rPr>
                <w:sz w:val="20"/>
                <w:szCs w:val="20"/>
              </w:rPr>
              <w:t>atural resources management, climate change adaptation and mitigation</w:t>
            </w:r>
            <w:r w:rsidRPr="00550019">
              <w:rPr>
                <w:sz w:val="20"/>
                <w:szCs w:val="20"/>
              </w:rPr>
              <w:t>.</w:t>
            </w:r>
          </w:p>
          <w:p w14:paraId="4038B9B0" w14:textId="4DD79F8D" w:rsidR="00F538A2" w:rsidRPr="00550019" w:rsidRDefault="00F538A2" w:rsidP="008370DD">
            <w:pPr>
              <w:pStyle w:val="ListParagraph"/>
              <w:numPr>
                <w:ilvl w:val="0"/>
                <w:numId w:val="7"/>
              </w:numPr>
              <w:rPr>
                <w:sz w:val="20"/>
                <w:szCs w:val="20"/>
              </w:rPr>
            </w:pPr>
            <w:r>
              <w:rPr>
                <w:sz w:val="20"/>
                <w:szCs w:val="20"/>
              </w:rPr>
              <w:t xml:space="preserve">Expand work on integrated solutions in Aral Sea region </w:t>
            </w:r>
          </w:p>
        </w:tc>
        <w:tc>
          <w:tcPr>
            <w:tcW w:w="1291" w:type="dxa"/>
          </w:tcPr>
          <w:p w14:paraId="0AB4677B" w14:textId="77777777" w:rsidR="00550019" w:rsidRDefault="00550019" w:rsidP="0055773E">
            <w:pPr>
              <w:pStyle w:val="ListParagraph"/>
              <w:ind w:left="0"/>
              <w:rPr>
                <w:b/>
                <w:sz w:val="20"/>
                <w:szCs w:val="20"/>
              </w:rPr>
            </w:pPr>
            <w:r>
              <w:rPr>
                <w:b/>
                <w:sz w:val="20"/>
                <w:szCs w:val="20"/>
              </w:rPr>
              <w:t>Environment and Climate Action Cluster Leader/IRH/</w:t>
            </w:r>
          </w:p>
          <w:p w14:paraId="5B386BEE" w14:textId="779D3D4E" w:rsidR="0055773E" w:rsidRPr="00020198" w:rsidRDefault="00550019" w:rsidP="0055773E">
            <w:pPr>
              <w:pStyle w:val="ListParagraph"/>
              <w:ind w:left="0"/>
              <w:rPr>
                <w:b/>
                <w:sz w:val="20"/>
                <w:szCs w:val="20"/>
              </w:rPr>
            </w:pPr>
            <w:r>
              <w:rPr>
                <w:b/>
                <w:sz w:val="20"/>
                <w:szCs w:val="20"/>
              </w:rPr>
              <w:t>RR/DRR</w:t>
            </w:r>
          </w:p>
        </w:tc>
      </w:tr>
      <w:tr w:rsidR="00EA11FE" w:rsidRPr="00020198" w14:paraId="56A5E3B5" w14:textId="77777777" w:rsidTr="004112B1">
        <w:trPr>
          <w:trHeight w:val="254"/>
        </w:trPr>
        <w:tc>
          <w:tcPr>
            <w:tcW w:w="1436" w:type="dxa"/>
          </w:tcPr>
          <w:p w14:paraId="2657E7AB" w14:textId="77777777" w:rsidR="0055773E" w:rsidRDefault="0055773E" w:rsidP="0055773E">
            <w:pPr>
              <w:pStyle w:val="ListParagraph"/>
              <w:ind w:left="0"/>
              <w:rPr>
                <w:b/>
                <w:sz w:val="20"/>
                <w:szCs w:val="20"/>
              </w:rPr>
            </w:pPr>
            <w:r>
              <w:rPr>
                <w:b/>
                <w:sz w:val="20"/>
                <w:szCs w:val="20"/>
              </w:rPr>
              <w:t>EU</w:t>
            </w:r>
          </w:p>
          <w:p w14:paraId="2FA68D71" w14:textId="2B45AD44" w:rsidR="0055773E" w:rsidRDefault="0055773E" w:rsidP="0055773E">
            <w:pPr>
              <w:pStyle w:val="ListParagraph"/>
              <w:ind w:left="0"/>
              <w:rPr>
                <w:b/>
                <w:sz w:val="20"/>
                <w:szCs w:val="20"/>
              </w:rPr>
            </w:pPr>
          </w:p>
        </w:tc>
        <w:tc>
          <w:tcPr>
            <w:tcW w:w="1252" w:type="dxa"/>
          </w:tcPr>
          <w:p w14:paraId="238D05F0" w14:textId="477A11B2" w:rsidR="0055773E" w:rsidRPr="00E83EB8" w:rsidRDefault="0055773E" w:rsidP="0055773E">
            <w:pPr>
              <w:pStyle w:val="ListParagraph"/>
              <w:ind w:left="0"/>
              <w:rPr>
                <w:bCs/>
                <w:sz w:val="20"/>
                <w:szCs w:val="20"/>
              </w:rPr>
            </w:pPr>
            <w:r>
              <w:rPr>
                <w:bCs/>
                <w:sz w:val="20"/>
                <w:szCs w:val="20"/>
              </w:rPr>
              <w:t>90% increase (from 12,9M to 24.6M)</w:t>
            </w:r>
          </w:p>
        </w:tc>
        <w:tc>
          <w:tcPr>
            <w:tcW w:w="2384" w:type="dxa"/>
          </w:tcPr>
          <w:p w14:paraId="50BEBC8F" w14:textId="2A2BD2E5" w:rsidR="00A32200" w:rsidRDefault="00A32200" w:rsidP="00550019">
            <w:pPr>
              <w:pStyle w:val="ListParagraph"/>
              <w:ind w:left="0"/>
              <w:rPr>
                <w:bCs/>
                <w:sz w:val="20"/>
                <w:szCs w:val="20"/>
              </w:rPr>
            </w:pPr>
            <w:r w:rsidRPr="0055773E">
              <w:rPr>
                <w:bCs/>
                <w:sz w:val="20"/>
                <w:szCs w:val="20"/>
              </w:rPr>
              <w:t>Outcome 2: A</w:t>
            </w:r>
            <w:r>
              <w:rPr>
                <w:bCs/>
                <w:sz w:val="20"/>
                <w:szCs w:val="20"/>
              </w:rPr>
              <w:t xml:space="preserve">ccelerate Structural Transformations for Sustainable Development </w:t>
            </w:r>
          </w:p>
          <w:p w14:paraId="6E466179" w14:textId="77777777" w:rsidR="00A32200" w:rsidRDefault="00A32200" w:rsidP="00550019">
            <w:pPr>
              <w:pStyle w:val="ListParagraph"/>
              <w:ind w:left="0"/>
              <w:rPr>
                <w:bCs/>
                <w:sz w:val="20"/>
                <w:szCs w:val="20"/>
              </w:rPr>
            </w:pPr>
          </w:p>
          <w:p w14:paraId="74299283" w14:textId="1D164756" w:rsidR="0055773E" w:rsidRDefault="00A32200" w:rsidP="00A32200">
            <w:pPr>
              <w:pStyle w:val="ListParagraph"/>
              <w:ind w:left="0"/>
              <w:rPr>
                <w:b/>
                <w:sz w:val="20"/>
                <w:szCs w:val="20"/>
              </w:rPr>
            </w:pPr>
            <w:r w:rsidRPr="0055773E">
              <w:rPr>
                <w:bCs/>
                <w:sz w:val="20"/>
                <w:szCs w:val="20"/>
              </w:rPr>
              <w:t>Outcome 3: S</w:t>
            </w:r>
            <w:r>
              <w:rPr>
                <w:bCs/>
                <w:sz w:val="20"/>
                <w:szCs w:val="20"/>
              </w:rPr>
              <w:t>trengthen resilience to shocks and crisis</w:t>
            </w:r>
          </w:p>
        </w:tc>
        <w:tc>
          <w:tcPr>
            <w:tcW w:w="4257" w:type="dxa"/>
          </w:tcPr>
          <w:p w14:paraId="29145E71" w14:textId="53525445" w:rsidR="0055773E" w:rsidRDefault="00550019" w:rsidP="008370DD">
            <w:pPr>
              <w:pStyle w:val="ListParagraph"/>
              <w:numPr>
                <w:ilvl w:val="0"/>
                <w:numId w:val="7"/>
              </w:numPr>
              <w:rPr>
                <w:sz w:val="20"/>
                <w:szCs w:val="20"/>
              </w:rPr>
            </w:pPr>
            <w:r w:rsidRPr="00550019">
              <w:rPr>
                <w:sz w:val="20"/>
                <w:szCs w:val="20"/>
              </w:rPr>
              <w:t>Ensure smooth implementation of the ongoing six EU-funded projects, noting the importance of strong visibility despite covering a sensitive area and representing sub-regional interventions (Afghan Women, Strive Asia, Uranium Legacy</w:t>
            </w:r>
            <w:r w:rsidR="004112B1">
              <w:rPr>
                <w:sz w:val="20"/>
                <w:szCs w:val="20"/>
              </w:rPr>
              <w:t>, Climate Resilience)</w:t>
            </w:r>
          </w:p>
          <w:p w14:paraId="1877AEEA" w14:textId="74003065" w:rsidR="004112B1" w:rsidRDefault="004112B1" w:rsidP="008370DD">
            <w:pPr>
              <w:pStyle w:val="ListParagraph"/>
              <w:numPr>
                <w:ilvl w:val="0"/>
                <w:numId w:val="7"/>
              </w:numPr>
              <w:rPr>
                <w:sz w:val="20"/>
                <w:szCs w:val="20"/>
              </w:rPr>
            </w:pPr>
            <w:r>
              <w:rPr>
                <w:sz w:val="20"/>
                <w:szCs w:val="20"/>
              </w:rPr>
              <w:t>Nurture the strategic and substantive partnership with the EU at all levels. Expand strategic engagement in the area of public service delivery and local governance; resilient and inclusive development/green economy, climate change action</w:t>
            </w:r>
            <w:r w:rsidR="00F538A2">
              <w:rPr>
                <w:sz w:val="20"/>
                <w:szCs w:val="20"/>
              </w:rPr>
              <w:t xml:space="preserve">, rural water </w:t>
            </w:r>
          </w:p>
          <w:p w14:paraId="79E6B2FB" w14:textId="1EE3155A" w:rsidR="00550019" w:rsidRPr="00550019" w:rsidRDefault="004112B1" w:rsidP="008370DD">
            <w:pPr>
              <w:pStyle w:val="ListParagraph"/>
              <w:numPr>
                <w:ilvl w:val="0"/>
                <w:numId w:val="7"/>
              </w:numPr>
              <w:rPr>
                <w:sz w:val="20"/>
                <w:szCs w:val="20"/>
              </w:rPr>
            </w:pPr>
            <w:r>
              <w:rPr>
                <w:sz w:val="20"/>
                <w:szCs w:val="20"/>
              </w:rPr>
              <w:t>Engage regularly in the EU call for proposals for HR and Democracy and sub-regional opportunities</w:t>
            </w:r>
          </w:p>
        </w:tc>
        <w:tc>
          <w:tcPr>
            <w:tcW w:w="1291" w:type="dxa"/>
          </w:tcPr>
          <w:p w14:paraId="4F26466F" w14:textId="50934BC5" w:rsidR="0055773E" w:rsidRDefault="004112B1" w:rsidP="0055773E">
            <w:pPr>
              <w:pStyle w:val="ListParagraph"/>
              <w:ind w:left="0"/>
              <w:rPr>
                <w:b/>
                <w:sz w:val="20"/>
                <w:szCs w:val="20"/>
              </w:rPr>
            </w:pPr>
            <w:proofErr w:type="spellStart"/>
            <w:r>
              <w:rPr>
                <w:b/>
                <w:sz w:val="20"/>
                <w:szCs w:val="20"/>
              </w:rPr>
              <w:t>Programme</w:t>
            </w:r>
            <w:proofErr w:type="spellEnd"/>
            <w:r>
              <w:rPr>
                <w:b/>
                <w:sz w:val="20"/>
                <w:szCs w:val="20"/>
              </w:rPr>
              <w:t xml:space="preserve"> team</w:t>
            </w:r>
          </w:p>
          <w:p w14:paraId="3DCEAEF7" w14:textId="3D1B10DF" w:rsidR="004112B1" w:rsidRDefault="004112B1" w:rsidP="0055773E">
            <w:pPr>
              <w:pStyle w:val="ListParagraph"/>
              <w:ind w:left="0"/>
              <w:rPr>
                <w:b/>
                <w:sz w:val="20"/>
                <w:szCs w:val="20"/>
              </w:rPr>
            </w:pPr>
          </w:p>
          <w:p w14:paraId="52631E5E" w14:textId="5F19C03A" w:rsidR="004112B1" w:rsidRDefault="004112B1" w:rsidP="0055773E">
            <w:pPr>
              <w:pStyle w:val="ListParagraph"/>
              <w:ind w:left="0"/>
              <w:rPr>
                <w:b/>
                <w:sz w:val="20"/>
                <w:szCs w:val="20"/>
              </w:rPr>
            </w:pPr>
            <w:r>
              <w:rPr>
                <w:b/>
                <w:sz w:val="20"/>
                <w:szCs w:val="20"/>
              </w:rPr>
              <w:t xml:space="preserve">IRH technical support </w:t>
            </w:r>
          </w:p>
          <w:p w14:paraId="7605FDC3" w14:textId="77777777" w:rsidR="004112B1" w:rsidRDefault="004112B1" w:rsidP="0055773E">
            <w:pPr>
              <w:pStyle w:val="ListParagraph"/>
              <w:ind w:left="0"/>
              <w:rPr>
                <w:b/>
                <w:sz w:val="20"/>
                <w:szCs w:val="20"/>
              </w:rPr>
            </w:pPr>
          </w:p>
          <w:p w14:paraId="226D5014" w14:textId="149D1BE6" w:rsidR="004112B1" w:rsidRPr="00020198" w:rsidRDefault="004112B1" w:rsidP="0055773E">
            <w:pPr>
              <w:pStyle w:val="ListParagraph"/>
              <w:ind w:left="0"/>
              <w:rPr>
                <w:b/>
                <w:sz w:val="20"/>
                <w:szCs w:val="20"/>
              </w:rPr>
            </w:pPr>
            <w:r>
              <w:rPr>
                <w:b/>
                <w:sz w:val="20"/>
                <w:szCs w:val="20"/>
              </w:rPr>
              <w:t>RR/DRR</w:t>
            </w:r>
          </w:p>
        </w:tc>
      </w:tr>
      <w:tr w:rsidR="00EA11FE" w:rsidRPr="00020198" w14:paraId="29C12D0F" w14:textId="77777777" w:rsidTr="004112B1">
        <w:trPr>
          <w:trHeight w:val="254"/>
        </w:trPr>
        <w:tc>
          <w:tcPr>
            <w:tcW w:w="1436" w:type="dxa"/>
          </w:tcPr>
          <w:p w14:paraId="155F4412" w14:textId="77777777" w:rsidR="0055773E" w:rsidRDefault="0055773E" w:rsidP="0055773E">
            <w:pPr>
              <w:pStyle w:val="ListParagraph"/>
              <w:ind w:left="0"/>
              <w:rPr>
                <w:b/>
                <w:sz w:val="20"/>
                <w:szCs w:val="20"/>
              </w:rPr>
            </w:pPr>
            <w:r>
              <w:rPr>
                <w:b/>
                <w:sz w:val="20"/>
                <w:szCs w:val="20"/>
              </w:rPr>
              <w:t>Russia Trust Fund</w:t>
            </w:r>
          </w:p>
          <w:p w14:paraId="7340DB64" w14:textId="598CF2A3" w:rsidR="0055773E" w:rsidRDefault="0055773E" w:rsidP="0055773E">
            <w:pPr>
              <w:pStyle w:val="ListParagraph"/>
              <w:ind w:left="0"/>
              <w:rPr>
                <w:b/>
                <w:sz w:val="20"/>
                <w:szCs w:val="20"/>
              </w:rPr>
            </w:pPr>
          </w:p>
        </w:tc>
        <w:tc>
          <w:tcPr>
            <w:tcW w:w="1252" w:type="dxa"/>
          </w:tcPr>
          <w:p w14:paraId="1A2D7F9F" w14:textId="7BB51B9E" w:rsidR="0055773E" w:rsidRPr="001100E4" w:rsidRDefault="0055773E" w:rsidP="0055773E">
            <w:pPr>
              <w:pStyle w:val="ListParagraph"/>
              <w:ind w:left="0"/>
              <w:rPr>
                <w:bCs/>
                <w:sz w:val="20"/>
                <w:szCs w:val="20"/>
              </w:rPr>
            </w:pPr>
            <w:r>
              <w:rPr>
                <w:bCs/>
                <w:sz w:val="20"/>
                <w:szCs w:val="20"/>
              </w:rPr>
              <w:t>9.5</w:t>
            </w:r>
            <w:r w:rsidRPr="001100E4">
              <w:rPr>
                <w:bCs/>
                <w:sz w:val="20"/>
                <w:szCs w:val="20"/>
              </w:rPr>
              <w:t>M</w:t>
            </w:r>
            <w:r>
              <w:rPr>
                <w:bCs/>
                <w:sz w:val="20"/>
                <w:szCs w:val="20"/>
              </w:rPr>
              <w:t xml:space="preserve"> (from2.4)</w:t>
            </w:r>
          </w:p>
        </w:tc>
        <w:tc>
          <w:tcPr>
            <w:tcW w:w="2384" w:type="dxa"/>
          </w:tcPr>
          <w:p w14:paraId="510984BB" w14:textId="03B9D0F8" w:rsidR="0055773E" w:rsidRDefault="004112B1" w:rsidP="0055773E">
            <w:pPr>
              <w:pStyle w:val="ListParagraph"/>
              <w:ind w:left="0"/>
              <w:rPr>
                <w:bCs/>
                <w:sz w:val="20"/>
                <w:szCs w:val="20"/>
              </w:rPr>
            </w:pPr>
            <w:r w:rsidRPr="004112B1">
              <w:rPr>
                <w:bCs/>
                <w:sz w:val="20"/>
                <w:szCs w:val="20"/>
              </w:rPr>
              <w:t>Outcome 1: A</w:t>
            </w:r>
            <w:r w:rsidR="00A32200">
              <w:rPr>
                <w:bCs/>
                <w:sz w:val="20"/>
                <w:szCs w:val="20"/>
              </w:rPr>
              <w:t xml:space="preserve">dvance poverty eradication in all its forms and dimensions </w:t>
            </w:r>
          </w:p>
          <w:p w14:paraId="28C432B2" w14:textId="77777777" w:rsidR="004112B1" w:rsidRDefault="004112B1" w:rsidP="0055773E">
            <w:pPr>
              <w:pStyle w:val="ListParagraph"/>
              <w:ind w:left="0"/>
              <w:rPr>
                <w:bCs/>
                <w:sz w:val="20"/>
                <w:szCs w:val="20"/>
              </w:rPr>
            </w:pPr>
          </w:p>
          <w:p w14:paraId="5E85A6A4" w14:textId="7ABB62C3" w:rsidR="004112B1" w:rsidRPr="004112B1" w:rsidRDefault="00A32200" w:rsidP="0055773E">
            <w:pPr>
              <w:pStyle w:val="ListParagraph"/>
              <w:ind w:left="0"/>
              <w:rPr>
                <w:bCs/>
                <w:sz w:val="20"/>
                <w:szCs w:val="20"/>
              </w:rPr>
            </w:pPr>
            <w:r w:rsidRPr="0055773E">
              <w:rPr>
                <w:bCs/>
                <w:sz w:val="20"/>
                <w:szCs w:val="20"/>
              </w:rPr>
              <w:t>Outcome 3: S</w:t>
            </w:r>
            <w:r>
              <w:rPr>
                <w:bCs/>
                <w:sz w:val="20"/>
                <w:szCs w:val="20"/>
              </w:rPr>
              <w:t xml:space="preserve">trengthen resilience to shocks and crisis </w:t>
            </w:r>
          </w:p>
        </w:tc>
        <w:tc>
          <w:tcPr>
            <w:tcW w:w="4257" w:type="dxa"/>
          </w:tcPr>
          <w:p w14:paraId="4856BE0A" w14:textId="56032B65" w:rsidR="0055773E" w:rsidRPr="00EA11FE" w:rsidRDefault="00EA11FE" w:rsidP="008370DD">
            <w:pPr>
              <w:pStyle w:val="ListParagraph"/>
              <w:numPr>
                <w:ilvl w:val="0"/>
                <w:numId w:val="7"/>
              </w:numPr>
              <w:rPr>
                <w:bCs/>
                <w:sz w:val="20"/>
                <w:szCs w:val="20"/>
              </w:rPr>
            </w:pPr>
            <w:r w:rsidRPr="00EA11FE">
              <w:rPr>
                <w:bCs/>
                <w:sz w:val="20"/>
                <w:szCs w:val="20"/>
              </w:rPr>
              <w:t>Nurtu</w:t>
            </w:r>
            <w:r>
              <w:rPr>
                <w:bCs/>
                <w:sz w:val="20"/>
                <w:szCs w:val="20"/>
              </w:rPr>
              <w:t>re the engagement with the Russia-UNDP Trust Fund in the areas o</w:t>
            </w:r>
            <w:r w:rsidR="00A32200">
              <w:rPr>
                <w:bCs/>
                <w:sz w:val="20"/>
                <w:szCs w:val="20"/>
              </w:rPr>
              <w:t>f</w:t>
            </w:r>
            <w:r>
              <w:rPr>
                <w:bCs/>
                <w:sz w:val="20"/>
                <w:szCs w:val="20"/>
              </w:rPr>
              <w:t xml:space="preserve"> youth employment and </w:t>
            </w:r>
            <w:proofErr w:type="gramStart"/>
            <w:r>
              <w:rPr>
                <w:bCs/>
                <w:sz w:val="20"/>
                <w:szCs w:val="20"/>
              </w:rPr>
              <w:t>area based</w:t>
            </w:r>
            <w:proofErr w:type="gramEnd"/>
            <w:r>
              <w:rPr>
                <w:bCs/>
                <w:sz w:val="20"/>
                <w:szCs w:val="20"/>
              </w:rPr>
              <w:t xml:space="preserve"> development.</w:t>
            </w:r>
          </w:p>
        </w:tc>
        <w:tc>
          <w:tcPr>
            <w:tcW w:w="1291" w:type="dxa"/>
          </w:tcPr>
          <w:p w14:paraId="7AD0C1F9" w14:textId="77777777" w:rsidR="0055773E" w:rsidRDefault="00845150" w:rsidP="0055773E">
            <w:pPr>
              <w:pStyle w:val="ListParagraph"/>
              <w:ind w:left="0"/>
              <w:rPr>
                <w:b/>
                <w:sz w:val="20"/>
                <w:szCs w:val="20"/>
              </w:rPr>
            </w:pPr>
            <w:r>
              <w:rPr>
                <w:b/>
                <w:sz w:val="20"/>
                <w:szCs w:val="20"/>
              </w:rPr>
              <w:t>Inclusive Growth Team Leader</w:t>
            </w:r>
          </w:p>
          <w:p w14:paraId="7D0B5CA9" w14:textId="77777777" w:rsidR="00845150" w:rsidRDefault="00845150" w:rsidP="0055773E">
            <w:pPr>
              <w:pStyle w:val="ListParagraph"/>
              <w:ind w:left="0"/>
              <w:rPr>
                <w:b/>
                <w:sz w:val="20"/>
                <w:szCs w:val="20"/>
              </w:rPr>
            </w:pPr>
          </w:p>
          <w:p w14:paraId="42C56504" w14:textId="7DFACE9D" w:rsidR="00845150" w:rsidRPr="00020198" w:rsidRDefault="00845150" w:rsidP="0055773E">
            <w:pPr>
              <w:pStyle w:val="ListParagraph"/>
              <w:ind w:left="0"/>
              <w:rPr>
                <w:b/>
                <w:sz w:val="20"/>
                <w:szCs w:val="20"/>
              </w:rPr>
            </w:pPr>
            <w:r>
              <w:rPr>
                <w:b/>
                <w:sz w:val="20"/>
                <w:szCs w:val="20"/>
              </w:rPr>
              <w:t>RR/DRR</w:t>
            </w:r>
          </w:p>
        </w:tc>
      </w:tr>
      <w:tr w:rsidR="00A32200" w:rsidRPr="00020198" w14:paraId="01C0F5E4" w14:textId="77777777" w:rsidTr="004112B1">
        <w:trPr>
          <w:trHeight w:val="254"/>
        </w:trPr>
        <w:tc>
          <w:tcPr>
            <w:tcW w:w="1436" w:type="dxa"/>
          </w:tcPr>
          <w:p w14:paraId="7386FBB0" w14:textId="668D4B12" w:rsidR="004112B1" w:rsidRDefault="004112B1" w:rsidP="0055773E">
            <w:pPr>
              <w:pStyle w:val="ListParagraph"/>
              <w:ind w:left="0"/>
              <w:rPr>
                <w:b/>
                <w:sz w:val="20"/>
                <w:szCs w:val="20"/>
              </w:rPr>
            </w:pPr>
            <w:r>
              <w:rPr>
                <w:b/>
                <w:sz w:val="20"/>
                <w:szCs w:val="20"/>
              </w:rPr>
              <w:t>MPTF</w:t>
            </w:r>
            <w:r w:rsidR="00F538A2">
              <w:rPr>
                <w:b/>
                <w:sz w:val="20"/>
                <w:szCs w:val="20"/>
              </w:rPr>
              <w:t>/Pooled funding</w:t>
            </w:r>
          </w:p>
        </w:tc>
        <w:tc>
          <w:tcPr>
            <w:tcW w:w="1252" w:type="dxa"/>
          </w:tcPr>
          <w:p w14:paraId="1C7272D2" w14:textId="1931D202" w:rsidR="004112B1" w:rsidRDefault="00EA11FE" w:rsidP="0055773E">
            <w:pPr>
              <w:pStyle w:val="ListParagraph"/>
              <w:ind w:left="0"/>
              <w:rPr>
                <w:bCs/>
                <w:sz w:val="20"/>
                <w:szCs w:val="20"/>
              </w:rPr>
            </w:pPr>
            <w:r>
              <w:rPr>
                <w:bCs/>
                <w:sz w:val="20"/>
                <w:szCs w:val="20"/>
              </w:rPr>
              <w:t>45% increase (7.1M from 4.8)</w:t>
            </w:r>
          </w:p>
        </w:tc>
        <w:tc>
          <w:tcPr>
            <w:tcW w:w="2384" w:type="dxa"/>
          </w:tcPr>
          <w:p w14:paraId="3589B5EC" w14:textId="77777777" w:rsidR="00A32200" w:rsidRDefault="00A32200" w:rsidP="00A32200">
            <w:pPr>
              <w:pStyle w:val="ListParagraph"/>
              <w:ind w:left="0"/>
              <w:rPr>
                <w:bCs/>
                <w:sz w:val="20"/>
                <w:szCs w:val="20"/>
              </w:rPr>
            </w:pPr>
            <w:r w:rsidRPr="0055773E">
              <w:rPr>
                <w:bCs/>
                <w:sz w:val="20"/>
                <w:szCs w:val="20"/>
              </w:rPr>
              <w:t>Outcome 2: A</w:t>
            </w:r>
            <w:r>
              <w:rPr>
                <w:bCs/>
                <w:sz w:val="20"/>
                <w:szCs w:val="20"/>
              </w:rPr>
              <w:t xml:space="preserve">ccelerate Structural Transformations for Sustainable Development </w:t>
            </w:r>
          </w:p>
          <w:p w14:paraId="6DAB9AB5" w14:textId="7F14E949" w:rsidR="004112B1" w:rsidRPr="004112B1" w:rsidRDefault="004112B1" w:rsidP="0055773E">
            <w:pPr>
              <w:pStyle w:val="ListParagraph"/>
              <w:ind w:left="0"/>
              <w:rPr>
                <w:bCs/>
                <w:sz w:val="20"/>
                <w:szCs w:val="20"/>
              </w:rPr>
            </w:pPr>
          </w:p>
        </w:tc>
        <w:tc>
          <w:tcPr>
            <w:tcW w:w="4257" w:type="dxa"/>
          </w:tcPr>
          <w:p w14:paraId="71C91956" w14:textId="4A90D874" w:rsidR="005A33EE" w:rsidRDefault="00EA11FE" w:rsidP="008370DD">
            <w:pPr>
              <w:pStyle w:val="ListParagraph"/>
              <w:numPr>
                <w:ilvl w:val="0"/>
                <w:numId w:val="7"/>
              </w:numPr>
              <w:rPr>
                <w:bCs/>
                <w:sz w:val="20"/>
                <w:szCs w:val="20"/>
              </w:rPr>
            </w:pPr>
            <w:r w:rsidRPr="00EA11FE">
              <w:rPr>
                <w:bCs/>
                <w:sz w:val="20"/>
                <w:szCs w:val="20"/>
              </w:rPr>
              <w:t xml:space="preserve">Continue exploring opportunities to partner with UN Agencies </w:t>
            </w:r>
            <w:r>
              <w:rPr>
                <w:bCs/>
                <w:sz w:val="20"/>
                <w:szCs w:val="20"/>
              </w:rPr>
              <w:t>to address complex challenge</w:t>
            </w:r>
            <w:r w:rsidR="005A33EE">
              <w:rPr>
                <w:bCs/>
                <w:sz w:val="20"/>
                <w:szCs w:val="20"/>
              </w:rPr>
              <w:t xml:space="preserve">s. Use UNDP integrator role to tap on </w:t>
            </w:r>
            <w:r w:rsidR="005A33EE">
              <w:t xml:space="preserve">increasing </w:t>
            </w:r>
            <w:r w:rsidR="005A33EE" w:rsidRPr="005A33EE">
              <w:rPr>
                <w:bCs/>
                <w:sz w:val="20"/>
                <w:szCs w:val="20"/>
              </w:rPr>
              <w:t>pooled funding</w:t>
            </w:r>
            <w:r w:rsidR="005A33EE" w:rsidRPr="005A33EE">
              <w:rPr>
                <w:bCs/>
                <w:sz w:val="20"/>
                <w:szCs w:val="20"/>
              </w:rPr>
              <w:t xml:space="preserve"> opportunities</w:t>
            </w:r>
          </w:p>
          <w:p w14:paraId="6B5B0956" w14:textId="003AFB58" w:rsidR="004112B1" w:rsidRPr="00EA11FE" w:rsidRDefault="00F538A2" w:rsidP="008370DD">
            <w:pPr>
              <w:pStyle w:val="ListParagraph"/>
              <w:numPr>
                <w:ilvl w:val="0"/>
                <w:numId w:val="7"/>
              </w:numPr>
              <w:rPr>
                <w:bCs/>
                <w:sz w:val="20"/>
                <w:szCs w:val="20"/>
              </w:rPr>
            </w:pPr>
            <w:r>
              <w:rPr>
                <w:bCs/>
                <w:sz w:val="20"/>
                <w:szCs w:val="20"/>
              </w:rPr>
              <w:t>including</w:t>
            </w:r>
            <w:r w:rsidR="00EA11FE">
              <w:rPr>
                <w:bCs/>
                <w:sz w:val="20"/>
                <w:szCs w:val="20"/>
              </w:rPr>
              <w:t xml:space="preserve"> the Aral Sea region, as well as explore alternative financing tools</w:t>
            </w:r>
          </w:p>
        </w:tc>
        <w:tc>
          <w:tcPr>
            <w:tcW w:w="1291" w:type="dxa"/>
          </w:tcPr>
          <w:p w14:paraId="7E2292D0" w14:textId="5E476AA7" w:rsidR="00EA11FE" w:rsidRDefault="00EA11FE" w:rsidP="00EA11FE">
            <w:pPr>
              <w:pStyle w:val="ListParagraph"/>
              <w:ind w:left="0"/>
              <w:rPr>
                <w:b/>
                <w:sz w:val="20"/>
                <w:szCs w:val="20"/>
              </w:rPr>
            </w:pPr>
            <w:proofErr w:type="spellStart"/>
            <w:r>
              <w:rPr>
                <w:b/>
                <w:sz w:val="20"/>
                <w:szCs w:val="20"/>
              </w:rPr>
              <w:t>Programme</w:t>
            </w:r>
            <w:proofErr w:type="spellEnd"/>
            <w:r>
              <w:rPr>
                <w:b/>
                <w:sz w:val="20"/>
                <w:szCs w:val="20"/>
              </w:rPr>
              <w:t xml:space="preserve"> team</w:t>
            </w:r>
          </w:p>
          <w:p w14:paraId="0F67438E" w14:textId="77777777" w:rsidR="00EA11FE" w:rsidRDefault="00EA11FE" w:rsidP="00EA11FE">
            <w:pPr>
              <w:pStyle w:val="ListParagraph"/>
              <w:ind w:left="0"/>
              <w:rPr>
                <w:b/>
                <w:sz w:val="20"/>
                <w:szCs w:val="20"/>
              </w:rPr>
            </w:pPr>
          </w:p>
          <w:p w14:paraId="1E82248D" w14:textId="07975A28" w:rsidR="004112B1" w:rsidRPr="00020198" w:rsidRDefault="00EA11FE" w:rsidP="00EA11FE">
            <w:pPr>
              <w:pStyle w:val="ListParagraph"/>
              <w:ind w:left="0"/>
              <w:rPr>
                <w:b/>
                <w:sz w:val="20"/>
                <w:szCs w:val="20"/>
              </w:rPr>
            </w:pPr>
            <w:r>
              <w:rPr>
                <w:b/>
                <w:sz w:val="20"/>
                <w:szCs w:val="20"/>
              </w:rPr>
              <w:t>RR/DRR</w:t>
            </w:r>
          </w:p>
        </w:tc>
      </w:tr>
      <w:tr w:rsidR="00A32200" w:rsidRPr="00020198" w14:paraId="611C0354" w14:textId="77777777" w:rsidTr="004112B1">
        <w:trPr>
          <w:trHeight w:val="254"/>
        </w:trPr>
        <w:tc>
          <w:tcPr>
            <w:tcW w:w="1436" w:type="dxa"/>
          </w:tcPr>
          <w:p w14:paraId="32DDA9B4" w14:textId="16FA448E" w:rsidR="004112B1" w:rsidRDefault="004112B1" w:rsidP="0055773E">
            <w:pPr>
              <w:pStyle w:val="ListParagraph"/>
              <w:ind w:left="0"/>
              <w:rPr>
                <w:b/>
                <w:sz w:val="20"/>
                <w:szCs w:val="20"/>
              </w:rPr>
            </w:pPr>
            <w:r>
              <w:rPr>
                <w:b/>
                <w:sz w:val="20"/>
                <w:szCs w:val="20"/>
              </w:rPr>
              <w:t>UK/DFID</w:t>
            </w:r>
          </w:p>
        </w:tc>
        <w:tc>
          <w:tcPr>
            <w:tcW w:w="1252" w:type="dxa"/>
          </w:tcPr>
          <w:p w14:paraId="7CC42917" w14:textId="598681F9" w:rsidR="004112B1" w:rsidRDefault="00EA11FE" w:rsidP="0055773E">
            <w:pPr>
              <w:pStyle w:val="ListParagraph"/>
              <w:ind w:left="0"/>
              <w:rPr>
                <w:bCs/>
                <w:sz w:val="20"/>
                <w:szCs w:val="20"/>
              </w:rPr>
            </w:pPr>
            <w:r>
              <w:rPr>
                <w:bCs/>
                <w:sz w:val="20"/>
                <w:szCs w:val="20"/>
              </w:rPr>
              <w:t>30%</w:t>
            </w:r>
          </w:p>
        </w:tc>
        <w:tc>
          <w:tcPr>
            <w:tcW w:w="2384" w:type="dxa"/>
          </w:tcPr>
          <w:p w14:paraId="0D60DDC0" w14:textId="77777777" w:rsidR="00A32200" w:rsidRDefault="00A32200" w:rsidP="00A32200">
            <w:pPr>
              <w:pStyle w:val="ListParagraph"/>
              <w:ind w:left="0"/>
              <w:rPr>
                <w:bCs/>
                <w:sz w:val="20"/>
                <w:szCs w:val="20"/>
              </w:rPr>
            </w:pPr>
            <w:r w:rsidRPr="0055773E">
              <w:rPr>
                <w:bCs/>
                <w:sz w:val="20"/>
                <w:szCs w:val="20"/>
              </w:rPr>
              <w:t>Outcome 2: A</w:t>
            </w:r>
            <w:r>
              <w:rPr>
                <w:bCs/>
                <w:sz w:val="20"/>
                <w:szCs w:val="20"/>
              </w:rPr>
              <w:t xml:space="preserve">ccelerate Structural Transformations for Sustainable Development </w:t>
            </w:r>
          </w:p>
          <w:p w14:paraId="0C695B3C" w14:textId="60468B74" w:rsidR="004112B1" w:rsidRPr="004112B1" w:rsidRDefault="004112B1" w:rsidP="0055773E">
            <w:pPr>
              <w:pStyle w:val="ListParagraph"/>
              <w:ind w:left="0"/>
              <w:rPr>
                <w:bCs/>
                <w:sz w:val="20"/>
                <w:szCs w:val="20"/>
              </w:rPr>
            </w:pPr>
          </w:p>
        </w:tc>
        <w:tc>
          <w:tcPr>
            <w:tcW w:w="4257" w:type="dxa"/>
          </w:tcPr>
          <w:p w14:paraId="6703BA4C" w14:textId="713A2FD8" w:rsidR="00EA11FE" w:rsidRPr="00EA11FE" w:rsidRDefault="00EA11FE" w:rsidP="008370DD">
            <w:pPr>
              <w:pStyle w:val="ListParagraph"/>
              <w:numPr>
                <w:ilvl w:val="0"/>
                <w:numId w:val="7"/>
              </w:numPr>
              <w:rPr>
                <w:bCs/>
                <w:sz w:val="20"/>
                <w:szCs w:val="20"/>
              </w:rPr>
            </w:pPr>
            <w:r w:rsidRPr="00EA11FE">
              <w:rPr>
                <w:bCs/>
                <w:sz w:val="20"/>
                <w:szCs w:val="20"/>
              </w:rPr>
              <w:t xml:space="preserve">Nurture the strategic partnership </w:t>
            </w:r>
            <w:r w:rsidR="00D60476">
              <w:rPr>
                <w:bCs/>
                <w:sz w:val="20"/>
                <w:szCs w:val="20"/>
              </w:rPr>
              <w:t xml:space="preserve">at senior and technical levels </w:t>
            </w:r>
          </w:p>
          <w:p w14:paraId="0AE780A4" w14:textId="15292882" w:rsidR="004112B1" w:rsidRPr="00EA11FE" w:rsidRDefault="00EA11FE" w:rsidP="008370DD">
            <w:pPr>
              <w:pStyle w:val="ListParagraph"/>
              <w:numPr>
                <w:ilvl w:val="0"/>
                <w:numId w:val="7"/>
              </w:numPr>
              <w:rPr>
                <w:b/>
                <w:sz w:val="20"/>
                <w:szCs w:val="20"/>
              </w:rPr>
            </w:pPr>
            <w:r>
              <w:rPr>
                <w:bCs/>
                <w:sz w:val="20"/>
                <w:szCs w:val="20"/>
              </w:rPr>
              <w:t>Explore new opportunities in the Governance sector applying for DFID call for proposals for CA</w:t>
            </w:r>
          </w:p>
          <w:p w14:paraId="40DDB449" w14:textId="604A5918" w:rsidR="00EA11FE" w:rsidRPr="00EA11FE" w:rsidRDefault="00EA11FE" w:rsidP="008370DD">
            <w:pPr>
              <w:pStyle w:val="ListParagraph"/>
              <w:numPr>
                <w:ilvl w:val="0"/>
                <w:numId w:val="7"/>
              </w:numPr>
              <w:rPr>
                <w:bCs/>
                <w:sz w:val="20"/>
                <w:szCs w:val="20"/>
              </w:rPr>
            </w:pPr>
            <w:r>
              <w:rPr>
                <w:bCs/>
                <w:sz w:val="20"/>
                <w:szCs w:val="20"/>
              </w:rPr>
              <w:t xml:space="preserve">Continuous engagement with the annual call for proposals managed by the UK Embassy in Tashkent </w:t>
            </w:r>
            <w:r w:rsidR="00F538A2">
              <w:rPr>
                <w:bCs/>
                <w:sz w:val="20"/>
                <w:szCs w:val="20"/>
              </w:rPr>
              <w:t xml:space="preserve">with special focus on </w:t>
            </w:r>
            <w:r w:rsidR="00F538A2">
              <w:rPr>
                <w:bCs/>
                <w:sz w:val="20"/>
                <w:szCs w:val="20"/>
              </w:rPr>
              <w:lastRenderedPageBreak/>
              <w:t>Governance area (elections, parliamentary development, inclusive institutions, HR)</w:t>
            </w:r>
          </w:p>
        </w:tc>
        <w:tc>
          <w:tcPr>
            <w:tcW w:w="1291" w:type="dxa"/>
          </w:tcPr>
          <w:p w14:paraId="5EE315C4" w14:textId="77777777" w:rsidR="004112B1" w:rsidRDefault="00EA11FE" w:rsidP="0055773E">
            <w:pPr>
              <w:pStyle w:val="ListParagraph"/>
              <w:ind w:left="0"/>
              <w:rPr>
                <w:b/>
                <w:sz w:val="20"/>
                <w:szCs w:val="20"/>
              </w:rPr>
            </w:pPr>
            <w:r>
              <w:rPr>
                <w:b/>
                <w:sz w:val="20"/>
                <w:szCs w:val="20"/>
              </w:rPr>
              <w:lastRenderedPageBreak/>
              <w:t>RR</w:t>
            </w:r>
          </w:p>
          <w:p w14:paraId="110659E5" w14:textId="77777777" w:rsidR="00EA11FE" w:rsidRDefault="00EA11FE" w:rsidP="0055773E">
            <w:pPr>
              <w:pStyle w:val="ListParagraph"/>
              <w:ind w:left="0"/>
              <w:rPr>
                <w:b/>
                <w:sz w:val="20"/>
                <w:szCs w:val="20"/>
              </w:rPr>
            </w:pPr>
          </w:p>
          <w:p w14:paraId="5F3B2516" w14:textId="77777777" w:rsidR="00EA11FE" w:rsidRDefault="00EA11FE" w:rsidP="0055773E">
            <w:pPr>
              <w:pStyle w:val="ListParagraph"/>
              <w:ind w:left="0"/>
              <w:rPr>
                <w:b/>
                <w:sz w:val="20"/>
                <w:szCs w:val="20"/>
              </w:rPr>
            </w:pPr>
            <w:r>
              <w:rPr>
                <w:b/>
                <w:sz w:val="20"/>
                <w:szCs w:val="20"/>
              </w:rPr>
              <w:t>Governance Team leader/</w:t>
            </w:r>
          </w:p>
          <w:p w14:paraId="145A23CC" w14:textId="66A190C1" w:rsidR="00EA11FE" w:rsidRPr="00020198" w:rsidRDefault="00EA11FE" w:rsidP="0055773E">
            <w:pPr>
              <w:pStyle w:val="ListParagraph"/>
              <w:ind w:left="0"/>
              <w:rPr>
                <w:b/>
                <w:sz w:val="20"/>
                <w:szCs w:val="20"/>
              </w:rPr>
            </w:pPr>
            <w:r>
              <w:rPr>
                <w:b/>
                <w:sz w:val="20"/>
                <w:szCs w:val="20"/>
              </w:rPr>
              <w:t>DRR</w:t>
            </w:r>
          </w:p>
        </w:tc>
      </w:tr>
      <w:tr w:rsidR="00EA11FE" w:rsidRPr="00020198" w14:paraId="2B7F9FED" w14:textId="77777777" w:rsidTr="004112B1">
        <w:trPr>
          <w:trHeight w:val="254"/>
        </w:trPr>
        <w:tc>
          <w:tcPr>
            <w:tcW w:w="1436" w:type="dxa"/>
          </w:tcPr>
          <w:p w14:paraId="66FFE2C1" w14:textId="77777777" w:rsidR="0055773E" w:rsidRDefault="0055773E" w:rsidP="0055773E">
            <w:pPr>
              <w:pStyle w:val="ListParagraph"/>
              <w:ind w:left="0"/>
              <w:rPr>
                <w:b/>
                <w:sz w:val="20"/>
                <w:szCs w:val="20"/>
              </w:rPr>
            </w:pPr>
            <w:r>
              <w:rPr>
                <w:b/>
                <w:sz w:val="20"/>
                <w:szCs w:val="20"/>
              </w:rPr>
              <w:t>Germany</w:t>
            </w:r>
          </w:p>
          <w:p w14:paraId="41A3D1E7" w14:textId="6B6F43A7" w:rsidR="0055773E" w:rsidRDefault="0055773E" w:rsidP="0055773E">
            <w:pPr>
              <w:pStyle w:val="ListParagraph"/>
              <w:ind w:left="0"/>
              <w:rPr>
                <w:b/>
                <w:sz w:val="20"/>
                <w:szCs w:val="20"/>
              </w:rPr>
            </w:pPr>
          </w:p>
        </w:tc>
        <w:tc>
          <w:tcPr>
            <w:tcW w:w="1252" w:type="dxa"/>
          </w:tcPr>
          <w:p w14:paraId="44B86C40" w14:textId="0BA73875" w:rsidR="0055773E" w:rsidRPr="005A5F81" w:rsidRDefault="0055773E" w:rsidP="0055773E">
            <w:pPr>
              <w:pStyle w:val="ListParagraph"/>
              <w:ind w:left="0"/>
              <w:rPr>
                <w:bCs/>
                <w:sz w:val="20"/>
                <w:szCs w:val="20"/>
              </w:rPr>
            </w:pPr>
            <w:r w:rsidRPr="005A5F81">
              <w:rPr>
                <w:bCs/>
                <w:sz w:val="20"/>
                <w:szCs w:val="20"/>
              </w:rPr>
              <w:t xml:space="preserve">4.5M </w:t>
            </w:r>
          </w:p>
        </w:tc>
        <w:tc>
          <w:tcPr>
            <w:tcW w:w="2384" w:type="dxa"/>
          </w:tcPr>
          <w:p w14:paraId="08B79838" w14:textId="77777777" w:rsidR="00A32200" w:rsidRDefault="00A32200" w:rsidP="00A32200">
            <w:pPr>
              <w:pStyle w:val="ListParagraph"/>
              <w:ind w:left="0"/>
              <w:rPr>
                <w:bCs/>
                <w:sz w:val="20"/>
                <w:szCs w:val="20"/>
              </w:rPr>
            </w:pPr>
            <w:r w:rsidRPr="0055773E">
              <w:rPr>
                <w:bCs/>
                <w:sz w:val="20"/>
                <w:szCs w:val="20"/>
              </w:rPr>
              <w:t>Outcome 2: A</w:t>
            </w:r>
            <w:r>
              <w:rPr>
                <w:bCs/>
                <w:sz w:val="20"/>
                <w:szCs w:val="20"/>
              </w:rPr>
              <w:t xml:space="preserve">ccelerate Structural Transformations for Sustainable Development </w:t>
            </w:r>
          </w:p>
          <w:p w14:paraId="721DAB37" w14:textId="5827C4D9" w:rsidR="0055773E" w:rsidRDefault="0055773E" w:rsidP="0055773E">
            <w:pPr>
              <w:pStyle w:val="ListParagraph"/>
              <w:ind w:left="0"/>
              <w:rPr>
                <w:b/>
                <w:sz w:val="20"/>
                <w:szCs w:val="20"/>
              </w:rPr>
            </w:pPr>
          </w:p>
        </w:tc>
        <w:tc>
          <w:tcPr>
            <w:tcW w:w="4257" w:type="dxa"/>
          </w:tcPr>
          <w:p w14:paraId="773E4042" w14:textId="147BDB5D" w:rsidR="0055773E" w:rsidRPr="00020198" w:rsidRDefault="00EA11FE" w:rsidP="008370DD">
            <w:pPr>
              <w:pStyle w:val="ListParagraph"/>
              <w:numPr>
                <w:ilvl w:val="0"/>
                <w:numId w:val="7"/>
              </w:numPr>
              <w:rPr>
                <w:b/>
                <w:sz w:val="20"/>
                <w:szCs w:val="20"/>
              </w:rPr>
            </w:pPr>
            <w:r>
              <w:rPr>
                <w:bCs/>
                <w:sz w:val="20"/>
                <w:szCs w:val="20"/>
              </w:rPr>
              <w:t xml:space="preserve">Continue exploring opportunities for substantive engagement of Germany BMZ in the Governance sector, and specifically </w:t>
            </w:r>
            <w:r w:rsidR="00A32200">
              <w:rPr>
                <w:bCs/>
                <w:sz w:val="20"/>
                <w:szCs w:val="20"/>
              </w:rPr>
              <w:t xml:space="preserve">for the support of the Parliamentary and Electoral Support. </w:t>
            </w:r>
          </w:p>
        </w:tc>
        <w:tc>
          <w:tcPr>
            <w:tcW w:w="1291" w:type="dxa"/>
          </w:tcPr>
          <w:p w14:paraId="11404B9C" w14:textId="77777777" w:rsidR="0055773E" w:rsidRDefault="00A32200" w:rsidP="0055773E">
            <w:pPr>
              <w:pStyle w:val="ListParagraph"/>
              <w:ind w:left="0"/>
              <w:rPr>
                <w:b/>
                <w:sz w:val="20"/>
                <w:szCs w:val="20"/>
              </w:rPr>
            </w:pPr>
            <w:r>
              <w:rPr>
                <w:b/>
                <w:sz w:val="20"/>
                <w:szCs w:val="20"/>
              </w:rPr>
              <w:t>Governance Team Leader/</w:t>
            </w:r>
          </w:p>
          <w:p w14:paraId="2A3417BE" w14:textId="55EA9C97" w:rsidR="00A32200" w:rsidRPr="00020198" w:rsidRDefault="00A32200" w:rsidP="0055773E">
            <w:pPr>
              <w:pStyle w:val="ListParagraph"/>
              <w:ind w:left="0"/>
              <w:rPr>
                <w:b/>
                <w:sz w:val="20"/>
                <w:szCs w:val="20"/>
              </w:rPr>
            </w:pPr>
            <w:r>
              <w:rPr>
                <w:b/>
                <w:sz w:val="20"/>
                <w:szCs w:val="20"/>
              </w:rPr>
              <w:t>RR/DRR</w:t>
            </w:r>
          </w:p>
        </w:tc>
      </w:tr>
      <w:tr w:rsidR="00A32200" w:rsidRPr="00020198" w14:paraId="526576AA" w14:textId="77777777" w:rsidTr="004112B1">
        <w:trPr>
          <w:trHeight w:val="254"/>
        </w:trPr>
        <w:tc>
          <w:tcPr>
            <w:tcW w:w="1436" w:type="dxa"/>
          </w:tcPr>
          <w:p w14:paraId="558A9264" w14:textId="161930F2" w:rsidR="00A32200" w:rsidRDefault="00A32200" w:rsidP="00A32200">
            <w:pPr>
              <w:pStyle w:val="ListParagraph"/>
              <w:ind w:left="0"/>
              <w:rPr>
                <w:b/>
                <w:sz w:val="20"/>
                <w:szCs w:val="20"/>
              </w:rPr>
            </w:pPr>
            <w:r>
              <w:rPr>
                <w:b/>
                <w:sz w:val="20"/>
                <w:szCs w:val="20"/>
              </w:rPr>
              <w:t>IFIs</w:t>
            </w:r>
          </w:p>
        </w:tc>
        <w:tc>
          <w:tcPr>
            <w:tcW w:w="1252" w:type="dxa"/>
          </w:tcPr>
          <w:p w14:paraId="6542E64F" w14:textId="38A76C66" w:rsidR="00A32200" w:rsidRPr="005A5F81" w:rsidRDefault="00A32200" w:rsidP="00A32200">
            <w:pPr>
              <w:pStyle w:val="ListParagraph"/>
              <w:ind w:left="0"/>
              <w:rPr>
                <w:bCs/>
                <w:sz w:val="20"/>
                <w:szCs w:val="20"/>
              </w:rPr>
            </w:pPr>
            <w:r>
              <w:rPr>
                <w:bCs/>
                <w:sz w:val="20"/>
                <w:szCs w:val="20"/>
              </w:rPr>
              <w:t>2.4M</w:t>
            </w:r>
          </w:p>
          <w:p w14:paraId="20AFD637" w14:textId="77777777" w:rsidR="00A32200" w:rsidRDefault="00A32200" w:rsidP="00A32200">
            <w:pPr>
              <w:pStyle w:val="ListParagraph"/>
              <w:ind w:left="0"/>
              <w:rPr>
                <w:b/>
                <w:sz w:val="20"/>
                <w:szCs w:val="20"/>
              </w:rPr>
            </w:pPr>
          </w:p>
          <w:p w14:paraId="401EE9AF" w14:textId="528A5A1C" w:rsidR="00A32200" w:rsidRDefault="00A32200" w:rsidP="00A32200">
            <w:pPr>
              <w:pStyle w:val="ListParagraph"/>
              <w:ind w:left="0"/>
              <w:rPr>
                <w:b/>
                <w:sz w:val="20"/>
                <w:szCs w:val="20"/>
              </w:rPr>
            </w:pPr>
          </w:p>
        </w:tc>
        <w:tc>
          <w:tcPr>
            <w:tcW w:w="2384" w:type="dxa"/>
          </w:tcPr>
          <w:p w14:paraId="7CF7B2DD" w14:textId="0D679C09" w:rsidR="00A32200" w:rsidRDefault="00A32200" w:rsidP="00A32200">
            <w:pPr>
              <w:rPr>
                <w:b/>
                <w:sz w:val="20"/>
                <w:szCs w:val="20"/>
              </w:rPr>
            </w:pPr>
            <w:r w:rsidRPr="002B5033">
              <w:rPr>
                <w:bCs/>
                <w:sz w:val="20"/>
                <w:szCs w:val="20"/>
              </w:rPr>
              <w:t xml:space="preserve">Outcome 2: Accelerate Structural Transformations for Sustainable Development </w:t>
            </w:r>
          </w:p>
        </w:tc>
        <w:tc>
          <w:tcPr>
            <w:tcW w:w="4257" w:type="dxa"/>
          </w:tcPr>
          <w:p w14:paraId="462A3012" w14:textId="75BB2AE0" w:rsidR="00A32200" w:rsidRPr="00A32200" w:rsidRDefault="00A32200" w:rsidP="008370DD">
            <w:pPr>
              <w:pStyle w:val="ListParagraph"/>
              <w:numPr>
                <w:ilvl w:val="0"/>
                <w:numId w:val="7"/>
              </w:numPr>
              <w:rPr>
                <w:bCs/>
                <w:sz w:val="20"/>
                <w:szCs w:val="20"/>
              </w:rPr>
            </w:pPr>
            <w:r w:rsidRPr="00A32200">
              <w:rPr>
                <w:bCs/>
                <w:sz w:val="20"/>
                <w:szCs w:val="20"/>
              </w:rPr>
              <w:t xml:space="preserve">Maintain strategic engagement with key IFIs (WB, ADB, EBRD, EIB, </w:t>
            </w:r>
            <w:proofErr w:type="spellStart"/>
            <w:r w:rsidRPr="00A32200">
              <w:rPr>
                <w:bCs/>
                <w:sz w:val="20"/>
                <w:szCs w:val="20"/>
              </w:rPr>
              <w:t>IsDB</w:t>
            </w:r>
            <w:proofErr w:type="spellEnd"/>
            <w:r w:rsidRPr="00A32200">
              <w:rPr>
                <w:bCs/>
                <w:sz w:val="20"/>
                <w:szCs w:val="20"/>
              </w:rPr>
              <w:t xml:space="preserve"> </w:t>
            </w:r>
            <w:proofErr w:type="spellStart"/>
            <w:r w:rsidRPr="00A32200">
              <w:rPr>
                <w:bCs/>
                <w:sz w:val="20"/>
                <w:szCs w:val="20"/>
              </w:rPr>
              <w:t>etc</w:t>
            </w:r>
            <w:proofErr w:type="spellEnd"/>
            <w:r w:rsidRPr="00A32200">
              <w:rPr>
                <w:bCs/>
                <w:sz w:val="20"/>
                <w:szCs w:val="20"/>
              </w:rPr>
              <w:t>), including on topical initiatives such as the poverty reduction strategy, digitalization, green sukuk</w:t>
            </w:r>
            <w:r w:rsidR="00F538A2">
              <w:rPr>
                <w:bCs/>
                <w:sz w:val="20"/>
                <w:szCs w:val="20"/>
              </w:rPr>
              <w:t xml:space="preserve"> and other innovative financing mechanisms </w:t>
            </w:r>
          </w:p>
          <w:p w14:paraId="4595D5C0" w14:textId="30C59386" w:rsidR="00F538A2" w:rsidRPr="00F538A2" w:rsidRDefault="00A32200" w:rsidP="00F538A2">
            <w:pPr>
              <w:pStyle w:val="ListParagraph"/>
              <w:numPr>
                <w:ilvl w:val="0"/>
                <w:numId w:val="7"/>
              </w:numPr>
              <w:rPr>
                <w:b/>
                <w:sz w:val="20"/>
                <w:szCs w:val="20"/>
              </w:rPr>
            </w:pPr>
            <w:r w:rsidRPr="00A32200">
              <w:rPr>
                <w:bCs/>
                <w:sz w:val="20"/>
                <w:szCs w:val="20"/>
              </w:rPr>
              <w:t xml:space="preserve">Explore opportunities to engage in IFIs financing agreement (WB for digitalization and </w:t>
            </w:r>
            <w:proofErr w:type="spellStart"/>
            <w:r w:rsidRPr="00A32200">
              <w:rPr>
                <w:bCs/>
                <w:sz w:val="20"/>
                <w:szCs w:val="20"/>
              </w:rPr>
              <w:t>IsDB</w:t>
            </w:r>
            <w:proofErr w:type="spellEnd"/>
            <w:r w:rsidRPr="00A32200">
              <w:rPr>
                <w:bCs/>
                <w:sz w:val="20"/>
                <w:szCs w:val="20"/>
              </w:rPr>
              <w:t xml:space="preserve"> for Green Sukuk)</w:t>
            </w:r>
          </w:p>
        </w:tc>
        <w:tc>
          <w:tcPr>
            <w:tcW w:w="1291" w:type="dxa"/>
          </w:tcPr>
          <w:p w14:paraId="3A0170E7" w14:textId="77777777" w:rsidR="00A32200" w:rsidRDefault="00A32200" w:rsidP="00A32200">
            <w:pPr>
              <w:pStyle w:val="ListParagraph"/>
              <w:ind w:left="0"/>
              <w:rPr>
                <w:b/>
                <w:sz w:val="20"/>
                <w:szCs w:val="20"/>
              </w:rPr>
            </w:pPr>
            <w:proofErr w:type="spellStart"/>
            <w:r>
              <w:rPr>
                <w:b/>
                <w:sz w:val="20"/>
                <w:szCs w:val="20"/>
              </w:rPr>
              <w:t>Programme</w:t>
            </w:r>
            <w:proofErr w:type="spellEnd"/>
            <w:r>
              <w:rPr>
                <w:b/>
                <w:sz w:val="20"/>
                <w:szCs w:val="20"/>
              </w:rPr>
              <w:t xml:space="preserve"> team</w:t>
            </w:r>
          </w:p>
          <w:p w14:paraId="33A93AB7" w14:textId="77777777" w:rsidR="00A32200" w:rsidRDefault="00A32200" w:rsidP="00A32200">
            <w:pPr>
              <w:pStyle w:val="ListParagraph"/>
              <w:ind w:left="0"/>
              <w:rPr>
                <w:b/>
                <w:sz w:val="20"/>
                <w:szCs w:val="20"/>
              </w:rPr>
            </w:pPr>
          </w:p>
          <w:p w14:paraId="2035FE32" w14:textId="297C6852" w:rsidR="00A32200" w:rsidRPr="00020198" w:rsidRDefault="00A32200" w:rsidP="00A32200">
            <w:pPr>
              <w:pStyle w:val="ListParagraph"/>
              <w:ind w:left="0"/>
              <w:rPr>
                <w:b/>
                <w:sz w:val="20"/>
                <w:szCs w:val="20"/>
              </w:rPr>
            </w:pPr>
            <w:r>
              <w:rPr>
                <w:b/>
                <w:sz w:val="20"/>
                <w:szCs w:val="20"/>
              </w:rPr>
              <w:t>RR/DRR</w:t>
            </w:r>
          </w:p>
        </w:tc>
      </w:tr>
      <w:tr w:rsidR="00A32200" w:rsidRPr="00020198" w14:paraId="2B14CDF6" w14:textId="77777777" w:rsidTr="004112B1">
        <w:trPr>
          <w:trHeight w:val="254"/>
        </w:trPr>
        <w:tc>
          <w:tcPr>
            <w:tcW w:w="1436" w:type="dxa"/>
          </w:tcPr>
          <w:p w14:paraId="7C7A5DFA" w14:textId="12B4E41B" w:rsidR="00A32200" w:rsidRDefault="00A32200" w:rsidP="00A32200">
            <w:pPr>
              <w:pStyle w:val="ListParagraph"/>
              <w:ind w:left="0"/>
              <w:rPr>
                <w:b/>
                <w:sz w:val="20"/>
                <w:szCs w:val="20"/>
              </w:rPr>
            </w:pPr>
            <w:r>
              <w:rPr>
                <w:b/>
                <w:sz w:val="20"/>
                <w:szCs w:val="20"/>
              </w:rPr>
              <w:t>Other bilateral</w:t>
            </w:r>
          </w:p>
        </w:tc>
        <w:tc>
          <w:tcPr>
            <w:tcW w:w="1252" w:type="dxa"/>
          </w:tcPr>
          <w:p w14:paraId="7D7449AF" w14:textId="09049D6E" w:rsidR="00A32200" w:rsidRPr="00A32200" w:rsidRDefault="00A32200" w:rsidP="00A32200">
            <w:pPr>
              <w:pStyle w:val="ListParagraph"/>
              <w:ind w:left="0"/>
              <w:rPr>
                <w:bCs/>
                <w:sz w:val="20"/>
                <w:szCs w:val="20"/>
              </w:rPr>
            </w:pPr>
            <w:r w:rsidRPr="00A32200">
              <w:rPr>
                <w:bCs/>
                <w:sz w:val="20"/>
                <w:szCs w:val="20"/>
              </w:rPr>
              <w:t>8.2M</w:t>
            </w:r>
          </w:p>
        </w:tc>
        <w:tc>
          <w:tcPr>
            <w:tcW w:w="2384" w:type="dxa"/>
          </w:tcPr>
          <w:p w14:paraId="713BC72A" w14:textId="5AD9C87B" w:rsidR="00A32200" w:rsidRDefault="00A32200" w:rsidP="00A32200">
            <w:pPr>
              <w:pStyle w:val="ListParagraph"/>
              <w:ind w:left="0"/>
              <w:rPr>
                <w:b/>
                <w:sz w:val="20"/>
                <w:szCs w:val="20"/>
              </w:rPr>
            </w:pPr>
            <w:r w:rsidRPr="002B5033">
              <w:rPr>
                <w:bCs/>
                <w:sz w:val="20"/>
                <w:szCs w:val="20"/>
              </w:rPr>
              <w:t xml:space="preserve">Outcome 2: Accelerate Structural Transformations for Sustainable Development </w:t>
            </w:r>
          </w:p>
        </w:tc>
        <w:tc>
          <w:tcPr>
            <w:tcW w:w="4257" w:type="dxa"/>
          </w:tcPr>
          <w:p w14:paraId="1D549B8F" w14:textId="02706702" w:rsidR="00A32200" w:rsidRPr="00A32200" w:rsidRDefault="00A32200" w:rsidP="008370DD">
            <w:pPr>
              <w:pStyle w:val="ListParagraph"/>
              <w:numPr>
                <w:ilvl w:val="0"/>
                <w:numId w:val="7"/>
              </w:numPr>
              <w:rPr>
                <w:bCs/>
                <w:sz w:val="20"/>
                <w:szCs w:val="20"/>
              </w:rPr>
            </w:pPr>
            <w:r w:rsidRPr="00A32200">
              <w:rPr>
                <w:bCs/>
                <w:sz w:val="20"/>
                <w:szCs w:val="20"/>
              </w:rPr>
              <w:t>Continue exploring opportunities to engage with bilater</w:t>
            </w:r>
            <w:r>
              <w:rPr>
                <w:bCs/>
                <w:sz w:val="20"/>
                <w:szCs w:val="20"/>
              </w:rPr>
              <w:t>al donors, such as Japan (PVE), US (Rule of Law), Switzerland (anti-corruption and broader governance), Korea (skills development, area-based cooperation), Finland (aid for trade), Sweden (governance) among others through strategic and substantive engagement of partners and development of strong pipeline of projects.</w:t>
            </w:r>
          </w:p>
        </w:tc>
        <w:tc>
          <w:tcPr>
            <w:tcW w:w="1291" w:type="dxa"/>
          </w:tcPr>
          <w:p w14:paraId="6C82EF4E" w14:textId="77777777" w:rsidR="00A32200" w:rsidRDefault="001F40A1" w:rsidP="00A32200">
            <w:pPr>
              <w:pStyle w:val="ListParagraph"/>
              <w:ind w:left="0"/>
              <w:rPr>
                <w:b/>
                <w:sz w:val="20"/>
                <w:szCs w:val="20"/>
              </w:rPr>
            </w:pPr>
            <w:proofErr w:type="spellStart"/>
            <w:r>
              <w:rPr>
                <w:b/>
                <w:sz w:val="20"/>
                <w:szCs w:val="20"/>
              </w:rPr>
              <w:t>Programme</w:t>
            </w:r>
            <w:proofErr w:type="spellEnd"/>
            <w:r>
              <w:rPr>
                <w:b/>
                <w:sz w:val="20"/>
                <w:szCs w:val="20"/>
              </w:rPr>
              <w:t xml:space="preserve"> team</w:t>
            </w:r>
          </w:p>
          <w:p w14:paraId="48D3B566" w14:textId="77777777" w:rsidR="001F40A1" w:rsidRDefault="001F40A1" w:rsidP="00A32200">
            <w:pPr>
              <w:pStyle w:val="ListParagraph"/>
              <w:ind w:left="0"/>
              <w:rPr>
                <w:b/>
                <w:sz w:val="20"/>
                <w:szCs w:val="20"/>
              </w:rPr>
            </w:pPr>
          </w:p>
          <w:p w14:paraId="51E075D2" w14:textId="7711C756" w:rsidR="001F40A1" w:rsidRPr="00020198" w:rsidRDefault="001F40A1" w:rsidP="00A32200">
            <w:pPr>
              <w:pStyle w:val="ListParagraph"/>
              <w:ind w:left="0"/>
              <w:rPr>
                <w:b/>
                <w:sz w:val="20"/>
                <w:szCs w:val="20"/>
              </w:rPr>
            </w:pPr>
            <w:r>
              <w:rPr>
                <w:b/>
                <w:sz w:val="20"/>
                <w:szCs w:val="20"/>
              </w:rPr>
              <w:t>RR/DRR</w:t>
            </w:r>
          </w:p>
        </w:tc>
      </w:tr>
      <w:tr w:rsidR="00023FE7" w:rsidRPr="00020198" w14:paraId="3882F94A" w14:textId="77777777" w:rsidTr="00023FE7">
        <w:trPr>
          <w:trHeight w:val="683"/>
        </w:trPr>
        <w:tc>
          <w:tcPr>
            <w:tcW w:w="1436" w:type="dxa"/>
          </w:tcPr>
          <w:p w14:paraId="53E3752E" w14:textId="747470C3" w:rsidR="00023FE7" w:rsidRDefault="00023FE7" w:rsidP="00A32200">
            <w:pPr>
              <w:pStyle w:val="ListParagraph"/>
              <w:ind w:left="0"/>
              <w:rPr>
                <w:b/>
                <w:sz w:val="20"/>
                <w:szCs w:val="20"/>
              </w:rPr>
            </w:pPr>
            <w:r>
              <w:rPr>
                <w:b/>
                <w:sz w:val="20"/>
                <w:szCs w:val="20"/>
              </w:rPr>
              <w:t>Private Sector</w:t>
            </w:r>
          </w:p>
        </w:tc>
        <w:tc>
          <w:tcPr>
            <w:tcW w:w="1252" w:type="dxa"/>
          </w:tcPr>
          <w:p w14:paraId="581350EF" w14:textId="77777777" w:rsidR="00023FE7" w:rsidRPr="00A32200" w:rsidRDefault="00023FE7" w:rsidP="00A32200">
            <w:pPr>
              <w:pStyle w:val="ListParagraph"/>
              <w:ind w:left="0"/>
              <w:rPr>
                <w:bCs/>
                <w:sz w:val="20"/>
                <w:szCs w:val="20"/>
              </w:rPr>
            </w:pPr>
          </w:p>
        </w:tc>
        <w:tc>
          <w:tcPr>
            <w:tcW w:w="2384" w:type="dxa"/>
          </w:tcPr>
          <w:p w14:paraId="7814B7E3" w14:textId="1ED932C0" w:rsidR="00023FE7" w:rsidRPr="002B5033" w:rsidRDefault="00023FE7" w:rsidP="00A32200">
            <w:pPr>
              <w:pStyle w:val="ListParagraph"/>
              <w:ind w:left="0"/>
              <w:rPr>
                <w:bCs/>
                <w:sz w:val="20"/>
                <w:szCs w:val="20"/>
              </w:rPr>
            </w:pPr>
            <w:r w:rsidRPr="002B5033">
              <w:rPr>
                <w:bCs/>
                <w:sz w:val="20"/>
                <w:szCs w:val="20"/>
              </w:rPr>
              <w:t>Outcome 2</w:t>
            </w:r>
          </w:p>
        </w:tc>
        <w:tc>
          <w:tcPr>
            <w:tcW w:w="4257" w:type="dxa"/>
          </w:tcPr>
          <w:p w14:paraId="4DDF8237" w14:textId="1A599132" w:rsidR="00023FE7" w:rsidRPr="00023FE7" w:rsidRDefault="00023FE7" w:rsidP="00023FE7">
            <w:pPr>
              <w:rPr>
                <w:bCs/>
                <w:sz w:val="20"/>
                <w:szCs w:val="20"/>
              </w:rPr>
            </w:pPr>
            <w:r>
              <w:rPr>
                <w:bCs/>
                <w:sz w:val="20"/>
                <w:szCs w:val="20"/>
              </w:rPr>
              <w:t>Catalyze their engagement for sustainable development</w:t>
            </w:r>
          </w:p>
        </w:tc>
        <w:tc>
          <w:tcPr>
            <w:tcW w:w="1291" w:type="dxa"/>
          </w:tcPr>
          <w:p w14:paraId="68939022" w14:textId="24B3A1F9" w:rsidR="00023FE7" w:rsidRDefault="00023FE7" w:rsidP="00A32200">
            <w:pPr>
              <w:pStyle w:val="ListParagraph"/>
              <w:ind w:left="0"/>
              <w:rPr>
                <w:b/>
                <w:sz w:val="20"/>
                <w:szCs w:val="20"/>
              </w:rPr>
            </w:pPr>
            <w:proofErr w:type="spellStart"/>
            <w:r>
              <w:rPr>
                <w:b/>
                <w:sz w:val="20"/>
                <w:szCs w:val="20"/>
              </w:rPr>
              <w:t>Programme</w:t>
            </w:r>
            <w:proofErr w:type="spellEnd"/>
          </w:p>
          <w:p w14:paraId="12935079" w14:textId="3423FE5E" w:rsidR="00023FE7" w:rsidRDefault="00023FE7" w:rsidP="00A32200">
            <w:pPr>
              <w:pStyle w:val="ListParagraph"/>
              <w:ind w:left="0"/>
              <w:rPr>
                <w:b/>
                <w:sz w:val="20"/>
                <w:szCs w:val="20"/>
              </w:rPr>
            </w:pPr>
            <w:r>
              <w:rPr>
                <w:b/>
                <w:sz w:val="20"/>
                <w:szCs w:val="20"/>
              </w:rPr>
              <w:t>RR/DRR</w:t>
            </w:r>
          </w:p>
        </w:tc>
      </w:tr>
      <w:tr w:rsidR="00023FE7" w:rsidRPr="00020198" w14:paraId="2167F64D" w14:textId="77777777" w:rsidTr="00023FE7">
        <w:trPr>
          <w:trHeight w:val="170"/>
        </w:trPr>
        <w:tc>
          <w:tcPr>
            <w:tcW w:w="1436" w:type="dxa"/>
          </w:tcPr>
          <w:p w14:paraId="412E5297" w14:textId="6972911C" w:rsidR="00023FE7" w:rsidRDefault="00023FE7" w:rsidP="00A32200">
            <w:pPr>
              <w:pStyle w:val="ListParagraph"/>
              <w:ind w:left="0"/>
              <w:rPr>
                <w:b/>
                <w:sz w:val="20"/>
                <w:szCs w:val="20"/>
              </w:rPr>
            </w:pPr>
            <w:r w:rsidRPr="00023FE7">
              <w:rPr>
                <w:b/>
                <w:sz w:val="20"/>
                <w:szCs w:val="20"/>
              </w:rPr>
              <w:t>Institutes, Civil Society/bloggers</w:t>
            </w:r>
          </w:p>
        </w:tc>
        <w:tc>
          <w:tcPr>
            <w:tcW w:w="1252" w:type="dxa"/>
          </w:tcPr>
          <w:p w14:paraId="29234DB0" w14:textId="77777777" w:rsidR="00023FE7" w:rsidRPr="00A32200" w:rsidRDefault="00023FE7" w:rsidP="00A32200">
            <w:pPr>
              <w:pStyle w:val="ListParagraph"/>
              <w:ind w:left="0"/>
              <w:rPr>
                <w:bCs/>
                <w:sz w:val="20"/>
                <w:szCs w:val="20"/>
              </w:rPr>
            </w:pPr>
          </w:p>
        </w:tc>
        <w:tc>
          <w:tcPr>
            <w:tcW w:w="2384" w:type="dxa"/>
          </w:tcPr>
          <w:p w14:paraId="4A6822D1" w14:textId="6C3D9554" w:rsidR="00023FE7" w:rsidRPr="002B5033" w:rsidRDefault="00023FE7" w:rsidP="00A32200">
            <w:pPr>
              <w:pStyle w:val="ListParagraph"/>
              <w:ind w:left="0"/>
              <w:rPr>
                <w:bCs/>
                <w:sz w:val="20"/>
                <w:szCs w:val="20"/>
              </w:rPr>
            </w:pPr>
            <w:r>
              <w:rPr>
                <w:bCs/>
                <w:sz w:val="20"/>
                <w:szCs w:val="20"/>
              </w:rPr>
              <w:t>Outcome 2</w:t>
            </w:r>
          </w:p>
        </w:tc>
        <w:tc>
          <w:tcPr>
            <w:tcW w:w="4257" w:type="dxa"/>
          </w:tcPr>
          <w:p w14:paraId="180C8984" w14:textId="4A264EC9" w:rsidR="00023FE7" w:rsidRDefault="00023FE7" w:rsidP="00023FE7">
            <w:pPr>
              <w:rPr>
                <w:bCs/>
                <w:sz w:val="20"/>
                <w:szCs w:val="20"/>
              </w:rPr>
            </w:pPr>
            <w:r>
              <w:rPr>
                <w:rFonts w:eastAsiaTheme="minorEastAsia"/>
                <w:bCs/>
                <w:sz w:val="20"/>
                <w:szCs w:val="20"/>
                <w:lang w:eastAsia="ja-JP"/>
              </w:rPr>
              <w:t>I</w:t>
            </w:r>
            <w:r w:rsidRPr="00023FE7">
              <w:rPr>
                <w:rFonts w:eastAsiaTheme="minorEastAsia"/>
                <w:bCs/>
                <w:sz w:val="20"/>
                <w:szCs w:val="20"/>
                <w:lang w:eastAsia="ja-JP"/>
              </w:rPr>
              <w:t>nfluence and inform the development thinking and policy making</w:t>
            </w:r>
            <w:r>
              <w:t xml:space="preserve">  </w:t>
            </w:r>
          </w:p>
        </w:tc>
        <w:tc>
          <w:tcPr>
            <w:tcW w:w="1291" w:type="dxa"/>
          </w:tcPr>
          <w:p w14:paraId="34043B69" w14:textId="18677ADC" w:rsidR="00023FE7" w:rsidRDefault="00023FE7" w:rsidP="00A32200">
            <w:pPr>
              <w:pStyle w:val="ListParagraph"/>
              <w:ind w:left="0"/>
              <w:rPr>
                <w:b/>
                <w:sz w:val="20"/>
                <w:szCs w:val="20"/>
              </w:rPr>
            </w:pPr>
            <w:proofErr w:type="spellStart"/>
            <w:r>
              <w:rPr>
                <w:b/>
                <w:sz w:val="20"/>
                <w:szCs w:val="20"/>
              </w:rPr>
              <w:t>Programme</w:t>
            </w:r>
            <w:proofErr w:type="spellEnd"/>
            <w:r>
              <w:rPr>
                <w:b/>
                <w:sz w:val="20"/>
                <w:szCs w:val="20"/>
              </w:rPr>
              <w:t xml:space="preserve"> RR/DRR</w:t>
            </w:r>
          </w:p>
        </w:tc>
      </w:tr>
    </w:tbl>
    <w:p w14:paraId="49F1BA46" w14:textId="47304D92" w:rsidR="00E60189" w:rsidRPr="00AB64A3" w:rsidRDefault="00E60189" w:rsidP="00023FE7">
      <w:pPr>
        <w:pStyle w:val="ListParagraph"/>
        <w:ind w:left="1080"/>
        <w:rPr>
          <w:sz w:val="24"/>
          <w:szCs w:val="24"/>
        </w:rPr>
      </w:pPr>
    </w:p>
    <w:p w14:paraId="6455B250" w14:textId="77777777" w:rsidR="00FD4B27" w:rsidRDefault="00E60189" w:rsidP="00FD4B27">
      <w:pPr>
        <w:rPr>
          <w:sz w:val="24"/>
          <w:szCs w:val="24"/>
        </w:rPr>
      </w:pPr>
      <w:r w:rsidRPr="00FD4B27">
        <w:rPr>
          <w:b/>
          <w:sz w:val="24"/>
          <w:szCs w:val="24"/>
          <w:u w:val="single"/>
        </w:rPr>
        <w:t>Table B</w:t>
      </w:r>
      <w:r w:rsidRPr="00FD4B27">
        <w:rPr>
          <w:b/>
          <w:sz w:val="24"/>
          <w:szCs w:val="24"/>
        </w:rPr>
        <w:t>. Pipeline:</w:t>
      </w:r>
      <w:r w:rsidRPr="00FD4B27">
        <w:rPr>
          <w:sz w:val="24"/>
          <w:szCs w:val="24"/>
        </w:rPr>
        <w:t xml:space="preserve"> CO pipeline extracted from Atlas. </w:t>
      </w:r>
    </w:p>
    <w:p w14:paraId="7D58AB42" w14:textId="4E81CB01" w:rsidR="006F6C74" w:rsidRPr="00FD4B27" w:rsidRDefault="006F6C74" w:rsidP="00FD4B27">
      <w:pPr>
        <w:rPr>
          <w:sz w:val="24"/>
          <w:szCs w:val="24"/>
        </w:rPr>
      </w:pPr>
      <w:r w:rsidRPr="00F21BBA">
        <w:rPr>
          <w:b/>
          <w:color w:val="00B0F0"/>
          <w:sz w:val="24"/>
          <w:szCs w:val="24"/>
          <w:u w:val="single"/>
        </w:rPr>
        <w:t xml:space="preserve">Part II. Communications and Advocacy </w:t>
      </w:r>
    </w:p>
    <w:p w14:paraId="4DAEF88A" w14:textId="77777777" w:rsidR="006F6C74" w:rsidRDefault="006F6C74" w:rsidP="006F6C74">
      <w:pPr>
        <w:pStyle w:val="ListParagraph"/>
        <w:numPr>
          <w:ilvl w:val="0"/>
          <w:numId w:val="1"/>
        </w:numPr>
        <w:spacing w:line="240" w:lineRule="auto"/>
        <w:ind w:left="360"/>
        <w:jc w:val="both"/>
        <w:rPr>
          <w:rFonts w:cstheme="minorHAnsi"/>
          <w:bCs/>
        </w:rPr>
      </w:pPr>
      <w:r w:rsidRPr="002B6528">
        <w:rPr>
          <w:rFonts w:cstheme="minorHAnsi"/>
          <w:b/>
        </w:rPr>
        <w:t xml:space="preserve">Communications Objectives </w:t>
      </w:r>
      <w:r w:rsidRPr="002B6528">
        <w:rPr>
          <w:rFonts w:cstheme="minorHAnsi"/>
          <w:bCs/>
        </w:rPr>
        <w:t xml:space="preserve">(300 words max) </w:t>
      </w:r>
    </w:p>
    <w:p w14:paraId="4C819FD2" w14:textId="77777777" w:rsidR="006F6C74" w:rsidRDefault="006F6C74" w:rsidP="006F6C74">
      <w:pPr>
        <w:pStyle w:val="ListParagraph"/>
        <w:spacing w:line="240" w:lineRule="auto"/>
        <w:ind w:left="360"/>
        <w:jc w:val="both"/>
        <w:rPr>
          <w:rFonts w:cstheme="minorHAnsi"/>
          <w:bCs/>
        </w:rPr>
      </w:pPr>
    </w:p>
    <w:p w14:paraId="23DD2564" w14:textId="38CC1D57" w:rsidR="006F6C74" w:rsidRDefault="006F6C74" w:rsidP="00D2375A">
      <w:pPr>
        <w:pStyle w:val="ListParagraph"/>
        <w:numPr>
          <w:ilvl w:val="0"/>
          <w:numId w:val="8"/>
        </w:numPr>
        <w:spacing w:line="240" w:lineRule="auto"/>
        <w:jc w:val="both"/>
      </w:pPr>
      <w:r>
        <w:t>Maximize visibility of UNDP's work in Uzbekistan by communicating inclusively and effectively the mission, success</w:t>
      </w:r>
      <w:r w:rsidR="00F21BBA">
        <w:t>es</w:t>
      </w:r>
      <w:r>
        <w:t xml:space="preserve"> and results of UNDP Uzbekistan to a wide and varied audience. </w:t>
      </w:r>
    </w:p>
    <w:p w14:paraId="75F02898" w14:textId="098E60E9" w:rsidR="006F6C74" w:rsidRDefault="006F6C74" w:rsidP="00D2375A">
      <w:pPr>
        <w:pStyle w:val="ListParagraph"/>
        <w:numPr>
          <w:ilvl w:val="0"/>
          <w:numId w:val="8"/>
        </w:numPr>
        <w:spacing w:line="240" w:lineRule="auto"/>
        <w:jc w:val="both"/>
      </w:pPr>
      <w:r>
        <w:t xml:space="preserve">Further the Agenda 2030 and the vision of UNDP Uzbekistan Country </w:t>
      </w:r>
      <w:proofErr w:type="spellStart"/>
      <w:r>
        <w:t>Programme</w:t>
      </w:r>
      <w:proofErr w:type="spellEnd"/>
      <w:r>
        <w:t xml:space="preserve"> Document by presenting relevant,</w:t>
      </w:r>
      <w:r w:rsidR="00F21BBA">
        <w:t xml:space="preserve"> </w:t>
      </w:r>
      <w:r>
        <w:t>gender-sensitive and engaging content. Promote messages using captivating human stories that represent the</w:t>
      </w:r>
      <w:r w:rsidR="00F21BBA">
        <w:t xml:space="preserve"> transformational changes pursued by </w:t>
      </w:r>
      <w:r>
        <w:t xml:space="preserve">UNDP’s interventions in Uzbekistan. </w:t>
      </w:r>
    </w:p>
    <w:p w14:paraId="19524310" w14:textId="36287701" w:rsidR="006F6C74" w:rsidRDefault="006F6C74" w:rsidP="00D2375A">
      <w:pPr>
        <w:pStyle w:val="ListParagraph"/>
        <w:numPr>
          <w:ilvl w:val="0"/>
          <w:numId w:val="8"/>
        </w:numPr>
        <w:spacing w:line="240" w:lineRule="auto"/>
        <w:jc w:val="both"/>
      </w:pPr>
      <w:r>
        <w:t xml:space="preserve">Give visibility to donors and promote stories which portray equitable and fairly all beneficiaries: women, men, girls and boys. </w:t>
      </w:r>
    </w:p>
    <w:p w14:paraId="08EECB1E" w14:textId="77777777" w:rsidR="00D2375A" w:rsidRDefault="006F6C74" w:rsidP="00D2375A">
      <w:pPr>
        <w:pStyle w:val="ListParagraph"/>
        <w:numPr>
          <w:ilvl w:val="0"/>
          <w:numId w:val="8"/>
        </w:numPr>
        <w:spacing w:line="240" w:lineRule="auto"/>
        <w:jc w:val="both"/>
      </w:pPr>
      <w:r>
        <w:t>Encourage and support engagement with strategically targeted influential media.</w:t>
      </w:r>
    </w:p>
    <w:p w14:paraId="3A8A3B0C" w14:textId="77777777" w:rsidR="00D2375A" w:rsidRDefault="006F6C74" w:rsidP="00D2375A">
      <w:pPr>
        <w:pStyle w:val="ListParagraph"/>
        <w:numPr>
          <w:ilvl w:val="0"/>
          <w:numId w:val="8"/>
        </w:numPr>
        <w:spacing w:line="240" w:lineRule="auto"/>
        <w:jc w:val="both"/>
      </w:pPr>
      <w:r>
        <w:t xml:space="preserve">Communicate via corporate networks how UNDP Uzbekistan embodies the new UNDP. </w:t>
      </w:r>
    </w:p>
    <w:p w14:paraId="65364B08" w14:textId="611D426D" w:rsidR="006F6C74" w:rsidRDefault="006F6C74" w:rsidP="00D2375A">
      <w:pPr>
        <w:pStyle w:val="ListParagraph"/>
        <w:numPr>
          <w:ilvl w:val="0"/>
          <w:numId w:val="8"/>
        </w:numPr>
        <w:spacing w:line="240" w:lineRule="auto"/>
        <w:jc w:val="both"/>
      </w:pPr>
      <w:r>
        <w:t>Contribute to reaching global audiences through cooperating with international media</w:t>
      </w:r>
    </w:p>
    <w:p w14:paraId="6EE96A63" w14:textId="77777777" w:rsidR="006F6C74" w:rsidRPr="002B6528" w:rsidRDefault="006F6C74" w:rsidP="006F6C74">
      <w:pPr>
        <w:pStyle w:val="ListParagraph"/>
        <w:spacing w:line="240" w:lineRule="auto"/>
        <w:ind w:left="360"/>
        <w:jc w:val="both"/>
        <w:rPr>
          <w:rFonts w:cstheme="minorHAnsi"/>
        </w:rPr>
      </w:pPr>
    </w:p>
    <w:p w14:paraId="0BA35B2B" w14:textId="77777777" w:rsidR="006F6C74" w:rsidRPr="002B6528" w:rsidRDefault="006F6C74" w:rsidP="006F6C74">
      <w:pPr>
        <w:pStyle w:val="ListParagraph"/>
        <w:numPr>
          <w:ilvl w:val="0"/>
          <w:numId w:val="1"/>
        </w:numPr>
        <w:spacing w:line="240" w:lineRule="auto"/>
        <w:ind w:left="360"/>
        <w:rPr>
          <w:rFonts w:cstheme="minorHAnsi"/>
        </w:rPr>
      </w:pPr>
      <w:r w:rsidRPr="002B6528">
        <w:rPr>
          <w:rFonts w:cstheme="minorHAnsi"/>
          <w:b/>
        </w:rPr>
        <w:t xml:space="preserve">Target Audiences </w:t>
      </w:r>
      <w:r w:rsidRPr="002B6528">
        <w:rPr>
          <w:rFonts w:cstheme="minorHAnsi"/>
        </w:rPr>
        <w:t>(</w:t>
      </w:r>
      <w:r w:rsidRPr="002B6528">
        <w:rPr>
          <w:rFonts w:cstheme="minorHAnsi"/>
          <w:u w:val="single"/>
        </w:rPr>
        <w:t>200 words max</w:t>
      </w:r>
      <w:r w:rsidRPr="002B6528">
        <w:rPr>
          <w:rFonts w:cstheme="minorHAnsi"/>
        </w:rPr>
        <w:t>)</w:t>
      </w:r>
    </w:p>
    <w:p w14:paraId="6B44F121" w14:textId="77777777" w:rsidR="006F6C74" w:rsidRPr="004C28EF" w:rsidRDefault="006F6C74" w:rsidP="008370DD">
      <w:pPr>
        <w:numPr>
          <w:ilvl w:val="0"/>
          <w:numId w:val="5"/>
        </w:numPr>
        <w:spacing w:after="0" w:line="240" w:lineRule="auto"/>
        <w:rPr>
          <w:rFonts w:ascii="Calibri" w:hAnsi="Calibri"/>
        </w:rPr>
      </w:pPr>
      <w:r w:rsidRPr="004C28EF">
        <w:rPr>
          <w:rFonts w:ascii="Calibri" w:hAnsi="Calibri"/>
          <w:b/>
        </w:rPr>
        <w:t>Government –</w:t>
      </w:r>
      <w:r w:rsidRPr="004C28EF">
        <w:rPr>
          <w:rFonts w:ascii="Calibri" w:hAnsi="Calibri"/>
        </w:rPr>
        <w:t xml:space="preserve"> our major national partner, includes key ministries, the Parliament, local government institutions. </w:t>
      </w:r>
    </w:p>
    <w:p w14:paraId="4EE37E71" w14:textId="0E9F8471" w:rsidR="006F6C74" w:rsidRPr="004C28EF" w:rsidRDefault="00FD4B27" w:rsidP="008370DD">
      <w:pPr>
        <w:numPr>
          <w:ilvl w:val="0"/>
          <w:numId w:val="5"/>
        </w:numPr>
        <w:spacing w:after="0" w:line="240" w:lineRule="auto"/>
        <w:rPr>
          <w:rFonts w:ascii="Calibri" w:hAnsi="Calibri"/>
        </w:rPr>
      </w:pPr>
      <w:r>
        <w:rPr>
          <w:rFonts w:ascii="Calibri" w:hAnsi="Calibri"/>
          <w:b/>
        </w:rPr>
        <w:t xml:space="preserve">Development partners </w:t>
      </w:r>
      <w:r w:rsidR="006F6C74" w:rsidRPr="004C28EF">
        <w:rPr>
          <w:rFonts w:ascii="Calibri" w:hAnsi="Calibri"/>
          <w:b/>
        </w:rPr>
        <w:t>-</w:t>
      </w:r>
      <w:r w:rsidR="006F6C74" w:rsidRPr="004C28EF">
        <w:rPr>
          <w:rFonts w:ascii="Calibri" w:hAnsi="Calibri"/>
        </w:rPr>
        <w:t xml:space="preserve"> embassies, rep. offices</w:t>
      </w:r>
      <w:r>
        <w:rPr>
          <w:rFonts w:ascii="Calibri" w:hAnsi="Calibri"/>
        </w:rPr>
        <w:t>, IFIs, bi-lateral development agencies</w:t>
      </w:r>
      <w:r w:rsidR="006F6C74" w:rsidRPr="004C28EF">
        <w:rPr>
          <w:rFonts w:ascii="Calibri" w:hAnsi="Calibri"/>
        </w:rPr>
        <w:t xml:space="preserve"> and other development organizations. </w:t>
      </w:r>
    </w:p>
    <w:p w14:paraId="08768DD8" w14:textId="77777777" w:rsidR="006F6C74" w:rsidRPr="004C28EF" w:rsidRDefault="006F6C74" w:rsidP="008370DD">
      <w:pPr>
        <w:numPr>
          <w:ilvl w:val="0"/>
          <w:numId w:val="5"/>
        </w:numPr>
        <w:spacing w:after="0" w:line="240" w:lineRule="auto"/>
        <w:rPr>
          <w:rFonts w:ascii="Calibri" w:hAnsi="Calibri"/>
        </w:rPr>
      </w:pPr>
      <w:r w:rsidRPr="004C28EF">
        <w:rPr>
          <w:rFonts w:ascii="Calibri" w:hAnsi="Calibri"/>
          <w:b/>
        </w:rPr>
        <w:lastRenderedPageBreak/>
        <w:t>Civil Society –</w:t>
      </w:r>
      <w:r w:rsidRPr="004C28EF">
        <w:rPr>
          <w:rFonts w:ascii="Calibri" w:hAnsi="Calibri"/>
        </w:rPr>
        <w:t xml:space="preserve"> international NGOs, national, local and grassroots NGOs; and civil activists, including unorganized civil society such as initiatives, platforms.</w:t>
      </w:r>
    </w:p>
    <w:p w14:paraId="472C544F" w14:textId="77777777" w:rsidR="006F6C74" w:rsidRPr="004C28EF" w:rsidRDefault="006F6C74" w:rsidP="008370DD">
      <w:pPr>
        <w:numPr>
          <w:ilvl w:val="0"/>
          <w:numId w:val="5"/>
        </w:numPr>
        <w:spacing w:after="0" w:line="240" w:lineRule="auto"/>
        <w:rPr>
          <w:rFonts w:ascii="Calibri" w:hAnsi="Calibri"/>
        </w:rPr>
      </w:pPr>
      <w:r w:rsidRPr="004C28EF">
        <w:rPr>
          <w:rFonts w:ascii="Calibri" w:hAnsi="Calibri"/>
          <w:b/>
        </w:rPr>
        <w:t>Private Sector</w:t>
      </w:r>
      <w:r w:rsidRPr="004C28EF">
        <w:rPr>
          <w:rFonts w:ascii="Calibri" w:hAnsi="Calibri"/>
        </w:rPr>
        <w:t xml:space="preserve"> – donors, partners and implementers of some UNDP projects.</w:t>
      </w:r>
    </w:p>
    <w:p w14:paraId="0AAB476C" w14:textId="77777777" w:rsidR="006F6C74" w:rsidRPr="004C28EF" w:rsidRDefault="006F6C74" w:rsidP="008370DD">
      <w:pPr>
        <w:numPr>
          <w:ilvl w:val="0"/>
          <w:numId w:val="5"/>
        </w:numPr>
        <w:spacing w:after="0" w:line="240" w:lineRule="auto"/>
        <w:rPr>
          <w:rFonts w:ascii="Calibri" w:hAnsi="Calibri"/>
        </w:rPr>
      </w:pPr>
      <w:r w:rsidRPr="004C28EF">
        <w:rPr>
          <w:rFonts w:ascii="Calibri" w:hAnsi="Calibri"/>
          <w:b/>
        </w:rPr>
        <w:t>The youth (aged 15-24)</w:t>
      </w:r>
      <w:r w:rsidRPr="004C28EF">
        <w:rPr>
          <w:rFonts w:ascii="Calibri" w:hAnsi="Calibri"/>
        </w:rPr>
        <w:t xml:space="preserve"> </w:t>
      </w:r>
      <w:r>
        <w:rPr>
          <w:rFonts w:ascii="Calibri" w:hAnsi="Calibri"/>
        </w:rPr>
        <w:t>–</w:t>
      </w:r>
      <w:r w:rsidRPr="004C28EF">
        <w:rPr>
          <w:rFonts w:ascii="Calibri" w:hAnsi="Calibri"/>
        </w:rPr>
        <w:t xml:space="preserve"> reaching</w:t>
      </w:r>
      <w:r>
        <w:rPr>
          <w:rFonts w:ascii="Calibri" w:hAnsi="Calibri"/>
        </w:rPr>
        <w:t xml:space="preserve"> out to</w:t>
      </w:r>
      <w:r w:rsidRPr="004C28EF">
        <w:rPr>
          <w:rFonts w:ascii="Calibri" w:hAnsi="Calibri"/>
        </w:rPr>
        <w:t xml:space="preserve"> young people, </w:t>
      </w:r>
      <w:r>
        <w:rPr>
          <w:rFonts w:ascii="Calibri" w:hAnsi="Calibri"/>
        </w:rPr>
        <w:t>interacting via</w:t>
      </w:r>
      <w:r w:rsidRPr="004C28EF">
        <w:rPr>
          <w:rFonts w:ascii="Calibri" w:hAnsi="Calibri"/>
        </w:rPr>
        <w:t xml:space="preserve"> social media is essential; hence the commitment to strengthening communication with younger audiences as ‘future development advocates.</w:t>
      </w:r>
    </w:p>
    <w:p w14:paraId="67DFC336" w14:textId="77777777" w:rsidR="006F6C74" w:rsidRPr="004C28EF" w:rsidRDefault="006F6C74" w:rsidP="008370DD">
      <w:pPr>
        <w:numPr>
          <w:ilvl w:val="0"/>
          <w:numId w:val="5"/>
        </w:numPr>
        <w:spacing w:after="0" w:line="240" w:lineRule="auto"/>
        <w:rPr>
          <w:rFonts w:ascii="Calibri" w:hAnsi="Calibri"/>
        </w:rPr>
      </w:pPr>
      <w:r w:rsidRPr="004C28EF">
        <w:rPr>
          <w:rFonts w:ascii="Calibri" w:hAnsi="Calibri"/>
          <w:b/>
        </w:rPr>
        <w:t>General public</w:t>
      </w:r>
      <w:r w:rsidRPr="004C28EF">
        <w:rPr>
          <w:rFonts w:ascii="Calibri" w:hAnsi="Calibri"/>
        </w:rPr>
        <w:t xml:space="preserve"> –includes various groups differing by factors like age, class, income, gender, ethnic origin, ability, etc.</w:t>
      </w:r>
    </w:p>
    <w:p w14:paraId="516E0564" w14:textId="77777777" w:rsidR="006F6C74" w:rsidRPr="002B6528" w:rsidRDefault="006F6C74" w:rsidP="006F6C74">
      <w:pPr>
        <w:pStyle w:val="ListParagraph"/>
        <w:spacing w:line="240" w:lineRule="auto"/>
        <w:ind w:left="360"/>
        <w:rPr>
          <w:rFonts w:cstheme="minorHAnsi"/>
        </w:rPr>
      </w:pPr>
    </w:p>
    <w:p w14:paraId="04D1BA5A" w14:textId="77777777" w:rsidR="006F6C74" w:rsidRPr="002B6528" w:rsidRDefault="006F6C74" w:rsidP="006F6C74">
      <w:pPr>
        <w:pStyle w:val="ListParagraph"/>
        <w:numPr>
          <w:ilvl w:val="0"/>
          <w:numId w:val="1"/>
        </w:numPr>
        <w:spacing w:line="240" w:lineRule="auto"/>
        <w:jc w:val="both"/>
        <w:rPr>
          <w:rFonts w:cstheme="minorHAnsi"/>
          <w:b/>
          <w:bCs/>
        </w:rPr>
      </w:pPr>
      <w:r w:rsidRPr="002B6528">
        <w:rPr>
          <w:rFonts w:cstheme="minorHAnsi"/>
          <w:b/>
          <w:bCs/>
        </w:rPr>
        <w:t xml:space="preserve">Key Messages: </w:t>
      </w:r>
    </w:p>
    <w:p w14:paraId="7CE6CD2F" w14:textId="77777777" w:rsidR="006F6C74" w:rsidRPr="002B6528" w:rsidRDefault="006F6C74" w:rsidP="006F6C74">
      <w:pPr>
        <w:pStyle w:val="ListParagraph"/>
        <w:spacing w:line="240" w:lineRule="auto"/>
        <w:ind w:left="502"/>
        <w:jc w:val="both"/>
        <w:rPr>
          <w:rFonts w:cstheme="minorHAnsi"/>
          <w:b/>
          <w:bCs/>
        </w:rPr>
      </w:pPr>
    </w:p>
    <w:p w14:paraId="3D5A70A5" w14:textId="5A4D4FA5" w:rsidR="006F6C74" w:rsidRPr="004B18F1" w:rsidRDefault="006F6C74" w:rsidP="004B18F1">
      <w:pPr>
        <w:pStyle w:val="ListParagraph"/>
        <w:numPr>
          <w:ilvl w:val="0"/>
          <w:numId w:val="11"/>
        </w:numPr>
        <w:spacing w:before="100" w:beforeAutospacing="1" w:after="100" w:afterAutospacing="1" w:line="240" w:lineRule="auto"/>
        <w:jc w:val="both"/>
        <w:rPr>
          <w:rFonts w:eastAsia="Times New Roman" w:cstheme="minorHAnsi"/>
          <w:color w:val="000000"/>
          <w:lang w:val="en-GB" w:eastAsia="en-GB"/>
        </w:rPr>
      </w:pPr>
      <w:r w:rsidRPr="004B18F1">
        <w:rPr>
          <w:rFonts w:eastAsia="Times New Roman" w:cstheme="minorHAnsi"/>
          <w:color w:val="000000"/>
          <w:lang w:val="en-GB" w:eastAsia="en-GB"/>
        </w:rPr>
        <w:t>UNDP Uzbekistan is supporting the achievement of SDGs in Uzbekistan by 2030, particularly targeting and identifying the needs of the country’s most vulnerable communities and mainstreaming SDGs into government policies and national strategies.</w:t>
      </w:r>
    </w:p>
    <w:p w14:paraId="0D7A5424" w14:textId="4E71BEDB" w:rsidR="006F6C74" w:rsidRPr="004B18F1" w:rsidRDefault="006F6C74" w:rsidP="004B18F1">
      <w:pPr>
        <w:pStyle w:val="ListParagraph"/>
        <w:numPr>
          <w:ilvl w:val="0"/>
          <w:numId w:val="11"/>
        </w:numPr>
        <w:spacing w:before="100" w:beforeAutospacing="1" w:after="100" w:afterAutospacing="1" w:line="240" w:lineRule="auto"/>
        <w:jc w:val="both"/>
        <w:rPr>
          <w:rFonts w:eastAsia="Times New Roman" w:cstheme="minorHAnsi"/>
          <w:color w:val="000000"/>
          <w:lang w:val="en-GB" w:eastAsia="en-GB"/>
        </w:rPr>
      </w:pPr>
      <w:r w:rsidRPr="004B18F1">
        <w:rPr>
          <w:rFonts w:eastAsia="Times New Roman" w:cstheme="minorHAnsi"/>
          <w:color w:val="000000"/>
          <w:lang w:val="en-GB" w:eastAsia="en-GB"/>
        </w:rPr>
        <w:t>UNDP supports the Government of Uzbekistan in setting up effective and accountable governance institutions for enhanced service delivery at national and local levels, improving socia</w:t>
      </w:r>
      <w:r w:rsidR="004B18F1" w:rsidRPr="004B18F1">
        <w:rPr>
          <w:rFonts w:eastAsia="Times New Roman" w:cstheme="minorHAnsi"/>
          <w:color w:val="000000"/>
          <w:lang w:val="en-GB" w:eastAsia="en-GB"/>
        </w:rPr>
        <w:t xml:space="preserve">l </w:t>
      </w:r>
      <w:r w:rsidRPr="004B18F1">
        <w:rPr>
          <w:rFonts w:eastAsia="Times New Roman" w:cstheme="minorHAnsi"/>
          <w:color w:val="000000"/>
          <w:lang w:val="en-GB" w:eastAsia="en-GB"/>
        </w:rPr>
        <w:t>cohesion, ensuring access to justice for all and strengthening capacity of civil society in responding to / addressing society’s needs.</w:t>
      </w:r>
    </w:p>
    <w:p w14:paraId="28FA9DC1" w14:textId="7A638D63" w:rsidR="006F6C74" w:rsidRPr="004B18F1" w:rsidRDefault="006F6C74" w:rsidP="004B18F1">
      <w:pPr>
        <w:pStyle w:val="ListParagraph"/>
        <w:numPr>
          <w:ilvl w:val="0"/>
          <w:numId w:val="11"/>
        </w:numPr>
        <w:spacing w:before="100" w:beforeAutospacing="1" w:after="100" w:afterAutospacing="1" w:line="240" w:lineRule="auto"/>
        <w:jc w:val="both"/>
        <w:rPr>
          <w:rFonts w:eastAsia="Times New Roman"/>
          <w:lang w:val="en-GB"/>
        </w:rPr>
      </w:pPr>
      <w:r w:rsidRPr="004B18F1">
        <w:rPr>
          <w:rFonts w:eastAsia="Times New Roman" w:cstheme="minorHAnsi"/>
          <w:color w:val="000000"/>
          <w:lang w:val="en-GB" w:eastAsia="en-GB"/>
        </w:rPr>
        <w:t xml:space="preserve">UNDP Uzbekistan supports sustainable management of the natural environment, as well as efforts towards climate change </w:t>
      </w:r>
      <w:r w:rsidRPr="004B18F1">
        <w:rPr>
          <w:rFonts w:eastAsia="Times New Roman"/>
          <w:lang w:val="en-GB"/>
        </w:rPr>
        <w:t>adaptation, and improved life of people in rural areas. We will continue to strengthen capacities in disaster risk reduction as well as adoption of low carbon lifestyles and achieving carbon neutral goals.</w:t>
      </w:r>
    </w:p>
    <w:p w14:paraId="437F63F4" w14:textId="07B88B6F" w:rsidR="004B18F1" w:rsidRPr="004B18F1" w:rsidRDefault="006F6C74" w:rsidP="004B18F1">
      <w:pPr>
        <w:pStyle w:val="ListParagraph"/>
        <w:numPr>
          <w:ilvl w:val="0"/>
          <w:numId w:val="11"/>
        </w:numPr>
        <w:spacing w:before="100" w:beforeAutospacing="1" w:after="100" w:afterAutospacing="1" w:line="240" w:lineRule="auto"/>
        <w:jc w:val="both"/>
        <w:rPr>
          <w:rFonts w:eastAsia="Times New Roman" w:cstheme="minorHAnsi"/>
          <w:color w:val="000000"/>
          <w:lang w:val="en-GB" w:eastAsia="en-GB"/>
        </w:rPr>
      </w:pPr>
      <w:r w:rsidRPr="004B18F1">
        <w:rPr>
          <w:rFonts w:eastAsia="Times New Roman" w:cstheme="minorHAnsi"/>
          <w:color w:val="000000"/>
          <w:lang w:val="en-GB" w:eastAsia="en-GB"/>
        </w:rPr>
        <w:t>UNDP Uzbekistan supports the Government of Uzbekistan in expanding access to development finances and economic opportunities, linking programmes with the country’s economic and financial</w:t>
      </w:r>
      <w:r w:rsidR="004B18F1" w:rsidRPr="004B18F1">
        <w:rPr>
          <w:rFonts w:eastAsia="Times New Roman" w:cstheme="minorHAnsi"/>
          <w:color w:val="000000"/>
          <w:lang w:val="en-GB" w:eastAsia="en-GB"/>
        </w:rPr>
        <w:t xml:space="preserve"> </w:t>
      </w:r>
      <w:r w:rsidRPr="004B18F1">
        <w:rPr>
          <w:rFonts w:eastAsia="Times New Roman" w:cstheme="minorHAnsi"/>
          <w:color w:val="000000"/>
          <w:lang w:val="en-GB" w:eastAsia="en-GB"/>
        </w:rPr>
        <w:t>policies to achieve equitable gro</w:t>
      </w:r>
      <w:bookmarkStart w:id="2" w:name="_GoBack"/>
      <w:bookmarkEnd w:id="2"/>
      <w:r w:rsidRPr="004B18F1">
        <w:rPr>
          <w:rFonts w:eastAsia="Times New Roman" w:cstheme="minorHAnsi"/>
          <w:color w:val="000000"/>
          <w:lang w:val="en-GB" w:eastAsia="en-GB"/>
        </w:rPr>
        <w:t>wth and sustainable development.</w:t>
      </w:r>
    </w:p>
    <w:p w14:paraId="3F760495" w14:textId="7D6427E0" w:rsidR="004B18F1" w:rsidRPr="004B18F1" w:rsidRDefault="004B18F1" w:rsidP="004B18F1">
      <w:pPr>
        <w:pStyle w:val="ListParagraph"/>
        <w:numPr>
          <w:ilvl w:val="0"/>
          <w:numId w:val="11"/>
        </w:numPr>
        <w:spacing w:before="100" w:beforeAutospacing="1" w:after="100" w:afterAutospacing="1" w:line="240" w:lineRule="auto"/>
        <w:jc w:val="both"/>
        <w:rPr>
          <w:rFonts w:eastAsia="Times New Roman" w:cstheme="minorHAnsi"/>
          <w:color w:val="000000"/>
          <w:lang w:val="en-GB" w:eastAsia="en-GB"/>
        </w:rPr>
      </w:pPr>
      <w:r w:rsidRPr="004B18F1">
        <w:rPr>
          <w:rFonts w:eastAsia="Times New Roman" w:cstheme="minorHAnsi"/>
          <w:color w:val="000000"/>
          <w:lang w:val="en-GB" w:eastAsia="en-GB"/>
        </w:rPr>
        <w:t>UNDP will support</w:t>
      </w:r>
      <w:r>
        <w:rPr>
          <w:rFonts w:eastAsia="Times New Roman" w:cstheme="minorHAnsi"/>
          <w:color w:val="000000"/>
          <w:lang w:val="en-GB" w:eastAsia="en-GB"/>
        </w:rPr>
        <w:t xml:space="preserve"> Uzbekistan</w:t>
      </w:r>
      <w:r w:rsidRPr="004B18F1">
        <w:rPr>
          <w:rFonts w:eastAsia="Times New Roman" w:cstheme="minorHAnsi"/>
          <w:color w:val="000000"/>
          <w:lang w:val="en-GB" w:eastAsia="en-GB"/>
        </w:rPr>
        <w:t xml:space="preserve"> to set up a multisectoral whole-of-society approach to face the challenges beyond the health sector, to limit the spread of COVID-19 and to mitigate the potentially devastating impact it may have on vulnerable populations and economies.</w:t>
      </w:r>
      <w:r>
        <w:rPr>
          <w:rFonts w:eastAsia="Times New Roman" w:cstheme="minorHAnsi"/>
          <w:color w:val="000000"/>
          <w:lang w:val="en-GB" w:eastAsia="en-GB"/>
        </w:rPr>
        <w:t xml:space="preserve"> </w:t>
      </w:r>
      <w:r w:rsidRPr="004B18F1">
        <w:rPr>
          <w:rFonts w:eastAsia="Times New Roman" w:cstheme="minorHAnsi"/>
          <w:color w:val="000000"/>
          <w:lang w:val="en-GB" w:eastAsia="en-GB"/>
        </w:rPr>
        <w:t xml:space="preserve">UNDP’s support will also help ensure that the responses </w:t>
      </w:r>
      <w:r>
        <w:rPr>
          <w:rFonts w:eastAsia="Times New Roman" w:cstheme="minorHAnsi"/>
          <w:color w:val="000000"/>
          <w:lang w:val="en-GB" w:eastAsia="en-GB"/>
        </w:rPr>
        <w:t>is</w:t>
      </w:r>
      <w:r w:rsidRPr="004B18F1">
        <w:rPr>
          <w:rFonts w:eastAsia="Times New Roman" w:cstheme="minorHAnsi"/>
          <w:color w:val="000000"/>
          <w:lang w:val="en-GB" w:eastAsia="en-GB"/>
        </w:rPr>
        <w:t xml:space="preserve"> not just comprehensive, but equitable and inclusive so that no one is left out and so that </w:t>
      </w:r>
      <w:r>
        <w:rPr>
          <w:rFonts w:eastAsia="Times New Roman" w:cstheme="minorHAnsi"/>
          <w:color w:val="000000"/>
          <w:lang w:val="en-GB" w:eastAsia="en-GB"/>
        </w:rPr>
        <w:t>Uzbekistan</w:t>
      </w:r>
      <w:r w:rsidRPr="004B18F1">
        <w:rPr>
          <w:rFonts w:eastAsia="Times New Roman" w:cstheme="minorHAnsi"/>
          <w:color w:val="000000"/>
          <w:lang w:val="en-GB" w:eastAsia="en-GB"/>
        </w:rPr>
        <w:t xml:space="preserve"> can continue to make progress in achieving the Sustainable Development Goals.</w:t>
      </w:r>
    </w:p>
    <w:p w14:paraId="28BFF8A5" w14:textId="77777777" w:rsidR="00D2375A" w:rsidRPr="004B18F1" w:rsidRDefault="00D2375A" w:rsidP="00D2375A">
      <w:pPr>
        <w:pStyle w:val="ListParagraph"/>
        <w:spacing w:line="240" w:lineRule="auto"/>
        <w:ind w:left="360"/>
        <w:jc w:val="both"/>
        <w:rPr>
          <w:rFonts w:cstheme="minorHAnsi"/>
          <w:lang w:val="en-GB"/>
        </w:rPr>
      </w:pPr>
    </w:p>
    <w:p w14:paraId="7CB8B687" w14:textId="0A70E9A4" w:rsidR="006F6C74" w:rsidRPr="007E2032" w:rsidRDefault="006F6C74" w:rsidP="006F6C74">
      <w:pPr>
        <w:pStyle w:val="ListParagraph"/>
        <w:numPr>
          <w:ilvl w:val="0"/>
          <w:numId w:val="1"/>
        </w:numPr>
        <w:spacing w:line="240" w:lineRule="auto"/>
        <w:ind w:left="360"/>
        <w:jc w:val="both"/>
        <w:rPr>
          <w:rFonts w:cstheme="minorHAnsi"/>
        </w:rPr>
      </w:pPr>
      <w:r w:rsidRPr="007E2032">
        <w:rPr>
          <w:rFonts w:cstheme="minorHAnsi"/>
          <w:b/>
        </w:rPr>
        <w:t xml:space="preserve">Communication Activities &amp; Tools </w:t>
      </w:r>
      <w:r w:rsidRPr="007E2032">
        <w:rPr>
          <w:rFonts w:cstheme="minorHAnsi"/>
        </w:rPr>
        <w:t>(</w:t>
      </w:r>
      <w:r w:rsidRPr="007E2032">
        <w:rPr>
          <w:rFonts w:cstheme="minorHAnsi"/>
          <w:u w:val="single"/>
        </w:rPr>
        <w:t>Complete Table C. below</w:t>
      </w:r>
      <w:r w:rsidRPr="007E2032">
        <w:rPr>
          <w:rFonts w:cstheme="minorHAnsi"/>
        </w:rPr>
        <w:t>)</w:t>
      </w:r>
    </w:p>
    <w:p w14:paraId="553F666F" w14:textId="77777777" w:rsidR="006F6C74" w:rsidRPr="007E2032" w:rsidRDefault="006F6C74" w:rsidP="006F6C74">
      <w:pPr>
        <w:pStyle w:val="ListParagraph"/>
        <w:spacing w:line="240" w:lineRule="auto"/>
        <w:jc w:val="both"/>
        <w:rPr>
          <w:rFonts w:cstheme="minorHAnsi"/>
          <w:b/>
        </w:rPr>
      </w:pPr>
      <w:r w:rsidRPr="007E2032">
        <w:rPr>
          <w:rFonts w:cstheme="minorHAnsi"/>
          <w:b/>
        </w:rPr>
        <w:t>Table C.</w:t>
      </w:r>
    </w:p>
    <w:p w14:paraId="7C4980DE" w14:textId="77777777" w:rsidR="006F6C74" w:rsidRPr="007E2032" w:rsidRDefault="006F6C74" w:rsidP="006F6C74">
      <w:pPr>
        <w:pStyle w:val="ListParagraph"/>
        <w:spacing w:line="240" w:lineRule="auto"/>
        <w:jc w:val="both"/>
        <w:rPr>
          <w:rFonts w:cstheme="minorHAnsi"/>
          <w:b/>
        </w:rPr>
      </w:pPr>
    </w:p>
    <w:tbl>
      <w:tblPr>
        <w:tblStyle w:val="TableGrid"/>
        <w:tblW w:w="0" w:type="auto"/>
        <w:tblInd w:w="-856" w:type="dxa"/>
        <w:tblLook w:val="04A0" w:firstRow="1" w:lastRow="0" w:firstColumn="1" w:lastColumn="0" w:noHBand="0" w:noVBand="1"/>
      </w:tblPr>
      <w:tblGrid>
        <w:gridCol w:w="1370"/>
        <w:gridCol w:w="2659"/>
        <w:gridCol w:w="1315"/>
        <w:gridCol w:w="1915"/>
        <w:gridCol w:w="1492"/>
        <w:gridCol w:w="1449"/>
      </w:tblGrid>
      <w:tr w:rsidR="006F6C74" w:rsidRPr="007E2032" w14:paraId="3016A617" w14:textId="77777777" w:rsidTr="00841831">
        <w:tc>
          <w:tcPr>
            <w:tcW w:w="1370" w:type="dxa"/>
            <w:shd w:val="clear" w:color="auto" w:fill="BDD6EE" w:themeFill="accent1" w:themeFillTint="66"/>
          </w:tcPr>
          <w:p w14:paraId="2AE1CEF8" w14:textId="77777777" w:rsidR="006F6C74" w:rsidRPr="007E2032" w:rsidRDefault="006F6C74" w:rsidP="00841831">
            <w:pPr>
              <w:pStyle w:val="ListParagraph"/>
              <w:ind w:left="0"/>
              <w:jc w:val="both"/>
              <w:rPr>
                <w:rFonts w:cstheme="minorHAnsi"/>
                <w:b/>
                <w:sz w:val="18"/>
                <w:szCs w:val="18"/>
              </w:rPr>
            </w:pPr>
            <w:r w:rsidRPr="007E2032">
              <w:rPr>
                <w:rFonts w:cstheme="minorHAnsi"/>
                <w:b/>
                <w:sz w:val="18"/>
                <w:szCs w:val="18"/>
              </w:rPr>
              <w:t xml:space="preserve">Target audience </w:t>
            </w:r>
            <w:r w:rsidRPr="007E2032">
              <w:rPr>
                <w:rFonts w:cstheme="minorHAnsi"/>
                <w:sz w:val="18"/>
                <w:szCs w:val="18"/>
              </w:rPr>
              <w:t>(ranked by importance; highlight if contacts already made)</w:t>
            </w:r>
          </w:p>
        </w:tc>
        <w:tc>
          <w:tcPr>
            <w:tcW w:w="2659" w:type="dxa"/>
            <w:shd w:val="clear" w:color="auto" w:fill="BDD6EE" w:themeFill="accent1" w:themeFillTint="66"/>
          </w:tcPr>
          <w:p w14:paraId="33CDBF8F" w14:textId="77777777" w:rsidR="006F6C74" w:rsidRPr="007E2032" w:rsidRDefault="006F6C74" w:rsidP="00841831">
            <w:pPr>
              <w:pStyle w:val="ListParagraph"/>
              <w:ind w:left="0"/>
              <w:jc w:val="both"/>
              <w:rPr>
                <w:rFonts w:cstheme="minorHAnsi"/>
                <w:b/>
                <w:sz w:val="18"/>
                <w:szCs w:val="18"/>
              </w:rPr>
            </w:pPr>
            <w:r w:rsidRPr="007E2032">
              <w:rPr>
                <w:rFonts w:cstheme="minorHAnsi"/>
                <w:b/>
                <w:sz w:val="18"/>
                <w:szCs w:val="18"/>
              </w:rPr>
              <w:t xml:space="preserve">Communication Activities &amp; Tools </w:t>
            </w:r>
            <w:r w:rsidRPr="007E2032">
              <w:rPr>
                <w:rFonts w:cstheme="minorHAnsi"/>
                <w:sz w:val="18"/>
                <w:szCs w:val="18"/>
              </w:rPr>
              <w:br/>
              <w:t>(how best to reach your respective target audiences with the key messages? )</w:t>
            </w:r>
          </w:p>
        </w:tc>
        <w:tc>
          <w:tcPr>
            <w:tcW w:w="1315" w:type="dxa"/>
            <w:shd w:val="clear" w:color="auto" w:fill="BDD6EE" w:themeFill="accent1" w:themeFillTint="66"/>
          </w:tcPr>
          <w:p w14:paraId="773AA504" w14:textId="77777777" w:rsidR="006F6C74" w:rsidRPr="007E2032" w:rsidRDefault="006F6C74" w:rsidP="00841831">
            <w:pPr>
              <w:pStyle w:val="ListParagraph"/>
              <w:ind w:left="0"/>
              <w:jc w:val="both"/>
              <w:rPr>
                <w:rFonts w:cstheme="minorHAnsi"/>
                <w:b/>
                <w:sz w:val="18"/>
                <w:szCs w:val="18"/>
              </w:rPr>
            </w:pPr>
            <w:r w:rsidRPr="007E2032">
              <w:rPr>
                <w:rFonts w:cstheme="minorHAnsi"/>
                <w:b/>
                <w:sz w:val="18"/>
                <w:szCs w:val="18"/>
              </w:rPr>
              <w:t xml:space="preserve">Timing </w:t>
            </w:r>
            <w:r w:rsidRPr="007E2032">
              <w:rPr>
                <w:rFonts w:cstheme="minorHAnsi"/>
                <w:b/>
                <w:sz w:val="18"/>
                <w:szCs w:val="18"/>
              </w:rPr>
              <w:br/>
            </w:r>
            <w:r w:rsidRPr="007E2032">
              <w:rPr>
                <w:rFonts w:cstheme="minorHAnsi"/>
                <w:sz w:val="18"/>
                <w:szCs w:val="18"/>
              </w:rPr>
              <w:t>(when is the activity due or how often?)</w:t>
            </w:r>
          </w:p>
        </w:tc>
        <w:tc>
          <w:tcPr>
            <w:tcW w:w="1915" w:type="dxa"/>
            <w:shd w:val="clear" w:color="auto" w:fill="BDD6EE" w:themeFill="accent1" w:themeFillTint="66"/>
          </w:tcPr>
          <w:p w14:paraId="1FD98304" w14:textId="77777777" w:rsidR="006F6C74" w:rsidRPr="007E2032" w:rsidRDefault="006F6C74" w:rsidP="00841831">
            <w:pPr>
              <w:pStyle w:val="ListParagraph"/>
              <w:ind w:left="0"/>
              <w:jc w:val="both"/>
              <w:rPr>
                <w:rFonts w:cstheme="minorHAnsi"/>
                <w:b/>
                <w:sz w:val="18"/>
                <w:szCs w:val="18"/>
              </w:rPr>
            </w:pPr>
            <w:r w:rsidRPr="007E2032">
              <w:rPr>
                <w:rFonts w:cstheme="minorHAnsi"/>
                <w:b/>
                <w:sz w:val="18"/>
                <w:szCs w:val="18"/>
              </w:rPr>
              <w:t xml:space="preserve">Expected Result/Indicator of achievement </w:t>
            </w:r>
            <w:r w:rsidRPr="007E2032">
              <w:rPr>
                <w:rFonts w:cstheme="minorHAnsi"/>
                <w:sz w:val="18"/>
                <w:szCs w:val="18"/>
              </w:rPr>
              <w:t>(for each tool chosen)</w:t>
            </w:r>
          </w:p>
        </w:tc>
        <w:tc>
          <w:tcPr>
            <w:tcW w:w="1492" w:type="dxa"/>
            <w:shd w:val="clear" w:color="auto" w:fill="BDD6EE" w:themeFill="accent1" w:themeFillTint="66"/>
          </w:tcPr>
          <w:p w14:paraId="7683EDF7" w14:textId="77777777" w:rsidR="006F6C74" w:rsidRPr="007E2032" w:rsidRDefault="006F6C74" w:rsidP="00841831">
            <w:pPr>
              <w:pStyle w:val="ListParagraph"/>
              <w:ind w:left="0"/>
              <w:jc w:val="both"/>
              <w:rPr>
                <w:rFonts w:cstheme="minorHAnsi"/>
                <w:b/>
                <w:sz w:val="18"/>
                <w:szCs w:val="18"/>
              </w:rPr>
            </w:pPr>
            <w:r w:rsidRPr="007E2032">
              <w:rPr>
                <w:rFonts w:cstheme="minorHAnsi"/>
                <w:b/>
                <w:sz w:val="18"/>
                <w:szCs w:val="18"/>
              </w:rPr>
              <w:t xml:space="preserve">Resource requirements </w:t>
            </w:r>
            <w:r w:rsidRPr="007E2032">
              <w:rPr>
                <w:rFonts w:cstheme="minorHAnsi"/>
                <w:sz w:val="18"/>
                <w:szCs w:val="18"/>
              </w:rPr>
              <w:t>(person/days required, budget implications (also consider outsourcing costs)</w:t>
            </w:r>
          </w:p>
        </w:tc>
        <w:tc>
          <w:tcPr>
            <w:tcW w:w="1449" w:type="dxa"/>
            <w:shd w:val="clear" w:color="auto" w:fill="BDD6EE" w:themeFill="accent1" w:themeFillTint="66"/>
          </w:tcPr>
          <w:p w14:paraId="3E4D21CE" w14:textId="77777777" w:rsidR="006F6C74" w:rsidRPr="007E2032" w:rsidRDefault="006F6C74" w:rsidP="00841831">
            <w:pPr>
              <w:pStyle w:val="ListParagraph"/>
              <w:ind w:left="0"/>
              <w:jc w:val="both"/>
              <w:rPr>
                <w:rFonts w:cstheme="minorHAnsi"/>
                <w:b/>
                <w:sz w:val="18"/>
                <w:szCs w:val="18"/>
              </w:rPr>
            </w:pPr>
            <w:r w:rsidRPr="007E2032">
              <w:rPr>
                <w:rFonts w:cstheme="minorHAnsi"/>
                <w:b/>
                <w:sz w:val="18"/>
                <w:szCs w:val="18"/>
              </w:rPr>
              <w:t xml:space="preserve">Responsible CO unit/persons </w:t>
            </w:r>
            <w:r w:rsidRPr="007E2032">
              <w:rPr>
                <w:rFonts w:cstheme="minorHAnsi"/>
                <w:sz w:val="18"/>
                <w:szCs w:val="18"/>
              </w:rPr>
              <w:t>(and</w:t>
            </w:r>
            <w:r w:rsidRPr="007E2032">
              <w:rPr>
                <w:rFonts w:cstheme="minorHAnsi"/>
                <w:b/>
                <w:sz w:val="18"/>
                <w:szCs w:val="18"/>
              </w:rPr>
              <w:t xml:space="preserve"> </w:t>
            </w:r>
            <w:r w:rsidRPr="007E2032">
              <w:rPr>
                <w:rFonts w:cstheme="minorHAnsi"/>
                <w:sz w:val="18"/>
                <w:szCs w:val="18"/>
              </w:rPr>
              <w:t>supporting)</w:t>
            </w:r>
          </w:p>
        </w:tc>
      </w:tr>
      <w:tr w:rsidR="006F6C74" w:rsidRPr="003E257A" w14:paraId="151261DD" w14:textId="77777777" w:rsidTr="00841831">
        <w:tc>
          <w:tcPr>
            <w:tcW w:w="1370" w:type="dxa"/>
            <w:shd w:val="clear" w:color="auto" w:fill="BDD6EE" w:themeFill="accent1" w:themeFillTint="66"/>
          </w:tcPr>
          <w:p w14:paraId="6FEE9A6B" w14:textId="77777777" w:rsidR="006F6C74" w:rsidRPr="007E2032" w:rsidRDefault="006F6C74" w:rsidP="00841831">
            <w:pPr>
              <w:pStyle w:val="ListParagraph"/>
              <w:ind w:left="0"/>
              <w:jc w:val="both"/>
              <w:rPr>
                <w:rFonts w:cstheme="minorHAnsi"/>
                <w:b/>
                <w:sz w:val="18"/>
                <w:szCs w:val="18"/>
              </w:rPr>
            </w:pPr>
            <w:r w:rsidRPr="007E2032">
              <w:rPr>
                <w:rFonts w:ascii="Calibri" w:hAnsi="Calibri"/>
                <w:b/>
              </w:rPr>
              <w:t>Government</w:t>
            </w:r>
          </w:p>
        </w:tc>
        <w:tc>
          <w:tcPr>
            <w:tcW w:w="2659" w:type="dxa"/>
            <w:shd w:val="clear" w:color="auto" w:fill="BDD6EE" w:themeFill="accent1" w:themeFillTint="66"/>
          </w:tcPr>
          <w:p w14:paraId="2FA6E173" w14:textId="77777777" w:rsidR="006F6C74" w:rsidRPr="007E2032" w:rsidRDefault="006F6C74" w:rsidP="00841831">
            <w:pPr>
              <w:jc w:val="both"/>
              <w:rPr>
                <w:rFonts w:cstheme="minorHAnsi"/>
                <w:bCs/>
                <w:sz w:val="18"/>
                <w:szCs w:val="18"/>
              </w:rPr>
            </w:pPr>
            <w:r w:rsidRPr="007E2032">
              <w:rPr>
                <w:rFonts w:cstheme="minorHAnsi"/>
                <w:bCs/>
                <w:sz w:val="18"/>
                <w:szCs w:val="18"/>
              </w:rPr>
              <w:t xml:space="preserve">-public speeches at the Government-led national/regional flagship events </w:t>
            </w:r>
          </w:p>
          <w:p w14:paraId="3023C5E1" w14:textId="77777777" w:rsidR="006F6C74" w:rsidRPr="007E2032" w:rsidRDefault="006F6C74" w:rsidP="00841831">
            <w:pPr>
              <w:jc w:val="both"/>
              <w:rPr>
                <w:rFonts w:cstheme="minorHAnsi"/>
                <w:bCs/>
                <w:sz w:val="18"/>
                <w:szCs w:val="18"/>
              </w:rPr>
            </w:pPr>
            <w:r w:rsidRPr="007E2032">
              <w:rPr>
                <w:rFonts w:cstheme="minorHAnsi"/>
                <w:bCs/>
                <w:sz w:val="18"/>
                <w:szCs w:val="18"/>
              </w:rPr>
              <w:t xml:space="preserve">-media interviews </w:t>
            </w:r>
          </w:p>
          <w:p w14:paraId="676B1F0E" w14:textId="77777777" w:rsidR="006F6C74" w:rsidRPr="007E2032" w:rsidRDefault="006F6C74" w:rsidP="00841831">
            <w:pPr>
              <w:jc w:val="both"/>
              <w:rPr>
                <w:rFonts w:cstheme="minorHAnsi"/>
                <w:b/>
                <w:sz w:val="18"/>
                <w:szCs w:val="18"/>
              </w:rPr>
            </w:pPr>
            <w:r w:rsidRPr="007E2032">
              <w:rPr>
                <w:rFonts w:cstheme="minorHAnsi"/>
                <w:bCs/>
                <w:sz w:val="18"/>
                <w:szCs w:val="18"/>
              </w:rPr>
              <w:t>-corporate website</w:t>
            </w:r>
          </w:p>
        </w:tc>
        <w:tc>
          <w:tcPr>
            <w:tcW w:w="1315" w:type="dxa"/>
            <w:vMerge w:val="restart"/>
            <w:shd w:val="clear" w:color="auto" w:fill="BDD6EE" w:themeFill="accent1" w:themeFillTint="66"/>
          </w:tcPr>
          <w:p w14:paraId="13933F85" w14:textId="77777777" w:rsidR="006F6C74" w:rsidRPr="007E2032" w:rsidRDefault="006F6C74" w:rsidP="00841831">
            <w:pPr>
              <w:pStyle w:val="ListParagraph"/>
              <w:ind w:left="0"/>
              <w:jc w:val="both"/>
              <w:rPr>
                <w:rFonts w:cstheme="minorHAnsi"/>
                <w:bCs/>
                <w:sz w:val="18"/>
                <w:szCs w:val="18"/>
              </w:rPr>
            </w:pPr>
            <w:r w:rsidRPr="007E2032">
              <w:rPr>
                <w:rFonts w:cstheme="minorHAnsi"/>
                <w:bCs/>
                <w:sz w:val="18"/>
                <w:szCs w:val="18"/>
              </w:rPr>
              <w:t>Regularly</w:t>
            </w:r>
          </w:p>
        </w:tc>
        <w:tc>
          <w:tcPr>
            <w:tcW w:w="1915" w:type="dxa"/>
            <w:vMerge w:val="restart"/>
            <w:shd w:val="clear" w:color="auto" w:fill="BDD6EE" w:themeFill="accent1" w:themeFillTint="66"/>
          </w:tcPr>
          <w:p w14:paraId="12F88638" w14:textId="77777777" w:rsidR="006F6C74" w:rsidRPr="007E2032" w:rsidRDefault="006F6C74" w:rsidP="00841831">
            <w:pPr>
              <w:pStyle w:val="ListParagraph"/>
              <w:ind w:left="150"/>
              <w:jc w:val="both"/>
              <w:rPr>
                <w:rFonts w:cstheme="minorHAnsi"/>
                <w:bCs/>
                <w:sz w:val="18"/>
                <w:szCs w:val="18"/>
              </w:rPr>
            </w:pPr>
            <w:r w:rsidRPr="007E2032">
              <w:rPr>
                <w:rFonts w:cstheme="minorHAnsi"/>
                <w:bCs/>
                <w:sz w:val="18"/>
                <w:szCs w:val="18"/>
              </w:rPr>
              <w:t>UNDP is a long-term, trusted partner of the Government with a visible difference and lasting impact on in the country.</w:t>
            </w:r>
          </w:p>
          <w:p w14:paraId="6341CEF5" w14:textId="77777777" w:rsidR="006F6C74" w:rsidRPr="007E2032" w:rsidRDefault="006F6C74" w:rsidP="00841831">
            <w:pPr>
              <w:pStyle w:val="ListParagraph"/>
              <w:ind w:left="150"/>
              <w:jc w:val="both"/>
              <w:rPr>
                <w:rFonts w:cstheme="minorHAnsi"/>
                <w:bCs/>
                <w:sz w:val="18"/>
                <w:szCs w:val="18"/>
              </w:rPr>
            </w:pPr>
            <w:r w:rsidRPr="007E2032">
              <w:rPr>
                <w:rFonts w:cstheme="minorHAnsi"/>
                <w:bCs/>
                <w:sz w:val="18"/>
                <w:szCs w:val="18"/>
              </w:rPr>
              <w:t xml:space="preserve"> </w:t>
            </w:r>
          </w:p>
          <w:p w14:paraId="6EAD8B2E" w14:textId="77777777" w:rsidR="006F6C74" w:rsidRPr="007E2032" w:rsidRDefault="006F6C74" w:rsidP="00841831">
            <w:pPr>
              <w:pStyle w:val="ListParagraph"/>
              <w:ind w:left="150"/>
              <w:jc w:val="both"/>
              <w:rPr>
                <w:sz w:val="18"/>
                <w:szCs w:val="18"/>
              </w:rPr>
            </w:pPr>
            <w:r w:rsidRPr="007E2032">
              <w:rPr>
                <w:sz w:val="18"/>
                <w:szCs w:val="18"/>
              </w:rPr>
              <w:t>UNDP’s ability to successfully deliver projects and encourage future partnerships</w:t>
            </w:r>
          </w:p>
          <w:p w14:paraId="12C15F6C" w14:textId="77777777" w:rsidR="006F6C74" w:rsidRPr="007E2032" w:rsidRDefault="006F6C74" w:rsidP="00841831">
            <w:pPr>
              <w:pStyle w:val="ListParagraph"/>
              <w:ind w:left="150"/>
              <w:jc w:val="both"/>
              <w:rPr>
                <w:rFonts w:cstheme="minorHAnsi"/>
                <w:bCs/>
                <w:sz w:val="18"/>
                <w:szCs w:val="18"/>
              </w:rPr>
            </w:pPr>
          </w:p>
          <w:p w14:paraId="1F766184" w14:textId="77777777" w:rsidR="006F6C74" w:rsidRPr="007E2032" w:rsidRDefault="006F6C74" w:rsidP="00841831">
            <w:pPr>
              <w:pStyle w:val="ListParagraph"/>
              <w:ind w:left="150"/>
              <w:jc w:val="both"/>
              <w:rPr>
                <w:rFonts w:cstheme="minorHAnsi"/>
                <w:bCs/>
                <w:sz w:val="18"/>
                <w:szCs w:val="18"/>
              </w:rPr>
            </w:pPr>
            <w:r w:rsidRPr="007E2032">
              <w:rPr>
                <w:rFonts w:cstheme="minorHAnsi"/>
                <w:bCs/>
                <w:sz w:val="18"/>
                <w:szCs w:val="18"/>
              </w:rPr>
              <w:t xml:space="preserve">Key partners and donor community </w:t>
            </w:r>
            <w:r w:rsidRPr="007E2032">
              <w:rPr>
                <w:rFonts w:cstheme="minorHAnsi"/>
                <w:bCs/>
                <w:sz w:val="18"/>
                <w:szCs w:val="18"/>
              </w:rPr>
              <w:lastRenderedPageBreak/>
              <w:t>understand and acknowledge UNDP’s global and local expertise in development issues.</w:t>
            </w:r>
          </w:p>
          <w:p w14:paraId="1B87D009" w14:textId="77777777" w:rsidR="006F6C74" w:rsidRPr="007E2032" w:rsidRDefault="006F6C74" w:rsidP="00841831">
            <w:pPr>
              <w:pStyle w:val="ListParagraph"/>
              <w:ind w:left="150"/>
              <w:jc w:val="both"/>
              <w:rPr>
                <w:rFonts w:cstheme="minorHAnsi"/>
                <w:bCs/>
                <w:sz w:val="18"/>
                <w:szCs w:val="18"/>
              </w:rPr>
            </w:pPr>
          </w:p>
          <w:p w14:paraId="44449CE5" w14:textId="77777777" w:rsidR="006F6C74" w:rsidRPr="007E2032" w:rsidRDefault="006F6C74" w:rsidP="00841831">
            <w:pPr>
              <w:pStyle w:val="ListParagraph"/>
              <w:ind w:left="150"/>
              <w:jc w:val="both"/>
              <w:rPr>
                <w:rFonts w:cstheme="minorHAnsi"/>
                <w:bCs/>
                <w:sz w:val="18"/>
                <w:szCs w:val="18"/>
              </w:rPr>
            </w:pPr>
          </w:p>
          <w:p w14:paraId="1743DCCD" w14:textId="77777777" w:rsidR="006F6C74" w:rsidRPr="007E2032" w:rsidRDefault="006F6C74" w:rsidP="00841831">
            <w:pPr>
              <w:pStyle w:val="ListParagraph"/>
              <w:ind w:left="150"/>
              <w:jc w:val="both"/>
              <w:rPr>
                <w:rFonts w:cstheme="minorHAnsi"/>
                <w:bCs/>
                <w:sz w:val="18"/>
                <w:szCs w:val="18"/>
              </w:rPr>
            </w:pPr>
            <w:r w:rsidRPr="007E2032">
              <w:rPr>
                <w:rFonts w:cstheme="minorHAnsi"/>
                <w:bCs/>
                <w:sz w:val="18"/>
                <w:szCs w:val="18"/>
              </w:rPr>
              <w:t xml:space="preserve">New partnerships are established that utilize communications approaches/tools and amplify results of UNDP's work. </w:t>
            </w:r>
          </w:p>
          <w:p w14:paraId="217A759F" w14:textId="77777777" w:rsidR="006F6C74" w:rsidRPr="007E2032" w:rsidRDefault="006F6C74" w:rsidP="00841831">
            <w:pPr>
              <w:pStyle w:val="ListParagraph"/>
              <w:ind w:left="150"/>
              <w:jc w:val="both"/>
              <w:rPr>
                <w:rFonts w:cstheme="minorHAnsi"/>
                <w:bCs/>
                <w:sz w:val="18"/>
                <w:szCs w:val="18"/>
              </w:rPr>
            </w:pPr>
          </w:p>
          <w:p w14:paraId="71FF23BC" w14:textId="77777777" w:rsidR="006F6C74" w:rsidRPr="007E2032" w:rsidRDefault="006F6C74" w:rsidP="00841831">
            <w:pPr>
              <w:jc w:val="both"/>
              <w:rPr>
                <w:rFonts w:cstheme="minorHAnsi"/>
                <w:bCs/>
                <w:sz w:val="18"/>
                <w:szCs w:val="18"/>
              </w:rPr>
            </w:pPr>
          </w:p>
          <w:p w14:paraId="640ACE5E" w14:textId="77777777" w:rsidR="006F6C74" w:rsidRPr="007E2032" w:rsidRDefault="006F6C74" w:rsidP="00841831">
            <w:pPr>
              <w:pStyle w:val="ListParagraph"/>
              <w:ind w:left="150"/>
              <w:jc w:val="both"/>
              <w:rPr>
                <w:rFonts w:cstheme="minorHAnsi"/>
                <w:bCs/>
                <w:sz w:val="18"/>
                <w:szCs w:val="18"/>
              </w:rPr>
            </w:pPr>
            <w:r w:rsidRPr="007E2032">
              <w:rPr>
                <w:rFonts w:cstheme="minorHAnsi"/>
                <w:bCs/>
                <w:sz w:val="18"/>
                <w:szCs w:val="18"/>
              </w:rPr>
              <w:t xml:space="preserve">Enhanced UNDP profile with clear messaging in the conventional media and on social media platforms. </w:t>
            </w:r>
          </w:p>
          <w:p w14:paraId="0D9BDBB8" w14:textId="77777777" w:rsidR="006F6C74" w:rsidRPr="007E2032" w:rsidRDefault="006F6C74" w:rsidP="00841831">
            <w:pPr>
              <w:pStyle w:val="ListParagraph"/>
              <w:ind w:left="150"/>
              <w:jc w:val="both"/>
              <w:rPr>
                <w:rFonts w:cstheme="minorHAnsi"/>
                <w:bCs/>
                <w:sz w:val="18"/>
                <w:szCs w:val="18"/>
              </w:rPr>
            </w:pPr>
          </w:p>
          <w:p w14:paraId="2F48E714" w14:textId="77777777" w:rsidR="006F6C74" w:rsidRPr="007E2032" w:rsidRDefault="006F6C74" w:rsidP="00841831">
            <w:pPr>
              <w:pStyle w:val="ListParagraph"/>
              <w:ind w:left="150"/>
              <w:jc w:val="both"/>
              <w:rPr>
                <w:rFonts w:cstheme="minorHAnsi"/>
                <w:bCs/>
                <w:sz w:val="14"/>
                <w:szCs w:val="14"/>
              </w:rPr>
            </w:pPr>
          </w:p>
          <w:p w14:paraId="1AD5BDD0" w14:textId="77777777" w:rsidR="006F6C74" w:rsidRPr="007E2032" w:rsidRDefault="006F6C74" w:rsidP="00841831">
            <w:pPr>
              <w:pStyle w:val="ListParagraph"/>
              <w:ind w:left="150"/>
              <w:jc w:val="both"/>
              <w:rPr>
                <w:rFonts w:cstheme="minorHAnsi"/>
                <w:bCs/>
                <w:sz w:val="18"/>
                <w:szCs w:val="18"/>
              </w:rPr>
            </w:pPr>
            <w:r w:rsidRPr="007E2032">
              <w:rPr>
                <w:rFonts w:cstheme="minorHAnsi"/>
                <w:bCs/>
                <w:sz w:val="18"/>
                <w:szCs w:val="18"/>
              </w:rPr>
              <w:t xml:space="preserve">Targeted visibility materials (brochure, fact sheets, project briefs, standard presentations) produced regularly. </w:t>
            </w:r>
          </w:p>
          <w:p w14:paraId="14DF9C59" w14:textId="77777777" w:rsidR="006F6C74" w:rsidRPr="007E2032" w:rsidRDefault="006F6C74" w:rsidP="00841831">
            <w:pPr>
              <w:pStyle w:val="ListParagraph"/>
              <w:ind w:left="150"/>
              <w:jc w:val="both"/>
              <w:rPr>
                <w:rFonts w:cstheme="minorHAnsi"/>
                <w:bCs/>
                <w:sz w:val="18"/>
                <w:szCs w:val="18"/>
              </w:rPr>
            </w:pPr>
          </w:p>
          <w:p w14:paraId="617DB641" w14:textId="77777777" w:rsidR="006F6C74" w:rsidRPr="007E2032" w:rsidRDefault="006F6C74" w:rsidP="00841831">
            <w:pPr>
              <w:pStyle w:val="ListParagraph"/>
              <w:ind w:left="150"/>
              <w:jc w:val="both"/>
              <w:rPr>
                <w:rFonts w:cstheme="minorHAnsi"/>
                <w:bCs/>
                <w:sz w:val="18"/>
                <w:szCs w:val="18"/>
              </w:rPr>
            </w:pPr>
            <w:r w:rsidRPr="007E2032">
              <w:rPr>
                <w:rFonts w:cstheme="minorHAnsi"/>
                <w:bCs/>
                <w:sz w:val="18"/>
                <w:szCs w:val="18"/>
              </w:rPr>
              <w:t>The corporate website is a dynamic source of information for various publics.</w:t>
            </w:r>
          </w:p>
        </w:tc>
        <w:tc>
          <w:tcPr>
            <w:tcW w:w="1492" w:type="dxa"/>
            <w:shd w:val="clear" w:color="auto" w:fill="BDD6EE" w:themeFill="accent1" w:themeFillTint="66"/>
          </w:tcPr>
          <w:p w14:paraId="2EC5D719" w14:textId="77777777" w:rsidR="006F6C74" w:rsidRPr="007E2032" w:rsidRDefault="006F6C74" w:rsidP="00841831">
            <w:pPr>
              <w:pStyle w:val="ListParagraph"/>
              <w:ind w:left="0"/>
              <w:jc w:val="both"/>
              <w:rPr>
                <w:rFonts w:cstheme="minorHAnsi"/>
                <w:bCs/>
                <w:sz w:val="18"/>
                <w:szCs w:val="18"/>
              </w:rPr>
            </w:pPr>
            <w:r w:rsidRPr="007E2032">
              <w:rPr>
                <w:rFonts w:cstheme="minorHAnsi"/>
                <w:bCs/>
                <w:sz w:val="18"/>
                <w:szCs w:val="18"/>
              </w:rPr>
              <w:lastRenderedPageBreak/>
              <w:t>No budget implications</w:t>
            </w:r>
          </w:p>
        </w:tc>
        <w:tc>
          <w:tcPr>
            <w:tcW w:w="1449" w:type="dxa"/>
            <w:shd w:val="clear" w:color="auto" w:fill="BDD6EE" w:themeFill="accent1" w:themeFillTint="66"/>
          </w:tcPr>
          <w:p w14:paraId="76D99ABE" w14:textId="77777777" w:rsidR="006F6C74" w:rsidRPr="00A54CDE" w:rsidRDefault="006F6C74" w:rsidP="00841831">
            <w:pPr>
              <w:pStyle w:val="ListParagraph"/>
              <w:ind w:left="0"/>
              <w:jc w:val="both"/>
              <w:rPr>
                <w:rFonts w:cstheme="minorHAnsi"/>
                <w:bCs/>
                <w:sz w:val="18"/>
                <w:szCs w:val="18"/>
              </w:rPr>
            </w:pPr>
            <w:r w:rsidRPr="007E2032">
              <w:rPr>
                <w:rFonts w:cstheme="minorHAnsi"/>
                <w:bCs/>
                <w:sz w:val="18"/>
                <w:szCs w:val="18"/>
              </w:rPr>
              <w:t xml:space="preserve">Communications analyst with support of </w:t>
            </w:r>
            <w:proofErr w:type="spellStart"/>
            <w:r w:rsidRPr="007E2032">
              <w:rPr>
                <w:rFonts w:cstheme="minorHAnsi"/>
                <w:bCs/>
                <w:sz w:val="18"/>
                <w:szCs w:val="18"/>
              </w:rPr>
              <w:t>programme</w:t>
            </w:r>
            <w:proofErr w:type="spellEnd"/>
            <w:r w:rsidRPr="007E2032">
              <w:rPr>
                <w:rFonts w:cstheme="minorHAnsi"/>
                <w:bCs/>
                <w:sz w:val="18"/>
                <w:szCs w:val="18"/>
              </w:rPr>
              <w:t xml:space="preserve"> focal points and press secretaries of the government departments</w:t>
            </w:r>
          </w:p>
        </w:tc>
      </w:tr>
      <w:tr w:rsidR="006F6C74" w:rsidRPr="003E257A" w14:paraId="4EEF1077" w14:textId="77777777" w:rsidTr="00841831">
        <w:tc>
          <w:tcPr>
            <w:tcW w:w="1370" w:type="dxa"/>
            <w:shd w:val="clear" w:color="auto" w:fill="BDD6EE" w:themeFill="accent1" w:themeFillTint="66"/>
          </w:tcPr>
          <w:p w14:paraId="7D41120E" w14:textId="77777777" w:rsidR="006F6C74" w:rsidRPr="004C28EF" w:rsidRDefault="006F6C74" w:rsidP="00841831">
            <w:pPr>
              <w:pStyle w:val="ListParagraph"/>
              <w:ind w:left="0"/>
              <w:jc w:val="both"/>
              <w:rPr>
                <w:rFonts w:ascii="Calibri" w:hAnsi="Calibri"/>
                <w:b/>
              </w:rPr>
            </w:pPr>
            <w:r>
              <w:rPr>
                <w:rFonts w:ascii="Calibri" w:hAnsi="Calibri"/>
                <w:b/>
              </w:rPr>
              <w:t>Donors</w:t>
            </w:r>
          </w:p>
        </w:tc>
        <w:tc>
          <w:tcPr>
            <w:tcW w:w="2659" w:type="dxa"/>
            <w:shd w:val="clear" w:color="auto" w:fill="BDD6EE" w:themeFill="accent1" w:themeFillTint="66"/>
          </w:tcPr>
          <w:p w14:paraId="445E9AD2" w14:textId="77777777" w:rsidR="006F6C74" w:rsidRPr="00F21EFA" w:rsidRDefault="006F6C74" w:rsidP="00841831">
            <w:pPr>
              <w:jc w:val="both"/>
              <w:rPr>
                <w:rFonts w:cstheme="minorHAnsi"/>
                <w:bCs/>
                <w:sz w:val="18"/>
                <w:szCs w:val="18"/>
              </w:rPr>
            </w:pPr>
            <w:r w:rsidRPr="00F21EFA">
              <w:rPr>
                <w:rFonts w:cstheme="minorHAnsi"/>
                <w:b/>
                <w:sz w:val="18"/>
                <w:szCs w:val="18"/>
              </w:rPr>
              <w:t>-</w:t>
            </w:r>
            <w:r w:rsidRPr="00F21EFA">
              <w:rPr>
                <w:rFonts w:cstheme="minorHAnsi"/>
                <w:bCs/>
                <w:sz w:val="18"/>
                <w:szCs w:val="18"/>
              </w:rPr>
              <w:t>Joint events and communications products</w:t>
            </w:r>
          </w:p>
          <w:p w14:paraId="7C664E51" w14:textId="77777777" w:rsidR="006F6C74" w:rsidRDefault="006F6C74" w:rsidP="00841831">
            <w:pPr>
              <w:jc w:val="both"/>
              <w:rPr>
                <w:rFonts w:cstheme="minorHAnsi"/>
                <w:bCs/>
                <w:sz w:val="18"/>
                <w:szCs w:val="18"/>
              </w:rPr>
            </w:pPr>
            <w:r w:rsidRPr="00F21EFA">
              <w:rPr>
                <w:rFonts w:cstheme="minorHAnsi"/>
                <w:bCs/>
                <w:sz w:val="18"/>
                <w:szCs w:val="18"/>
              </w:rPr>
              <w:t>-Targeted information materials (one-pagers, flagship knowledge products, etc.)</w:t>
            </w:r>
          </w:p>
          <w:p w14:paraId="7BD76612" w14:textId="77777777" w:rsidR="006F6C74" w:rsidRDefault="006F6C74" w:rsidP="00841831">
            <w:pPr>
              <w:jc w:val="both"/>
              <w:rPr>
                <w:rFonts w:cstheme="minorHAnsi"/>
                <w:bCs/>
                <w:sz w:val="18"/>
                <w:szCs w:val="18"/>
              </w:rPr>
            </w:pPr>
            <w:r>
              <w:rPr>
                <w:rFonts w:cstheme="minorHAnsi"/>
                <w:bCs/>
                <w:sz w:val="18"/>
                <w:szCs w:val="18"/>
              </w:rPr>
              <w:t>-Human stories showcasing results of funded-projects</w:t>
            </w:r>
          </w:p>
          <w:p w14:paraId="1173A911" w14:textId="77777777" w:rsidR="006F6C74" w:rsidRPr="00F21EFA" w:rsidRDefault="006F6C74" w:rsidP="00841831">
            <w:pPr>
              <w:jc w:val="both"/>
              <w:rPr>
                <w:rFonts w:cstheme="minorHAnsi"/>
                <w:bCs/>
                <w:sz w:val="18"/>
                <w:szCs w:val="18"/>
              </w:rPr>
            </w:pPr>
            <w:r>
              <w:rPr>
                <w:rFonts w:cstheme="minorHAnsi"/>
                <w:bCs/>
                <w:sz w:val="18"/>
                <w:szCs w:val="18"/>
              </w:rPr>
              <w:lastRenderedPageBreak/>
              <w:t>Press releases to announce new partnerships</w:t>
            </w:r>
          </w:p>
          <w:p w14:paraId="1D29B3A4" w14:textId="77777777" w:rsidR="006F6C74" w:rsidRPr="00F21EFA" w:rsidRDefault="006F6C74" w:rsidP="00841831">
            <w:pPr>
              <w:jc w:val="both"/>
              <w:rPr>
                <w:rFonts w:cstheme="minorHAnsi"/>
                <w:bCs/>
                <w:sz w:val="18"/>
                <w:szCs w:val="18"/>
              </w:rPr>
            </w:pPr>
            <w:r w:rsidRPr="00F21EFA">
              <w:rPr>
                <w:rFonts w:cstheme="minorHAnsi"/>
                <w:bCs/>
                <w:sz w:val="18"/>
                <w:szCs w:val="18"/>
              </w:rPr>
              <w:t xml:space="preserve">- </w:t>
            </w:r>
          </w:p>
          <w:p w14:paraId="63DD5279" w14:textId="77777777" w:rsidR="006F6C74" w:rsidRDefault="006F6C74" w:rsidP="00841831">
            <w:pPr>
              <w:jc w:val="both"/>
              <w:rPr>
                <w:rFonts w:cstheme="minorHAnsi"/>
                <w:bCs/>
                <w:sz w:val="18"/>
                <w:szCs w:val="18"/>
              </w:rPr>
            </w:pPr>
          </w:p>
          <w:p w14:paraId="3CB1D921" w14:textId="77777777" w:rsidR="006F6C74" w:rsidRPr="00787F9B" w:rsidRDefault="006F6C74" w:rsidP="00841831">
            <w:pPr>
              <w:jc w:val="both"/>
              <w:rPr>
                <w:rFonts w:cstheme="minorHAnsi"/>
                <w:b/>
                <w:sz w:val="18"/>
                <w:szCs w:val="18"/>
              </w:rPr>
            </w:pPr>
            <w:r>
              <w:rPr>
                <w:rFonts w:cstheme="minorHAnsi"/>
                <w:bCs/>
                <w:sz w:val="18"/>
                <w:szCs w:val="18"/>
              </w:rPr>
              <w:t>-T</w:t>
            </w:r>
            <w:r w:rsidRPr="00F21EFA">
              <w:rPr>
                <w:rFonts w:cstheme="minorHAnsi"/>
                <w:bCs/>
                <w:sz w:val="18"/>
                <w:szCs w:val="18"/>
              </w:rPr>
              <w:t>argeted communications through social media channels</w:t>
            </w:r>
          </w:p>
        </w:tc>
        <w:tc>
          <w:tcPr>
            <w:tcW w:w="1315" w:type="dxa"/>
            <w:vMerge/>
            <w:shd w:val="clear" w:color="auto" w:fill="BDD6EE" w:themeFill="accent1" w:themeFillTint="66"/>
          </w:tcPr>
          <w:p w14:paraId="0DE3936B" w14:textId="77777777" w:rsidR="006F6C74" w:rsidRPr="002B6528" w:rsidRDefault="006F6C74" w:rsidP="00841831">
            <w:pPr>
              <w:pStyle w:val="ListParagraph"/>
              <w:ind w:left="0"/>
              <w:jc w:val="both"/>
              <w:rPr>
                <w:rFonts w:cstheme="minorHAnsi"/>
                <w:b/>
                <w:sz w:val="18"/>
                <w:szCs w:val="18"/>
              </w:rPr>
            </w:pPr>
          </w:p>
        </w:tc>
        <w:tc>
          <w:tcPr>
            <w:tcW w:w="1915" w:type="dxa"/>
            <w:vMerge/>
            <w:shd w:val="clear" w:color="auto" w:fill="BDD6EE" w:themeFill="accent1" w:themeFillTint="66"/>
          </w:tcPr>
          <w:p w14:paraId="6E9B2DD6" w14:textId="77777777" w:rsidR="006F6C74" w:rsidRPr="002B6528" w:rsidRDefault="006F6C74" w:rsidP="00841831">
            <w:pPr>
              <w:pStyle w:val="ListParagraph"/>
              <w:ind w:left="0"/>
              <w:jc w:val="both"/>
              <w:rPr>
                <w:rFonts w:cstheme="minorHAnsi"/>
                <w:b/>
                <w:sz w:val="18"/>
                <w:szCs w:val="18"/>
              </w:rPr>
            </w:pPr>
          </w:p>
        </w:tc>
        <w:tc>
          <w:tcPr>
            <w:tcW w:w="1492" w:type="dxa"/>
            <w:shd w:val="clear" w:color="auto" w:fill="BDD6EE" w:themeFill="accent1" w:themeFillTint="66"/>
          </w:tcPr>
          <w:p w14:paraId="523A4CE6" w14:textId="77777777" w:rsidR="006F6C74" w:rsidRPr="005E27B3" w:rsidRDefault="006F6C74" w:rsidP="00841831">
            <w:pPr>
              <w:pStyle w:val="ListParagraph"/>
              <w:ind w:left="0"/>
              <w:jc w:val="both"/>
              <w:rPr>
                <w:rFonts w:cstheme="minorHAnsi"/>
                <w:bCs/>
                <w:sz w:val="18"/>
                <w:szCs w:val="18"/>
              </w:rPr>
            </w:pPr>
            <w:r w:rsidRPr="005E27B3">
              <w:rPr>
                <w:rFonts w:cstheme="minorHAnsi"/>
                <w:bCs/>
                <w:sz w:val="18"/>
                <w:szCs w:val="18"/>
              </w:rPr>
              <w:t xml:space="preserve">Budget implications for design and production of the targeted information materials; </w:t>
            </w:r>
            <w:r w:rsidRPr="005E27B3">
              <w:rPr>
                <w:rFonts w:cstheme="minorHAnsi"/>
                <w:bCs/>
                <w:sz w:val="18"/>
                <w:szCs w:val="18"/>
              </w:rPr>
              <w:lastRenderedPageBreak/>
              <w:t xml:space="preserve">advocacy/comms </w:t>
            </w:r>
            <w:r>
              <w:rPr>
                <w:rFonts w:cstheme="minorHAnsi"/>
                <w:bCs/>
                <w:sz w:val="18"/>
                <w:szCs w:val="18"/>
              </w:rPr>
              <w:t>products</w:t>
            </w:r>
            <w:r w:rsidRPr="005E27B3">
              <w:rPr>
                <w:rFonts w:cstheme="minorHAnsi"/>
                <w:bCs/>
                <w:sz w:val="18"/>
                <w:szCs w:val="18"/>
              </w:rPr>
              <w:t xml:space="preserve">.  </w:t>
            </w:r>
          </w:p>
        </w:tc>
        <w:tc>
          <w:tcPr>
            <w:tcW w:w="1449" w:type="dxa"/>
            <w:shd w:val="clear" w:color="auto" w:fill="BDD6EE" w:themeFill="accent1" w:themeFillTint="66"/>
          </w:tcPr>
          <w:p w14:paraId="21A4EB99" w14:textId="77777777" w:rsidR="006F6C74" w:rsidRPr="002B6528" w:rsidRDefault="006F6C74" w:rsidP="00841831">
            <w:pPr>
              <w:pStyle w:val="ListParagraph"/>
              <w:ind w:left="0"/>
              <w:jc w:val="both"/>
              <w:rPr>
                <w:rFonts w:cstheme="minorHAnsi"/>
                <w:b/>
                <w:sz w:val="18"/>
                <w:szCs w:val="18"/>
              </w:rPr>
            </w:pPr>
            <w:r w:rsidRPr="00A54CDE">
              <w:rPr>
                <w:rFonts w:cstheme="minorHAnsi"/>
                <w:bCs/>
                <w:sz w:val="18"/>
                <w:szCs w:val="18"/>
              </w:rPr>
              <w:lastRenderedPageBreak/>
              <w:t xml:space="preserve">Communications analyst with support of </w:t>
            </w:r>
            <w:proofErr w:type="spellStart"/>
            <w:r w:rsidRPr="00A54CDE">
              <w:rPr>
                <w:rFonts w:cstheme="minorHAnsi"/>
                <w:bCs/>
                <w:sz w:val="18"/>
                <w:szCs w:val="18"/>
              </w:rPr>
              <w:t>programme</w:t>
            </w:r>
            <w:proofErr w:type="spellEnd"/>
            <w:r w:rsidRPr="00A54CDE">
              <w:rPr>
                <w:rFonts w:cstheme="minorHAnsi"/>
                <w:bCs/>
                <w:sz w:val="18"/>
                <w:szCs w:val="18"/>
              </w:rPr>
              <w:t xml:space="preserve"> focal points and</w:t>
            </w:r>
            <w:r>
              <w:rPr>
                <w:rFonts w:cstheme="minorHAnsi"/>
                <w:bCs/>
                <w:sz w:val="18"/>
                <w:szCs w:val="18"/>
              </w:rPr>
              <w:t xml:space="preserve"> donors’ comms focal points</w:t>
            </w:r>
          </w:p>
        </w:tc>
      </w:tr>
      <w:tr w:rsidR="006F6C74" w:rsidRPr="003E257A" w14:paraId="7614BFBD" w14:textId="77777777" w:rsidTr="00841831">
        <w:tc>
          <w:tcPr>
            <w:tcW w:w="1370" w:type="dxa"/>
            <w:shd w:val="clear" w:color="auto" w:fill="BDD6EE" w:themeFill="accent1" w:themeFillTint="66"/>
          </w:tcPr>
          <w:p w14:paraId="445794CC" w14:textId="77777777" w:rsidR="006F6C74" w:rsidRDefault="006F6C74" w:rsidP="00841831">
            <w:pPr>
              <w:pStyle w:val="ListParagraph"/>
              <w:ind w:left="0"/>
              <w:jc w:val="both"/>
              <w:rPr>
                <w:rFonts w:ascii="Calibri" w:hAnsi="Calibri"/>
                <w:b/>
              </w:rPr>
            </w:pPr>
            <w:r>
              <w:rPr>
                <w:rFonts w:ascii="Calibri" w:hAnsi="Calibri"/>
                <w:b/>
              </w:rPr>
              <w:t>Civil society</w:t>
            </w:r>
          </w:p>
        </w:tc>
        <w:tc>
          <w:tcPr>
            <w:tcW w:w="2659" w:type="dxa"/>
            <w:shd w:val="clear" w:color="auto" w:fill="BDD6EE" w:themeFill="accent1" w:themeFillTint="66"/>
          </w:tcPr>
          <w:p w14:paraId="6EF441B4" w14:textId="77777777" w:rsidR="006F6C74" w:rsidRPr="009663B3" w:rsidRDefault="006F6C74" w:rsidP="00841831">
            <w:pPr>
              <w:jc w:val="both"/>
              <w:rPr>
                <w:rFonts w:cstheme="minorHAnsi"/>
                <w:bCs/>
                <w:sz w:val="18"/>
                <w:szCs w:val="18"/>
              </w:rPr>
            </w:pPr>
            <w:r>
              <w:rPr>
                <w:rFonts w:cstheme="minorHAnsi"/>
                <w:b/>
                <w:sz w:val="18"/>
                <w:szCs w:val="18"/>
              </w:rPr>
              <w:t xml:space="preserve">- </w:t>
            </w:r>
            <w:r w:rsidRPr="009663B3">
              <w:rPr>
                <w:rFonts w:cstheme="minorHAnsi"/>
                <w:bCs/>
                <w:sz w:val="18"/>
                <w:szCs w:val="18"/>
              </w:rPr>
              <w:t xml:space="preserve">UNDP events </w:t>
            </w:r>
          </w:p>
          <w:p w14:paraId="2B89904D" w14:textId="77777777" w:rsidR="006F6C74" w:rsidRPr="009663B3" w:rsidRDefault="006F6C74" w:rsidP="00841831">
            <w:pPr>
              <w:jc w:val="both"/>
              <w:rPr>
                <w:rFonts w:cstheme="minorHAnsi"/>
                <w:bCs/>
                <w:sz w:val="18"/>
                <w:szCs w:val="18"/>
              </w:rPr>
            </w:pPr>
            <w:r w:rsidRPr="009663B3">
              <w:rPr>
                <w:rFonts w:cstheme="minorHAnsi"/>
                <w:bCs/>
                <w:sz w:val="18"/>
                <w:szCs w:val="18"/>
              </w:rPr>
              <w:t xml:space="preserve">- Targeted information materials </w:t>
            </w:r>
          </w:p>
          <w:p w14:paraId="5771A1D4" w14:textId="77777777" w:rsidR="006F6C74" w:rsidRPr="009663B3" w:rsidRDefault="006F6C74" w:rsidP="00841831">
            <w:pPr>
              <w:jc w:val="both"/>
              <w:rPr>
                <w:rFonts w:cstheme="minorHAnsi"/>
                <w:bCs/>
                <w:sz w:val="18"/>
                <w:szCs w:val="18"/>
              </w:rPr>
            </w:pPr>
            <w:r w:rsidRPr="009663B3">
              <w:rPr>
                <w:rFonts w:cstheme="minorHAnsi"/>
                <w:bCs/>
                <w:sz w:val="18"/>
                <w:szCs w:val="18"/>
              </w:rPr>
              <w:t xml:space="preserve">- Human stories on digital platforms </w:t>
            </w:r>
          </w:p>
          <w:p w14:paraId="3D5A2346" w14:textId="77777777" w:rsidR="006F6C74" w:rsidRPr="009663B3" w:rsidRDefault="006F6C74" w:rsidP="00841831">
            <w:pPr>
              <w:jc w:val="both"/>
              <w:rPr>
                <w:rFonts w:cstheme="minorHAnsi"/>
                <w:bCs/>
                <w:sz w:val="18"/>
                <w:szCs w:val="18"/>
              </w:rPr>
            </w:pPr>
            <w:r w:rsidRPr="009663B3">
              <w:rPr>
                <w:rFonts w:cstheme="minorHAnsi"/>
                <w:bCs/>
                <w:sz w:val="18"/>
                <w:szCs w:val="18"/>
              </w:rPr>
              <w:t xml:space="preserve">- Joint campaigns  </w:t>
            </w:r>
          </w:p>
          <w:p w14:paraId="4608056D" w14:textId="77777777" w:rsidR="006F6C74" w:rsidRPr="002B6528" w:rsidRDefault="006F6C74" w:rsidP="00841831">
            <w:pPr>
              <w:pStyle w:val="ListParagraph"/>
              <w:ind w:left="0"/>
              <w:jc w:val="both"/>
              <w:rPr>
                <w:rFonts w:cstheme="minorHAnsi"/>
                <w:b/>
                <w:sz w:val="18"/>
                <w:szCs w:val="18"/>
              </w:rPr>
            </w:pPr>
            <w:r w:rsidRPr="009663B3">
              <w:rPr>
                <w:rFonts w:cstheme="minorHAnsi"/>
                <w:bCs/>
                <w:sz w:val="18"/>
                <w:szCs w:val="18"/>
              </w:rPr>
              <w:t>- Regular presence in the media with human stories, op-eds, targeted communications through the social media channels</w:t>
            </w:r>
          </w:p>
        </w:tc>
        <w:tc>
          <w:tcPr>
            <w:tcW w:w="1315" w:type="dxa"/>
            <w:vMerge/>
            <w:shd w:val="clear" w:color="auto" w:fill="BDD6EE" w:themeFill="accent1" w:themeFillTint="66"/>
          </w:tcPr>
          <w:p w14:paraId="3CC50E00" w14:textId="77777777" w:rsidR="006F6C74" w:rsidRPr="002B6528" w:rsidRDefault="006F6C74" w:rsidP="00841831">
            <w:pPr>
              <w:pStyle w:val="ListParagraph"/>
              <w:ind w:left="0"/>
              <w:jc w:val="both"/>
              <w:rPr>
                <w:rFonts w:cstheme="minorHAnsi"/>
                <w:b/>
                <w:sz w:val="18"/>
                <w:szCs w:val="18"/>
              </w:rPr>
            </w:pPr>
          </w:p>
        </w:tc>
        <w:tc>
          <w:tcPr>
            <w:tcW w:w="1915" w:type="dxa"/>
            <w:vMerge/>
            <w:shd w:val="clear" w:color="auto" w:fill="BDD6EE" w:themeFill="accent1" w:themeFillTint="66"/>
          </w:tcPr>
          <w:p w14:paraId="6EB6E2F3" w14:textId="77777777" w:rsidR="006F6C74" w:rsidRPr="002B6528" w:rsidRDefault="006F6C74" w:rsidP="00841831">
            <w:pPr>
              <w:pStyle w:val="ListParagraph"/>
              <w:ind w:left="0"/>
              <w:jc w:val="both"/>
              <w:rPr>
                <w:rFonts w:cstheme="minorHAnsi"/>
                <w:b/>
                <w:sz w:val="18"/>
                <w:szCs w:val="18"/>
              </w:rPr>
            </w:pPr>
          </w:p>
        </w:tc>
        <w:tc>
          <w:tcPr>
            <w:tcW w:w="1492" w:type="dxa"/>
            <w:shd w:val="clear" w:color="auto" w:fill="BDD6EE" w:themeFill="accent1" w:themeFillTint="66"/>
          </w:tcPr>
          <w:p w14:paraId="792D7305" w14:textId="77777777" w:rsidR="006F6C74" w:rsidRPr="005A0651" w:rsidRDefault="006F6C74" w:rsidP="00841831">
            <w:pPr>
              <w:pStyle w:val="ListParagraph"/>
              <w:ind w:left="0"/>
              <w:jc w:val="both"/>
              <w:rPr>
                <w:rFonts w:cstheme="minorHAnsi"/>
                <w:bCs/>
                <w:sz w:val="18"/>
                <w:szCs w:val="18"/>
              </w:rPr>
            </w:pPr>
            <w:r w:rsidRPr="005A0651">
              <w:rPr>
                <w:rFonts w:cstheme="minorHAnsi"/>
                <w:bCs/>
                <w:sz w:val="18"/>
                <w:szCs w:val="18"/>
              </w:rPr>
              <w:t xml:space="preserve">Budget implications for design and production of the targeted information materials; advocacy/comms initiatives.  </w:t>
            </w:r>
          </w:p>
        </w:tc>
        <w:tc>
          <w:tcPr>
            <w:tcW w:w="1449" w:type="dxa"/>
            <w:shd w:val="clear" w:color="auto" w:fill="BDD6EE" w:themeFill="accent1" w:themeFillTint="66"/>
          </w:tcPr>
          <w:p w14:paraId="5FA272A3" w14:textId="77777777" w:rsidR="006F6C74" w:rsidRPr="002B6528" w:rsidRDefault="006F6C74" w:rsidP="00841831">
            <w:pPr>
              <w:pStyle w:val="ListParagraph"/>
              <w:ind w:left="0"/>
              <w:jc w:val="both"/>
              <w:rPr>
                <w:rFonts w:cstheme="minorHAnsi"/>
                <w:b/>
                <w:sz w:val="18"/>
                <w:szCs w:val="18"/>
              </w:rPr>
            </w:pPr>
            <w:r w:rsidRPr="00A54CDE">
              <w:rPr>
                <w:rFonts w:cstheme="minorHAnsi"/>
                <w:bCs/>
                <w:sz w:val="18"/>
                <w:szCs w:val="18"/>
              </w:rPr>
              <w:t xml:space="preserve">Communications analyst with support of </w:t>
            </w:r>
            <w:proofErr w:type="spellStart"/>
            <w:r w:rsidRPr="00A54CDE">
              <w:rPr>
                <w:rFonts w:cstheme="minorHAnsi"/>
                <w:bCs/>
                <w:sz w:val="18"/>
                <w:szCs w:val="18"/>
              </w:rPr>
              <w:t>programme</w:t>
            </w:r>
            <w:proofErr w:type="spellEnd"/>
            <w:r w:rsidRPr="00A54CDE">
              <w:rPr>
                <w:rFonts w:cstheme="minorHAnsi"/>
                <w:bCs/>
                <w:sz w:val="18"/>
                <w:szCs w:val="18"/>
              </w:rPr>
              <w:t xml:space="preserve"> focal points</w:t>
            </w:r>
          </w:p>
        </w:tc>
      </w:tr>
      <w:tr w:rsidR="006F6C74" w:rsidRPr="003E257A" w14:paraId="347EB6C7" w14:textId="77777777" w:rsidTr="00841831">
        <w:tc>
          <w:tcPr>
            <w:tcW w:w="1370" w:type="dxa"/>
            <w:shd w:val="clear" w:color="auto" w:fill="BDD6EE" w:themeFill="accent1" w:themeFillTint="66"/>
          </w:tcPr>
          <w:p w14:paraId="150C9E6A" w14:textId="77777777" w:rsidR="006F6C74" w:rsidRDefault="006F6C74" w:rsidP="00841831">
            <w:pPr>
              <w:pStyle w:val="ListParagraph"/>
              <w:ind w:left="0"/>
              <w:jc w:val="both"/>
              <w:rPr>
                <w:rFonts w:ascii="Calibri" w:hAnsi="Calibri"/>
                <w:b/>
              </w:rPr>
            </w:pPr>
            <w:r>
              <w:rPr>
                <w:rFonts w:ascii="Calibri" w:hAnsi="Calibri"/>
                <w:b/>
              </w:rPr>
              <w:t>Private sector</w:t>
            </w:r>
          </w:p>
        </w:tc>
        <w:tc>
          <w:tcPr>
            <w:tcW w:w="2659" w:type="dxa"/>
            <w:shd w:val="clear" w:color="auto" w:fill="BDD6EE" w:themeFill="accent1" w:themeFillTint="66"/>
          </w:tcPr>
          <w:p w14:paraId="2025F997" w14:textId="77777777" w:rsidR="006F6C74" w:rsidRDefault="006F6C74" w:rsidP="00841831">
            <w:pPr>
              <w:pStyle w:val="ListParagraph"/>
              <w:ind w:left="0"/>
              <w:jc w:val="both"/>
              <w:rPr>
                <w:rFonts w:cstheme="minorHAnsi"/>
                <w:bCs/>
                <w:sz w:val="18"/>
                <w:szCs w:val="18"/>
              </w:rPr>
            </w:pPr>
            <w:r w:rsidRPr="00404BB1">
              <w:rPr>
                <w:rFonts w:cstheme="minorHAnsi"/>
                <w:bCs/>
                <w:sz w:val="18"/>
                <w:szCs w:val="18"/>
              </w:rPr>
              <w:t>-Media events</w:t>
            </w:r>
          </w:p>
          <w:p w14:paraId="6BE4C85B" w14:textId="77777777" w:rsidR="006F6C74" w:rsidRPr="00F21EFA" w:rsidRDefault="006F6C74" w:rsidP="00841831">
            <w:pPr>
              <w:jc w:val="both"/>
              <w:rPr>
                <w:rFonts w:cstheme="minorHAnsi"/>
                <w:bCs/>
                <w:sz w:val="18"/>
                <w:szCs w:val="18"/>
              </w:rPr>
            </w:pPr>
            <w:r>
              <w:rPr>
                <w:rFonts w:cstheme="minorHAnsi"/>
                <w:bCs/>
                <w:sz w:val="18"/>
                <w:szCs w:val="18"/>
              </w:rPr>
              <w:t>-</w:t>
            </w:r>
            <w:r w:rsidRPr="00F21EFA">
              <w:rPr>
                <w:rFonts w:cstheme="minorHAnsi"/>
                <w:bCs/>
                <w:sz w:val="18"/>
                <w:szCs w:val="18"/>
              </w:rPr>
              <w:t xml:space="preserve"> Targeted information materials (one-pagers, flagship knowledge products, etc.)</w:t>
            </w:r>
          </w:p>
          <w:p w14:paraId="42E7353B" w14:textId="77777777" w:rsidR="006F6C74" w:rsidRPr="00404BB1" w:rsidRDefault="006F6C74" w:rsidP="00841831">
            <w:pPr>
              <w:pStyle w:val="ListParagraph"/>
              <w:ind w:left="0"/>
              <w:jc w:val="both"/>
              <w:rPr>
                <w:rFonts w:cstheme="minorHAnsi"/>
                <w:bCs/>
                <w:sz w:val="18"/>
                <w:szCs w:val="18"/>
              </w:rPr>
            </w:pPr>
            <w:r>
              <w:rPr>
                <w:rFonts w:cstheme="minorHAnsi"/>
                <w:bCs/>
                <w:sz w:val="18"/>
                <w:szCs w:val="18"/>
              </w:rPr>
              <w:t>- Tailored press releases, success stories.</w:t>
            </w:r>
          </w:p>
        </w:tc>
        <w:tc>
          <w:tcPr>
            <w:tcW w:w="1315" w:type="dxa"/>
            <w:vMerge/>
            <w:shd w:val="clear" w:color="auto" w:fill="BDD6EE" w:themeFill="accent1" w:themeFillTint="66"/>
          </w:tcPr>
          <w:p w14:paraId="3AF2011C" w14:textId="77777777" w:rsidR="006F6C74" w:rsidRPr="002B6528" w:rsidRDefault="006F6C74" w:rsidP="00841831">
            <w:pPr>
              <w:pStyle w:val="ListParagraph"/>
              <w:ind w:left="0"/>
              <w:jc w:val="both"/>
              <w:rPr>
                <w:rFonts w:cstheme="minorHAnsi"/>
                <w:b/>
                <w:sz w:val="18"/>
                <w:szCs w:val="18"/>
              </w:rPr>
            </w:pPr>
          </w:p>
        </w:tc>
        <w:tc>
          <w:tcPr>
            <w:tcW w:w="1915" w:type="dxa"/>
            <w:vMerge/>
            <w:shd w:val="clear" w:color="auto" w:fill="BDD6EE" w:themeFill="accent1" w:themeFillTint="66"/>
          </w:tcPr>
          <w:p w14:paraId="71215F7E" w14:textId="77777777" w:rsidR="006F6C74" w:rsidRPr="002B6528" w:rsidRDefault="006F6C74" w:rsidP="00841831">
            <w:pPr>
              <w:pStyle w:val="ListParagraph"/>
              <w:ind w:left="0"/>
              <w:jc w:val="both"/>
              <w:rPr>
                <w:rFonts w:cstheme="minorHAnsi"/>
                <w:b/>
                <w:sz w:val="18"/>
                <w:szCs w:val="18"/>
              </w:rPr>
            </w:pPr>
          </w:p>
        </w:tc>
        <w:tc>
          <w:tcPr>
            <w:tcW w:w="1492" w:type="dxa"/>
            <w:shd w:val="clear" w:color="auto" w:fill="BDD6EE" w:themeFill="accent1" w:themeFillTint="66"/>
          </w:tcPr>
          <w:p w14:paraId="28595A30" w14:textId="77777777" w:rsidR="006F6C74" w:rsidRPr="002B6528" w:rsidRDefault="006F6C74" w:rsidP="00841831">
            <w:pPr>
              <w:pStyle w:val="ListParagraph"/>
              <w:ind w:left="0"/>
              <w:jc w:val="both"/>
              <w:rPr>
                <w:rFonts w:cstheme="minorHAnsi"/>
                <w:b/>
                <w:sz w:val="18"/>
                <w:szCs w:val="18"/>
              </w:rPr>
            </w:pPr>
            <w:r w:rsidRPr="005A0651">
              <w:rPr>
                <w:rFonts w:cstheme="minorHAnsi"/>
                <w:bCs/>
                <w:sz w:val="18"/>
                <w:szCs w:val="18"/>
              </w:rPr>
              <w:t>Budget implications for</w:t>
            </w:r>
            <w:r>
              <w:rPr>
                <w:rFonts w:cstheme="minorHAnsi"/>
                <w:bCs/>
                <w:sz w:val="18"/>
                <w:szCs w:val="18"/>
              </w:rPr>
              <w:t xml:space="preserve"> renting the premises and other subsequent expenses for events organization including printing.</w:t>
            </w:r>
          </w:p>
        </w:tc>
        <w:tc>
          <w:tcPr>
            <w:tcW w:w="1449" w:type="dxa"/>
            <w:shd w:val="clear" w:color="auto" w:fill="BDD6EE" w:themeFill="accent1" w:themeFillTint="66"/>
          </w:tcPr>
          <w:p w14:paraId="06E5AF32" w14:textId="77777777" w:rsidR="006F6C74" w:rsidRPr="002B6528" w:rsidRDefault="006F6C74" w:rsidP="00841831">
            <w:pPr>
              <w:pStyle w:val="ListParagraph"/>
              <w:ind w:left="0"/>
              <w:jc w:val="both"/>
              <w:rPr>
                <w:rFonts w:cstheme="minorHAnsi"/>
                <w:b/>
                <w:sz w:val="18"/>
                <w:szCs w:val="18"/>
              </w:rPr>
            </w:pPr>
            <w:r w:rsidRPr="00A54CDE">
              <w:rPr>
                <w:rFonts w:cstheme="minorHAnsi"/>
                <w:bCs/>
                <w:sz w:val="18"/>
                <w:szCs w:val="18"/>
              </w:rPr>
              <w:t xml:space="preserve">Communications analyst with support of </w:t>
            </w:r>
            <w:proofErr w:type="spellStart"/>
            <w:r w:rsidRPr="00A54CDE">
              <w:rPr>
                <w:rFonts w:cstheme="minorHAnsi"/>
                <w:bCs/>
                <w:sz w:val="18"/>
                <w:szCs w:val="18"/>
              </w:rPr>
              <w:t>programme</w:t>
            </w:r>
            <w:proofErr w:type="spellEnd"/>
            <w:r w:rsidRPr="00A54CDE">
              <w:rPr>
                <w:rFonts w:cstheme="minorHAnsi"/>
                <w:bCs/>
                <w:sz w:val="18"/>
                <w:szCs w:val="18"/>
              </w:rPr>
              <w:t xml:space="preserve"> focal points</w:t>
            </w:r>
          </w:p>
        </w:tc>
      </w:tr>
      <w:tr w:rsidR="006F6C74" w:rsidRPr="003E257A" w14:paraId="692F237C" w14:textId="77777777" w:rsidTr="00841831">
        <w:tc>
          <w:tcPr>
            <w:tcW w:w="1370" w:type="dxa"/>
            <w:shd w:val="clear" w:color="auto" w:fill="BDD6EE" w:themeFill="accent1" w:themeFillTint="66"/>
          </w:tcPr>
          <w:p w14:paraId="7C36D12C" w14:textId="77777777" w:rsidR="006F6C74" w:rsidRDefault="006F6C74" w:rsidP="00841831">
            <w:pPr>
              <w:pStyle w:val="ListParagraph"/>
              <w:ind w:left="0"/>
              <w:jc w:val="both"/>
              <w:rPr>
                <w:rFonts w:ascii="Calibri" w:hAnsi="Calibri"/>
                <w:b/>
              </w:rPr>
            </w:pPr>
            <w:r>
              <w:rPr>
                <w:rFonts w:ascii="Calibri" w:hAnsi="Calibri"/>
                <w:b/>
              </w:rPr>
              <w:t>Youth</w:t>
            </w:r>
          </w:p>
        </w:tc>
        <w:tc>
          <w:tcPr>
            <w:tcW w:w="2659" w:type="dxa"/>
            <w:shd w:val="clear" w:color="auto" w:fill="BDD6EE" w:themeFill="accent1" w:themeFillTint="66"/>
          </w:tcPr>
          <w:p w14:paraId="5E037FDE" w14:textId="77777777" w:rsidR="006F6C74" w:rsidRDefault="006F6C74" w:rsidP="00841831">
            <w:pPr>
              <w:jc w:val="both"/>
              <w:rPr>
                <w:rFonts w:cstheme="minorHAnsi"/>
                <w:bCs/>
                <w:sz w:val="18"/>
                <w:szCs w:val="18"/>
              </w:rPr>
            </w:pPr>
            <w:r>
              <w:rPr>
                <w:rFonts w:cstheme="minorHAnsi"/>
                <w:b/>
                <w:sz w:val="18"/>
                <w:szCs w:val="18"/>
              </w:rPr>
              <w:t>-</w:t>
            </w:r>
            <w:r w:rsidRPr="00C42A01">
              <w:rPr>
                <w:rFonts w:cstheme="minorHAnsi"/>
                <w:bCs/>
                <w:sz w:val="18"/>
                <w:szCs w:val="18"/>
              </w:rPr>
              <w:t xml:space="preserve">Joint events with the </w:t>
            </w:r>
            <w:r>
              <w:rPr>
                <w:rFonts w:cstheme="minorHAnsi"/>
                <w:bCs/>
                <w:sz w:val="18"/>
                <w:szCs w:val="18"/>
              </w:rPr>
              <w:t>youth organizations (</w:t>
            </w:r>
            <w:proofErr w:type="spellStart"/>
            <w:r>
              <w:rPr>
                <w:rFonts w:cstheme="minorHAnsi"/>
                <w:bCs/>
                <w:sz w:val="18"/>
                <w:szCs w:val="18"/>
              </w:rPr>
              <w:t>eg</w:t>
            </w:r>
            <w:proofErr w:type="spellEnd"/>
            <w:r>
              <w:rPr>
                <w:rFonts w:cstheme="minorHAnsi"/>
                <w:bCs/>
                <w:sz w:val="18"/>
                <w:szCs w:val="18"/>
              </w:rPr>
              <w:t xml:space="preserve">; dialogue with youths, start-up initiatives, </w:t>
            </w:r>
            <w:proofErr w:type="spellStart"/>
            <w:r>
              <w:rPr>
                <w:rFonts w:cstheme="minorHAnsi"/>
                <w:bCs/>
                <w:sz w:val="18"/>
                <w:szCs w:val="18"/>
              </w:rPr>
              <w:t>tec</w:t>
            </w:r>
            <w:proofErr w:type="spellEnd"/>
            <w:r>
              <w:rPr>
                <w:rFonts w:cstheme="minorHAnsi"/>
                <w:bCs/>
                <w:sz w:val="18"/>
                <w:szCs w:val="18"/>
              </w:rPr>
              <w:t xml:space="preserve">) </w:t>
            </w:r>
          </w:p>
          <w:p w14:paraId="474D3D4B" w14:textId="77777777" w:rsidR="006F6C74" w:rsidRPr="00C42A01" w:rsidRDefault="006F6C74" w:rsidP="00841831">
            <w:pPr>
              <w:jc w:val="both"/>
              <w:rPr>
                <w:rFonts w:cstheme="minorHAnsi"/>
                <w:bCs/>
                <w:sz w:val="18"/>
                <w:szCs w:val="18"/>
              </w:rPr>
            </w:pPr>
            <w:r>
              <w:rPr>
                <w:rFonts w:cstheme="minorHAnsi"/>
                <w:bCs/>
                <w:sz w:val="18"/>
                <w:szCs w:val="18"/>
              </w:rPr>
              <w:t>-Partnerships with influencers to spread UNDP’s messages</w:t>
            </w:r>
          </w:p>
          <w:p w14:paraId="79353152" w14:textId="77777777" w:rsidR="006F6C74" w:rsidRDefault="006F6C74" w:rsidP="00841831">
            <w:pPr>
              <w:jc w:val="both"/>
              <w:rPr>
                <w:rFonts w:cstheme="minorHAnsi"/>
                <w:bCs/>
                <w:sz w:val="18"/>
                <w:szCs w:val="18"/>
              </w:rPr>
            </w:pPr>
            <w:r>
              <w:rPr>
                <w:rFonts w:cstheme="minorHAnsi"/>
                <w:b/>
                <w:sz w:val="18"/>
                <w:szCs w:val="18"/>
              </w:rPr>
              <w:t>-</w:t>
            </w:r>
            <w:r w:rsidRPr="00680B1C">
              <w:rPr>
                <w:rFonts w:cstheme="minorHAnsi"/>
                <w:bCs/>
                <w:sz w:val="18"/>
                <w:szCs w:val="18"/>
              </w:rPr>
              <w:t>Regular presence on conventional and social media resources</w:t>
            </w:r>
            <w:r>
              <w:rPr>
                <w:rFonts w:cstheme="minorHAnsi"/>
                <w:bCs/>
                <w:sz w:val="18"/>
                <w:szCs w:val="18"/>
              </w:rPr>
              <w:t xml:space="preserve"> with specific topics of discussion</w:t>
            </w:r>
          </w:p>
          <w:p w14:paraId="08B21725" w14:textId="77777777" w:rsidR="006F6C74" w:rsidRPr="00C42A01" w:rsidRDefault="006F6C74" w:rsidP="00841831">
            <w:pPr>
              <w:jc w:val="both"/>
              <w:rPr>
                <w:rFonts w:cstheme="minorHAnsi"/>
                <w:b/>
                <w:sz w:val="18"/>
                <w:szCs w:val="18"/>
              </w:rPr>
            </w:pPr>
            <w:r>
              <w:rPr>
                <w:rFonts w:cstheme="minorHAnsi"/>
                <w:b/>
                <w:sz w:val="18"/>
                <w:szCs w:val="18"/>
              </w:rPr>
              <w:t>-</w:t>
            </w:r>
            <w:r w:rsidRPr="00C42A01">
              <w:rPr>
                <w:rFonts w:cstheme="minorHAnsi"/>
                <w:bCs/>
                <w:sz w:val="18"/>
                <w:szCs w:val="18"/>
              </w:rPr>
              <w:t>Success stories</w:t>
            </w:r>
            <w:r>
              <w:rPr>
                <w:rFonts w:cstheme="minorHAnsi"/>
                <w:bCs/>
                <w:sz w:val="18"/>
                <w:szCs w:val="18"/>
              </w:rPr>
              <w:t xml:space="preserve"> &amp; other comms products to raise awareness</w:t>
            </w:r>
          </w:p>
        </w:tc>
        <w:tc>
          <w:tcPr>
            <w:tcW w:w="1315" w:type="dxa"/>
            <w:vMerge/>
            <w:shd w:val="clear" w:color="auto" w:fill="BDD6EE" w:themeFill="accent1" w:themeFillTint="66"/>
          </w:tcPr>
          <w:p w14:paraId="332E9FC3" w14:textId="77777777" w:rsidR="006F6C74" w:rsidRPr="002B6528" w:rsidRDefault="006F6C74" w:rsidP="00841831">
            <w:pPr>
              <w:pStyle w:val="ListParagraph"/>
              <w:ind w:left="0"/>
              <w:jc w:val="both"/>
              <w:rPr>
                <w:rFonts w:cstheme="minorHAnsi"/>
                <w:b/>
                <w:sz w:val="18"/>
                <w:szCs w:val="18"/>
              </w:rPr>
            </w:pPr>
          </w:p>
        </w:tc>
        <w:tc>
          <w:tcPr>
            <w:tcW w:w="1915" w:type="dxa"/>
            <w:vMerge/>
            <w:shd w:val="clear" w:color="auto" w:fill="BDD6EE" w:themeFill="accent1" w:themeFillTint="66"/>
          </w:tcPr>
          <w:p w14:paraId="1EB3D3F5" w14:textId="77777777" w:rsidR="006F6C74" w:rsidRPr="002B6528" w:rsidRDefault="006F6C74" w:rsidP="00841831">
            <w:pPr>
              <w:pStyle w:val="ListParagraph"/>
              <w:ind w:left="0"/>
              <w:jc w:val="both"/>
              <w:rPr>
                <w:rFonts w:cstheme="minorHAnsi"/>
                <w:b/>
                <w:sz w:val="18"/>
                <w:szCs w:val="18"/>
              </w:rPr>
            </w:pPr>
          </w:p>
        </w:tc>
        <w:tc>
          <w:tcPr>
            <w:tcW w:w="1492" w:type="dxa"/>
            <w:shd w:val="clear" w:color="auto" w:fill="BDD6EE" w:themeFill="accent1" w:themeFillTint="66"/>
          </w:tcPr>
          <w:p w14:paraId="73D728DB" w14:textId="77777777" w:rsidR="006F6C74" w:rsidRPr="002B6528" w:rsidRDefault="006F6C74" w:rsidP="00841831">
            <w:pPr>
              <w:pStyle w:val="ListParagraph"/>
              <w:ind w:left="0"/>
              <w:jc w:val="both"/>
              <w:rPr>
                <w:rFonts w:cstheme="minorHAnsi"/>
                <w:b/>
                <w:sz w:val="18"/>
                <w:szCs w:val="18"/>
              </w:rPr>
            </w:pPr>
            <w:r w:rsidRPr="005E27B3">
              <w:rPr>
                <w:rFonts w:cstheme="minorHAnsi"/>
                <w:bCs/>
                <w:sz w:val="18"/>
                <w:szCs w:val="18"/>
              </w:rPr>
              <w:t xml:space="preserve">Budget implications for design and production of the targeted information materials; advocacy/comms </w:t>
            </w:r>
            <w:r>
              <w:rPr>
                <w:rFonts w:cstheme="minorHAnsi"/>
                <w:bCs/>
                <w:sz w:val="18"/>
                <w:szCs w:val="18"/>
              </w:rPr>
              <w:t>products</w:t>
            </w:r>
            <w:r w:rsidRPr="005E27B3">
              <w:rPr>
                <w:rFonts w:cstheme="minorHAnsi"/>
                <w:bCs/>
                <w:sz w:val="18"/>
                <w:szCs w:val="18"/>
              </w:rPr>
              <w:t xml:space="preserve">.  </w:t>
            </w:r>
          </w:p>
        </w:tc>
        <w:tc>
          <w:tcPr>
            <w:tcW w:w="1449" w:type="dxa"/>
            <w:shd w:val="clear" w:color="auto" w:fill="BDD6EE" w:themeFill="accent1" w:themeFillTint="66"/>
          </w:tcPr>
          <w:p w14:paraId="20474502" w14:textId="77777777" w:rsidR="006F6C74" w:rsidRPr="002B6528" w:rsidRDefault="006F6C74" w:rsidP="00841831">
            <w:pPr>
              <w:pStyle w:val="ListParagraph"/>
              <w:ind w:left="0"/>
              <w:jc w:val="both"/>
              <w:rPr>
                <w:rFonts w:cstheme="minorHAnsi"/>
                <w:b/>
                <w:sz w:val="18"/>
                <w:szCs w:val="18"/>
              </w:rPr>
            </w:pPr>
            <w:r w:rsidRPr="00A54CDE">
              <w:rPr>
                <w:rFonts w:cstheme="minorHAnsi"/>
                <w:bCs/>
                <w:sz w:val="18"/>
                <w:szCs w:val="18"/>
              </w:rPr>
              <w:t xml:space="preserve">Communications analyst with support of </w:t>
            </w:r>
            <w:proofErr w:type="spellStart"/>
            <w:r w:rsidRPr="00A54CDE">
              <w:rPr>
                <w:rFonts w:cstheme="minorHAnsi"/>
                <w:bCs/>
                <w:sz w:val="18"/>
                <w:szCs w:val="18"/>
              </w:rPr>
              <w:t>programme</w:t>
            </w:r>
            <w:proofErr w:type="spellEnd"/>
            <w:r w:rsidRPr="00A54CDE">
              <w:rPr>
                <w:rFonts w:cstheme="minorHAnsi"/>
                <w:bCs/>
                <w:sz w:val="18"/>
                <w:szCs w:val="18"/>
              </w:rPr>
              <w:t xml:space="preserve"> focal points</w:t>
            </w:r>
          </w:p>
        </w:tc>
      </w:tr>
      <w:tr w:rsidR="006F6C74" w:rsidRPr="003E257A" w14:paraId="367CCD92" w14:textId="77777777" w:rsidTr="00841831">
        <w:tc>
          <w:tcPr>
            <w:tcW w:w="1370" w:type="dxa"/>
            <w:shd w:val="clear" w:color="auto" w:fill="BDD6EE" w:themeFill="accent1" w:themeFillTint="66"/>
          </w:tcPr>
          <w:p w14:paraId="50712A02" w14:textId="77777777" w:rsidR="006F6C74" w:rsidRDefault="006F6C74" w:rsidP="00841831">
            <w:pPr>
              <w:pStyle w:val="ListParagraph"/>
              <w:ind w:left="0"/>
              <w:jc w:val="both"/>
              <w:rPr>
                <w:rFonts w:ascii="Calibri" w:hAnsi="Calibri"/>
                <w:b/>
              </w:rPr>
            </w:pPr>
            <w:r>
              <w:rPr>
                <w:rFonts w:ascii="Calibri" w:hAnsi="Calibri"/>
                <w:b/>
              </w:rPr>
              <w:t>General public</w:t>
            </w:r>
          </w:p>
        </w:tc>
        <w:tc>
          <w:tcPr>
            <w:tcW w:w="2659" w:type="dxa"/>
            <w:shd w:val="clear" w:color="auto" w:fill="BDD6EE" w:themeFill="accent1" w:themeFillTint="66"/>
          </w:tcPr>
          <w:p w14:paraId="20656007" w14:textId="77777777" w:rsidR="006F6C74" w:rsidRPr="00680B1C" w:rsidRDefault="006F6C74" w:rsidP="00841831">
            <w:pPr>
              <w:jc w:val="both"/>
              <w:rPr>
                <w:rFonts w:cstheme="minorHAnsi"/>
                <w:bCs/>
                <w:sz w:val="18"/>
                <w:szCs w:val="18"/>
              </w:rPr>
            </w:pPr>
            <w:r>
              <w:rPr>
                <w:rFonts w:cstheme="minorHAnsi"/>
                <w:b/>
                <w:sz w:val="18"/>
                <w:szCs w:val="18"/>
              </w:rPr>
              <w:t>-</w:t>
            </w:r>
            <w:r w:rsidRPr="00680B1C">
              <w:rPr>
                <w:rFonts w:cstheme="minorHAnsi"/>
                <w:bCs/>
                <w:sz w:val="18"/>
                <w:szCs w:val="18"/>
              </w:rPr>
              <w:t xml:space="preserve">Regular presence on conventional and social media resources; </w:t>
            </w:r>
          </w:p>
          <w:p w14:paraId="6C21A317" w14:textId="77777777" w:rsidR="006F6C74" w:rsidRPr="00680B1C" w:rsidRDefault="006F6C74" w:rsidP="00841831">
            <w:pPr>
              <w:jc w:val="both"/>
              <w:rPr>
                <w:rFonts w:cstheme="minorHAnsi"/>
                <w:bCs/>
                <w:sz w:val="18"/>
                <w:szCs w:val="18"/>
              </w:rPr>
            </w:pPr>
            <w:r w:rsidRPr="00680B1C">
              <w:rPr>
                <w:rFonts w:cstheme="minorHAnsi"/>
                <w:bCs/>
                <w:sz w:val="18"/>
                <w:szCs w:val="18"/>
              </w:rPr>
              <w:t>-Corporate website;</w:t>
            </w:r>
          </w:p>
          <w:p w14:paraId="617A8C2F" w14:textId="77777777" w:rsidR="006F6C74" w:rsidRPr="00680B1C" w:rsidRDefault="006F6C74" w:rsidP="00841831">
            <w:pPr>
              <w:jc w:val="both"/>
              <w:rPr>
                <w:rFonts w:cstheme="minorHAnsi"/>
                <w:bCs/>
                <w:sz w:val="18"/>
                <w:szCs w:val="18"/>
              </w:rPr>
            </w:pPr>
            <w:r w:rsidRPr="00680B1C">
              <w:rPr>
                <w:rFonts w:cstheme="minorHAnsi"/>
                <w:bCs/>
                <w:sz w:val="18"/>
                <w:szCs w:val="18"/>
              </w:rPr>
              <w:t xml:space="preserve">-Information/advocacy campaigns; </w:t>
            </w:r>
          </w:p>
          <w:p w14:paraId="3560D765" w14:textId="77777777" w:rsidR="006F6C74" w:rsidRPr="002B6528" w:rsidRDefault="006F6C74" w:rsidP="00841831">
            <w:pPr>
              <w:pStyle w:val="ListParagraph"/>
              <w:ind w:left="0"/>
              <w:jc w:val="both"/>
              <w:rPr>
                <w:rFonts w:cstheme="minorHAnsi"/>
                <w:b/>
                <w:sz w:val="18"/>
                <w:szCs w:val="18"/>
              </w:rPr>
            </w:pPr>
            <w:r w:rsidRPr="00680B1C">
              <w:rPr>
                <w:rFonts w:cstheme="minorHAnsi"/>
                <w:bCs/>
                <w:sz w:val="18"/>
                <w:szCs w:val="18"/>
              </w:rPr>
              <w:t>-Human stories</w:t>
            </w:r>
          </w:p>
        </w:tc>
        <w:tc>
          <w:tcPr>
            <w:tcW w:w="1315" w:type="dxa"/>
            <w:vMerge/>
            <w:shd w:val="clear" w:color="auto" w:fill="BDD6EE" w:themeFill="accent1" w:themeFillTint="66"/>
          </w:tcPr>
          <w:p w14:paraId="5F33FBE1" w14:textId="77777777" w:rsidR="006F6C74" w:rsidRPr="002B6528" w:rsidRDefault="006F6C74" w:rsidP="00841831">
            <w:pPr>
              <w:pStyle w:val="ListParagraph"/>
              <w:ind w:left="0"/>
              <w:jc w:val="both"/>
              <w:rPr>
                <w:rFonts w:cstheme="minorHAnsi"/>
                <w:b/>
                <w:sz w:val="18"/>
                <w:szCs w:val="18"/>
              </w:rPr>
            </w:pPr>
          </w:p>
        </w:tc>
        <w:tc>
          <w:tcPr>
            <w:tcW w:w="1915" w:type="dxa"/>
            <w:shd w:val="clear" w:color="auto" w:fill="BDD6EE" w:themeFill="accent1" w:themeFillTint="66"/>
          </w:tcPr>
          <w:p w14:paraId="6852DDCC" w14:textId="77777777" w:rsidR="006F6C74" w:rsidRPr="002B6528" w:rsidRDefault="006F6C74" w:rsidP="00841831">
            <w:pPr>
              <w:pStyle w:val="ListParagraph"/>
              <w:ind w:left="0"/>
              <w:jc w:val="both"/>
              <w:rPr>
                <w:rFonts w:cstheme="minorHAnsi"/>
                <w:b/>
                <w:sz w:val="18"/>
                <w:szCs w:val="18"/>
              </w:rPr>
            </w:pPr>
          </w:p>
        </w:tc>
        <w:tc>
          <w:tcPr>
            <w:tcW w:w="1492" w:type="dxa"/>
            <w:shd w:val="clear" w:color="auto" w:fill="BDD6EE" w:themeFill="accent1" w:themeFillTint="66"/>
          </w:tcPr>
          <w:p w14:paraId="4E13CD00" w14:textId="77777777" w:rsidR="006F6C74" w:rsidRPr="002B6528" w:rsidRDefault="006F6C74" w:rsidP="00841831">
            <w:pPr>
              <w:pStyle w:val="ListParagraph"/>
              <w:ind w:left="0"/>
              <w:jc w:val="both"/>
              <w:rPr>
                <w:rFonts w:cstheme="minorHAnsi"/>
                <w:b/>
                <w:sz w:val="18"/>
                <w:szCs w:val="18"/>
              </w:rPr>
            </w:pPr>
            <w:r w:rsidRPr="003F48A6">
              <w:rPr>
                <w:rFonts w:cstheme="minorHAnsi"/>
                <w:bCs/>
                <w:sz w:val="18"/>
                <w:szCs w:val="18"/>
              </w:rPr>
              <w:t>Budget implications for hiring professional to source high quality photo and video materials</w:t>
            </w:r>
            <w:r>
              <w:rPr>
                <w:rFonts w:cstheme="minorHAnsi"/>
                <w:b/>
                <w:sz w:val="18"/>
                <w:szCs w:val="18"/>
              </w:rPr>
              <w:t>.</w:t>
            </w:r>
          </w:p>
        </w:tc>
        <w:tc>
          <w:tcPr>
            <w:tcW w:w="1449" w:type="dxa"/>
            <w:shd w:val="clear" w:color="auto" w:fill="BDD6EE" w:themeFill="accent1" w:themeFillTint="66"/>
          </w:tcPr>
          <w:p w14:paraId="68AC566F" w14:textId="77777777" w:rsidR="006F6C74" w:rsidRPr="002B6528" w:rsidRDefault="006F6C74" w:rsidP="00841831">
            <w:pPr>
              <w:pStyle w:val="ListParagraph"/>
              <w:ind w:left="0"/>
              <w:jc w:val="both"/>
              <w:rPr>
                <w:rFonts w:cstheme="minorHAnsi"/>
                <w:b/>
                <w:sz w:val="18"/>
                <w:szCs w:val="18"/>
              </w:rPr>
            </w:pPr>
            <w:r w:rsidRPr="00A54CDE">
              <w:rPr>
                <w:rFonts w:cstheme="minorHAnsi"/>
                <w:bCs/>
                <w:sz w:val="18"/>
                <w:szCs w:val="18"/>
              </w:rPr>
              <w:t>Communications analyst</w:t>
            </w:r>
          </w:p>
        </w:tc>
      </w:tr>
    </w:tbl>
    <w:p w14:paraId="6CE72D6F" w14:textId="77777777" w:rsidR="006F6C74" w:rsidRDefault="006F6C74" w:rsidP="006F6C74">
      <w:pPr>
        <w:spacing w:line="240" w:lineRule="auto"/>
        <w:ind w:left="360"/>
        <w:jc w:val="both"/>
        <w:rPr>
          <w:rFonts w:cstheme="minorHAnsi"/>
        </w:rPr>
      </w:pPr>
    </w:p>
    <w:p w14:paraId="16E0D2F1" w14:textId="77777777" w:rsidR="006F6C74" w:rsidRPr="00823087" w:rsidRDefault="006F6C74" w:rsidP="006F6C74">
      <w:pPr>
        <w:spacing w:line="240" w:lineRule="auto"/>
        <w:rPr>
          <w:rFonts w:cstheme="minorHAnsi"/>
          <w:b/>
          <w:color w:val="00B0F0"/>
          <w:u w:val="single"/>
        </w:rPr>
      </w:pPr>
      <w:r w:rsidRPr="00823087">
        <w:rPr>
          <w:rFonts w:cstheme="minorHAnsi"/>
          <w:b/>
          <w:color w:val="00B0F0"/>
          <w:u w:val="single"/>
        </w:rPr>
        <w:t>Part III. Risks and Evaluating Success</w:t>
      </w:r>
    </w:p>
    <w:tbl>
      <w:tblPr>
        <w:tblStyle w:val="TableGrid"/>
        <w:tblW w:w="10121" w:type="dxa"/>
        <w:tblInd w:w="-856" w:type="dxa"/>
        <w:tblLook w:val="04A0" w:firstRow="1" w:lastRow="0" w:firstColumn="1" w:lastColumn="0" w:noHBand="0" w:noVBand="1"/>
      </w:tblPr>
      <w:tblGrid>
        <w:gridCol w:w="4271"/>
        <w:gridCol w:w="5850"/>
      </w:tblGrid>
      <w:tr w:rsidR="006F6C74" w:rsidRPr="00823087" w14:paraId="6AC69DD8" w14:textId="77777777" w:rsidTr="00D2375A">
        <w:tc>
          <w:tcPr>
            <w:tcW w:w="4271" w:type="dxa"/>
          </w:tcPr>
          <w:p w14:paraId="598FB686" w14:textId="77777777" w:rsidR="006F6C74" w:rsidRPr="00823087" w:rsidRDefault="006F6C74" w:rsidP="00841831">
            <w:pPr>
              <w:pStyle w:val="ListParagraph"/>
              <w:ind w:left="0"/>
              <w:jc w:val="both"/>
              <w:rPr>
                <w:rFonts w:cstheme="minorHAnsi"/>
                <w:b/>
                <w:bCs/>
              </w:rPr>
            </w:pPr>
            <w:r w:rsidRPr="00823087">
              <w:rPr>
                <w:rFonts w:cstheme="minorHAnsi"/>
                <w:b/>
                <w:bCs/>
              </w:rPr>
              <w:t xml:space="preserve">Risks </w:t>
            </w:r>
          </w:p>
        </w:tc>
        <w:tc>
          <w:tcPr>
            <w:tcW w:w="5850" w:type="dxa"/>
          </w:tcPr>
          <w:p w14:paraId="12C6AC24" w14:textId="640800F7" w:rsidR="006F6C74" w:rsidRPr="00823087" w:rsidRDefault="006F6C74" w:rsidP="00D2375A">
            <w:pPr>
              <w:pStyle w:val="ListParagraph"/>
              <w:ind w:left="0"/>
              <w:jc w:val="both"/>
              <w:rPr>
                <w:rFonts w:cstheme="minorHAnsi"/>
                <w:b/>
                <w:bCs/>
              </w:rPr>
            </w:pPr>
            <w:r w:rsidRPr="00823087">
              <w:rPr>
                <w:rFonts w:cstheme="minorHAnsi"/>
                <w:b/>
                <w:bCs/>
              </w:rPr>
              <w:t xml:space="preserve">Mitigation measures </w:t>
            </w:r>
          </w:p>
        </w:tc>
      </w:tr>
      <w:tr w:rsidR="006F6C74" w:rsidRPr="00823087" w14:paraId="6D6DDE29" w14:textId="77777777" w:rsidTr="00D2375A">
        <w:tc>
          <w:tcPr>
            <w:tcW w:w="4271" w:type="dxa"/>
          </w:tcPr>
          <w:p w14:paraId="6D51AE5C" w14:textId="77777777" w:rsidR="002774E3" w:rsidRDefault="006F6C74" w:rsidP="00841831">
            <w:pPr>
              <w:rPr>
                <w:rFonts w:cstheme="minorHAnsi"/>
              </w:rPr>
            </w:pPr>
            <w:r>
              <w:rPr>
                <w:rFonts w:cstheme="minorHAnsi"/>
              </w:rPr>
              <w:t>RM risk:</w:t>
            </w:r>
            <w:r w:rsidRPr="00823087">
              <w:rPr>
                <w:rFonts w:cstheme="minorHAnsi"/>
              </w:rPr>
              <w:t xml:space="preserve"> </w:t>
            </w:r>
          </w:p>
          <w:p w14:paraId="4D7950F5" w14:textId="25C0F937" w:rsidR="006F6C74" w:rsidRPr="00823087" w:rsidRDefault="002774E3" w:rsidP="00841831">
            <w:pPr>
              <w:rPr>
                <w:rFonts w:cstheme="minorHAnsi"/>
              </w:rPr>
            </w:pPr>
            <w:r w:rsidRPr="000C44A0">
              <w:rPr>
                <w:lang w:val="en-GB"/>
              </w:rPr>
              <w:t>With the changing donor landscape</w:t>
            </w:r>
            <w:r w:rsidR="00D2375A">
              <w:rPr>
                <w:lang w:val="en-GB"/>
              </w:rPr>
              <w:t>, including a significant ODA decline to the region</w:t>
            </w:r>
            <w:r w:rsidRPr="000C44A0">
              <w:rPr>
                <w:lang w:val="en-GB"/>
              </w:rPr>
              <w:t>, the biggest risk for UNDP to deliver development results at speed and scale in this new context resides in its ability to leverage resources for the new approach.</w:t>
            </w:r>
          </w:p>
        </w:tc>
        <w:tc>
          <w:tcPr>
            <w:tcW w:w="5850" w:type="dxa"/>
          </w:tcPr>
          <w:p w14:paraId="4223AB42" w14:textId="08ECB5D1" w:rsidR="006F6C74" w:rsidRPr="002774E3" w:rsidRDefault="002774E3" w:rsidP="002774E3">
            <w:pPr>
              <w:jc w:val="both"/>
              <w:rPr>
                <w:rFonts w:cstheme="minorHAnsi"/>
              </w:rPr>
            </w:pPr>
            <w:r w:rsidRPr="000C44A0">
              <w:t xml:space="preserve">UNDP will manage this risk by seeking to diversify its strategic partnerships, targeting new development financing from IFIs, business and non-government sector, and applying innovative programming instruments. If funding does not materialize in full, </w:t>
            </w:r>
            <w:proofErr w:type="spellStart"/>
            <w:r w:rsidRPr="000C44A0">
              <w:t>programme</w:t>
            </w:r>
            <w:proofErr w:type="spellEnd"/>
            <w:r w:rsidRPr="000C44A0">
              <w:t xml:space="preserve"> targets and interventions will be revised by UNDP and the government to meet resource requirements and manage related risks</w:t>
            </w:r>
            <w:r w:rsidRPr="002774E3">
              <w:rPr>
                <w:lang w:val="en-GB"/>
              </w:rPr>
              <w:t>.</w:t>
            </w:r>
          </w:p>
        </w:tc>
      </w:tr>
      <w:tr w:rsidR="006F6C74" w:rsidRPr="00823087" w14:paraId="422B01FB" w14:textId="77777777" w:rsidTr="00D2375A">
        <w:tc>
          <w:tcPr>
            <w:tcW w:w="4271" w:type="dxa"/>
          </w:tcPr>
          <w:p w14:paraId="2AF0CD45" w14:textId="77777777" w:rsidR="006F6C74" w:rsidRDefault="006F6C74" w:rsidP="00841831">
            <w:pPr>
              <w:rPr>
                <w:rFonts w:cstheme="minorHAnsi"/>
              </w:rPr>
            </w:pPr>
            <w:r>
              <w:rPr>
                <w:rFonts w:cstheme="minorHAnsi"/>
              </w:rPr>
              <w:t>Comms risk:</w:t>
            </w:r>
          </w:p>
          <w:p w14:paraId="72FFAC00" w14:textId="77777777" w:rsidR="006F6C74" w:rsidRDefault="006F6C74" w:rsidP="00841831">
            <w:pPr>
              <w:rPr>
                <w:rFonts w:cstheme="minorHAnsi"/>
              </w:rPr>
            </w:pPr>
          </w:p>
          <w:p w14:paraId="3CCCD11E" w14:textId="77258240" w:rsidR="006F6C74" w:rsidRPr="00823087" w:rsidRDefault="006F6C74" w:rsidP="00D2375A">
            <w:pPr>
              <w:rPr>
                <w:rFonts w:cstheme="minorHAnsi"/>
              </w:rPr>
            </w:pPr>
            <w:r>
              <w:rPr>
                <w:rFonts w:cstheme="minorHAnsi"/>
              </w:rPr>
              <w:t>Blocking the i</w:t>
            </w:r>
            <w:r w:rsidRPr="00823087">
              <w:rPr>
                <w:rFonts w:cstheme="minorHAnsi"/>
              </w:rPr>
              <w:t>nternet</w:t>
            </w:r>
            <w:r>
              <w:rPr>
                <w:rFonts w:cstheme="minorHAnsi"/>
              </w:rPr>
              <w:t xml:space="preserve"> access to </w:t>
            </w:r>
            <w:r w:rsidRPr="00823087">
              <w:rPr>
                <w:rFonts w:cstheme="minorHAnsi"/>
              </w:rPr>
              <w:t>websites, social media platforms and messaging services</w:t>
            </w:r>
            <w:r>
              <w:rPr>
                <w:rFonts w:cstheme="minorHAnsi"/>
              </w:rPr>
              <w:t>.</w:t>
            </w:r>
            <w:r w:rsidRPr="00823087">
              <w:rPr>
                <w:rFonts w:cstheme="minorHAnsi"/>
              </w:rPr>
              <w:t xml:space="preserve"> </w:t>
            </w:r>
          </w:p>
        </w:tc>
        <w:tc>
          <w:tcPr>
            <w:tcW w:w="5850" w:type="dxa"/>
          </w:tcPr>
          <w:p w14:paraId="187F528E" w14:textId="77777777" w:rsidR="006F6C74" w:rsidRPr="00823087" w:rsidRDefault="006F6C74" w:rsidP="00841831">
            <w:pPr>
              <w:pStyle w:val="ListParagraph"/>
              <w:ind w:left="461"/>
              <w:jc w:val="both"/>
              <w:rPr>
                <w:rFonts w:cstheme="minorHAnsi"/>
              </w:rPr>
            </w:pPr>
          </w:p>
          <w:p w14:paraId="678EBF37" w14:textId="77777777" w:rsidR="006F6C74" w:rsidRDefault="006F6C74" w:rsidP="00841831">
            <w:pPr>
              <w:jc w:val="both"/>
              <w:rPr>
                <w:rFonts w:cstheme="minorHAnsi"/>
              </w:rPr>
            </w:pPr>
          </w:p>
          <w:p w14:paraId="6A4A9292" w14:textId="77777777" w:rsidR="006F6C74" w:rsidRPr="003C6B24" w:rsidRDefault="006F6C74" w:rsidP="00841831">
            <w:pPr>
              <w:jc w:val="both"/>
              <w:rPr>
                <w:rFonts w:cstheme="minorHAnsi"/>
              </w:rPr>
            </w:pPr>
            <w:r w:rsidRPr="003C6B24">
              <w:rPr>
                <w:rFonts w:cstheme="minorHAnsi"/>
              </w:rPr>
              <w:t xml:space="preserve">Diversifying the channels of communication targeting the key audiences </w:t>
            </w:r>
          </w:p>
          <w:p w14:paraId="10DB251A" w14:textId="77777777" w:rsidR="006F6C74" w:rsidRPr="00823087" w:rsidRDefault="006F6C74" w:rsidP="00841831">
            <w:pPr>
              <w:pStyle w:val="ListParagraph"/>
              <w:ind w:left="461"/>
              <w:jc w:val="both"/>
              <w:rPr>
                <w:rFonts w:cstheme="minorHAnsi"/>
              </w:rPr>
            </w:pPr>
          </w:p>
        </w:tc>
      </w:tr>
    </w:tbl>
    <w:p w14:paraId="599D2A70" w14:textId="77777777" w:rsidR="00D2375A" w:rsidRDefault="00D2375A" w:rsidP="00E246F5">
      <w:pPr>
        <w:spacing w:line="240" w:lineRule="auto"/>
        <w:jc w:val="both"/>
        <w:rPr>
          <w:rFonts w:cstheme="minorHAnsi"/>
          <w:i/>
          <w:iCs/>
        </w:rPr>
      </w:pPr>
    </w:p>
    <w:p w14:paraId="69DEBAC2" w14:textId="2219FA1F" w:rsidR="006F6C74" w:rsidRPr="00D2375A" w:rsidRDefault="006F6C74" w:rsidP="00D2375A">
      <w:pPr>
        <w:spacing w:after="0" w:line="240" w:lineRule="auto"/>
        <w:jc w:val="both"/>
        <w:rPr>
          <w:rFonts w:cstheme="minorHAnsi"/>
          <w:i/>
          <w:iCs/>
          <w:u w:val="single"/>
        </w:rPr>
      </w:pPr>
      <w:r w:rsidRPr="00D2375A">
        <w:rPr>
          <w:rFonts w:cstheme="minorHAnsi"/>
          <w:i/>
          <w:iCs/>
          <w:u w:val="single"/>
        </w:rPr>
        <w:lastRenderedPageBreak/>
        <w:t>Performance indicators:</w:t>
      </w:r>
    </w:p>
    <w:p w14:paraId="20AF97B8" w14:textId="446AFE5A" w:rsidR="006F6C74" w:rsidRDefault="001F40A1" w:rsidP="008370DD">
      <w:pPr>
        <w:pStyle w:val="ListParagraph"/>
        <w:numPr>
          <w:ilvl w:val="0"/>
          <w:numId w:val="3"/>
        </w:numPr>
        <w:spacing w:line="240" w:lineRule="auto"/>
        <w:jc w:val="both"/>
        <w:rPr>
          <w:rFonts w:cstheme="minorHAnsi"/>
        </w:rPr>
      </w:pPr>
      <w:r>
        <w:rPr>
          <w:rFonts w:cstheme="minorHAnsi"/>
        </w:rPr>
        <w:t xml:space="preserve">Target RM </w:t>
      </w:r>
    </w:p>
    <w:p w14:paraId="57AC9544" w14:textId="2D59DAFD" w:rsidR="00E246F5" w:rsidRPr="00823087" w:rsidRDefault="00E246F5" w:rsidP="008370DD">
      <w:pPr>
        <w:pStyle w:val="ListParagraph"/>
        <w:numPr>
          <w:ilvl w:val="0"/>
          <w:numId w:val="3"/>
        </w:numPr>
        <w:spacing w:line="240" w:lineRule="auto"/>
        <w:jc w:val="both"/>
        <w:rPr>
          <w:rFonts w:cstheme="minorHAnsi"/>
        </w:rPr>
      </w:pPr>
      <w:r>
        <w:rPr>
          <w:rFonts w:cstheme="minorHAnsi"/>
        </w:rPr>
        <w:t xml:space="preserve">Existence of a diversified portfolio of resources </w:t>
      </w:r>
    </w:p>
    <w:p w14:paraId="5DCA77F6" w14:textId="472BA7DC" w:rsidR="00D2375A" w:rsidRDefault="00D2375A" w:rsidP="00D2375A">
      <w:pPr>
        <w:pStyle w:val="ListParagraph"/>
        <w:numPr>
          <w:ilvl w:val="0"/>
          <w:numId w:val="3"/>
        </w:numPr>
        <w:spacing w:line="240" w:lineRule="auto"/>
        <w:jc w:val="both"/>
        <w:rPr>
          <w:rFonts w:cstheme="minorHAnsi"/>
        </w:rPr>
      </w:pPr>
      <w:r>
        <w:rPr>
          <w:rFonts w:cstheme="minorHAnsi"/>
        </w:rPr>
        <w:t>Number and level of advocacy strategic engagement conducted jointly with key development partners positioning UNDP as a though leader and convener</w:t>
      </w:r>
    </w:p>
    <w:p w14:paraId="70D376B0" w14:textId="7A44512D" w:rsidR="00D2375A" w:rsidRPr="00D2375A" w:rsidRDefault="00D2375A" w:rsidP="00D2375A">
      <w:pPr>
        <w:pStyle w:val="ListParagraph"/>
        <w:numPr>
          <w:ilvl w:val="0"/>
          <w:numId w:val="3"/>
        </w:numPr>
        <w:spacing w:line="240" w:lineRule="auto"/>
        <w:jc w:val="both"/>
        <w:rPr>
          <w:rFonts w:cstheme="minorHAnsi"/>
        </w:rPr>
      </w:pPr>
      <w:r>
        <w:rPr>
          <w:rFonts w:cstheme="minorHAnsi"/>
        </w:rPr>
        <w:t xml:space="preserve">Number of high-level events organized with the Government </w:t>
      </w:r>
    </w:p>
    <w:p w14:paraId="0B5C2F42" w14:textId="3648C52D" w:rsidR="006F6C74" w:rsidRPr="00823087" w:rsidRDefault="006F6C74" w:rsidP="008370DD">
      <w:pPr>
        <w:pStyle w:val="ListParagraph"/>
        <w:numPr>
          <w:ilvl w:val="0"/>
          <w:numId w:val="3"/>
        </w:numPr>
        <w:spacing w:line="240" w:lineRule="auto"/>
        <w:jc w:val="both"/>
        <w:rPr>
          <w:rFonts w:cstheme="minorHAnsi"/>
        </w:rPr>
      </w:pPr>
      <w:r w:rsidRPr="00823087">
        <w:rPr>
          <w:rFonts w:cstheme="minorHAnsi"/>
        </w:rPr>
        <w:t xml:space="preserve">Presence in the media (number and quality of the media stories, number of established partnerships with media for </w:t>
      </w:r>
      <w:proofErr w:type="gramStart"/>
      <w:r w:rsidRPr="00823087">
        <w:rPr>
          <w:rFonts w:cstheme="minorHAnsi"/>
        </w:rPr>
        <w:t>particular campaigns</w:t>
      </w:r>
      <w:proofErr w:type="gramEnd"/>
      <w:r w:rsidRPr="00823087">
        <w:rPr>
          <w:rFonts w:cstheme="minorHAnsi"/>
        </w:rPr>
        <w:t xml:space="preserve">, advocacy initiatives) </w:t>
      </w:r>
    </w:p>
    <w:p w14:paraId="59C2EE0E" w14:textId="77777777" w:rsidR="00D2375A" w:rsidRPr="00823087" w:rsidRDefault="00D2375A" w:rsidP="00D2375A">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000000"/>
        </w:rPr>
      </w:pPr>
      <w:r w:rsidRPr="00823087">
        <w:rPr>
          <w:rFonts w:cstheme="minorHAnsi"/>
          <w:color w:val="000000"/>
        </w:rPr>
        <w:t>Number of high-level advocacy events around key thematic areas covered by key national media;</w:t>
      </w:r>
    </w:p>
    <w:p w14:paraId="6A8DC067" w14:textId="69270512" w:rsidR="006F6C74" w:rsidRPr="00B27D66" w:rsidRDefault="006F6C74" w:rsidP="008370DD">
      <w:pPr>
        <w:pStyle w:val="ListParagraph"/>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B27D66">
        <w:rPr>
          <w:rFonts w:cstheme="minorHAnsi"/>
          <w:color w:val="000000"/>
        </w:rPr>
        <w:t xml:space="preserve">Number of </w:t>
      </w:r>
      <w:r>
        <w:rPr>
          <w:rFonts w:cstheme="minorHAnsi"/>
          <w:color w:val="000000"/>
        </w:rPr>
        <w:t xml:space="preserve">human-interest stories indicating tangible impacts of UNDP interventions </w:t>
      </w:r>
    </w:p>
    <w:p w14:paraId="5B1B2FEB" w14:textId="77777777" w:rsidR="006F6C74" w:rsidRPr="00823087" w:rsidRDefault="006F6C74" w:rsidP="008370DD">
      <w:pPr>
        <w:pStyle w:val="ListParagraph"/>
        <w:numPr>
          <w:ilvl w:val="0"/>
          <w:numId w:val="3"/>
        </w:numPr>
        <w:spacing w:line="240" w:lineRule="auto"/>
        <w:jc w:val="both"/>
        <w:rPr>
          <w:rFonts w:cstheme="minorHAnsi"/>
        </w:rPr>
      </w:pPr>
      <w:r w:rsidRPr="00823087">
        <w:rPr>
          <w:rFonts w:cstheme="minorHAnsi"/>
        </w:rPr>
        <w:t>Social media outreach (organic growth in followers, outreach and engagement indicators)</w:t>
      </w:r>
    </w:p>
    <w:p w14:paraId="3D0A37EB" w14:textId="77777777" w:rsidR="006F6C74" w:rsidRPr="00823087" w:rsidRDefault="006F6C74" w:rsidP="008370DD">
      <w:pPr>
        <w:pStyle w:val="ListParagraph"/>
        <w:numPr>
          <w:ilvl w:val="0"/>
          <w:numId w:val="3"/>
        </w:numPr>
        <w:spacing w:line="240" w:lineRule="auto"/>
        <w:jc w:val="both"/>
        <w:rPr>
          <w:rFonts w:cstheme="minorHAnsi"/>
        </w:rPr>
      </w:pPr>
      <w:r w:rsidRPr="00823087">
        <w:rPr>
          <w:rFonts w:cstheme="minorHAnsi"/>
        </w:rPr>
        <w:t>Number of communications activities implemented with the direct reach to the target audiences;</w:t>
      </w:r>
    </w:p>
    <w:p w14:paraId="4C0FFB47" w14:textId="77777777" w:rsidR="006F6C74" w:rsidRDefault="006F6C74" w:rsidP="008370DD">
      <w:pPr>
        <w:pStyle w:val="ListParagraph"/>
        <w:numPr>
          <w:ilvl w:val="0"/>
          <w:numId w:val="3"/>
        </w:numPr>
        <w:spacing w:line="240" w:lineRule="auto"/>
        <w:jc w:val="both"/>
        <w:rPr>
          <w:rFonts w:cstheme="minorHAnsi"/>
        </w:rPr>
      </w:pPr>
      <w:r w:rsidRPr="00823087">
        <w:rPr>
          <w:rFonts w:cstheme="minorHAnsi"/>
        </w:rPr>
        <w:t>Number of targeted events</w:t>
      </w:r>
    </w:p>
    <w:p w14:paraId="1C27A285" w14:textId="77777777" w:rsidR="006F6C74" w:rsidRPr="00823087" w:rsidRDefault="006F6C74" w:rsidP="008370DD">
      <w:pPr>
        <w:pStyle w:val="ListParagraph"/>
        <w:numPr>
          <w:ilvl w:val="0"/>
          <w:numId w:val="3"/>
        </w:numPr>
        <w:spacing w:line="240" w:lineRule="auto"/>
        <w:jc w:val="both"/>
        <w:rPr>
          <w:rFonts w:cstheme="minorHAnsi"/>
        </w:rPr>
      </w:pPr>
      <w:r>
        <w:rPr>
          <w:rFonts w:cstheme="minorHAnsi"/>
        </w:rPr>
        <w:t>Number of advocacy campaigns and outreach materials</w:t>
      </w:r>
      <w:r w:rsidRPr="00823087">
        <w:rPr>
          <w:rFonts w:cstheme="minorHAnsi"/>
        </w:rPr>
        <w:t xml:space="preserve">; </w:t>
      </w:r>
    </w:p>
    <w:p w14:paraId="379285FC" w14:textId="77777777" w:rsidR="006F6C74" w:rsidRPr="00823087" w:rsidRDefault="006F6C74" w:rsidP="008370DD">
      <w:pPr>
        <w:pStyle w:val="ListParagraph"/>
        <w:widowControl w:val="0"/>
        <w:numPr>
          <w:ilvl w:val="0"/>
          <w:numId w:val="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000000"/>
        </w:rPr>
      </w:pPr>
      <w:r w:rsidRPr="00823087">
        <w:rPr>
          <w:rFonts w:cstheme="minorHAnsi"/>
          <w:color w:val="000000"/>
        </w:rPr>
        <w:t xml:space="preserve">Number of </w:t>
      </w:r>
      <w:proofErr w:type="spellStart"/>
      <w:r w:rsidRPr="00823087">
        <w:rPr>
          <w:rFonts w:cstheme="minorHAnsi"/>
          <w:color w:val="000000"/>
        </w:rPr>
        <w:t>programme</w:t>
      </w:r>
      <w:proofErr w:type="spellEnd"/>
      <w:r w:rsidRPr="00823087">
        <w:rPr>
          <w:rFonts w:cstheme="minorHAnsi"/>
          <w:color w:val="000000"/>
        </w:rPr>
        <w:t>-related publications (research studies, manuals, knowledge products, short videos, success stories etc.) produced and disseminated, that include reference to donor support (in line with donors’ visibility policy);</w:t>
      </w:r>
    </w:p>
    <w:p w14:paraId="299BDA25" w14:textId="77777777" w:rsidR="006F6C74" w:rsidRPr="00823087" w:rsidRDefault="006F6C74" w:rsidP="008370DD">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000000"/>
        </w:rPr>
      </w:pPr>
      <w:r w:rsidRPr="00823087">
        <w:rPr>
          <w:rFonts w:cstheme="minorHAnsi"/>
          <w:color w:val="000000"/>
        </w:rPr>
        <w:t>Number of media events (press breakfast/brunch, press conferences, thematic interviews with UNDP senior management/</w:t>
      </w:r>
      <w:proofErr w:type="spellStart"/>
      <w:r w:rsidRPr="00823087">
        <w:rPr>
          <w:rFonts w:cstheme="minorHAnsi"/>
          <w:color w:val="000000"/>
        </w:rPr>
        <w:t>programme</w:t>
      </w:r>
      <w:proofErr w:type="spellEnd"/>
      <w:r w:rsidRPr="00823087">
        <w:rPr>
          <w:rFonts w:cstheme="minorHAnsi"/>
          <w:color w:val="000000"/>
        </w:rPr>
        <w:t xml:space="preserve"> staff and other media opportunities); </w:t>
      </w:r>
    </w:p>
    <w:p w14:paraId="47860251" w14:textId="7ED7EC10" w:rsidR="002B6528" w:rsidRPr="00781396" w:rsidRDefault="002B6528" w:rsidP="00D40D68">
      <w:pPr>
        <w:spacing w:line="240" w:lineRule="auto"/>
        <w:ind w:left="360"/>
        <w:jc w:val="both"/>
        <w:rPr>
          <w:rFonts w:cstheme="minorHAnsi"/>
        </w:rPr>
      </w:pPr>
    </w:p>
    <w:sectPr w:rsidR="002B6528" w:rsidRPr="00781396" w:rsidSect="00D2375A">
      <w:footerReference w:type="default" r:id="rId12"/>
      <w:pgSz w:w="11906" w:h="16838"/>
      <w:pgMar w:top="1134" w:right="851" w:bottom="810" w:left="1440" w:header="709"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5EC5" w14:textId="77777777" w:rsidR="002D3E28" w:rsidRDefault="002D3E28" w:rsidP="000E3296">
      <w:pPr>
        <w:spacing w:after="0" w:line="240" w:lineRule="auto"/>
      </w:pPr>
      <w:r>
        <w:separator/>
      </w:r>
    </w:p>
  </w:endnote>
  <w:endnote w:type="continuationSeparator" w:id="0">
    <w:p w14:paraId="61C6052F" w14:textId="77777777" w:rsidR="002D3E28" w:rsidRDefault="002D3E28" w:rsidP="000E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350538"/>
      <w:docPartObj>
        <w:docPartGallery w:val="Page Numbers (Bottom of Page)"/>
        <w:docPartUnique/>
      </w:docPartObj>
    </w:sdtPr>
    <w:sdtEndPr>
      <w:rPr>
        <w:noProof/>
      </w:rPr>
    </w:sdtEndPr>
    <w:sdtContent>
      <w:p w14:paraId="6BA09B88" w14:textId="2338E229" w:rsidR="00D2375A" w:rsidRDefault="00D237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0D6FB9" w14:textId="77777777" w:rsidR="00D2375A" w:rsidRDefault="00D2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EF69" w14:textId="77777777" w:rsidR="002D3E28" w:rsidRDefault="002D3E28" w:rsidP="000E3296">
      <w:pPr>
        <w:spacing w:after="0" w:line="240" w:lineRule="auto"/>
      </w:pPr>
      <w:r>
        <w:separator/>
      </w:r>
    </w:p>
  </w:footnote>
  <w:footnote w:type="continuationSeparator" w:id="0">
    <w:p w14:paraId="394E4DA5" w14:textId="77777777" w:rsidR="002D3E28" w:rsidRDefault="002D3E28" w:rsidP="000E3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B5D"/>
    <w:multiLevelType w:val="hybridMultilevel"/>
    <w:tmpl w:val="FF308ADE"/>
    <w:lvl w:ilvl="0" w:tplc="43B849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3597"/>
    <w:multiLevelType w:val="hybridMultilevel"/>
    <w:tmpl w:val="5142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0854"/>
    <w:multiLevelType w:val="hybridMultilevel"/>
    <w:tmpl w:val="583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D557E"/>
    <w:multiLevelType w:val="hybridMultilevel"/>
    <w:tmpl w:val="02C6E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77EF0"/>
    <w:multiLevelType w:val="hybridMultilevel"/>
    <w:tmpl w:val="0E24DCDC"/>
    <w:lvl w:ilvl="0" w:tplc="D01A0A32">
      <w:start w:val="20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C00AB"/>
    <w:multiLevelType w:val="hybridMultilevel"/>
    <w:tmpl w:val="3AA42C34"/>
    <w:lvl w:ilvl="0" w:tplc="0409000F">
      <w:start w:val="1"/>
      <w:numFmt w:val="decimal"/>
      <w:lvlText w:val="%1."/>
      <w:lvlJc w:val="left"/>
      <w:pPr>
        <w:ind w:left="720" w:hanging="360"/>
      </w:pPr>
    </w:lvl>
    <w:lvl w:ilvl="1" w:tplc="04090019">
      <w:start w:val="1"/>
      <w:numFmt w:val="lowerLetter"/>
      <w:lvlText w:val="%2."/>
      <w:lvlJc w:val="left"/>
      <w:pPr>
        <w:ind w:left="1080" w:hanging="360"/>
      </w:pPr>
      <w:rPr>
        <w:rFonts w:hint="default"/>
      </w:rPr>
    </w:lvl>
    <w:lvl w:ilvl="2" w:tplc="3F24C474">
      <w:start w:val="3"/>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D503E"/>
    <w:multiLevelType w:val="hybridMultilevel"/>
    <w:tmpl w:val="1A1890FC"/>
    <w:lvl w:ilvl="0" w:tplc="04090001">
      <w:start w:val="3"/>
      <w:numFmt w:val="bullet"/>
      <w:lvlText w:val=""/>
      <w:lvlJc w:val="left"/>
      <w:pPr>
        <w:ind w:left="720" w:hanging="360"/>
      </w:pPr>
      <w:rPr>
        <w:rFonts w:ascii="Symbol" w:eastAsia="Times New Roman" w:hAnsi="Symbol" w:cs="Times New Roman" w:hint="default"/>
      </w:rPr>
    </w:lvl>
    <w:lvl w:ilvl="1" w:tplc="A3FEF1CA">
      <w:numFmt w:val="bullet"/>
      <w:lvlText w:val="-"/>
      <w:lvlJc w:val="left"/>
      <w:pPr>
        <w:ind w:left="1780" w:hanging="70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17641"/>
    <w:multiLevelType w:val="hybridMultilevel"/>
    <w:tmpl w:val="EF66C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9907C4"/>
    <w:multiLevelType w:val="hybridMultilevel"/>
    <w:tmpl w:val="137CD5AE"/>
    <w:lvl w:ilvl="0" w:tplc="FB8276A8">
      <w:start w:val="1"/>
      <w:numFmt w:val="decimal"/>
      <w:lvlText w:val="%1."/>
      <w:lvlJc w:val="left"/>
      <w:pPr>
        <w:ind w:left="502"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85F02"/>
    <w:multiLevelType w:val="hybridMultilevel"/>
    <w:tmpl w:val="54ACBF72"/>
    <w:lvl w:ilvl="0" w:tplc="C2BC1C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231C6"/>
    <w:multiLevelType w:val="hybridMultilevel"/>
    <w:tmpl w:val="16BEFCA2"/>
    <w:lvl w:ilvl="0" w:tplc="E1C855F6">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6"/>
  </w:num>
  <w:num w:numId="6">
    <w:abstractNumId w:val="0"/>
  </w:num>
  <w:num w:numId="7">
    <w:abstractNumId w:val="10"/>
  </w:num>
  <w:num w:numId="8">
    <w:abstractNumId w:val="3"/>
  </w:num>
  <w:num w:numId="9">
    <w:abstractNumId w:val="2"/>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49"/>
    <w:rsid w:val="00001417"/>
    <w:rsid w:val="00023FE7"/>
    <w:rsid w:val="000337FF"/>
    <w:rsid w:val="00037127"/>
    <w:rsid w:val="00041001"/>
    <w:rsid w:val="00054646"/>
    <w:rsid w:val="00074A65"/>
    <w:rsid w:val="00075786"/>
    <w:rsid w:val="00082C14"/>
    <w:rsid w:val="00085CE6"/>
    <w:rsid w:val="0009553A"/>
    <w:rsid w:val="000A0CF7"/>
    <w:rsid w:val="000A0EAE"/>
    <w:rsid w:val="000C2357"/>
    <w:rsid w:val="000C2485"/>
    <w:rsid w:val="000C3107"/>
    <w:rsid w:val="000E3296"/>
    <w:rsid w:val="000E3C4D"/>
    <w:rsid w:val="000E5649"/>
    <w:rsid w:val="000F6EC5"/>
    <w:rsid w:val="001100E4"/>
    <w:rsid w:val="0012797F"/>
    <w:rsid w:val="0014756C"/>
    <w:rsid w:val="00164BF0"/>
    <w:rsid w:val="00170E2B"/>
    <w:rsid w:val="0017232A"/>
    <w:rsid w:val="00174952"/>
    <w:rsid w:val="001816BB"/>
    <w:rsid w:val="001911A6"/>
    <w:rsid w:val="00191608"/>
    <w:rsid w:val="00197496"/>
    <w:rsid w:val="001A203B"/>
    <w:rsid w:val="001A7F09"/>
    <w:rsid w:val="001B71F3"/>
    <w:rsid w:val="001C16AD"/>
    <w:rsid w:val="001F40A1"/>
    <w:rsid w:val="00227199"/>
    <w:rsid w:val="00235371"/>
    <w:rsid w:val="00235483"/>
    <w:rsid w:val="00243805"/>
    <w:rsid w:val="00243AA5"/>
    <w:rsid w:val="00246976"/>
    <w:rsid w:val="00251F3D"/>
    <w:rsid w:val="002579DA"/>
    <w:rsid w:val="0027638C"/>
    <w:rsid w:val="002774E3"/>
    <w:rsid w:val="00291BA7"/>
    <w:rsid w:val="0029338D"/>
    <w:rsid w:val="002A6F64"/>
    <w:rsid w:val="002B2384"/>
    <w:rsid w:val="002B6528"/>
    <w:rsid w:val="002D3E28"/>
    <w:rsid w:val="002D41BD"/>
    <w:rsid w:val="002D679E"/>
    <w:rsid w:val="002F66AB"/>
    <w:rsid w:val="003012AA"/>
    <w:rsid w:val="0030290A"/>
    <w:rsid w:val="00302B1D"/>
    <w:rsid w:val="00302CE9"/>
    <w:rsid w:val="00305FAC"/>
    <w:rsid w:val="00307DBE"/>
    <w:rsid w:val="00311E7D"/>
    <w:rsid w:val="003333DB"/>
    <w:rsid w:val="00335DB8"/>
    <w:rsid w:val="003361BD"/>
    <w:rsid w:val="003429D1"/>
    <w:rsid w:val="00345614"/>
    <w:rsid w:val="00352BE5"/>
    <w:rsid w:val="00357CA9"/>
    <w:rsid w:val="00362FDE"/>
    <w:rsid w:val="00364BD0"/>
    <w:rsid w:val="00371C41"/>
    <w:rsid w:val="00384F67"/>
    <w:rsid w:val="003A0669"/>
    <w:rsid w:val="003B13D9"/>
    <w:rsid w:val="003B1DDA"/>
    <w:rsid w:val="003C6B24"/>
    <w:rsid w:val="003D3D50"/>
    <w:rsid w:val="003E257A"/>
    <w:rsid w:val="003F1755"/>
    <w:rsid w:val="003F48A6"/>
    <w:rsid w:val="003F5F44"/>
    <w:rsid w:val="00404BB1"/>
    <w:rsid w:val="004112B1"/>
    <w:rsid w:val="00412398"/>
    <w:rsid w:val="00417785"/>
    <w:rsid w:val="00417DCA"/>
    <w:rsid w:val="00420D41"/>
    <w:rsid w:val="00435F75"/>
    <w:rsid w:val="0044271D"/>
    <w:rsid w:val="0045287E"/>
    <w:rsid w:val="00456E4F"/>
    <w:rsid w:val="0046102D"/>
    <w:rsid w:val="004626E2"/>
    <w:rsid w:val="004762E7"/>
    <w:rsid w:val="00481C7C"/>
    <w:rsid w:val="00486683"/>
    <w:rsid w:val="00495978"/>
    <w:rsid w:val="004A3972"/>
    <w:rsid w:val="004A49B6"/>
    <w:rsid w:val="004B0C0D"/>
    <w:rsid w:val="004B18F1"/>
    <w:rsid w:val="004C28EF"/>
    <w:rsid w:val="004C2FEA"/>
    <w:rsid w:val="004C410A"/>
    <w:rsid w:val="004E1A15"/>
    <w:rsid w:val="004E2B50"/>
    <w:rsid w:val="004F4509"/>
    <w:rsid w:val="004F4E19"/>
    <w:rsid w:val="0050270C"/>
    <w:rsid w:val="00503AAA"/>
    <w:rsid w:val="00511707"/>
    <w:rsid w:val="00513633"/>
    <w:rsid w:val="00523083"/>
    <w:rsid w:val="005279B3"/>
    <w:rsid w:val="00530702"/>
    <w:rsid w:val="00540A2B"/>
    <w:rsid w:val="00550019"/>
    <w:rsid w:val="0055130B"/>
    <w:rsid w:val="00554D16"/>
    <w:rsid w:val="0055773E"/>
    <w:rsid w:val="00563CFF"/>
    <w:rsid w:val="00580CDE"/>
    <w:rsid w:val="00582B8B"/>
    <w:rsid w:val="005836C4"/>
    <w:rsid w:val="005901E2"/>
    <w:rsid w:val="005929BC"/>
    <w:rsid w:val="00592DF1"/>
    <w:rsid w:val="005A0651"/>
    <w:rsid w:val="005A27A4"/>
    <w:rsid w:val="005A33EE"/>
    <w:rsid w:val="005A5F81"/>
    <w:rsid w:val="005B087D"/>
    <w:rsid w:val="005C0684"/>
    <w:rsid w:val="005D12D5"/>
    <w:rsid w:val="005E05F8"/>
    <w:rsid w:val="005E27B3"/>
    <w:rsid w:val="005F5ADD"/>
    <w:rsid w:val="00601694"/>
    <w:rsid w:val="00614C92"/>
    <w:rsid w:val="00627BD8"/>
    <w:rsid w:val="006375F9"/>
    <w:rsid w:val="006431F9"/>
    <w:rsid w:val="00664545"/>
    <w:rsid w:val="00670934"/>
    <w:rsid w:val="00671885"/>
    <w:rsid w:val="00672FA5"/>
    <w:rsid w:val="006754F3"/>
    <w:rsid w:val="00680B1C"/>
    <w:rsid w:val="006861CA"/>
    <w:rsid w:val="0069454D"/>
    <w:rsid w:val="006B0B12"/>
    <w:rsid w:val="006B47AC"/>
    <w:rsid w:val="006C4481"/>
    <w:rsid w:val="006E1A07"/>
    <w:rsid w:val="006F6C74"/>
    <w:rsid w:val="00702BDF"/>
    <w:rsid w:val="0071232B"/>
    <w:rsid w:val="00712A15"/>
    <w:rsid w:val="00724AB4"/>
    <w:rsid w:val="00730FAB"/>
    <w:rsid w:val="00741701"/>
    <w:rsid w:val="007453D9"/>
    <w:rsid w:val="00761826"/>
    <w:rsid w:val="00770A27"/>
    <w:rsid w:val="007763E3"/>
    <w:rsid w:val="00781396"/>
    <w:rsid w:val="00783A1B"/>
    <w:rsid w:val="00787F9B"/>
    <w:rsid w:val="00793A4C"/>
    <w:rsid w:val="007B3E6E"/>
    <w:rsid w:val="007C2BBD"/>
    <w:rsid w:val="007D6020"/>
    <w:rsid w:val="007D6410"/>
    <w:rsid w:val="007E2032"/>
    <w:rsid w:val="007E2972"/>
    <w:rsid w:val="007F300C"/>
    <w:rsid w:val="00810ACF"/>
    <w:rsid w:val="00823BAC"/>
    <w:rsid w:val="008370DD"/>
    <w:rsid w:val="00841831"/>
    <w:rsid w:val="008425C8"/>
    <w:rsid w:val="00845150"/>
    <w:rsid w:val="00855573"/>
    <w:rsid w:val="008664D7"/>
    <w:rsid w:val="00870E51"/>
    <w:rsid w:val="0089010E"/>
    <w:rsid w:val="0089747B"/>
    <w:rsid w:val="008A6F23"/>
    <w:rsid w:val="008C0EED"/>
    <w:rsid w:val="008C39A7"/>
    <w:rsid w:val="008C5FA4"/>
    <w:rsid w:val="008D1466"/>
    <w:rsid w:val="008D4E48"/>
    <w:rsid w:val="008E20C4"/>
    <w:rsid w:val="00917EB2"/>
    <w:rsid w:val="009244E8"/>
    <w:rsid w:val="00931F7A"/>
    <w:rsid w:val="00946E3A"/>
    <w:rsid w:val="00952955"/>
    <w:rsid w:val="009663B3"/>
    <w:rsid w:val="00977932"/>
    <w:rsid w:val="00981C77"/>
    <w:rsid w:val="00981E99"/>
    <w:rsid w:val="00983ECD"/>
    <w:rsid w:val="00987104"/>
    <w:rsid w:val="009A1140"/>
    <w:rsid w:val="009A4F25"/>
    <w:rsid w:val="009A6527"/>
    <w:rsid w:val="009B0D1E"/>
    <w:rsid w:val="009B731A"/>
    <w:rsid w:val="009B7ADF"/>
    <w:rsid w:val="009E3710"/>
    <w:rsid w:val="009E3975"/>
    <w:rsid w:val="009E56E9"/>
    <w:rsid w:val="00A00BE6"/>
    <w:rsid w:val="00A00FEB"/>
    <w:rsid w:val="00A04F47"/>
    <w:rsid w:val="00A13205"/>
    <w:rsid w:val="00A1432F"/>
    <w:rsid w:val="00A14FBA"/>
    <w:rsid w:val="00A1564F"/>
    <w:rsid w:val="00A26BAA"/>
    <w:rsid w:val="00A32200"/>
    <w:rsid w:val="00A53A3E"/>
    <w:rsid w:val="00A54CDE"/>
    <w:rsid w:val="00A601FA"/>
    <w:rsid w:val="00A7149A"/>
    <w:rsid w:val="00A96591"/>
    <w:rsid w:val="00A97760"/>
    <w:rsid w:val="00AB3C4A"/>
    <w:rsid w:val="00AE7A76"/>
    <w:rsid w:val="00B27D66"/>
    <w:rsid w:val="00B32728"/>
    <w:rsid w:val="00B617B7"/>
    <w:rsid w:val="00B62C11"/>
    <w:rsid w:val="00B62E98"/>
    <w:rsid w:val="00B65708"/>
    <w:rsid w:val="00B81D7E"/>
    <w:rsid w:val="00B84028"/>
    <w:rsid w:val="00B91134"/>
    <w:rsid w:val="00BA4335"/>
    <w:rsid w:val="00BB7979"/>
    <w:rsid w:val="00BC1354"/>
    <w:rsid w:val="00BC2603"/>
    <w:rsid w:val="00BC53B9"/>
    <w:rsid w:val="00BD2FA4"/>
    <w:rsid w:val="00BD4C8D"/>
    <w:rsid w:val="00C03448"/>
    <w:rsid w:val="00C04446"/>
    <w:rsid w:val="00C12942"/>
    <w:rsid w:val="00C135D6"/>
    <w:rsid w:val="00C13685"/>
    <w:rsid w:val="00C1466B"/>
    <w:rsid w:val="00C42A01"/>
    <w:rsid w:val="00C56093"/>
    <w:rsid w:val="00C623A5"/>
    <w:rsid w:val="00C640B8"/>
    <w:rsid w:val="00C7536F"/>
    <w:rsid w:val="00C76F26"/>
    <w:rsid w:val="00C85372"/>
    <w:rsid w:val="00C87348"/>
    <w:rsid w:val="00C90124"/>
    <w:rsid w:val="00C9069F"/>
    <w:rsid w:val="00C92692"/>
    <w:rsid w:val="00C94421"/>
    <w:rsid w:val="00CA4268"/>
    <w:rsid w:val="00CA473D"/>
    <w:rsid w:val="00CB62A9"/>
    <w:rsid w:val="00CC021D"/>
    <w:rsid w:val="00CC5BB8"/>
    <w:rsid w:val="00CE02AB"/>
    <w:rsid w:val="00CE0495"/>
    <w:rsid w:val="00CE6BC7"/>
    <w:rsid w:val="00CF1FBD"/>
    <w:rsid w:val="00D02A9B"/>
    <w:rsid w:val="00D22A32"/>
    <w:rsid w:val="00D2375A"/>
    <w:rsid w:val="00D2779E"/>
    <w:rsid w:val="00D40D68"/>
    <w:rsid w:val="00D5633E"/>
    <w:rsid w:val="00D60476"/>
    <w:rsid w:val="00D70BC9"/>
    <w:rsid w:val="00D833FB"/>
    <w:rsid w:val="00D91B1D"/>
    <w:rsid w:val="00D92142"/>
    <w:rsid w:val="00D92654"/>
    <w:rsid w:val="00DA6F66"/>
    <w:rsid w:val="00DB5602"/>
    <w:rsid w:val="00DC02CC"/>
    <w:rsid w:val="00DE097A"/>
    <w:rsid w:val="00DE4882"/>
    <w:rsid w:val="00DE548A"/>
    <w:rsid w:val="00DE7E39"/>
    <w:rsid w:val="00DF1FA5"/>
    <w:rsid w:val="00DF2663"/>
    <w:rsid w:val="00DF3339"/>
    <w:rsid w:val="00E00251"/>
    <w:rsid w:val="00E106DC"/>
    <w:rsid w:val="00E132E4"/>
    <w:rsid w:val="00E21C6C"/>
    <w:rsid w:val="00E246F5"/>
    <w:rsid w:val="00E25524"/>
    <w:rsid w:val="00E327E5"/>
    <w:rsid w:val="00E4541D"/>
    <w:rsid w:val="00E532C6"/>
    <w:rsid w:val="00E54E2B"/>
    <w:rsid w:val="00E55820"/>
    <w:rsid w:val="00E60189"/>
    <w:rsid w:val="00E70521"/>
    <w:rsid w:val="00E70D7F"/>
    <w:rsid w:val="00E71E5F"/>
    <w:rsid w:val="00E83EB8"/>
    <w:rsid w:val="00E91247"/>
    <w:rsid w:val="00EA002F"/>
    <w:rsid w:val="00EA1165"/>
    <w:rsid w:val="00EA11FE"/>
    <w:rsid w:val="00EB5457"/>
    <w:rsid w:val="00EC4861"/>
    <w:rsid w:val="00EC6BC4"/>
    <w:rsid w:val="00EE0C85"/>
    <w:rsid w:val="00EF59CC"/>
    <w:rsid w:val="00F00F3E"/>
    <w:rsid w:val="00F20411"/>
    <w:rsid w:val="00F21BBA"/>
    <w:rsid w:val="00F21EFA"/>
    <w:rsid w:val="00F23B84"/>
    <w:rsid w:val="00F26F18"/>
    <w:rsid w:val="00F32F7E"/>
    <w:rsid w:val="00F37644"/>
    <w:rsid w:val="00F538A2"/>
    <w:rsid w:val="00F75E5E"/>
    <w:rsid w:val="00F81A33"/>
    <w:rsid w:val="00F9516C"/>
    <w:rsid w:val="00F95F47"/>
    <w:rsid w:val="00FA7286"/>
    <w:rsid w:val="00FD4B27"/>
    <w:rsid w:val="00FD5BC6"/>
    <w:rsid w:val="00FD7D80"/>
    <w:rsid w:val="00FF0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43D02"/>
  <w15:chartTrackingRefBased/>
  <w15:docId w15:val="{AEA33C42-4888-49DD-855E-B8C1938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56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Bullets,L,3"/>
    <w:basedOn w:val="Normal"/>
    <w:link w:val="ListParagraphChar"/>
    <w:uiPriority w:val="34"/>
    <w:qFormat/>
    <w:rsid w:val="000E5649"/>
    <w:pPr>
      <w:ind w:left="720"/>
      <w:contextualSpacing/>
    </w:pPr>
    <w:rPr>
      <w:rFonts w:eastAsiaTheme="minorEastAsia"/>
      <w:lang w:eastAsia="ja-JP"/>
    </w:rPr>
  </w:style>
  <w:style w:type="paragraph" w:customStyle="1" w:styleId="Default">
    <w:name w:val="Default"/>
    <w:rsid w:val="00E9124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62E98"/>
    <w:rPr>
      <w:color w:val="0563C1" w:themeColor="hyperlink"/>
      <w:u w:val="single"/>
    </w:rPr>
  </w:style>
  <w:style w:type="table" w:styleId="TableGrid">
    <w:name w:val="Table Grid"/>
    <w:basedOn w:val="TableNormal"/>
    <w:uiPriority w:val="99"/>
    <w:rsid w:val="000E32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E3296"/>
    <w:pPr>
      <w:spacing w:after="0" w:line="240" w:lineRule="auto"/>
    </w:pPr>
    <w:rPr>
      <w:sz w:val="20"/>
      <w:szCs w:val="20"/>
    </w:rPr>
  </w:style>
  <w:style w:type="character" w:customStyle="1" w:styleId="FootnoteTextChar">
    <w:name w:val="Footnote Text Char"/>
    <w:basedOn w:val="DefaultParagraphFont"/>
    <w:link w:val="FootnoteText"/>
    <w:uiPriority w:val="99"/>
    <w:rsid w:val="000E3296"/>
    <w:rPr>
      <w:sz w:val="20"/>
      <w:szCs w:val="20"/>
      <w:lang w:val="en-US"/>
    </w:rPr>
  </w:style>
  <w:style w:type="character" w:styleId="FootnoteReference">
    <w:name w:val="footnote reference"/>
    <w:basedOn w:val="DefaultParagraphFont"/>
    <w:uiPriority w:val="99"/>
    <w:unhideWhenUsed/>
    <w:rsid w:val="000E3296"/>
    <w:rPr>
      <w:vertAlign w:val="superscript"/>
    </w:rPr>
  </w:style>
  <w:style w:type="paragraph" w:styleId="NormalWeb">
    <w:name w:val="Normal (Web)"/>
    <w:basedOn w:val="Normal"/>
    <w:uiPriority w:val="99"/>
    <w:unhideWhenUsed/>
    <w:rsid w:val="000E32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96"/>
    <w:rPr>
      <w:rFonts w:ascii="Segoe UI" w:hAnsi="Segoe UI" w:cs="Segoe UI"/>
      <w:sz w:val="18"/>
      <w:szCs w:val="18"/>
      <w:lang w:val="en-US"/>
    </w:rPr>
  </w:style>
  <w:style w:type="character" w:styleId="UnresolvedMention">
    <w:name w:val="Unresolved Mention"/>
    <w:basedOn w:val="DefaultParagraphFont"/>
    <w:uiPriority w:val="99"/>
    <w:semiHidden/>
    <w:unhideWhenUsed/>
    <w:rsid w:val="0089747B"/>
    <w:rPr>
      <w:color w:val="605E5C"/>
      <w:shd w:val="clear" w:color="auto" w:fill="E1DFDD"/>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89747B"/>
    <w:rPr>
      <w:rFonts w:eastAsiaTheme="minorEastAsia"/>
      <w:lang w:val="en-US" w:eastAsia="ja-JP"/>
    </w:rPr>
  </w:style>
  <w:style w:type="character" w:styleId="FollowedHyperlink">
    <w:name w:val="FollowedHyperlink"/>
    <w:basedOn w:val="DefaultParagraphFont"/>
    <w:uiPriority w:val="99"/>
    <w:semiHidden/>
    <w:unhideWhenUsed/>
    <w:rsid w:val="003F1755"/>
    <w:rPr>
      <w:color w:val="954F72" w:themeColor="followedHyperlink"/>
      <w:u w:val="single"/>
    </w:rPr>
  </w:style>
  <w:style w:type="paragraph" w:customStyle="1" w:styleId="paragraph">
    <w:name w:val="paragraph"/>
    <w:basedOn w:val="Normal"/>
    <w:rsid w:val="00540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0A2B"/>
  </w:style>
  <w:style w:type="character" w:customStyle="1" w:styleId="eop">
    <w:name w:val="eop"/>
    <w:basedOn w:val="DefaultParagraphFont"/>
    <w:rsid w:val="00540A2B"/>
  </w:style>
  <w:style w:type="character" w:customStyle="1" w:styleId="Bodytext">
    <w:name w:val="Body text_"/>
    <w:link w:val="4"/>
    <w:rsid w:val="006F6C74"/>
    <w:rPr>
      <w:spacing w:val="4"/>
      <w:sz w:val="21"/>
      <w:szCs w:val="21"/>
      <w:shd w:val="clear" w:color="auto" w:fill="FFFFFF"/>
    </w:rPr>
  </w:style>
  <w:style w:type="paragraph" w:customStyle="1" w:styleId="4">
    <w:name w:val="Основной текст4"/>
    <w:basedOn w:val="Normal"/>
    <w:link w:val="Bodytext"/>
    <w:rsid w:val="006F6C74"/>
    <w:pPr>
      <w:widowControl w:val="0"/>
      <w:shd w:val="clear" w:color="auto" w:fill="FFFFFF"/>
      <w:spacing w:after="0" w:line="278" w:lineRule="exact"/>
      <w:jc w:val="both"/>
    </w:pPr>
    <w:rPr>
      <w:spacing w:val="4"/>
      <w:sz w:val="21"/>
      <w:szCs w:val="21"/>
      <w:lang w:val="ru-RU"/>
    </w:rPr>
  </w:style>
  <w:style w:type="paragraph" w:styleId="Header">
    <w:name w:val="header"/>
    <w:basedOn w:val="Normal"/>
    <w:link w:val="HeaderChar"/>
    <w:uiPriority w:val="99"/>
    <w:unhideWhenUsed/>
    <w:rsid w:val="00D23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5A"/>
    <w:rPr>
      <w:lang w:val="en-US"/>
    </w:rPr>
  </w:style>
  <w:style w:type="paragraph" w:styleId="Footer">
    <w:name w:val="footer"/>
    <w:basedOn w:val="Normal"/>
    <w:link w:val="FooterChar"/>
    <w:uiPriority w:val="99"/>
    <w:unhideWhenUsed/>
    <w:rsid w:val="00D23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5A"/>
    <w:rPr>
      <w:lang w:val="en-US"/>
    </w:rPr>
  </w:style>
  <w:style w:type="character" w:styleId="CommentReference">
    <w:name w:val="annotation reference"/>
    <w:basedOn w:val="DefaultParagraphFont"/>
    <w:uiPriority w:val="99"/>
    <w:semiHidden/>
    <w:unhideWhenUsed/>
    <w:rsid w:val="00672FA5"/>
    <w:rPr>
      <w:sz w:val="16"/>
      <w:szCs w:val="16"/>
    </w:rPr>
  </w:style>
  <w:style w:type="paragraph" w:styleId="CommentText">
    <w:name w:val="annotation text"/>
    <w:basedOn w:val="Normal"/>
    <w:link w:val="CommentTextChar"/>
    <w:uiPriority w:val="99"/>
    <w:semiHidden/>
    <w:unhideWhenUsed/>
    <w:rsid w:val="00672FA5"/>
    <w:pPr>
      <w:spacing w:line="240" w:lineRule="auto"/>
    </w:pPr>
    <w:rPr>
      <w:sz w:val="20"/>
      <w:szCs w:val="20"/>
    </w:rPr>
  </w:style>
  <w:style w:type="character" w:customStyle="1" w:styleId="CommentTextChar">
    <w:name w:val="Comment Text Char"/>
    <w:basedOn w:val="DefaultParagraphFont"/>
    <w:link w:val="CommentText"/>
    <w:uiPriority w:val="99"/>
    <w:semiHidden/>
    <w:rsid w:val="00672FA5"/>
    <w:rPr>
      <w:sz w:val="20"/>
      <w:szCs w:val="20"/>
      <w:lang w:val="en-US"/>
    </w:rPr>
  </w:style>
  <w:style w:type="paragraph" w:styleId="CommentSubject">
    <w:name w:val="annotation subject"/>
    <w:basedOn w:val="CommentText"/>
    <w:next w:val="CommentText"/>
    <w:link w:val="CommentSubjectChar"/>
    <w:uiPriority w:val="99"/>
    <w:semiHidden/>
    <w:unhideWhenUsed/>
    <w:rsid w:val="00672FA5"/>
    <w:rPr>
      <w:b/>
      <w:bCs/>
    </w:rPr>
  </w:style>
  <w:style w:type="character" w:customStyle="1" w:styleId="CommentSubjectChar">
    <w:name w:val="Comment Subject Char"/>
    <w:basedOn w:val="CommentTextChar"/>
    <w:link w:val="CommentSubject"/>
    <w:uiPriority w:val="99"/>
    <w:semiHidden/>
    <w:rsid w:val="00672FA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9521">
      <w:bodyDiv w:val="1"/>
      <w:marLeft w:val="0"/>
      <w:marRight w:val="0"/>
      <w:marTop w:val="0"/>
      <w:marBottom w:val="0"/>
      <w:divBdr>
        <w:top w:val="none" w:sz="0" w:space="0" w:color="auto"/>
        <w:left w:val="none" w:sz="0" w:space="0" w:color="auto"/>
        <w:bottom w:val="none" w:sz="0" w:space="0" w:color="auto"/>
        <w:right w:val="none" w:sz="0" w:space="0" w:color="auto"/>
      </w:divBdr>
    </w:div>
    <w:div w:id="427234916">
      <w:bodyDiv w:val="1"/>
      <w:marLeft w:val="0"/>
      <w:marRight w:val="0"/>
      <w:marTop w:val="0"/>
      <w:marBottom w:val="0"/>
      <w:divBdr>
        <w:top w:val="none" w:sz="0" w:space="0" w:color="auto"/>
        <w:left w:val="none" w:sz="0" w:space="0" w:color="auto"/>
        <w:bottom w:val="none" w:sz="0" w:space="0" w:color="auto"/>
        <w:right w:val="none" w:sz="0" w:space="0" w:color="auto"/>
      </w:divBdr>
    </w:div>
    <w:div w:id="507596033">
      <w:bodyDiv w:val="1"/>
      <w:marLeft w:val="0"/>
      <w:marRight w:val="0"/>
      <w:marTop w:val="0"/>
      <w:marBottom w:val="0"/>
      <w:divBdr>
        <w:top w:val="none" w:sz="0" w:space="0" w:color="auto"/>
        <w:left w:val="none" w:sz="0" w:space="0" w:color="auto"/>
        <w:bottom w:val="none" w:sz="0" w:space="0" w:color="auto"/>
        <w:right w:val="none" w:sz="0" w:space="0" w:color="auto"/>
      </w:divBdr>
    </w:div>
    <w:div w:id="678389907">
      <w:bodyDiv w:val="1"/>
      <w:marLeft w:val="0"/>
      <w:marRight w:val="0"/>
      <w:marTop w:val="0"/>
      <w:marBottom w:val="0"/>
      <w:divBdr>
        <w:top w:val="none" w:sz="0" w:space="0" w:color="auto"/>
        <w:left w:val="none" w:sz="0" w:space="0" w:color="auto"/>
        <w:bottom w:val="none" w:sz="0" w:space="0" w:color="auto"/>
        <w:right w:val="none" w:sz="0" w:space="0" w:color="auto"/>
      </w:divBdr>
    </w:div>
    <w:div w:id="1227185824">
      <w:bodyDiv w:val="1"/>
      <w:marLeft w:val="0"/>
      <w:marRight w:val="0"/>
      <w:marTop w:val="0"/>
      <w:marBottom w:val="0"/>
      <w:divBdr>
        <w:top w:val="none" w:sz="0" w:space="0" w:color="auto"/>
        <w:left w:val="none" w:sz="0" w:space="0" w:color="auto"/>
        <w:bottom w:val="none" w:sz="0" w:space="0" w:color="auto"/>
        <w:right w:val="none" w:sz="0" w:space="0" w:color="auto"/>
      </w:divBdr>
    </w:div>
    <w:div w:id="1310357967">
      <w:bodyDiv w:val="1"/>
      <w:marLeft w:val="0"/>
      <w:marRight w:val="0"/>
      <w:marTop w:val="0"/>
      <w:marBottom w:val="0"/>
      <w:divBdr>
        <w:top w:val="none" w:sz="0" w:space="0" w:color="auto"/>
        <w:left w:val="none" w:sz="0" w:space="0" w:color="auto"/>
        <w:bottom w:val="none" w:sz="0" w:space="0" w:color="auto"/>
        <w:right w:val="none" w:sz="0" w:space="0" w:color="auto"/>
      </w:divBdr>
    </w:div>
    <w:div w:id="1545098926">
      <w:bodyDiv w:val="1"/>
      <w:marLeft w:val="0"/>
      <w:marRight w:val="0"/>
      <w:marTop w:val="0"/>
      <w:marBottom w:val="0"/>
      <w:divBdr>
        <w:top w:val="none" w:sz="0" w:space="0" w:color="auto"/>
        <w:left w:val="none" w:sz="0" w:space="0" w:color="auto"/>
        <w:bottom w:val="none" w:sz="0" w:space="0" w:color="auto"/>
        <w:right w:val="none" w:sz="0" w:space="0" w:color="auto"/>
      </w:divBdr>
    </w:div>
    <w:div w:id="15958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oina.munteanu\Documents\CPD\Top%20contributions%202016-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50"/>
              <a:t>Top contributions 2016-2019, </a:t>
            </a:r>
          </a:p>
          <a:p>
            <a:pPr>
              <a:defRPr/>
            </a:pPr>
            <a:r>
              <a:rPr lang="en-US" sz="1000"/>
              <a:t>Executive Snapshot</a:t>
            </a:r>
          </a:p>
        </c:rich>
      </c:tx>
      <c:layout>
        <c:manualLayout>
          <c:xMode val="edge"/>
          <c:yMode val="edge"/>
          <c:x val="9.496796771371321E-4"/>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AB5-45D2-A688-629903281E2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AB5-45D2-A688-629903281E2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AB5-45D2-A688-629903281E2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AB5-45D2-A688-629903281E2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AB5-45D2-A688-629903281E2A}"/>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AB5-45D2-A688-629903281E2A}"/>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AB5-45D2-A688-629903281E2A}"/>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AB5-45D2-A688-629903281E2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9AB5-45D2-A688-629903281E2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9AB5-45D2-A688-629903281E2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9AB5-45D2-A688-629903281E2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9AB5-45D2-A688-629903281E2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9AB5-45D2-A688-629903281E2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9AB5-45D2-A688-629903281E2A}"/>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9AB5-45D2-A688-629903281E2A}"/>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9AB5-45D2-A688-629903281E2A}"/>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Sheet2!$B$13:$B$20</c:f>
              <c:strCache>
                <c:ptCount val="8"/>
                <c:pt idx="0">
                  <c:v>UK </c:v>
                </c:pt>
                <c:pt idx="1">
                  <c:v>MPTF</c:v>
                </c:pt>
                <c:pt idx="2">
                  <c:v>Japan </c:v>
                </c:pt>
                <c:pt idx="3">
                  <c:v>Other</c:v>
                </c:pt>
                <c:pt idx="4">
                  <c:v>US</c:v>
                </c:pt>
                <c:pt idx="5">
                  <c:v>EU</c:v>
                </c:pt>
                <c:pt idx="6">
                  <c:v>Vertical Funds</c:v>
                </c:pt>
                <c:pt idx="7">
                  <c:v>Government of Uzbekistan</c:v>
                </c:pt>
              </c:strCache>
            </c:strRef>
          </c:cat>
          <c:val>
            <c:numRef>
              <c:f>Sheet2!$C$13:$C$20</c:f>
              <c:numCache>
                <c:formatCode>#,##0</c:formatCode>
                <c:ptCount val="8"/>
                <c:pt idx="0">
                  <c:v>2000000</c:v>
                </c:pt>
                <c:pt idx="1">
                  <c:v>2173000</c:v>
                </c:pt>
                <c:pt idx="2">
                  <c:v>3200000</c:v>
                </c:pt>
                <c:pt idx="3">
                  <c:v>3900000</c:v>
                </c:pt>
                <c:pt idx="4">
                  <c:v>4000000</c:v>
                </c:pt>
                <c:pt idx="5" formatCode="#,##0.00">
                  <c:v>11551777</c:v>
                </c:pt>
                <c:pt idx="6" formatCode="#,##0.00">
                  <c:v>13700000</c:v>
                </c:pt>
                <c:pt idx="7" formatCode="#,##0.00">
                  <c:v>15300000</c:v>
                </c:pt>
              </c:numCache>
            </c:numRef>
          </c:val>
          <c:extLst>
            <c:ext xmlns:c16="http://schemas.microsoft.com/office/drawing/2014/chart" uri="{C3380CC4-5D6E-409C-BE32-E72D297353CC}">
              <c16:uniqueId val="{00000010-9AB5-45D2-A688-629903281E2A}"/>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denFile xmlns="db91e4ad-aef8-4992-a70e-8ba604cce26a">false</HiddenFile>
    <Question xmlns="90bf53fa-3d48-448c-9a57-fa8fe786f736">f_3_1</Question>
    <CountrySN xmlns="90bf53fa-3d48-448c-9a57-fa8fe786f736">UZB</CountrySN>
    <_dlc_DocId xmlns="3c1b0e07-16bf-4b75-94c6-2b4754e56cec">UNITRBEC-1668299333-145</_dlc_DocId>
    <_dlc_DocIdUrl xmlns="3c1b0e07-16bf-4b75-94c6-2b4754e56cec">
      <Url>https://intranet.undp.org/unit/rbec/selfdiag/_layouts/15/DocIdRedir.aspx?ID=UNITRBEC-1668299333-145</Url>
      <Description>UNITRBEC-1668299333-145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D786E829B5E94B91EFAED20C287A18" ma:contentTypeVersion="5" ma:contentTypeDescription="Create a new document." ma:contentTypeScope="" ma:versionID="1278ae57412eaa89b639e3c0c42680e6">
  <xsd:schema xmlns:xsd="http://www.w3.org/2001/XMLSchema" xmlns:xs="http://www.w3.org/2001/XMLSchema" xmlns:p="http://schemas.microsoft.com/office/2006/metadata/properties" xmlns:ns2="3c1b0e07-16bf-4b75-94c6-2b4754e56cec" xmlns:ns3="90bf53fa-3d48-448c-9a57-fa8fe786f736" xmlns:ns4="db91e4ad-aef8-4992-a70e-8ba604cce26a" targetNamespace="http://schemas.microsoft.com/office/2006/metadata/properties" ma:root="true" ma:fieldsID="5d9641316c2b0c41fb70a49f8f63ce2b" ns2:_="" ns3:_="" ns4:_="">
    <xsd:import namespace="3c1b0e07-16bf-4b75-94c6-2b4754e56cec"/>
    <xsd:import namespace="90bf53fa-3d48-448c-9a57-fa8fe786f736"/>
    <xsd:import namespace="db91e4ad-aef8-4992-a70e-8ba604cce26a"/>
    <xsd:element name="properties">
      <xsd:complexType>
        <xsd:sequence>
          <xsd:element name="documentManagement">
            <xsd:complexType>
              <xsd:all>
                <xsd:element ref="ns2:_dlc_DocId" minOccurs="0"/>
                <xsd:element ref="ns2:_dlc_DocIdUrl" minOccurs="0"/>
                <xsd:element ref="ns2:_dlc_DocIdPersistId" minOccurs="0"/>
                <xsd:element ref="ns3:CountrySN" minOccurs="0"/>
                <xsd:element ref="ns3:Question" minOccurs="0"/>
                <xsd:element ref="ns4:Hidden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b0e07-16bf-4b75-94c6-2b4754e56c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bf53fa-3d48-448c-9a57-fa8fe786f736" elementFormDefault="qualified">
    <xsd:import namespace="http://schemas.microsoft.com/office/2006/documentManagement/types"/>
    <xsd:import namespace="http://schemas.microsoft.com/office/infopath/2007/PartnerControls"/>
    <xsd:element name="CountrySN" ma:index="11" nillable="true" ma:displayName="CountrySN" ma:internalName="CountrySN">
      <xsd:simpleType>
        <xsd:restriction base="dms:Text">
          <xsd:maxLength value="255"/>
        </xsd:restriction>
      </xsd:simpleType>
    </xsd:element>
    <xsd:element name="Question" ma:index="12" nillable="true" ma:displayName="Question" ma:internalName="Ques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1e4ad-aef8-4992-a70e-8ba604cce26a" elementFormDefault="qualified">
    <xsd:import namespace="http://schemas.microsoft.com/office/2006/documentManagement/types"/>
    <xsd:import namespace="http://schemas.microsoft.com/office/infopath/2007/PartnerControls"/>
    <xsd:element name="HiddenFile" ma:index="15" nillable="true" ma:displayName="HiddenFile" ma:default="0" ma:internalName="HiddenFi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66458D-3BD7-49FB-8CE9-2B0BC8B05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B7C8C-5774-4840-BFB8-F1E1BE197574}">
  <ds:schemaRefs>
    <ds:schemaRef ds:uri="http://schemas.microsoft.com/sharepoint/v3/contenttype/forms"/>
  </ds:schemaRefs>
</ds:datastoreItem>
</file>

<file path=customXml/itemProps3.xml><?xml version="1.0" encoding="utf-8"?>
<ds:datastoreItem xmlns:ds="http://schemas.openxmlformats.org/officeDocument/2006/customXml" ds:itemID="{B89D50E3-55D5-4C5E-AA1E-F08E594054C8}"/>
</file>

<file path=customXml/itemProps4.xml><?xml version="1.0" encoding="utf-8"?>
<ds:datastoreItem xmlns:ds="http://schemas.openxmlformats.org/officeDocument/2006/customXml" ds:itemID="{0DFD84B1-96BF-4670-BCE6-28A433E2E279}">
  <ds:schemaRefs>
    <ds:schemaRef ds:uri="http://schemas.openxmlformats.org/officeDocument/2006/bibliography"/>
  </ds:schemaRefs>
</ds:datastoreItem>
</file>

<file path=customXml/itemProps5.xml><?xml version="1.0" encoding="utf-8"?>
<ds:datastoreItem xmlns:ds="http://schemas.openxmlformats.org/officeDocument/2006/customXml" ds:itemID="{BECD3EAC-06EC-44B4-8E3B-6D2B82F8FDCE}"/>
</file>

<file path=docProps/app.xml><?xml version="1.0" encoding="utf-8"?>
<Properties xmlns="http://schemas.openxmlformats.org/officeDocument/2006/extended-properties" xmlns:vt="http://schemas.openxmlformats.org/officeDocument/2006/docPropsVTypes">
  <Template>Normal</Template>
  <TotalTime>21</TotalTime>
  <Pages>7</Pages>
  <Words>3009</Words>
  <Characters>17155</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UZB_f_3_1_PCAP_Uzbekistan_2021-2025.docx</dc:title>
  <dc:subject/>
  <dc:creator>Admin</dc:creator>
  <cp:keywords/>
  <dc:description/>
  <cp:lastModifiedBy>Doina Munteanu</cp:lastModifiedBy>
  <cp:revision>3</cp:revision>
  <dcterms:created xsi:type="dcterms:W3CDTF">2020-07-02T05:12:00Z</dcterms:created>
  <dcterms:modified xsi:type="dcterms:W3CDTF">2020-07-02T05:52:00Z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0x010100E5D786E829B5E94B91EFAED20C287A18</vt:lpwstr>
  </property>
  <property fmtid="{D5CDD505-2E9C-101B-9397-08002B2CF9AE}" pid="3" name="_dlc_DocIdItemGuid">
    <vt:lpwstr>13eff1d3-bccd-4aee-91d2-891e6a08fd4b</vt:lpwstr>
  </property>
</Properties>
</file>