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6E5A" w14:textId="77777777" w:rsidR="00F60D39" w:rsidRPr="00B6652C" w:rsidRDefault="00F60D39" w:rsidP="00F60D39">
      <w:pPr>
        <w:jc w:val="center"/>
        <w:rPr>
          <w:b/>
          <w:bCs/>
          <w:color w:val="2E74B5" w:themeColor="accent5" w:themeShade="BF"/>
        </w:rPr>
      </w:pPr>
      <w:r w:rsidRPr="00B6652C">
        <w:rPr>
          <w:b/>
          <w:bCs/>
          <w:color w:val="2E74B5" w:themeColor="accent5" w:themeShade="BF"/>
        </w:rPr>
        <w:t>REUNION PREPARATION DE LA CLOTURE DU PRGTE</w:t>
      </w:r>
    </w:p>
    <w:p w14:paraId="08E6632B" w14:textId="77777777" w:rsidR="00F60D39" w:rsidRDefault="00F60D39" w:rsidP="00F60D39">
      <w:pPr>
        <w:jc w:val="center"/>
      </w:pPr>
      <w:r w:rsidRPr="00B6652C">
        <w:rPr>
          <w:b/>
          <w:bCs/>
          <w:color w:val="2E74B5" w:themeColor="accent5" w:themeShade="BF"/>
        </w:rPr>
        <w:t>FEUILLE DE ROUTE</w:t>
      </w:r>
    </w:p>
    <w:p w14:paraId="0F006142" w14:textId="0C81FAFC" w:rsidR="005E159D" w:rsidRPr="005E159D" w:rsidRDefault="005E159D" w:rsidP="00F60D39">
      <w:pPr>
        <w:jc w:val="center"/>
        <w:rPr>
          <w:bCs/>
          <w:sz w:val="28"/>
          <w:szCs w:val="28"/>
        </w:rPr>
      </w:pPr>
    </w:p>
    <w:tbl>
      <w:tblPr>
        <w:tblStyle w:val="TableauGrille4-Accentuation5"/>
        <w:tblW w:w="15870" w:type="dxa"/>
        <w:tblInd w:w="-991" w:type="dxa"/>
        <w:tblLayout w:type="fixed"/>
        <w:tblLook w:val="04A0" w:firstRow="1" w:lastRow="0" w:firstColumn="1" w:lastColumn="0" w:noHBand="0" w:noVBand="1"/>
      </w:tblPr>
      <w:tblGrid>
        <w:gridCol w:w="6373"/>
        <w:gridCol w:w="1984"/>
        <w:gridCol w:w="1701"/>
        <w:gridCol w:w="5812"/>
      </w:tblGrid>
      <w:tr w:rsidR="00F60D39" w14:paraId="0299DC4C" w14:textId="77777777" w:rsidTr="006F2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3" w:type="dxa"/>
          </w:tcPr>
          <w:p w14:paraId="23682EED" w14:textId="77777777" w:rsidR="00F60D39" w:rsidRPr="00242B5E" w:rsidRDefault="00F60D39" w:rsidP="00BB23F7">
            <w:pPr>
              <w:jc w:val="center"/>
              <w:rPr>
                <w:bCs w:val="0"/>
              </w:rPr>
            </w:pPr>
          </w:p>
          <w:p w14:paraId="6EDCECBF" w14:textId="77777777" w:rsidR="00F60D39" w:rsidRPr="00242B5E" w:rsidRDefault="00F60D39" w:rsidP="00BB23F7">
            <w:pPr>
              <w:jc w:val="center"/>
              <w:rPr>
                <w:bCs w:val="0"/>
              </w:rPr>
            </w:pPr>
            <w:r w:rsidRPr="00242B5E">
              <w:rPr>
                <w:bCs w:val="0"/>
              </w:rPr>
              <w:t>ACTIONS A MENER</w:t>
            </w:r>
          </w:p>
        </w:tc>
        <w:tc>
          <w:tcPr>
            <w:tcW w:w="1984" w:type="dxa"/>
          </w:tcPr>
          <w:p w14:paraId="2C735380" w14:textId="77777777" w:rsidR="00F60D39" w:rsidRPr="00242B5E" w:rsidRDefault="00F60D39" w:rsidP="00BB2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5F570F91" w14:textId="77777777" w:rsidR="00F60D39" w:rsidRPr="00242B5E" w:rsidRDefault="00F60D39" w:rsidP="00BB2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42B5E">
              <w:rPr>
                <w:bCs w:val="0"/>
              </w:rPr>
              <w:t>A SUIVRE</w:t>
            </w:r>
          </w:p>
        </w:tc>
        <w:tc>
          <w:tcPr>
            <w:tcW w:w="1701" w:type="dxa"/>
          </w:tcPr>
          <w:p w14:paraId="29FD251D" w14:textId="77777777" w:rsidR="00F60D39" w:rsidRPr="00242B5E" w:rsidRDefault="00F60D39" w:rsidP="00BB2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6F85918A" w14:textId="77777777" w:rsidR="00F60D39" w:rsidRPr="00242B5E" w:rsidRDefault="00F60D39" w:rsidP="00BB2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42B5E">
              <w:rPr>
                <w:bCs w:val="0"/>
              </w:rPr>
              <w:t>DEADLINE</w:t>
            </w:r>
          </w:p>
        </w:tc>
        <w:tc>
          <w:tcPr>
            <w:tcW w:w="5812" w:type="dxa"/>
          </w:tcPr>
          <w:p w14:paraId="722D4A53" w14:textId="77777777" w:rsidR="00F60D39" w:rsidRPr="00242B5E" w:rsidRDefault="00F60D39" w:rsidP="00BB2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4E894145" w14:textId="77777777" w:rsidR="00F60D39" w:rsidRPr="00242B5E" w:rsidRDefault="00F60D39" w:rsidP="00BB2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42B5E">
              <w:rPr>
                <w:bCs w:val="0"/>
              </w:rPr>
              <w:t xml:space="preserve">ACTIONS PRISES </w:t>
            </w:r>
          </w:p>
        </w:tc>
      </w:tr>
      <w:tr w:rsidR="00F60D39" w14:paraId="2226421B" w14:textId="77777777" w:rsidTr="006F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3" w:type="dxa"/>
          </w:tcPr>
          <w:p w14:paraId="0B714AC7" w14:textId="024168AD" w:rsidR="00F60D39" w:rsidRPr="00F60D39" w:rsidRDefault="00F60D39" w:rsidP="00F60D39">
            <w:r>
              <w:t>-</w:t>
            </w:r>
            <w:r w:rsidRPr="00F60D39">
              <w:t>Evaluation finale du projet</w:t>
            </w:r>
          </w:p>
          <w:p w14:paraId="278C050D" w14:textId="77777777" w:rsidR="00F60D39" w:rsidRDefault="00F60D39" w:rsidP="00F60D39">
            <w:pPr>
              <w:rPr>
                <w:b w:val="0"/>
                <w:bCs w:val="0"/>
              </w:rPr>
            </w:pPr>
            <w:r>
              <w:t>Un 1</w:t>
            </w:r>
            <w:proofErr w:type="gramStart"/>
            <w:r w:rsidRPr="00BE545F">
              <w:rPr>
                <w:vertAlign w:val="superscript"/>
              </w:rPr>
              <w:t>ER</w:t>
            </w:r>
            <w:r>
              <w:rPr>
                <w:vertAlign w:val="superscript"/>
              </w:rPr>
              <w:t xml:space="preserve">  </w:t>
            </w:r>
            <w:r>
              <w:t>Draft</w:t>
            </w:r>
            <w:proofErr w:type="gramEnd"/>
            <w:r>
              <w:t xml:space="preserve"> du rapport d’évaluation finale du projet a été partagé le 7 septembre. La réunion de présentation est prévue le 10 septembre. </w:t>
            </w:r>
          </w:p>
          <w:p w14:paraId="6F8CE3D1" w14:textId="3853C94C" w:rsidR="00F60D39" w:rsidRPr="00F60D39" w:rsidRDefault="00F60D39" w:rsidP="00F60D39">
            <w:pPr>
              <w:rPr>
                <w:vertAlign w:val="superscript"/>
              </w:rPr>
            </w:pPr>
            <w:r>
              <w:t xml:space="preserve">Finaliser le rapport, le traduire en français avant sa soumission au FEM. </w:t>
            </w:r>
          </w:p>
        </w:tc>
        <w:tc>
          <w:tcPr>
            <w:tcW w:w="1984" w:type="dxa"/>
          </w:tcPr>
          <w:p w14:paraId="0B0CB50D" w14:textId="0E2643A1" w:rsidR="00F60D39" w:rsidRDefault="00F60D39" w:rsidP="00BB2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Ndèye/Manon</w:t>
            </w:r>
          </w:p>
          <w:p w14:paraId="018A6B66" w14:textId="77777777" w:rsidR="00F60D39" w:rsidRDefault="00F60D39" w:rsidP="00BB2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72464CB" w14:textId="77777777" w:rsidR="00F60D39" w:rsidRDefault="00F60D39" w:rsidP="00BB2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A3BAE6B" w14:textId="77777777" w:rsidR="00F60D39" w:rsidRDefault="00F60D39" w:rsidP="00BB2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631ECBD" w14:textId="6A8615A2" w:rsidR="00F60D39" w:rsidRDefault="00F60D39" w:rsidP="00BB2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453F4F0" w14:textId="192DFB7D" w:rsidR="00F60D39" w:rsidRDefault="00F60D39" w:rsidP="00BB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 sept</w:t>
            </w:r>
          </w:p>
          <w:p w14:paraId="33E872B4" w14:textId="77777777" w:rsidR="00F60D39" w:rsidRDefault="00F60D39" w:rsidP="00BB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BF5F7E8" w14:textId="77777777" w:rsidR="00F60D39" w:rsidRDefault="00F60D39" w:rsidP="00F60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2" w:type="dxa"/>
          </w:tcPr>
          <w:p w14:paraId="6926F3B1" w14:textId="77777777" w:rsidR="00F60D39" w:rsidRDefault="0089558F" w:rsidP="00F60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Réunion de restitution draft 0 tenue le 11 septembre ;</w:t>
            </w:r>
          </w:p>
          <w:p w14:paraId="06345ED2" w14:textId="5373DE23" w:rsidR="0089558F" w:rsidRPr="004364A0" w:rsidRDefault="0089558F" w:rsidP="00F60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En attente de la version revue</w:t>
            </w:r>
          </w:p>
        </w:tc>
      </w:tr>
      <w:tr w:rsidR="00F60D39" w14:paraId="4EBC93E0" w14:textId="77777777" w:rsidTr="006F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3" w:type="dxa"/>
          </w:tcPr>
          <w:p w14:paraId="6E39752C" w14:textId="73DF3606" w:rsidR="00F60D39" w:rsidRDefault="00F60D39" w:rsidP="00F60D39">
            <w:r>
              <w:t>Audit du projet :</w:t>
            </w:r>
          </w:p>
          <w:p w14:paraId="2D5113F1" w14:textId="77777777" w:rsidR="00F60D39" w:rsidRDefault="00F60D39" w:rsidP="00F60D39"/>
          <w:p w14:paraId="1A76E13D" w14:textId="77777777" w:rsidR="00F60D39" w:rsidRDefault="00F60D39" w:rsidP="00F60D39">
            <w:r>
              <w:t>L’audit NIM du projet sera fait au cours du 1</w:t>
            </w:r>
            <w:r w:rsidRPr="00BE545F">
              <w:rPr>
                <w:vertAlign w:val="superscript"/>
              </w:rPr>
              <w:t>er</w:t>
            </w:r>
            <w:r>
              <w:t xml:space="preserve"> trimestre 2021 puisque les dépenses dépassent US$ 300000. </w:t>
            </w:r>
          </w:p>
          <w:p w14:paraId="032FAE63" w14:textId="192DC74F" w:rsidR="00F60D39" w:rsidRPr="00937823" w:rsidRDefault="00F60D39" w:rsidP="00BB23F7">
            <w:pPr>
              <w:jc w:val="both"/>
            </w:pPr>
            <w:r>
              <w:t>Le projet se rendra disponible à ce moment pour cet exercice. Pour l’instant il lui est demandé de faire un bon archivage de la documentation.</w:t>
            </w:r>
          </w:p>
        </w:tc>
        <w:tc>
          <w:tcPr>
            <w:tcW w:w="1984" w:type="dxa"/>
          </w:tcPr>
          <w:p w14:paraId="0214953E" w14:textId="102C93C6" w:rsidR="00F60D3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DEFCCS/DODP/PNUD</w:t>
            </w:r>
          </w:p>
        </w:tc>
        <w:tc>
          <w:tcPr>
            <w:tcW w:w="1701" w:type="dxa"/>
          </w:tcPr>
          <w:p w14:paraId="1B4C6FC4" w14:textId="0E0FC88F" w:rsidR="00F60D3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Mars 202</w:t>
            </w:r>
            <w:r w:rsidR="00182D73">
              <w:rPr>
                <w:b/>
              </w:rPr>
              <w:t>1</w:t>
            </w:r>
          </w:p>
          <w:p w14:paraId="5E68817A" w14:textId="77777777" w:rsidR="00F60D3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A3C05E7" w14:textId="77777777" w:rsidR="00F60D3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001A883" w14:textId="77777777" w:rsidR="00F60D39" w:rsidRDefault="00F60D39" w:rsidP="00F60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2" w:type="dxa"/>
          </w:tcPr>
          <w:p w14:paraId="4431E605" w14:textId="599A98F8" w:rsidR="00F60D39" w:rsidRDefault="0066568F" w:rsidP="001C7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6376AB">
              <w:t>umar</w:t>
            </w:r>
            <w:r>
              <w:t xml:space="preserve"> </w:t>
            </w:r>
            <w:r w:rsidR="00DB6771">
              <w:t xml:space="preserve">et Pape </w:t>
            </w:r>
            <w:proofErr w:type="spellStart"/>
            <w:r w:rsidR="00DB6771">
              <w:t>Mactar</w:t>
            </w:r>
            <w:proofErr w:type="spellEnd"/>
            <w:r w:rsidR="00DB6771">
              <w:t xml:space="preserve"> ont marqué leur disponibilité </w:t>
            </w:r>
            <w:r w:rsidR="00350D62">
              <w:t>pour contribuer pendant la phase d’a</w:t>
            </w:r>
            <w:r w:rsidR="00A61A57">
              <w:t xml:space="preserve">udit. </w:t>
            </w:r>
          </w:p>
          <w:p w14:paraId="0AAA9FAE" w14:textId="6362AD3A" w:rsidR="007A2555" w:rsidRPr="0039213E" w:rsidRDefault="007A2555" w:rsidP="001C7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D39" w:rsidRPr="00FD485E" w14:paraId="10DBB738" w14:textId="77777777" w:rsidTr="006F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3" w:type="dxa"/>
          </w:tcPr>
          <w:p w14:paraId="6BA7A716" w14:textId="05E3E0B0" w:rsidR="00F60D39" w:rsidRDefault="00F60D39" w:rsidP="00F60D39">
            <w:proofErr w:type="spellStart"/>
            <w:r>
              <w:t>Décontractualisation</w:t>
            </w:r>
            <w:proofErr w:type="spellEnd"/>
            <w:r>
              <w:t> :</w:t>
            </w:r>
          </w:p>
          <w:p w14:paraId="19C1F147" w14:textId="77777777" w:rsidR="00F60D39" w:rsidRDefault="00F60D39" w:rsidP="00F60D39"/>
          <w:p w14:paraId="2C51FF23" w14:textId="1E2FA545" w:rsidR="00F60D39" w:rsidRDefault="00F60D39" w:rsidP="00BB23F7">
            <w:r>
              <w:t>Vérifier avec la SONATEL la faisabilité pour le staff de garder les numéros et résilier le contrat avec le PRGTE</w:t>
            </w:r>
          </w:p>
        </w:tc>
        <w:tc>
          <w:tcPr>
            <w:tcW w:w="1984" w:type="dxa"/>
          </w:tcPr>
          <w:p w14:paraId="06D95291" w14:textId="24E418FE" w:rsidR="00F60D39" w:rsidRPr="00E179CC" w:rsidRDefault="00F60D39" w:rsidP="00BB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t>P M. NDIAYE/PRGTE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10B1E1DC" w14:textId="5D9F8257" w:rsidR="00F60D39" w:rsidRPr="00320B13" w:rsidRDefault="00F60D39" w:rsidP="00BB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15 septembre 2020</w:t>
            </w:r>
          </w:p>
        </w:tc>
        <w:tc>
          <w:tcPr>
            <w:tcW w:w="5812" w:type="dxa"/>
          </w:tcPr>
          <w:p w14:paraId="13326F12" w14:textId="20FAF523" w:rsidR="00F60D39" w:rsidRPr="00320B13" w:rsidRDefault="00FF7E0E" w:rsidP="00F60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7E0E">
              <w:rPr>
                <w:b/>
                <w:highlight w:val="yellow"/>
              </w:rPr>
              <w:t>A compléter par l’UCP</w:t>
            </w:r>
          </w:p>
        </w:tc>
      </w:tr>
      <w:tr w:rsidR="00F60D39" w14:paraId="1BE7A1CE" w14:textId="77777777" w:rsidTr="006F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3" w:type="dxa"/>
          </w:tcPr>
          <w:p w14:paraId="1218DB84" w14:textId="05E99834" w:rsidR="00D45A8C" w:rsidRDefault="00D45A8C" w:rsidP="00D45A8C">
            <w:r>
              <w:t>Situation des paiements en instance :</w:t>
            </w:r>
          </w:p>
          <w:p w14:paraId="7B93C054" w14:textId="0CBBA49A" w:rsidR="008B33AB" w:rsidRPr="00071E22" w:rsidRDefault="00E3468B" w:rsidP="00071E22">
            <w:pPr>
              <w:pStyle w:val="Paragraphedeliste"/>
              <w:numPr>
                <w:ilvl w:val="0"/>
                <w:numId w:val="5"/>
              </w:numPr>
            </w:pPr>
            <w:r w:rsidRPr="00D45A8C">
              <w:t>Paiement</w:t>
            </w:r>
            <w:r w:rsidR="00D45A8C" w:rsidRPr="00D45A8C">
              <w:t xml:space="preserve"> du </w:t>
            </w:r>
            <w:proofErr w:type="spellStart"/>
            <w:r w:rsidR="00D45A8C" w:rsidRPr="00D45A8C">
              <w:t>pésiomètre</w:t>
            </w:r>
            <w:proofErr w:type="spellEnd"/>
          </w:p>
          <w:p w14:paraId="48B176DA" w14:textId="5EFE78DC" w:rsidR="00F60D39" w:rsidRPr="00E3468B" w:rsidRDefault="00D45A8C" w:rsidP="00BB23F7">
            <w:pPr>
              <w:pStyle w:val="Paragraphedeliste"/>
              <w:numPr>
                <w:ilvl w:val="0"/>
                <w:numId w:val="5"/>
              </w:numPr>
            </w:pPr>
            <w:r w:rsidRPr="00D45A8C">
              <w:t>CNRF a fait un dépassement sur le financement</w:t>
            </w:r>
            <w:r w:rsidR="00E3468B">
              <w:t xml:space="preserve"> (dépenses non éligibles) </w:t>
            </w:r>
          </w:p>
          <w:p w14:paraId="29AC544E" w14:textId="33BABDD1" w:rsidR="00E3468B" w:rsidRPr="00071E22" w:rsidRDefault="00E3468B" w:rsidP="00BB23F7">
            <w:pPr>
              <w:pStyle w:val="Paragraphedeliste"/>
              <w:numPr>
                <w:ilvl w:val="0"/>
                <w:numId w:val="5"/>
              </w:numPr>
            </w:pPr>
            <w:r>
              <w:t>Prestataire MATFORCE doit retourner un montant de 2.000.000 FCFA</w:t>
            </w:r>
          </w:p>
          <w:p w14:paraId="1E10CB54" w14:textId="77777777" w:rsidR="00071E22" w:rsidRPr="00071E22" w:rsidRDefault="00071E22" w:rsidP="00071E22">
            <w:pPr>
              <w:pStyle w:val="Paragraphedeliste"/>
            </w:pPr>
          </w:p>
          <w:p w14:paraId="26B13B05" w14:textId="6953C96F" w:rsidR="00071E22" w:rsidRPr="00071E22" w:rsidRDefault="00071E22" w:rsidP="00071E22">
            <w:pPr>
              <w:pStyle w:val="Paragraphedeliste"/>
              <w:numPr>
                <w:ilvl w:val="0"/>
                <w:numId w:val="5"/>
              </w:numPr>
            </w:pPr>
            <w:r>
              <w:t>Transmettre la DDP/ système d’irrigation</w:t>
            </w:r>
            <w:r w:rsidRPr="00D45A8C">
              <w:t xml:space="preserve"> </w:t>
            </w:r>
          </w:p>
        </w:tc>
        <w:tc>
          <w:tcPr>
            <w:tcW w:w="1984" w:type="dxa"/>
          </w:tcPr>
          <w:p w14:paraId="085F7DAC" w14:textId="77777777" w:rsidR="00F60D39" w:rsidRPr="00386A8F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14:paraId="02C6C068" w14:textId="7A93FB4C" w:rsidR="00F60D39" w:rsidRPr="00E3468B" w:rsidRDefault="00E3468B" w:rsidP="00ED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O. DIAW ET DGPRE</w:t>
            </w:r>
          </w:p>
        </w:tc>
        <w:tc>
          <w:tcPr>
            <w:tcW w:w="1701" w:type="dxa"/>
          </w:tcPr>
          <w:p w14:paraId="71D1091F" w14:textId="77777777" w:rsidR="00F60D39" w:rsidRDefault="00E3468B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septembre 2020</w:t>
            </w:r>
          </w:p>
          <w:p w14:paraId="72585C30" w14:textId="77777777" w:rsidR="008B33AB" w:rsidRDefault="008B33AB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B4308B" w14:textId="77777777" w:rsidR="00071E22" w:rsidRDefault="00071E22" w:rsidP="008B3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02DE39" w14:textId="77777777" w:rsidR="00071E22" w:rsidRDefault="00071E22" w:rsidP="008B3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F4876C" w14:textId="77777777" w:rsidR="00071E22" w:rsidRDefault="00071E22" w:rsidP="008B3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CAC777" w14:textId="77777777" w:rsidR="00071E22" w:rsidRDefault="00071E22" w:rsidP="008B3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3EEB7A" w14:textId="77777777" w:rsidR="00071E22" w:rsidRDefault="00071E22" w:rsidP="008B3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BE3A3F" w14:textId="77777777" w:rsidR="00071E22" w:rsidRDefault="00071E22" w:rsidP="008B3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6E61EC" w14:textId="4E638A4E" w:rsidR="008B33AB" w:rsidRPr="00071E22" w:rsidRDefault="008B33AB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20 septembre 2020</w:t>
            </w:r>
          </w:p>
        </w:tc>
        <w:tc>
          <w:tcPr>
            <w:tcW w:w="5812" w:type="dxa"/>
          </w:tcPr>
          <w:p w14:paraId="09A0FBDC" w14:textId="7FEACE8E" w:rsidR="00F60D3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6E032128" w14:textId="0D1FCAA2" w:rsidR="00F60D39" w:rsidRDefault="00FA08DC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Retenue </w:t>
            </w:r>
            <w:r w:rsidR="00F46919">
              <w:rPr>
                <w:bCs/>
              </w:rPr>
              <w:t>des prestataires à prendre en charge par l’UCP</w:t>
            </w:r>
            <w:r w:rsidR="000F104D">
              <w:rPr>
                <w:bCs/>
              </w:rPr>
              <w:t xml:space="preserve"> : utiliser une partie des fonds </w:t>
            </w:r>
            <w:r w:rsidR="00A93769">
              <w:rPr>
                <w:bCs/>
              </w:rPr>
              <w:t xml:space="preserve">reliquat de l’étude capitalisation pour </w:t>
            </w:r>
            <w:r w:rsidR="008D763E">
              <w:rPr>
                <w:bCs/>
              </w:rPr>
              <w:t>régler la retenue des prestataires</w:t>
            </w:r>
            <w:r w:rsidR="007E121F">
              <w:rPr>
                <w:bCs/>
              </w:rPr>
              <w:t xml:space="preserve">. Les fonds au niveau du PNUD serviront pour liquider le solde du </w:t>
            </w:r>
            <w:r w:rsidR="00DB6771">
              <w:rPr>
                <w:bCs/>
              </w:rPr>
              <w:t>prestataire chargé de la capitalisation</w:t>
            </w:r>
            <w:r w:rsidR="007E121F">
              <w:rPr>
                <w:bCs/>
              </w:rPr>
              <w:t>.</w:t>
            </w:r>
          </w:p>
          <w:p w14:paraId="0384CBC4" w14:textId="1889D760" w:rsidR="00F60D3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B18480D" w14:textId="7924903F" w:rsidR="00F60D3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ABEB601" w14:textId="77777777" w:rsidR="00F60D3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DAF5F4C" w14:textId="6791BA91" w:rsidR="00F60D39" w:rsidRPr="008C0C23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71E22" w14:paraId="55F10BD4" w14:textId="77777777" w:rsidTr="006F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3" w:type="dxa"/>
          </w:tcPr>
          <w:p w14:paraId="71D9E89C" w14:textId="77777777" w:rsidR="00071E22" w:rsidRDefault="00071E22" w:rsidP="00D45A8C">
            <w:pPr>
              <w:rPr>
                <w:b w:val="0"/>
                <w:bCs w:val="0"/>
              </w:rPr>
            </w:pPr>
            <w:r>
              <w:lastRenderedPageBreak/>
              <w:t>Révision du PTA 2020 :</w:t>
            </w:r>
          </w:p>
          <w:p w14:paraId="5156217F" w14:textId="71582BF2" w:rsidR="00071E22" w:rsidRDefault="00071E22" w:rsidP="00D45A8C">
            <w:r>
              <w:t xml:space="preserve">Partager pour avis le projet de PTA révisé et convoqué un comité de pilotage restreint concomitamment à la révision de suivi de la feuille de route le 18 septembre </w:t>
            </w:r>
          </w:p>
        </w:tc>
        <w:tc>
          <w:tcPr>
            <w:tcW w:w="1984" w:type="dxa"/>
          </w:tcPr>
          <w:p w14:paraId="704FF899" w14:textId="592D07CA" w:rsidR="00071E22" w:rsidRPr="00386A8F" w:rsidRDefault="00071E22" w:rsidP="00BB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t>O. DIAW </w:t>
            </w:r>
          </w:p>
        </w:tc>
        <w:tc>
          <w:tcPr>
            <w:tcW w:w="1701" w:type="dxa"/>
          </w:tcPr>
          <w:p w14:paraId="47010243" w14:textId="2A9095D0" w:rsidR="00071E22" w:rsidRDefault="00071E22" w:rsidP="00BB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 septembre </w:t>
            </w:r>
          </w:p>
        </w:tc>
        <w:tc>
          <w:tcPr>
            <w:tcW w:w="5812" w:type="dxa"/>
          </w:tcPr>
          <w:p w14:paraId="0CC0A7C6" w14:textId="7D33568D" w:rsidR="00071E22" w:rsidRDefault="001D5399" w:rsidP="00BB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Convoqué le comité de pilotage lundi 21 à 15 heures en présence du président du COPIL.</w:t>
            </w:r>
          </w:p>
        </w:tc>
      </w:tr>
      <w:tr w:rsidR="00F60D39" w14:paraId="2E567D74" w14:textId="77777777" w:rsidTr="006F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3" w:type="dxa"/>
          </w:tcPr>
          <w:p w14:paraId="57FA09BE" w14:textId="5425299F" w:rsidR="00E3468B" w:rsidRDefault="00F60D39" w:rsidP="00E3468B">
            <w:r>
              <w:t>-</w:t>
            </w:r>
            <w:r w:rsidR="00E3468B">
              <w:t xml:space="preserve">Dévolution des équipements : </w:t>
            </w:r>
          </w:p>
          <w:p w14:paraId="0074F264" w14:textId="16D6CCC8" w:rsidR="00E3468B" w:rsidRDefault="00E3468B" w:rsidP="00E3468B">
            <w:r>
              <w:t xml:space="preserve">Tenir une réunion pour examiner le FORM C du projet pour voir les équipements qui feront l’objet d’inventaire contradictoire et ceux qui font l’objet de subvention </w:t>
            </w:r>
          </w:p>
          <w:p w14:paraId="3A098E9B" w14:textId="2183899F" w:rsidR="00E3468B" w:rsidRDefault="00E3468B" w:rsidP="00E3468B">
            <w:pPr>
              <w:rPr>
                <w:b w:val="0"/>
                <w:bCs w:val="0"/>
              </w:rPr>
            </w:pPr>
            <w:r>
              <w:t>Planifier la mission d’inventaire pour rester dans le délai de 30 septembre</w:t>
            </w:r>
          </w:p>
          <w:p w14:paraId="1CF9294B" w14:textId="614382C6" w:rsidR="00F60D39" w:rsidRDefault="00F60D39" w:rsidP="006D10E7"/>
        </w:tc>
        <w:tc>
          <w:tcPr>
            <w:tcW w:w="1984" w:type="dxa"/>
          </w:tcPr>
          <w:p w14:paraId="0E95DFD7" w14:textId="77777777" w:rsidR="00E3468B" w:rsidRPr="00F724BF" w:rsidRDefault="00E3468B" w:rsidP="00E3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724BF">
              <w:rPr>
                <w:lang w:val="en-US"/>
              </w:rPr>
              <w:t>C. ND</w:t>
            </w:r>
            <w:r>
              <w:rPr>
                <w:lang w:val="en-US"/>
              </w:rPr>
              <w:t>IAYE/PNUD</w:t>
            </w:r>
          </w:p>
          <w:p w14:paraId="26B8FA92" w14:textId="186980A8" w:rsidR="00E3468B" w:rsidRPr="00F724BF" w:rsidRDefault="00E3468B" w:rsidP="00E3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 w:rsidRPr="00F724BF">
              <w:rPr>
                <w:lang w:val="en-US"/>
              </w:rPr>
              <w:t xml:space="preserve">M </w:t>
            </w:r>
            <w:r>
              <w:rPr>
                <w:lang w:val="en-US"/>
              </w:rPr>
              <w:t>.</w:t>
            </w:r>
            <w:r w:rsidRPr="00F724BF">
              <w:rPr>
                <w:lang w:val="en-US"/>
              </w:rPr>
              <w:t>D</w:t>
            </w:r>
            <w:r>
              <w:rPr>
                <w:lang w:val="en-US"/>
              </w:rPr>
              <w:t>IAWARA</w:t>
            </w:r>
            <w:proofErr w:type="gramEnd"/>
            <w:r>
              <w:rPr>
                <w:lang w:val="en-US"/>
              </w:rPr>
              <w:t>/DODP</w:t>
            </w:r>
          </w:p>
          <w:p w14:paraId="2171871C" w14:textId="77777777" w:rsidR="00E3468B" w:rsidRPr="00F724BF" w:rsidRDefault="00E3468B" w:rsidP="00E3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724BF">
              <w:rPr>
                <w:lang w:val="en-US"/>
              </w:rPr>
              <w:t>PM NDIAYE/DODP</w:t>
            </w:r>
          </w:p>
          <w:p w14:paraId="1B590F5F" w14:textId="77777777" w:rsidR="00E3468B" w:rsidRDefault="00E3468B" w:rsidP="00E3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 NDIAYE/PRGTE</w:t>
            </w:r>
          </w:p>
          <w:p w14:paraId="1BB3A0B8" w14:textId="497AE4E7" w:rsidR="00F60D3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3149DDD3" w14:textId="306C0221" w:rsidR="00F60D39" w:rsidRDefault="00E3468B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16 septembre 2020</w:t>
            </w:r>
          </w:p>
        </w:tc>
        <w:tc>
          <w:tcPr>
            <w:tcW w:w="5812" w:type="dxa"/>
          </w:tcPr>
          <w:p w14:paraId="51FBA970" w14:textId="00B5123C" w:rsidR="00173379" w:rsidRDefault="00F60D39" w:rsidP="0017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 xml:space="preserve"> </w:t>
            </w:r>
            <w:r w:rsidR="00173379">
              <w:t>PNUD - Transmettre le courrier à DODP pour l’inventaire du projet – date retenue avec nos équipes – le 25 septembre 2020 à 9h00 au PRGTE DAKAR</w:t>
            </w:r>
          </w:p>
          <w:p w14:paraId="3EA0189C" w14:textId="77777777" w:rsidR="00173379" w:rsidRDefault="00173379" w:rsidP="0017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UCP - Partager le draft du PV avec les membres de la mission – 29 septembre 2020</w:t>
            </w:r>
          </w:p>
          <w:p w14:paraId="1EDCFA3B" w14:textId="77777777" w:rsidR="00173379" w:rsidRDefault="00173379" w:rsidP="0017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UCP -Transmettre le PV signé par les membres de la mission a DODP – 02 Octobre 2020</w:t>
            </w:r>
          </w:p>
          <w:p w14:paraId="1E786FF2" w14:textId="77777777" w:rsidR="00173379" w:rsidRDefault="00173379" w:rsidP="0017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DODP – Transmettre le PV au PNUD pour action</w:t>
            </w:r>
          </w:p>
          <w:p w14:paraId="0D6B4779" w14:textId="564ECB9C" w:rsidR="00173379" w:rsidRDefault="00173379" w:rsidP="0017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PNUD - Faire l’acte de transfert des biens et équipements – 06 octobre 2020</w:t>
            </w:r>
          </w:p>
          <w:p w14:paraId="5548CC08" w14:textId="67A1950B" w:rsidR="00F60D39" w:rsidRDefault="00EB124C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Inventaire vendredi 25 à 9 heures</w:t>
            </w:r>
          </w:p>
          <w:p w14:paraId="79CFA76A" w14:textId="6ADCB429" w:rsidR="00BF0668" w:rsidRPr="000A30A4" w:rsidRDefault="0017337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Demander aux p</w:t>
            </w:r>
            <w:r w:rsidR="00BF0668">
              <w:rPr>
                <w:bCs/>
              </w:rPr>
              <w:t xml:space="preserve">artenaires </w:t>
            </w:r>
            <w:r>
              <w:rPr>
                <w:bCs/>
              </w:rPr>
              <w:t xml:space="preserve">de </w:t>
            </w:r>
            <w:r w:rsidR="00BF0668">
              <w:rPr>
                <w:bCs/>
              </w:rPr>
              <w:t xml:space="preserve">mettre à disposition la liste des équipements </w:t>
            </w:r>
            <w:r>
              <w:rPr>
                <w:bCs/>
              </w:rPr>
              <w:t xml:space="preserve">acquis à leur profit </w:t>
            </w:r>
            <w:r w:rsidR="00BF0668">
              <w:rPr>
                <w:bCs/>
              </w:rPr>
              <w:t>pour la dévolution</w:t>
            </w:r>
            <w:r>
              <w:rPr>
                <w:bCs/>
              </w:rPr>
              <w:t>.</w:t>
            </w:r>
          </w:p>
        </w:tc>
      </w:tr>
      <w:tr w:rsidR="00F60D39" w14:paraId="4AD0FAC5" w14:textId="77777777" w:rsidTr="006F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3" w:type="dxa"/>
          </w:tcPr>
          <w:p w14:paraId="3CE8331B" w14:textId="4A0A88A8" w:rsidR="00E3468B" w:rsidRDefault="00E3468B" w:rsidP="00E3468B">
            <w:r>
              <w:t>- GESTION DE LA PHASE TRANSITOIRE</w:t>
            </w:r>
          </w:p>
          <w:p w14:paraId="32FD636F" w14:textId="77777777" w:rsidR="00E3468B" w:rsidRDefault="00E3468B" w:rsidP="00E3468B"/>
          <w:p w14:paraId="24A34F55" w14:textId="0053A6DD" w:rsidR="00F60D39" w:rsidRPr="00BF1CE0" w:rsidRDefault="00E3468B" w:rsidP="00E3468B">
            <w:r>
              <w:t>Impliquer la Direction des Eaux et Forêts dans le processus de clôture du projet pour une bonne prise en compte des différentes actions à mener</w:t>
            </w:r>
            <w:r w:rsidRPr="00BF1CE0">
              <w:t xml:space="preserve"> </w:t>
            </w:r>
          </w:p>
        </w:tc>
        <w:tc>
          <w:tcPr>
            <w:tcW w:w="1984" w:type="dxa"/>
          </w:tcPr>
          <w:p w14:paraId="0AE61F2A" w14:textId="54A80E7F" w:rsidR="00E3468B" w:rsidRDefault="00E3468B" w:rsidP="00E3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O</w:t>
            </w:r>
            <w:r w:rsidR="008B33AB">
              <w:t>.</w:t>
            </w:r>
            <w:r>
              <w:t xml:space="preserve"> DIAW</w:t>
            </w:r>
          </w:p>
          <w:p w14:paraId="41D2578D" w14:textId="77777777" w:rsidR="00F60D39" w:rsidRPr="008348C8" w:rsidRDefault="00F60D39" w:rsidP="00E3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14:paraId="7AA8573F" w14:textId="77777777" w:rsidR="00F60D39" w:rsidRDefault="00F60D39" w:rsidP="00BB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72805F2" w14:textId="77777777" w:rsidR="00F60D39" w:rsidRPr="002406B5" w:rsidRDefault="00F60D39" w:rsidP="00BB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2" w:type="dxa"/>
          </w:tcPr>
          <w:p w14:paraId="4578EAB5" w14:textId="5B9C7331" w:rsidR="00F60D39" w:rsidRPr="005315DC" w:rsidRDefault="00173379" w:rsidP="00BB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Colonel Ndour : la DEFCCS est prête à prendre le relais ;</w:t>
            </w:r>
          </w:p>
        </w:tc>
      </w:tr>
      <w:tr w:rsidR="00F60D39" w14:paraId="1A1FF0BF" w14:textId="77777777" w:rsidTr="006F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3" w:type="dxa"/>
          </w:tcPr>
          <w:p w14:paraId="3371A9B9" w14:textId="5E3B0CF1" w:rsidR="008B33AB" w:rsidRDefault="008B33AB" w:rsidP="008B33AB">
            <w:r>
              <w:t>Attente du FACE du projet dans les meilleurs délais pour enregistrement des dépenses :</w:t>
            </w:r>
          </w:p>
          <w:p w14:paraId="52BAD864" w14:textId="3727949A" w:rsidR="00F60D39" w:rsidRDefault="008B33AB" w:rsidP="008B33AB">
            <w:pPr>
              <w:rPr>
                <w:b w:val="0"/>
              </w:rPr>
            </w:pPr>
            <w:r>
              <w:t xml:space="preserve">Introduire un </w:t>
            </w:r>
            <w:r w:rsidR="00071E22">
              <w:t xml:space="preserve">FACE </w:t>
            </w:r>
            <w:r>
              <w:t>sur la période janvier-juin et ensuite un deuxième sur la période juillet-septembre.</w:t>
            </w:r>
            <w:r w:rsidR="00071E22">
              <w:t xml:space="preserve"> Soumettre en même temps le formulaire D et E</w:t>
            </w:r>
          </w:p>
        </w:tc>
        <w:tc>
          <w:tcPr>
            <w:tcW w:w="1984" w:type="dxa"/>
          </w:tcPr>
          <w:p w14:paraId="25C28E77" w14:textId="7AA427ED" w:rsidR="00F60D39" w:rsidRDefault="008B33AB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PM NDIAYE /PRGTE</w:t>
            </w:r>
            <w:r>
              <w:rPr>
                <w:b/>
              </w:rPr>
              <w:t xml:space="preserve"> </w:t>
            </w:r>
          </w:p>
          <w:p w14:paraId="33E02D2B" w14:textId="77777777" w:rsidR="00F60D3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A319E77" w14:textId="77777777" w:rsidR="00F60D3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C991EE3" w14:textId="77777777" w:rsidR="00F60D3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942B445" w14:textId="77777777" w:rsidR="00F60D3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F0A91AF" w14:textId="52B69ED5" w:rsidR="00F60D39" w:rsidRDefault="008B33AB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 septembre</w:t>
            </w:r>
          </w:p>
          <w:p w14:paraId="6383BF83" w14:textId="313215EE" w:rsidR="00F60D39" w:rsidRDefault="00071E22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(1</w:t>
            </w:r>
            <w:r w:rsidRPr="00071E22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FACE)</w:t>
            </w:r>
          </w:p>
          <w:p w14:paraId="69801D35" w14:textId="72ED5A9C" w:rsidR="00071E22" w:rsidRDefault="00071E22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D3CC195" w14:textId="29A74EF0" w:rsidR="00071E22" w:rsidRDefault="00182D73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Pr="00182D73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semaine</w:t>
            </w:r>
            <w:proofErr w:type="gramEnd"/>
            <w:r>
              <w:rPr>
                <w:b/>
              </w:rPr>
              <w:t xml:space="preserve"> d’Octobre pour le deuxième FACE</w:t>
            </w:r>
          </w:p>
          <w:p w14:paraId="5056F5BB" w14:textId="77777777" w:rsidR="00F60D3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31DEB6A" w14:textId="77777777" w:rsidR="00F60D3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DDD0B3D" w14:textId="77777777" w:rsidR="00F60D3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404F2CF" w14:textId="77777777" w:rsidR="00F60D3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2" w:type="dxa"/>
          </w:tcPr>
          <w:p w14:paraId="6D1909F2" w14:textId="3E407A44" w:rsidR="008B33AB" w:rsidRDefault="005C6897" w:rsidP="008B3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25 septembre </w:t>
            </w:r>
            <w:r w:rsidR="004C10D6">
              <w:t>transmission FACE 1 er semestre à la DODP.</w:t>
            </w:r>
          </w:p>
          <w:p w14:paraId="4A9F5294" w14:textId="00597DF8" w:rsidR="00904CC4" w:rsidRDefault="00297062" w:rsidP="008B3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est demandé au projet de faire</w:t>
            </w:r>
            <w:r w:rsidR="00904CC4">
              <w:t xml:space="preserve"> le point sur les </w:t>
            </w:r>
            <w:r w:rsidR="006E723E">
              <w:t>paiements fiscaux</w:t>
            </w:r>
            <w:r w:rsidR="00FF7E0E">
              <w:t xml:space="preserve"> et de s’assurer de leur liquidation avant la clôture </w:t>
            </w:r>
            <w:proofErr w:type="gramStart"/>
            <w:r w:rsidR="00FF7E0E">
              <w:t>des compte</w:t>
            </w:r>
            <w:proofErr w:type="gramEnd"/>
            <w:r w:rsidR="00FF7E0E">
              <w:t xml:space="preserve"> du projet.</w:t>
            </w:r>
          </w:p>
          <w:p w14:paraId="0CE3CC43" w14:textId="42F83BA1" w:rsidR="00F60D39" w:rsidRPr="005315DC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F60D39" w14:paraId="29FF4D6D" w14:textId="77777777" w:rsidTr="006F2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3" w:type="dxa"/>
          </w:tcPr>
          <w:p w14:paraId="7B6F4B00" w14:textId="77777777" w:rsidR="00F60D39" w:rsidRDefault="008B33AB" w:rsidP="00BB23F7">
            <w:pPr>
              <w:rPr>
                <w:b w:val="0"/>
                <w:bCs w:val="0"/>
              </w:rPr>
            </w:pPr>
            <w:r>
              <w:t>Clôture des comptes bancaires du projet</w:t>
            </w:r>
            <w:r w:rsidR="00071E22">
              <w:t> :</w:t>
            </w:r>
          </w:p>
          <w:p w14:paraId="5B4A86C8" w14:textId="0D23DF80" w:rsidR="00071E22" w:rsidRPr="00721276" w:rsidRDefault="00071E22" w:rsidP="00BB23F7">
            <w:pPr>
              <w:rPr>
                <w:bCs w:val="0"/>
              </w:rPr>
            </w:pPr>
            <w:r>
              <w:t>Passer les dernières dépenses au plus tard le 30 septembre – reverser le solde au PNUD</w:t>
            </w:r>
          </w:p>
        </w:tc>
        <w:tc>
          <w:tcPr>
            <w:tcW w:w="1984" w:type="dxa"/>
          </w:tcPr>
          <w:p w14:paraId="1A57C44C" w14:textId="77777777" w:rsidR="00071E22" w:rsidRDefault="00071E22" w:rsidP="0007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O. DIAW</w:t>
            </w:r>
          </w:p>
          <w:p w14:paraId="234777B5" w14:textId="4BBE860C" w:rsidR="00F60D39" w:rsidRDefault="00F60D39" w:rsidP="00BB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3E024F37" w14:textId="09EECEA5" w:rsidR="00071E22" w:rsidRDefault="00071E22" w:rsidP="0007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 septembre</w:t>
            </w:r>
          </w:p>
          <w:p w14:paraId="2F4EFB9F" w14:textId="77777777" w:rsidR="00F60D39" w:rsidRDefault="00F60D39" w:rsidP="00BB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417D1E4" w14:textId="77777777" w:rsidR="00F60D39" w:rsidRDefault="00F60D39" w:rsidP="00BB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2" w:type="dxa"/>
          </w:tcPr>
          <w:p w14:paraId="20DBC41D" w14:textId="67294F2D" w:rsidR="00F60D39" w:rsidRPr="007371B9" w:rsidRDefault="00F60D39" w:rsidP="00BB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F60D39" w14:paraId="2F173E93" w14:textId="77777777" w:rsidTr="006F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3" w:type="dxa"/>
          </w:tcPr>
          <w:p w14:paraId="4D10993E" w14:textId="6289537E" w:rsidR="008B33AB" w:rsidRDefault="008B33AB" w:rsidP="008B33AB">
            <w:r>
              <w:t>Comité de pilotage finale du projet</w:t>
            </w:r>
            <w:r w:rsidR="00071E22">
              <w:t> :</w:t>
            </w:r>
          </w:p>
          <w:p w14:paraId="10D3BB04" w14:textId="77777777" w:rsidR="008B33AB" w:rsidRDefault="008B33AB" w:rsidP="008B33AB"/>
          <w:p w14:paraId="1637340A" w14:textId="25BA339D" w:rsidR="00F60D39" w:rsidRPr="000049F8" w:rsidRDefault="008B33AB" w:rsidP="008B33AB">
            <w:pPr>
              <w:rPr>
                <w:rFonts w:eastAsia="Times New Roman"/>
              </w:rPr>
            </w:pPr>
            <w:r>
              <w:t>Soumettre un rapport de fin du projet avant le dernier comité de pilotage du projet</w:t>
            </w:r>
          </w:p>
        </w:tc>
        <w:tc>
          <w:tcPr>
            <w:tcW w:w="1984" w:type="dxa"/>
          </w:tcPr>
          <w:p w14:paraId="4E2CA549" w14:textId="5A068724" w:rsidR="008B33AB" w:rsidRDefault="008B33AB" w:rsidP="008B3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O. DIAW</w:t>
            </w:r>
          </w:p>
          <w:p w14:paraId="5C943C1F" w14:textId="6F7968FC" w:rsidR="00F60D39" w:rsidRPr="000049F8" w:rsidRDefault="008B33AB" w:rsidP="008B3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COPIL</w:t>
            </w:r>
            <w:r w:rsidRPr="000049F8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3221B894" w14:textId="4C8A4C57" w:rsidR="00F60D39" w:rsidRDefault="008B33AB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30 octobre 2020</w:t>
            </w:r>
          </w:p>
        </w:tc>
        <w:tc>
          <w:tcPr>
            <w:tcW w:w="5812" w:type="dxa"/>
          </w:tcPr>
          <w:p w14:paraId="7CABCEFF" w14:textId="59E1DBC6" w:rsidR="00182D73" w:rsidRPr="00DD06B9" w:rsidRDefault="00182D73" w:rsidP="0018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52B2C408" w14:textId="3BCDC564" w:rsidR="00F60D39" w:rsidRPr="00DD06B9" w:rsidRDefault="00F60D39" w:rsidP="00BB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2F094787" w14:textId="77777777" w:rsidR="002801D2" w:rsidRDefault="002801D2"/>
    <w:sectPr w:rsidR="002801D2" w:rsidSect="00B77A47">
      <w:headerReference w:type="default" r:id="rId10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5EE7B" w14:textId="77777777" w:rsidR="0062068A" w:rsidRDefault="0062068A">
      <w:pPr>
        <w:spacing w:after="0" w:line="240" w:lineRule="auto"/>
      </w:pPr>
      <w:r>
        <w:separator/>
      </w:r>
    </w:p>
  </w:endnote>
  <w:endnote w:type="continuationSeparator" w:id="0">
    <w:p w14:paraId="39B5F08C" w14:textId="77777777" w:rsidR="0062068A" w:rsidRDefault="0062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AF0A" w14:textId="77777777" w:rsidR="0062068A" w:rsidRDefault="0062068A">
      <w:pPr>
        <w:spacing w:after="0" w:line="240" w:lineRule="auto"/>
      </w:pPr>
      <w:r>
        <w:separator/>
      </w:r>
    </w:p>
  </w:footnote>
  <w:footnote w:type="continuationSeparator" w:id="0">
    <w:p w14:paraId="74888A37" w14:textId="77777777" w:rsidR="0062068A" w:rsidRDefault="0062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17250"/>
      <w:docPartObj>
        <w:docPartGallery w:val="Page Numbers (Top of Page)"/>
        <w:docPartUnique/>
      </w:docPartObj>
    </w:sdtPr>
    <w:sdtEndPr/>
    <w:sdtContent>
      <w:p w14:paraId="1209CAFB" w14:textId="77777777" w:rsidR="00F622E6" w:rsidRDefault="00BE2D64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0433">
          <w:rPr>
            <w:noProof/>
            <w:lang w:val="fr-FR"/>
          </w:rPr>
          <w:t>2</w:t>
        </w:r>
        <w:r>
          <w:fldChar w:fldCharType="end"/>
        </w:r>
      </w:p>
    </w:sdtContent>
  </w:sdt>
  <w:p w14:paraId="1CBCB6DC" w14:textId="77777777" w:rsidR="00F622E6" w:rsidRDefault="004F53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D5CE3"/>
    <w:multiLevelType w:val="hybridMultilevel"/>
    <w:tmpl w:val="45EE44EE"/>
    <w:lvl w:ilvl="0" w:tplc="7E7E3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4764"/>
    <w:multiLevelType w:val="hybridMultilevel"/>
    <w:tmpl w:val="C930C8B0"/>
    <w:lvl w:ilvl="0" w:tplc="8AD0E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76D2"/>
    <w:multiLevelType w:val="hybridMultilevel"/>
    <w:tmpl w:val="2B54B048"/>
    <w:lvl w:ilvl="0" w:tplc="DF8694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14A26"/>
    <w:multiLevelType w:val="hybridMultilevel"/>
    <w:tmpl w:val="821A8E86"/>
    <w:lvl w:ilvl="0" w:tplc="854C4DC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073FF"/>
    <w:multiLevelType w:val="hybridMultilevel"/>
    <w:tmpl w:val="CA62C472"/>
    <w:lvl w:ilvl="0" w:tplc="5DD8AB0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13"/>
    <w:rsid w:val="0000080C"/>
    <w:rsid w:val="000049F8"/>
    <w:rsid w:val="00026456"/>
    <w:rsid w:val="0002756A"/>
    <w:rsid w:val="00070CBC"/>
    <w:rsid w:val="00071E22"/>
    <w:rsid w:val="00086922"/>
    <w:rsid w:val="00097788"/>
    <w:rsid w:val="000A30A4"/>
    <w:rsid w:val="000B0EC7"/>
    <w:rsid w:val="000D6344"/>
    <w:rsid w:val="000E53A5"/>
    <w:rsid w:val="000F104D"/>
    <w:rsid w:val="000F2304"/>
    <w:rsid w:val="00111F57"/>
    <w:rsid w:val="00144E80"/>
    <w:rsid w:val="00146EFB"/>
    <w:rsid w:val="00147B30"/>
    <w:rsid w:val="0015666D"/>
    <w:rsid w:val="00173379"/>
    <w:rsid w:val="00175669"/>
    <w:rsid w:val="00182D73"/>
    <w:rsid w:val="00190A33"/>
    <w:rsid w:val="00192F4F"/>
    <w:rsid w:val="001B6925"/>
    <w:rsid w:val="001C72AB"/>
    <w:rsid w:val="001D5399"/>
    <w:rsid w:val="001D5EF8"/>
    <w:rsid w:val="001E2A88"/>
    <w:rsid w:val="001F1D22"/>
    <w:rsid w:val="00242B5E"/>
    <w:rsid w:val="0026491F"/>
    <w:rsid w:val="002801D2"/>
    <w:rsid w:val="002825AD"/>
    <w:rsid w:val="00292FCD"/>
    <w:rsid w:val="00297062"/>
    <w:rsid w:val="00297A82"/>
    <w:rsid w:val="002C799B"/>
    <w:rsid w:val="002E63A7"/>
    <w:rsid w:val="003040FD"/>
    <w:rsid w:val="00320B13"/>
    <w:rsid w:val="00350D62"/>
    <w:rsid w:val="00383B9D"/>
    <w:rsid w:val="00386A8F"/>
    <w:rsid w:val="003A556B"/>
    <w:rsid w:val="003E0724"/>
    <w:rsid w:val="003E5F8F"/>
    <w:rsid w:val="003E702F"/>
    <w:rsid w:val="003F54D7"/>
    <w:rsid w:val="00410111"/>
    <w:rsid w:val="00430AAA"/>
    <w:rsid w:val="00432199"/>
    <w:rsid w:val="00435680"/>
    <w:rsid w:val="004364A0"/>
    <w:rsid w:val="00457942"/>
    <w:rsid w:val="00472253"/>
    <w:rsid w:val="00483F3C"/>
    <w:rsid w:val="00491CE5"/>
    <w:rsid w:val="004A0E1F"/>
    <w:rsid w:val="004B0738"/>
    <w:rsid w:val="004B1E24"/>
    <w:rsid w:val="004B713A"/>
    <w:rsid w:val="004C10D6"/>
    <w:rsid w:val="004D1EC3"/>
    <w:rsid w:val="004E6F18"/>
    <w:rsid w:val="004F1C74"/>
    <w:rsid w:val="004F536B"/>
    <w:rsid w:val="00500936"/>
    <w:rsid w:val="00510124"/>
    <w:rsid w:val="005141E7"/>
    <w:rsid w:val="00523833"/>
    <w:rsid w:val="0055390E"/>
    <w:rsid w:val="00584059"/>
    <w:rsid w:val="005A0C38"/>
    <w:rsid w:val="005C48D3"/>
    <w:rsid w:val="005C6897"/>
    <w:rsid w:val="005D21D7"/>
    <w:rsid w:val="005D2762"/>
    <w:rsid w:val="005D32C5"/>
    <w:rsid w:val="005E159D"/>
    <w:rsid w:val="005E3B87"/>
    <w:rsid w:val="005E4D76"/>
    <w:rsid w:val="0062068A"/>
    <w:rsid w:val="006376AB"/>
    <w:rsid w:val="00643BB1"/>
    <w:rsid w:val="0066568F"/>
    <w:rsid w:val="00666525"/>
    <w:rsid w:val="00676AFB"/>
    <w:rsid w:val="00677C78"/>
    <w:rsid w:val="00697C5F"/>
    <w:rsid w:val="006B69BE"/>
    <w:rsid w:val="006D10E7"/>
    <w:rsid w:val="006E608C"/>
    <w:rsid w:val="006E723E"/>
    <w:rsid w:val="006F25DE"/>
    <w:rsid w:val="006F4A96"/>
    <w:rsid w:val="00703557"/>
    <w:rsid w:val="0072030F"/>
    <w:rsid w:val="00721276"/>
    <w:rsid w:val="0072317C"/>
    <w:rsid w:val="007371B9"/>
    <w:rsid w:val="00737F5B"/>
    <w:rsid w:val="00740F60"/>
    <w:rsid w:val="00754CEC"/>
    <w:rsid w:val="007674C3"/>
    <w:rsid w:val="00786DD1"/>
    <w:rsid w:val="007A2555"/>
    <w:rsid w:val="007B69AA"/>
    <w:rsid w:val="007D2EBE"/>
    <w:rsid w:val="007E121F"/>
    <w:rsid w:val="007F1E52"/>
    <w:rsid w:val="00801B8C"/>
    <w:rsid w:val="00836D29"/>
    <w:rsid w:val="008434B6"/>
    <w:rsid w:val="00875A97"/>
    <w:rsid w:val="0089558F"/>
    <w:rsid w:val="008B33AB"/>
    <w:rsid w:val="008B37CA"/>
    <w:rsid w:val="008C0C23"/>
    <w:rsid w:val="008D437C"/>
    <w:rsid w:val="008D763E"/>
    <w:rsid w:val="00904CC4"/>
    <w:rsid w:val="00906AAF"/>
    <w:rsid w:val="00913BEA"/>
    <w:rsid w:val="009216A4"/>
    <w:rsid w:val="009258FB"/>
    <w:rsid w:val="009514D2"/>
    <w:rsid w:val="009759DD"/>
    <w:rsid w:val="0099765A"/>
    <w:rsid w:val="009978F1"/>
    <w:rsid w:val="009B59C5"/>
    <w:rsid w:val="009C2D44"/>
    <w:rsid w:val="009E2BE4"/>
    <w:rsid w:val="009E38FE"/>
    <w:rsid w:val="00A452BB"/>
    <w:rsid w:val="00A5449D"/>
    <w:rsid w:val="00A61A57"/>
    <w:rsid w:val="00A753A9"/>
    <w:rsid w:val="00A93769"/>
    <w:rsid w:val="00AA2BB2"/>
    <w:rsid w:val="00AB5036"/>
    <w:rsid w:val="00AF436D"/>
    <w:rsid w:val="00AF4D64"/>
    <w:rsid w:val="00B0197B"/>
    <w:rsid w:val="00B06372"/>
    <w:rsid w:val="00B121A2"/>
    <w:rsid w:val="00B27354"/>
    <w:rsid w:val="00B31312"/>
    <w:rsid w:val="00B6223A"/>
    <w:rsid w:val="00B7034F"/>
    <w:rsid w:val="00B750C3"/>
    <w:rsid w:val="00B761D2"/>
    <w:rsid w:val="00B8071A"/>
    <w:rsid w:val="00B94924"/>
    <w:rsid w:val="00B96B8E"/>
    <w:rsid w:val="00BB1232"/>
    <w:rsid w:val="00BB16E5"/>
    <w:rsid w:val="00BD693E"/>
    <w:rsid w:val="00BE2D64"/>
    <w:rsid w:val="00BF0668"/>
    <w:rsid w:val="00C06E1D"/>
    <w:rsid w:val="00C4501A"/>
    <w:rsid w:val="00C610CC"/>
    <w:rsid w:val="00C6274E"/>
    <w:rsid w:val="00C66F79"/>
    <w:rsid w:val="00C731F8"/>
    <w:rsid w:val="00C74569"/>
    <w:rsid w:val="00C91068"/>
    <w:rsid w:val="00C95EF5"/>
    <w:rsid w:val="00CE348F"/>
    <w:rsid w:val="00CE6C77"/>
    <w:rsid w:val="00CF4C02"/>
    <w:rsid w:val="00CF63D7"/>
    <w:rsid w:val="00D04107"/>
    <w:rsid w:val="00D11D2C"/>
    <w:rsid w:val="00D177EA"/>
    <w:rsid w:val="00D34E5B"/>
    <w:rsid w:val="00D42E21"/>
    <w:rsid w:val="00D45A8C"/>
    <w:rsid w:val="00D538A2"/>
    <w:rsid w:val="00D90156"/>
    <w:rsid w:val="00DA5277"/>
    <w:rsid w:val="00DB6771"/>
    <w:rsid w:val="00DD06B9"/>
    <w:rsid w:val="00DD692B"/>
    <w:rsid w:val="00E3468B"/>
    <w:rsid w:val="00E37CC1"/>
    <w:rsid w:val="00E43A83"/>
    <w:rsid w:val="00EB124C"/>
    <w:rsid w:val="00ED1078"/>
    <w:rsid w:val="00ED15C1"/>
    <w:rsid w:val="00ED79A4"/>
    <w:rsid w:val="00EE18A9"/>
    <w:rsid w:val="00EF79D0"/>
    <w:rsid w:val="00F04439"/>
    <w:rsid w:val="00F101E7"/>
    <w:rsid w:val="00F12BD5"/>
    <w:rsid w:val="00F33DA1"/>
    <w:rsid w:val="00F46919"/>
    <w:rsid w:val="00F60D39"/>
    <w:rsid w:val="00F66B58"/>
    <w:rsid w:val="00F73CB8"/>
    <w:rsid w:val="00F92B8D"/>
    <w:rsid w:val="00FA08DC"/>
    <w:rsid w:val="00FC526B"/>
    <w:rsid w:val="00FC5E3F"/>
    <w:rsid w:val="00FD3585"/>
    <w:rsid w:val="00FF3272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31EE"/>
  <w15:chartTrackingRefBased/>
  <w15:docId w15:val="{3409DE6D-58C5-4375-A901-9D665A2E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B13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320B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320B1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B13"/>
  </w:style>
  <w:style w:type="character" w:styleId="Mentionnonrsolue">
    <w:name w:val="Unresolved Mention"/>
    <w:basedOn w:val="Policepardfaut"/>
    <w:uiPriority w:val="99"/>
    <w:semiHidden/>
    <w:unhideWhenUsed/>
    <w:rsid w:val="007D2EB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AF2CDE64B444FBD111D1FF3933C6E" ma:contentTypeVersion="13" ma:contentTypeDescription="Create a new document." ma:contentTypeScope="" ma:versionID="9cfe9bf9255bad884a7fdeb6501b5022">
  <xsd:schema xmlns:xsd="http://www.w3.org/2001/XMLSchema" xmlns:xs="http://www.w3.org/2001/XMLSchema" xmlns:p="http://schemas.microsoft.com/office/2006/metadata/properties" xmlns:ns3="405fe75c-2e65-41c6-ac91-4e4be387e913" xmlns:ns4="917175f5-fe42-4b9b-814f-7a3f4d47737a" targetNamespace="http://schemas.microsoft.com/office/2006/metadata/properties" ma:root="true" ma:fieldsID="14931c7ac2286fcba91441d0d0370b38" ns3:_="" ns4:_="">
    <xsd:import namespace="405fe75c-2e65-41c6-ac91-4e4be387e913"/>
    <xsd:import namespace="917175f5-fe42-4b9b-814f-7a3f4d477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fe75c-2e65-41c6-ac91-4e4be387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75f5-fe42-4b9b-814f-7a3f4d477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9DFAD-3D80-423C-8502-8E6565D9A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fe75c-2e65-41c6-ac91-4e4be387e913"/>
    <ds:schemaRef ds:uri="917175f5-fe42-4b9b-814f-7a3f4d477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A85C4-C908-4BCE-9D95-A366285E6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10F6A-4397-4934-9A4B-0245EC8ADF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Seynabou Diaw Ba</dc:creator>
  <cp:keywords/>
  <dc:description/>
  <cp:lastModifiedBy>Dieynaba Ba Ndiaye</cp:lastModifiedBy>
  <cp:revision>2</cp:revision>
  <dcterms:created xsi:type="dcterms:W3CDTF">2021-03-09T18:12:00Z</dcterms:created>
  <dcterms:modified xsi:type="dcterms:W3CDTF">2021-03-09T18:12:00Z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0x010100749AF2CDE64B444FBD111D1FF3933C6E</vt:lpwstr>
  </property>
</Properties>
</file>