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175A4" w14:textId="7E65D838" w:rsidR="000707CB" w:rsidRDefault="00D1691B">
      <w:r w:rsidRPr="00D1691B">
        <w:t>3.1. To develop KPIs for regular procurement processes (non-LTA) based on current supplier performance evaluations.</w:t>
      </w:r>
    </w:p>
    <w:p w14:paraId="2424C8D8" w14:textId="77777777" w:rsidR="004810DA" w:rsidRDefault="004810DA"/>
    <w:p w14:paraId="6C22A9A9" w14:textId="73A80197" w:rsidR="00970905" w:rsidRPr="00970905" w:rsidRDefault="00970905" w:rsidP="00970905">
      <w:pPr>
        <w:rPr>
          <w:i/>
          <w:iCs/>
        </w:rPr>
      </w:pPr>
      <w:r w:rsidRPr="00970905">
        <w:rPr>
          <w:i/>
          <w:iCs/>
        </w:rPr>
        <w:t xml:space="preserve">KPI 1: Timeliness of delivery </w:t>
      </w:r>
      <w:r w:rsidR="0062037D" w:rsidRPr="00970905">
        <w:rPr>
          <w:i/>
          <w:iCs/>
        </w:rPr>
        <w:t xml:space="preserve">– </w:t>
      </w:r>
      <w:r w:rsidRPr="00970905">
        <w:rPr>
          <w:i/>
          <w:iCs/>
        </w:rPr>
        <w:t>target is 90%.</w:t>
      </w:r>
    </w:p>
    <w:p w14:paraId="69DF3A20" w14:textId="364E3F3D" w:rsidR="00935624" w:rsidRDefault="00970905" w:rsidP="00970905">
      <w:r>
        <w:t>Defined as the timeline of actual delivery time of goods as per Estimated Time of Delivery (ETD) in line with Contract’s terms.</w:t>
      </w:r>
    </w:p>
    <w:p w14:paraId="0081065E" w14:textId="77777777" w:rsidR="00970905" w:rsidRDefault="00970905" w:rsidP="00970905"/>
    <w:p w14:paraId="1A89857B" w14:textId="53EA2057" w:rsidR="00970905" w:rsidRPr="00970905" w:rsidRDefault="00970905" w:rsidP="00970905">
      <w:pPr>
        <w:rPr>
          <w:i/>
          <w:iCs/>
        </w:rPr>
      </w:pPr>
      <w:r w:rsidRPr="00970905">
        <w:rPr>
          <w:i/>
          <w:iCs/>
        </w:rPr>
        <w:t xml:space="preserve">KPI </w:t>
      </w:r>
      <w:r>
        <w:rPr>
          <w:i/>
          <w:iCs/>
        </w:rPr>
        <w:t>2</w:t>
      </w:r>
      <w:r w:rsidRPr="00970905">
        <w:rPr>
          <w:i/>
          <w:iCs/>
        </w:rPr>
        <w:t xml:space="preserve">: Completeness </w:t>
      </w:r>
      <w:r>
        <w:rPr>
          <w:i/>
          <w:iCs/>
        </w:rPr>
        <w:t xml:space="preserve">and correctness </w:t>
      </w:r>
      <w:r w:rsidRPr="00970905">
        <w:rPr>
          <w:i/>
          <w:iCs/>
        </w:rPr>
        <w:t>of delivery – target is 100%.</w:t>
      </w:r>
    </w:p>
    <w:p w14:paraId="7A9631B9" w14:textId="194EF419" w:rsidR="00970905" w:rsidRDefault="00970905" w:rsidP="00970905">
      <w:r>
        <w:t xml:space="preserve">Defined as percentage of goods delivered in line with Contract’s specification. Shortshipped or </w:t>
      </w:r>
      <w:proofErr w:type="spellStart"/>
      <w:r>
        <w:t>wrongshipped</w:t>
      </w:r>
      <w:proofErr w:type="spellEnd"/>
      <w:r>
        <w:t xml:space="preserve"> products to be delivered or replaced till the delivery deadline in Contract, if any.</w:t>
      </w:r>
    </w:p>
    <w:p w14:paraId="04F72326" w14:textId="77777777" w:rsidR="004D186F" w:rsidRDefault="004D186F" w:rsidP="00970905"/>
    <w:p w14:paraId="730E986F" w14:textId="00B9069D" w:rsidR="004D186F" w:rsidRPr="00970905" w:rsidRDefault="004D186F" w:rsidP="004D186F">
      <w:pPr>
        <w:rPr>
          <w:i/>
          <w:iCs/>
        </w:rPr>
      </w:pPr>
      <w:r w:rsidRPr="00970905">
        <w:rPr>
          <w:i/>
          <w:iCs/>
        </w:rPr>
        <w:t xml:space="preserve">KPI </w:t>
      </w:r>
      <w:r>
        <w:rPr>
          <w:i/>
          <w:iCs/>
        </w:rPr>
        <w:t>3</w:t>
      </w:r>
      <w:r w:rsidRPr="00970905">
        <w:rPr>
          <w:i/>
          <w:iCs/>
        </w:rPr>
        <w:t xml:space="preserve">: </w:t>
      </w:r>
      <w:r>
        <w:rPr>
          <w:i/>
          <w:iCs/>
        </w:rPr>
        <w:t>QA compliance</w:t>
      </w:r>
      <w:r w:rsidRPr="00970905">
        <w:rPr>
          <w:i/>
          <w:iCs/>
        </w:rPr>
        <w:t xml:space="preserve"> – target is 100%.</w:t>
      </w:r>
    </w:p>
    <w:p w14:paraId="11FAC3C0" w14:textId="64E59AFC" w:rsidR="004D186F" w:rsidRDefault="004D186F" w:rsidP="004D186F">
      <w:r>
        <w:t>Certificates of Analysis and/or Batch release certificates are fully in line with vendors bid/offer resulted in contract establishment.</w:t>
      </w:r>
    </w:p>
    <w:p w14:paraId="5777971A" w14:textId="21ECAD51" w:rsidR="004D186F" w:rsidRDefault="004D186F" w:rsidP="004D186F"/>
    <w:p w14:paraId="0C9264FD" w14:textId="561F478B" w:rsidR="00C642C8" w:rsidRPr="00274476" w:rsidRDefault="00C642C8" w:rsidP="00C642C8">
      <w:pPr>
        <w:spacing w:line="276" w:lineRule="auto"/>
        <w:jc w:val="both"/>
        <w:rPr>
          <w:i/>
          <w:szCs w:val="24"/>
        </w:rPr>
      </w:pPr>
      <w:r w:rsidRPr="00274476">
        <w:rPr>
          <w:i/>
          <w:szCs w:val="24"/>
        </w:rPr>
        <w:t xml:space="preserve">KPI 4: Communication and status updates </w:t>
      </w:r>
      <w:r w:rsidR="0062037D" w:rsidRPr="00970905">
        <w:rPr>
          <w:i/>
          <w:iCs/>
        </w:rPr>
        <w:t xml:space="preserve">– </w:t>
      </w:r>
      <w:r w:rsidRPr="00274476">
        <w:rPr>
          <w:i/>
          <w:szCs w:val="24"/>
        </w:rPr>
        <w:t>target is 100%.</w:t>
      </w:r>
    </w:p>
    <w:p w14:paraId="6738E326" w14:textId="7866E302" w:rsidR="00C642C8" w:rsidRDefault="00C642C8" w:rsidP="00C642C8">
      <w:pPr>
        <w:spacing w:line="276" w:lineRule="auto"/>
        <w:jc w:val="both"/>
        <w:rPr>
          <w:szCs w:val="24"/>
        </w:rPr>
      </w:pPr>
      <w:r w:rsidRPr="00274476">
        <w:rPr>
          <w:szCs w:val="24"/>
        </w:rPr>
        <w:t xml:space="preserve">Define as the quality </w:t>
      </w:r>
      <w:r w:rsidR="0011554D">
        <w:rPr>
          <w:szCs w:val="24"/>
        </w:rPr>
        <w:t xml:space="preserve">and </w:t>
      </w:r>
      <w:r w:rsidR="0011554D" w:rsidRPr="0011554D">
        <w:rPr>
          <w:szCs w:val="24"/>
        </w:rPr>
        <w:t xml:space="preserve">timeliness </w:t>
      </w:r>
      <w:r w:rsidRPr="00274476">
        <w:rPr>
          <w:szCs w:val="24"/>
        </w:rPr>
        <w:t xml:space="preserve">of communication, sufficiency of updates and proactive approach </w:t>
      </w:r>
      <w:r>
        <w:rPr>
          <w:szCs w:val="24"/>
        </w:rPr>
        <w:t xml:space="preserve">for any </w:t>
      </w:r>
      <w:r w:rsidRPr="00C642C8">
        <w:rPr>
          <w:szCs w:val="24"/>
        </w:rPr>
        <w:t>unforeseen</w:t>
      </w:r>
      <w:r>
        <w:rPr>
          <w:szCs w:val="24"/>
        </w:rPr>
        <w:t xml:space="preserve"> circumstances, including the any delays on any stages of goods preparation (ordering, manufacture, internal logistics, packing, QC</w:t>
      </w:r>
      <w:r w:rsidR="00575A2A">
        <w:rPr>
          <w:szCs w:val="24"/>
        </w:rPr>
        <w:t>, certificates issuance, registration</w:t>
      </w:r>
      <w:r w:rsidR="00E57D95">
        <w:rPr>
          <w:szCs w:val="24"/>
        </w:rPr>
        <w:t>/certification/declaration</w:t>
      </w:r>
      <w:r w:rsidR="00575A2A">
        <w:rPr>
          <w:szCs w:val="24"/>
        </w:rPr>
        <w:t xml:space="preserve"> in Ukraine)</w:t>
      </w:r>
      <w:r w:rsidRPr="00274476">
        <w:rPr>
          <w:szCs w:val="24"/>
        </w:rPr>
        <w:t>.</w:t>
      </w:r>
    </w:p>
    <w:p w14:paraId="1AAD1E08" w14:textId="77777777" w:rsidR="004810DA" w:rsidRDefault="004810DA" w:rsidP="00BD70EA">
      <w:pPr>
        <w:spacing w:line="276" w:lineRule="auto"/>
        <w:jc w:val="both"/>
        <w:rPr>
          <w:i/>
          <w:szCs w:val="24"/>
        </w:rPr>
      </w:pPr>
    </w:p>
    <w:p w14:paraId="39846CA2" w14:textId="2A2CFB30" w:rsidR="00BD70EA" w:rsidRPr="00274476" w:rsidRDefault="00BD70EA" w:rsidP="00BD70EA">
      <w:pPr>
        <w:spacing w:line="276" w:lineRule="auto"/>
        <w:jc w:val="both"/>
        <w:rPr>
          <w:i/>
          <w:szCs w:val="24"/>
        </w:rPr>
      </w:pPr>
      <w:r w:rsidRPr="00274476">
        <w:rPr>
          <w:i/>
          <w:szCs w:val="24"/>
        </w:rPr>
        <w:t xml:space="preserve">KPI 4: </w:t>
      </w:r>
      <w:r>
        <w:rPr>
          <w:i/>
          <w:szCs w:val="24"/>
        </w:rPr>
        <w:t>Performance security</w:t>
      </w:r>
      <w:r w:rsidRPr="00274476">
        <w:rPr>
          <w:i/>
          <w:szCs w:val="24"/>
        </w:rPr>
        <w:t xml:space="preserve"> </w:t>
      </w:r>
      <w:r w:rsidRPr="00970905">
        <w:rPr>
          <w:i/>
          <w:iCs/>
        </w:rPr>
        <w:t xml:space="preserve">– </w:t>
      </w:r>
      <w:r w:rsidRPr="00274476">
        <w:rPr>
          <w:i/>
          <w:szCs w:val="24"/>
        </w:rPr>
        <w:t xml:space="preserve">target is </w:t>
      </w:r>
      <w:r>
        <w:rPr>
          <w:i/>
          <w:szCs w:val="24"/>
        </w:rPr>
        <w:t>90</w:t>
      </w:r>
      <w:r w:rsidRPr="00274476">
        <w:rPr>
          <w:i/>
          <w:szCs w:val="24"/>
        </w:rPr>
        <w:t>%.</w:t>
      </w:r>
    </w:p>
    <w:p w14:paraId="28484AB6" w14:textId="7B219FA5" w:rsidR="00BD70EA" w:rsidRDefault="00BD70EA" w:rsidP="00BD70EA">
      <w:pPr>
        <w:spacing w:line="276" w:lineRule="auto"/>
        <w:jc w:val="both"/>
        <w:rPr>
          <w:szCs w:val="24"/>
        </w:rPr>
      </w:pPr>
      <w:r>
        <w:rPr>
          <w:szCs w:val="24"/>
        </w:rPr>
        <w:t>The bank bond of the performance security to be provided to UNDP scanned within 2 weeks after the contract signing and 1 months in a hard copy (if issued without electronic signature of the bank).</w:t>
      </w:r>
    </w:p>
    <w:p w14:paraId="62FB9823" w14:textId="77777777" w:rsidR="0011554D" w:rsidRDefault="0011554D" w:rsidP="0011554D"/>
    <w:p w14:paraId="69086096" w14:textId="04DF7E87" w:rsidR="0011554D" w:rsidRPr="00274476" w:rsidRDefault="0011554D" w:rsidP="0011554D">
      <w:pPr>
        <w:spacing w:line="276" w:lineRule="auto"/>
        <w:jc w:val="both"/>
        <w:rPr>
          <w:i/>
          <w:szCs w:val="24"/>
        </w:rPr>
      </w:pPr>
      <w:r w:rsidRPr="00274476">
        <w:rPr>
          <w:i/>
          <w:szCs w:val="24"/>
        </w:rPr>
        <w:t xml:space="preserve">KPI </w:t>
      </w:r>
      <w:r w:rsidR="00BD70EA">
        <w:rPr>
          <w:i/>
          <w:szCs w:val="24"/>
        </w:rPr>
        <w:t>6</w:t>
      </w:r>
      <w:r w:rsidRPr="00274476">
        <w:rPr>
          <w:i/>
          <w:szCs w:val="24"/>
        </w:rPr>
        <w:t xml:space="preserve">: </w:t>
      </w:r>
      <w:r>
        <w:rPr>
          <w:i/>
          <w:szCs w:val="24"/>
        </w:rPr>
        <w:t>Registration</w:t>
      </w:r>
      <w:r>
        <w:t>/</w:t>
      </w:r>
      <w:r w:rsidRPr="0011554D">
        <w:rPr>
          <w:i/>
          <w:szCs w:val="24"/>
        </w:rPr>
        <w:t>certification/declaration</w:t>
      </w:r>
      <w:r>
        <w:rPr>
          <w:i/>
          <w:szCs w:val="24"/>
        </w:rPr>
        <w:t xml:space="preserve"> in Ukraine </w:t>
      </w:r>
      <w:r w:rsidRPr="00970905">
        <w:rPr>
          <w:i/>
          <w:iCs/>
        </w:rPr>
        <w:t xml:space="preserve">– </w:t>
      </w:r>
      <w:r w:rsidRPr="00274476">
        <w:rPr>
          <w:i/>
          <w:szCs w:val="24"/>
        </w:rPr>
        <w:t xml:space="preserve">target is </w:t>
      </w:r>
      <w:r w:rsidR="001052FB">
        <w:rPr>
          <w:i/>
          <w:szCs w:val="24"/>
        </w:rPr>
        <w:t>90</w:t>
      </w:r>
      <w:r w:rsidRPr="00274476">
        <w:rPr>
          <w:i/>
          <w:szCs w:val="24"/>
        </w:rPr>
        <w:t>%</w:t>
      </w:r>
      <w:r w:rsidR="004C5FA9">
        <w:rPr>
          <w:i/>
          <w:szCs w:val="24"/>
        </w:rPr>
        <w:t xml:space="preserve"> (non-registered products only)</w:t>
      </w:r>
      <w:r w:rsidRPr="00274476">
        <w:rPr>
          <w:i/>
          <w:szCs w:val="24"/>
        </w:rPr>
        <w:t>.</w:t>
      </w:r>
    </w:p>
    <w:p w14:paraId="5ADAD99F" w14:textId="1FF76CAB" w:rsidR="0011554D" w:rsidRDefault="004C5FA9" w:rsidP="00C642C8">
      <w:pPr>
        <w:spacing w:line="276" w:lineRule="auto"/>
        <w:jc w:val="both"/>
        <w:rPr>
          <w:szCs w:val="24"/>
        </w:rPr>
      </w:pPr>
      <w:r>
        <w:rPr>
          <w:szCs w:val="24"/>
        </w:rPr>
        <w:t>Vendor should start r</w:t>
      </w:r>
      <w:r w:rsidRPr="004C5FA9">
        <w:rPr>
          <w:szCs w:val="24"/>
        </w:rPr>
        <w:t>egistration/certification/declaration</w:t>
      </w:r>
      <w:r>
        <w:rPr>
          <w:szCs w:val="24"/>
        </w:rPr>
        <w:t xml:space="preserve"> process in Ukraine for non-registered products within 2 weeks after the contract establishment. Vendor should inform UNDP about every stage fulfilment: successful application, registration fee payment, questions </w:t>
      </w:r>
      <w:proofErr w:type="gramStart"/>
      <w:r w:rsidR="001052FB">
        <w:rPr>
          <w:szCs w:val="24"/>
        </w:rPr>
        <w:t>received</w:t>
      </w:r>
      <w:proofErr w:type="gramEnd"/>
      <w:r>
        <w:rPr>
          <w:szCs w:val="24"/>
        </w:rPr>
        <w:t xml:space="preserve"> and clarifications provided to the NRA of Ukraine, estimated certificate/declaration issuance date.</w:t>
      </w:r>
    </w:p>
    <w:p w14:paraId="0924E4DB" w14:textId="676C6519" w:rsidR="00E57D95" w:rsidRDefault="00E57D95" w:rsidP="00C642C8">
      <w:pPr>
        <w:spacing w:line="276" w:lineRule="auto"/>
        <w:jc w:val="both"/>
        <w:rPr>
          <w:szCs w:val="24"/>
        </w:rPr>
      </w:pPr>
    </w:p>
    <w:p w14:paraId="446F4B1F" w14:textId="77777777" w:rsidR="00E57D95" w:rsidRPr="00274476" w:rsidRDefault="00E57D95" w:rsidP="00C642C8">
      <w:pPr>
        <w:spacing w:line="276" w:lineRule="auto"/>
        <w:jc w:val="both"/>
        <w:rPr>
          <w:szCs w:val="24"/>
        </w:rPr>
      </w:pPr>
    </w:p>
    <w:p w14:paraId="0FC1D359" w14:textId="77777777" w:rsidR="004D186F" w:rsidRDefault="004D186F" w:rsidP="004D186F"/>
    <w:p w14:paraId="20A901D7" w14:textId="0EB84F2E" w:rsidR="00970905" w:rsidRDefault="00970905" w:rsidP="00970905"/>
    <w:p w14:paraId="4FC2426B" w14:textId="77777777" w:rsidR="00970905" w:rsidRDefault="00970905" w:rsidP="00970905"/>
    <w:sectPr w:rsidR="00970905" w:rsidSect="006C47EF">
      <w:type w:val="continuous"/>
      <w:pgSz w:w="11906" w:h="16838" w:code="9"/>
      <w:pgMar w:top="1440" w:right="1138" w:bottom="850" w:left="993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8F"/>
    <w:rsid w:val="000707CB"/>
    <w:rsid w:val="001052FB"/>
    <w:rsid w:val="0011554D"/>
    <w:rsid w:val="004810DA"/>
    <w:rsid w:val="004C5FA9"/>
    <w:rsid w:val="004D186F"/>
    <w:rsid w:val="00575A2A"/>
    <w:rsid w:val="005A4E93"/>
    <w:rsid w:val="0062037D"/>
    <w:rsid w:val="006C47EF"/>
    <w:rsid w:val="00935624"/>
    <w:rsid w:val="00970905"/>
    <w:rsid w:val="00BD70EA"/>
    <w:rsid w:val="00C642C8"/>
    <w:rsid w:val="00D1691B"/>
    <w:rsid w:val="00E31B6C"/>
    <w:rsid w:val="00E57D95"/>
    <w:rsid w:val="00E7386E"/>
    <w:rsid w:val="00EE1B8F"/>
    <w:rsid w:val="00F726C2"/>
    <w:rsid w:val="00FD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71D7"/>
  <w15:chartTrackingRefBased/>
  <w15:docId w15:val="{62B860BA-C795-4950-9DBE-2C875431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65392E1E91342A209E5F913EB3E19" ma:contentTypeVersion="4" ma:contentTypeDescription="Create a new document." ma:contentTypeScope="" ma:versionID="5dcc1f1e91e6c0f3fa3763af9325828f">
  <xsd:schema xmlns:xsd="http://www.w3.org/2001/XMLSchema" xmlns:xs="http://www.w3.org/2001/XMLSchema" xmlns:p="http://schemas.microsoft.com/office/2006/metadata/properties" xmlns:ns2="1b57cea3-3b1d-450b-bbb0-1945d610d759" targetNamespace="http://schemas.microsoft.com/office/2006/metadata/properties" ma:root="true" ma:fieldsID="1e931fd31b7a8767c7220b34d2bda35f" ns2:_="">
    <xsd:import namespace="1b57cea3-3b1d-450b-bbb0-1945d610d7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7cea3-3b1d-450b-bbb0-1945d610d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6E56E9-EDC4-4FB2-BBD0-C29D10B6E14F}"/>
</file>

<file path=customXml/itemProps2.xml><?xml version="1.0" encoding="utf-8"?>
<ds:datastoreItem xmlns:ds="http://schemas.openxmlformats.org/officeDocument/2006/customXml" ds:itemID="{77455D7F-4E0D-43DF-9C35-60CD45B04FED}"/>
</file>

<file path=customXml/itemProps3.xml><?xml version="1.0" encoding="utf-8"?>
<ds:datastoreItem xmlns:ds="http://schemas.openxmlformats.org/officeDocument/2006/customXml" ds:itemID="{A9818FED-EEB9-46A0-8F8C-2DCDBC545A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 Starobykovskyi</dc:creator>
  <cp:keywords/>
  <dc:description/>
  <cp:lastModifiedBy>Tetyana Diachuk</cp:lastModifiedBy>
  <cp:revision>2</cp:revision>
  <dcterms:created xsi:type="dcterms:W3CDTF">2021-04-02T08:14:00Z</dcterms:created>
  <dcterms:modified xsi:type="dcterms:W3CDTF">2021-04-02T08:14:00Z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0x01010008365392E1E91342A209E5F913EB3E19</vt:lpwstr>
  </property>
</Properties>
</file>