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4C3E" w14:textId="77777777" w:rsidR="00DB77DD" w:rsidRPr="006726CE" w:rsidRDefault="00DB77DD" w:rsidP="005356D9">
      <w:pPr>
        <w:tabs>
          <w:tab w:val="left" w:pos="1410"/>
        </w:tabs>
        <w:spacing w:line="240" w:lineRule="atLeast"/>
        <w:ind w:left="1410"/>
        <w:contextualSpacing/>
        <w:jc w:val="center"/>
      </w:pPr>
      <w:r w:rsidRPr="006C6946">
        <w:rPr>
          <w:b/>
        </w:rPr>
        <w:t>INDIVIDUAL CONSULTANT PROCUREMENT NOTICE</w:t>
      </w:r>
      <w:r w:rsidRPr="006726CE">
        <w:t xml:space="preserve">  </w:t>
      </w:r>
      <w:r w:rsidR="009E2B22" w:rsidRPr="006726CE">
        <w:t xml:space="preserve">      </w:t>
      </w:r>
      <w:r w:rsidRPr="006726CE">
        <w:t xml:space="preserve">              </w:t>
      </w:r>
      <w:r w:rsidR="009E2B22" w:rsidRPr="006726CE">
        <w:t xml:space="preserve"> </w:t>
      </w:r>
      <w:r w:rsidRPr="006726CE">
        <w:rPr>
          <w:noProof/>
        </w:rPr>
        <w:drawing>
          <wp:inline distT="0" distB="0" distL="0" distR="0" wp14:anchorId="596A28D4" wp14:editId="58AD2940">
            <wp:extent cx="511810" cy="1023620"/>
            <wp:effectExtent l="19050" t="0" r="2540" b="0"/>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1" cstate="print"/>
                    <a:srcRect/>
                    <a:stretch>
                      <a:fillRect/>
                    </a:stretch>
                  </pic:blipFill>
                  <pic:spPr bwMode="auto">
                    <a:xfrm>
                      <a:off x="0" y="0"/>
                      <a:ext cx="511810" cy="1023620"/>
                    </a:xfrm>
                    <a:prstGeom prst="rect">
                      <a:avLst/>
                    </a:prstGeom>
                    <a:noFill/>
                    <a:ln w="9525">
                      <a:noFill/>
                      <a:miter lim="800000"/>
                      <a:headEnd/>
                      <a:tailEnd/>
                    </a:ln>
                  </pic:spPr>
                </pic:pic>
              </a:graphicData>
            </a:graphic>
          </wp:inline>
        </w:drawing>
      </w:r>
      <w:r w:rsidR="009E2B22" w:rsidRPr="006726CE">
        <w:t xml:space="preserve">                                      </w:t>
      </w:r>
      <w:r w:rsidRPr="006726CE">
        <w:t xml:space="preserve">                                                                                                                                                  </w:t>
      </w:r>
    </w:p>
    <w:p w14:paraId="2202EAC6" w14:textId="77777777" w:rsidR="009E2B22" w:rsidRPr="006726CE" w:rsidRDefault="009E2B22" w:rsidP="005356D9">
      <w:pPr>
        <w:tabs>
          <w:tab w:val="left" w:pos="1410"/>
        </w:tabs>
        <w:spacing w:line="240" w:lineRule="atLeast"/>
        <w:contextualSpacing/>
      </w:pPr>
      <w:r w:rsidRPr="006726CE">
        <w:t xml:space="preserve">                           </w:t>
      </w:r>
    </w:p>
    <w:p w14:paraId="64F57855" w14:textId="69853BC3" w:rsidR="009E2B22" w:rsidRPr="006726CE" w:rsidRDefault="009E2B22" w:rsidP="005356D9">
      <w:pPr>
        <w:tabs>
          <w:tab w:val="left" w:pos="1410"/>
        </w:tabs>
        <w:spacing w:line="240" w:lineRule="atLeast"/>
        <w:contextualSpacing/>
      </w:pPr>
      <w:r w:rsidRPr="006726CE">
        <w:t xml:space="preserve">                                                                                                                                   </w:t>
      </w:r>
      <w:r w:rsidR="00086485" w:rsidRPr="006726CE">
        <w:t xml:space="preserve">         </w:t>
      </w:r>
      <w:r w:rsidRPr="006726CE">
        <w:t xml:space="preserve">Date:     </w:t>
      </w:r>
      <w:r w:rsidR="00F3267E">
        <w:rPr>
          <w:color w:val="000000" w:themeColor="text1"/>
        </w:rPr>
        <w:t xml:space="preserve">3 </w:t>
      </w:r>
      <w:r w:rsidR="00595FAA">
        <w:rPr>
          <w:color w:val="000000" w:themeColor="text1"/>
        </w:rPr>
        <w:t>November</w:t>
      </w:r>
      <w:r w:rsidR="001A06BC">
        <w:rPr>
          <w:color w:val="000000" w:themeColor="text1"/>
        </w:rPr>
        <w:t xml:space="preserve"> 2020</w:t>
      </w:r>
    </w:p>
    <w:p w14:paraId="38163CE1" w14:textId="77777777" w:rsidR="009E2B22" w:rsidRPr="006726CE" w:rsidRDefault="007D726E" w:rsidP="005356D9">
      <w:pPr>
        <w:tabs>
          <w:tab w:val="left" w:pos="1410"/>
        </w:tabs>
        <w:spacing w:line="240" w:lineRule="atLeast"/>
        <w:contextualSpacing/>
        <w:rPr>
          <w:b/>
        </w:rPr>
      </w:pPr>
      <w:r w:rsidRPr="006726CE">
        <w:rPr>
          <w:b/>
          <w:noProof/>
        </w:rPr>
        <mc:AlternateContent>
          <mc:Choice Requires="wps">
            <w:drawing>
              <wp:anchor distT="0" distB="0" distL="114300" distR="114300" simplePos="0" relativeHeight="251658240" behindDoc="0" locked="0" layoutInCell="1" allowOverlap="1" wp14:anchorId="06146D19" wp14:editId="58A9FA53">
                <wp:simplePos x="0" y="0"/>
                <wp:positionH relativeFrom="column">
                  <wp:posOffset>-9525</wp:posOffset>
                </wp:positionH>
                <wp:positionV relativeFrom="paragraph">
                  <wp:posOffset>86995</wp:posOffset>
                </wp:positionV>
                <wp:extent cx="3916680" cy="0"/>
                <wp:effectExtent l="28575" t="29845" r="36195" b="368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17650" id="_x0000_t32" coordsize="21600,21600" o:spt="32" o:oned="t" path="m,l21600,21600e" filled="f">
                <v:path arrowok="t" fillok="f" o:connecttype="none"/>
                <o:lock v:ext="edit" shapetype="t"/>
              </v:shapetype>
              <v:shape id="AutoShape 3" o:spid="_x0000_s1026" type="#_x0000_t32" style="position:absolute;margin-left:-.75pt;margin-top:6.85pt;width:308.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" strokecolor="blue" strokeweight="4.5pt"/>
            </w:pict>
          </mc:Fallback>
        </mc:AlternateContent>
      </w:r>
    </w:p>
    <w:p w14:paraId="482A6213" w14:textId="77777777" w:rsidR="0065710B" w:rsidRPr="001B72D6" w:rsidRDefault="0065710B" w:rsidP="005356D9">
      <w:pPr>
        <w:tabs>
          <w:tab w:val="left" w:pos="1410"/>
        </w:tabs>
        <w:spacing w:line="240" w:lineRule="atLeast"/>
        <w:contextualSpacing/>
        <w:rPr>
          <w:bCs/>
        </w:rPr>
      </w:pPr>
      <w:r w:rsidRPr="006726CE">
        <w:rPr>
          <w:b/>
        </w:rPr>
        <w:t>Country:</w:t>
      </w:r>
      <w:r w:rsidR="00DE57F6" w:rsidRPr="006726CE">
        <w:rPr>
          <w:b/>
        </w:rPr>
        <w:t xml:space="preserve"> </w:t>
      </w:r>
      <w:r w:rsidR="00DE57F6" w:rsidRPr="006726CE">
        <w:rPr>
          <w:bCs/>
        </w:rPr>
        <w:t>Bots</w:t>
      </w:r>
      <w:r w:rsidR="00DE57F6" w:rsidRPr="001B72D6">
        <w:rPr>
          <w:bCs/>
        </w:rPr>
        <w:t>wana</w:t>
      </w:r>
    </w:p>
    <w:p w14:paraId="1D0140AE" w14:textId="4D82FBA3" w:rsidR="0065710B" w:rsidRPr="006C6946" w:rsidRDefault="0065710B" w:rsidP="005356D9">
      <w:pPr>
        <w:spacing w:line="240" w:lineRule="atLeast"/>
        <w:contextualSpacing/>
        <w:rPr>
          <w:rFonts w:cs="Times New Roman"/>
          <w:color w:val="0D0D0D" w:themeColor="text1" w:themeTint="F2"/>
        </w:rPr>
      </w:pPr>
      <w:r w:rsidRPr="006726CE">
        <w:rPr>
          <w:b/>
        </w:rPr>
        <w:t>Description of the assignment:</w:t>
      </w:r>
      <w:r w:rsidR="00403859" w:rsidRPr="006726CE">
        <w:rPr>
          <w:b/>
        </w:rPr>
        <w:t xml:space="preserve"> </w:t>
      </w:r>
      <w:r w:rsidR="00595FAA">
        <w:rPr>
          <w:rFonts w:eastAsia="Times New Roman" w:cs="Times New Roman"/>
          <w:color w:val="0D0D0D" w:themeColor="text1" w:themeTint="F2"/>
        </w:rPr>
        <w:t>Inequality Study (Social) - Botswana</w:t>
      </w:r>
    </w:p>
    <w:p w14:paraId="541B1B84" w14:textId="77777777" w:rsidR="0065710B" w:rsidRPr="005356D9" w:rsidRDefault="0065710B" w:rsidP="005356D9">
      <w:pPr>
        <w:tabs>
          <w:tab w:val="left" w:pos="1410"/>
        </w:tabs>
        <w:spacing w:line="240" w:lineRule="atLeast"/>
        <w:contextualSpacing/>
        <w:rPr>
          <w:bCs/>
        </w:rPr>
      </w:pPr>
      <w:r w:rsidRPr="006726CE">
        <w:rPr>
          <w:b/>
        </w:rPr>
        <w:t>Project name</w:t>
      </w:r>
      <w:proofErr w:type="gramStart"/>
      <w:r w:rsidRPr="006726CE">
        <w:rPr>
          <w:b/>
        </w:rPr>
        <w:t>:</w:t>
      </w:r>
      <w:r w:rsidR="00403859" w:rsidRPr="006726CE">
        <w:rPr>
          <w:b/>
        </w:rPr>
        <w:t xml:space="preserve">  </w:t>
      </w:r>
      <w:r w:rsidR="005D6C9E" w:rsidRPr="005356D9">
        <w:rPr>
          <w:bCs/>
        </w:rPr>
        <w:t>“</w:t>
      </w:r>
      <w:proofErr w:type="gramEnd"/>
      <w:r w:rsidR="005D6C9E" w:rsidRPr="005356D9">
        <w:rPr>
          <w:bCs/>
        </w:rPr>
        <w:t xml:space="preserve">Support to the Fulfilment of Human Rights, Access to Justice and the Empowerment of Youth and Women Project (2018 -2021)” </w:t>
      </w:r>
    </w:p>
    <w:p w14:paraId="2EFB7BA8" w14:textId="77777777" w:rsidR="005C6D51" w:rsidRPr="006726CE" w:rsidRDefault="00A96E32" w:rsidP="005356D9">
      <w:pPr>
        <w:spacing w:line="240" w:lineRule="atLeast"/>
        <w:contextualSpacing/>
        <w:jc w:val="both"/>
        <w:rPr>
          <w:bCs/>
        </w:rPr>
      </w:pPr>
      <w:r w:rsidRPr="008E4FE2">
        <w:rPr>
          <w:b/>
        </w:rPr>
        <w:t>Project number</w:t>
      </w:r>
      <w:r w:rsidR="005C6D51" w:rsidRPr="008E4FE2">
        <w:rPr>
          <w:bCs/>
        </w:rPr>
        <w:t>: 00102697</w:t>
      </w:r>
    </w:p>
    <w:p w14:paraId="00C3BAAB" w14:textId="5E73CE70" w:rsidR="005C6D51" w:rsidRPr="006726CE" w:rsidRDefault="00A96E32" w:rsidP="005356D9">
      <w:pPr>
        <w:pStyle w:val="Default"/>
        <w:spacing w:line="240" w:lineRule="atLeast"/>
        <w:contextualSpacing/>
        <w:jc w:val="both"/>
        <w:rPr>
          <w:rFonts w:asciiTheme="minorHAnsi" w:eastAsiaTheme="minorHAnsi" w:hAnsiTheme="minorHAnsi" w:cstheme="minorBidi"/>
          <w:bCs/>
          <w:color w:val="auto"/>
          <w:sz w:val="22"/>
          <w:szCs w:val="22"/>
        </w:rPr>
      </w:pPr>
      <w:r w:rsidRPr="008E4FE2">
        <w:rPr>
          <w:rFonts w:asciiTheme="minorHAnsi" w:eastAsiaTheme="minorHAnsi" w:hAnsiTheme="minorHAnsi" w:cstheme="minorBidi"/>
          <w:b/>
          <w:color w:val="auto"/>
          <w:sz w:val="22"/>
          <w:szCs w:val="22"/>
        </w:rPr>
        <w:t>Period of Assignment / Services</w:t>
      </w:r>
      <w:r w:rsidR="005C6D51" w:rsidRPr="008E4FE2">
        <w:rPr>
          <w:rFonts w:asciiTheme="minorHAnsi" w:eastAsiaTheme="minorHAnsi" w:hAnsiTheme="minorHAnsi" w:cstheme="minorBidi"/>
          <w:bCs/>
          <w:color w:val="auto"/>
          <w:sz w:val="22"/>
          <w:szCs w:val="22"/>
        </w:rPr>
        <w:t xml:space="preserve">: </w:t>
      </w:r>
      <w:r w:rsidR="008E4FE2" w:rsidRPr="008E4FE2">
        <w:rPr>
          <w:rFonts w:asciiTheme="minorHAnsi" w:eastAsiaTheme="minorHAnsi" w:hAnsiTheme="minorHAnsi" w:cstheme="minorBidi"/>
          <w:bCs/>
          <w:color w:val="auto"/>
          <w:sz w:val="22"/>
          <w:szCs w:val="22"/>
        </w:rPr>
        <w:t>33 days commencing as soon as possible</w:t>
      </w:r>
      <w:r w:rsidR="00980D11">
        <w:rPr>
          <w:rFonts w:asciiTheme="minorHAnsi" w:eastAsiaTheme="minorHAnsi" w:hAnsiTheme="minorHAnsi" w:cstheme="minorBidi"/>
          <w:bCs/>
          <w:color w:val="auto"/>
          <w:sz w:val="22"/>
          <w:szCs w:val="22"/>
        </w:rPr>
        <w:t xml:space="preserve"> and delivered by </w:t>
      </w:r>
      <w:r w:rsidR="00D03BB3">
        <w:rPr>
          <w:rFonts w:asciiTheme="minorHAnsi" w:eastAsiaTheme="minorHAnsi" w:hAnsiTheme="minorHAnsi" w:cstheme="minorBidi"/>
          <w:bCs/>
          <w:color w:val="auto"/>
          <w:sz w:val="22"/>
          <w:szCs w:val="22"/>
        </w:rPr>
        <w:t>31</w:t>
      </w:r>
      <w:r w:rsidR="00980D11">
        <w:rPr>
          <w:rFonts w:asciiTheme="minorHAnsi" w:eastAsiaTheme="minorHAnsi" w:hAnsiTheme="minorHAnsi" w:cstheme="minorBidi"/>
          <w:bCs/>
          <w:color w:val="auto"/>
          <w:sz w:val="22"/>
          <w:szCs w:val="22"/>
        </w:rPr>
        <w:t xml:space="preserve"> January 2021</w:t>
      </w:r>
      <w:r w:rsidR="00D03BB3">
        <w:rPr>
          <w:rFonts w:asciiTheme="minorHAnsi" w:eastAsiaTheme="minorHAnsi" w:hAnsiTheme="minorHAnsi" w:cstheme="minorBidi"/>
          <w:bCs/>
          <w:color w:val="auto"/>
          <w:sz w:val="22"/>
          <w:szCs w:val="22"/>
        </w:rPr>
        <w:t>.</w:t>
      </w:r>
    </w:p>
    <w:p w14:paraId="6FDCF567" w14:textId="77777777" w:rsidR="005C6D51" w:rsidRPr="006726CE" w:rsidRDefault="005C6D51" w:rsidP="005356D9">
      <w:pPr>
        <w:pStyle w:val="Default"/>
        <w:spacing w:line="240" w:lineRule="atLeast"/>
        <w:contextualSpacing/>
        <w:rPr>
          <w:rFonts w:asciiTheme="minorHAnsi" w:eastAsiaTheme="minorHAnsi" w:hAnsiTheme="minorHAnsi" w:cstheme="minorBidi"/>
          <w:bCs/>
          <w:color w:val="auto"/>
          <w:sz w:val="22"/>
          <w:szCs w:val="22"/>
        </w:rPr>
      </w:pPr>
    </w:p>
    <w:p w14:paraId="71040E09" w14:textId="1F0E875F" w:rsidR="00CD02D7" w:rsidRPr="00EA3939" w:rsidRDefault="00CD02D7" w:rsidP="005356D9">
      <w:pPr>
        <w:tabs>
          <w:tab w:val="left" w:pos="1410"/>
        </w:tabs>
        <w:spacing w:line="240" w:lineRule="atLeast"/>
        <w:contextualSpacing/>
        <w:rPr>
          <w:rFonts w:cs="Calibri Light"/>
          <w:lang w:val="en-GB"/>
        </w:rPr>
      </w:pPr>
      <w:r w:rsidRPr="00EA3939">
        <w:rPr>
          <w:rFonts w:cs="Calibri Light"/>
          <w:szCs w:val="24"/>
          <w:lang w:val="en-GB"/>
        </w:rPr>
        <w:t>Proposals should be submitted in a sealed envelope clearly labelled</w:t>
      </w:r>
      <w:r w:rsidRPr="00EA3939">
        <w:rPr>
          <w:szCs w:val="24"/>
        </w:rPr>
        <w:t xml:space="preserve">: </w:t>
      </w:r>
      <w:r w:rsidRPr="00F2010E">
        <w:rPr>
          <w:b/>
          <w:szCs w:val="24"/>
        </w:rPr>
        <w:t>“</w:t>
      </w:r>
      <w:r w:rsidRPr="009A0273">
        <w:rPr>
          <w:b/>
          <w:szCs w:val="24"/>
          <w:lang w:val="en-GB"/>
        </w:rPr>
        <w:t>I</w:t>
      </w:r>
      <w:r w:rsidR="002F404E">
        <w:rPr>
          <w:b/>
          <w:szCs w:val="24"/>
          <w:lang w:val="en-GB"/>
        </w:rPr>
        <w:t>nequality Study (Social) - Botswana</w:t>
      </w:r>
      <w:r w:rsidRPr="00F2010E">
        <w:rPr>
          <w:b/>
          <w:szCs w:val="24"/>
        </w:rPr>
        <w:t>”</w:t>
      </w:r>
      <w:r>
        <w:rPr>
          <w:szCs w:val="24"/>
        </w:rPr>
        <w:t xml:space="preserve"> </w:t>
      </w:r>
      <w:r w:rsidR="005356D9">
        <w:rPr>
          <w:szCs w:val="24"/>
        </w:rPr>
        <w:t xml:space="preserve"> </w:t>
      </w:r>
      <w:r w:rsidRPr="00EA3939">
        <w:rPr>
          <w:b/>
        </w:rPr>
        <w:t xml:space="preserve"> </w:t>
      </w:r>
      <w:r w:rsidRPr="00EA3939">
        <w:rPr>
          <w:rFonts w:cs="Calibri Light"/>
          <w:lang w:val="en-GB"/>
        </w:rPr>
        <w:t xml:space="preserve">and be submitted to:  </w:t>
      </w:r>
    </w:p>
    <w:p w14:paraId="439B649B" w14:textId="77777777" w:rsidR="00CD02D7" w:rsidRPr="00EA3939" w:rsidRDefault="00CD02D7" w:rsidP="005356D9">
      <w:pPr>
        <w:spacing w:after="20" w:line="240" w:lineRule="atLeast"/>
        <w:ind w:left="720"/>
        <w:contextualSpacing/>
        <w:rPr>
          <w:rFonts w:cs="Calibri Light"/>
          <w:szCs w:val="24"/>
          <w:lang w:val="en-GB"/>
        </w:rPr>
      </w:pPr>
      <w:r w:rsidRPr="00EA3939">
        <w:rPr>
          <w:rFonts w:cs="Calibri Light"/>
          <w:szCs w:val="24"/>
          <w:lang w:val="en-GB"/>
        </w:rPr>
        <w:t xml:space="preserve"> </w:t>
      </w:r>
    </w:p>
    <w:p w14:paraId="3B6F7988" w14:textId="77777777" w:rsidR="00CD02D7" w:rsidRPr="00EA3939" w:rsidRDefault="00CD02D7" w:rsidP="005356D9">
      <w:pPr>
        <w:spacing w:after="30" w:line="240" w:lineRule="atLeast"/>
        <w:ind w:left="1435" w:firstLine="5"/>
        <w:contextualSpacing/>
        <w:rPr>
          <w:rFonts w:cs="Calibri Light"/>
          <w:szCs w:val="24"/>
          <w:lang w:val="en-GB"/>
        </w:rPr>
      </w:pPr>
      <w:r w:rsidRPr="00EA3939">
        <w:rPr>
          <w:rFonts w:cs="Calibri Light"/>
          <w:szCs w:val="24"/>
          <w:lang w:val="en-GB"/>
        </w:rPr>
        <w:t xml:space="preserve">The Resident Representative </w:t>
      </w:r>
    </w:p>
    <w:p w14:paraId="3E962D79" w14:textId="77777777" w:rsidR="00CD02D7" w:rsidRPr="00EA3939" w:rsidRDefault="00CD02D7" w:rsidP="005356D9">
      <w:pPr>
        <w:spacing w:after="30" w:line="240" w:lineRule="atLeast"/>
        <w:ind w:left="1430" w:firstLine="5"/>
        <w:contextualSpacing/>
        <w:rPr>
          <w:rFonts w:cs="Calibri Light"/>
          <w:szCs w:val="24"/>
          <w:lang w:val="en-GB"/>
        </w:rPr>
      </w:pPr>
      <w:r w:rsidRPr="00EA3939">
        <w:rPr>
          <w:rFonts w:cs="Calibri Light"/>
          <w:szCs w:val="24"/>
          <w:lang w:val="en-GB"/>
        </w:rPr>
        <w:t xml:space="preserve">United Nations Development Programme </w:t>
      </w:r>
    </w:p>
    <w:p w14:paraId="225B5759" w14:textId="77777777" w:rsidR="00CD02D7" w:rsidRPr="00EA3939" w:rsidRDefault="00CD02D7" w:rsidP="005356D9">
      <w:pPr>
        <w:spacing w:after="30" w:line="240" w:lineRule="atLeast"/>
        <w:ind w:left="1425" w:firstLine="5"/>
        <w:contextualSpacing/>
        <w:rPr>
          <w:rFonts w:cs="Calibri Light"/>
          <w:szCs w:val="24"/>
          <w:lang w:val="en-GB"/>
        </w:rPr>
      </w:pPr>
      <w:r w:rsidRPr="00EA3939">
        <w:rPr>
          <w:rFonts w:cs="Calibri Light"/>
          <w:szCs w:val="24"/>
          <w:lang w:val="en-GB"/>
        </w:rPr>
        <w:t xml:space="preserve">P.O. Box 54 </w:t>
      </w:r>
    </w:p>
    <w:p w14:paraId="2532A363" w14:textId="77777777" w:rsidR="00CD02D7" w:rsidRPr="00EA3939" w:rsidRDefault="00CD02D7" w:rsidP="005356D9">
      <w:pPr>
        <w:spacing w:after="30" w:line="240" w:lineRule="atLeast"/>
        <w:ind w:left="1420" w:firstLine="5"/>
        <w:contextualSpacing/>
        <w:rPr>
          <w:rFonts w:cs="Calibri Light"/>
          <w:szCs w:val="24"/>
          <w:lang w:val="en-GB"/>
        </w:rPr>
      </w:pPr>
      <w:r w:rsidRPr="00EA3939">
        <w:rPr>
          <w:rFonts w:cs="Calibri Light"/>
          <w:szCs w:val="24"/>
          <w:lang w:val="en-GB"/>
        </w:rPr>
        <w:t xml:space="preserve">Gaborone, Botswana </w:t>
      </w:r>
    </w:p>
    <w:p w14:paraId="22B2CD55" w14:textId="77777777" w:rsidR="00CD02D7" w:rsidRPr="00EA3939" w:rsidRDefault="00CD02D7" w:rsidP="005356D9">
      <w:pPr>
        <w:spacing w:after="30" w:line="240" w:lineRule="atLeast"/>
        <w:ind w:left="1420" w:firstLine="5"/>
        <w:contextualSpacing/>
        <w:rPr>
          <w:rFonts w:cs="Calibri Light"/>
          <w:szCs w:val="24"/>
          <w:lang w:val="en-GB"/>
        </w:rPr>
      </w:pPr>
    </w:p>
    <w:p w14:paraId="407BEA7B" w14:textId="77777777" w:rsidR="00CD02D7" w:rsidRPr="00EA3939" w:rsidRDefault="00CD02D7" w:rsidP="005356D9">
      <w:pPr>
        <w:spacing w:after="30" w:line="240" w:lineRule="atLeast"/>
        <w:ind w:left="1420" w:firstLine="5"/>
        <w:contextualSpacing/>
        <w:rPr>
          <w:szCs w:val="24"/>
        </w:rPr>
      </w:pPr>
      <w:r w:rsidRPr="00EA3939">
        <w:rPr>
          <w:rFonts w:cs="Calibri Light"/>
          <w:szCs w:val="24"/>
          <w:lang w:val="en-GB"/>
        </w:rPr>
        <w:t xml:space="preserve">OR by email to </w:t>
      </w:r>
      <w:hyperlink r:id="rId12" w:history="1">
        <w:r w:rsidRPr="00EA3939">
          <w:rPr>
            <w:rStyle w:val="Hyperlink"/>
            <w:rFonts w:cs="Calibri Light"/>
            <w:szCs w:val="24"/>
            <w:lang w:val="en-GB"/>
          </w:rPr>
          <w:t>procurement.bw@undp.org</w:t>
        </w:r>
      </w:hyperlink>
      <w:r w:rsidRPr="00EA3939">
        <w:rPr>
          <w:rFonts w:cs="Calibri Light"/>
          <w:szCs w:val="24"/>
          <w:lang w:val="en-GB"/>
        </w:rPr>
        <w:t xml:space="preserve">  </w:t>
      </w:r>
    </w:p>
    <w:p w14:paraId="0D7BC11F" w14:textId="77777777" w:rsidR="00CD02D7" w:rsidRDefault="00CD02D7" w:rsidP="005356D9">
      <w:pPr>
        <w:pStyle w:val="Default"/>
        <w:spacing w:line="240" w:lineRule="atLeast"/>
        <w:contextualSpacing/>
        <w:rPr>
          <w:rFonts w:asciiTheme="minorHAnsi" w:eastAsiaTheme="minorHAnsi" w:hAnsiTheme="minorHAnsi" w:cstheme="minorBidi"/>
          <w:b/>
          <w:color w:val="auto"/>
          <w:sz w:val="22"/>
          <w:szCs w:val="22"/>
        </w:rPr>
      </w:pPr>
    </w:p>
    <w:p w14:paraId="3B9BE654" w14:textId="65707C47" w:rsidR="005C6D51" w:rsidRPr="00E03D04" w:rsidRDefault="00CD02D7" w:rsidP="005356D9">
      <w:pPr>
        <w:pStyle w:val="Default"/>
        <w:spacing w:line="240" w:lineRule="atLeast"/>
        <w:contextualSpacing/>
        <w:rPr>
          <w:rFonts w:asciiTheme="minorHAnsi" w:eastAsiaTheme="minorHAnsi" w:hAnsiTheme="minorHAnsi" w:cstheme="minorBidi"/>
          <w:bCs/>
          <w:color w:val="auto"/>
          <w:sz w:val="22"/>
          <w:szCs w:val="22"/>
        </w:rPr>
      </w:pPr>
      <w:r>
        <w:rPr>
          <w:rFonts w:asciiTheme="minorHAnsi" w:eastAsiaTheme="minorHAnsi" w:hAnsiTheme="minorHAnsi" w:cstheme="minorBidi"/>
          <w:b/>
          <w:color w:val="auto"/>
          <w:sz w:val="22"/>
          <w:szCs w:val="22"/>
        </w:rPr>
        <w:t xml:space="preserve">By </w:t>
      </w:r>
      <w:r w:rsidR="004648E1">
        <w:rPr>
          <w:rFonts w:asciiTheme="minorHAnsi" w:eastAsiaTheme="minorHAnsi" w:hAnsiTheme="minorHAnsi" w:cstheme="minorBidi"/>
          <w:b/>
          <w:color w:val="auto"/>
          <w:sz w:val="22"/>
          <w:szCs w:val="22"/>
        </w:rPr>
        <w:t>1</w:t>
      </w:r>
      <w:r w:rsidR="00EE548C">
        <w:rPr>
          <w:rFonts w:asciiTheme="minorHAnsi" w:eastAsiaTheme="minorHAnsi" w:hAnsiTheme="minorHAnsi" w:cstheme="minorBidi"/>
          <w:b/>
          <w:color w:val="auto"/>
          <w:sz w:val="22"/>
          <w:szCs w:val="22"/>
        </w:rPr>
        <w:t>7 November</w:t>
      </w:r>
      <w:r w:rsidR="00D2790A">
        <w:rPr>
          <w:rFonts w:asciiTheme="minorHAnsi" w:eastAsiaTheme="minorHAnsi" w:hAnsiTheme="minorHAnsi" w:cstheme="minorBidi"/>
          <w:b/>
          <w:color w:val="auto"/>
          <w:sz w:val="22"/>
          <w:szCs w:val="22"/>
        </w:rPr>
        <w:t xml:space="preserve"> 2020 12:00 noon</w:t>
      </w:r>
      <w:r w:rsidR="005C6D51" w:rsidRPr="001D72DA">
        <w:rPr>
          <w:rFonts w:asciiTheme="minorHAnsi" w:eastAsiaTheme="minorHAnsi" w:hAnsiTheme="minorHAnsi" w:cstheme="minorBidi"/>
          <w:b/>
          <w:color w:val="auto"/>
          <w:sz w:val="22"/>
          <w:szCs w:val="22"/>
        </w:rPr>
        <w:t xml:space="preserve"> </w:t>
      </w:r>
      <w:r w:rsidR="005C6D51" w:rsidRPr="006726CE">
        <w:rPr>
          <w:rFonts w:asciiTheme="minorHAnsi" w:eastAsiaTheme="minorHAnsi" w:hAnsiTheme="minorHAnsi" w:cstheme="minorBidi"/>
          <w:b/>
          <w:color w:val="auto"/>
          <w:sz w:val="22"/>
          <w:szCs w:val="22"/>
        </w:rPr>
        <w:t>(Botswana Time)</w:t>
      </w:r>
      <w:r w:rsidR="006C6946">
        <w:rPr>
          <w:rFonts w:asciiTheme="minorHAnsi" w:eastAsiaTheme="minorHAnsi" w:hAnsiTheme="minorHAnsi" w:cstheme="minorBidi"/>
          <w:b/>
          <w:color w:val="auto"/>
          <w:sz w:val="22"/>
          <w:szCs w:val="22"/>
        </w:rPr>
        <w:t>.</w:t>
      </w:r>
      <w:r w:rsidR="005C6D51" w:rsidRPr="006726CE">
        <w:rPr>
          <w:rFonts w:asciiTheme="minorHAnsi" w:eastAsiaTheme="minorHAnsi" w:hAnsiTheme="minorHAnsi" w:cstheme="minorBidi"/>
          <w:b/>
          <w:color w:val="auto"/>
          <w:sz w:val="22"/>
          <w:szCs w:val="22"/>
        </w:rPr>
        <w:t xml:space="preserve">  </w:t>
      </w:r>
    </w:p>
    <w:p w14:paraId="66DFEFAB" w14:textId="77777777" w:rsidR="005C6D51" w:rsidRPr="006726CE" w:rsidRDefault="005C6D51" w:rsidP="005356D9">
      <w:pPr>
        <w:tabs>
          <w:tab w:val="left" w:pos="1410"/>
        </w:tabs>
        <w:spacing w:after="0" w:line="240" w:lineRule="atLeast"/>
        <w:contextualSpacing/>
        <w:jc w:val="both"/>
        <w:rPr>
          <w:bCs/>
          <w:i/>
          <w:iCs/>
        </w:rPr>
      </w:pPr>
    </w:p>
    <w:p w14:paraId="37FA5414" w14:textId="12FD936B" w:rsidR="005C6D51" w:rsidRPr="006726CE" w:rsidRDefault="005C6D51" w:rsidP="005356D9">
      <w:pPr>
        <w:tabs>
          <w:tab w:val="left" w:pos="1410"/>
        </w:tabs>
        <w:spacing w:after="0" w:line="240" w:lineRule="atLeast"/>
        <w:contextualSpacing/>
        <w:jc w:val="both"/>
        <w:rPr>
          <w:bCs/>
        </w:rPr>
      </w:pPr>
      <w:r w:rsidRPr="006726CE">
        <w:rPr>
          <w:bCs/>
        </w:rPr>
        <w:t xml:space="preserve">Any request for clarification must be sent in writing by e-mail to </w:t>
      </w:r>
      <w:hyperlink r:id="rId13" w:history="1">
        <w:r w:rsidRPr="004F6FEE">
          <w:rPr>
            <w:b/>
            <w:bCs/>
          </w:rPr>
          <w:t>enquiries.bw@undp.org</w:t>
        </w:r>
      </w:hyperlink>
      <w:r w:rsidRPr="006726CE">
        <w:rPr>
          <w:bCs/>
        </w:rPr>
        <w:t xml:space="preserve"> UNDP Botswana will respond by standard electronic mail and will </w:t>
      </w:r>
      <w:r w:rsidR="00C12FF5">
        <w:rPr>
          <w:bCs/>
        </w:rPr>
        <w:t>post</w:t>
      </w:r>
      <w:r w:rsidRPr="006726CE">
        <w:rPr>
          <w:bCs/>
        </w:rPr>
        <w:t xml:space="preserve"> written copies of the response</w:t>
      </w:r>
      <w:r w:rsidR="00C12FF5">
        <w:rPr>
          <w:bCs/>
        </w:rPr>
        <w:t xml:space="preserve"> on the procurement notice on the website</w:t>
      </w:r>
      <w:r w:rsidRPr="006726CE">
        <w:rPr>
          <w:bCs/>
        </w:rPr>
        <w:t xml:space="preserve"> including an explanation of the query without identifying the source of the inquiry to all prospective facilitators.</w:t>
      </w:r>
    </w:p>
    <w:p w14:paraId="19785EC1" w14:textId="4CC4A1C3" w:rsidR="005C6D51" w:rsidRPr="006726CE" w:rsidRDefault="005C6D51" w:rsidP="005356D9">
      <w:pPr>
        <w:tabs>
          <w:tab w:val="left" w:pos="1410"/>
        </w:tabs>
        <w:spacing w:after="0" w:line="240" w:lineRule="atLeast"/>
        <w:contextualSpacing/>
        <w:jc w:val="both"/>
        <w:rPr>
          <w:bCs/>
        </w:rPr>
      </w:pPr>
    </w:p>
    <w:p w14:paraId="1272EB91" w14:textId="77777777" w:rsidR="005356D9" w:rsidRPr="005356D9" w:rsidRDefault="005356D9" w:rsidP="005356D9">
      <w:pPr>
        <w:spacing w:line="240" w:lineRule="atLeast"/>
        <w:contextualSpacing/>
        <w:rPr>
          <w:i/>
          <w:iCs/>
          <w:color w:val="333333"/>
        </w:rPr>
      </w:pPr>
      <w:r w:rsidRPr="005356D9">
        <w:rPr>
          <w:i/>
          <w:iCs/>
          <w:color w:val="333333"/>
        </w:rPr>
        <w:t>NOTE: Consultancy firms/companies interested in applying for this assignment are free to do so provided they submit a CV of only one qualified consultant and present its bid in a manner that would allow for evaluation of the bid in accordance with the evaluation criteria specified in these solicitation documents. That is, the experience required is that of the individual whose CV would have been submitted by the company rather than that of the company. Further, if the submitted bid wins, the ensuing contract will be between the UNDP and the company/firm, not the individual.</w:t>
      </w:r>
    </w:p>
    <w:p w14:paraId="2A44AFAB" w14:textId="2E7E8497" w:rsidR="005C6D51" w:rsidRPr="005356D9" w:rsidRDefault="005C6D51" w:rsidP="005356D9">
      <w:pPr>
        <w:spacing w:line="240" w:lineRule="atLeast"/>
        <w:contextualSpacing/>
        <w:jc w:val="both"/>
        <w:rPr>
          <w:i/>
          <w:iCs/>
          <w:color w:val="333333"/>
        </w:rPr>
      </w:pPr>
    </w:p>
    <w:p w14:paraId="28140997" w14:textId="77777777" w:rsidR="009E2B22" w:rsidRPr="006726CE" w:rsidRDefault="005C6D51" w:rsidP="005356D9">
      <w:pPr>
        <w:tabs>
          <w:tab w:val="left" w:pos="1410"/>
        </w:tabs>
        <w:spacing w:line="240" w:lineRule="atLeast"/>
        <w:contextualSpacing/>
      </w:pPr>
      <w:r w:rsidRPr="006C6946">
        <w:br w:type="page"/>
      </w:r>
      <w:r w:rsidR="007D726E" w:rsidRPr="006726CE">
        <w:rPr>
          <w:noProof/>
        </w:rPr>
        <mc:AlternateContent>
          <mc:Choice Requires="wps">
            <w:drawing>
              <wp:anchor distT="0" distB="0" distL="114300" distR="114300" simplePos="0" relativeHeight="251659264" behindDoc="0" locked="0" layoutInCell="1" allowOverlap="1" wp14:anchorId="0BF51C5F" wp14:editId="554E104C">
                <wp:simplePos x="0" y="0"/>
                <wp:positionH relativeFrom="column">
                  <wp:posOffset>-9525</wp:posOffset>
                </wp:positionH>
                <wp:positionV relativeFrom="paragraph">
                  <wp:posOffset>108585</wp:posOffset>
                </wp:positionV>
                <wp:extent cx="3916680" cy="0"/>
                <wp:effectExtent l="28575" t="32385" r="36195" b="342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D6BC8" id="AutoShape 4" o:spid="_x0000_s1026" type="#_x0000_t32" style="position:absolute;margin-left:-.75pt;margin-top:8.55pt;width:30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" strokecolor="blue" strokeweight="4.5pt"/>
            </w:pict>
          </mc:Fallback>
        </mc:AlternateContent>
      </w:r>
    </w:p>
    <w:p w14:paraId="23C0B0DC" w14:textId="77777777" w:rsidR="009E2B22" w:rsidRPr="006726CE" w:rsidRDefault="009E2B22" w:rsidP="005356D9">
      <w:pPr>
        <w:tabs>
          <w:tab w:val="left" w:pos="1410"/>
        </w:tabs>
        <w:spacing w:line="240" w:lineRule="atLeast"/>
        <w:contextualSpacing/>
        <w:rPr>
          <w:b/>
        </w:rPr>
      </w:pPr>
      <w:r w:rsidRPr="006726CE">
        <w:rPr>
          <w:b/>
        </w:rPr>
        <w:lastRenderedPageBreak/>
        <w:t>1. BACKGROUND</w:t>
      </w:r>
    </w:p>
    <w:tbl>
      <w:tblPr>
        <w:tblStyle w:val="TableGrid"/>
        <w:tblW w:w="0" w:type="auto"/>
        <w:tblLook w:val="04A0" w:firstRow="1" w:lastRow="0" w:firstColumn="1" w:lastColumn="0" w:noHBand="0" w:noVBand="1"/>
      </w:tblPr>
      <w:tblGrid>
        <w:gridCol w:w="9350"/>
      </w:tblGrid>
      <w:tr w:rsidR="0065710B" w:rsidRPr="006726CE" w14:paraId="4EEE9E82" w14:textId="77777777" w:rsidTr="0065710B">
        <w:tc>
          <w:tcPr>
            <w:tcW w:w="9576" w:type="dxa"/>
          </w:tcPr>
          <w:p w14:paraId="2492E20C" w14:textId="77777777" w:rsidR="00A51747" w:rsidRPr="006231DA" w:rsidRDefault="00A51747" w:rsidP="005356D9">
            <w:pPr>
              <w:spacing w:line="240" w:lineRule="atLeast"/>
              <w:contextualSpacing/>
              <w:jc w:val="both"/>
              <w:rPr>
                <w:rFonts w:cstheme="minorHAnsi"/>
              </w:rPr>
            </w:pPr>
          </w:p>
          <w:p w14:paraId="7D787525" w14:textId="6616163A" w:rsidR="004A01C9" w:rsidRDefault="004A01C9" w:rsidP="005356D9">
            <w:pPr>
              <w:autoSpaceDE w:val="0"/>
              <w:autoSpaceDN w:val="0"/>
              <w:adjustRightInd w:val="0"/>
              <w:spacing w:line="240" w:lineRule="atLeast"/>
              <w:contextualSpacing/>
              <w:jc w:val="both"/>
              <w:rPr>
                <w:rFonts w:cstheme="minorHAnsi"/>
                <w:b/>
                <w:bCs/>
              </w:rPr>
            </w:pPr>
            <w:r w:rsidRPr="006231DA">
              <w:rPr>
                <w:rFonts w:cstheme="minorHAnsi"/>
              </w:rPr>
              <w:t xml:space="preserve">Botswana gained independence in 1966. Thereafter, in the late 1990s, the country became one of the world’s fastest-growing economies, only comparable to China, with an average annual Gross Domestic Product (GDP) growth above the 10% mark. In the 2000s, </w:t>
            </w:r>
            <w:r w:rsidR="00D12F59" w:rsidRPr="006231DA">
              <w:rPr>
                <w:rFonts w:cstheme="minorHAnsi"/>
              </w:rPr>
              <w:t xml:space="preserve">the pace of this </w:t>
            </w:r>
            <w:r w:rsidRPr="006231DA">
              <w:rPr>
                <w:rFonts w:cstheme="minorHAnsi"/>
              </w:rPr>
              <w:t xml:space="preserve">remarkable growth performance </w:t>
            </w:r>
            <w:r w:rsidR="00D12F59" w:rsidRPr="006231DA">
              <w:rPr>
                <w:rFonts w:cstheme="minorHAnsi"/>
              </w:rPr>
              <w:t>slowed</w:t>
            </w:r>
            <w:r w:rsidRPr="006231DA">
              <w:rPr>
                <w:rFonts w:cstheme="minorHAnsi"/>
              </w:rPr>
              <w:t xml:space="preserve">. Nevertheless, </w:t>
            </w:r>
            <w:r w:rsidR="00D12F59" w:rsidRPr="006231DA">
              <w:rPr>
                <w:rFonts w:cstheme="minorHAnsi"/>
              </w:rPr>
              <w:t>Botswana</w:t>
            </w:r>
            <w:r w:rsidRPr="006231DA">
              <w:rPr>
                <w:rFonts w:cstheme="minorHAnsi"/>
              </w:rPr>
              <w:t xml:space="preserve"> continued </w:t>
            </w:r>
            <w:r w:rsidR="00CD39C8">
              <w:rPr>
                <w:rFonts w:cstheme="minorHAnsi"/>
              </w:rPr>
              <w:t xml:space="preserve">to </w:t>
            </w:r>
            <w:r w:rsidR="00D12F59" w:rsidRPr="006231DA">
              <w:rPr>
                <w:rFonts w:cstheme="minorHAnsi"/>
              </w:rPr>
              <w:t xml:space="preserve">maintain </w:t>
            </w:r>
            <w:r w:rsidRPr="006231DA">
              <w:rPr>
                <w:rFonts w:cstheme="minorHAnsi"/>
              </w:rPr>
              <w:t xml:space="preserve">political and economic stability, </w:t>
            </w:r>
            <w:r w:rsidR="00596076">
              <w:rPr>
                <w:rFonts w:cstheme="minorHAnsi"/>
              </w:rPr>
              <w:t xml:space="preserve">which is often </w:t>
            </w:r>
            <w:r w:rsidRPr="006231DA">
              <w:rPr>
                <w:rFonts w:cstheme="minorHAnsi"/>
              </w:rPr>
              <w:t xml:space="preserve">attributed to good governance and sound macroeconomic and fiscal management. This saw the country repeatedly </w:t>
            </w:r>
            <w:r w:rsidR="00596076">
              <w:rPr>
                <w:rFonts w:cstheme="minorHAnsi"/>
              </w:rPr>
              <w:t>listed</w:t>
            </w:r>
            <w:r w:rsidRPr="006231DA">
              <w:rPr>
                <w:rFonts w:cstheme="minorHAnsi"/>
              </w:rPr>
              <w:t xml:space="preserve"> among the top Africa performers in most of the governance indicators produced by the World Bank and other international organizations.</w:t>
            </w:r>
            <w:r w:rsidRPr="006231DA">
              <w:rPr>
                <w:rStyle w:val="FootnoteReference"/>
                <w:rFonts w:cstheme="minorHAnsi"/>
              </w:rPr>
              <w:footnoteReference w:id="1"/>
            </w:r>
          </w:p>
          <w:p w14:paraId="785F8FF3" w14:textId="77777777" w:rsidR="00596076" w:rsidRPr="006231DA" w:rsidRDefault="00596076" w:rsidP="005356D9">
            <w:pPr>
              <w:autoSpaceDE w:val="0"/>
              <w:autoSpaceDN w:val="0"/>
              <w:adjustRightInd w:val="0"/>
              <w:spacing w:line="240" w:lineRule="atLeast"/>
              <w:contextualSpacing/>
              <w:jc w:val="both"/>
              <w:rPr>
                <w:rFonts w:cstheme="minorHAnsi"/>
                <w:b/>
                <w:bCs/>
              </w:rPr>
            </w:pPr>
          </w:p>
          <w:p w14:paraId="11330F1F" w14:textId="10D5CCDC" w:rsidR="004A01C9" w:rsidRPr="006231DA" w:rsidRDefault="004A01C9" w:rsidP="005356D9">
            <w:pPr>
              <w:autoSpaceDE w:val="0"/>
              <w:autoSpaceDN w:val="0"/>
              <w:adjustRightInd w:val="0"/>
              <w:spacing w:line="240" w:lineRule="atLeast"/>
              <w:contextualSpacing/>
              <w:jc w:val="both"/>
              <w:rPr>
                <w:rFonts w:cstheme="minorHAnsi"/>
              </w:rPr>
            </w:pPr>
            <w:r w:rsidRPr="006231DA">
              <w:rPr>
                <w:rFonts w:cstheme="minorHAnsi"/>
              </w:rPr>
              <w:t xml:space="preserve">Despite the strong historical growth performance of Botswana throughout the 1990s and </w:t>
            </w:r>
            <w:r w:rsidR="00E627B9">
              <w:rPr>
                <w:rFonts w:cstheme="minorHAnsi"/>
              </w:rPr>
              <w:t xml:space="preserve">prior to the </w:t>
            </w:r>
            <w:r w:rsidRPr="006231DA">
              <w:rPr>
                <w:rFonts w:cstheme="minorHAnsi"/>
              </w:rPr>
              <w:t xml:space="preserve">global financial crisis of 2008/2009, </w:t>
            </w:r>
            <w:r w:rsidR="00A52FD9" w:rsidRPr="006231DA">
              <w:rPr>
                <w:rFonts w:cstheme="minorHAnsi"/>
              </w:rPr>
              <w:t xml:space="preserve">dependence on diamond exports </w:t>
            </w:r>
            <w:r w:rsidR="004C23DC" w:rsidRPr="006231DA">
              <w:rPr>
                <w:rFonts w:cstheme="minorHAnsi"/>
              </w:rPr>
              <w:t xml:space="preserve">remains high. </w:t>
            </w:r>
            <w:r w:rsidRPr="006231DA">
              <w:rPr>
                <w:rFonts w:cstheme="minorHAnsi"/>
              </w:rPr>
              <w:t xml:space="preserve">Although the Government of Botswana has invested </w:t>
            </w:r>
            <w:r w:rsidR="00383659" w:rsidRPr="006231DA">
              <w:rPr>
                <w:rFonts w:cstheme="minorHAnsi"/>
              </w:rPr>
              <w:t>its</w:t>
            </w:r>
            <w:r w:rsidRPr="006231DA">
              <w:rPr>
                <w:rFonts w:cstheme="minorHAnsi"/>
              </w:rPr>
              <w:t xml:space="preserve"> diamond revenues in infrastructure, education and healthcare services, Botswana’s private sector continues to remain relatively weak to create decent jobs for the growing youth population</w:t>
            </w:r>
            <w:r w:rsidR="00A52FD9" w:rsidRPr="006231DA">
              <w:rPr>
                <w:rFonts w:cstheme="minorHAnsi"/>
              </w:rPr>
              <w:t xml:space="preserve">.  For example, the current </w:t>
            </w:r>
            <w:r w:rsidRPr="006231DA">
              <w:rPr>
                <w:rFonts w:cstheme="minorHAnsi"/>
              </w:rPr>
              <w:t>unemployment rate stands at 33.2%.</w:t>
            </w:r>
            <w:r w:rsidRPr="006231DA">
              <w:rPr>
                <w:rStyle w:val="FootnoteReference"/>
                <w:rFonts w:cstheme="minorHAnsi"/>
              </w:rPr>
              <w:footnoteReference w:id="2"/>
            </w:r>
            <w:r w:rsidRPr="006231DA">
              <w:rPr>
                <w:rFonts w:cstheme="minorHAnsi"/>
              </w:rPr>
              <w:t xml:space="preserve"> As a result, the economy continues to be overly dependent on the </w:t>
            </w:r>
            <w:r w:rsidR="004C23DC" w:rsidRPr="006231DA">
              <w:rPr>
                <w:rFonts w:cstheme="minorHAnsi"/>
              </w:rPr>
              <w:t>S</w:t>
            </w:r>
            <w:r w:rsidRPr="006231DA">
              <w:rPr>
                <w:rFonts w:cstheme="minorHAnsi"/>
              </w:rPr>
              <w:t>tate to create jobs and provide much needed services to the population.</w:t>
            </w:r>
          </w:p>
          <w:p w14:paraId="6ED7C358" w14:textId="77777777" w:rsidR="004A01C9" w:rsidRPr="006231DA" w:rsidRDefault="004A01C9" w:rsidP="005356D9">
            <w:pPr>
              <w:pStyle w:val="ListParagraph"/>
              <w:spacing w:line="240" w:lineRule="atLeast"/>
              <w:rPr>
                <w:rFonts w:cstheme="minorHAnsi"/>
              </w:rPr>
            </w:pPr>
          </w:p>
          <w:p w14:paraId="666DF1D1" w14:textId="4CEAAC30" w:rsidR="004A01C9" w:rsidRPr="006231DA" w:rsidRDefault="004A01C9" w:rsidP="005356D9">
            <w:pPr>
              <w:autoSpaceDE w:val="0"/>
              <w:autoSpaceDN w:val="0"/>
              <w:adjustRightInd w:val="0"/>
              <w:spacing w:line="240" w:lineRule="atLeast"/>
              <w:contextualSpacing/>
              <w:jc w:val="both"/>
              <w:rPr>
                <w:rFonts w:cstheme="minorHAnsi"/>
                <w:b/>
                <w:bCs/>
              </w:rPr>
            </w:pPr>
            <w:r w:rsidRPr="006231DA">
              <w:rPr>
                <w:rFonts w:cstheme="minorHAnsi"/>
                <w:iCs/>
              </w:rPr>
              <w:t xml:space="preserve">This situation has been </w:t>
            </w:r>
            <w:r w:rsidR="004C23DC" w:rsidRPr="006231DA">
              <w:rPr>
                <w:rFonts w:cstheme="minorHAnsi"/>
                <w:iCs/>
              </w:rPr>
              <w:t>exacerbated</w:t>
            </w:r>
            <w:r w:rsidRPr="006231DA">
              <w:rPr>
                <w:rFonts w:cstheme="minorHAnsi"/>
                <w:iCs/>
              </w:rPr>
              <w:t xml:space="preserve"> by the Covi</w:t>
            </w:r>
            <w:r w:rsidR="004C23DC" w:rsidRPr="006231DA">
              <w:rPr>
                <w:rFonts w:cstheme="minorHAnsi"/>
                <w:iCs/>
              </w:rPr>
              <w:t>d</w:t>
            </w:r>
            <w:r w:rsidRPr="006231DA">
              <w:rPr>
                <w:rFonts w:cstheme="minorHAnsi"/>
                <w:iCs/>
              </w:rPr>
              <w:t xml:space="preserve"> -</w:t>
            </w:r>
            <w:proofErr w:type="gramStart"/>
            <w:r w:rsidRPr="006231DA">
              <w:rPr>
                <w:rFonts w:cstheme="minorHAnsi"/>
                <w:iCs/>
              </w:rPr>
              <w:t>19  crisis</w:t>
            </w:r>
            <w:proofErr w:type="gramEnd"/>
            <w:r w:rsidRPr="006231DA">
              <w:rPr>
                <w:rFonts w:cstheme="minorHAnsi"/>
                <w:iCs/>
              </w:rPr>
              <w:t xml:space="preserve">. </w:t>
            </w:r>
            <w:r w:rsidR="004C23DC" w:rsidRPr="006231DA">
              <w:rPr>
                <w:rFonts w:cstheme="minorHAnsi"/>
                <w:iCs/>
              </w:rPr>
              <w:t xml:space="preserve">On 2 April 2020, in the face of the Covid-19 crisis, </w:t>
            </w:r>
            <w:r w:rsidRPr="006231DA">
              <w:rPr>
                <w:rFonts w:cstheme="minorHAnsi"/>
                <w:iCs/>
                <w:lang w:val="en-GB"/>
              </w:rPr>
              <w:t>the Government of Botswana declared a State of Emergency.</w:t>
            </w:r>
            <w:r w:rsidRPr="006231DA">
              <w:rPr>
                <w:rFonts w:cstheme="minorHAnsi"/>
                <w:b/>
                <w:bCs/>
                <w:iCs/>
                <w:lang w:val="en-GB"/>
              </w:rPr>
              <w:t xml:space="preserve"> </w:t>
            </w:r>
            <w:r w:rsidRPr="006231DA">
              <w:rPr>
                <w:rFonts w:cstheme="minorHAnsi"/>
                <w:iCs/>
                <w:lang w:val="en-GB"/>
              </w:rPr>
              <w:t>The Government acted quickly and decisively upon the detection of an active COVID-19 case and introduced an initial 28-day lockdown on 2 April</w:t>
            </w:r>
            <w:r w:rsidR="004C23DC" w:rsidRPr="006231DA">
              <w:rPr>
                <w:rFonts w:cstheme="minorHAnsi"/>
                <w:iCs/>
                <w:lang w:val="en-GB"/>
              </w:rPr>
              <w:t xml:space="preserve"> 2020</w:t>
            </w:r>
            <w:r w:rsidRPr="006231DA">
              <w:rPr>
                <w:rFonts w:cstheme="minorHAnsi"/>
                <w:iCs/>
                <w:lang w:val="en-GB"/>
              </w:rPr>
              <w:t>. Strict measures regulating the movement of essential goods across the border, cessation of international air traffic and transport</w:t>
            </w:r>
            <w:r w:rsidR="00C875D6" w:rsidRPr="006231DA">
              <w:rPr>
                <w:rFonts w:cstheme="minorHAnsi"/>
                <w:iCs/>
                <w:lang w:val="en-GB"/>
              </w:rPr>
              <w:t>ation</w:t>
            </w:r>
            <w:r w:rsidRPr="006231DA">
              <w:rPr>
                <w:rFonts w:cstheme="minorHAnsi"/>
                <w:iCs/>
                <w:lang w:val="en-GB"/>
              </w:rPr>
              <w:t xml:space="preserve"> of people remain in place. The impact of COVID-19 is therefore evolving and the government is taking a cautious approach to opening up the economy.</w:t>
            </w:r>
          </w:p>
          <w:p w14:paraId="22E2B9AB" w14:textId="77777777" w:rsidR="004A01C9" w:rsidRPr="006231DA" w:rsidRDefault="004A01C9" w:rsidP="005356D9">
            <w:pPr>
              <w:pStyle w:val="ListParagraph"/>
              <w:spacing w:line="240" w:lineRule="atLeast"/>
              <w:rPr>
                <w:rFonts w:cstheme="minorHAnsi"/>
                <w:iCs/>
              </w:rPr>
            </w:pPr>
          </w:p>
          <w:p w14:paraId="75C94973" w14:textId="3CB7AB8D" w:rsidR="004A01C9" w:rsidRDefault="004A01C9" w:rsidP="005356D9">
            <w:pPr>
              <w:autoSpaceDE w:val="0"/>
              <w:autoSpaceDN w:val="0"/>
              <w:adjustRightInd w:val="0"/>
              <w:spacing w:line="240" w:lineRule="atLeast"/>
              <w:contextualSpacing/>
              <w:jc w:val="both"/>
              <w:rPr>
                <w:rFonts w:cstheme="minorHAnsi"/>
                <w:b/>
                <w:bCs/>
              </w:rPr>
            </w:pPr>
            <w:r w:rsidRPr="006231DA">
              <w:rPr>
                <w:rFonts w:cstheme="minorHAnsi"/>
                <w:iCs/>
              </w:rPr>
              <w:t>The COVID-19 pandemic is clearly not only a health crisis, but a crisis of unprecedented proportions with far-reaching socio-economic impacts</w:t>
            </w:r>
            <w:r w:rsidRPr="006231DA">
              <w:rPr>
                <w:rFonts w:cstheme="minorHAnsi"/>
                <w:b/>
                <w:bCs/>
                <w:iCs/>
              </w:rPr>
              <w:t xml:space="preserve">.  </w:t>
            </w:r>
            <w:r w:rsidRPr="006231DA">
              <w:rPr>
                <w:rFonts w:cstheme="minorHAnsi"/>
                <w:iCs/>
              </w:rPr>
              <w:t>In recent years, the Botswana economy has been threatened by a contraction in the mining sector, due to slow demand for diamonds, and 2019 figures show that the national economy slowed to a 3.0% year-on-year growth, compared to 4.5% in 2018. Whilst there is uncertainty around the extent and duration of constrained economic activity as a result of COVID-19, global estimates by the IMF in the April World Economic Outlook (WEO) predicted a contraction of 3.0% in the global GDP in 2020. National estimates show that Botswana’s economy is expected to contract by 8.9% in 2020, before rebounding to 3.9% in 2021. Given the recent upsurge in COVID-19 cases, the projections for 2021 may be too optimistic. This is particularly the case when considering the fact that Botswana’s main export industry – diamond mining – has been contracting over the past few years. While efforts have been made to diversify the economy and diamonds accounted for only 16% of value added (GDP at basic prices) in 2018, compared to 25% in 1994, the exports are still heavily reliant on rough and polished diamonds -still accounting for  73% of total exports of goods and services (2018), little different to the figure 25 years earlier. The demand for diamond during Covid -</w:t>
            </w:r>
            <w:proofErr w:type="gramStart"/>
            <w:r w:rsidRPr="006231DA">
              <w:rPr>
                <w:rFonts w:cstheme="minorHAnsi"/>
                <w:iCs/>
              </w:rPr>
              <w:t>19  has</w:t>
            </w:r>
            <w:proofErr w:type="gramEnd"/>
            <w:r w:rsidRPr="006231DA">
              <w:rPr>
                <w:rFonts w:cstheme="minorHAnsi"/>
                <w:iCs/>
              </w:rPr>
              <w:t xml:space="preserve"> slowed  with a significant  drop in  global commodity prices which will result in considerable revenue shortfalls for the government. With the disruptions in global supply chains and economic downturn, the need for a locally diversified markets and supply chains has become </w:t>
            </w:r>
            <w:r w:rsidR="00173F0F">
              <w:rPr>
                <w:rFonts w:cstheme="minorHAnsi"/>
                <w:iCs/>
              </w:rPr>
              <w:t>increasingly</w:t>
            </w:r>
            <w:r w:rsidRPr="006231DA">
              <w:rPr>
                <w:rFonts w:cstheme="minorHAnsi"/>
                <w:iCs/>
              </w:rPr>
              <w:t xml:space="preserve"> important for Botswana’s resilience.</w:t>
            </w:r>
          </w:p>
          <w:p w14:paraId="7E1B00C4" w14:textId="77777777" w:rsidR="006231DA" w:rsidRPr="006231DA" w:rsidRDefault="006231DA" w:rsidP="005356D9">
            <w:pPr>
              <w:autoSpaceDE w:val="0"/>
              <w:autoSpaceDN w:val="0"/>
              <w:adjustRightInd w:val="0"/>
              <w:spacing w:line="240" w:lineRule="atLeast"/>
              <w:contextualSpacing/>
              <w:jc w:val="both"/>
              <w:rPr>
                <w:rFonts w:cstheme="minorHAnsi"/>
                <w:b/>
                <w:bCs/>
              </w:rPr>
            </w:pPr>
          </w:p>
          <w:p w14:paraId="4613B9F0" w14:textId="4E9AFEEA" w:rsidR="004A01C9" w:rsidRPr="006231DA" w:rsidRDefault="004A01C9" w:rsidP="005356D9">
            <w:pPr>
              <w:autoSpaceDE w:val="0"/>
              <w:autoSpaceDN w:val="0"/>
              <w:adjustRightInd w:val="0"/>
              <w:spacing w:line="240" w:lineRule="atLeast"/>
              <w:contextualSpacing/>
              <w:jc w:val="both"/>
              <w:rPr>
                <w:rFonts w:cstheme="minorHAnsi"/>
                <w:b/>
                <w:bCs/>
              </w:rPr>
            </w:pPr>
            <w:r w:rsidRPr="006231DA">
              <w:rPr>
                <w:rFonts w:cstheme="minorHAnsi"/>
                <w:iCs/>
              </w:rPr>
              <w:t>In the 2020 global multidimensional poverty index</w:t>
            </w:r>
            <w:r w:rsidR="00173F0F">
              <w:rPr>
                <w:rFonts w:cstheme="minorHAnsi"/>
                <w:iCs/>
              </w:rPr>
              <w:t xml:space="preserve"> (MPI)</w:t>
            </w:r>
            <w:r w:rsidRPr="006231DA">
              <w:rPr>
                <w:rFonts w:cstheme="minorHAnsi"/>
                <w:iCs/>
              </w:rPr>
              <w:t xml:space="preserve">, 17.2% of the population in Botswana </w:t>
            </w:r>
            <w:r w:rsidR="009B4347">
              <w:rPr>
                <w:rFonts w:cstheme="minorHAnsi"/>
                <w:iCs/>
              </w:rPr>
              <w:t>is</w:t>
            </w:r>
            <w:r w:rsidRPr="006231DA">
              <w:rPr>
                <w:rFonts w:cstheme="minorHAnsi"/>
                <w:iCs/>
              </w:rPr>
              <w:t xml:space="preserve"> regarded as MPI poor, showing deprivations across the health, education and living standards </w:t>
            </w:r>
            <w:r w:rsidRPr="006231DA">
              <w:rPr>
                <w:rFonts w:cstheme="minorHAnsi"/>
                <w:iCs/>
              </w:rPr>
              <w:lastRenderedPageBreak/>
              <w:t>dimensions.</w:t>
            </w:r>
            <w:r w:rsidRPr="006231DA">
              <w:rPr>
                <w:rFonts w:cstheme="minorHAnsi"/>
                <w:vertAlign w:val="superscript"/>
              </w:rPr>
              <w:footnoteReference w:id="3"/>
            </w:r>
            <w:r w:rsidRPr="006231DA">
              <w:rPr>
                <w:rFonts w:cstheme="minorHAnsi"/>
                <w:iCs/>
              </w:rPr>
              <w:t xml:space="preserve"> Significant geographic variations are evident across the dimensions with primarily rural districts such as </w:t>
            </w:r>
            <w:proofErr w:type="spellStart"/>
            <w:r w:rsidRPr="006231DA">
              <w:rPr>
                <w:rFonts w:cstheme="minorHAnsi"/>
                <w:iCs/>
              </w:rPr>
              <w:t>Kweneng</w:t>
            </w:r>
            <w:proofErr w:type="spellEnd"/>
            <w:r w:rsidRPr="006231DA">
              <w:rPr>
                <w:rFonts w:cstheme="minorHAnsi"/>
                <w:iCs/>
              </w:rPr>
              <w:t xml:space="preserve"> West, </w:t>
            </w:r>
            <w:proofErr w:type="spellStart"/>
            <w:r w:rsidRPr="006231DA">
              <w:rPr>
                <w:rFonts w:cstheme="minorHAnsi"/>
                <w:iCs/>
              </w:rPr>
              <w:t>Ghanzi</w:t>
            </w:r>
            <w:proofErr w:type="spellEnd"/>
            <w:r w:rsidRPr="006231DA">
              <w:rPr>
                <w:rFonts w:cstheme="minorHAnsi"/>
                <w:iCs/>
              </w:rPr>
              <w:t xml:space="preserve"> and Ngamiland West with MPI scores of 0.206, 0.192 and 0.145 respectively compared with urban Gaborone at 0.004 </w:t>
            </w:r>
            <w:r w:rsidR="004B132D" w:rsidRPr="006231DA">
              <w:rPr>
                <w:rFonts w:cstheme="minorHAnsi"/>
                <w:iCs/>
              </w:rPr>
              <w:t>and</w:t>
            </w:r>
            <w:r w:rsidRPr="006231DA">
              <w:rPr>
                <w:rFonts w:cstheme="minorHAnsi"/>
                <w:iCs/>
              </w:rPr>
              <w:t xml:space="preserve"> the national average of 0.073.</w:t>
            </w:r>
            <w:r w:rsidRPr="006231DA">
              <w:rPr>
                <w:rFonts w:cstheme="minorHAnsi"/>
                <w:vertAlign w:val="superscript"/>
              </w:rPr>
              <w:footnoteReference w:id="4"/>
            </w:r>
            <w:r w:rsidRPr="006231DA">
              <w:rPr>
                <w:rFonts w:cstheme="minorHAnsi"/>
                <w:iCs/>
              </w:rPr>
              <w:t xml:space="preserve"> </w:t>
            </w:r>
          </w:p>
          <w:p w14:paraId="553D5F18" w14:textId="77777777" w:rsidR="004A01C9" w:rsidRPr="006231DA" w:rsidRDefault="004A01C9" w:rsidP="005356D9">
            <w:pPr>
              <w:autoSpaceDE w:val="0"/>
              <w:autoSpaceDN w:val="0"/>
              <w:adjustRightInd w:val="0"/>
              <w:spacing w:line="240" w:lineRule="atLeast"/>
              <w:contextualSpacing/>
              <w:jc w:val="both"/>
              <w:rPr>
                <w:rFonts w:cstheme="minorHAnsi"/>
                <w:b/>
                <w:bCs/>
              </w:rPr>
            </w:pPr>
          </w:p>
          <w:p w14:paraId="2E760F56" w14:textId="02E38E9F" w:rsidR="004A01C9" w:rsidRPr="006231DA" w:rsidRDefault="004A01C9" w:rsidP="005356D9">
            <w:pPr>
              <w:autoSpaceDE w:val="0"/>
              <w:autoSpaceDN w:val="0"/>
              <w:adjustRightInd w:val="0"/>
              <w:spacing w:line="240" w:lineRule="atLeast"/>
              <w:contextualSpacing/>
              <w:jc w:val="both"/>
              <w:rPr>
                <w:rFonts w:cstheme="minorHAnsi"/>
                <w:b/>
                <w:bCs/>
              </w:rPr>
            </w:pPr>
            <w:r w:rsidRPr="006231DA">
              <w:rPr>
                <w:rFonts w:cstheme="minorHAnsi"/>
                <w:iCs/>
              </w:rPr>
              <w:t xml:space="preserve">According to the </w:t>
            </w:r>
            <w:proofErr w:type="gramStart"/>
            <w:r w:rsidRPr="006231DA">
              <w:rPr>
                <w:rFonts w:cstheme="minorHAnsi"/>
                <w:iCs/>
              </w:rPr>
              <w:t xml:space="preserve">2019 </w:t>
            </w:r>
            <w:r w:rsidR="004B132D" w:rsidRPr="006231DA">
              <w:rPr>
                <w:rFonts w:cstheme="minorHAnsi"/>
                <w:iCs/>
              </w:rPr>
              <w:t xml:space="preserve"> Human</w:t>
            </w:r>
            <w:proofErr w:type="gramEnd"/>
            <w:r w:rsidR="004B132D" w:rsidRPr="006231DA">
              <w:rPr>
                <w:rFonts w:cstheme="minorHAnsi"/>
                <w:iCs/>
              </w:rPr>
              <w:t xml:space="preserve"> Development Index (</w:t>
            </w:r>
            <w:r w:rsidRPr="006231DA">
              <w:rPr>
                <w:rFonts w:cstheme="minorHAnsi"/>
                <w:iCs/>
              </w:rPr>
              <w:t>HDI</w:t>
            </w:r>
            <w:r w:rsidR="004B132D" w:rsidRPr="006231DA">
              <w:rPr>
                <w:rFonts w:cstheme="minorHAnsi"/>
                <w:iCs/>
              </w:rPr>
              <w:t>)</w:t>
            </w:r>
            <w:r w:rsidRPr="006231DA">
              <w:rPr>
                <w:rFonts w:cstheme="minorHAnsi"/>
                <w:iCs/>
              </w:rPr>
              <w:t>, Botswana ranks as the 7th most unequal country in the world, despite it’s upper-middle-income status. According to the World Inequality database, the top one percent of Botswana’s income earners accounted for 22.6% of Botswana’s Gross National Income (GNI) in 2017 whilst the top 10% accounted for 58.9% of GNI and the bottom 50% shared only 8.7.% between themselves.</w:t>
            </w:r>
            <w:r w:rsidRPr="006231DA">
              <w:rPr>
                <w:rFonts w:cstheme="minorHAnsi"/>
                <w:vertAlign w:val="superscript"/>
              </w:rPr>
              <w:footnoteReference w:id="5"/>
            </w:r>
            <w:r w:rsidRPr="006231DA">
              <w:rPr>
                <w:rFonts w:cstheme="minorHAnsi"/>
                <w:iCs/>
              </w:rPr>
              <w:t xml:space="preserve"> </w:t>
            </w:r>
          </w:p>
          <w:p w14:paraId="02371423" w14:textId="77777777" w:rsidR="004A01C9" w:rsidRPr="006231DA" w:rsidRDefault="004A01C9" w:rsidP="005356D9">
            <w:pPr>
              <w:autoSpaceDE w:val="0"/>
              <w:autoSpaceDN w:val="0"/>
              <w:adjustRightInd w:val="0"/>
              <w:spacing w:line="240" w:lineRule="atLeast"/>
              <w:ind w:left="720"/>
              <w:contextualSpacing/>
              <w:jc w:val="both"/>
              <w:rPr>
                <w:rFonts w:cstheme="minorHAnsi"/>
                <w:b/>
                <w:bCs/>
              </w:rPr>
            </w:pPr>
          </w:p>
          <w:p w14:paraId="6847F017" w14:textId="3F07D582" w:rsidR="00BB6555" w:rsidRDefault="004B132D" w:rsidP="005356D9">
            <w:pPr>
              <w:spacing w:line="240" w:lineRule="atLeast"/>
              <w:contextualSpacing/>
              <w:jc w:val="both"/>
              <w:rPr>
                <w:rFonts w:cstheme="minorHAnsi"/>
              </w:rPr>
            </w:pPr>
            <w:r w:rsidRPr="006231DA">
              <w:rPr>
                <w:rFonts w:cstheme="minorHAnsi"/>
              </w:rPr>
              <w:t>W</w:t>
            </w:r>
            <w:r w:rsidR="004A01C9" w:rsidRPr="006231DA">
              <w:rPr>
                <w:rFonts w:cstheme="minorHAnsi"/>
              </w:rPr>
              <w:t>idening income inequality is one of the defining challenges of our time. In advanced economies, the gap</w:t>
            </w:r>
            <w:r w:rsidR="004A01C9" w:rsidRPr="006231DA">
              <w:rPr>
                <w:rFonts w:cstheme="minorHAnsi"/>
                <w:b/>
              </w:rPr>
              <w:t xml:space="preserve"> </w:t>
            </w:r>
            <w:r w:rsidR="004A01C9" w:rsidRPr="006231DA">
              <w:rPr>
                <w:rFonts w:cstheme="minorHAnsi"/>
              </w:rPr>
              <w:t>between the rich and poor is at its highest level in decades. Inequality trends have been more mixed</w:t>
            </w:r>
            <w:r w:rsidR="004A01C9" w:rsidRPr="006231DA">
              <w:rPr>
                <w:rFonts w:cstheme="minorHAnsi"/>
                <w:b/>
              </w:rPr>
              <w:t xml:space="preserve"> </w:t>
            </w:r>
            <w:r w:rsidR="004A01C9" w:rsidRPr="006231DA">
              <w:rPr>
                <w:rFonts w:cstheme="minorHAnsi"/>
              </w:rPr>
              <w:t xml:space="preserve">in emerging markets and developing countries, with some countries experiencing declining inequality, </w:t>
            </w:r>
            <w:r w:rsidR="008E0FAE" w:rsidRPr="006231DA">
              <w:rPr>
                <w:rFonts w:cstheme="minorHAnsi"/>
              </w:rPr>
              <w:t xml:space="preserve">however, </w:t>
            </w:r>
            <w:r w:rsidR="004A01C9" w:rsidRPr="006231DA">
              <w:rPr>
                <w:rFonts w:cstheme="minorHAnsi"/>
              </w:rPr>
              <w:t>pervasive inequities</w:t>
            </w:r>
            <w:r w:rsidR="008E0FAE" w:rsidRPr="006231DA">
              <w:rPr>
                <w:rFonts w:cstheme="minorHAnsi"/>
              </w:rPr>
              <w:t xml:space="preserve"> persist</w:t>
            </w:r>
            <w:r w:rsidR="004A01C9" w:rsidRPr="006231DA">
              <w:rPr>
                <w:rFonts w:cstheme="minorHAnsi"/>
              </w:rPr>
              <w:t xml:space="preserve"> in access to education, health care, and finance. </w:t>
            </w:r>
            <w:r w:rsidR="008E0FAE" w:rsidRPr="006231DA">
              <w:rPr>
                <w:rFonts w:cstheme="minorHAnsi"/>
              </w:rPr>
              <w:t>T</w:t>
            </w:r>
            <w:r w:rsidR="004A01C9" w:rsidRPr="006231DA">
              <w:rPr>
                <w:rFonts w:cstheme="minorHAnsi"/>
              </w:rPr>
              <w:t xml:space="preserve">he extent of inequality, its drivers, and </w:t>
            </w:r>
            <w:r w:rsidR="008E0FAE" w:rsidRPr="006231DA">
              <w:rPr>
                <w:rFonts w:cstheme="minorHAnsi"/>
              </w:rPr>
              <w:t>policy responses</w:t>
            </w:r>
            <w:r w:rsidR="004A01C9" w:rsidRPr="006231DA">
              <w:rPr>
                <w:rFonts w:cstheme="minorHAnsi"/>
              </w:rPr>
              <w:t xml:space="preserve"> </w:t>
            </w:r>
            <w:r w:rsidR="008E0FAE" w:rsidRPr="006231DA">
              <w:rPr>
                <w:rFonts w:cstheme="minorHAnsi"/>
              </w:rPr>
              <w:t xml:space="preserve">are </w:t>
            </w:r>
            <w:r w:rsidR="00D151FE" w:rsidRPr="006231DA">
              <w:rPr>
                <w:rFonts w:cstheme="minorHAnsi"/>
              </w:rPr>
              <w:t xml:space="preserve">debated by </w:t>
            </w:r>
            <w:r w:rsidR="004A01C9" w:rsidRPr="006231DA">
              <w:rPr>
                <w:rFonts w:cstheme="minorHAnsi"/>
              </w:rPr>
              <w:t>policymakers and researchers alike.</w:t>
            </w:r>
            <w:r w:rsidR="004A01C9" w:rsidRPr="006231DA">
              <w:rPr>
                <w:rStyle w:val="FootnoteReference"/>
                <w:rFonts w:cstheme="minorHAnsi"/>
              </w:rPr>
              <w:footnoteReference w:id="6"/>
            </w:r>
            <w:r w:rsidR="004A01C9" w:rsidRPr="006231DA">
              <w:rPr>
                <w:rFonts w:cstheme="minorHAnsi"/>
              </w:rPr>
              <w:t xml:space="preserve"> Botswana is no exception to this reality. </w:t>
            </w:r>
          </w:p>
          <w:p w14:paraId="2A96C38E" w14:textId="77777777" w:rsidR="00BB6555" w:rsidRDefault="00BB6555" w:rsidP="005356D9">
            <w:pPr>
              <w:spacing w:line="240" w:lineRule="atLeast"/>
              <w:contextualSpacing/>
              <w:jc w:val="both"/>
              <w:rPr>
                <w:rFonts w:cstheme="minorHAnsi"/>
              </w:rPr>
            </w:pPr>
          </w:p>
          <w:p w14:paraId="03F3AEA8" w14:textId="638588FD" w:rsidR="004A01C9" w:rsidRDefault="004A01C9" w:rsidP="005356D9">
            <w:pPr>
              <w:spacing w:line="240" w:lineRule="atLeast"/>
              <w:contextualSpacing/>
              <w:jc w:val="both"/>
              <w:rPr>
                <w:rFonts w:cstheme="minorHAnsi"/>
              </w:rPr>
            </w:pPr>
            <w:r w:rsidRPr="006231DA">
              <w:rPr>
                <w:rFonts w:cstheme="minorHAnsi"/>
              </w:rPr>
              <w:t>UNICEF and UN Women (2013)</w:t>
            </w:r>
            <w:r w:rsidRPr="006231DA">
              <w:rPr>
                <w:rStyle w:val="FootnoteReference"/>
                <w:rFonts w:cstheme="minorHAnsi"/>
              </w:rPr>
              <w:footnoteReference w:id="7"/>
            </w:r>
            <w:r w:rsidRPr="006231DA">
              <w:rPr>
                <w:rFonts w:cstheme="minorHAnsi"/>
              </w:rPr>
              <w:t xml:space="preserve"> define inequalities as being fundamentally about relational disparities, denial of fair and equivalent enjoyment of rights, and persistence of arbitrary discrepancies in the worth, status, dignity and freedoms of different people. On the other hand, Kabeer (2010)</w:t>
            </w:r>
            <w:r w:rsidRPr="006231DA">
              <w:rPr>
                <w:rStyle w:val="FootnoteReference"/>
                <w:rFonts w:cstheme="minorHAnsi"/>
              </w:rPr>
              <w:footnoteReference w:id="8"/>
            </w:r>
            <w:r w:rsidRPr="006231DA">
              <w:rPr>
                <w:rFonts w:cstheme="minorHAnsi"/>
              </w:rPr>
              <w:t xml:space="preserve"> defines economic inequality within the context of social inequalities faced by people marginalised because of identities such as gender, disability, race, ethnicity, caste, religion or language – resulting in intersecting </w:t>
            </w:r>
            <w:proofErr w:type="gramStart"/>
            <w:r w:rsidRPr="006231DA">
              <w:rPr>
                <w:rFonts w:cstheme="minorHAnsi"/>
              </w:rPr>
              <w:t>–  and</w:t>
            </w:r>
            <w:proofErr w:type="gramEnd"/>
            <w:r w:rsidRPr="006231DA">
              <w:rPr>
                <w:rFonts w:cstheme="minorHAnsi"/>
              </w:rPr>
              <w:t xml:space="preserve"> mutually reinforcing inequalities. According to UNDP (2013),</w:t>
            </w:r>
            <w:r w:rsidRPr="006231DA">
              <w:rPr>
                <w:rStyle w:val="FootnoteReference"/>
                <w:rFonts w:cstheme="minorHAnsi"/>
              </w:rPr>
              <w:footnoteReference w:id="9"/>
            </w:r>
            <w:r w:rsidRPr="006231DA">
              <w:rPr>
                <w:rFonts w:cstheme="minorHAnsi"/>
              </w:rPr>
              <w:t xml:space="preserve"> these socially excluded groups often suffer from spatial inequalities and they tend to be concentrated in disadvantaged locations, and that social, economic and spatial inequalities are likely to contribute to political inequalities. These definitions clearly indicate that inequality is a multi-dimensional development challenge that needs to be approached and addressed within the said context.</w:t>
            </w:r>
          </w:p>
          <w:p w14:paraId="76DEB2BB" w14:textId="77777777" w:rsidR="00BB6555" w:rsidRPr="006231DA" w:rsidRDefault="00BB6555" w:rsidP="005356D9">
            <w:pPr>
              <w:spacing w:line="240" w:lineRule="atLeast"/>
              <w:contextualSpacing/>
              <w:jc w:val="both"/>
              <w:rPr>
                <w:rFonts w:cstheme="minorHAnsi"/>
              </w:rPr>
            </w:pPr>
          </w:p>
          <w:p w14:paraId="1AB4FFEE" w14:textId="09E7E92B" w:rsidR="00D151FE" w:rsidRPr="006231DA" w:rsidRDefault="00D151FE" w:rsidP="005356D9">
            <w:pPr>
              <w:spacing w:line="240" w:lineRule="atLeast"/>
              <w:contextualSpacing/>
              <w:jc w:val="both"/>
              <w:rPr>
                <w:rFonts w:cstheme="minorHAnsi"/>
                <w:b/>
              </w:rPr>
            </w:pPr>
            <w:r w:rsidRPr="006231DA">
              <w:rPr>
                <w:rFonts w:cstheme="minorHAnsi"/>
                <w:b/>
              </w:rPr>
              <w:t>PURPOSE AND SCOPE OF THE STUDY</w:t>
            </w:r>
          </w:p>
          <w:p w14:paraId="20E8C694" w14:textId="77777777" w:rsidR="00D151FE" w:rsidRPr="006231DA" w:rsidRDefault="00D151FE" w:rsidP="005356D9">
            <w:pPr>
              <w:spacing w:line="240" w:lineRule="atLeast"/>
              <w:contextualSpacing/>
              <w:jc w:val="both"/>
              <w:rPr>
                <w:rFonts w:cstheme="minorHAnsi"/>
                <w:b/>
              </w:rPr>
            </w:pPr>
          </w:p>
          <w:p w14:paraId="5065F1C3" w14:textId="77777777" w:rsidR="003117A4" w:rsidRDefault="004A01C9" w:rsidP="005356D9">
            <w:pPr>
              <w:spacing w:line="240" w:lineRule="atLeast"/>
              <w:contextualSpacing/>
              <w:jc w:val="both"/>
              <w:rPr>
                <w:rFonts w:cstheme="minorHAnsi"/>
              </w:rPr>
            </w:pPr>
            <w:r w:rsidRPr="006231DA">
              <w:rPr>
                <w:rFonts w:cstheme="minorHAnsi"/>
              </w:rPr>
              <w:t xml:space="preserve">Against this background and context, </w:t>
            </w:r>
            <w:r w:rsidR="00173379">
              <w:rPr>
                <w:rFonts w:cstheme="minorHAnsi"/>
              </w:rPr>
              <w:t xml:space="preserve">UNDP is commissioning two research studies on the causes and contributing factors to inequality in Botswana; the Inequality (Economy) study and the Inequality (Social) study.  </w:t>
            </w:r>
            <w:r w:rsidR="003117A4">
              <w:rPr>
                <w:rFonts w:cstheme="minorHAnsi"/>
              </w:rPr>
              <w:t xml:space="preserve">Both research studies will identify and </w:t>
            </w:r>
            <w:r w:rsidRPr="006231DA">
              <w:rPr>
                <w:rFonts w:cstheme="minorHAnsi"/>
              </w:rPr>
              <w:t xml:space="preserve">interrogate </w:t>
            </w:r>
            <w:proofErr w:type="gramStart"/>
            <w:r w:rsidRPr="006231DA">
              <w:rPr>
                <w:rFonts w:cstheme="minorHAnsi"/>
              </w:rPr>
              <w:t>the  causes</w:t>
            </w:r>
            <w:proofErr w:type="gramEnd"/>
            <w:r w:rsidRPr="006231DA">
              <w:rPr>
                <w:rFonts w:cstheme="minorHAnsi"/>
              </w:rPr>
              <w:t xml:space="preserve">  of inequalities looking at specific questions </w:t>
            </w:r>
            <w:r w:rsidR="003117A4">
              <w:rPr>
                <w:rFonts w:cstheme="minorHAnsi"/>
              </w:rPr>
              <w:t xml:space="preserve">to unearth evidence and to propose possible legal, policy and advocacy responses that UNDP could pursue in order to address inequality in Botswana.  </w:t>
            </w:r>
            <w:r w:rsidRPr="006231DA">
              <w:rPr>
                <w:rFonts w:cstheme="minorHAnsi"/>
              </w:rPr>
              <w:t xml:space="preserve"> </w:t>
            </w:r>
          </w:p>
          <w:p w14:paraId="6D9EFF03" w14:textId="77777777" w:rsidR="003117A4" w:rsidRDefault="003117A4" w:rsidP="005356D9">
            <w:pPr>
              <w:spacing w:line="240" w:lineRule="atLeast"/>
              <w:contextualSpacing/>
              <w:jc w:val="both"/>
              <w:rPr>
                <w:rFonts w:cstheme="minorHAnsi"/>
              </w:rPr>
            </w:pPr>
          </w:p>
          <w:p w14:paraId="14EA043E" w14:textId="5CDF18EC" w:rsidR="00A75D7C" w:rsidRPr="003117A4" w:rsidRDefault="003117A4" w:rsidP="005356D9">
            <w:pPr>
              <w:spacing w:line="240" w:lineRule="atLeast"/>
              <w:contextualSpacing/>
              <w:jc w:val="both"/>
              <w:rPr>
                <w:rFonts w:cstheme="minorHAnsi"/>
                <w:b/>
                <w:u w:val="single"/>
              </w:rPr>
            </w:pPr>
            <w:r>
              <w:rPr>
                <w:rFonts w:cstheme="minorHAnsi"/>
              </w:rPr>
              <w:t>UNDP Botswana</w:t>
            </w:r>
            <w:r w:rsidR="004A01C9" w:rsidRPr="006231DA">
              <w:rPr>
                <w:rFonts w:cstheme="minorHAnsi"/>
              </w:rPr>
              <w:t xml:space="preserve"> is </w:t>
            </w:r>
            <w:r>
              <w:rPr>
                <w:rFonts w:cstheme="minorHAnsi"/>
              </w:rPr>
              <w:t xml:space="preserve">therefore </w:t>
            </w:r>
            <w:r w:rsidR="004A01C9" w:rsidRPr="006231DA">
              <w:rPr>
                <w:rFonts w:cstheme="minorHAnsi"/>
              </w:rPr>
              <w:t xml:space="preserve">seeking the services </w:t>
            </w:r>
            <w:r w:rsidR="004A01C9" w:rsidRPr="00857859">
              <w:rPr>
                <w:rFonts w:cstheme="minorHAnsi"/>
                <w:b/>
                <w:bCs/>
                <w:i/>
                <w:iCs/>
              </w:rPr>
              <w:t xml:space="preserve">of </w:t>
            </w:r>
            <w:proofErr w:type="spellStart"/>
            <w:proofErr w:type="gramStart"/>
            <w:r w:rsidR="004A01C9" w:rsidRPr="00857859">
              <w:rPr>
                <w:rFonts w:cstheme="minorHAnsi"/>
                <w:b/>
                <w:bCs/>
                <w:i/>
                <w:iCs/>
              </w:rPr>
              <w:t>a</w:t>
            </w:r>
            <w:proofErr w:type="spellEnd"/>
            <w:proofErr w:type="gramEnd"/>
            <w:r w:rsidR="004A01C9" w:rsidRPr="00857859">
              <w:rPr>
                <w:rFonts w:cstheme="minorHAnsi"/>
                <w:b/>
                <w:bCs/>
                <w:i/>
                <w:iCs/>
              </w:rPr>
              <w:t xml:space="preserve"> </w:t>
            </w:r>
            <w:r w:rsidRPr="00857859">
              <w:rPr>
                <w:rFonts w:cstheme="minorHAnsi"/>
                <w:b/>
                <w:bCs/>
                <w:i/>
                <w:iCs/>
              </w:rPr>
              <w:t>expert consultant</w:t>
            </w:r>
            <w:r w:rsidR="004A01C9" w:rsidRPr="006231DA">
              <w:rPr>
                <w:rFonts w:cstheme="minorHAnsi"/>
              </w:rPr>
              <w:t xml:space="preserve"> to carry out the </w:t>
            </w:r>
            <w:r>
              <w:rPr>
                <w:rFonts w:cstheme="minorHAnsi"/>
              </w:rPr>
              <w:t>Inequality (Social) Study – Botswana.</w:t>
            </w:r>
            <w:r w:rsidR="004A01C9" w:rsidRPr="006231DA">
              <w:rPr>
                <w:rFonts w:cstheme="minorHAnsi"/>
              </w:rPr>
              <w:t xml:space="preserve"> </w:t>
            </w:r>
            <w:r>
              <w:rPr>
                <w:rFonts w:cstheme="minorHAnsi"/>
                <w:b/>
                <w:u w:val="single"/>
              </w:rPr>
              <w:t xml:space="preserve"> </w:t>
            </w:r>
            <w:r w:rsidR="00830865" w:rsidRPr="006231DA">
              <w:rPr>
                <w:rFonts w:cstheme="minorHAnsi"/>
              </w:rPr>
              <w:t>A consultant</w:t>
            </w:r>
            <w:r w:rsidR="00C85775" w:rsidRPr="006231DA">
              <w:rPr>
                <w:rFonts w:cstheme="minorHAnsi"/>
              </w:rPr>
              <w:t xml:space="preserve"> </w:t>
            </w:r>
            <w:r w:rsidR="00830865" w:rsidRPr="006231DA">
              <w:rPr>
                <w:rFonts w:cstheme="minorHAnsi"/>
              </w:rPr>
              <w:t>is</w:t>
            </w:r>
            <w:r w:rsidR="00000AFC" w:rsidRPr="006231DA">
              <w:rPr>
                <w:rFonts w:cstheme="minorHAnsi"/>
              </w:rPr>
              <w:t xml:space="preserve"> therefore </w:t>
            </w:r>
            <w:r w:rsidR="00830865" w:rsidRPr="006231DA">
              <w:rPr>
                <w:rFonts w:cstheme="minorHAnsi"/>
              </w:rPr>
              <w:t xml:space="preserve">required </w:t>
            </w:r>
            <w:r w:rsidR="005E5D9C" w:rsidRPr="006231DA">
              <w:rPr>
                <w:rFonts w:cstheme="minorHAnsi"/>
              </w:rPr>
              <w:t xml:space="preserve">to </w:t>
            </w:r>
            <w:r w:rsidR="002F404E" w:rsidRPr="006231DA">
              <w:rPr>
                <w:rFonts w:cstheme="minorHAnsi"/>
              </w:rPr>
              <w:t>conduct an Inequality Study (Social</w:t>
            </w:r>
            <w:r w:rsidR="00D151FE" w:rsidRPr="006231DA">
              <w:rPr>
                <w:rFonts w:cstheme="minorHAnsi"/>
              </w:rPr>
              <w:t xml:space="preserve">) in accordance with the </w:t>
            </w:r>
            <w:r w:rsidR="006231DA" w:rsidRPr="006231DA">
              <w:rPr>
                <w:rFonts w:cstheme="minorHAnsi"/>
              </w:rPr>
              <w:t>Scope of Work below.</w:t>
            </w:r>
            <w:r w:rsidR="00A75D7C" w:rsidRPr="00823DE6">
              <w:rPr>
                <w:rFonts w:ascii="Palatino Linotype" w:eastAsia="Calibri" w:hAnsi="Palatino Linotype"/>
                <w:color w:val="000000"/>
              </w:rPr>
              <w:t xml:space="preserve"> </w:t>
            </w:r>
            <w:r w:rsidR="00A75D7C" w:rsidRPr="00A75D7C">
              <w:rPr>
                <w:rFonts w:cstheme="minorHAnsi"/>
              </w:rPr>
              <w:t>The UNDP Resident Representative and her designate will monitor and facilitate the study including reviewing and approving the deliverables in the scope of work and ensuring the quality of the research study.</w:t>
            </w:r>
          </w:p>
          <w:p w14:paraId="4569BEB1" w14:textId="77777777" w:rsidR="00AB666D" w:rsidRDefault="00AB666D" w:rsidP="005356D9">
            <w:pPr>
              <w:tabs>
                <w:tab w:val="left" w:pos="1410"/>
              </w:tabs>
              <w:spacing w:line="240" w:lineRule="atLeast"/>
              <w:contextualSpacing/>
              <w:jc w:val="both"/>
            </w:pPr>
          </w:p>
          <w:p w14:paraId="20A40208" w14:textId="207BF083" w:rsidR="00CD34BB" w:rsidRPr="006726CE" w:rsidRDefault="00CD34BB" w:rsidP="005356D9">
            <w:pPr>
              <w:tabs>
                <w:tab w:val="left" w:pos="1410"/>
              </w:tabs>
              <w:spacing w:line="240" w:lineRule="atLeast"/>
              <w:contextualSpacing/>
            </w:pPr>
          </w:p>
        </w:tc>
      </w:tr>
    </w:tbl>
    <w:p w14:paraId="3343C482" w14:textId="77777777" w:rsidR="00A24134" w:rsidRPr="006726CE" w:rsidRDefault="00A24134" w:rsidP="005356D9">
      <w:pPr>
        <w:tabs>
          <w:tab w:val="left" w:pos="1410"/>
        </w:tabs>
        <w:spacing w:line="240" w:lineRule="atLeast"/>
        <w:contextualSpacing/>
        <w:rPr>
          <w:b/>
        </w:rPr>
      </w:pPr>
    </w:p>
    <w:p w14:paraId="49D67C8D" w14:textId="77777777" w:rsidR="00944F40" w:rsidRPr="006726CE" w:rsidRDefault="00944F40" w:rsidP="005356D9">
      <w:pPr>
        <w:spacing w:line="240" w:lineRule="atLeast"/>
        <w:contextualSpacing/>
        <w:rPr>
          <w:b/>
        </w:rPr>
      </w:pPr>
      <w:r w:rsidRPr="006726CE">
        <w:rPr>
          <w:b/>
        </w:rPr>
        <w:t xml:space="preserve">2. SCOPE OF WORK, </w:t>
      </w:r>
      <w:r w:rsidR="00DE1432" w:rsidRPr="006726CE">
        <w:rPr>
          <w:b/>
        </w:rPr>
        <w:t>RESPONSIBILITIES</w:t>
      </w:r>
      <w:r w:rsidRPr="006726CE">
        <w:rPr>
          <w:b/>
        </w:rPr>
        <w:t xml:space="preserve"> AND DESCRIPTION OF THE PROPOSED ANALYTICAL WORK </w:t>
      </w:r>
    </w:p>
    <w:tbl>
      <w:tblPr>
        <w:tblStyle w:val="TableGrid"/>
        <w:tblW w:w="0" w:type="auto"/>
        <w:tblLook w:val="04A0" w:firstRow="1" w:lastRow="0" w:firstColumn="1" w:lastColumn="0" w:noHBand="0" w:noVBand="1"/>
      </w:tblPr>
      <w:tblGrid>
        <w:gridCol w:w="9350"/>
      </w:tblGrid>
      <w:tr w:rsidR="0065710B" w:rsidRPr="006726CE" w14:paraId="202B2D17" w14:textId="77777777" w:rsidTr="0065710B">
        <w:tc>
          <w:tcPr>
            <w:tcW w:w="9576" w:type="dxa"/>
          </w:tcPr>
          <w:p w14:paraId="44751872" w14:textId="4CC6D478" w:rsidR="003238DD" w:rsidRPr="006726CE" w:rsidRDefault="003238DD" w:rsidP="005356D9">
            <w:pPr>
              <w:pStyle w:val="NoSpacing"/>
              <w:spacing w:line="240" w:lineRule="atLeast"/>
              <w:contextualSpacing/>
              <w:jc w:val="both"/>
              <w:rPr>
                <w:rFonts w:cs="Times New Roman"/>
              </w:rPr>
            </w:pPr>
          </w:p>
          <w:p w14:paraId="5B37A47B" w14:textId="25EFCF2C" w:rsidR="00F50506" w:rsidRPr="006726CE" w:rsidRDefault="004A7F40" w:rsidP="005356D9">
            <w:pPr>
              <w:pStyle w:val="NoSpacing"/>
              <w:spacing w:line="240" w:lineRule="atLeast"/>
              <w:contextualSpacing/>
              <w:jc w:val="both"/>
              <w:rPr>
                <w:rFonts w:cs="Times New Roman"/>
                <w:color w:val="0D0D0D" w:themeColor="text1" w:themeTint="F2"/>
              </w:rPr>
            </w:pPr>
            <w:r w:rsidRPr="006726CE">
              <w:rPr>
                <w:rFonts w:cs="Times New Roman"/>
                <w:color w:val="0D0D0D" w:themeColor="text1" w:themeTint="F2"/>
              </w:rPr>
              <w:t xml:space="preserve">The scope of work </w:t>
            </w:r>
            <w:r w:rsidR="00F50506" w:rsidRPr="006726CE">
              <w:rPr>
                <w:rFonts w:cs="Times New Roman"/>
                <w:color w:val="0D0D0D" w:themeColor="text1" w:themeTint="F2"/>
              </w:rPr>
              <w:t>is as follows</w:t>
            </w:r>
            <w:r w:rsidR="00F9044A" w:rsidRPr="006726CE">
              <w:rPr>
                <w:rFonts w:cs="Times New Roman"/>
                <w:color w:val="0D0D0D" w:themeColor="text1" w:themeTint="F2"/>
              </w:rPr>
              <w:t>:</w:t>
            </w:r>
          </w:p>
          <w:p w14:paraId="57A6AB31" w14:textId="77777777" w:rsidR="00E16961" w:rsidRDefault="00E16961" w:rsidP="005356D9">
            <w:pPr>
              <w:spacing w:line="240" w:lineRule="atLeast"/>
              <w:contextualSpacing/>
              <w:rPr>
                <w:rFonts w:cs="Times New Roman"/>
                <w:color w:val="0D0D0D" w:themeColor="text1" w:themeTint="F2"/>
              </w:rPr>
            </w:pPr>
          </w:p>
          <w:p w14:paraId="666F31C0" w14:textId="4350415F" w:rsidR="00E16961" w:rsidRDefault="00E16961" w:rsidP="005356D9">
            <w:pPr>
              <w:spacing w:line="240" w:lineRule="atLeast"/>
              <w:contextualSpacing/>
              <w:rPr>
                <w:rFonts w:cs="Times New Roman"/>
                <w:color w:val="0D0D0D" w:themeColor="text1" w:themeTint="F2"/>
              </w:rPr>
            </w:pPr>
            <w:r w:rsidRPr="00E16961">
              <w:rPr>
                <w:rFonts w:cs="Times New Roman"/>
                <w:color w:val="0D0D0D" w:themeColor="text1" w:themeTint="F2"/>
              </w:rPr>
              <w:t xml:space="preserve">The </w:t>
            </w:r>
            <w:r w:rsidR="004F147B">
              <w:rPr>
                <w:rFonts w:cs="Times New Roman"/>
                <w:color w:val="0D0D0D" w:themeColor="text1" w:themeTint="F2"/>
              </w:rPr>
              <w:t xml:space="preserve">consultant will </w:t>
            </w:r>
            <w:r w:rsidR="004F147B" w:rsidRPr="00B17315">
              <w:rPr>
                <w:rFonts w:cs="Times New Roman"/>
                <w:b/>
                <w:bCs/>
                <w:i/>
                <w:iCs/>
                <w:color w:val="0D0D0D" w:themeColor="text1" w:themeTint="F2"/>
              </w:rPr>
              <w:t>conduct qualitative</w:t>
            </w:r>
            <w:r w:rsidR="004F147B">
              <w:rPr>
                <w:rFonts w:cs="Times New Roman"/>
                <w:color w:val="0D0D0D" w:themeColor="text1" w:themeTint="F2"/>
              </w:rPr>
              <w:t xml:space="preserve"> and </w:t>
            </w:r>
            <w:r w:rsidR="004F147B" w:rsidRPr="00B17315">
              <w:rPr>
                <w:rFonts w:cs="Times New Roman"/>
                <w:b/>
                <w:bCs/>
                <w:i/>
                <w:iCs/>
                <w:color w:val="0D0D0D" w:themeColor="text1" w:themeTint="F2"/>
              </w:rPr>
              <w:t>quantitative research</w:t>
            </w:r>
            <w:r w:rsidR="004F147B">
              <w:rPr>
                <w:rFonts w:cs="Times New Roman"/>
                <w:color w:val="0D0D0D" w:themeColor="text1" w:themeTint="F2"/>
              </w:rPr>
              <w:t xml:space="preserve"> </w:t>
            </w:r>
            <w:r w:rsidR="00F904A2">
              <w:rPr>
                <w:rFonts w:cs="Times New Roman"/>
                <w:color w:val="0D0D0D" w:themeColor="text1" w:themeTint="F2"/>
              </w:rPr>
              <w:t>on the</w:t>
            </w:r>
            <w:r w:rsidRPr="00E16961">
              <w:rPr>
                <w:rFonts w:cs="Times New Roman"/>
                <w:color w:val="0D0D0D" w:themeColor="text1" w:themeTint="F2"/>
              </w:rPr>
              <w:t xml:space="preserve"> following </w:t>
            </w:r>
            <w:r w:rsidR="004F147B">
              <w:rPr>
                <w:rFonts w:cs="Times New Roman"/>
                <w:color w:val="0D0D0D" w:themeColor="text1" w:themeTint="F2"/>
              </w:rPr>
              <w:t xml:space="preserve">research questions, analyse the findings </w:t>
            </w:r>
            <w:r w:rsidRPr="00E16961">
              <w:rPr>
                <w:rFonts w:cs="Times New Roman"/>
                <w:color w:val="0D0D0D" w:themeColor="text1" w:themeTint="F2"/>
              </w:rPr>
              <w:t xml:space="preserve">and </w:t>
            </w:r>
            <w:r w:rsidR="006F3ACC">
              <w:rPr>
                <w:rFonts w:cs="Times New Roman"/>
                <w:color w:val="0D0D0D" w:themeColor="text1" w:themeTint="F2"/>
              </w:rPr>
              <w:t>produce a research report that synthesizes this information</w:t>
            </w:r>
            <w:r w:rsidR="003633DB">
              <w:rPr>
                <w:rFonts w:cs="Times New Roman"/>
                <w:color w:val="0D0D0D" w:themeColor="text1" w:themeTint="F2"/>
              </w:rPr>
              <w:t xml:space="preserve"> identifies gaps in available data,</w:t>
            </w:r>
            <w:r w:rsidR="006F3ACC">
              <w:rPr>
                <w:rFonts w:cs="Times New Roman"/>
                <w:color w:val="0D0D0D" w:themeColor="text1" w:themeTint="F2"/>
              </w:rPr>
              <w:t xml:space="preserve"> and </w:t>
            </w:r>
            <w:r w:rsidR="004F147B">
              <w:rPr>
                <w:rFonts w:cs="Times New Roman"/>
                <w:color w:val="0D0D0D" w:themeColor="text1" w:themeTint="F2"/>
              </w:rPr>
              <w:t>provide</w:t>
            </w:r>
            <w:r w:rsidR="006F3ACC">
              <w:rPr>
                <w:rFonts w:cs="Times New Roman"/>
                <w:color w:val="0D0D0D" w:themeColor="text1" w:themeTint="F2"/>
              </w:rPr>
              <w:t>s</w:t>
            </w:r>
            <w:r w:rsidR="004F147B">
              <w:rPr>
                <w:rFonts w:cs="Times New Roman"/>
                <w:color w:val="0D0D0D" w:themeColor="text1" w:themeTint="F2"/>
              </w:rPr>
              <w:t xml:space="preserve"> recommendations on </w:t>
            </w:r>
            <w:r w:rsidR="006F3ACC">
              <w:rPr>
                <w:rFonts w:cs="Times New Roman"/>
                <w:color w:val="0D0D0D" w:themeColor="text1" w:themeTint="F2"/>
              </w:rPr>
              <w:t>possible legal, policy or advocacy responses.</w:t>
            </w:r>
          </w:p>
          <w:p w14:paraId="08CF93F1" w14:textId="1E6B27C5" w:rsidR="006F3ACC" w:rsidRDefault="006F3ACC" w:rsidP="005356D9">
            <w:pPr>
              <w:spacing w:line="240" w:lineRule="atLeast"/>
              <w:contextualSpacing/>
              <w:rPr>
                <w:rFonts w:cs="Times New Roman"/>
                <w:color w:val="0D0D0D" w:themeColor="text1" w:themeTint="F2"/>
              </w:rPr>
            </w:pPr>
          </w:p>
          <w:p w14:paraId="0FE17248" w14:textId="5C2DBADF" w:rsidR="006F3ACC" w:rsidRPr="00E16961" w:rsidRDefault="006F3ACC" w:rsidP="005356D9">
            <w:pPr>
              <w:spacing w:line="240" w:lineRule="atLeast"/>
              <w:contextualSpacing/>
              <w:rPr>
                <w:rFonts w:cs="Times New Roman"/>
                <w:color w:val="0D0D0D" w:themeColor="text1" w:themeTint="F2"/>
              </w:rPr>
            </w:pPr>
            <w:r>
              <w:rPr>
                <w:rFonts w:cs="Times New Roman"/>
                <w:color w:val="0D0D0D" w:themeColor="text1" w:themeTint="F2"/>
              </w:rPr>
              <w:t>Research questions:</w:t>
            </w:r>
          </w:p>
          <w:p w14:paraId="52D48278" w14:textId="77777777" w:rsidR="00E16961" w:rsidRPr="00E16961" w:rsidRDefault="00E16961" w:rsidP="005356D9">
            <w:pPr>
              <w:pStyle w:val="ListParagraph"/>
              <w:spacing w:line="240" w:lineRule="atLeast"/>
              <w:rPr>
                <w:rFonts w:cs="Times New Roman"/>
                <w:color w:val="0D0D0D" w:themeColor="text1" w:themeTint="F2"/>
              </w:rPr>
            </w:pPr>
          </w:p>
          <w:p w14:paraId="3D9E08C4" w14:textId="1FB5562C" w:rsidR="00E16961" w:rsidRPr="00E16961" w:rsidRDefault="00E16961" w:rsidP="005356D9">
            <w:pPr>
              <w:pStyle w:val="ListParagraph"/>
              <w:spacing w:line="240" w:lineRule="atLeast"/>
              <w:rPr>
                <w:rFonts w:cs="Times New Roman"/>
                <w:color w:val="0D0D0D" w:themeColor="text1" w:themeTint="F2"/>
              </w:rPr>
            </w:pPr>
            <w:r w:rsidRPr="00E16961">
              <w:rPr>
                <w:rFonts w:cs="Times New Roman"/>
                <w:color w:val="0D0D0D" w:themeColor="text1" w:themeTint="F2"/>
              </w:rPr>
              <w:t xml:space="preserve">Q1: </w:t>
            </w:r>
            <w:r>
              <w:rPr>
                <w:rFonts w:cs="Times New Roman"/>
                <w:color w:val="0D0D0D" w:themeColor="text1" w:themeTint="F2"/>
              </w:rPr>
              <w:t>D</w:t>
            </w:r>
            <w:r w:rsidR="000C4034">
              <w:rPr>
                <w:rFonts w:cs="Times New Roman"/>
                <w:color w:val="0D0D0D" w:themeColor="text1" w:themeTint="F2"/>
              </w:rPr>
              <w:t xml:space="preserve">oes </w:t>
            </w:r>
            <w:r w:rsidR="000C4034" w:rsidRPr="006C04B1">
              <w:rPr>
                <w:rFonts w:cs="Times New Roman"/>
                <w:b/>
                <w:bCs/>
                <w:i/>
                <w:iCs/>
                <w:color w:val="0D0D0D" w:themeColor="text1" w:themeTint="F2"/>
              </w:rPr>
              <w:t>geographical location</w:t>
            </w:r>
            <w:r w:rsidR="000C4034">
              <w:rPr>
                <w:rFonts w:cs="Times New Roman"/>
                <w:color w:val="0D0D0D" w:themeColor="text1" w:themeTint="F2"/>
              </w:rPr>
              <w:t xml:space="preserve"> cause</w:t>
            </w:r>
            <w:r w:rsidR="00581CDF">
              <w:rPr>
                <w:rFonts w:cs="Times New Roman"/>
                <w:color w:val="0D0D0D" w:themeColor="text1" w:themeTint="F2"/>
              </w:rPr>
              <w:t xml:space="preserve"> or contribute to</w:t>
            </w:r>
            <w:r w:rsidRPr="00E16961">
              <w:rPr>
                <w:rFonts w:cs="Times New Roman"/>
                <w:color w:val="0D0D0D" w:themeColor="text1" w:themeTint="F2"/>
              </w:rPr>
              <w:t xml:space="preserve"> inequalities in Botswana? </w:t>
            </w:r>
          </w:p>
          <w:p w14:paraId="72C31281" w14:textId="3D69E4DA" w:rsidR="00E16961" w:rsidRPr="00E16961" w:rsidRDefault="00E16961" w:rsidP="005356D9">
            <w:pPr>
              <w:pStyle w:val="ListParagraph"/>
              <w:spacing w:line="240" w:lineRule="atLeast"/>
              <w:rPr>
                <w:rFonts w:cs="Times New Roman"/>
                <w:color w:val="0D0D0D" w:themeColor="text1" w:themeTint="F2"/>
              </w:rPr>
            </w:pPr>
            <w:r w:rsidRPr="00E16961">
              <w:rPr>
                <w:rFonts w:cs="Times New Roman"/>
                <w:color w:val="0D0D0D" w:themeColor="text1" w:themeTint="F2"/>
              </w:rPr>
              <w:t xml:space="preserve">Q2: </w:t>
            </w:r>
            <w:r w:rsidR="005B5E08">
              <w:rPr>
                <w:rFonts w:cs="Times New Roman"/>
                <w:color w:val="0D0D0D" w:themeColor="text1" w:themeTint="F2"/>
              </w:rPr>
              <w:t xml:space="preserve">Does </w:t>
            </w:r>
            <w:r w:rsidR="005B5E08" w:rsidRPr="006C04B1">
              <w:rPr>
                <w:rFonts w:cs="Times New Roman"/>
                <w:b/>
                <w:bCs/>
                <w:i/>
                <w:iCs/>
                <w:color w:val="0D0D0D" w:themeColor="text1" w:themeTint="F2"/>
              </w:rPr>
              <w:t>nationality, ethnic or tribal origin</w:t>
            </w:r>
            <w:r w:rsidR="005B5E08">
              <w:rPr>
                <w:rFonts w:cs="Times New Roman"/>
                <w:color w:val="0D0D0D" w:themeColor="text1" w:themeTint="F2"/>
              </w:rPr>
              <w:t xml:space="preserve"> cause </w:t>
            </w:r>
            <w:r w:rsidR="00581CDF">
              <w:rPr>
                <w:rFonts w:cs="Times New Roman"/>
                <w:color w:val="0D0D0D" w:themeColor="text1" w:themeTint="F2"/>
              </w:rPr>
              <w:t xml:space="preserve">or contribute to </w:t>
            </w:r>
            <w:r w:rsidR="005B5E08">
              <w:rPr>
                <w:rFonts w:cs="Times New Roman"/>
                <w:color w:val="0D0D0D" w:themeColor="text1" w:themeTint="F2"/>
              </w:rPr>
              <w:t xml:space="preserve">inequalities in Botswana?  </w:t>
            </w:r>
          </w:p>
          <w:p w14:paraId="4D475EB9" w14:textId="333FB7A3" w:rsidR="00E16961" w:rsidRDefault="00E16961" w:rsidP="005356D9">
            <w:pPr>
              <w:pStyle w:val="ListParagraph"/>
              <w:spacing w:line="240" w:lineRule="atLeast"/>
              <w:rPr>
                <w:rFonts w:cs="Times New Roman"/>
                <w:color w:val="0D0D0D" w:themeColor="text1" w:themeTint="F2"/>
              </w:rPr>
            </w:pPr>
            <w:r w:rsidRPr="00E16961">
              <w:rPr>
                <w:rFonts w:cs="Times New Roman"/>
                <w:color w:val="0D0D0D" w:themeColor="text1" w:themeTint="F2"/>
              </w:rPr>
              <w:t>Q</w:t>
            </w:r>
            <w:r w:rsidR="00AD5BF7">
              <w:rPr>
                <w:rFonts w:cs="Times New Roman"/>
                <w:color w:val="0D0D0D" w:themeColor="text1" w:themeTint="F2"/>
              </w:rPr>
              <w:t>3</w:t>
            </w:r>
            <w:r w:rsidRPr="00E16961">
              <w:rPr>
                <w:rFonts w:cs="Times New Roman"/>
                <w:color w:val="0D0D0D" w:themeColor="text1" w:themeTint="F2"/>
              </w:rPr>
              <w:t xml:space="preserve">: </w:t>
            </w:r>
            <w:r w:rsidR="00195DE4">
              <w:rPr>
                <w:rFonts w:cs="Times New Roman"/>
                <w:color w:val="0D0D0D" w:themeColor="text1" w:themeTint="F2"/>
              </w:rPr>
              <w:t xml:space="preserve">Does </w:t>
            </w:r>
            <w:r w:rsidR="00195DE4" w:rsidRPr="006C04B1">
              <w:rPr>
                <w:rFonts w:cs="Times New Roman"/>
                <w:b/>
                <w:bCs/>
                <w:i/>
                <w:iCs/>
                <w:color w:val="0D0D0D" w:themeColor="text1" w:themeTint="F2"/>
              </w:rPr>
              <w:t>stigma</w:t>
            </w:r>
            <w:r w:rsidR="00E86D28" w:rsidRPr="006C04B1">
              <w:rPr>
                <w:rFonts w:cs="Times New Roman"/>
                <w:b/>
                <w:bCs/>
                <w:i/>
                <w:iCs/>
                <w:color w:val="0D0D0D" w:themeColor="text1" w:themeTint="F2"/>
              </w:rPr>
              <w:t>, or cultural norms</w:t>
            </w:r>
            <w:r w:rsidR="00E86D28">
              <w:rPr>
                <w:rFonts w:cs="Times New Roman"/>
                <w:color w:val="0D0D0D" w:themeColor="text1" w:themeTint="F2"/>
              </w:rPr>
              <w:t xml:space="preserve"> regarding</w:t>
            </w:r>
            <w:r w:rsidR="00195DE4">
              <w:rPr>
                <w:rFonts w:cs="Times New Roman"/>
                <w:color w:val="0D0D0D" w:themeColor="text1" w:themeTint="F2"/>
              </w:rPr>
              <w:t xml:space="preserve"> gender, sexual orientation, disability</w:t>
            </w:r>
            <w:r w:rsidR="00581CDF">
              <w:rPr>
                <w:rFonts w:cs="Times New Roman"/>
                <w:color w:val="0D0D0D" w:themeColor="text1" w:themeTint="F2"/>
              </w:rPr>
              <w:t>,</w:t>
            </w:r>
            <w:r w:rsidR="0026739C">
              <w:rPr>
                <w:rFonts w:cs="Times New Roman"/>
                <w:color w:val="0D0D0D" w:themeColor="text1" w:themeTint="F2"/>
              </w:rPr>
              <w:t xml:space="preserve"> age </w:t>
            </w:r>
            <w:r w:rsidR="00581CDF">
              <w:rPr>
                <w:rFonts w:cs="Times New Roman"/>
                <w:color w:val="0D0D0D" w:themeColor="text1" w:themeTint="F2"/>
              </w:rPr>
              <w:t xml:space="preserve">or any other vulnerable population group </w:t>
            </w:r>
            <w:r w:rsidR="0026739C">
              <w:rPr>
                <w:rFonts w:cs="Times New Roman"/>
                <w:color w:val="0D0D0D" w:themeColor="text1" w:themeTint="F2"/>
              </w:rPr>
              <w:t>cause</w:t>
            </w:r>
            <w:r w:rsidR="00581CDF">
              <w:rPr>
                <w:rFonts w:cs="Times New Roman"/>
                <w:color w:val="0D0D0D" w:themeColor="text1" w:themeTint="F2"/>
              </w:rPr>
              <w:t xml:space="preserve"> or contribute to</w:t>
            </w:r>
            <w:r w:rsidR="0026739C">
              <w:rPr>
                <w:rFonts w:cs="Times New Roman"/>
                <w:color w:val="0D0D0D" w:themeColor="text1" w:themeTint="F2"/>
              </w:rPr>
              <w:t xml:space="preserve"> inequalities in Botswana?</w:t>
            </w:r>
          </w:p>
          <w:p w14:paraId="04A12885" w14:textId="435DD5DA" w:rsidR="00344082" w:rsidRDefault="00344082" w:rsidP="005356D9">
            <w:pPr>
              <w:pStyle w:val="ListParagraph"/>
              <w:spacing w:line="240" w:lineRule="atLeast"/>
              <w:rPr>
                <w:rFonts w:cs="Times New Roman"/>
                <w:color w:val="0D0D0D" w:themeColor="text1" w:themeTint="F2"/>
              </w:rPr>
            </w:pPr>
            <w:r>
              <w:rPr>
                <w:rFonts w:cs="Times New Roman"/>
                <w:color w:val="0D0D0D" w:themeColor="text1" w:themeTint="F2"/>
              </w:rPr>
              <w:t>Q</w:t>
            </w:r>
            <w:r w:rsidR="00B62713">
              <w:rPr>
                <w:rFonts w:cs="Times New Roman"/>
                <w:color w:val="0D0D0D" w:themeColor="text1" w:themeTint="F2"/>
              </w:rPr>
              <w:t>4</w:t>
            </w:r>
            <w:r>
              <w:rPr>
                <w:rFonts w:cs="Times New Roman"/>
                <w:color w:val="0D0D0D" w:themeColor="text1" w:themeTint="F2"/>
              </w:rPr>
              <w:t xml:space="preserve">: </w:t>
            </w:r>
            <w:r w:rsidR="00AD5BF7">
              <w:rPr>
                <w:rFonts w:cs="Times New Roman"/>
                <w:color w:val="0D0D0D" w:themeColor="text1" w:themeTint="F2"/>
              </w:rPr>
              <w:t xml:space="preserve"> Has the mechanism</w:t>
            </w:r>
            <w:r w:rsidR="00B62713">
              <w:rPr>
                <w:rFonts w:cs="Times New Roman"/>
                <w:color w:val="0D0D0D" w:themeColor="text1" w:themeTint="F2"/>
              </w:rPr>
              <w:t xml:space="preserve">s by </w:t>
            </w:r>
            <w:proofErr w:type="gramStart"/>
            <w:r w:rsidR="00B62713">
              <w:rPr>
                <w:rFonts w:cs="Times New Roman"/>
                <w:color w:val="0D0D0D" w:themeColor="text1" w:themeTint="F2"/>
              </w:rPr>
              <w:t>which  persons</w:t>
            </w:r>
            <w:proofErr w:type="gramEnd"/>
            <w:r w:rsidR="00B62713">
              <w:rPr>
                <w:rFonts w:cs="Times New Roman"/>
                <w:color w:val="0D0D0D" w:themeColor="text1" w:themeTint="F2"/>
              </w:rPr>
              <w:t xml:space="preserve"> </w:t>
            </w:r>
            <w:r w:rsidR="00AD5BF7">
              <w:rPr>
                <w:rFonts w:cs="Times New Roman"/>
                <w:color w:val="0D0D0D" w:themeColor="text1" w:themeTint="F2"/>
              </w:rPr>
              <w:t xml:space="preserve"> </w:t>
            </w:r>
            <w:r>
              <w:rPr>
                <w:rFonts w:cs="Times New Roman"/>
                <w:color w:val="0D0D0D" w:themeColor="text1" w:themeTint="F2"/>
              </w:rPr>
              <w:t xml:space="preserve">acquire and hold </w:t>
            </w:r>
            <w:r w:rsidRPr="006C04B1">
              <w:rPr>
                <w:rFonts w:cs="Times New Roman"/>
                <w:b/>
                <w:bCs/>
                <w:i/>
                <w:iCs/>
                <w:color w:val="0D0D0D" w:themeColor="text1" w:themeTint="F2"/>
              </w:rPr>
              <w:t>land or access other natural resources</w:t>
            </w:r>
            <w:r>
              <w:rPr>
                <w:rFonts w:cs="Times New Roman"/>
                <w:color w:val="0D0D0D" w:themeColor="text1" w:themeTint="F2"/>
              </w:rPr>
              <w:t xml:space="preserve"> cause or contribute</w:t>
            </w:r>
            <w:r w:rsidR="00B62713">
              <w:rPr>
                <w:rFonts w:cs="Times New Roman"/>
                <w:color w:val="0D0D0D" w:themeColor="text1" w:themeTint="F2"/>
              </w:rPr>
              <w:t>d</w:t>
            </w:r>
            <w:r>
              <w:rPr>
                <w:rFonts w:cs="Times New Roman"/>
                <w:color w:val="0D0D0D" w:themeColor="text1" w:themeTint="F2"/>
              </w:rPr>
              <w:t xml:space="preserve"> to </w:t>
            </w:r>
            <w:r w:rsidR="00D44296">
              <w:rPr>
                <w:rFonts w:cs="Times New Roman"/>
                <w:color w:val="0D0D0D" w:themeColor="text1" w:themeTint="F2"/>
              </w:rPr>
              <w:t>inequality in Botswana?</w:t>
            </w:r>
          </w:p>
          <w:p w14:paraId="7CEA8017" w14:textId="77777777" w:rsidR="00E16961" w:rsidRPr="00E036FE" w:rsidRDefault="00E16961" w:rsidP="005356D9">
            <w:pPr>
              <w:spacing w:line="240" w:lineRule="atLeast"/>
              <w:contextualSpacing/>
              <w:jc w:val="both"/>
              <w:rPr>
                <w:rFonts w:ascii="Palatino Linotype" w:hAnsi="Palatino Linotype"/>
                <w:bCs/>
              </w:rPr>
            </w:pPr>
          </w:p>
          <w:p w14:paraId="175E8544" w14:textId="539AEE00" w:rsidR="00F33AE1" w:rsidRPr="006726CE" w:rsidRDefault="00F33AE1" w:rsidP="005356D9">
            <w:pPr>
              <w:pStyle w:val="NoSpacing"/>
              <w:spacing w:after="240" w:line="240" w:lineRule="atLeast"/>
              <w:contextualSpacing/>
              <w:jc w:val="both"/>
              <w:rPr>
                <w:rFonts w:cs="Times New Roman"/>
                <w:color w:val="0D0D0D" w:themeColor="text1" w:themeTint="F2"/>
              </w:rPr>
            </w:pPr>
            <w:r w:rsidRPr="006726CE">
              <w:rPr>
                <w:rFonts w:cs="Times New Roman"/>
                <w:color w:val="0D0D0D" w:themeColor="text1" w:themeTint="F2"/>
              </w:rPr>
              <w:t xml:space="preserve"> </w:t>
            </w:r>
          </w:p>
        </w:tc>
      </w:tr>
    </w:tbl>
    <w:p w14:paraId="336D855A" w14:textId="4CF2FEE0" w:rsidR="00D6617C" w:rsidRDefault="00D6617C" w:rsidP="005356D9">
      <w:pPr>
        <w:spacing w:line="240" w:lineRule="atLeast"/>
        <w:contextualSpacing/>
        <w:rPr>
          <w:b/>
        </w:rPr>
      </w:pPr>
    </w:p>
    <w:p w14:paraId="2EA5CCFA" w14:textId="77777777" w:rsidR="00F43174" w:rsidRPr="008C2C1C" w:rsidRDefault="00F43174" w:rsidP="006C04B1">
      <w:pPr>
        <w:spacing w:after="0" w:line="240" w:lineRule="atLeast"/>
        <w:contextualSpacing/>
        <w:jc w:val="both"/>
        <w:rPr>
          <w:rFonts w:cstheme="minorHAnsi"/>
          <w:b/>
        </w:rPr>
      </w:pPr>
      <w:proofErr w:type="gramStart"/>
      <w:r w:rsidRPr="008C2C1C">
        <w:rPr>
          <w:rFonts w:cstheme="minorHAnsi"/>
          <w:b/>
        </w:rPr>
        <w:t>3.0  METHODOLOGY</w:t>
      </w:r>
      <w:proofErr w:type="gramEnd"/>
      <w:r w:rsidRPr="008C2C1C">
        <w:rPr>
          <w:rFonts w:cstheme="minorHAnsi"/>
          <w:b/>
        </w:rPr>
        <w:t xml:space="preserve"> </w:t>
      </w:r>
    </w:p>
    <w:p w14:paraId="29B56325" w14:textId="77777777" w:rsidR="00F43174" w:rsidRDefault="00F43174" w:rsidP="006C04B1">
      <w:pPr>
        <w:spacing w:line="240" w:lineRule="atLeast"/>
        <w:contextualSpacing/>
        <w:jc w:val="both"/>
        <w:rPr>
          <w:rFonts w:cstheme="minorHAnsi"/>
          <w:bCs/>
        </w:rPr>
      </w:pPr>
      <w:r w:rsidRPr="005C15F8">
        <w:rPr>
          <w:rFonts w:cstheme="minorHAnsi"/>
          <w:bCs/>
        </w:rPr>
        <w:t xml:space="preserve">It is important that the consultant submits a clear methodology on </w:t>
      </w:r>
      <w:r w:rsidRPr="005C15F8">
        <w:rPr>
          <w:rFonts w:cstheme="minorHAnsi"/>
          <w:b/>
          <w:u w:val="single"/>
        </w:rPr>
        <w:t>how</w:t>
      </w:r>
      <w:r w:rsidRPr="005C15F8">
        <w:rPr>
          <w:rFonts w:cstheme="minorHAnsi"/>
          <w:bCs/>
        </w:rPr>
        <w:t xml:space="preserve"> each question will be undertaken in the Scope of Works. The consultant is also expected to ensure that the methodology follows global best practices for such work.</w:t>
      </w:r>
    </w:p>
    <w:p w14:paraId="2EA9517E" w14:textId="77777777" w:rsidR="00F43174" w:rsidRPr="005C15F8" w:rsidRDefault="00F43174" w:rsidP="005356D9">
      <w:pPr>
        <w:spacing w:after="0" w:line="240" w:lineRule="atLeast"/>
        <w:contextualSpacing/>
        <w:rPr>
          <w:rFonts w:cstheme="minorHAnsi"/>
          <w:bCs/>
        </w:rPr>
      </w:pPr>
    </w:p>
    <w:p w14:paraId="30A81A74" w14:textId="77777777" w:rsidR="00F43174" w:rsidRPr="008C2C1C" w:rsidRDefault="00F43174" w:rsidP="005356D9">
      <w:pPr>
        <w:spacing w:line="240" w:lineRule="atLeast"/>
        <w:contextualSpacing/>
        <w:jc w:val="both"/>
        <w:rPr>
          <w:rFonts w:eastAsia="Calibri" w:cstheme="minorHAnsi"/>
          <w:b/>
          <w:color w:val="000000"/>
        </w:rPr>
      </w:pPr>
      <w:r w:rsidRPr="008C2C1C">
        <w:rPr>
          <w:rFonts w:eastAsia="Calibri" w:cstheme="minorHAnsi"/>
          <w:b/>
          <w:color w:val="000000"/>
        </w:rPr>
        <w:t xml:space="preserve">4.0 </w:t>
      </w:r>
      <w:r>
        <w:rPr>
          <w:rFonts w:eastAsia="Calibri" w:cstheme="minorHAnsi"/>
          <w:b/>
          <w:color w:val="000000"/>
        </w:rPr>
        <w:t>DELIVERABLES</w:t>
      </w:r>
    </w:p>
    <w:p w14:paraId="3C0B9926" w14:textId="77777777" w:rsidR="00F43174" w:rsidRPr="008C2C1C" w:rsidRDefault="00F43174" w:rsidP="005356D9">
      <w:pPr>
        <w:spacing w:line="240" w:lineRule="atLeast"/>
        <w:contextualSpacing/>
        <w:rPr>
          <w:rFonts w:cstheme="minorHAnsi"/>
          <w:color w:val="0D0D0D" w:themeColor="text1" w:themeTint="F2"/>
        </w:rPr>
      </w:pPr>
      <w:r w:rsidRPr="008C2C1C">
        <w:rPr>
          <w:rFonts w:cstheme="minorHAnsi"/>
          <w:color w:val="0D0D0D" w:themeColor="text1" w:themeTint="F2"/>
        </w:rPr>
        <w:t>The consultant will produce the following deliverables within the timeframes specified below:</w:t>
      </w:r>
    </w:p>
    <w:p w14:paraId="23FF2BCF" w14:textId="77777777" w:rsidR="00F43174" w:rsidRPr="008C2C1C" w:rsidRDefault="00F43174" w:rsidP="005356D9">
      <w:pPr>
        <w:spacing w:line="240" w:lineRule="atLeast"/>
        <w:contextualSpacing/>
        <w:rPr>
          <w:rFonts w:cstheme="minorHAnsi"/>
          <w:color w:val="0D0D0D" w:themeColor="text1" w:themeTint="F2"/>
        </w:rPr>
      </w:pPr>
      <w:r w:rsidRPr="008C2C1C">
        <w:rPr>
          <w:rFonts w:cstheme="minorHAnsi"/>
          <w:color w:val="0D0D0D" w:themeColor="text1" w:themeTint="F2"/>
        </w:rPr>
        <w:t>Specifications of the research study report:</w:t>
      </w:r>
    </w:p>
    <w:p w14:paraId="0F407859" w14:textId="77777777" w:rsidR="00F43174" w:rsidRPr="008C2C1C" w:rsidRDefault="00F43174" w:rsidP="005356D9">
      <w:pPr>
        <w:pStyle w:val="ListParagraph"/>
        <w:numPr>
          <w:ilvl w:val="0"/>
          <w:numId w:val="35"/>
        </w:numPr>
        <w:spacing w:line="240" w:lineRule="atLeast"/>
        <w:rPr>
          <w:rFonts w:cstheme="minorHAnsi"/>
          <w:color w:val="0D0D0D" w:themeColor="text1" w:themeTint="F2"/>
        </w:rPr>
      </w:pPr>
      <w:r w:rsidRPr="008C2C1C">
        <w:rPr>
          <w:rFonts w:cstheme="minorHAnsi"/>
          <w:color w:val="0D0D0D" w:themeColor="text1" w:themeTint="F2"/>
        </w:rPr>
        <w:t>The report will include an automated table of contents, an executive summary (3 – 5 pages), table of recommendations, data in annexes;</w:t>
      </w:r>
    </w:p>
    <w:p w14:paraId="3755A122" w14:textId="77777777" w:rsidR="00F43174" w:rsidRDefault="00F43174" w:rsidP="005356D9">
      <w:pPr>
        <w:pStyle w:val="ListParagraph"/>
        <w:numPr>
          <w:ilvl w:val="0"/>
          <w:numId w:val="35"/>
        </w:numPr>
        <w:spacing w:line="240" w:lineRule="atLeast"/>
        <w:rPr>
          <w:rFonts w:cs="Times New Roman"/>
          <w:color w:val="0D0D0D" w:themeColor="text1" w:themeTint="F2"/>
        </w:rPr>
      </w:pPr>
      <w:r>
        <w:rPr>
          <w:rFonts w:cs="Times New Roman"/>
          <w:color w:val="0D0D0D" w:themeColor="text1" w:themeTint="F2"/>
        </w:rPr>
        <w:t>The report will include a</w:t>
      </w:r>
      <w:r w:rsidRPr="001652E0">
        <w:rPr>
          <w:rFonts w:cs="Times New Roman"/>
          <w:color w:val="0D0D0D" w:themeColor="text1" w:themeTint="F2"/>
        </w:rPr>
        <w:t xml:space="preserve"> </w:t>
      </w:r>
      <w:r>
        <w:rPr>
          <w:rFonts w:cs="Times New Roman"/>
          <w:color w:val="0D0D0D" w:themeColor="text1" w:themeTint="F2"/>
        </w:rPr>
        <w:t xml:space="preserve">fully </w:t>
      </w:r>
      <w:r w:rsidRPr="001652E0">
        <w:rPr>
          <w:rFonts w:cs="Times New Roman"/>
          <w:color w:val="0D0D0D" w:themeColor="text1" w:themeTint="F2"/>
        </w:rPr>
        <w:t xml:space="preserve">referenced desk review, data, analysis, findings and recommendations; </w:t>
      </w:r>
    </w:p>
    <w:p w14:paraId="6B137508" w14:textId="77777777" w:rsidR="00F43174" w:rsidRDefault="00F43174" w:rsidP="005356D9">
      <w:pPr>
        <w:pStyle w:val="ListParagraph"/>
        <w:numPr>
          <w:ilvl w:val="0"/>
          <w:numId w:val="35"/>
        </w:numPr>
        <w:spacing w:line="240" w:lineRule="atLeast"/>
        <w:rPr>
          <w:rFonts w:cs="Times New Roman"/>
          <w:color w:val="0D0D0D" w:themeColor="text1" w:themeTint="F2"/>
        </w:rPr>
      </w:pPr>
      <w:r>
        <w:rPr>
          <w:rFonts w:cs="Times New Roman"/>
          <w:color w:val="0D0D0D" w:themeColor="text1" w:themeTint="F2"/>
        </w:rPr>
        <w:t>The report must</w:t>
      </w:r>
      <w:r w:rsidRPr="001652E0">
        <w:rPr>
          <w:rFonts w:cs="Times New Roman"/>
          <w:color w:val="0D0D0D" w:themeColor="text1" w:themeTint="F2"/>
        </w:rPr>
        <w:t xml:space="preserve"> written in plain English</w:t>
      </w:r>
      <w:r>
        <w:rPr>
          <w:rFonts w:cs="Times New Roman"/>
          <w:color w:val="0D0D0D" w:themeColor="text1" w:themeTint="F2"/>
        </w:rPr>
        <w:t xml:space="preserve"> and express complex issues in a way that appeals to and is accessible by a broad target audience;</w:t>
      </w:r>
    </w:p>
    <w:p w14:paraId="647DB262" w14:textId="77777777" w:rsidR="00F43174" w:rsidRPr="008C2C1C" w:rsidRDefault="00F43174" w:rsidP="005356D9">
      <w:pPr>
        <w:pStyle w:val="ListParagraph"/>
        <w:numPr>
          <w:ilvl w:val="0"/>
          <w:numId w:val="35"/>
        </w:numPr>
        <w:spacing w:line="240" w:lineRule="atLeast"/>
        <w:rPr>
          <w:rFonts w:cs="Times New Roman"/>
          <w:color w:val="0D0D0D" w:themeColor="text1" w:themeTint="F2"/>
        </w:rPr>
      </w:pPr>
      <w:r>
        <w:rPr>
          <w:rFonts w:cs="Times New Roman"/>
          <w:color w:val="0D0D0D" w:themeColor="text1" w:themeTint="F2"/>
        </w:rPr>
        <w:t xml:space="preserve">The report must </w:t>
      </w:r>
      <w:r w:rsidRPr="001652E0">
        <w:rPr>
          <w:rFonts w:cs="Times New Roman"/>
          <w:color w:val="0D0D0D" w:themeColor="text1" w:themeTint="F2"/>
        </w:rPr>
        <w:t>not exceed 60 pages</w:t>
      </w:r>
      <w:r>
        <w:rPr>
          <w:rFonts w:cs="Times New Roman"/>
          <w:color w:val="0D0D0D" w:themeColor="text1" w:themeTint="F2"/>
        </w:rPr>
        <w:t xml:space="preserve"> in total including annexes.</w:t>
      </w:r>
    </w:p>
    <w:p w14:paraId="45314AD1" w14:textId="77777777" w:rsidR="00F43174" w:rsidRPr="00823DE6" w:rsidRDefault="00F43174" w:rsidP="005356D9">
      <w:pPr>
        <w:spacing w:line="240" w:lineRule="atLeast"/>
        <w:contextualSpacing/>
        <w:jc w:val="both"/>
        <w:rPr>
          <w:rFonts w:ascii="Palatino Linotype" w:eastAsia="Calibri" w:hAnsi="Palatino Linotype"/>
          <w:b/>
          <w:color w:val="000000"/>
        </w:rPr>
      </w:pPr>
    </w:p>
    <w:tbl>
      <w:tblPr>
        <w:tblStyle w:val="TableGrid"/>
        <w:tblW w:w="0" w:type="auto"/>
        <w:tblLook w:val="04A0" w:firstRow="1" w:lastRow="0" w:firstColumn="1" w:lastColumn="0" w:noHBand="0" w:noVBand="1"/>
      </w:tblPr>
      <w:tblGrid>
        <w:gridCol w:w="3121"/>
        <w:gridCol w:w="3130"/>
        <w:gridCol w:w="3099"/>
      </w:tblGrid>
      <w:tr w:rsidR="00F43174" w:rsidRPr="001652E0" w14:paraId="3BD84014" w14:textId="77777777" w:rsidTr="003A70D1">
        <w:tc>
          <w:tcPr>
            <w:tcW w:w="3212" w:type="dxa"/>
          </w:tcPr>
          <w:p w14:paraId="0F101F60" w14:textId="77777777" w:rsidR="00F43174" w:rsidRPr="008C2690" w:rsidRDefault="00F43174" w:rsidP="005356D9">
            <w:pPr>
              <w:spacing w:line="240" w:lineRule="atLeast"/>
              <w:contextualSpacing/>
              <w:rPr>
                <w:rFonts w:cs="Times New Roman"/>
                <w:b/>
                <w:bCs/>
                <w:color w:val="0D0D0D" w:themeColor="text1" w:themeTint="F2"/>
              </w:rPr>
            </w:pPr>
            <w:r w:rsidRPr="008C2690">
              <w:rPr>
                <w:rFonts w:cs="Times New Roman"/>
                <w:b/>
                <w:bCs/>
                <w:color w:val="0D0D0D" w:themeColor="text1" w:themeTint="F2"/>
              </w:rPr>
              <w:t>Activity</w:t>
            </w:r>
          </w:p>
        </w:tc>
        <w:tc>
          <w:tcPr>
            <w:tcW w:w="3213" w:type="dxa"/>
          </w:tcPr>
          <w:p w14:paraId="78906B7B" w14:textId="77777777" w:rsidR="00F43174" w:rsidRPr="008C2690" w:rsidRDefault="00F43174" w:rsidP="005356D9">
            <w:pPr>
              <w:spacing w:line="240" w:lineRule="atLeast"/>
              <w:contextualSpacing/>
              <w:rPr>
                <w:rFonts w:cs="Times New Roman"/>
                <w:b/>
                <w:bCs/>
                <w:color w:val="0D0D0D" w:themeColor="text1" w:themeTint="F2"/>
              </w:rPr>
            </w:pPr>
            <w:r w:rsidRPr="008C2690">
              <w:rPr>
                <w:rFonts w:cs="Times New Roman"/>
                <w:b/>
                <w:bCs/>
                <w:color w:val="0D0D0D" w:themeColor="text1" w:themeTint="F2"/>
              </w:rPr>
              <w:t>Output</w:t>
            </w:r>
          </w:p>
        </w:tc>
        <w:tc>
          <w:tcPr>
            <w:tcW w:w="3213" w:type="dxa"/>
          </w:tcPr>
          <w:p w14:paraId="57784412" w14:textId="77777777" w:rsidR="00F43174" w:rsidRPr="008C2690" w:rsidRDefault="00F43174" w:rsidP="005356D9">
            <w:pPr>
              <w:spacing w:line="240" w:lineRule="atLeast"/>
              <w:contextualSpacing/>
              <w:rPr>
                <w:rFonts w:cs="Times New Roman"/>
                <w:b/>
                <w:bCs/>
                <w:color w:val="0D0D0D" w:themeColor="text1" w:themeTint="F2"/>
              </w:rPr>
            </w:pPr>
            <w:r w:rsidRPr="008C2690">
              <w:rPr>
                <w:rFonts w:cs="Times New Roman"/>
                <w:b/>
                <w:bCs/>
                <w:color w:val="0D0D0D" w:themeColor="text1" w:themeTint="F2"/>
              </w:rPr>
              <w:t>Number of days</w:t>
            </w:r>
          </w:p>
        </w:tc>
      </w:tr>
      <w:tr w:rsidR="00F43174" w:rsidRPr="001652E0" w14:paraId="43722913" w14:textId="77777777" w:rsidTr="003A70D1">
        <w:tc>
          <w:tcPr>
            <w:tcW w:w="3212" w:type="dxa"/>
          </w:tcPr>
          <w:p w14:paraId="721F1B6D" w14:textId="77777777" w:rsidR="00F43174"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 xml:space="preserve">Meet with the Management Team to discuss the research </w:t>
            </w:r>
          </w:p>
          <w:p w14:paraId="2E6C0E79" w14:textId="77777777" w:rsidR="00F43174" w:rsidRPr="008C2690" w:rsidRDefault="00F43174" w:rsidP="005356D9">
            <w:pPr>
              <w:spacing w:line="240" w:lineRule="atLeast"/>
              <w:contextualSpacing/>
              <w:rPr>
                <w:rFonts w:cs="Times New Roman"/>
                <w:color w:val="0D0D0D" w:themeColor="text1" w:themeTint="F2"/>
              </w:rPr>
            </w:pPr>
          </w:p>
        </w:tc>
        <w:tc>
          <w:tcPr>
            <w:tcW w:w="3213" w:type="dxa"/>
          </w:tcPr>
          <w:p w14:paraId="027404C3"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 xml:space="preserve"> Questions clarified </w:t>
            </w:r>
          </w:p>
        </w:tc>
        <w:tc>
          <w:tcPr>
            <w:tcW w:w="3213" w:type="dxa"/>
          </w:tcPr>
          <w:p w14:paraId="37E76749"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 xml:space="preserve">2 hours </w:t>
            </w:r>
          </w:p>
        </w:tc>
      </w:tr>
      <w:tr w:rsidR="00F43174" w:rsidRPr="001652E0" w14:paraId="5F2E54CD" w14:textId="77777777" w:rsidTr="003A70D1">
        <w:tc>
          <w:tcPr>
            <w:tcW w:w="3212" w:type="dxa"/>
          </w:tcPr>
          <w:p w14:paraId="0D9E884F"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Inception Report</w:t>
            </w:r>
          </w:p>
        </w:tc>
        <w:tc>
          <w:tcPr>
            <w:tcW w:w="3213" w:type="dxa"/>
          </w:tcPr>
          <w:p w14:paraId="15E00057" w14:textId="77777777" w:rsidR="00F43174"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Inception report inclusive of initial observations, comprehensive methodology and workplan</w:t>
            </w:r>
          </w:p>
          <w:p w14:paraId="4D79C194" w14:textId="77777777" w:rsidR="00F43174" w:rsidRPr="008C2690" w:rsidRDefault="00F43174" w:rsidP="005356D9">
            <w:pPr>
              <w:spacing w:line="240" w:lineRule="atLeast"/>
              <w:contextualSpacing/>
              <w:rPr>
                <w:rFonts w:cs="Times New Roman"/>
                <w:color w:val="0D0D0D" w:themeColor="text1" w:themeTint="F2"/>
              </w:rPr>
            </w:pPr>
          </w:p>
        </w:tc>
        <w:tc>
          <w:tcPr>
            <w:tcW w:w="3213" w:type="dxa"/>
          </w:tcPr>
          <w:p w14:paraId="5304188A"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lastRenderedPageBreak/>
              <w:t>5 days</w:t>
            </w:r>
          </w:p>
        </w:tc>
      </w:tr>
      <w:tr w:rsidR="00F43174" w:rsidRPr="001652E0" w14:paraId="4EFF0C74" w14:textId="77777777" w:rsidTr="003A70D1">
        <w:tc>
          <w:tcPr>
            <w:tcW w:w="3212" w:type="dxa"/>
          </w:tcPr>
          <w:p w14:paraId="0F78212E" w14:textId="77777777" w:rsidR="00F43174" w:rsidRPr="008C2690" w:rsidRDefault="00F43174" w:rsidP="005356D9">
            <w:pPr>
              <w:spacing w:line="240" w:lineRule="atLeast"/>
              <w:contextualSpacing/>
              <w:rPr>
                <w:rFonts w:cs="Times New Roman"/>
                <w:color w:val="0D0D0D" w:themeColor="text1" w:themeTint="F2"/>
              </w:rPr>
            </w:pPr>
            <w:r>
              <w:rPr>
                <w:rFonts w:cs="Times New Roman"/>
                <w:color w:val="0D0D0D" w:themeColor="text1" w:themeTint="F2"/>
              </w:rPr>
              <w:t>Research and data collection</w:t>
            </w:r>
            <w:r w:rsidRPr="008C2690">
              <w:rPr>
                <w:rFonts w:cs="Times New Roman"/>
                <w:color w:val="0D0D0D" w:themeColor="text1" w:themeTint="F2"/>
              </w:rPr>
              <w:t xml:space="preserve"> </w:t>
            </w:r>
          </w:p>
        </w:tc>
        <w:tc>
          <w:tcPr>
            <w:tcW w:w="3213" w:type="dxa"/>
          </w:tcPr>
          <w:p w14:paraId="0E9D99FC"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Proposed table of contents</w:t>
            </w:r>
          </w:p>
          <w:p w14:paraId="4F291BD5"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Preliminary findings</w:t>
            </w:r>
          </w:p>
          <w:p w14:paraId="771D9890" w14:textId="77777777" w:rsidR="00F43174"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First draft report</w:t>
            </w:r>
            <w:r>
              <w:rPr>
                <w:rFonts w:cs="Times New Roman"/>
                <w:color w:val="0D0D0D" w:themeColor="text1" w:themeTint="F2"/>
              </w:rPr>
              <w:t xml:space="preserve"> </w:t>
            </w:r>
          </w:p>
          <w:p w14:paraId="4572B284" w14:textId="77777777" w:rsidR="00F43174" w:rsidRPr="008C2690" w:rsidRDefault="00F43174" w:rsidP="005356D9">
            <w:pPr>
              <w:spacing w:line="240" w:lineRule="atLeast"/>
              <w:contextualSpacing/>
              <w:rPr>
                <w:rFonts w:cs="Times New Roman"/>
                <w:color w:val="0D0D0D" w:themeColor="text1" w:themeTint="F2"/>
              </w:rPr>
            </w:pPr>
          </w:p>
        </w:tc>
        <w:tc>
          <w:tcPr>
            <w:tcW w:w="3213" w:type="dxa"/>
          </w:tcPr>
          <w:p w14:paraId="5C374280"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20 days</w:t>
            </w:r>
          </w:p>
        </w:tc>
      </w:tr>
      <w:tr w:rsidR="00F43174" w:rsidRPr="001652E0" w14:paraId="21384BEB" w14:textId="77777777" w:rsidTr="003A70D1">
        <w:tc>
          <w:tcPr>
            <w:tcW w:w="3212" w:type="dxa"/>
          </w:tcPr>
          <w:p w14:paraId="298DA3D2" w14:textId="77777777" w:rsidR="00F43174"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Present the preliminary findings to UNDP Management Team</w:t>
            </w:r>
          </w:p>
          <w:p w14:paraId="39D2756C" w14:textId="77777777" w:rsidR="00F43174" w:rsidRPr="008C2690" w:rsidRDefault="00F43174" w:rsidP="005356D9">
            <w:pPr>
              <w:spacing w:line="240" w:lineRule="atLeast"/>
              <w:contextualSpacing/>
              <w:rPr>
                <w:rFonts w:cs="Times New Roman"/>
                <w:color w:val="0D0D0D" w:themeColor="text1" w:themeTint="F2"/>
              </w:rPr>
            </w:pPr>
          </w:p>
        </w:tc>
        <w:tc>
          <w:tcPr>
            <w:tcW w:w="3213" w:type="dxa"/>
          </w:tcPr>
          <w:p w14:paraId="59EF8AAC"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Power Point Presentation</w:t>
            </w:r>
          </w:p>
        </w:tc>
        <w:tc>
          <w:tcPr>
            <w:tcW w:w="3213" w:type="dxa"/>
          </w:tcPr>
          <w:p w14:paraId="55A7CB8A"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1 day</w:t>
            </w:r>
          </w:p>
        </w:tc>
      </w:tr>
      <w:tr w:rsidR="00F43174" w:rsidRPr="001652E0" w14:paraId="132FC56D" w14:textId="77777777" w:rsidTr="003A70D1">
        <w:tc>
          <w:tcPr>
            <w:tcW w:w="3212" w:type="dxa"/>
          </w:tcPr>
          <w:p w14:paraId="07C54799" w14:textId="77777777" w:rsidR="00F43174"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 xml:space="preserve">Address and incorporate comments and produce the final report </w:t>
            </w:r>
          </w:p>
          <w:p w14:paraId="3658682A" w14:textId="77777777" w:rsidR="00F43174" w:rsidRPr="008C2690" w:rsidRDefault="00F43174" w:rsidP="005356D9">
            <w:pPr>
              <w:spacing w:line="240" w:lineRule="atLeast"/>
              <w:contextualSpacing/>
              <w:rPr>
                <w:rFonts w:cs="Times New Roman"/>
                <w:color w:val="0D0D0D" w:themeColor="text1" w:themeTint="F2"/>
              </w:rPr>
            </w:pPr>
          </w:p>
        </w:tc>
        <w:tc>
          <w:tcPr>
            <w:tcW w:w="3213" w:type="dxa"/>
          </w:tcPr>
          <w:p w14:paraId="78A0D3D8"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Final report</w:t>
            </w:r>
          </w:p>
        </w:tc>
        <w:tc>
          <w:tcPr>
            <w:tcW w:w="3213" w:type="dxa"/>
          </w:tcPr>
          <w:p w14:paraId="4CEBF556"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5 days</w:t>
            </w:r>
          </w:p>
        </w:tc>
      </w:tr>
      <w:tr w:rsidR="00F43174" w:rsidRPr="001652E0" w14:paraId="6D220DE1" w14:textId="77777777" w:rsidTr="003A70D1">
        <w:tc>
          <w:tcPr>
            <w:tcW w:w="6425" w:type="dxa"/>
            <w:gridSpan w:val="2"/>
          </w:tcPr>
          <w:p w14:paraId="2AB5B0A1" w14:textId="77777777" w:rsidR="00F43174" w:rsidRPr="005D5F13" w:rsidRDefault="00F43174" w:rsidP="005356D9">
            <w:pPr>
              <w:spacing w:line="240" w:lineRule="atLeast"/>
              <w:contextualSpacing/>
              <w:rPr>
                <w:rFonts w:cs="Times New Roman"/>
                <w:b/>
                <w:bCs/>
                <w:color w:val="0D0D0D" w:themeColor="text1" w:themeTint="F2"/>
              </w:rPr>
            </w:pPr>
            <w:r w:rsidRPr="005D5F13">
              <w:rPr>
                <w:rFonts w:cs="Times New Roman"/>
                <w:b/>
                <w:bCs/>
                <w:color w:val="0D0D0D" w:themeColor="text1" w:themeTint="F2"/>
              </w:rPr>
              <w:t>Total number of consultancy days</w:t>
            </w:r>
          </w:p>
        </w:tc>
        <w:tc>
          <w:tcPr>
            <w:tcW w:w="3213" w:type="dxa"/>
          </w:tcPr>
          <w:p w14:paraId="1745D5A6" w14:textId="77777777" w:rsidR="00F43174" w:rsidRPr="008C2690" w:rsidRDefault="00F43174" w:rsidP="005356D9">
            <w:pPr>
              <w:spacing w:line="240" w:lineRule="atLeast"/>
              <w:contextualSpacing/>
              <w:rPr>
                <w:rFonts w:cs="Times New Roman"/>
                <w:color w:val="0D0D0D" w:themeColor="text1" w:themeTint="F2"/>
              </w:rPr>
            </w:pPr>
            <w:r w:rsidRPr="008C2690">
              <w:rPr>
                <w:rFonts w:cs="Times New Roman"/>
                <w:color w:val="0D0D0D" w:themeColor="text1" w:themeTint="F2"/>
              </w:rPr>
              <w:t>33 days</w:t>
            </w:r>
          </w:p>
        </w:tc>
      </w:tr>
    </w:tbl>
    <w:p w14:paraId="4E7B6301" w14:textId="77777777" w:rsidR="00F43174" w:rsidRPr="008C2690" w:rsidRDefault="00F43174" w:rsidP="005356D9">
      <w:pPr>
        <w:spacing w:line="240" w:lineRule="atLeast"/>
        <w:contextualSpacing/>
        <w:rPr>
          <w:rFonts w:cs="Times New Roman"/>
          <w:color w:val="0D0D0D" w:themeColor="text1" w:themeTint="F2"/>
        </w:rPr>
      </w:pPr>
    </w:p>
    <w:p w14:paraId="6E91F75A" w14:textId="77777777" w:rsidR="00F43174" w:rsidRDefault="00F43174" w:rsidP="005356D9">
      <w:pPr>
        <w:spacing w:line="240" w:lineRule="atLeast"/>
        <w:contextualSpacing/>
        <w:rPr>
          <w:b/>
        </w:rPr>
      </w:pPr>
      <w:r w:rsidRPr="006726CE">
        <w:rPr>
          <w:rFonts w:cs="Times New Roman"/>
          <w:color w:val="0D0D0D" w:themeColor="text1" w:themeTint="F2"/>
        </w:rPr>
        <w:t xml:space="preserve"> </w:t>
      </w:r>
      <w:r>
        <w:rPr>
          <w:b/>
        </w:rPr>
        <w:br w:type="page"/>
      </w:r>
    </w:p>
    <w:p w14:paraId="2128B08B" w14:textId="77777777" w:rsidR="00D6617C" w:rsidRDefault="00D6617C" w:rsidP="005356D9">
      <w:pPr>
        <w:spacing w:line="240" w:lineRule="atLeast"/>
        <w:contextualSpacing/>
        <w:rPr>
          <w:b/>
        </w:rPr>
      </w:pPr>
      <w:r>
        <w:rPr>
          <w:b/>
        </w:rPr>
        <w:lastRenderedPageBreak/>
        <w:br w:type="page"/>
      </w:r>
    </w:p>
    <w:p w14:paraId="238553F7" w14:textId="77777777" w:rsidR="006E5C1A" w:rsidRPr="006726CE" w:rsidRDefault="006E5C1A" w:rsidP="005356D9">
      <w:pPr>
        <w:spacing w:line="240" w:lineRule="atLeast"/>
        <w:contextualSpacing/>
        <w:rPr>
          <w:b/>
        </w:rPr>
      </w:pPr>
    </w:p>
    <w:p w14:paraId="0BA197CE" w14:textId="2A153B10" w:rsidR="002223E0" w:rsidRPr="006726CE" w:rsidRDefault="00F43174" w:rsidP="005356D9">
      <w:pPr>
        <w:spacing w:line="240" w:lineRule="atLeast"/>
        <w:contextualSpacing/>
        <w:rPr>
          <w:b/>
        </w:rPr>
      </w:pPr>
      <w:r>
        <w:rPr>
          <w:b/>
        </w:rPr>
        <w:t>5</w:t>
      </w:r>
      <w:r w:rsidR="002223E0" w:rsidRPr="006726CE">
        <w:rPr>
          <w:b/>
        </w:rPr>
        <w:t xml:space="preserve">. </w:t>
      </w:r>
      <w:r w:rsidR="00C22E07" w:rsidRPr="00581CDF">
        <w:rPr>
          <w:b/>
        </w:rPr>
        <w:t xml:space="preserve">REQUIREMENTS FOR EXPERIENCE AND </w:t>
      </w:r>
      <w:r w:rsidR="002223E0" w:rsidRPr="00581CDF">
        <w:rPr>
          <w:b/>
        </w:rPr>
        <w:t>QUALIFICATIONS</w:t>
      </w:r>
    </w:p>
    <w:tbl>
      <w:tblPr>
        <w:tblStyle w:val="TableGrid"/>
        <w:tblW w:w="0" w:type="auto"/>
        <w:tblLook w:val="04A0" w:firstRow="1" w:lastRow="0" w:firstColumn="1" w:lastColumn="0" w:noHBand="0" w:noVBand="1"/>
      </w:tblPr>
      <w:tblGrid>
        <w:gridCol w:w="9350"/>
      </w:tblGrid>
      <w:tr w:rsidR="00443E94" w:rsidRPr="006726CE" w14:paraId="23A0B3F3" w14:textId="77777777" w:rsidTr="00443E94">
        <w:tc>
          <w:tcPr>
            <w:tcW w:w="9576" w:type="dxa"/>
          </w:tcPr>
          <w:p w14:paraId="51495F99" w14:textId="4949D002" w:rsidR="0010445E" w:rsidRPr="00E7761E" w:rsidRDefault="0010445E" w:rsidP="005356D9">
            <w:pPr>
              <w:spacing w:before="120" w:after="120" w:line="240" w:lineRule="atLeast"/>
              <w:contextualSpacing/>
              <w:jc w:val="both"/>
              <w:rPr>
                <w:rFonts w:cs="Arial"/>
                <w:u w:val="single"/>
              </w:rPr>
            </w:pPr>
            <w:r w:rsidRPr="00E7761E">
              <w:rPr>
                <w:rFonts w:cs="Arial"/>
                <w:u w:val="single"/>
              </w:rPr>
              <w:t>I. Academic Qualifications:</w:t>
            </w:r>
          </w:p>
          <w:p w14:paraId="1A539438" w14:textId="2AB2C19E" w:rsidR="00F92CFE" w:rsidRPr="004F2440" w:rsidRDefault="00EE2D58" w:rsidP="005356D9">
            <w:pPr>
              <w:numPr>
                <w:ilvl w:val="0"/>
                <w:numId w:val="19"/>
              </w:numPr>
              <w:spacing w:line="240" w:lineRule="atLeast"/>
              <w:contextualSpacing/>
              <w:jc w:val="both"/>
              <w:rPr>
                <w:rFonts w:cs="Arial"/>
              </w:rPr>
            </w:pPr>
            <w:r w:rsidRPr="006726CE">
              <w:rPr>
                <w:rFonts w:cs="Arial"/>
              </w:rPr>
              <w:t>Minimum</w:t>
            </w:r>
            <w:r w:rsidR="004B68D6">
              <w:rPr>
                <w:rFonts w:cs="Arial"/>
              </w:rPr>
              <w:t xml:space="preserve"> of</w:t>
            </w:r>
            <w:r w:rsidRPr="006726CE">
              <w:rPr>
                <w:rFonts w:cs="Arial"/>
              </w:rPr>
              <w:t xml:space="preserve"> </w:t>
            </w:r>
            <w:r w:rsidR="0010445E" w:rsidRPr="006726CE">
              <w:rPr>
                <w:rFonts w:cs="Arial"/>
              </w:rPr>
              <w:t xml:space="preserve">Master’s </w:t>
            </w:r>
            <w:r w:rsidR="006726CE">
              <w:rPr>
                <w:rFonts w:cs="Arial"/>
              </w:rPr>
              <w:t>D</w:t>
            </w:r>
            <w:r w:rsidR="0010445E" w:rsidRPr="006726CE">
              <w:rPr>
                <w:rFonts w:cs="Arial"/>
              </w:rPr>
              <w:t xml:space="preserve">egree </w:t>
            </w:r>
            <w:r w:rsidR="00F92CFE">
              <w:rPr>
                <w:rFonts w:cs="Arial"/>
              </w:rPr>
              <w:t>in Economics</w:t>
            </w:r>
            <w:r w:rsidR="004F5535">
              <w:rPr>
                <w:rFonts w:cs="Arial"/>
              </w:rPr>
              <w:t xml:space="preserve"> or Social Science or related discipline, PhD preferred.</w:t>
            </w:r>
          </w:p>
          <w:p w14:paraId="2889BEB2" w14:textId="77777777" w:rsidR="00EE2D58" w:rsidRPr="004B68D6" w:rsidRDefault="00EE2D58" w:rsidP="005356D9">
            <w:pPr>
              <w:spacing w:line="240" w:lineRule="atLeast"/>
              <w:ind w:left="360"/>
              <w:contextualSpacing/>
              <w:jc w:val="both"/>
              <w:rPr>
                <w:rFonts w:cs="Arial"/>
                <w:u w:val="single"/>
              </w:rPr>
            </w:pPr>
          </w:p>
          <w:p w14:paraId="4765890E" w14:textId="77777777" w:rsidR="0010445E" w:rsidRPr="006726CE" w:rsidRDefault="0010445E" w:rsidP="005356D9">
            <w:pPr>
              <w:spacing w:line="240" w:lineRule="atLeast"/>
              <w:contextualSpacing/>
              <w:jc w:val="both"/>
              <w:rPr>
                <w:rFonts w:cs="Arial"/>
              </w:rPr>
            </w:pPr>
            <w:r w:rsidRPr="004B68D6">
              <w:rPr>
                <w:rFonts w:cs="Arial"/>
                <w:u w:val="single"/>
              </w:rPr>
              <w:t>II. Required experience:</w:t>
            </w:r>
          </w:p>
          <w:p w14:paraId="7D7D3809" w14:textId="5FD72932" w:rsidR="0010445E" w:rsidRPr="005E3C58" w:rsidRDefault="004F5535" w:rsidP="005356D9">
            <w:pPr>
              <w:numPr>
                <w:ilvl w:val="0"/>
                <w:numId w:val="19"/>
              </w:numPr>
              <w:spacing w:before="100" w:beforeAutospacing="1" w:after="120" w:line="240" w:lineRule="atLeast"/>
              <w:contextualSpacing/>
              <w:rPr>
                <w:rFonts w:cs="Arial"/>
              </w:rPr>
            </w:pPr>
            <w:r>
              <w:rPr>
                <w:rFonts w:cs="Arial"/>
              </w:rPr>
              <w:t xml:space="preserve">A </w:t>
            </w:r>
            <w:r w:rsidRPr="00BB44DB">
              <w:rPr>
                <w:rFonts w:cs="Arial"/>
                <w:b/>
                <w:bCs/>
                <w:i/>
                <w:iCs/>
              </w:rPr>
              <w:t>minimum of ten years’ relevant experience</w:t>
            </w:r>
            <w:r>
              <w:rPr>
                <w:rFonts w:cs="Arial"/>
              </w:rPr>
              <w:t xml:space="preserve"> in </w:t>
            </w:r>
            <w:r w:rsidR="00C9562D" w:rsidRPr="005E3C58">
              <w:rPr>
                <w:rFonts w:cs="Arial"/>
                <w:szCs w:val="20"/>
              </w:rPr>
              <w:t>research, report writing and policy analysis</w:t>
            </w:r>
            <w:r w:rsidR="005E3C58">
              <w:rPr>
                <w:rFonts w:cs="Arial"/>
                <w:szCs w:val="20"/>
              </w:rPr>
              <w:t xml:space="preserve"> on inequality</w:t>
            </w:r>
            <w:r w:rsidR="002928AA">
              <w:rPr>
                <w:rFonts w:cs="Arial"/>
                <w:szCs w:val="20"/>
              </w:rPr>
              <w:t xml:space="preserve"> in the context of human development</w:t>
            </w:r>
            <w:r w:rsidR="005E3C58">
              <w:rPr>
                <w:rFonts w:cs="Arial"/>
                <w:szCs w:val="20"/>
              </w:rPr>
              <w:t xml:space="preserve"> and related issues;</w:t>
            </w:r>
          </w:p>
          <w:p w14:paraId="67117165" w14:textId="77777777" w:rsidR="00813D37" w:rsidRPr="002928AA" w:rsidRDefault="00813D37" w:rsidP="005356D9">
            <w:pPr>
              <w:numPr>
                <w:ilvl w:val="0"/>
                <w:numId w:val="19"/>
              </w:numPr>
              <w:spacing w:before="100" w:beforeAutospacing="1" w:after="120" w:line="240" w:lineRule="atLeast"/>
              <w:contextualSpacing/>
              <w:rPr>
                <w:rFonts w:cs="Arial"/>
              </w:rPr>
            </w:pPr>
            <w:r>
              <w:rPr>
                <w:rFonts w:cs="Arial"/>
              </w:rPr>
              <w:t xml:space="preserve">Demonstrated </w:t>
            </w:r>
            <w:r w:rsidRPr="00C87B0A">
              <w:rPr>
                <w:rFonts w:cs="Arial"/>
                <w:b/>
                <w:bCs/>
                <w:i/>
                <w:iCs/>
              </w:rPr>
              <w:t>expertise in inequality and related socio-economic factors</w:t>
            </w:r>
            <w:r w:rsidRPr="002928AA">
              <w:rPr>
                <w:rFonts w:cs="Arial"/>
              </w:rPr>
              <w:t xml:space="preserve"> in the Southern Africa region, including specific conditions affecting marginalised groups </w:t>
            </w:r>
            <w:r>
              <w:rPr>
                <w:rFonts w:cs="Arial"/>
              </w:rPr>
              <w:t>including but not limited to youth, women, rural and remote area dwellers and people with disabilities;</w:t>
            </w:r>
          </w:p>
          <w:p w14:paraId="47DBBEBC" w14:textId="67A84962" w:rsidR="00400851" w:rsidRPr="0088083E" w:rsidRDefault="00796BD9" w:rsidP="005356D9">
            <w:pPr>
              <w:numPr>
                <w:ilvl w:val="0"/>
                <w:numId w:val="19"/>
              </w:numPr>
              <w:spacing w:after="120" w:line="240" w:lineRule="atLeast"/>
              <w:contextualSpacing/>
              <w:rPr>
                <w:rFonts w:cs="Arial"/>
              </w:rPr>
            </w:pPr>
            <w:r w:rsidRPr="000E58BD">
              <w:rPr>
                <w:rFonts w:cs="Arial"/>
              </w:rPr>
              <w:t xml:space="preserve">Demonstrated </w:t>
            </w:r>
            <w:r w:rsidRPr="00C87B0A">
              <w:rPr>
                <w:rFonts w:cs="Arial"/>
                <w:b/>
                <w:bCs/>
                <w:i/>
                <w:iCs/>
              </w:rPr>
              <w:t>experience</w:t>
            </w:r>
            <w:r w:rsidR="00400851" w:rsidRPr="00C87B0A">
              <w:rPr>
                <w:rFonts w:cs="Arial"/>
                <w:b/>
                <w:bCs/>
                <w:i/>
                <w:iCs/>
              </w:rPr>
              <w:t xml:space="preserve"> </w:t>
            </w:r>
            <w:r w:rsidRPr="00C87B0A">
              <w:rPr>
                <w:rFonts w:cs="Arial"/>
                <w:b/>
                <w:bCs/>
                <w:i/>
                <w:iCs/>
              </w:rPr>
              <w:t>conducting</w:t>
            </w:r>
            <w:r w:rsidR="00400851" w:rsidRPr="00C87B0A">
              <w:rPr>
                <w:rFonts w:cs="Arial"/>
                <w:b/>
                <w:bCs/>
                <w:i/>
                <w:iCs/>
              </w:rPr>
              <w:t xml:space="preserve"> comparative research</w:t>
            </w:r>
            <w:r w:rsidRPr="00C87B0A">
              <w:rPr>
                <w:rFonts w:cs="Arial"/>
                <w:b/>
                <w:bCs/>
                <w:i/>
                <w:iCs/>
              </w:rPr>
              <w:t>, data collection</w:t>
            </w:r>
            <w:r w:rsidR="00400851" w:rsidRPr="00C87B0A">
              <w:rPr>
                <w:rFonts w:cs="Arial"/>
                <w:b/>
                <w:bCs/>
                <w:i/>
                <w:iCs/>
              </w:rPr>
              <w:t xml:space="preserve"> and analysis</w:t>
            </w:r>
            <w:r w:rsidR="00400851" w:rsidRPr="006726CE">
              <w:rPr>
                <w:rFonts w:cs="Arial"/>
              </w:rPr>
              <w:t xml:space="preserve"> and </w:t>
            </w:r>
            <w:proofErr w:type="spellStart"/>
            <w:r w:rsidR="00400851" w:rsidRPr="006726CE">
              <w:rPr>
                <w:rFonts w:cs="Arial"/>
              </w:rPr>
              <w:t>contextualis</w:t>
            </w:r>
            <w:r w:rsidR="0090194C">
              <w:rPr>
                <w:rFonts w:cs="Arial"/>
              </w:rPr>
              <w:t>ing</w:t>
            </w:r>
            <w:proofErr w:type="spellEnd"/>
            <w:r w:rsidR="00400851" w:rsidRPr="006726CE">
              <w:rPr>
                <w:rFonts w:cs="Arial"/>
              </w:rPr>
              <w:t xml:space="preserve"> to the local context and conditions;</w:t>
            </w:r>
          </w:p>
          <w:p w14:paraId="784F7086" w14:textId="11D100CA" w:rsidR="0010445E" w:rsidRPr="005D56BB" w:rsidRDefault="007B36D3" w:rsidP="005356D9">
            <w:pPr>
              <w:numPr>
                <w:ilvl w:val="0"/>
                <w:numId w:val="19"/>
              </w:numPr>
              <w:spacing w:before="100" w:beforeAutospacing="1" w:after="120" w:line="240" w:lineRule="atLeast"/>
              <w:contextualSpacing/>
              <w:rPr>
                <w:rFonts w:cs="Arial"/>
              </w:rPr>
            </w:pPr>
            <w:r>
              <w:rPr>
                <w:rFonts w:cs="Arial"/>
              </w:rPr>
              <w:t xml:space="preserve">A record of </w:t>
            </w:r>
            <w:r w:rsidRPr="00C87B0A">
              <w:rPr>
                <w:rFonts w:cs="Arial"/>
                <w:b/>
                <w:bCs/>
                <w:i/>
                <w:iCs/>
              </w:rPr>
              <w:t>publication in peer reviewed journals on inequality, development or related issues</w:t>
            </w:r>
            <w:r w:rsidR="002928AA">
              <w:rPr>
                <w:rFonts w:cs="Arial"/>
              </w:rPr>
              <w:t xml:space="preserve"> (publication list with links to publications is required)</w:t>
            </w:r>
            <w:r>
              <w:rPr>
                <w:rFonts w:cs="Arial"/>
              </w:rPr>
              <w:t>;</w:t>
            </w:r>
          </w:p>
          <w:p w14:paraId="1A9CAEDB" w14:textId="65559C3C" w:rsidR="00400851" w:rsidRPr="00A51747" w:rsidRDefault="0010445E" w:rsidP="005356D9">
            <w:pPr>
              <w:numPr>
                <w:ilvl w:val="0"/>
                <w:numId w:val="19"/>
              </w:numPr>
              <w:spacing w:after="120" w:line="240" w:lineRule="atLeast"/>
              <w:contextualSpacing/>
              <w:rPr>
                <w:rFonts w:cs="Arial"/>
              </w:rPr>
            </w:pPr>
            <w:r w:rsidRPr="005D56BB">
              <w:rPr>
                <w:rFonts w:cs="Arial"/>
              </w:rPr>
              <w:t>Excellent written and oral communication skills</w:t>
            </w:r>
            <w:r w:rsidR="00813D37">
              <w:rPr>
                <w:rFonts w:cs="Arial"/>
              </w:rPr>
              <w:t>, including demonstrated ability to write in plain English and simplify complex is</w:t>
            </w:r>
            <w:r w:rsidR="00DA2020">
              <w:rPr>
                <w:rFonts w:cs="Arial"/>
              </w:rPr>
              <w:t>sues for comprehension by a broad target audience</w:t>
            </w:r>
            <w:r w:rsidR="00400851" w:rsidRPr="005D56BB">
              <w:rPr>
                <w:rFonts w:cs="Arial"/>
              </w:rPr>
              <w:t>;</w:t>
            </w:r>
          </w:p>
          <w:p w14:paraId="5796A521" w14:textId="77777777" w:rsidR="004B68D6" w:rsidRDefault="00400851" w:rsidP="005356D9">
            <w:pPr>
              <w:numPr>
                <w:ilvl w:val="0"/>
                <w:numId w:val="19"/>
              </w:numPr>
              <w:spacing w:before="120" w:after="120" w:line="240" w:lineRule="atLeast"/>
              <w:contextualSpacing/>
              <w:jc w:val="both"/>
              <w:rPr>
                <w:rFonts w:cs="Arial"/>
              </w:rPr>
            </w:pPr>
            <w:r w:rsidRPr="00A51747">
              <w:rPr>
                <w:rFonts w:cs="Arial"/>
              </w:rPr>
              <w:t xml:space="preserve">Fluency in </w:t>
            </w:r>
            <w:r w:rsidR="006726CE" w:rsidRPr="006726CE">
              <w:rPr>
                <w:rFonts w:cs="Arial"/>
              </w:rPr>
              <w:t xml:space="preserve">both </w:t>
            </w:r>
            <w:r w:rsidRPr="006726CE">
              <w:rPr>
                <w:rFonts w:cs="Arial"/>
              </w:rPr>
              <w:t>written and spoken English</w:t>
            </w:r>
            <w:r w:rsidR="004B68D6">
              <w:rPr>
                <w:rFonts w:cs="Arial"/>
              </w:rPr>
              <w:t>.</w:t>
            </w:r>
          </w:p>
          <w:p w14:paraId="22094056" w14:textId="77777777" w:rsidR="0010445E" w:rsidRPr="003C1257" w:rsidRDefault="0010445E" w:rsidP="005356D9">
            <w:pPr>
              <w:spacing w:before="120" w:after="120" w:line="240" w:lineRule="atLeast"/>
              <w:contextualSpacing/>
              <w:jc w:val="both"/>
              <w:rPr>
                <w:rFonts w:cs="Arial"/>
                <w:u w:val="single"/>
              </w:rPr>
            </w:pPr>
            <w:r w:rsidRPr="003C1257">
              <w:rPr>
                <w:rFonts w:cs="Arial"/>
                <w:u w:val="single"/>
              </w:rPr>
              <w:t>III. Competencies:</w:t>
            </w:r>
          </w:p>
          <w:p w14:paraId="57F5F24A" w14:textId="77777777" w:rsidR="0010445E" w:rsidRPr="006726CE" w:rsidRDefault="0010445E" w:rsidP="005356D9">
            <w:pPr>
              <w:numPr>
                <w:ilvl w:val="0"/>
                <w:numId w:val="19"/>
              </w:numPr>
              <w:spacing w:after="120" w:line="240" w:lineRule="atLeast"/>
              <w:contextualSpacing/>
              <w:rPr>
                <w:rFonts w:cs="Arial"/>
              </w:rPr>
            </w:pPr>
            <w:r w:rsidRPr="006726CE">
              <w:rPr>
                <w:rFonts w:cs="Arial"/>
              </w:rPr>
              <w:t>Uses substantive mastery of technical content to model excellence and motivate performance;</w:t>
            </w:r>
          </w:p>
          <w:p w14:paraId="53A23AB5" w14:textId="25126548" w:rsidR="0010445E" w:rsidRPr="005D56BB" w:rsidRDefault="00DA2020" w:rsidP="005356D9">
            <w:pPr>
              <w:numPr>
                <w:ilvl w:val="0"/>
                <w:numId w:val="19"/>
              </w:numPr>
              <w:spacing w:after="120" w:line="240" w:lineRule="atLeast"/>
              <w:contextualSpacing/>
              <w:rPr>
                <w:rFonts w:cs="Arial"/>
              </w:rPr>
            </w:pPr>
            <w:r>
              <w:rPr>
                <w:rFonts w:cs="Arial"/>
              </w:rPr>
              <w:t xml:space="preserve">Ability to deliver </w:t>
            </w:r>
            <w:r w:rsidR="00B413CE">
              <w:rPr>
                <w:rFonts w:cs="Arial"/>
              </w:rPr>
              <w:t>high quality results in a timely manner;</w:t>
            </w:r>
          </w:p>
          <w:p w14:paraId="11B30AFF" w14:textId="01CF1401" w:rsidR="00443E94" w:rsidRPr="00A51747" w:rsidRDefault="00675C7F" w:rsidP="005356D9">
            <w:pPr>
              <w:numPr>
                <w:ilvl w:val="0"/>
                <w:numId w:val="19"/>
              </w:numPr>
              <w:spacing w:after="120" w:line="240" w:lineRule="atLeast"/>
              <w:contextualSpacing/>
              <w:rPr>
                <w:rFonts w:cs="Arial"/>
              </w:rPr>
            </w:pPr>
            <w:r>
              <w:rPr>
                <w:rFonts w:cs="Arial"/>
              </w:rPr>
              <w:t>E</w:t>
            </w:r>
            <w:r w:rsidR="0010445E" w:rsidRPr="00A51747">
              <w:rPr>
                <w:rFonts w:cs="Arial"/>
              </w:rPr>
              <w:t xml:space="preserve">xcellent oral and </w:t>
            </w:r>
            <w:proofErr w:type="gramStart"/>
            <w:r w:rsidR="0010445E" w:rsidRPr="00A51747">
              <w:rPr>
                <w:rFonts w:cs="Arial"/>
              </w:rPr>
              <w:t>written</w:t>
            </w:r>
            <w:r w:rsidR="00B413CE">
              <w:rPr>
                <w:rFonts w:cs="Arial"/>
              </w:rPr>
              <w:t xml:space="preserve">  English</w:t>
            </w:r>
            <w:proofErr w:type="gramEnd"/>
            <w:r w:rsidR="0010445E" w:rsidRPr="00A51747">
              <w:rPr>
                <w:rFonts w:cs="Arial"/>
              </w:rPr>
              <w:t xml:space="preserve"> communication skills</w:t>
            </w:r>
            <w:r>
              <w:rPr>
                <w:rFonts w:cs="Arial"/>
              </w:rPr>
              <w:t>;</w:t>
            </w:r>
          </w:p>
          <w:p w14:paraId="1CB998ED" w14:textId="0CF429FC" w:rsidR="00FC535A" w:rsidRPr="00675C7F" w:rsidRDefault="00675C7F" w:rsidP="005356D9">
            <w:pPr>
              <w:pStyle w:val="ListParagraph"/>
              <w:numPr>
                <w:ilvl w:val="0"/>
                <w:numId w:val="19"/>
              </w:numPr>
              <w:spacing w:after="160" w:line="240" w:lineRule="atLeast"/>
              <w:jc w:val="both"/>
              <w:rPr>
                <w:rFonts w:cs="Tahoma"/>
              </w:rPr>
            </w:pPr>
            <w:r>
              <w:rPr>
                <w:rFonts w:cs="Tahoma"/>
              </w:rPr>
              <w:t>A</w:t>
            </w:r>
            <w:r w:rsidR="00FC535A" w:rsidRPr="00675C7F">
              <w:rPr>
                <w:rFonts w:cs="Tahoma"/>
              </w:rPr>
              <w:t>bility to adapt to different cultural and religious contexts.</w:t>
            </w:r>
          </w:p>
          <w:p w14:paraId="172C9018" w14:textId="77777777" w:rsidR="00FC535A" w:rsidRPr="006726CE" w:rsidRDefault="00FC535A" w:rsidP="005356D9">
            <w:pPr>
              <w:spacing w:after="120" w:line="240" w:lineRule="atLeast"/>
              <w:ind w:left="360"/>
              <w:contextualSpacing/>
              <w:rPr>
                <w:rFonts w:cs="Arial"/>
              </w:rPr>
            </w:pPr>
          </w:p>
        </w:tc>
      </w:tr>
    </w:tbl>
    <w:p w14:paraId="672432D6" w14:textId="585032CB" w:rsidR="00187D05" w:rsidRDefault="00187D05" w:rsidP="005356D9">
      <w:pPr>
        <w:spacing w:line="240" w:lineRule="atLeast"/>
        <w:contextualSpacing/>
        <w:rPr>
          <w:b/>
        </w:rPr>
      </w:pPr>
    </w:p>
    <w:p w14:paraId="7E6DE0A6" w14:textId="4813524E" w:rsidR="00400851" w:rsidRPr="006726CE" w:rsidRDefault="00187D05" w:rsidP="005356D9">
      <w:pPr>
        <w:spacing w:line="240" w:lineRule="atLeast"/>
        <w:contextualSpacing/>
        <w:rPr>
          <w:b/>
        </w:rPr>
      </w:pPr>
      <w:r>
        <w:rPr>
          <w:b/>
        </w:rPr>
        <w:br w:type="page"/>
      </w:r>
    </w:p>
    <w:p w14:paraId="72BF3978" w14:textId="6D5B6453" w:rsidR="002223E0" w:rsidRPr="006726CE" w:rsidRDefault="00F43174" w:rsidP="005356D9">
      <w:pPr>
        <w:spacing w:line="240" w:lineRule="atLeast"/>
        <w:contextualSpacing/>
        <w:rPr>
          <w:b/>
        </w:rPr>
      </w:pPr>
      <w:r>
        <w:rPr>
          <w:b/>
        </w:rPr>
        <w:lastRenderedPageBreak/>
        <w:t>6</w:t>
      </w:r>
      <w:r w:rsidR="006C491D" w:rsidRPr="006726CE">
        <w:rPr>
          <w:b/>
        </w:rPr>
        <w:t xml:space="preserve">. DOCUMENTS TO BE </w:t>
      </w:r>
      <w:r w:rsidR="004D3F24" w:rsidRPr="006726CE">
        <w:rPr>
          <w:b/>
        </w:rPr>
        <w:t xml:space="preserve">INCLUDED </w:t>
      </w:r>
      <w:r w:rsidR="006C491D" w:rsidRPr="006726CE">
        <w:rPr>
          <w:b/>
        </w:rPr>
        <w:t>WHEN SUBMITTING THE PROPOSALS.</w:t>
      </w:r>
    </w:p>
    <w:tbl>
      <w:tblPr>
        <w:tblStyle w:val="TableGrid"/>
        <w:tblW w:w="0" w:type="auto"/>
        <w:tblLook w:val="04A0" w:firstRow="1" w:lastRow="0" w:firstColumn="1" w:lastColumn="0" w:noHBand="0" w:noVBand="1"/>
      </w:tblPr>
      <w:tblGrid>
        <w:gridCol w:w="9350"/>
      </w:tblGrid>
      <w:tr w:rsidR="00443E94" w:rsidRPr="006726CE" w14:paraId="3C0B336E" w14:textId="77777777" w:rsidTr="00443E94">
        <w:tc>
          <w:tcPr>
            <w:tcW w:w="9576" w:type="dxa"/>
          </w:tcPr>
          <w:p w14:paraId="2D0CA8DB" w14:textId="250D191C" w:rsidR="00E84FEE" w:rsidRPr="006726CE" w:rsidRDefault="00E84FEE" w:rsidP="005356D9">
            <w:pPr>
              <w:spacing w:line="240" w:lineRule="atLeast"/>
              <w:contextualSpacing/>
            </w:pPr>
            <w:r w:rsidRPr="006726CE">
              <w:t>Interested consultants must submit the following documents/information to demonstrate their qualifications:</w:t>
            </w:r>
          </w:p>
          <w:p w14:paraId="59B6A190" w14:textId="77777777" w:rsidR="00E84FEE" w:rsidRPr="006726CE" w:rsidRDefault="00E84FEE" w:rsidP="005356D9">
            <w:pPr>
              <w:spacing w:line="240" w:lineRule="atLeast"/>
              <w:contextualSpacing/>
            </w:pPr>
          </w:p>
          <w:p w14:paraId="4E610081" w14:textId="77777777" w:rsidR="00E84FEE" w:rsidRPr="006726CE" w:rsidRDefault="00E84FEE" w:rsidP="005356D9">
            <w:pPr>
              <w:spacing w:line="240" w:lineRule="atLeast"/>
              <w:contextualSpacing/>
            </w:pPr>
            <w:r w:rsidRPr="006726CE">
              <w:t xml:space="preserve">1. </w:t>
            </w:r>
            <w:r w:rsidRPr="006726CE">
              <w:rPr>
                <w:b/>
                <w:bCs/>
              </w:rPr>
              <w:t>Proposal:</w:t>
            </w:r>
          </w:p>
          <w:p w14:paraId="7A5D43FB" w14:textId="199D7E97" w:rsidR="00E84FEE" w:rsidRPr="006726CE" w:rsidRDefault="00E84FEE" w:rsidP="005356D9">
            <w:pPr>
              <w:spacing w:line="240" w:lineRule="atLeast"/>
              <w:contextualSpacing/>
            </w:pPr>
            <w:r w:rsidRPr="006726CE">
              <w:t>(i) Explaining why they are the most suitable for the work</w:t>
            </w:r>
            <w:r w:rsidR="004F2440">
              <w:t xml:space="preserve"> in a statement that</w:t>
            </w:r>
            <w:r w:rsidR="00D75E36" w:rsidRPr="006726CE">
              <w:t xml:space="preserve"> </w:t>
            </w:r>
            <w:r w:rsidR="00B33FCC" w:rsidRPr="006726CE">
              <w:t xml:space="preserve">clearly </w:t>
            </w:r>
            <w:r w:rsidR="00D75E36" w:rsidRPr="006726CE">
              <w:t>match</w:t>
            </w:r>
            <w:r w:rsidR="004F2440">
              <w:t>es</w:t>
            </w:r>
            <w:r w:rsidR="00D75E36" w:rsidRPr="006726CE">
              <w:t xml:space="preserve"> expertise to </w:t>
            </w:r>
            <w:r w:rsidR="004F2440">
              <w:t>each of the</w:t>
            </w:r>
            <w:r w:rsidR="00D75E36" w:rsidRPr="006726CE">
              <w:t xml:space="preserve"> selection criteria</w:t>
            </w:r>
            <w:r w:rsidR="00832A6F" w:rsidRPr="006726CE">
              <w:t>;</w:t>
            </w:r>
          </w:p>
          <w:p w14:paraId="1D441269" w14:textId="4F1D831B" w:rsidR="008D537C" w:rsidRPr="006726CE" w:rsidRDefault="00E84FEE" w:rsidP="005356D9">
            <w:pPr>
              <w:spacing w:line="240" w:lineRule="atLeast"/>
              <w:contextualSpacing/>
            </w:pPr>
            <w:r w:rsidRPr="006726CE">
              <w:t xml:space="preserve">(ii) Provide a </w:t>
            </w:r>
            <w:r w:rsidRPr="009E72E9">
              <w:rPr>
                <w:b/>
                <w:bCs/>
                <w:i/>
                <w:iCs/>
              </w:rPr>
              <w:t>d</w:t>
            </w:r>
            <w:r w:rsidR="00A77CD7" w:rsidRPr="009E72E9">
              <w:rPr>
                <w:b/>
                <w:bCs/>
                <w:i/>
                <w:iCs/>
              </w:rPr>
              <w:t xml:space="preserve">raft </w:t>
            </w:r>
            <w:r w:rsidR="006726CE" w:rsidRPr="009E72E9">
              <w:rPr>
                <w:b/>
                <w:bCs/>
                <w:i/>
                <w:iCs/>
              </w:rPr>
              <w:t>M</w:t>
            </w:r>
            <w:r w:rsidRPr="009E72E9">
              <w:rPr>
                <w:b/>
                <w:bCs/>
                <w:i/>
                <w:iCs/>
              </w:rPr>
              <w:t>ethodology</w:t>
            </w:r>
            <w:r w:rsidR="00A77CD7" w:rsidRPr="006726CE">
              <w:t xml:space="preserve"> </w:t>
            </w:r>
            <w:bookmarkStart w:id="0" w:name="_GoBack"/>
            <w:r w:rsidR="00A77CD7" w:rsidRPr="009E72E9">
              <w:rPr>
                <w:b/>
                <w:bCs/>
                <w:i/>
                <w:iCs/>
              </w:rPr>
              <w:t xml:space="preserve">and </w:t>
            </w:r>
            <w:r w:rsidR="006726CE" w:rsidRPr="009E72E9">
              <w:rPr>
                <w:b/>
                <w:bCs/>
                <w:i/>
                <w:iCs/>
              </w:rPr>
              <w:t>W</w:t>
            </w:r>
            <w:r w:rsidR="00A77CD7" w:rsidRPr="009E72E9">
              <w:rPr>
                <w:b/>
                <w:bCs/>
                <w:i/>
                <w:iCs/>
              </w:rPr>
              <w:t xml:space="preserve">ork </w:t>
            </w:r>
            <w:r w:rsidR="006726CE" w:rsidRPr="009E72E9">
              <w:rPr>
                <w:b/>
                <w:bCs/>
                <w:i/>
                <w:iCs/>
              </w:rPr>
              <w:t>P</w:t>
            </w:r>
            <w:r w:rsidR="00A77CD7" w:rsidRPr="009E72E9">
              <w:rPr>
                <w:b/>
                <w:bCs/>
                <w:i/>
                <w:iCs/>
              </w:rPr>
              <w:t>lan</w:t>
            </w:r>
            <w:r w:rsidRPr="009E72E9">
              <w:rPr>
                <w:b/>
                <w:bCs/>
                <w:i/>
                <w:iCs/>
              </w:rPr>
              <w:t xml:space="preserve"> </w:t>
            </w:r>
            <w:r w:rsidR="004F2440" w:rsidRPr="009E72E9">
              <w:rPr>
                <w:b/>
                <w:bCs/>
                <w:i/>
                <w:iCs/>
              </w:rPr>
              <w:t>that clearly outlines</w:t>
            </w:r>
            <w:r w:rsidR="00C9562D" w:rsidRPr="009E72E9">
              <w:rPr>
                <w:b/>
                <w:bCs/>
                <w:i/>
                <w:iCs/>
              </w:rPr>
              <w:t xml:space="preserve"> the proposed</w:t>
            </w:r>
            <w:r w:rsidR="00D75E36" w:rsidRPr="009E72E9">
              <w:rPr>
                <w:b/>
                <w:bCs/>
                <w:i/>
                <w:iCs/>
              </w:rPr>
              <w:t xml:space="preserve"> </w:t>
            </w:r>
            <w:r w:rsidR="0094200B" w:rsidRPr="009E72E9">
              <w:rPr>
                <w:b/>
                <w:bCs/>
                <w:i/>
                <w:iCs/>
              </w:rPr>
              <w:t>approach</w:t>
            </w:r>
            <w:bookmarkEnd w:id="0"/>
            <w:r w:rsidR="004F2440">
              <w:t>, any anticipated risks</w:t>
            </w:r>
            <w:r w:rsidR="0094200B" w:rsidRPr="006726CE">
              <w:t xml:space="preserve"> and </w:t>
            </w:r>
            <w:r w:rsidR="00C9562D" w:rsidRPr="004F2440">
              <w:rPr>
                <w:u w:val="single"/>
              </w:rPr>
              <w:t>how each component</w:t>
            </w:r>
            <w:r w:rsidR="006726CE" w:rsidRPr="004F2440">
              <w:rPr>
                <w:u w:val="single"/>
              </w:rPr>
              <w:t xml:space="preserve"> of</w:t>
            </w:r>
            <w:r w:rsidR="0094200B" w:rsidRPr="004F2440">
              <w:rPr>
                <w:u w:val="single"/>
              </w:rPr>
              <w:t xml:space="preserve"> the scope of work</w:t>
            </w:r>
            <w:r w:rsidR="00C9562D" w:rsidRPr="004F2440">
              <w:rPr>
                <w:u w:val="single"/>
              </w:rPr>
              <w:t xml:space="preserve"> will be delivered</w:t>
            </w:r>
            <w:r w:rsidR="00675C7F">
              <w:t>,</w:t>
            </w:r>
            <w:r w:rsidRPr="006726CE">
              <w:t xml:space="preserve"> </w:t>
            </w:r>
            <w:r w:rsidR="0013064B" w:rsidRPr="006726CE">
              <w:t xml:space="preserve">taking into account </w:t>
            </w:r>
            <w:r w:rsidR="00154121" w:rsidRPr="006726CE">
              <w:t xml:space="preserve">likely </w:t>
            </w:r>
            <w:r w:rsidR="00972209" w:rsidRPr="006726CE">
              <w:t>social distancing requirements and travel restrictions due to COVID-19</w:t>
            </w:r>
            <w:r w:rsidR="008D537C">
              <w:t>;</w:t>
            </w:r>
            <w:r w:rsidR="00A52CEC" w:rsidRPr="006726CE">
              <w:t xml:space="preserve"> </w:t>
            </w:r>
          </w:p>
          <w:p w14:paraId="66E2954C" w14:textId="7BDC623C" w:rsidR="006317F8" w:rsidRDefault="006317F8" w:rsidP="005356D9">
            <w:pPr>
              <w:spacing w:line="240" w:lineRule="atLeast"/>
              <w:contextualSpacing/>
            </w:pPr>
            <w:r w:rsidRPr="006726CE">
              <w:t xml:space="preserve">(iii) Samples of </w:t>
            </w:r>
            <w:r w:rsidR="00AB376C" w:rsidRPr="006726CE">
              <w:t>relevant work</w:t>
            </w:r>
            <w:r w:rsidR="00FD177C" w:rsidRPr="006726CE">
              <w:t xml:space="preserve"> previously completed by the consultant</w:t>
            </w:r>
            <w:r w:rsidR="004F2440">
              <w:t xml:space="preserve"> including a list of publications </w:t>
            </w:r>
            <w:r w:rsidR="004C6118">
              <w:t xml:space="preserve">in peer reviewed journals </w:t>
            </w:r>
            <w:r w:rsidR="004F2440">
              <w:t xml:space="preserve">with </w:t>
            </w:r>
            <w:r w:rsidR="004C6118">
              <w:t>links to the publications</w:t>
            </w:r>
            <w:r w:rsidRPr="006726CE">
              <w:t>;</w:t>
            </w:r>
          </w:p>
          <w:p w14:paraId="57830FBA" w14:textId="77777777" w:rsidR="008D537C" w:rsidRPr="006726CE" w:rsidRDefault="008D537C" w:rsidP="005356D9">
            <w:pPr>
              <w:spacing w:line="240" w:lineRule="atLeast"/>
              <w:contextualSpacing/>
            </w:pPr>
          </w:p>
          <w:p w14:paraId="1D867E72" w14:textId="4ACA2C65" w:rsidR="00E84FEE" w:rsidRDefault="00E84FEE" w:rsidP="005356D9">
            <w:pPr>
              <w:spacing w:line="240" w:lineRule="atLeast"/>
              <w:contextualSpacing/>
            </w:pPr>
            <w:r w:rsidRPr="006726CE">
              <w:t>2. Financial proposal</w:t>
            </w:r>
            <w:r w:rsidR="003345A6" w:rsidRPr="006726CE">
              <w:t xml:space="preserve"> including the costs of </w:t>
            </w:r>
            <w:r w:rsidR="00417BA4" w:rsidRPr="006726CE">
              <w:t>inclusion and accessibility</w:t>
            </w:r>
            <w:r w:rsidR="00FD177C" w:rsidRPr="006726CE">
              <w:t>;</w:t>
            </w:r>
          </w:p>
          <w:p w14:paraId="59FF2B49" w14:textId="77777777" w:rsidR="008D537C" w:rsidRPr="006726CE" w:rsidRDefault="008D537C" w:rsidP="005356D9">
            <w:pPr>
              <w:spacing w:line="240" w:lineRule="atLeast"/>
              <w:contextualSpacing/>
            </w:pPr>
          </w:p>
          <w:p w14:paraId="03E0834C" w14:textId="5887F151" w:rsidR="000D3182" w:rsidRPr="006726CE" w:rsidRDefault="00E84FEE" w:rsidP="005356D9">
            <w:pPr>
              <w:spacing w:line="240" w:lineRule="atLeast"/>
              <w:contextualSpacing/>
            </w:pPr>
            <w:r w:rsidRPr="006726CE">
              <w:t>3. Personal CV including at least 3</w:t>
            </w:r>
            <w:r w:rsidR="000348C8" w:rsidRPr="006726CE">
              <w:t xml:space="preserve"> written</w:t>
            </w:r>
            <w:r w:rsidRPr="006726CE">
              <w:t xml:space="preserve"> reference</w:t>
            </w:r>
            <w:r w:rsidR="00513B38" w:rsidRPr="006726CE">
              <w:t>s</w:t>
            </w:r>
            <w:r w:rsidR="00083ABE">
              <w:t>.</w:t>
            </w:r>
            <w:r w:rsidR="00256AB5">
              <w:t xml:space="preserve">  UNDP reserves the right to contact nominated referees and may conduct </w:t>
            </w:r>
            <w:proofErr w:type="spellStart"/>
            <w:proofErr w:type="gramStart"/>
            <w:r w:rsidR="00256AB5">
              <w:t>it’s</w:t>
            </w:r>
            <w:proofErr w:type="spellEnd"/>
            <w:proofErr w:type="gramEnd"/>
            <w:r w:rsidR="00256AB5">
              <w:t xml:space="preserve"> own reference checks.</w:t>
            </w:r>
          </w:p>
          <w:p w14:paraId="07D97286" w14:textId="77777777" w:rsidR="007B40CE" w:rsidRPr="006726CE" w:rsidRDefault="007B40CE" w:rsidP="005356D9">
            <w:pPr>
              <w:spacing w:line="240" w:lineRule="atLeast"/>
              <w:contextualSpacing/>
              <w:rPr>
                <w:b/>
              </w:rPr>
            </w:pPr>
          </w:p>
        </w:tc>
      </w:tr>
    </w:tbl>
    <w:p w14:paraId="14C0D802" w14:textId="77777777" w:rsidR="003836C0" w:rsidRPr="008D537C" w:rsidRDefault="003836C0" w:rsidP="005356D9">
      <w:pPr>
        <w:autoSpaceDE w:val="0"/>
        <w:autoSpaceDN w:val="0"/>
        <w:adjustRightInd w:val="0"/>
        <w:spacing w:after="0" w:line="240" w:lineRule="atLeast"/>
        <w:contextualSpacing/>
        <w:rPr>
          <w:rFonts w:cs="Calibri"/>
          <w:b/>
        </w:rPr>
      </w:pPr>
    </w:p>
    <w:p w14:paraId="3054A6A1" w14:textId="273DDA78" w:rsidR="0033411B" w:rsidRPr="008D537C" w:rsidRDefault="00F43174" w:rsidP="005356D9">
      <w:pPr>
        <w:autoSpaceDE w:val="0"/>
        <w:autoSpaceDN w:val="0"/>
        <w:adjustRightInd w:val="0"/>
        <w:spacing w:after="0" w:line="240" w:lineRule="atLeast"/>
        <w:contextualSpacing/>
        <w:rPr>
          <w:rFonts w:cs="Calibri"/>
          <w:b/>
        </w:rPr>
      </w:pPr>
      <w:r>
        <w:rPr>
          <w:rFonts w:cs="Calibri"/>
          <w:b/>
        </w:rPr>
        <w:t>7</w:t>
      </w:r>
      <w:r w:rsidR="00FE7C9D" w:rsidRPr="008D537C">
        <w:rPr>
          <w:rFonts w:cs="Calibri"/>
          <w:b/>
        </w:rPr>
        <w:t xml:space="preserve">. </w:t>
      </w:r>
      <w:r w:rsidR="0001012F" w:rsidRPr="008D537C">
        <w:rPr>
          <w:rFonts w:cs="Calibri"/>
          <w:b/>
        </w:rPr>
        <w:t>FINANCIAL PROPOSAL</w:t>
      </w:r>
    </w:p>
    <w:tbl>
      <w:tblPr>
        <w:tblStyle w:val="TableGrid"/>
        <w:tblW w:w="0" w:type="auto"/>
        <w:tblLook w:val="04A0" w:firstRow="1" w:lastRow="0" w:firstColumn="1" w:lastColumn="0" w:noHBand="0" w:noVBand="1"/>
      </w:tblPr>
      <w:tblGrid>
        <w:gridCol w:w="9350"/>
      </w:tblGrid>
      <w:tr w:rsidR="00443E94" w:rsidRPr="006726CE" w14:paraId="49363186" w14:textId="77777777" w:rsidTr="00443E94">
        <w:tc>
          <w:tcPr>
            <w:tcW w:w="9576" w:type="dxa"/>
          </w:tcPr>
          <w:p w14:paraId="3A893572" w14:textId="77777777" w:rsidR="0065710B" w:rsidRPr="00C65011" w:rsidRDefault="0065710B" w:rsidP="005356D9">
            <w:pPr>
              <w:spacing w:line="240" w:lineRule="atLeast"/>
              <w:contextualSpacing/>
              <w:jc w:val="both"/>
              <w:rPr>
                <w:rFonts w:cs="Myriad Pro"/>
              </w:rPr>
            </w:pPr>
          </w:p>
          <w:p w14:paraId="3CD430C7" w14:textId="6587E99F" w:rsidR="0065710B" w:rsidRDefault="0065710B" w:rsidP="005356D9">
            <w:pPr>
              <w:spacing w:line="240" w:lineRule="atLeast"/>
              <w:contextualSpacing/>
              <w:jc w:val="both"/>
            </w:pPr>
            <w:r w:rsidRPr="006726CE">
              <w:t xml:space="preserve">The financial proposal will specify the daily fee, </w:t>
            </w:r>
            <w:r w:rsidR="00FD177C" w:rsidRPr="006726CE">
              <w:t xml:space="preserve">project costs, </w:t>
            </w:r>
            <w:r w:rsidRPr="006726CE">
              <w:t xml:space="preserve">travel expenses and per diems quoted in separate line items, and payments are made to the Individual Consultant based on </w:t>
            </w:r>
            <w:r w:rsidR="00BA2A8D" w:rsidRPr="006726CE">
              <w:t>an agreed schedule of deliverables</w:t>
            </w:r>
            <w:r w:rsidR="00772F43">
              <w:t xml:space="preserve"> below:</w:t>
            </w:r>
          </w:p>
          <w:tbl>
            <w:tblPr>
              <w:tblStyle w:val="TableGrid"/>
              <w:tblW w:w="0" w:type="auto"/>
              <w:tblLook w:val="04A0" w:firstRow="1" w:lastRow="0" w:firstColumn="1" w:lastColumn="0" w:noHBand="0" w:noVBand="1"/>
            </w:tblPr>
            <w:tblGrid>
              <w:gridCol w:w="1319"/>
              <w:gridCol w:w="5220"/>
              <w:gridCol w:w="2585"/>
            </w:tblGrid>
            <w:tr w:rsidR="00AA580D" w14:paraId="421111C2" w14:textId="77777777" w:rsidTr="00AA580D">
              <w:tc>
                <w:tcPr>
                  <w:tcW w:w="1319" w:type="dxa"/>
                </w:tcPr>
                <w:p w14:paraId="1FEA799C" w14:textId="01160CD8" w:rsidR="00AA580D" w:rsidRPr="00AA580D" w:rsidRDefault="00AA580D" w:rsidP="005356D9">
                  <w:pPr>
                    <w:spacing w:line="240" w:lineRule="atLeast"/>
                    <w:contextualSpacing/>
                    <w:jc w:val="both"/>
                    <w:rPr>
                      <w:b/>
                      <w:bCs/>
                    </w:rPr>
                  </w:pPr>
                  <w:r w:rsidRPr="00AA580D">
                    <w:rPr>
                      <w:b/>
                      <w:bCs/>
                    </w:rPr>
                    <w:t>Instalment</w:t>
                  </w:r>
                </w:p>
              </w:tc>
              <w:tc>
                <w:tcPr>
                  <w:tcW w:w="5220" w:type="dxa"/>
                </w:tcPr>
                <w:p w14:paraId="01482746" w14:textId="7C6198F4" w:rsidR="00AA580D" w:rsidRPr="00AA580D" w:rsidRDefault="00AA580D" w:rsidP="005356D9">
                  <w:pPr>
                    <w:spacing w:line="240" w:lineRule="atLeast"/>
                    <w:contextualSpacing/>
                    <w:jc w:val="both"/>
                    <w:rPr>
                      <w:b/>
                      <w:bCs/>
                    </w:rPr>
                  </w:pPr>
                  <w:r w:rsidRPr="00AA580D">
                    <w:rPr>
                      <w:b/>
                      <w:bCs/>
                    </w:rPr>
                    <w:t>Deliverable</w:t>
                  </w:r>
                </w:p>
              </w:tc>
              <w:tc>
                <w:tcPr>
                  <w:tcW w:w="2585" w:type="dxa"/>
                </w:tcPr>
                <w:p w14:paraId="4817547D" w14:textId="3A745872" w:rsidR="00AA580D" w:rsidRPr="00AA580D" w:rsidRDefault="00AA580D" w:rsidP="005356D9">
                  <w:pPr>
                    <w:spacing w:line="240" w:lineRule="atLeast"/>
                    <w:contextualSpacing/>
                    <w:jc w:val="both"/>
                    <w:rPr>
                      <w:b/>
                      <w:bCs/>
                    </w:rPr>
                  </w:pPr>
                  <w:r w:rsidRPr="00AA580D">
                    <w:rPr>
                      <w:b/>
                      <w:bCs/>
                    </w:rPr>
                    <w:t>Percentage</w:t>
                  </w:r>
                </w:p>
              </w:tc>
            </w:tr>
            <w:tr w:rsidR="00AA580D" w14:paraId="1B3A7A13" w14:textId="77777777" w:rsidTr="00AA580D">
              <w:tc>
                <w:tcPr>
                  <w:tcW w:w="1319" w:type="dxa"/>
                </w:tcPr>
                <w:p w14:paraId="23E31652" w14:textId="554F01FD" w:rsidR="00AA580D" w:rsidRDefault="00AA580D" w:rsidP="005356D9">
                  <w:pPr>
                    <w:spacing w:line="240" w:lineRule="atLeast"/>
                    <w:contextualSpacing/>
                    <w:jc w:val="both"/>
                  </w:pPr>
                  <w:r>
                    <w:t>1.</w:t>
                  </w:r>
                </w:p>
              </w:tc>
              <w:tc>
                <w:tcPr>
                  <w:tcW w:w="5220" w:type="dxa"/>
                </w:tcPr>
                <w:p w14:paraId="59DC0F45" w14:textId="76750783" w:rsidR="00AA580D" w:rsidRDefault="00AA580D" w:rsidP="005356D9">
                  <w:pPr>
                    <w:spacing w:line="240" w:lineRule="atLeast"/>
                    <w:contextualSpacing/>
                    <w:jc w:val="both"/>
                  </w:pPr>
                  <w:r w:rsidRPr="00AA580D">
                    <w:t>Upon a</w:t>
                  </w:r>
                  <w:r w:rsidRPr="00772F43">
                    <w:t xml:space="preserve">cceptance of the first draft </w:t>
                  </w:r>
                  <w:r w:rsidRPr="00AA580D">
                    <w:t xml:space="preserve">research </w:t>
                  </w:r>
                  <w:r w:rsidRPr="00772F43">
                    <w:t>report</w:t>
                  </w:r>
                </w:p>
              </w:tc>
              <w:tc>
                <w:tcPr>
                  <w:tcW w:w="2585" w:type="dxa"/>
                </w:tcPr>
                <w:p w14:paraId="6A42AED8" w14:textId="2330ED2D" w:rsidR="00AA580D" w:rsidRDefault="00AA580D" w:rsidP="005356D9">
                  <w:pPr>
                    <w:spacing w:line="240" w:lineRule="atLeast"/>
                    <w:contextualSpacing/>
                    <w:jc w:val="both"/>
                  </w:pPr>
                  <w:r>
                    <w:t>30%</w:t>
                  </w:r>
                </w:p>
              </w:tc>
            </w:tr>
            <w:tr w:rsidR="00AA580D" w14:paraId="476E3B20" w14:textId="77777777" w:rsidTr="00AA580D">
              <w:tc>
                <w:tcPr>
                  <w:tcW w:w="1319" w:type="dxa"/>
                </w:tcPr>
                <w:p w14:paraId="2D69EA11" w14:textId="132059A0" w:rsidR="00AA580D" w:rsidRDefault="00AA580D" w:rsidP="005356D9">
                  <w:pPr>
                    <w:spacing w:line="240" w:lineRule="atLeast"/>
                    <w:contextualSpacing/>
                    <w:jc w:val="both"/>
                  </w:pPr>
                  <w:r>
                    <w:t>2.</w:t>
                  </w:r>
                </w:p>
              </w:tc>
              <w:tc>
                <w:tcPr>
                  <w:tcW w:w="5220" w:type="dxa"/>
                </w:tcPr>
                <w:p w14:paraId="53456CBC" w14:textId="66FFF0B4" w:rsidR="00AA580D" w:rsidRDefault="00AA580D" w:rsidP="005356D9">
                  <w:pPr>
                    <w:spacing w:line="240" w:lineRule="atLeast"/>
                    <w:contextualSpacing/>
                    <w:jc w:val="both"/>
                  </w:pPr>
                  <w:r>
                    <w:t>Upon acceptance of the final research report</w:t>
                  </w:r>
                </w:p>
              </w:tc>
              <w:tc>
                <w:tcPr>
                  <w:tcW w:w="2585" w:type="dxa"/>
                </w:tcPr>
                <w:p w14:paraId="29694AFB" w14:textId="073A55D5" w:rsidR="00AA580D" w:rsidRDefault="00AA580D" w:rsidP="005356D9">
                  <w:pPr>
                    <w:spacing w:line="240" w:lineRule="atLeast"/>
                    <w:contextualSpacing/>
                    <w:jc w:val="both"/>
                  </w:pPr>
                  <w:r>
                    <w:t>70%</w:t>
                  </w:r>
                </w:p>
              </w:tc>
            </w:tr>
          </w:tbl>
          <w:p w14:paraId="33601E62" w14:textId="77777777" w:rsidR="00BA2A8D" w:rsidRPr="006726CE" w:rsidRDefault="00BA2A8D" w:rsidP="005356D9">
            <w:pPr>
              <w:spacing w:line="240" w:lineRule="atLeast"/>
              <w:contextualSpacing/>
              <w:jc w:val="both"/>
            </w:pPr>
          </w:p>
          <w:p w14:paraId="097A5226" w14:textId="15788034" w:rsidR="0065710B" w:rsidRPr="001B72D6" w:rsidRDefault="0065710B" w:rsidP="005356D9">
            <w:pPr>
              <w:spacing w:line="240" w:lineRule="atLeast"/>
              <w:contextualSpacing/>
              <w:jc w:val="both"/>
            </w:pPr>
            <w:r w:rsidRPr="006726CE">
              <w:rPr>
                <w:u w:val="single"/>
              </w:rPr>
              <w:t>All envisaged travel costs must be included in the financial proposal</w:t>
            </w:r>
            <w:r w:rsidRPr="006726CE">
              <w:t xml:space="preserve">. This includes all travel to join duty station/repatriation travel.  In general, UNDP </w:t>
            </w:r>
            <w:r w:rsidR="001B72D6">
              <w:t>will</w:t>
            </w:r>
            <w:r w:rsidR="001B72D6" w:rsidRPr="001B72D6">
              <w:t xml:space="preserve"> </w:t>
            </w:r>
            <w:r w:rsidRPr="001B72D6">
              <w:t xml:space="preserve">not accept travel costs exceeding those of an economy class ticket. Should the </w:t>
            </w:r>
            <w:proofErr w:type="gramStart"/>
            <w:r w:rsidRPr="001B72D6">
              <w:t>C</w:t>
            </w:r>
            <w:r w:rsidR="001B72D6">
              <w:t xml:space="preserve">onsultant </w:t>
            </w:r>
            <w:r w:rsidRPr="001B72D6">
              <w:t xml:space="preserve"> wish</w:t>
            </w:r>
            <w:proofErr w:type="gramEnd"/>
            <w:r w:rsidRPr="001B72D6">
              <w:t xml:space="preserve"> to travel on a higher class he/she should do so using their own resources.</w:t>
            </w:r>
          </w:p>
          <w:p w14:paraId="34AE264A" w14:textId="77777777" w:rsidR="0044772D" w:rsidRPr="001B72D6" w:rsidRDefault="0044772D" w:rsidP="005356D9">
            <w:pPr>
              <w:spacing w:line="240" w:lineRule="atLeast"/>
              <w:contextualSpacing/>
              <w:jc w:val="both"/>
            </w:pPr>
          </w:p>
          <w:p w14:paraId="17FFBE5A" w14:textId="77777777" w:rsidR="0065710B" w:rsidRPr="006726CE" w:rsidRDefault="0065710B" w:rsidP="005356D9">
            <w:pPr>
              <w:spacing w:line="240" w:lineRule="atLeast"/>
              <w:contextualSpacing/>
              <w:jc w:val="both"/>
            </w:pPr>
            <w:r w:rsidRPr="006726CE">
              <w:t>In the case of unforeseeable travel, payment of travel costs including tickets, lodging and terminal expenses should be agreed upon, between the respective business unit and Individual Consultant, prior to travel and will be reimbursed</w:t>
            </w:r>
            <w:r w:rsidR="0044772D" w:rsidRPr="006726CE">
              <w:t>.</w:t>
            </w:r>
          </w:p>
        </w:tc>
      </w:tr>
    </w:tbl>
    <w:p w14:paraId="3F16CFAD" w14:textId="77777777" w:rsidR="00A44398" w:rsidRPr="006726CE" w:rsidRDefault="00A44398" w:rsidP="005356D9">
      <w:pPr>
        <w:spacing w:line="240" w:lineRule="atLeast"/>
        <w:contextualSpacing/>
        <w:rPr>
          <w:b/>
        </w:rPr>
      </w:pPr>
    </w:p>
    <w:p w14:paraId="6929EC33" w14:textId="77777777" w:rsidR="00443E94" w:rsidRPr="006726CE" w:rsidRDefault="00A44398" w:rsidP="005356D9">
      <w:pPr>
        <w:spacing w:line="240" w:lineRule="atLeast"/>
        <w:contextualSpacing/>
        <w:rPr>
          <w:b/>
        </w:rPr>
      </w:pPr>
      <w:r w:rsidRPr="006726CE">
        <w:rPr>
          <w:b/>
        </w:rPr>
        <w:br w:type="page"/>
      </w:r>
    </w:p>
    <w:p w14:paraId="08573DE4" w14:textId="251B4568" w:rsidR="00E94857" w:rsidRPr="006726CE" w:rsidRDefault="00F43174" w:rsidP="005356D9">
      <w:pPr>
        <w:spacing w:line="240" w:lineRule="atLeast"/>
        <w:contextualSpacing/>
        <w:rPr>
          <w:b/>
        </w:rPr>
      </w:pPr>
      <w:r>
        <w:rPr>
          <w:b/>
        </w:rPr>
        <w:lastRenderedPageBreak/>
        <w:t>8</w:t>
      </w:r>
      <w:r w:rsidR="00E94857" w:rsidRPr="006726CE">
        <w:rPr>
          <w:b/>
        </w:rPr>
        <w:t>. EVALUATION</w:t>
      </w:r>
    </w:p>
    <w:tbl>
      <w:tblPr>
        <w:tblStyle w:val="TableGrid"/>
        <w:tblW w:w="0" w:type="auto"/>
        <w:tblLook w:val="04A0" w:firstRow="1" w:lastRow="0" w:firstColumn="1" w:lastColumn="0" w:noHBand="0" w:noVBand="1"/>
      </w:tblPr>
      <w:tblGrid>
        <w:gridCol w:w="9350"/>
      </w:tblGrid>
      <w:tr w:rsidR="00443E94" w:rsidRPr="006726CE" w14:paraId="41472880" w14:textId="77777777" w:rsidTr="00443E94">
        <w:tc>
          <w:tcPr>
            <w:tcW w:w="9576" w:type="dxa"/>
          </w:tcPr>
          <w:p w14:paraId="6978378A" w14:textId="79136C91" w:rsidR="0044772D" w:rsidRDefault="005E5D9C" w:rsidP="005356D9">
            <w:pPr>
              <w:spacing w:line="240" w:lineRule="atLeast"/>
              <w:contextualSpacing/>
            </w:pPr>
            <w:r>
              <w:t>Bids</w:t>
            </w:r>
            <w:r w:rsidR="00EA697D" w:rsidRPr="006726CE">
              <w:t xml:space="preserve"> will be evaluated based on the following methodolog</w:t>
            </w:r>
            <w:r w:rsidR="0044772D" w:rsidRPr="006726CE">
              <w:t>y:</w:t>
            </w:r>
          </w:p>
          <w:p w14:paraId="5A3EB449" w14:textId="77777777" w:rsidR="002140BD" w:rsidRPr="006726CE" w:rsidRDefault="002140BD" w:rsidP="005356D9">
            <w:pPr>
              <w:spacing w:line="240" w:lineRule="atLeast"/>
              <w:contextualSpacing/>
            </w:pPr>
          </w:p>
          <w:p w14:paraId="43F788F7" w14:textId="77777777" w:rsidR="00EA697D" w:rsidRPr="002140BD" w:rsidRDefault="00EA697D" w:rsidP="005356D9">
            <w:pPr>
              <w:spacing w:line="240" w:lineRule="atLeast"/>
              <w:contextualSpacing/>
              <w:rPr>
                <w:b/>
                <w:bCs/>
              </w:rPr>
            </w:pPr>
            <w:r w:rsidRPr="002140BD">
              <w:rPr>
                <w:b/>
                <w:bCs/>
              </w:rPr>
              <w:t xml:space="preserve">Cumulative analysis </w:t>
            </w:r>
          </w:p>
          <w:p w14:paraId="7B22135A" w14:textId="77777777" w:rsidR="006D10E6" w:rsidRDefault="006D10E6" w:rsidP="005356D9">
            <w:pPr>
              <w:spacing w:line="240" w:lineRule="atLeast"/>
              <w:contextualSpacing/>
            </w:pPr>
            <w:r w:rsidRPr="002140BD">
              <w:t>For candidates who satisfy all the mandatory exclusion criteria, the technical proposal will be assessed on a scale of 0-100 points wherein the qualifying mark is 70%. Only candidates obtaining a minimum of 70</w:t>
            </w:r>
            <w:proofErr w:type="gramStart"/>
            <w:r w:rsidRPr="002140BD">
              <w:t>%  will</w:t>
            </w:r>
            <w:proofErr w:type="gramEnd"/>
            <w:r w:rsidRPr="002140BD">
              <w:t xml:space="preserve"> be considered for the Financial Evaluation</w:t>
            </w:r>
            <w:r>
              <w:t>.</w:t>
            </w:r>
          </w:p>
          <w:p w14:paraId="6238402B" w14:textId="77777777" w:rsidR="006D10E6" w:rsidRDefault="006D10E6" w:rsidP="005356D9">
            <w:pPr>
              <w:spacing w:line="240" w:lineRule="atLeast"/>
              <w:contextualSpacing/>
            </w:pPr>
          </w:p>
          <w:p w14:paraId="0A4E51C9" w14:textId="654D5163" w:rsidR="00EA697D" w:rsidRPr="002140BD" w:rsidRDefault="00EA697D" w:rsidP="005356D9">
            <w:pPr>
              <w:spacing w:line="240" w:lineRule="atLeast"/>
              <w:contextualSpacing/>
            </w:pPr>
            <w:r w:rsidRPr="002140BD">
              <w:t>When using this weighted scoring method, the award of the contract should be made to the individual consultant whose offer has been evaluated and determined as:</w:t>
            </w:r>
          </w:p>
          <w:p w14:paraId="79A44EA1" w14:textId="77777777" w:rsidR="00EA697D" w:rsidRPr="002140BD" w:rsidRDefault="00EA697D" w:rsidP="005356D9">
            <w:pPr>
              <w:spacing w:line="240" w:lineRule="atLeast"/>
              <w:contextualSpacing/>
            </w:pPr>
            <w:r w:rsidRPr="002140BD">
              <w:t>a) responsive/compliant/acceptable, and</w:t>
            </w:r>
          </w:p>
          <w:p w14:paraId="2F6962B0" w14:textId="77777777" w:rsidR="00EA697D" w:rsidRPr="002140BD" w:rsidRDefault="00EA697D" w:rsidP="005356D9">
            <w:pPr>
              <w:spacing w:line="240" w:lineRule="atLeast"/>
              <w:contextualSpacing/>
            </w:pPr>
            <w:r w:rsidRPr="002140BD">
              <w:t xml:space="preserve">b) Having received the highest score out of a pre-determined set of weighted technical and financial criteria specific to the solicitation. </w:t>
            </w:r>
          </w:p>
          <w:p w14:paraId="78FBB880" w14:textId="77777777" w:rsidR="00EA697D" w:rsidRPr="002140BD" w:rsidRDefault="00EA697D" w:rsidP="005356D9">
            <w:pPr>
              <w:spacing w:line="240" w:lineRule="atLeast"/>
              <w:contextualSpacing/>
            </w:pPr>
            <w:r w:rsidRPr="002140BD">
              <w:t>* Technical Criteria weight; [</w:t>
            </w:r>
            <w:r w:rsidR="00BF20AC" w:rsidRPr="002140BD">
              <w:t>70%]</w:t>
            </w:r>
          </w:p>
          <w:p w14:paraId="6BE1FA09" w14:textId="77777777" w:rsidR="00EA697D" w:rsidRPr="002140BD" w:rsidRDefault="00EA697D" w:rsidP="005356D9">
            <w:pPr>
              <w:spacing w:line="240" w:lineRule="atLeast"/>
              <w:contextualSpacing/>
            </w:pPr>
            <w:r w:rsidRPr="002140BD">
              <w:t>* Financial Criteria weight; [</w:t>
            </w:r>
            <w:r w:rsidR="00BF20AC" w:rsidRPr="002140BD">
              <w:t>30%</w:t>
            </w:r>
            <w:r w:rsidRPr="002140BD">
              <w:t>]</w:t>
            </w:r>
          </w:p>
          <w:p w14:paraId="57422F11" w14:textId="6FD276F9" w:rsidR="00EA697D" w:rsidRPr="002140BD" w:rsidRDefault="00EA697D" w:rsidP="005356D9">
            <w:pPr>
              <w:spacing w:line="240" w:lineRule="atLeast"/>
              <w:contextualSpacing/>
            </w:pPr>
          </w:p>
          <w:tbl>
            <w:tblPr>
              <w:tblStyle w:val="TableGrid"/>
              <w:tblW w:w="0" w:type="auto"/>
              <w:tblLook w:val="04A0" w:firstRow="1" w:lastRow="0" w:firstColumn="1" w:lastColumn="0" w:noHBand="0" w:noVBand="1"/>
            </w:tblPr>
            <w:tblGrid>
              <w:gridCol w:w="5315"/>
              <w:gridCol w:w="1853"/>
              <w:gridCol w:w="1956"/>
            </w:tblGrid>
            <w:tr w:rsidR="00EA697D" w:rsidRPr="006726CE" w14:paraId="41EC2D66" w14:textId="77777777" w:rsidTr="00462E71">
              <w:tc>
                <w:tcPr>
                  <w:tcW w:w="5315" w:type="dxa"/>
                </w:tcPr>
                <w:p w14:paraId="21148C80" w14:textId="77777777" w:rsidR="00EA697D" w:rsidRPr="006726CE" w:rsidRDefault="00EA697D" w:rsidP="005356D9">
                  <w:pPr>
                    <w:spacing w:line="240" w:lineRule="atLeast"/>
                    <w:contextualSpacing/>
                    <w:rPr>
                      <w:b/>
                      <w:i/>
                    </w:rPr>
                  </w:pPr>
                  <w:r w:rsidRPr="006726CE">
                    <w:rPr>
                      <w:b/>
                      <w:i/>
                    </w:rPr>
                    <w:t>Criteria</w:t>
                  </w:r>
                </w:p>
              </w:tc>
              <w:tc>
                <w:tcPr>
                  <w:tcW w:w="1853" w:type="dxa"/>
                </w:tcPr>
                <w:p w14:paraId="2C5EBE80" w14:textId="77777777" w:rsidR="00EA697D" w:rsidRPr="006726CE" w:rsidRDefault="00EA697D" w:rsidP="005356D9">
                  <w:pPr>
                    <w:spacing w:line="240" w:lineRule="atLeast"/>
                    <w:contextualSpacing/>
                    <w:rPr>
                      <w:b/>
                      <w:i/>
                    </w:rPr>
                  </w:pPr>
                  <w:r w:rsidRPr="006726CE">
                    <w:rPr>
                      <w:b/>
                      <w:i/>
                    </w:rPr>
                    <w:t xml:space="preserve">Weight </w:t>
                  </w:r>
                </w:p>
              </w:tc>
              <w:tc>
                <w:tcPr>
                  <w:tcW w:w="1956" w:type="dxa"/>
                </w:tcPr>
                <w:p w14:paraId="49BF1096" w14:textId="77777777" w:rsidR="00EA697D" w:rsidRPr="006726CE" w:rsidRDefault="00EA697D" w:rsidP="005356D9">
                  <w:pPr>
                    <w:spacing w:line="240" w:lineRule="atLeast"/>
                    <w:contextualSpacing/>
                    <w:rPr>
                      <w:b/>
                      <w:i/>
                    </w:rPr>
                  </w:pPr>
                  <w:r w:rsidRPr="006726CE">
                    <w:rPr>
                      <w:b/>
                      <w:i/>
                    </w:rPr>
                    <w:t>Max. Point</w:t>
                  </w:r>
                </w:p>
              </w:tc>
            </w:tr>
            <w:tr w:rsidR="002B2A0B" w:rsidRPr="006726CE" w14:paraId="43E1F6BE" w14:textId="77777777" w:rsidTr="00C63FBF">
              <w:tc>
                <w:tcPr>
                  <w:tcW w:w="5315" w:type="dxa"/>
                </w:tcPr>
                <w:p w14:paraId="52C2E162" w14:textId="472186BD" w:rsidR="003C634F" w:rsidRPr="0088083E" w:rsidRDefault="00F9180C" w:rsidP="005356D9">
                  <w:pPr>
                    <w:spacing w:line="240" w:lineRule="atLeast"/>
                    <w:contextualSpacing/>
                    <w:jc w:val="both"/>
                    <w:rPr>
                      <w:rFonts w:cs="Arial"/>
                    </w:rPr>
                  </w:pPr>
                  <w:r w:rsidRPr="006726CE">
                    <w:rPr>
                      <w:rFonts w:cs="Arial"/>
                    </w:rPr>
                    <w:t>Minimum</w:t>
                  </w:r>
                  <w:r>
                    <w:rPr>
                      <w:rFonts w:cs="Arial"/>
                    </w:rPr>
                    <w:t xml:space="preserve"> of</w:t>
                  </w:r>
                  <w:r w:rsidRPr="006726CE">
                    <w:rPr>
                      <w:rFonts w:cs="Arial"/>
                    </w:rPr>
                    <w:t xml:space="preserve"> Master’s </w:t>
                  </w:r>
                  <w:r>
                    <w:rPr>
                      <w:rFonts w:cs="Arial"/>
                    </w:rPr>
                    <w:t>D</w:t>
                  </w:r>
                  <w:r w:rsidRPr="006726CE">
                    <w:rPr>
                      <w:rFonts w:cs="Arial"/>
                    </w:rPr>
                    <w:t xml:space="preserve">egree </w:t>
                  </w:r>
                  <w:r>
                    <w:rPr>
                      <w:rFonts w:cs="Arial"/>
                    </w:rPr>
                    <w:t>in Economics or Social Science or related discipline</w:t>
                  </w:r>
                </w:p>
              </w:tc>
              <w:tc>
                <w:tcPr>
                  <w:tcW w:w="3809" w:type="dxa"/>
                  <w:gridSpan w:val="2"/>
                </w:tcPr>
                <w:p w14:paraId="194D41CC" w14:textId="77777777" w:rsidR="002B2A0B" w:rsidRPr="006726CE" w:rsidRDefault="002B2A0B" w:rsidP="005356D9">
                  <w:pPr>
                    <w:spacing w:line="240" w:lineRule="atLeast"/>
                    <w:contextualSpacing/>
                    <w:rPr>
                      <w:bCs/>
                      <w:iCs/>
                    </w:rPr>
                  </w:pPr>
                  <w:r w:rsidRPr="006726CE">
                    <w:rPr>
                      <w:bCs/>
                      <w:iCs/>
                    </w:rPr>
                    <w:t>Mandatory</w:t>
                  </w:r>
                  <w:r w:rsidR="00B269B9" w:rsidRPr="006726CE">
                    <w:rPr>
                      <w:bCs/>
                      <w:iCs/>
                    </w:rPr>
                    <w:t xml:space="preserve"> exclusionary criteria</w:t>
                  </w:r>
                </w:p>
              </w:tc>
            </w:tr>
            <w:tr w:rsidR="00DE3C68" w:rsidRPr="006726CE" w14:paraId="636E1F12" w14:textId="77777777" w:rsidTr="00C63FBF">
              <w:tc>
                <w:tcPr>
                  <w:tcW w:w="5315" w:type="dxa"/>
                </w:tcPr>
                <w:p w14:paraId="4EC3A360" w14:textId="2CFD0C1F" w:rsidR="00DE3C68" w:rsidRPr="00A51747" w:rsidRDefault="00F9180C" w:rsidP="005356D9">
                  <w:pPr>
                    <w:spacing w:before="100" w:beforeAutospacing="1" w:after="120" w:line="240" w:lineRule="atLeast"/>
                    <w:contextualSpacing/>
                    <w:rPr>
                      <w:rFonts w:cs="Arial"/>
                    </w:rPr>
                  </w:pPr>
                  <w:r>
                    <w:rPr>
                      <w:rFonts w:cs="Arial"/>
                    </w:rPr>
                    <w:t xml:space="preserve">A minimum of ten years’ relevant experience in </w:t>
                  </w:r>
                  <w:r w:rsidRPr="005E3C58">
                    <w:rPr>
                      <w:rFonts w:cs="Arial"/>
                      <w:szCs w:val="20"/>
                    </w:rPr>
                    <w:t>research, report writing and policy analysis</w:t>
                  </w:r>
                  <w:r>
                    <w:rPr>
                      <w:rFonts w:cs="Arial"/>
                      <w:szCs w:val="20"/>
                    </w:rPr>
                    <w:t xml:space="preserve"> on inequality in the context of human development and related issues</w:t>
                  </w:r>
                </w:p>
              </w:tc>
              <w:tc>
                <w:tcPr>
                  <w:tcW w:w="3809" w:type="dxa"/>
                  <w:gridSpan w:val="2"/>
                </w:tcPr>
                <w:p w14:paraId="425F773C" w14:textId="77777777" w:rsidR="00DE3C68" w:rsidRPr="006726CE" w:rsidRDefault="00DE3C68" w:rsidP="005356D9">
                  <w:pPr>
                    <w:spacing w:line="240" w:lineRule="atLeast"/>
                    <w:contextualSpacing/>
                    <w:rPr>
                      <w:bCs/>
                      <w:iCs/>
                    </w:rPr>
                  </w:pPr>
                  <w:r w:rsidRPr="006726CE">
                    <w:rPr>
                      <w:bCs/>
                      <w:iCs/>
                    </w:rPr>
                    <w:t>Mandatory exclusionary criteria</w:t>
                  </w:r>
                </w:p>
              </w:tc>
            </w:tr>
            <w:tr w:rsidR="000212AB" w:rsidRPr="006726CE" w14:paraId="50DCC206" w14:textId="77777777" w:rsidTr="00C63FBF">
              <w:tc>
                <w:tcPr>
                  <w:tcW w:w="5315" w:type="dxa"/>
                </w:tcPr>
                <w:p w14:paraId="12AAF36C" w14:textId="7304F7C9" w:rsidR="000212AB" w:rsidRPr="0088083E" w:rsidRDefault="00F4658A" w:rsidP="005356D9">
                  <w:pPr>
                    <w:spacing w:before="100" w:beforeAutospacing="1" w:after="120" w:line="240" w:lineRule="atLeast"/>
                    <w:contextualSpacing/>
                    <w:rPr>
                      <w:rFonts w:cs="Arial"/>
                    </w:rPr>
                  </w:pPr>
                  <w:r>
                    <w:rPr>
                      <w:rFonts w:cs="Arial"/>
                    </w:rPr>
                    <w:t xml:space="preserve">Demonstrated expertise in </w:t>
                  </w:r>
                  <w:r w:rsidRPr="002928AA">
                    <w:rPr>
                      <w:rFonts w:cs="Arial"/>
                    </w:rPr>
                    <w:t xml:space="preserve">inequality and related socio-economic factors in the Southern Africa region, including specific conditions affecting marginalised groups </w:t>
                  </w:r>
                  <w:r>
                    <w:rPr>
                      <w:rFonts w:cs="Arial"/>
                    </w:rPr>
                    <w:t>including but not limited to youth, women, rural and remote area dwellers and people with disabilities</w:t>
                  </w:r>
                </w:p>
              </w:tc>
              <w:tc>
                <w:tcPr>
                  <w:tcW w:w="3809" w:type="dxa"/>
                  <w:gridSpan w:val="2"/>
                </w:tcPr>
                <w:p w14:paraId="43492FB4" w14:textId="77777777" w:rsidR="000212AB" w:rsidRPr="006726CE" w:rsidRDefault="000212AB" w:rsidP="005356D9">
                  <w:pPr>
                    <w:spacing w:line="240" w:lineRule="atLeast"/>
                    <w:contextualSpacing/>
                    <w:rPr>
                      <w:bCs/>
                      <w:iCs/>
                    </w:rPr>
                  </w:pPr>
                  <w:r w:rsidRPr="006726CE">
                    <w:rPr>
                      <w:bCs/>
                      <w:iCs/>
                    </w:rPr>
                    <w:t>Mandatory exclusionary criteria</w:t>
                  </w:r>
                </w:p>
                <w:p w14:paraId="69B7F271" w14:textId="77777777" w:rsidR="000212AB" w:rsidRPr="006726CE" w:rsidRDefault="000212AB" w:rsidP="005356D9">
                  <w:pPr>
                    <w:spacing w:after="120" w:line="240" w:lineRule="atLeast"/>
                    <w:contextualSpacing/>
                    <w:rPr>
                      <w:bCs/>
                      <w:iCs/>
                    </w:rPr>
                  </w:pPr>
                </w:p>
              </w:tc>
            </w:tr>
            <w:tr w:rsidR="00F4658A" w:rsidRPr="006726CE" w14:paraId="0C3B4A5C" w14:textId="77777777" w:rsidTr="00C63FBF">
              <w:tc>
                <w:tcPr>
                  <w:tcW w:w="5315" w:type="dxa"/>
                </w:tcPr>
                <w:p w14:paraId="0DD69F39" w14:textId="7294A115" w:rsidR="00F4658A" w:rsidRDefault="00F4658A" w:rsidP="005356D9">
                  <w:pPr>
                    <w:spacing w:after="120" w:line="240" w:lineRule="atLeast"/>
                    <w:contextualSpacing/>
                    <w:rPr>
                      <w:rFonts w:cs="Arial"/>
                    </w:rPr>
                  </w:pPr>
                  <w:r w:rsidRPr="000E58BD">
                    <w:rPr>
                      <w:rFonts w:cs="Arial"/>
                    </w:rPr>
                    <w:t>Demonstrated experience c</w:t>
                  </w:r>
                  <w:r w:rsidRPr="006726CE">
                    <w:rPr>
                      <w:rFonts w:cs="Arial"/>
                    </w:rPr>
                    <w:t xml:space="preserve">onducting comparative research, data collection and analysis and </w:t>
                  </w:r>
                  <w:proofErr w:type="spellStart"/>
                  <w:r w:rsidRPr="006726CE">
                    <w:rPr>
                      <w:rFonts w:cs="Arial"/>
                    </w:rPr>
                    <w:t>contextualis</w:t>
                  </w:r>
                  <w:r>
                    <w:rPr>
                      <w:rFonts w:cs="Arial"/>
                    </w:rPr>
                    <w:t>ing</w:t>
                  </w:r>
                  <w:proofErr w:type="spellEnd"/>
                  <w:r w:rsidRPr="006726CE">
                    <w:rPr>
                      <w:rFonts w:cs="Arial"/>
                    </w:rPr>
                    <w:t xml:space="preserve"> to the local context and conditions</w:t>
                  </w:r>
                </w:p>
              </w:tc>
              <w:tc>
                <w:tcPr>
                  <w:tcW w:w="3809" w:type="dxa"/>
                  <w:gridSpan w:val="2"/>
                </w:tcPr>
                <w:p w14:paraId="7DA70A19" w14:textId="51C13E57" w:rsidR="00F4658A" w:rsidRPr="006726CE" w:rsidRDefault="00F4658A" w:rsidP="005356D9">
                  <w:pPr>
                    <w:spacing w:line="240" w:lineRule="atLeast"/>
                    <w:contextualSpacing/>
                    <w:rPr>
                      <w:bCs/>
                      <w:iCs/>
                    </w:rPr>
                  </w:pPr>
                  <w:r>
                    <w:rPr>
                      <w:bCs/>
                      <w:iCs/>
                    </w:rPr>
                    <w:t>Mandatory exclusionary criteria</w:t>
                  </w:r>
                </w:p>
              </w:tc>
            </w:tr>
            <w:tr w:rsidR="002B2A0B" w:rsidRPr="006726CE" w14:paraId="12622304" w14:textId="77777777" w:rsidTr="00F9180C">
              <w:trPr>
                <w:trHeight w:val="269"/>
              </w:trPr>
              <w:tc>
                <w:tcPr>
                  <w:tcW w:w="5315" w:type="dxa"/>
                </w:tcPr>
                <w:p w14:paraId="400C4C60" w14:textId="27C02C6A" w:rsidR="002B2A0B" w:rsidRPr="000E58BD" w:rsidRDefault="002B2A0B" w:rsidP="005356D9">
                  <w:pPr>
                    <w:spacing w:line="240" w:lineRule="atLeast"/>
                    <w:contextualSpacing/>
                    <w:jc w:val="both"/>
                    <w:rPr>
                      <w:rFonts w:cs="Arial"/>
                    </w:rPr>
                  </w:pPr>
                  <w:r w:rsidRPr="0088083E">
                    <w:rPr>
                      <w:rFonts w:cs="Arial"/>
                    </w:rPr>
                    <w:t>Com</w:t>
                  </w:r>
                  <w:r w:rsidR="00B269B9" w:rsidRPr="0088083E">
                    <w:rPr>
                      <w:rFonts w:cs="Arial"/>
                    </w:rPr>
                    <w:t>plete</w:t>
                  </w:r>
                  <w:r w:rsidR="00B33FCC" w:rsidRPr="005D56BB">
                    <w:rPr>
                      <w:rFonts w:cs="Arial"/>
                    </w:rPr>
                    <w:t xml:space="preserve"> technical and financial</w:t>
                  </w:r>
                  <w:r w:rsidR="00B269B9" w:rsidRPr="005D56BB">
                    <w:rPr>
                      <w:rFonts w:cs="Arial"/>
                    </w:rPr>
                    <w:t xml:space="preserve"> proposal submitted as per Item 4 </w:t>
                  </w:r>
                  <w:r w:rsidR="00D67C84">
                    <w:rPr>
                      <w:rFonts w:cs="Arial"/>
                    </w:rPr>
                    <w:t>“</w:t>
                  </w:r>
                  <w:r w:rsidR="00B269B9" w:rsidRPr="005D56BB">
                    <w:rPr>
                      <w:rFonts w:cs="Arial"/>
                    </w:rPr>
                    <w:t xml:space="preserve">Documents to be </w:t>
                  </w:r>
                  <w:r w:rsidR="00BA488E" w:rsidRPr="005D56BB">
                    <w:rPr>
                      <w:rFonts w:cs="Arial"/>
                    </w:rPr>
                    <w:t>I</w:t>
                  </w:r>
                  <w:r w:rsidR="00B269B9" w:rsidRPr="00A51747">
                    <w:rPr>
                      <w:rFonts w:cs="Arial"/>
                    </w:rPr>
                    <w:t xml:space="preserve">ncluded when </w:t>
                  </w:r>
                  <w:r w:rsidR="00BA488E" w:rsidRPr="00A51747">
                    <w:rPr>
                      <w:rFonts w:cs="Arial"/>
                    </w:rPr>
                    <w:t>S</w:t>
                  </w:r>
                  <w:r w:rsidR="00B269B9" w:rsidRPr="00A51747">
                    <w:rPr>
                      <w:rFonts w:cs="Arial"/>
                    </w:rPr>
                    <w:t>ubmitting the Proposal</w:t>
                  </w:r>
                  <w:r w:rsidR="007B648E" w:rsidRPr="00A51747">
                    <w:rPr>
                      <w:rFonts w:cs="Arial"/>
                    </w:rPr>
                    <w:t>.</w:t>
                  </w:r>
                  <w:r w:rsidR="00D67C84">
                    <w:rPr>
                      <w:rFonts w:cs="Arial"/>
                    </w:rPr>
                    <w:t>”</w:t>
                  </w:r>
                </w:p>
              </w:tc>
              <w:tc>
                <w:tcPr>
                  <w:tcW w:w="3809" w:type="dxa"/>
                  <w:gridSpan w:val="2"/>
                </w:tcPr>
                <w:p w14:paraId="32DAE3CE" w14:textId="77777777" w:rsidR="002B2A0B" w:rsidRPr="006726CE" w:rsidRDefault="00B269B9" w:rsidP="005356D9">
                  <w:pPr>
                    <w:spacing w:line="240" w:lineRule="atLeast"/>
                    <w:contextualSpacing/>
                    <w:rPr>
                      <w:bCs/>
                      <w:iCs/>
                    </w:rPr>
                  </w:pPr>
                  <w:r w:rsidRPr="006726CE">
                    <w:rPr>
                      <w:bCs/>
                      <w:iCs/>
                    </w:rPr>
                    <w:t>Mandatory exclusionary criteria</w:t>
                  </w:r>
                </w:p>
              </w:tc>
            </w:tr>
            <w:tr w:rsidR="00952163" w:rsidRPr="006726CE" w14:paraId="218D5FB7" w14:textId="77777777" w:rsidTr="00C63FBF">
              <w:tc>
                <w:tcPr>
                  <w:tcW w:w="5315" w:type="dxa"/>
                </w:tcPr>
                <w:p w14:paraId="59E60760" w14:textId="659A88DD" w:rsidR="00952163" w:rsidRPr="001B72D6" w:rsidRDefault="00952163" w:rsidP="005356D9">
                  <w:pPr>
                    <w:spacing w:line="240" w:lineRule="atLeast"/>
                    <w:contextualSpacing/>
                    <w:jc w:val="both"/>
                    <w:rPr>
                      <w:rFonts w:cs="Arial"/>
                    </w:rPr>
                  </w:pPr>
                  <w:r w:rsidRPr="0088083E">
                    <w:rPr>
                      <w:rFonts w:cs="Arial"/>
                    </w:rPr>
                    <w:t xml:space="preserve">Fluency in </w:t>
                  </w:r>
                  <w:r w:rsidR="001B72D6">
                    <w:rPr>
                      <w:rFonts w:cs="Arial"/>
                    </w:rPr>
                    <w:t>both</w:t>
                  </w:r>
                  <w:r w:rsidR="00356BAD">
                    <w:rPr>
                      <w:rFonts w:cs="Arial"/>
                    </w:rPr>
                    <w:t xml:space="preserve"> </w:t>
                  </w:r>
                  <w:r w:rsidRPr="001B72D6">
                    <w:rPr>
                      <w:rFonts w:cs="Arial"/>
                    </w:rPr>
                    <w:t>written and spoken English</w:t>
                  </w:r>
                  <w:r w:rsidR="00BA488E" w:rsidRPr="001B72D6">
                    <w:rPr>
                      <w:rFonts w:cs="Arial"/>
                    </w:rPr>
                    <w:t>.</w:t>
                  </w:r>
                </w:p>
              </w:tc>
              <w:tc>
                <w:tcPr>
                  <w:tcW w:w="3809" w:type="dxa"/>
                  <w:gridSpan w:val="2"/>
                </w:tcPr>
                <w:p w14:paraId="68B5CD2E" w14:textId="77777777" w:rsidR="00952163" w:rsidRPr="006726CE" w:rsidRDefault="00952163" w:rsidP="005356D9">
                  <w:pPr>
                    <w:spacing w:line="240" w:lineRule="atLeast"/>
                    <w:contextualSpacing/>
                    <w:rPr>
                      <w:bCs/>
                      <w:iCs/>
                    </w:rPr>
                  </w:pPr>
                  <w:r w:rsidRPr="006726CE">
                    <w:rPr>
                      <w:bCs/>
                      <w:iCs/>
                    </w:rPr>
                    <w:t>Mandatory exclusionary criteria</w:t>
                  </w:r>
                </w:p>
              </w:tc>
            </w:tr>
            <w:tr w:rsidR="00EA697D" w:rsidRPr="006726CE" w14:paraId="26DB5198" w14:textId="77777777" w:rsidTr="00462E71">
              <w:tc>
                <w:tcPr>
                  <w:tcW w:w="5315" w:type="dxa"/>
                </w:tcPr>
                <w:p w14:paraId="479DA893" w14:textId="77777777" w:rsidR="00EA697D" w:rsidRPr="006726CE" w:rsidRDefault="00EA697D" w:rsidP="005356D9">
                  <w:pPr>
                    <w:spacing w:line="240" w:lineRule="atLeast"/>
                    <w:contextualSpacing/>
                    <w:rPr>
                      <w:i/>
                      <w:u w:val="single"/>
                    </w:rPr>
                  </w:pPr>
                  <w:r w:rsidRPr="006726CE">
                    <w:rPr>
                      <w:i/>
                      <w:u w:val="single"/>
                    </w:rPr>
                    <w:t>Technical</w:t>
                  </w:r>
                </w:p>
              </w:tc>
              <w:tc>
                <w:tcPr>
                  <w:tcW w:w="1853" w:type="dxa"/>
                </w:tcPr>
                <w:p w14:paraId="0658F8FB" w14:textId="5D712ED0" w:rsidR="00EA697D" w:rsidRPr="006726CE" w:rsidRDefault="003F17E0" w:rsidP="005356D9">
                  <w:pPr>
                    <w:spacing w:line="240" w:lineRule="atLeast"/>
                    <w:contextualSpacing/>
                    <w:rPr>
                      <w:iCs/>
                    </w:rPr>
                  </w:pPr>
                  <w:r>
                    <w:rPr>
                      <w:iCs/>
                    </w:rPr>
                    <w:t>100%</w:t>
                  </w:r>
                </w:p>
              </w:tc>
              <w:tc>
                <w:tcPr>
                  <w:tcW w:w="1956" w:type="dxa"/>
                </w:tcPr>
                <w:p w14:paraId="1E54660A" w14:textId="2641BD1C" w:rsidR="00EA697D" w:rsidRPr="006726CE" w:rsidRDefault="003F17E0" w:rsidP="005356D9">
                  <w:pPr>
                    <w:spacing w:line="240" w:lineRule="atLeast"/>
                    <w:contextualSpacing/>
                    <w:rPr>
                      <w:iCs/>
                    </w:rPr>
                  </w:pPr>
                  <w:r>
                    <w:rPr>
                      <w:iCs/>
                    </w:rPr>
                    <w:t>100 points</w:t>
                  </w:r>
                </w:p>
              </w:tc>
            </w:tr>
            <w:tr w:rsidR="00B269B9" w:rsidRPr="006726CE" w14:paraId="143FCFBD" w14:textId="77777777" w:rsidTr="00462E71">
              <w:tc>
                <w:tcPr>
                  <w:tcW w:w="5315" w:type="dxa"/>
                </w:tcPr>
                <w:p w14:paraId="46D60464" w14:textId="54A05DC6" w:rsidR="00B269B9" w:rsidRPr="003F2235" w:rsidRDefault="005356D9" w:rsidP="005356D9">
                  <w:pPr>
                    <w:spacing w:line="240" w:lineRule="atLeast"/>
                    <w:contextualSpacing/>
                    <w:rPr>
                      <w:iCs/>
                    </w:rPr>
                  </w:pPr>
                  <w:r>
                    <w:rPr>
                      <w:iCs/>
                    </w:rPr>
                    <w:t>Demonstrated understanding of the TORs</w:t>
                  </w:r>
                </w:p>
              </w:tc>
              <w:tc>
                <w:tcPr>
                  <w:tcW w:w="1853" w:type="dxa"/>
                </w:tcPr>
                <w:p w14:paraId="1B7357CF" w14:textId="7AA5D89E" w:rsidR="00B269B9" w:rsidRPr="006726CE" w:rsidRDefault="00F81128" w:rsidP="005356D9">
                  <w:pPr>
                    <w:spacing w:line="240" w:lineRule="atLeast"/>
                    <w:contextualSpacing/>
                    <w:rPr>
                      <w:iCs/>
                    </w:rPr>
                  </w:pPr>
                  <w:r>
                    <w:rPr>
                      <w:iCs/>
                    </w:rPr>
                    <w:t>10</w:t>
                  </w:r>
                </w:p>
              </w:tc>
              <w:tc>
                <w:tcPr>
                  <w:tcW w:w="1956" w:type="dxa"/>
                </w:tcPr>
                <w:p w14:paraId="32FC4DC2" w14:textId="4B977178" w:rsidR="00B269B9" w:rsidRPr="006726CE" w:rsidRDefault="00F81128" w:rsidP="005356D9">
                  <w:pPr>
                    <w:spacing w:line="240" w:lineRule="atLeast"/>
                    <w:contextualSpacing/>
                    <w:rPr>
                      <w:iCs/>
                    </w:rPr>
                  </w:pPr>
                  <w:r>
                    <w:rPr>
                      <w:iCs/>
                    </w:rPr>
                    <w:t>10</w:t>
                  </w:r>
                </w:p>
              </w:tc>
            </w:tr>
            <w:tr w:rsidR="003F17E0" w:rsidRPr="006726CE" w14:paraId="42917499" w14:textId="77777777" w:rsidTr="00462E71">
              <w:tc>
                <w:tcPr>
                  <w:tcW w:w="5315" w:type="dxa"/>
                </w:tcPr>
                <w:p w14:paraId="31D0D556" w14:textId="5CDA27FD" w:rsidR="003F17E0" w:rsidRPr="0088083E" w:rsidRDefault="003F17E0" w:rsidP="005356D9">
                  <w:pPr>
                    <w:spacing w:line="240" w:lineRule="atLeast"/>
                    <w:contextualSpacing/>
                    <w:rPr>
                      <w:rFonts w:cs="Arial"/>
                    </w:rPr>
                  </w:pPr>
                  <w:r w:rsidRPr="0088083E">
                    <w:rPr>
                      <w:rFonts w:cs="Arial"/>
                    </w:rPr>
                    <w:t>Technical proposal clearly</w:t>
                  </w:r>
                  <w:r w:rsidRPr="005D56BB">
                    <w:rPr>
                      <w:rFonts w:cs="Arial"/>
                    </w:rPr>
                    <w:t xml:space="preserve"> matches skills and experience to </w:t>
                  </w:r>
                  <w:r w:rsidR="003F2235">
                    <w:rPr>
                      <w:rFonts w:cs="Arial"/>
                    </w:rPr>
                    <w:t xml:space="preserve">each of </w:t>
                  </w:r>
                  <w:r w:rsidRPr="005D56BB">
                    <w:rPr>
                      <w:rFonts w:cs="Arial"/>
                    </w:rPr>
                    <w:t>the selection criteria and demonstrates competency to complete the scope of works.</w:t>
                  </w:r>
                </w:p>
              </w:tc>
              <w:tc>
                <w:tcPr>
                  <w:tcW w:w="1853" w:type="dxa"/>
                </w:tcPr>
                <w:p w14:paraId="33950282" w14:textId="4DEEF612" w:rsidR="003F17E0" w:rsidRDefault="003F2235" w:rsidP="005356D9">
                  <w:pPr>
                    <w:spacing w:line="240" w:lineRule="atLeast"/>
                    <w:contextualSpacing/>
                    <w:rPr>
                      <w:iCs/>
                    </w:rPr>
                  </w:pPr>
                  <w:r>
                    <w:rPr>
                      <w:iCs/>
                    </w:rPr>
                    <w:t>45</w:t>
                  </w:r>
                </w:p>
              </w:tc>
              <w:tc>
                <w:tcPr>
                  <w:tcW w:w="1956" w:type="dxa"/>
                </w:tcPr>
                <w:p w14:paraId="768E0CE4" w14:textId="6719D922" w:rsidR="003F17E0" w:rsidRPr="006726CE" w:rsidRDefault="003F2235" w:rsidP="005356D9">
                  <w:pPr>
                    <w:spacing w:line="240" w:lineRule="atLeast"/>
                    <w:contextualSpacing/>
                    <w:rPr>
                      <w:iCs/>
                    </w:rPr>
                  </w:pPr>
                  <w:r>
                    <w:rPr>
                      <w:iCs/>
                    </w:rPr>
                    <w:t>45</w:t>
                  </w:r>
                </w:p>
              </w:tc>
            </w:tr>
            <w:tr w:rsidR="003F17E0" w:rsidRPr="006726CE" w14:paraId="5372B26D" w14:textId="77777777" w:rsidTr="00462E71">
              <w:tc>
                <w:tcPr>
                  <w:tcW w:w="5315" w:type="dxa"/>
                </w:tcPr>
                <w:p w14:paraId="6F114B57" w14:textId="392BAE82" w:rsidR="003F17E0" w:rsidRPr="005D56BB" w:rsidRDefault="003F17E0" w:rsidP="005356D9">
                  <w:pPr>
                    <w:spacing w:line="240" w:lineRule="atLeast"/>
                    <w:contextualSpacing/>
                    <w:rPr>
                      <w:rFonts w:cs="Arial"/>
                    </w:rPr>
                  </w:pPr>
                  <w:r w:rsidRPr="0088083E">
                    <w:rPr>
                      <w:rFonts w:cs="Arial"/>
                    </w:rPr>
                    <w:t xml:space="preserve">The draft methodology and work plan address </w:t>
                  </w:r>
                  <w:r w:rsidR="003F2235">
                    <w:rPr>
                      <w:rFonts w:cs="Arial"/>
                    </w:rPr>
                    <w:t xml:space="preserve">each component of </w:t>
                  </w:r>
                  <w:r w:rsidRPr="0088083E">
                    <w:rPr>
                      <w:rFonts w:cs="Arial"/>
                    </w:rPr>
                    <w:t xml:space="preserve">the scope of works and are </w:t>
                  </w:r>
                  <w:r w:rsidRPr="005D56BB">
                    <w:rPr>
                      <w:rFonts w:cs="Arial"/>
                    </w:rPr>
                    <w:t>responsive to the background information provided.</w:t>
                  </w:r>
                </w:p>
              </w:tc>
              <w:tc>
                <w:tcPr>
                  <w:tcW w:w="1853" w:type="dxa"/>
                </w:tcPr>
                <w:p w14:paraId="058445F7" w14:textId="1431DB67" w:rsidR="003F17E0" w:rsidRPr="006726CE" w:rsidRDefault="003F2235" w:rsidP="005356D9">
                  <w:pPr>
                    <w:spacing w:line="240" w:lineRule="atLeast"/>
                    <w:contextualSpacing/>
                    <w:rPr>
                      <w:iCs/>
                    </w:rPr>
                  </w:pPr>
                  <w:r>
                    <w:rPr>
                      <w:iCs/>
                    </w:rPr>
                    <w:t>45</w:t>
                  </w:r>
                </w:p>
              </w:tc>
              <w:tc>
                <w:tcPr>
                  <w:tcW w:w="1956" w:type="dxa"/>
                </w:tcPr>
                <w:p w14:paraId="3E7CC3DC" w14:textId="0B5010F7" w:rsidR="003F17E0" w:rsidRPr="006726CE" w:rsidRDefault="003F2235" w:rsidP="005356D9">
                  <w:pPr>
                    <w:spacing w:line="240" w:lineRule="atLeast"/>
                    <w:contextualSpacing/>
                    <w:rPr>
                      <w:iCs/>
                    </w:rPr>
                  </w:pPr>
                  <w:r>
                    <w:rPr>
                      <w:iCs/>
                    </w:rPr>
                    <w:t>45</w:t>
                  </w:r>
                </w:p>
              </w:tc>
            </w:tr>
            <w:tr w:rsidR="003F17E0" w:rsidRPr="006726CE" w14:paraId="698D274D" w14:textId="77777777" w:rsidTr="00462E71">
              <w:tc>
                <w:tcPr>
                  <w:tcW w:w="5315" w:type="dxa"/>
                </w:tcPr>
                <w:p w14:paraId="57690C8B" w14:textId="77777777" w:rsidR="003F17E0" w:rsidRPr="006726CE" w:rsidRDefault="003F17E0" w:rsidP="005356D9">
                  <w:pPr>
                    <w:spacing w:line="240" w:lineRule="atLeast"/>
                    <w:contextualSpacing/>
                    <w:rPr>
                      <w:i/>
                      <w:u w:val="single"/>
                    </w:rPr>
                  </w:pPr>
                  <w:r w:rsidRPr="006726CE">
                    <w:rPr>
                      <w:i/>
                      <w:u w:val="single"/>
                    </w:rPr>
                    <w:t>Financial</w:t>
                  </w:r>
                </w:p>
              </w:tc>
              <w:tc>
                <w:tcPr>
                  <w:tcW w:w="1853" w:type="dxa"/>
                </w:tcPr>
                <w:p w14:paraId="74130C81" w14:textId="77777777" w:rsidR="003F17E0" w:rsidRPr="006726CE" w:rsidRDefault="003F17E0" w:rsidP="005356D9">
                  <w:pPr>
                    <w:spacing w:line="240" w:lineRule="atLeast"/>
                    <w:contextualSpacing/>
                    <w:rPr>
                      <w:i/>
                    </w:rPr>
                  </w:pPr>
                </w:p>
              </w:tc>
              <w:tc>
                <w:tcPr>
                  <w:tcW w:w="1956" w:type="dxa"/>
                </w:tcPr>
                <w:p w14:paraId="19D3B32B" w14:textId="77777777" w:rsidR="003F17E0" w:rsidRPr="006726CE" w:rsidRDefault="003F17E0" w:rsidP="005356D9">
                  <w:pPr>
                    <w:spacing w:line="240" w:lineRule="atLeast"/>
                    <w:contextualSpacing/>
                    <w:rPr>
                      <w:i/>
                    </w:rPr>
                  </w:pPr>
                </w:p>
              </w:tc>
            </w:tr>
          </w:tbl>
          <w:p w14:paraId="67299507" w14:textId="77777777" w:rsidR="00443E94" w:rsidRPr="006726CE" w:rsidRDefault="00443E94" w:rsidP="005356D9">
            <w:pPr>
              <w:spacing w:line="240" w:lineRule="atLeast"/>
              <w:contextualSpacing/>
              <w:rPr>
                <w:b/>
              </w:rPr>
            </w:pPr>
          </w:p>
        </w:tc>
      </w:tr>
    </w:tbl>
    <w:p w14:paraId="7D9B4D38" w14:textId="77777777" w:rsidR="008A6F73" w:rsidRPr="006726CE" w:rsidRDefault="008A6F73" w:rsidP="005356D9">
      <w:pPr>
        <w:spacing w:line="240" w:lineRule="atLeast"/>
        <w:contextualSpacing/>
        <w:rPr>
          <w:b/>
        </w:rPr>
      </w:pPr>
    </w:p>
    <w:p w14:paraId="58BD867E" w14:textId="77777777" w:rsidR="00EA50D0" w:rsidRPr="00702555" w:rsidRDefault="002A1486" w:rsidP="005356D9">
      <w:pPr>
        <w:spacing w:line="240" w:lineRule="atLeast"/>
        <w:contextualSpacing/>
        <w:rPr>
          <w:b/>
          <w:u w:val="single"/>
        </w:rPr>
      </w:pPr>
      <w:r w:rsidRPr="00702555">
        <w:rPr>
          <w:b/>
          <w:u w:val="single"/>
        </w:rPr>
        <w:t>ANNEX</w:t>
      </w:r>
    </w:p>
    <w:p w14:paraId="79DD6A22" w14:textId="77777777" w:rsidR="00103276" w:rsidRPr="00702555" w:rsidRDefault="00103276" w:rsidP="005356D9">
      <w:pPr>
        <w:spacing w:line="240" w:lineRule="atLeast"/>
        <w:contextualSpacing/>
        <w:rPr>
          <w:b/>
          <w:u w:val="single"/>
        </w:rPr>
      </w:pPr>
      <w:r w:rsidRPr="006726CE">
        <w:rPr>
          <w:b/>
        </w:rPr>
        <w:t xml:space="preserve">ANNEX 1- INDIVIDUAL CONSULTANT GENERAL TERMS AND CONDITIONS </w:t>
      </w:r>
    </w:p>
    <w:sectPr w:rsidR="00103276" w:rsidRPr="00702555" w:rsidSect="00443E9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6D03" w14:textId="77777777" w:rsidR="00DA53E9" w:rsidRDefault="00DA53E9" w:rsidP="00A24134">
      <w:pPr>
        <w:spacing w:after="0" w:line="240" w:lineRule="auto"/>
      </w:pPr>
      <w:r>
        <w:separator/>
      </w:r>
    </w:p>
  </w:endnote>
  <w:endnote w:type="continuationSeparator" w:id="0">
    <w:p w14:paraId="12059B7E" w14:textId="77777777" w:rsidR="00DA53E9" w:rsidRDefault="00DA53E9"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980B" w14:textId="77777777" w:rsidR="00DA53E9" w:rsidRDefault="00DA53E9" w:rsidP="00A24134">
      <w:pPr>
        <w:spacing w:after="0" w:line="240" w:lineRule="auto"/>
      </w:pPr>
      <w:r>
        <w:separator/>
      </w:r>
    </w:p>
  </w:footnote>
  <w:footnote w:type="continuationSeparator" w:id="0">
    <w:p w14:paraId="62E084DD" w14:textId="77777777" w:rsidR="00DA53E9" w:rsidRDefault="00DA53E9" w:rsidP="00A24134">
      <w:pPr>
        <w:spacing w:after="0" w:line="240" w:lineRule="auto"/>
      </w:pPr>
      <w:r>
        <w:continuationSeparator/>
      </w:r>
    </w:p>
  </w:footnote>
  <w:footnote w:id="1">
    <w:p w14:paraId="0627D20F" w14:textId="77777777" w:rsidR="004A01C9" w:rsidRPr="00146D19" w:rsidRDefault="004A01C9" w:rsidP="004A01C9">
      <w:pPr>
        <w:pStyle w:val="FootnoteText"/>
        <w:rPr>
          <w:rFonts w:ascii="Times New Roman" w:hAnsi="Times New Roman"/>
          <w:sz w:val="16"/>
          <w:szCs w:val="16"/>
        </w:rPr>
      </w:pPr>
      <w:r w:rsidRPr="00146D19">
        <w:rPr>
          <w:rStyle w:val="FootnoteReference"/>
          <w:rFonts w:ascii="Times New Roman" w:hAnsi="Times New Roman"/>
          <w:sz w:val="16"/>
          <w:szCs w:val="16"/>
        </w:rPr>
        <w:footnoteRef/>
      </w:r>
      <w:r w:rsidRPr="00146D19">
        <w:rPr>
          <w:rFonts w:ascii="Times New Roman" w:hAnsi="Times New Roman"/>
          <w:sz w:val="16"/>
          <w:szCs w:val="16"/>
        </w:rPr>
        <w:t xml:space="preserve"> World Bank (2015). Botswana Poverty Assessment. Report No. 88473-BW</w:t>
      </w:r>
    </w:p>
  </w:footnote>
  <w:footnote w:id="2">
    <w:p w14:paraId="40B24ED5" w14:textId="77777777" w:rsidR="004A01C9" w:rsidRPr="00146D19" w:rsidRDefault="004A01C9" w:rsidP="004A01C9">
      <w:pPr>
        <w:pStyle w:val="FootnoteText"/>
        <w:rPr>
          <w:rFonts w:ascii="Times New Roman" w:hAnsi="Times New Roman"/>
          <w:sz w:val="16"/>
          <w:szCs w:val="16"/>
        </w:rPr>
      </w:pPr>
      <w:r w:rsidRPr="00146D19">
        <w:rPr>
          <w:rStyle w:val="FootnoteReference"/>
          <w:rFonts w:ascii="Times New Roman" w:hAnsi="Times New Roman"/>
          <w:sz w:val="16"/>
          <w:szCs w:val="16"/>
        </w:rPr>
        <w:footnoteRef/>
      </w:r>
      <w:r w:rsidRPr="00146D19">
        <w:rPr>
          <w:rFonts w:ascii="Times New Roman" w:hAnsi="Times New Roman"/>
          <w:sz w:val="16"/>
          <w:szCs w:val="16"/>
        </w:rPr>
        <w:t xml:space="preserve"> World Bank 2017</w:t>
      </w:r>
    </w:p>
  </w:footnote>
  <w:footnote w:id="3">
    <w:p w14:paraId="138722DD" w14:textId="77777777" w:rsidR="004A01C9" w:rsidRPr="00B8086D" w:rsidRDefault="004A01C9" w:rsidP="004A01C9">
      <w:pPr>
        <w:pStyle w:val="FootnoteText"/>
        <w:rPr>
          <w:rFonts w:ascii="Arial" w:hAnsi="Arial" w:cs="Arial"/>
          <w:sz w:val="16"/>
          <w:szCs w:val="16"/>
        </w:rPr>
      </w:pPr>
      <w:r w:rsidRPr="00B8086D">
        <w:rPr>
          <w:rStyle w:val="FootnoteReference"/>
          <w:rFonts w:cs="Arial"/>
          <w:sz w:val="16"/>
          <w:szCs w:val="16"/>
        </w:rPr>
        <w:footnoteRef/>
      </w:r>
      <w:r w:rsidRPr="00B8086D">
        <w:rPr>
          <w:rFonts w:ascii="Arial" w:hAnsi="Arial" w:cs="Arial"/>
          <w:sz w:val="16"/>
          <w:szCs w:val="16"/>
        </w:rPr>
        <w:t xml:space="preserve"> OPHI Global MPI Country Briefing 2020: Botswana (Sub-Saharan Africa), July 2020. </w:t>
      </w:r>
    </w:p>
  </w:footnote>
  <w:footnote w:id="4">
    <w:p w14:paraId="425137D3" w14:textId="77777777" w:rsidR="004A01C9" w:rsidRPr="00245E19" w:rsidRDefault="004A01C9" w:rsidP="004A01C9">
      <w:pPr>
        <w:pStyle w:val="FootnoteText"/>
        <w:rPr>
          <w:rFonts w:ascii="Arial" w:hAnsi="Arial" w:cs="Arial"/>
          <w:sz w:val="16"/>
          <w:szCs w:val="16"/>
        </w:rPr>
      </w:pPr>
      <w:r w:rsidRPr="00B8086D">
        <w:rPr>
          <w:rStyle w:val="FootnoteReference"/>
          <w:rFonts w:cs="Arial"/>
          <w:sz w:val="16"/>
          <w:szCs w:val="16"/>
        </w:rPr>
        <w:footnoteRef/>
      </w:r>
      <w:r w:rsidRPr="00B8086D">
        <w:rPr>
          <w:rFonts w:ascii="Arial" w:hAnsi="Arial" w:cs="Arial"/>
          <w:sz w:val="16"/>
          <w:szCs w:val="16"/>
        </w:rPr>
        <w:t xml:space="preserve"> Ibid</w:t>
      </w:r>
      <w:r w:rsidRPr="00245E19">
        <w:rPr>
          <w:rFonts w:ascii="Arial" w:hAnsi="Arial" w:cs="Arial"/>
          <w:sz w:val="16"/>
          <w:szCs w:val="16"/>
        </w:rPr>
        <w:t xml:space="preserve">. </w:t>
      </w:r>
    </w:p>
  </w:footnote>
  <w:footnote w:id="5">
    <w:p w14:paraId="40D774B1" w14:textId="77777777" w:rsidR="004A01C9" w:rsidRPr="00B8086D" w:rsidRDefault="004A01C9" w:rsidP="004A01C9">
      <w:pPr>
        <w:pStyle w:val="FootnoteText"/>
        <w:rPr>
          <w:rFonts w:ascii="Arial" w:hAnsi="Arial" w:cs="Arial"/>
          <w:sz w:val="16"/>
          <w:szCs w:val="16"/>
        </w:rPr>
      </w:pPr>
      <w:r w:rsidRPr="00B8086D">
        <w:rPr>
          <w:rStyle w:val="FootnoteReference"/>
          <w:rFonts w:cs="Arial"/>
          <w:sz w:val="16"/>
          <w:szCs w:val="16"/>
        </w:rPr>
        <w:footnoteRef/>
      </w:r>
      <w:r w:rsidRPr="00B8086D">
        <w:rPr>
          <w:rFonts w:ascii="Arial" w:hAnsi="Arial" w:cs="Arial"/>
          <w:sz w:val="16"/>
          <w:szCs w:val="16"/>
        </w:rPr>
        <w:t xml:space="preserve"> See: </w:t>
      </w:r>
      <w:hyperlink r:id="rId1" w:history="1">
        <w:r w:rsidRPr="00B8086D">
          <w:rPr>
            <w:rStyle w:val="Hyperlink"/>
            <w:rFonts w:ascii="Arial" w:hAnsi="Arial" w:cs="Arial"/>
            <w:lang w:val="en-GB"/>
          </w:rPr>
          <w:t>https://www.wider.unu.edu/project/wiid-world-income-inequality-database</w:t>
        </w:r>
      </w:hyperlink>
    </w:p>
  </w:footnote>
  <w:footnote w:id="6">
    <w:p w14:paraId="24A47861" w14:textId="77777777" w:rsidR="004A01C9" w:rsidRPr="0051057F" w:rsidRDefault="004A01C9" w:rsidP="004A01C9">
      <w:pPr>
        <w:pStyle w:val="FootnoteText"/>
        <w:rPr>
          <w:rFonts w:ascii="Times New Roman" w:hAnsi="Times New Roman"/>
          <w:sz w:val="16"/>
          <w:szCs w:val="16"/>
        </w:rPr>
      </w:pPr>
      <w:r w:rsidRPr="0051057F">
        <w:rPr>
          <w:rStyle w:val="FootnoteReference"/>
          <w:rFonts w:ascii="Times New Roman" w:hAnsi="Times New Roman"/>
          <w:sz w:val="16"/>
          <w:szCs w:val="16"/>
        </w:rPr>
        <w:footnoteRef/>
      </w:r>
      <w:r w:rsidRPr="0051057F">
        <w:rPr>
          <w:rFonts w:ascii="Times New Roman" w:hAnsi="Times New Roman"/>
          <w:sz w:val="16"/>
          <w:szCs w:val="16"/>
        </w:rPr>
        <w:t xml:space="preserve"> IMF (2015). Causes and Consequences of Income Inequality: A Global Perspective. SDN/15/13</w:t>
      </w:r>
    </w:p>
  </w:footnote>
  <w:footnote w:id="7">
    <w:p w14:paraId="3A3BF04E" w14:textId="77777777" w:rsidR="004A01C9" w:rsidRPr="004C2910" w:rsidRDefault="004A01C9" w:rsidP="004A01C9">
      <w:pPr>
        <w:pStyle w:val="FootnoteText"/>
        <w:jc w:val="both"/>
        <w:rPr>
          <w:rFonts w:ascii="Times New Roman" w:hAnsi="Times New Roman"/>
          <w:sz w:val="16"/>
          <w:szCs w:val="16"/>
        </w:rPr>
      </w:pPr>
      <w:r w:rsidRPr="004C2910">
        <w:rPr>
          <w:rStyle w:val="FootnoteReference"/>
          <w:rFonts w:ascii="Times New Roman" w:hAnsi="Times New Roman"/>
          <w:sz w:val="16"/>
          <w:szCs w:val="16"/>
        </w:rPr>
        <w:footnoteRef/>
      </w:r>
      <w:r w:rsidRPr="004C2910">
        <w:rPr>
          <w:rFonts w:ascii="Times New Roman" w:hAnsi="Times New Roman"/>
          <w:sz w:val="16"/>
          <w:szCs w:val="16"/>
        </w:rPr>
        <w:t xml:space="preserve"> UNICEF and UN Women (2013). Global Thematic Consultation on the Post-2015 Development Agenda: Addressing Inequalities-Synthesis Report of Global Public Consultation.</w:t>
      </w:r>
    </w:p>
  </w:footnote>
  <w:footnote w:id="8">
    <w:p w14:paraId="287EC078" w14:textId="77777777" w:rsidR="004A01C9" w:rsidRPr="004C2910" w:rsidRDefault="004A01C9" w:rsidP="004A01C9">
      <w:pPr>
        <w:pStyle w:val="FootnoteText"/>
        <w:jc w:val="both"/>
        <w:rPr>
          <w:rFonts w:ascii="Times New Roman" w:hAnsi="Times New Roman"/>
          <w:sz w:val="16"/>
          <w:szCs w:val="16"/>
        </w:rPr>
      </w:pPr>
      <w:r w:rsidRPr="004C2910">
        <w:rPr>
          <w:rStyle w:val="FootnoteReference"/>
          <w:rFonts w:ascii="Times New Roman" w:hAnsi="Times New Roman"/>
          <w:sz w:val="16"/>
          <w:szCs w:val="16"/>
        </w:rPr>
        <w:footnoteRef/>
      </w:r>
      <w:r w:rsidRPr="004C2910">
        <w:rPr>
          <w:rFonts w:ascii="Times New Roman" w:hAnsi="Times New Roman"/>
          <w:sz w:val="16"/>
          <w:szCs w:val="16"/>
        </w:rPr>
        <w:t xml:space="preserve"> Kabeer, N. (2010). Can the MDGs Provide a Pathway to Social Justice? The Challenge of Intersecting Inequalities. Brighton: Institute of Development Studies.</w:t>
      </w:r>
    </w:p>
  </w:footnote>
  <w:footnote w:id="9">
    <w:p w14:paraId="21AA9729" w14:textId="77777777" w:rsidR="004A01C9" w:rsidRPr="004C2910" w:rsidRDefault="004A01C9" w:rsidP="004A01C9">
      <w:pPr>
        <w:pStyle w:val="FootnoteText"/>
        <w:jc w:val="both"/>
        <w:rPr>
          <w:rFonts w:ascii="Times New Roman" w:hAnsi="Times New Roman"/>
          <w:sz w:val="16"/>
          <w:szCs w:val="16"/>
        </w:rPr>
      </w:pPr>
      <w:r w:rsidRPr="004C2910">
        <w:rPr>
          <w:rStyle w:val="FootnoteReference"/>
          <w:rFonts w:ascii="Times New Roman" w:hAnsi="Times New Roman"/>
          <w:sz w:val="16"/>
          <w:szCs w:val="16"/>
        </w:rPr>
        <w:footnoteRef/>
      </w:r>
      <w:r w:rsidRPr="004C2910">
        <w:rPr>
          <w:rFonts w:ascii="Times New Roman" w:hAnsi="Times New Roman"/>
          <w:sz w:val="16"/>
          <w:szCs w:val="16"/>
        </w:rPr>
        <w:t xml:space="preserve"> UNDP (2013). Humanity Divided: Confronting Inequality in Developing Countries. New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55pt;height:3.55pt" o:bullet="t">
        <v:imagedata r:id="rId1" o:title="bullet"/>
      </v:shape>
    </w:pict>
  </w:numPicBullet>
  <w:abstractNum w:abstractNumId="0" w15:restartNumberingAfterBreak="0">
    <w:nsid w:val="0087789D"/>
    <w:multiLevelType w:val="hybridMultilevel"/>
    <w:tmpl w:val="47060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5C83"/>
    <w:multiLevelType w:val="hybridMultilevel"/>
    <w:tmpl w:val="74043156"/>
    <w:lvl w:ilvl="0" w:tplc="942607EE">
      <w:numFmt w:val="bullet"/>
      <w:lvlText w:val="-"/>
      <w:lvlJc w:val="left"/>
      <w:pPr>
        <w:ind w:left="1540" w:hanging="360"/>
      </w:pPr>
      <w:rPr>
        <w:rFonts w:ascii="Calibri" w:eastAsia="Times New Roman" w:hAnsi="Calibri" w:cs="Calibri"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 w15:restartNumberingAfterBreak="0">
    <w:nsid w:val="0E2440A9"/>
    <w:multiLevelType w:val="hybridMultilevel"/>
    <w:tmpl w:val="9454F876"/>
    <w:lvl w:ilvl="0" w:tplc="7E8ADA2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40ED8"/>
    <w:multiLevelType w:val="hybridMultilevel"/>
    <w:tmpl w:val="38ACA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1262F3"/>
    <w:multiLevelType w:val="hybridMultilevel"/>
    <w:tmpl w:val="95E4CB44"/>
    <w:lvl w:ilvl="0" w:tplc="942607EE">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373F0B"/>
    <w:multiLevelType w:val="hybridMultilevel"/>
    <w:tmpl w:val="0D1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46F68"/>
    <w:multiLevelType w:val="hybridMultilevel"/>
    <w:tmpl w:val="543E3D64"/>
    <w:lvl w:ilvl="0" w:tplc="942607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D2B74"/>
    <w:multiLevelType w:val="hybridMultilevel"/>
    <w:tmpl w:val="5A4A4D94"/>
    <w:lvl w:ilvl="0" w:tplc="DD6AC2E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17356C1"/>
    <w:multiLevelType w:val="hybridMultilevel"/>
    <w:tmpl w:val="E6FA85E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D452A4"/>
    <w:multiLevelType w:val="multilevel"/>
    <w:tmpl w:val="0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4A2F88"/>
    <w:multiLevelType w:val="multilevel"/>
    <w:tmpl w:val="612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A2E73"/>
    <w:multiLevelType w:val="multilevel"/>
    <w:tmpl w:val="26C0D80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3C6B1F99"/>
    <w:multiLevelType w:val="hybridMultilevel"/>
    <w:tmpl w:val="6E289830"/>
    <w:lvl w:ilvl="0" w:tplc="7572FBE6">
      <w:start w:val="1"/>
      <w:numFmt w:val="lowerRoman"/>
      <w:lvlText w:val="%1."/>
      <w:lvlJc w:val="left"/>
      <w:pPr>
        <w:ind w:left="1117" w:hanging="720"/>
      </w:pPr>
      <w:rPr>
        <w:rFonts w:hint="default"/>
        <w:color w:val="auto"/>
      </w:rPr>
    </w:lvl>
    <w:lvl w:ilvl="1" w:tplc="1C090019" w:tentative="1">
      <w:start w:val="1"/>
      <w:numFmt w:val="lowerLetter"/>
      <w:lvlText w:val="%2."/>
      <w:lvlJc w:val="left"/>
      <w:pPr>
        <w:ind w:left="1477" w:hanging="360"/>
      </w:pPr>
    </w:lvl>
    <w:lvl w:ilvl="2" w:tplc="1C09001B" w:tentative="1">
      <w:start w:val="1"/>
      <w:numFmt w:val="lowerRoman"/>
      <w:lvlText w:val="%3."/>
      <w:lvlJc w:val="right"/>
      <w:pPr>
        <w:ind w:left="2197" w:hanging="180"/>
      </w:pPr>
    </w:lvl>
    <w:lvl w:ilvl="3" w:tplc="1C09000F" w:tentative="1">
      <w:start w:val="1"/>
      <w:numFmt w:val="decimal"/>
      <w:lvlText w:val="%4."/>
      <w:lvlJc w:val="left"/>
      <w:pPr>
        <w:ind w:left="2917" w:hanging="360"/>
      </w:pPr>
    </w:lvl>
    <w:lvl w:ilvl="4" w:tplc="1C090019" w:tentative="1">
      <w:start w:val="1"/>
      <w:numFmt w:val="lowerLetter"/>
      <w:lvlText w:val="%5."/>
      <w:lvlJc w:val="left"/>
      <w:pPr>
        <w:ind w:left="3637" w:hanging="360"/>
      </w:pPr>
    </w:lvl>
    <w:lvl w:ilvl="5" w:tplc="1C09001B" w:tentative="1">
      <w:start w:val="1"/>
      <w:numFmt w:val="lowerRoman"/>
      <w:lvlText w:val="%6."/>
      <w:lvlJc w:val="right"/>
      <w:pPr>
        <w:ind w:left="4357" w:hanging="180"/>
      </w:pPr>
    </w:lvl>
    <w:lvl w:ilvl="6" w:tplc="1C09000F" w:tentative="1">
      <w:start w:val="1"/>
      <w:numFmt w:val="decimal"/>
      <w:lvlText w:val="%7."/>
      <w:lvlJc w:val="left"/>
      <w:pPr>
        <w:ind w:left="5077" w:hanging="360"/>
      </w:pPr>
    </w:lvl>
    <w:lvl w:ilvl="7" w:tplc="1C090019" w:tentative="1">
      <w:start w:val="1"/>
      <w:numFmt w:val="lowerLetter"/>
      <w:lvlText w:val="%8."/>
      <w:lvlJc w:val="left"/>
      <w:pPr>
        <w:ind w:left="5797" w:hanging="360"/>
      </w:pPr>
    </w:lvl>
    <w:lvl w:ilvl="8" w:tplc="1C09001B" w:tentative="1">
      <w:start w:val="1"/>
      <w:numFmt w:val="lowerRoman"/>
      <w:lvlText w:val="%9."/>
      <w:lvlJc w:val="right"/>
      <w:pPr>
        <w:ind w:left="6517" w:hanging="180"/>
      </w:pPr>
    </w:lvl>
  </w:abstractNum>
  <w:abstractNum w:abstractNumId="14" w15:restartNumberingAfterBreak="0">
    <w:nsid w:val="41604B49"/>
    <w:multiLevelType w:val="hybridMultilevel"/>
    <w:tmpl w:val="0A268F82"/>
    <w:lvl w:ilvl="0" w:tplc="27C63A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D48AD"/>
    <w:multiLevelType w:val="hybridMultilevel"/>
    <w:tmpl w:val="0076193C"/>
    <w:lvl w:ilvl="0" w:tplc="BB680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05762"/>
    <w:multiLevelType w:val="hybridMultilevel"/>
    <w:tmpl w:val="DC3EE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87F18"/>
    <w:multiLevelType w:val="multilevel"/>
    <w:tmpl w:val="049C16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7D202B"/>
    <w:multiLevelType w:val="hybridMultilevel"/>
    <w:tmpl w:val="E6FA85E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B9773B"/>
    <w:multiLevelType w:val="hybridMultilevel"/>
    <w:tmpl w:val="3454E876"/>
    <w:lvl w:ilvl="0" w:tplc="677ED120">
      <w:start w:val="1"/>
      <w:numFmt w:val="lowerRoman"/>
      <w:lvlText w:val="%1."/>
      <w:lvlJc w:val="left"/>
      <w:pPr>
        <w:ind w:left="1837" w:hanging="720"/>
      </w:pPr>
      <w:rPr>
        <w:rFonts w:hint="default"/>
        <w:color w:val="auto"/>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46799"/>
    <w:multiLevelType w:val="hybridMultilevel"/>
    <w:tmpl w:val="4FF25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45B8F"/>
    <w:multiLevelType w:val="multilevel"/>
    <w:tmpl w:val="B18E092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9D922D8"/>
    <w:multiLevelType w:val="hybridMultilevel"/>
    <w:tmpl w:val="C660F9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056C9"/>
    <w:multiLevelType w:val="hybridMultilevel"/>
    <w:tmpl w:val="26ECB96C"/>
    <w:lvl w:ilvl="0" w:tplc="F03828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8296B"/>
    <w:multiLevelType w:val="hybridMultilevel"/>
    <w:tmpl w:val="3A9AAFB4"/>
    <w:lvl w:ilvl="0" w:tplc="942607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3F7141"/>
    <w:multiLevelType w:val="hybridMultilevel"/>
    <w:tmpl w:val="0FC2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404E8"/>
    <w:multiLevelType w:val="hybridMultilevel"/>
    <w:tmpl w:val="42E6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4135D"/>
    <w:multiLevelType w:val="hybridMultilevel"/>
    <w:tmpl w:val="19AE86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1E6E19"/>
    <w:multiLevelType w:val="multilevel"/>
    <w:tmpl w:val="22F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74AE4"/>
    <w:multiLevelType w:val="multilevel"/>
    <w:tmpl w:val="41FE2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1800" w:hanging="1440"/>
      </w:pPr>
      <w:rPr>
        <w:rFonts w:cstheme="minorBidi" w:hint="default"/>
        <w:color w:val="auto"/>
      </w:rPr>
    </w:lvl>
  </w:abstractNum>
  <w:abstractNum w:abstractNumId="32" w15:restartNumberingAfterBreak="0">
    <w:nsid w:val="7C522BBF"/>
    <w:multiLevelType w:val="hybridMultilevel"/>
    <w:tmpl w:val="0EFACD4C"/>
    <w:lvl w:ilvl="0" w:tplc="F0D82F82">
      <w:start w:val="9"/>
      <w:numFmt w:val="lowerLetter"/>
      <w:lvlText w:val="%1."/>
      <w:lvlJc w:val="left"/>
      <w:pPr>
        <w:ind w:left="855" w:hanging="360"/>
      </w:pPr>
      <w:rPr>
        <w:rFonts w:hint="default"/>
        <w:color w:val="auto"/>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3" w15:restartNumberingAfterBreak="0">
    <w:nsid w:val="7F7E55A2"/>
    <w:multiLevelType w:val="hybridMultilevel"/>
    <w:tmpl w:val="034A7D4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F7F76FB"/>
    <w:multiLevelType w:val="hybridMultilevel"/>
    <w:tmpl w:val="8220A76E"/>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6"/>
  </w:num>
  <w:num w:numId="3">
    <w:abstractNumId w:val="29"/>
  </w:num>
  <w:num w:numId="4">
    <w:abstractNumId w:val="1"/>
  </w:num>
  <w:num w:numId="5">
    <w:abstractNumId w:val="20"/>
  </w:num>
  <w:num w:numId="6">
    <w:abstractNumId w:val="24"/>
  </w:num>
  <w:num w:numId="7">
    <w:abstractNumId w:val="30"/>
  </w:num>
  <w:num w:numId="8">
    <w:abstractNumId w:val="11"/>
  </w:num>
  <w:num w:numId="9">
    <w:abstractNumId w:val="16"/>
  </w:num>
  <w:num w:numId="10">
    <w:abstractNumId w:val="13"/>
  </w:num>
  <w:num w:numId="11">
    <w:abstractNumId w:val="19"/>
  </w:num>
  <w:num w:numId="12">
    <w:abstractNumId w:val="32"/>
  </w:num>
  <w:num w:numId="13">
    <w:abstractNumId w:val="28"/>
  </w:num>
  <w:num w:numId="14">
    <w:abstractNumId w:val="14"/>
  </w:num>
  <w:num w:numId="15">
    <w:abstractNumId w:val="23"/>
  </w:num>
  <w:num w:numId="16">
    <w:abstractNumId w:val="34"/>
  </w:num>
  <w:num w:numId="17">
    <w:abstractNumId w:val="5"/>
  </w:num>
  <w:num w:numId="18">
    <w:abstractNumId w:val="7"/>
  </w:num>
  <w:num w:numId="19">
    <w:abstractNumId w:val="25"/>
  </w:num>
  <w:num w:numId="20">
    <w:abstractNumId w:val="31"/>
  </w:num>
  <w:num w:numId="21">
    <w:abstractNumId w:val="10"/>
  </w:num>
  <w:num w:numId="22">
    <w:abstractNumId w:val="17"/>
  </w:num>
  <w:num w:numId="23">
    <w:abstractNumId w:val="8"/>
  </w:num>
  <w:num w:numId="24">
    <w:abstractNumId w:val="33"/>
  </w:num>
  <w:num w:numId="25">
    <w:abstractNumId w:val="2"/>
  </w:num>
  <w:num w:numId="26">
    <w:abstractNumId w:val="27"/>
  </w:num>
  <w:num w:numId="27">
    <w:abstractNumId w:val="12"/>
  </w:num>
  <w:num w:numId="28">
    <w:abstractNumId w:val="3"/>
  </w:num>
  <w:num w:numId="29">
    <w:abstractNumId w:val="22"/>
  </w:num>
  <w:num w:numId="30">
    <w:abstractNumId w:val="15"/>
  </w:num>
  <w:num w:numId="31">
    <w:abstractNumId w:val="4"/>
  </w:num>
  <w:num w:numId="32">
    <w:abstractNumId w:val="9"/>
  </w:num>
  <w:num w:numId="33">
    <w:abstractNumId w:val="21"/>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0AFC"/>
    <w:rsid w:val="0001012F"/>
    <w:rsid w:val="000212AB"/>
    <w:rsid w:val="000214D0"/>
    <w:rsid w:val="000232C2"/>
    <w:rsid w:val="0002713A"/>
    <w:rsid w:val="000348C8"/>
    <w:rsid w:val="000401EB"/>
    <w:rsid w:val="000409F8"/>
    <w:rsid w:val="000430C9"/>
    <w:rsid w:val="00047726"/>
    <w:rsid w:val="00057DA8"/>
    <w:rsid w:val="00071DC4"/>
    <w:rsid w:val="000772BB"/>
    <w:rsid w:val="0007763A"/>
    <w:rsid w:val="00083ABE"/>
    <w:rsid w:val="00086485"/>
    <w:rsid w:val="00087763"/>
    <w:rsid w:val="00091026"/>
    <w:rsid w:val="000964DE"/>
    <w:rsid w:val="000A39F5"/>
    <w:rsid w:val="000A55B2"/>
    <w:rsid w:val="000B172D"/>
    <w:rsid w:val="000B549D"/>
    <w:rsid w:val="000C4034"/>
    <w:rsid w:val="000D3182"/>
    <w:rsid w:val="000D3B98"/>
    <w:rsid w:val="000E2C6B"/>
    <w:rsid w:val="000E3AEC"/>
    <w:rsid w:val="000E45E5"/>
    <w:rsid w:val="000E58BD"/>
    <w:rsid w:val="000F3579"/>
    <w:rsid w:val="000F3BBE"/>
    <w:rsid w:val="000F3FF3"/>
    <w:rsid w:val="000F71D6"/>
    <w:rsid w:val="00103276"/>
    <w:rsid w:val="00103D72"/>
    <w:rsid w:val="0010445E"/>
    <w:rsid w:val="00106D73"/>
    <w:rsid w:val="00116BCF"/>
    <w:rsid w:val="00116D4F"/>
    <w:rsid w:val="0013064B"/>
    <w:rsid w:val="00133170"/>
    <w:rsid w:val="00133EA9"/>
    <w:rsid w:val="00134A66"/>
    <w:rsid w:val="001473B3"/>
    <w:rsid w:val="00150320"/>
    <w:rsid w:val="0015199F"/>
    <w:rsid w:val="00151BFB"/>
    <w:rsid w:val="00154121"/>
    <w:rsid w:val="001652E0"/>
    <w:rsid w:val="00165DFF"/>
    <w:rsid w:val="00166045"/>
    <w:rsid w:val="00170213"/>
    <w:rsid w:val="001710B7"/>
    <w:rsid w:val="00171481"/>
    <w:rsid w:val="00173379"/>
    <w:rsid w:val="00173F0F"/>
    <w:rsid w:val="0017460B"/>
    <w:rsid w:val="00174C5D"/>
    <w:rsid w:val="00180DF8"/>
    <w:rsid w:val="00183C60"/>
    <w:rsid w:val="00187D05"/>
    <w:rsid w:val="00195DE4"/>
    <w:rsid w:val="001A06BC"/>
    <w:rsid w:val="001A0DCE"/>
    <w:rsid w:val="001A12DC"/>
    <w:rsid w:val="001B0E47"/>
    <w:rsid w:val="001B72D6"/>
    <w:rsid w:val="001C1F1F"/>
    <w:rsid w:val="001C21C7"/>
    <w:rsid w:val="001D15E8"/>
    <w:rsid w:val="001D72DA"/>
    <w:rsid w:val="001E2B77"/>
    <w:rsid w:val="001E30BA"/>
    <w:rsid w:val="001E77E5"/>
    <w:rsid w:val="001F1C5D"/>
    <w:rsid w:val="001F46B7"/>
    <w:rsid w:val="002049F9"/>
    <w:rsid w:val="002140BD"/>
    <w:rsid w:val="002223E0"/>
    <w:rsid w:val="00234661"/>
    <w:rsid w:val="0023712A"/>
    <w:rsid w:val="00241353"/>
    <w:rsid w:val="00244ED7"/>
    <w:rsid w:val="002506FC"/>
    <w:rsid w:val="00256AB5"/>
    <w:rsid w:val="00266F24"/>
    <w:rsid w:val="00266FED"/>
    <w:rsid w:val="0026739C"/>
    <w:rsid w:val="002708FD"/>
    <w:rsid w:val="002720BB"/>
    <w:rsid w:val="0027691E"/>
    <w:rsid w:val="00290563"/>
    <w:rsid w:val="002928AA"/>
    <w:rsid w:val="002A1486"/>
    <w:rsid w:val="002A1BE8"/>
    <w:rsid w:val="002B07C7"/>
    <w:rsid w:val="002B197A"/>
    <w:rsid w:val="002B2A0B"/>
    <w:rsid w:val="002C0282"/>
    <w:rsid w:val="002C6C7F"/>
    <w:rsid w:val="002D1A32"/>
    <w:rsid w:val="002D37F9"/>
    <w:rsid w:val="002F404E"/>
    <w:rsid w:val="002F799A"/>
    <w:rsid w:val="00305C95"/>
    <w:rsid w:val="003117A4"/>
    <w:rsid w:val="00316B06"/>
    <w:rsid w:val="003175FB"/>
    <w:rsid w:val="003238DD"/>
    <w:rsid w:val="00325D36"/>
    <w:rsid w:val="003308EB"/>
    <w:rsid w:val="00332D76"/>
    <w:rsid w:val="0033411B"/>
    <w:rsid w:val="003345A6"/>
    <w:rsid w:val="00335023"/>
    <w:rsid w:val="0033789F"/>
    <w:rsid w:val="00340FA8"/>
    <w:rsid w:val="0034142F"/>
    <w:rsid w:val="003414D7"/>
    <w:rsid w:val="00342C0A"/>
    <w:rsid w:val="00344082"/>
    <w:rsid w:val="00344E65"/>
    <w:rsid w:val="00346820"/>
    <w:rsid w:val="00347456"/>
    <w:rsid w:val="0035602D"/>
    <w:rsid w:val="00356853"/>
    <w:rsid w:val="00356BAD"/>
    <w:rsid w:val="003633DB"/>
    <w:rsid w:val="00370025"/>
    <w:rsid w:val="003754C3"/>
    <w:rsid w:val="003812A9"/>
    <w:rsid w:val="00381C96"/>
    <w:rsid w:val="00383659"/>
    <w:rsid w:val="003836C0"/>
    <w:rsid w:val="00384627"/>
    <w:rsid w:val="0039726B"/>
    <w:rsid w:val="003A17A9"/>
    <w:rsid w:val="003A22D4"/>
    <w:rsid w:val="003A7722"/>
    <w:rsid w:val="003B0C3C"/>
    <w:rsid w:val="003B132B"/>
    <w:rsid w:val="003B60A4"/>
    <w:rsid w:val="003B7036"/>
    <w:rsid w:val="003C1257"/>
    <w:rsid w:val="003C634F"/>
    <w:rsid w:val="003C7F53"/>
    <w:rsid w:val="003D2F85"/>
    <w:rsid w:val="003E28C0"/>
    <w:rsid w:val="003E53D7"/>
    <w:rsid w:val="003F0258"/>
    <w:rsid w:val="003F17E0"/>
    <w:rsid w:val="003F2235"/>
    <w:rsid w:val="003F28B1"/>
    <w:rsid w:val="003F2D66"/>
    <w:rsid w:val="003F38D6"/>
    <w:rsid w:val="00400851"/>
    <w:rsid w:val="00403859"/>
    <w:rsid w:val="004056DE"/>
    <w:rsid w:val="00411EB1"/>
    <w:rsid w:val="00413E75"/>
    <w:rsid w:val="00417BA4"/>
    <w:rsid w:val="00432027"/>
    <w:rsid w:val="00432CB5"/>
    <w:rsid w:val="00440ECE"/>
    <w:rsid w:val="00442F69"/>
    <w:rsid w:val="00443E94"/>
    <w:rsid w:val="004470F4"/>
    <w:rsid w:val="0044772D"/>
    <w:rsid w:val="00450A85"/>
    <w:rsid w:val="00452727"/>
    <w:rsid w:val="00452B41"/>
    <w:rsid w:val="00462E71"/>
    <w:rsid w:val="004648E1"/>
    <w:rsid w:val="00465911"/>
    <w:rsid w:val="0046772B"/>
    <w:rsid w:val="004758AA"/>
    <w:rsid w:val="00484BCF"/>
    <w:rsid w:val="00497889"/>
    <w:rsid w:val="004A01C9"/>
    <w:rsid w:val="004A0D89"/>
    <w:rsid w:val="004A2B79"/>
    <w:rsid w:val="004A64E9"/>
    <w:rsid w:val="004A6846"/>
    <w:rsid w:val="004A7F40"/>
    <w:rsid w:val="004B0435"/>
    <w:rsid w:val="004B0B15"/>
    <w:rsid w:val="004B132D"/>
    <w:rsid w:val="004B68D6"/>
    <w:rsid w:val="004C23DC"/>
    <w:rsid w:val="004C6118"/>
    <w:rsid w:val="004D3793"/>
    <w:rsid w:val="004D3F24"/>
    <w:rsid w:val="004E0ACF"/>
    <w:rsid w:val="004E5157"/>
    <w:rsid w:val="004F147B"/>
    <w:rsid w:val="004F2440"/>
    <w:rsid w:val="004F5535"/>
    <w:rsid w:val="004F61CC"/>
    <w:rsid w:val="004F6FEE"/>
    <w:rsid w:val="00503574"/>
    <w:rsid w:val="00513B38"/>
    <w:rsid w:val="00522651"/>
    <w:rsid w:val="005262FF"/>
    <w:rsid w:val="005356D9"/>
    <w:rsid w:val="005429E1"/>
    <w:rsid w:val="005440F6"/>
    <w:rsid w:val="0055060F"/>
    <w:rsid w:val="00551F7E"/>
    <w:rsid w:val="00555B68"/>
    <w:rsid w:val="005601CF"/>
    <w:rsid w:val="00565E48"/>
    <w:rsid w:val="005768BA"/>
    <w:rsid w:val="00581CDF"/>
    <w:rsid w:val="00582083"/>
    <w:rsid w:val="00595FAA"/>
    <w:rsid w:val="00596076"/>
    <w:rsid w:val="005A114A"/>
    <w:rsid w:val="005A24A7"/>
    <w:rsid w:val="005A7872"/>
    <w:rsid w:val="005A7B7C"/>
    <w:rsid w:val="005B038A"/>
    <w:rsid w:val="005B3FB5"/>
    <w:rsid w:val="005B5E08"/>
    <w:rsid w:val="005C1298"/>
    <w:rsid w:val="005C6D51"/>
    <w:rsid w:val="005D56BB"/>
    <w:rsid w:val="005D5F13"/>
    <w:rsid w:val="005D6C9E"/>
    <w:rsid w:val="005E15AC"/>
    <w:rsid w:val="005E2D8A"/>
    <w:rsid w:val="005E3C58"/>
    <w:rsid w:val="005E5D9C"/>
    <w:rsid w:val="005E6AD3"/>
    <w:rsid w:val="005E74CE"/>
    <w:rsid w:val="005F1B65"/>
    <w:rsid w:val="005F2118"/>
    <w:rsid w:val="005F2BCD"/>
    <w:rsid w:val="005F554E"/>
    <w:rsid w:val="005F662A"/>
    <w:rsid w:val="0060213C"/>
    <w:rsid w:val="0060443D"/>
    <w:rsid w:val="00604781"/>
    <w:rsid w:val="00605455"/>
    <w:rsid w:val="006125DC"/>
    <w:rsid w:val="00621BF2"/>
    <w:rsid w:val="00621D47"/>
    <w:rsid w:val="006231DA"/>
    <w:rsid w:val="00623E2E"/>
    <w:rsid w:val="006265F8"/>
    <w:rsid w:val="006317F8"/>
    <w:rsid w:val="0063524A"/>
    <w:rsid w:val="00646F40"/>
    <w:rsid w:val="0065710B"/>
    <w:rsid w:val="006604E3"/>
    <w:rsid w:val="00663B4F"/>
    <w:rsid w:val="00665D2A"/>
    <w:rsid w:val="006724AA"/>
    <w:rsid w:val="006726CE"/>
    <w:rsid w:val="00675C7F"/>
    <w:rsid w:val="006761DB"/>
    <w:rsid w:val="00676AD5"/>
    <w:rsid w:val="00681B6C"/>
    <w:rsid w:val="00682402"/>
    <w:rsid w:val="00684DD2"/>
    <w:rsid w:val="00690E4C"/>
    <w:rsid w:val="00691E94"/>
    <w:rsid w:val="006A144C"/>
    <w:rsid w:val="006A49D6"/>
    <w:rsid w:val="006A4B3B"/>
    <w:rsid w:val="006B6D4B"/>
    <w:rsid w:val="006C0277"/>
    <w:rsid w:val="006C04B1"/>
    <w:rsid w:val="006C491D"/>
    <w:rsid w:val="006C529B"/>
    <w:rsid w:val="006C6946"/>
    <w:rsid w:val="006D10E6"/>
    <w:rsid w:val="006D15F5"/>
    <w:rsid w:val="006E1090"/>
    <w:rsid w:val="006E4B06"/>
    <w:rsid w:val="006E5C1A"/>
    <w:rsid w:val="006F00E4"/>
    <w:rsid w:val="006F3A40"/>
    <w:rsid w:val="006F3ACC"/>
    <w:rsid w:val="006F4C9B"/>
    <w:rsid w:val="00702555"/>
    <w:rsid w:val="00703082"/>
    <w:rsid w:val="007042E7"/>
    <w:rsid w:val="00704973"/>
    <w:rsid w:val="00705284"/>
    <w:rsid w:val="007072CA"/>
    <w:rsid w:val="0071369E"/>
    <w:rsid w:val="00716CB8"/>
    <w:rsid w:val="007261AA"/>
    <w:rsid w:val="00732BD9"/>
    <w:rsid w:val="007354EA"/>
    <w:rsid w:val="00751E47"/>
    <w:rsid w:val="007529EB"/>
    <w:rsid w:val="00753402"/>
    <w:rsid w:val="007626FE"/>
    <w:rsid w:val="007650C2"/>
    <w:rsid w:val="00772F43"/>
    <w:rsid w:val="00773994"/>
    <w:rsid w:val="007749C6"/>
    <w:rsid w:val="00774C66"/>
    <w:rsid w:val="00777F2F"/>
    <w:rsid w:val="0078325C"/>
    <w:rsid w:val="0078402A"/>
    <w:rsid w:val="00792A3E"/>
    <w:rsid w:val="007933DA"/>
    <w:rsid w:val="00793610"/>
    <w:rsid w:val="00796BD9"/>
    <w:rsid w:val="007A0914"/>
    <w:rsid w:val="007A0D05"/>
    <w:rsid w:val="007A2B61"/>
    <w:rsid w:val="007A706A"/>
    <w:rsid w:val="007B2336"/>
    <w:rsid w:val="007B36D3"/>
    <w:rsid w:val="007B40CE"/>
    <w:rsid w:val="007B5D4C"/>
    <w:rsid w:val="007B648E"/>
    <w:rsid w:val="007B6660"/>
    <w:rsid w:val="007C109E"/>
    <w:rsid w:val="007C29DA"/>
    <w:rsid w:val="007C4235"/>
    <w:rsid w:val="007C5E38"/>
    <w:rsid w:val="007C7006"/>
    <w:rsid w:val="007D382E"/>
    <w:rsid w:val="007D4EF5"/>
    <w:rsid w:val="007D6265"/>
    <w:rsid w:val="007D726E"/>
    <w:rsid w:val="007E1698"/>
    <w:rsid w:val="007E4F76"/>
    <w:rsid w:val="007F2485"/>
    <w:rsid w:val="007F32AA"/>
    <w:rsid w:val="00803D1C"/>
    <w:rsid w:val="00805F85"/>
    <w:rsid w:val="0080789D"/>
    <w:rsid w:val="008107C5"/>
    <w:rsid w:val="00810FC3"/>
    <w:rsid w:val="008117EC"/>
    <w:rsid w:val="00813D37"/>
    <w:rsid w:val="00813E28"/>
    <w:rsid w:val="008155FF"/>
    <w:rsid w:val="00816B78"/>
    <w:rsid w:val="00817929"/>
    <w:rsid w:val="0082035D"/>
    <w:rsid w:val="008251E9"/>
    <w:rsid w:val="008266A4"/>
    <w:rsid w:val="00830865"/>
    <w:rsid w:val="00831596"/>
    <w:rsid w:val="00832A6F"/>
    <w:rsid w:val="00834D1A"/>
    <w:rsid w:val="00836ABA"/>
    <w:rsid w:val="0083711D"/>
    <w:rsid w:val="00837877"/>
    <w:rsid w:val="00837F09"/>
    <w:rsid w:val="0085697C"/>
    <w:rsid w:val="00857859"/>
    <w:rsid w:val="00861D00"/>
    <w:rsid w:val="00864780"/>
    <w:rsid w:val="008726C4"/>
    <w:rsid w:val="00876627"/>
    <w:rsid w:val="00880308"/>
    <w:rsid w:val="0088083E"/>
    <w:rsid w:val="00882780"/>
    <w:rsid w:val="008928E5"/>
    <w:rsid w:val="00895542"/>
    <w:rsid w:val="008A0260"/>
    <w:rsid w:val="008A4E69"/>
    <w:rsid w:val="008A6F73"/>
    <w:rsid w:val="008B11B6"/>
    <w:rsid w:val="008B33D2"/>
    <w:rsid w:val="008B5185"/>
    <w:rsid w:val="008C2690"/>
    <w:rsid w:val="008C27DE"/>
    <w:rsid w:val="008C3F3B"/>
    <w:rsid w:val="008C4222"/>
    <w:rsid w:val="008D537C"/>
    <w:rsid w:val="008E0FAE"/>
    <w:rsid w:val="008E21EC"/>
    <w:rsid w:val="008E4FE2"/>
    <w:rsid w:val="008E5774"/>
    <w:rsid w:val="008F0FAE"/>
    <w:rsid w:val="008F14AC"/>
    <w:rsid w:val="008F1903"/>
    <w:rsid w:val="008F6A2A"/>
    <w:rsid w:val="008F7603"/>
    <w:rsid w:val="0090194C"/>
    <w:rsid w:val="00906278"/>
    <w:rsid w:val="009101B8"/>
    <w:rsid w:val="00910994"/>
    <w:rsid w:val="00916CD3"/>
    <w:rsid w:val="0092333B"/>
    <w:rsid w:val="00926C0F"/>
    <w:rsid w:val="0093218D"/>
    <w:rsid w:val="009361F1"/>
    <w:rsid w:val="0094200B"/>
    <w:rsid w:val="00943CE3"/>
    <w:rsid w:val="009445AF"/>
    <w:rsid w:val="00944F40"/>
    <w:rsid w:val="0094779C"/>
    <w:rsid w:val="00952163"/>
    <w:rsid w:val="00953418"/>
    <w:rsid w:val="009629EB"/>
    <w:rsid w:val="00972209"/>
    <w:rsid w:val="009723CE"/>
    <w:rsid w:val="00975ACF"/>
    <w:rsid w:val="00976137"/>
    <w:rsid w:val="00977F57"/>
    <w:rsid w:val="0098034B"/>
    <w:rsid w:val="00980D11"/>
    <w:rsid w:val="009821C6"/>
    <w:rsid w:val="00983252"/>
    <w:rsid w:val="0098584A"/>
    <w:rsid w:val="0098622A"/>
    <w:rsid w:val="009901DF"/>
    <w:rsid w:val="009912B9"/>
    <w:rsid w:val="00992B7E"/>
    <w:rsid w:val="00993E07"/>
    <w:rsid w:val="009978D9"/>
    <w:rsid w:val="00997F9B"/>
    <w:rsid w:val="009A11FD"/>
    <w:rsid w:val="009A2D8F"/>
    <w:rsid w:val="009A4EB5"/>
    <w:rsid w:val="009A570F"/>
    <w:rsid w:val="009B4347"/>
    <w:rsid w:val="009C59B2"/>
    <w:rsid w:val="009D690B"/>
    <w:rsid w:val="009E2B22"/>
    <w:rsid w:val="009E4A41"/>
    <w:rsid w:val="009E72E9"/>
    <w:rsid w:val="009F6711"/>
    <w:rsid w:val="00A030A0"/>
    <w:rsid w:val="00A04527"/>
    <w:rsid w:val="00A119B3"/>
    <w:rsid w:val="00A133DF"/>
    <w:rsid w:val="00A24134"/>
    <w:rsid w:val="00A259D5"/>
    <w:rsid w:val="00A34342"/>
    <w:rsid w:val="00A34F36"/>
    <w:rsid w:val="00A35141"/>
    <w:rsid w:val="00A44398"/>
    <w:rsid w:val="00A45346"/>
    <w:rsid w:val="00A51747"/>
    <w:rsid w:val="00A52CEC"/>
    <w:rsid w:val="00A52FD9"/>
    <w:rsid w:val="00A56AC4"/>
    <w:rsid w:val="00A6756E"/>
    <w:rsid w:val="00A70E78"/>
    <w:rsid w:val="00A730B6"/>
    <w:rsid w:val="00A759DE"/>
    <w:rsid w:val="00A75D7C"/>
    <w:rsid w:val="00A77CD7"/>
    <w:rsid w:val="00A83454"/>
    <w:rsid w:val="00A84AEE"/>
    <w:rsid w:val="00A870CD"/>
    <w:rsid w:val="00A90E8C"/>
    <w:rsid w:val="00A96E32"/>
    <w:rsid w:val="00A97199"/>
    <w:rsid w:val="00AA4872"/>
    <w:rsid w:val="00AA580D"/>
    <w:rsid w:val="00AA76B6"/>
    <w:rsid w:val="00AA7A88"/>
    <w:rsid w:val="00AB0483"/>
    <w:rsid w:val="00AB07AE"/>
    <w:rsid w:val="00AB152E"/>
    <w:rsid w:val="00AB376C"/>
    <w:rsid w:val="00AB5AAB"/>
    <w:rsid w:val="00AB62C2"/>
    <w:rsid w:val="00AB666D"/>
    <w:rsid w:val="00AC6F4C"/>
    <w:rsid w:val="00AD5BF7"/>
    <w:rsid w:val="00AE602B"/>
    <w:rsid w:val="00AF3C0C"/>
    <w:rsid w:val="00AF3D59"/>
    <w:rsid w:val="00AF447C"/>
    <w:rsid w:val="00AF6929"/>
    <w:rsid w:val="00B0214F"/>
    <w:rsid w:val="00B02F27"/>
    <w:rsid w:val="00B033EB"/>
    <w:rsid w:val="00B07C26"/>
    <w:rsid w:val="00B14138"/>
    <w:rsid w:val="00B17315"/>
    <w:rsid w:val="00B2445F"/>
    <w:rsid w:val="00B269B9"/>
    <w:rsid w:val="00B33FCC"/>
    <w:rsid w:val="00B37CBF"/>
    <w:rsid w:val="00B4054E"/>
    <w:rsid w:val="00B413CE"/>
    <w:rsid w:val="00B438A3"/>
    <w:rsid w:val="00B5084A"/>
    <w:rsid w:val="00B60FD8"/>
    <w:rsid w:val="00B62713"/>
    <w:rsid w:val="00B668CB"/>
    <w:rsid w:val="00B67D0E"/>
    <w:rsid w:val="00B717D6"/>
    <w:rsid w:val="00B77717"/>
    <w:rsid w:val="00B80822"/>
    <w:rsid w:val="00B8104D"/>
    <w:rsid w:val="00B852D1"/>
    <w:rsid w:val="00B87507"/>
    <w:rsid w:val="00B879BD"/>
    <w:rsid w:val="00B94204"/>
    <w:rsid w:val="00B94A2D"/>
    <w:rsid w:val="00B95A8D"/>
    <w:rsid w:val="00B96C19"/>
    <w:rsid w:val="00BA2A8D"/>
    <w:rsid w:val="00BA488E"/>
    <w:rsid w:val="00BB2C53"/>
    <w:rsid w:val="00BB44DB"/>
    <w:rsid w:val="00BB6555"/>
    <w:rsid w:val="00BB6BFD"/>
    <w:rsid w:val="00BB6CD6"/>
    <w:rsid w:val="00BC1171"/>
    <w:rsid w:val="00BD1180"/>
    <w:rsid w:val="00BD27A4"/>
    <w:rsid w:val="00BD2D0F"/>
    <w:rsid w:val="00BE03C8"/>
    <w:rsid w:val="00BF0FC4"/>
    <w:rsid w:val="00BF20AC"/>
    <w:rsid w:val="00BF6E13"/>
    <w:rsid w:val="00C00F3C"/>
    <w:rsid w:val="00C02A93"/>
    <w:rsid w:val="00C03EA5"/>
    <w:rsid w:val="00C12FF5"/>
    <w:rsid w:val="00C168B9"/>
    <w:rsid w:val="00C211A9"/>
    <w:rsid w:val="00C22E07"/>
    <w:rsid w:val="00C250D0"/>
    <w:rsid w:val="00C25E6E"/>
    <w:rsid w:val="00C34AAC"/>
    <w:rsid w:val="00C36E2C"/>
    <w:rsid w:val="00C50616"/>
    <w:rsid w:val="00C60405"/>
    <w:rsid w:val="00C62F49"/>
    <w:rsid w:val="00C63FBF"/>
    <w:rsid w:val="00C64099"/>
    <w:rsid w:val="00C65011"/>
    <w:rsid w:val="00C66F06"/>
    <w:rsid w:val="00C84C2B"/>
    <w:rsid w:val="00C85775"/>
    <w:rsid w:val="00C875D6"/>
    <w:rsid w:val="00C87B0A"/>
    <w:rsid w:val="00C944DB"/>
    <w:rsid w:val="00C94DF1"/>
    <w:rsid w:val="00C95212"/>
    <w:rsid w:val="00C9562D"/>
    <w:rsid w:val="00C96636"/>
    <w:rsid w:val="00C97133"/>
    <w:rsid w:val="00CA5BB6"/>
    <w:rsid w:val="00CB055D"/>
    <w:rsid w:val="00CB2A5B"/>
    <w:rsid w:val="00CD02D7"/>
    <w:rsid w:val="00CD34BB"/>
    <w:rsid w:val="00CD39C8"/>
    <w:rsid w:val="00CE3CBC"/>
    <w:rsid w:val="00CF0151"/>
    <w:rsid w:val="00CF522C"/>
    <w:rsid w:val="00CF648F"/>
    <w:rsid w:val="00D03BB3"/>
    <w:rsid w:val="00D12F59"/>
    <w:rsid w:val="00D151FE"/>
    <w:rsid w:val="00D17475"/>
    <w:rsid w:val="00D2601F"/>
    <w:rsid w:val="00D26504"/>
    <w:rsid w:val="00D2659A"/>
    <w:rsid w:val="00D2790A"/>
    <w:rsid w:val="00D400CA"/>
    <w:rsid w:val="00D44296"/>
    <w:rsid w:val="00D46B4B"/>
    <w:rsid w:val="00D50783"/>
    <w:rsid w:val="00D52BBE"/>
    <w:rsid w:val="00D602D7"/>
    <w:rsid w:val="00D62E0A"/>
    <w:rsid w:val="00D65C14"/>
    <w:rsid w:val="00D6617C"/>
    <w:rsid w:val="00D67C84"/>
    <w:rsid w:val="00D7155E"/>
    <w:rsid w:val="00D71DC7"/>
    <w:rsid w:val="00D72390"/>
    <w:rsid w:val="00D74472"/>
    <w:rsid w:val="00D75E36"/>
    <w:rsid w:val="00D9297C"/>
    <w:rsid w:val="00D92FCE"/>
    <w:rsid w:val="00D96A16"/>
    <w:rsid w:val="00DA2020"/>
    <w:rsid w:val="00DA53E9"/>
    <w:rsid w:val="00DA646F"/>
    <w:rsid w:val="00DB0EB6"/>
    <w:rsid w:val="00DB335B"/>
    <w:rsid w:val="00DB77DD"/>
    <w:rsid w:val="00DB7F57"/>
    <w:rsid w:val="00DD3BA3"/>
    <w:rsid w:val="00DE1432"/>
    <w:rsid w:val="00DE1EB6"/>
    <w:rsid w:val="00DE3C68"/>
    <w:rsid w:val="00DE57F6"/>
    <w:rsid w:val="00DF08B9"/>
    <w:rsid w:val="00E03D04"/>
    <w:rsid w:val="00E16961"/>
    <w:rsid w:val="00E2243D"/>
    <w:rsid w:val="00E26323"/>
    <w:rsid w:val="00E302EC"/>
    <w:rsid w:val="00E31ED3"/>
    <w:rsid w:val="00E351BC"/>
    <w:rsid w:val="00E430E5"/>
    <w:rsid w:val="00E56341"/>
    <w:rsid w:val="00E60638"/>
    <w:rsid w:val="00E627B9"/>
    <w:rsid w:val="00E7761E"/>
    <w:rsid w:val="00E8310E"/>
    <w:rsid w:val="00E84FEE"/>
    <w:rsid w:val="00E867C3"/>
    <w:rsid w:val="00E86D28"/>
    <w:rsid w:val="00E90323"/>
    <w:rsid w:val="00E90ED5"/>
    <w:rsid w:val="00E94857"/>
    <w:rsid w:val="00EA235A"/>
    <w:rsid w:val="00EA322F"/>
    <w:rsid w:val="00EA50D0"/>
    <w:rsid w:val="00EA5E01"/>
    <w:rsid w:val="00EA697D"/>
    <w:rsid w:val="00EA7114"/>
    <w:rsid w:val="00EB1A2D"/>
    <w:rsid w:val="00EB4EDF"/>
    <w:rsid w:val="00EB625F"/>
    <w:rsid w:val="00EC13E7"/>
    <w:rsid w:val="00EC4EB1"/>
    <w:rsid w:val="00ED3AF0"/>
    <w:rsid w:val="00ED479C"/>
    <w:rsid w:val="00ED649B"/>
    <w:rsid w:val="00EE03BA"/>
    <w:rsid w:val="00EE2D58"/>
    <w:rsid w:val="00EE2FF1"/>
    <w:rsid w:val="00EE4545"/>
    <w:rsid w:val="00EE548C"/>
    <w:rsid w:val="00EF455F"/>
    <w:rsid w:val="00F050F6"/>
    <w:rsid w:val="00F051E4"/>
    <w:rsid w:val="00F10A84"/>
    <w:rsid w:val="00F14297"/>
    <w:rsid w:val="00F23F10"/>
    <w:rsid w:val="00F24540"/>
    <w:rsid w:val="00F3267E"/>
    <w:rsid w:val="00F3306A"/>
    <w:rsid w:val="00F33AE1"/>
    <w:rsid w:val="00F34063"/>
    <w:rsid w:val="00F34DBC"/>
    <w:rsid w:val="00F40EEB"/>
    <w:rsid w:val="00F43174"/>
    <w:rsid w:val="00F4658A"/>
    <w:rsid w:val="00F50506"/>
    <w:rsid w:val="00F50885"/>
    <w:rsid w:val="00F514F2"/>
    <w:rsid w:val="00F5202C"/>
    <w:rsid w:val="00F56071"/>
    <w:rsid w:val="00F61EE1"/>
    <w:rsid w:val="00F65650"/>
    <w:rsid w:val="00F662A3"/>
    <w:rsid w:val="00F7753E"/>
    <w:rsid w:val="00F807FD"/>
    <w:rsid w:val="00F81128"/>
    <w:rsid w:val="00F838B5"/>
    <w:rsid w:val="00F9044A"/>
    <w:rsid w:val="00F904A2"/>
    <w:rsid w:val="00F9130D"/>
    <w:rsid w:val="00F9180C"/>
    <w:rsid w:val="00F918E6"/>
    <w:rsid w:val="00F92CFE"/>
    <w:rsid w:val="00F970E8"/>
    <w:rsid w:val="00FA2217"/>
    <w:rsid w:val="00FA4BCF"/>
    <w:rsid w:val="00FA5193"/>
    <w:rsid w:val="00FA77B1"/>
    <w:rsid w:val="00FA7804"/>
    <w:rsid w:val="00FB0B33"/>
    <w:rsid w:val="00FB319A"/>
    <w:rsid w:val="00FB4D34"/>
    <w:rsid w:val="00FC0BA3"/>
    <w:rsid w:val="00FC535A"/>
    <w:rsid w:val="00FC7614"/>
    <w:rsid w:val="00FD177C"/>
    <w:rsid w:val="00FE35C3"/>
    <w:rsid w:val="00FE7C9D"/>
    <w:rsid w:val="00FF0CD6"/>
    <w:rsid w:val="00FF2232"/>
    <w:rsid w:val="00FF2D1B"/>
    <w:rsid w:val="00FF3CA3"/>
    <w:rsid w:val="00FF6930"/>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97C5"/>
  <w15:docId w15:val="{1F8DC11D-9E88-4BF5-B187-14DA3CE6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B22"/>
    <w:rPr>
      <w:rFonts w:ascii="Tahoma" w:hAnsi="Tahoma" w:cs="Tahoma"/>
      <w:sz w:val="16"/>
      <w:szCs w:val="16"/>
    </w:rPr>
  </w:style>
  <w:style w:type="paragraph" w:styleId="Header">
    <w:name w:val="header"/>
    <w:basedOn w:val="Normal"/>
    <w:link w:val="HeaderChar"/>
    <w:uiPriority w:val="99"/>
    <w:semiHidden/>
    <w:unhideWhenUsed/>
    <w:rsid w:val="00A241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134"/>
  </w:style>
  <w:style w:type="paragraph" w:styleId="Footer">
    <w:name w:val="footer"/>
    <w:basedOn w:val="Normal"/>
    <w:link w:val="FooterChar"/>
    <w:uiPriority w:val="99"/>
    <w:semiHidden/>
    <w:unhideWhenUsed/>
    <w:rsid w:val="00A241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134"/>
  </w:style>
  <w:style w:type="paragraph" w:styleId="ListParagraph">
    <w:name w:val="List Paragraph"/>
    <w:aliases w:val="References,Lapis Bulleted List,List Paragraph (numbered (a)),Paragraphe de liste1,List Paragraph1,Liste couleur - Accent 11,Liste couleur - Accent 111,Figura,Lista 1,Dot pt,F5 List Paragraph,No Spacing1,List Paragraph Char Char Char,L,3"/>
    <w:basedOn w:val="Normal"/>
    <w:link w:val="ListParagraphChar"/>
    <w:uiPriority w:val="34"/>
    <w:qFormat/>
    <w:rsid w:val="00FF2D1B"/>
    <w:pPr>
      <w:ind w:left="720"/>
      <w:contextualSpacing/>
    </w:pPr>
  </w:style>
  <w:style w:type="table" w:styleId="TableGrid">
    <w:name w:val="Table Grid"/>
    <w:basedOn w:val="TableNormal"/>
    <w:uiPriority w:val="3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64099"/>
    <w:rPr>
      <w:b/>
      <w:bCs/>
    </w:rPr>
  </w:style>
  <w:style w:type="character" w:styleId="CommentReference">
    <w:name w:val="annotation reference"/>
    <w:basedOn w:val="DefaultParagraphFont"/>
    <w:uiPriority w:val="99"/>
    <w:semiHidden/>
    <w:unhideWhenUsed/>
    <w:rsid w:val="00F918E6"/>
    <w:rPr>
      <w:sz w:val="16"/>
      <w:szCs w:val="16"/>
    </w:rPr>
  </w:style>
  <w:style w:type="paragraph" w:styleId="CommentText">
    <w:name w:val="annotation text"/>
    <w:basedOn w:val="Normal"/>
    <w:link w:val="CommentTextChar"/>
    <w:uiPriority w:val="99"/>
    <w:semiHidden/>
    <w:unhideWhenUsed/>
    <w:rsid w:val="00F918E6"/>
    <w:pPr>
      <w:spacing w:line="240" w:lineRule="auto"/>
    </w:pPr>
    <w:rPr>
      <w:sz w:val="20"/>
      <w:szCs w:val="20"/>
    </w:rPr>
  </w:style>
  <w:style w:type="character" w:customStyle="1" w:styleId="CommentTextChar">
    <w:name w:val="Comment Text Char"/>
    <w:basedOn w:val="DefaultParagraphFont"/>
    <w:link w:val="CommentText"/>
    <w:uiPriority w:val="99"/>
    <w:semiHidden/>
    <w:rsid w:val="00F918E6"/>
    <w:rPr>
      <w:sz w:val="20"/>
      <w:szCs w:val="20"/>
    </w:rPr>
  </w:style>
  <w:style w:type="paragraph" w:styleId="CommentSubject">
    <w:name w:val="annotation subject"/>
    <w:basedOn w:val="CommentText"/>
    <w:next w:val="CommentText"/>
    <w:link w:val="CommentSubjectChar"/>
    <w:uiPriority w:val="99"/>
    <w:semiHidden/>
    <w:unhideWhenUsed/>
    <w:rsid w:val="00F918E6"/>
    <w:rPr>
      <w:b/>
      <w:bCs/>
    </w:rPr>
  </w:style>
  <w:style w:type="character" w:customStyle="1" w:styleId="CommentSubjectChar">
    <w:name w:val="Comment Subject Char"/>
    <w:basedOn w:val="CommentTextChar"/>
    <w:link w:val="CommentSubject"/>
    <w:uiPriority w:val="99"/>
    <w:semiHidden/>
    <w:rsid w:val="00F918E6"/>
    <w:rPr>
      <w:b/>
      <w:bCs/>
      <w:sz w:val="20"/>
      <w:szCs w:val="20"/>
    </w:rPr>
  </w:style>
  <w:style w:type="character" w:styleId="Hyperlink">
    <w:name w:val="Hyperlink"/>
    <w:basedOn w:val="DefaultParagraphFont"/>
    <w:uiPriority w:val="99"/>
    <w:unhideWhenUsed/>
    <w:rsid w:val="00086485"/>
    <w:rPr>
      <w:color w:val="0000FF" w:themeColor="hyperlink"/>
      <w:u w:val="single"/>
    </w:rPr>
  </w:style>
  <w:style w:type="paragraph" w:styleId="NoSpacing">
    <w:name w:val="No Spacing"/>
    <w:uiPriority w:val="1"/>
    <w:qFormat/>
    <w:rsid w:val="00403859"/>
    <w:pPr>
      <w:spacing w:after="0" w:line="240" w:lineRule="auto"/>
    </w:pPr>
  </w:style>
  <w:style w:type="character" w:styleId="Emphasis">
    <w:name w:val="Emphasis"/>
    <w:qFormat/>
    <w:rsid w:val="005C6D51"/>
    <w:rPr>
      <w:i/>
      <w:iCs/>
    </w:rPr>
  </w:style>
  <w:style w:type="paragraph" w:customStyle="1" w:styleId="Default">
    <w:name w:val="Default"/>
    <w:rsid w:val="005C6D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References Char,Lapis Bulleted List Char,List Paragraph (numbered (a)) Char,Paragraphe de liste1 Char,List Paragraph1 Char,Liste couleur - Accent 11 Char,Liste couleur - Accent 111 Char,Figura Char,Lista 1 Char,Dot pt Char,L Char"/>
    <w:link w:val="ListParagraph"/>
    <w:uiPriority w:val="34"/>
    <w:qFormat/>
    <w:locked/>
    <w:rsid w:val="004A01C9"/>
  </w:style>
  <w:style w:type="paragraph" w:styleId="FootnoteText">
    <w:name w:val="footnote text"/>
    <w:aliases w:val="FOOTNOTES,fn,single space,Geneva 9,Font: Geneva 9,Boston 10,f,Nbpage Moens,Footnote Text Char2,Footnote Text Char1 Char,Texte de note de bas de page,Note de bas de page Car Car,Note de bas de page Car1 Car Car,otnote Text,ALTS FOOTNO,ft"/>
    <w:basedOn w:val="Normal"/>
    <w:link w:val="FootnoteTextChar"/>
    <w:uiPriority w:val="99"/>
    <w:unhideWhenUsed/>
    <w:qFormat/>
    <w:rsid w:val="004A01C9"/>
    <w:pPr>
      <w:spacing w:after="0" w:line="240" w:lineRule="auto"/>
    </w:pPr>
    <w:rPr>
      <w:rFonts w:ascii="Calibri" w:eastAsia="Times New Roman" w:hAnsi="Calibri" w:cs="Times New Roman"/>
      <w:sz w:val="20"/>
      <w:szCs w:val="20"/>
    </w:rPr>
  </w:style>
  <w:style w:type="character" w:customStyle="1" w:styleId="FootnoteTextChar">
    <w:name w:val="Footnote Text Char"/>
    <w:aliases w:val="FOOTNOTES Char,fn Char,single space Char,Geneva 9 Char,Font: Geneva 9 Char,Boston 10 Char,f Char,Nbpage Moens Char,Footnote Text Char2 Char,Footnote Text Char1 Char Char,Texte de note de bas de page Char,otnote Text Char,ft Char"/>
    <w:basedOn w:val="DefaultParagraphFont"/>
    <w:link w:val="FootnoteText"/>
    <w:uiPriority w:val="99"/>
    <w:rsid w:val="004A01C9"/>
    <w:rPr>
      <w:rFonts w:ascii="Calibri" w:eastAsia="Times New Roman" w:hAnsi="Calibri" w:cs="Times New Roman"/>
      <w:sz w:val="20"/>
      <w:szCs w:val="20"/>
    </w:rPr>
  </w:style>
  <w:style w:type="character" w:styleId="FootnoteReference">
    <w:name w:val="footnote reference"/>
    <w:aliases w:val="16 Point,Superscript 6 Point,Appel note de bas de page,ftref,Ref,de nota al pie,Car Car Char Car Char Car Car Char Car Char Char,Car Car Car Car Car Car Car Car Char Car Car Char Car Car Car Char Car Char Char Char,Char Char,BVI fnr"/>
    <w:basedOn w:val="DefaultParagraphFont"/>
    <w:link w:val="CharCharCharCharCarCharChar1CharCharCharChar1Char"/>
    <w:uiPriority w:val="99"/>
    <w:unhideWhenUsed/>
    <w:qFormat/>
    <w:rsid w:val="004A01C9"/>
    <w:rPr>
      <w:vertAlign w:val="superscript"/>
    </w:rPr>
  </w:style>
  <w:style w:type="paragraph" w:customStyle="1" w:styleId="CharCharCharCharCarCharChar1CharCharCharChar1Char">
    <w:name w:val="Char Char Char Char Car Char Char1 Char Char Char Char1 Char"/>
    <w:aliases w:val=" Char Char Char1 Char Char Char Char1 Char,Char Char Char Char Car Char Char1 Char Char Char Char Char Char Char Char Char,Char Char Char Char Car Char Char1 Char Char"/>
    <w:basedOn w:val="Normal"/>
    <w:next w:val="Normal"/>
    <w:link w:val="FootnoteReference"/>
    <w:uiPriority w:val="99"/>
    <w:rsid w:val="004A01C9"/>
    <w:pPr>
      <w:spacing w:after="160" w:line="240" w:lineRule="exact"/>
      <w:jc w:val="both"/>
    </w:pPr>
    <w:rPr>
      <w:vertAlign w:val="superscript"/>
    </w:rPr>
  </w:style>
  <w:style w:type="paragraph" w:styleId="NormalWeb">
    <w:name w:val="Normal (Web)"/>
    <w:basedOn w:val="Normal"/>
    <w:unhideWhenUsed/>
    <w:rsid w:val="00214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91073">
      <w:bodyDiv w:val="1"/>
      <w:marLeft w:val="0"/>
      <w:marRight w:val="0"/>
      <w:marTop w:val="0"/>
      <w:marBottom w:val="0"/>
      <w:divBdr>
        <w:top w:val="none" w:sz="0" w:space="0" w:color="auto"/>
        <w:left w:val="none" w:sz="0" w:space="0" w:color="auto"/>
        <w:bottom w:val="none" w:sz="0" w:space="0" w:color="auto"/>
        <w:right w:val="none" w:sz="0" w:space="0" w:color="auto"/>
      </w:divBdr>
    </w:div>
    <w:div w:id="1141656970">
      <w:bodyDiv w:val="1"/>
      <w:marLeft w:val="0"/>
      <w:marRight w:val="0"/>
      <w:marTop w:val="0"/>
      <w:marBottom w:val="0"/>
      <w:divBdr>
        <w:top w:val="none" w:sz="0" w:space="0" w:color="auto"/>
        <w:left w:val="none" w:sz="0" w:space="0" w:color="auto"/>
        <w:bottom w:val="none" w:sz="0" w:space="0" w:color="auto"/>
        <w:right w:val="none" w:sz="0" w:space="0" w:color="auto"/>
      </w:divBdr>
    </w:div>
    <w:div w:id="1210730683">
      <w:bodyDiv w:val="1"/>
      <w:marLeft w:val="0"/>
      <w:marRight w:val="0"/>
      <w:marTop w:val="0"/>
      <w:marBottom w:val="0"/>
      <w:divBdr>
        <w:top w:val="none" w:sz="0" w:space="0" w:color="auto"/>
        <w:left w:val="none" w:sz="0" w:space="0" w:color="auto"/>
        <w:bottom w:val="none" w:sz="0" w:space="0" w:color="auto"/>
        <w:right w:val="none" w:sz="0" w:space="0" w:color="auto"/>
      </w:divBdr>
    </w:div>
    <w:div w:id="12410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w@und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bw@und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der.unu.edu/project/wiid-world-income-inequality-databa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7231A8FB35F48A4147EAE11FFC591" ma:contentTypeVersion="12" ma:contentTypeDescription="Create a new document." ma:contentTypeScope="" ma:versionID="4557a40c27d1f3eae32cae6e9f9c9560">
  <xsd:schema xmlns:xsd="http://www.w3.org/2001/XMLSchema" xmlns:xs="http://www.w3.org/2001/XMLSchema" xmlns:p="http://schemas.microsoft.com/office/2006/metadata/properties" xmlns:ns3="b92ca359-8a30-4676-96db-9f9181389c31" xmlns:ns4="755460ab-5449-4474-8161-641c94988933" targetNamespace="http://schemas.microsoft.com/office/2006/metadata/properties" ma:root="true" ma:fieldsID="02ab9b2dfdeeefb8ad47579d684a5836" ns3:_="" ns4:_="">
    <xsd:import namespace="b92ca359-8a30-4676-96db-9f9181389c31"/>
    <xsd:import namespace="755460ab-5449-4474-8161-641c949889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ca359-8a30-4676-96db-9f9181389c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460ab-5449-4474-8161-641c949889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40D5-6B82-42FD-9A71-50510E6F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ca359-8a30-4676-96db-9f9181389c31"/>
    <ds:schemaRef ds:uri="755460ab-5449-4474-8161-641c94988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3.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399AFE-6858-479A-AFE2-5D5C7C8D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Individual Consultant Procurement Notice</vt:lpstr>
    </vt:vector>
  </TitlesOfParts>
  <Company>UNDP</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Bame Mannathoko</cp:lastModifiedBy>
  <cp:revision>8</cp:revision>
  <cp:lastPrinted>2011-03-24T14:16:00Z</cp:lastPrinted>
  <dcterms:created xsi:type="dcterms:W3CDTF">2020-12-01T13:40:00Z</dcterms:created>
  <dcterms:modified xsi:type="dcterms:W3CDTF">2020-12-01T15:07:00Z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0x0101006A77231A8FB35F48A4147EAE11FFC591</vt:lpwstr>
  </property>
  <property fmtid="{D5CDD505-2E9C-101B-9397-08002B2CF9AE}" pid="3" name="_dlc_DocIdItemGuid">
    <vt:lpwstr>2c0258c7-3b12-4355-a61d-567dc7889bfc</vt:lpwstr>
  </property>
  <property fmtid="{D5CDD505-2E9C-101B-9397-08002B2CF9AE}" pid="4" name="UNDPPOPPKeywords">
    <vt:lpwstr>486;#individual contract|32cb919c-0897-4bde-a59e-6f9da1d2ae56</vt:lpwstr>
  </property>
  <property fmtid="{D5CDD505-2E9C-101B-9397-08002B2CF9AE}" pid="5" name="_dlc_DocId">
    <vt:lpwstr>UNDPGBL-604-31</vt:lpwstr>
  </property>
  <property fmtid="{D5CDD505-2E9C-101B-9397-08002B2CF9AE}" pid="6" name="_dlc_DocIdUrl">
    <vt:lpwstr>https://intranet.undp.org/global/documents/_layouts/DocIdRedir.aspx?ID=UNDPGBL-604-31, UNDPGBL-604-31</vt:lpwstr>
  </property>
  <property fmtid="{D5CDD505-2E9C-101B-9397-08002B2CF9AE}" pid="7" name="POPPBusinessProcess">
    <vt:lpwstr/>
  </property>
  <property fmtid="{D5CDD505-2E9C-101B-9397-08002B2CF9AE}" pid="8" name="UNDP_POPP_BUSINESSUNIT">
    <vt:lpwstr>355;#Procurement|254a9f96-b883-476a-8ef8-e81f93a2b38d</vt:lpwstr>
  </property>
</Properties>
</file>