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53AF" w14:textId="77777777" w:rsidR="00B53C3B" w:rsidRDefault="00B53C3B" w:rsidP="00481EDE">
      <w:pPr>
        <w:jc w:val="center"/>
        <w:rPr>
          <w:rFonts w:cs="Arial"/>
          <w:b/>
          <w:sz w:val="24"/>
          <w:szCs w:val="24"/>
        </w:rPr>
      </w:pPr>
    </w:p>
    <w:p w14:paraId="66701E32" w14:textId="4200052C" w:rsidR="00082DE2" w:rsidRPr="00082DE2" w:rsidRDefault="00E87152" w:rsidP="00481EDE">
      <w:pPr>
        <w:jc w:val="center"/>
        <w:rPr>
          <w:rFonts w:cs="Arial"/>
          <w:b/>
          <w:sz w:val="24"/>
          <w:szCs w:val="24"/>
        </w:rPr>
      </w:pPr>
      <w:r>
        <w:rPr>
          <w:rFonts w:ascii="Myriad Pro" w:hAnsi="Myriad Pro"/>
          <w:b/>
          <w:noProof/>
          <w:spacing w:val="-4"/>
        </w:rPr>
        <w:drawing>
          <wp:inline distT="0" distB="0" distL="0" distR="0" wp14:anchorId="209D7978" wp14:editId="7C83697C">
            <wp:extent cx="783590" cy="1603375"/>
            <wp:effectExtent l="0" t="0" r="0" b="0"/>
            <wp:docPr id="1" name="Picture 1" descr="cid:image001.png@01CC6714.96088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6714.960887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1603375"/>
                    </a:xfrm>
                    <a:prstGeom prst="rect">
                      <a:avLst/>
                    </a:prstGeom>
                    <a:noFill/>
                    <a:ln>
                      <a:noFill/>
                    </a:ln>
                  </pic:spPr>
                </pic:pic>
              </a:graphicData>
            </a:graphic>
          </wp:inline>
        </w:drawing>
      </w:r>
    </w:p>
    <w:p w14:paraId="0DE046B9" w14:textId="77777777" w:rsidR="00C85373" w:rsidRDefault="00C85373" w:rsidP="00481EDE">
      <w:pPr>
        <w:jc w:val="center"/>
        <w:rPr>
          <w:rFonts w:cs="Arial"/>
          <w:b/>
          <w:sz w:val="28"/>
          <w:szCs w:val="28"/>
        </w:rPr>
      </w:pPr>
    </w:p>
    <w:p w14:paraId="7E93432F" w14:textId="77777777" w:rsidR="00C85373" w:rsidRDefault="00C85373" w:rsidP="00481EDE">
      <w:pPr>
        <w:jc w:val="center"/>
        <w:rPr>
          <w:rFonts w:cs="Arial"/>
          <w:b/>
          <w:sz w:val="28"/>
          <w:szCs w:val="28"/>
        </w:rPr>
      </w:pPr>
    </w:p>
    <w:p w14:paraId="68FE06C5" w14:textId="77777777" w:rsidR="00C85373" w:rsidRDefault="00C85373" w:rsidP="00481EDE">
      <w:pPr>
        <w:jc w:val="center"/>
        <w:rPr>
          <w:rFonts w:cs="Arial"/>
          <w:b/>
          <w:sz w:val="28"/>
          <w:szCs w:val="28"/>
        </w:rPr>
      </w:pPr>
    </w:p>
    <w:p w14:paraId="581E4316" w14:textId="40CDDEA9" w:rsidR="00BF1B43" w:rsidRDefault="00C85373" w:rsidP="00481EDE">
      <w:pPr>
        <w:jc w:val="center"/>
        <w:rPr>
          <w:rFonts w:cs="Arial"/>
          <w:b/>
          <w:sz w:val="28"/>
          <w:szCs w:val="28"/>
        </w:rPr>
      </w:pPr>
      <w:r>
        <w:rPr>
          <w:rFonts w:cs="Arial"/>
          <w:b/>
          <w:sz w:val="28"/>
          <w:szCs w:val="28"/>
        </w:rPr>
        <w:t xml:space="preserve">UNDP </w:t>
      </w:r>
      <w:r w:rsidR="00BF1B43" w:rsidRPr="00082DE2">
        <w:rPr>
          <w:rFonts w:cs="Arial"/>
          <w:b/>
          <w:sz w:val="28"/>
          <w:szCs w:val="28"/>
        </w:rPr>
        <w:t xml:space="preserve">MALAWI </w:t>
      </w:r>
    </w:p>
    <w:p w14:paraId="34E3CB5E" w14:textId="77777777" w:rsidR="00C95CBF" w:rsidRDefault="00C95CBF" w:rsidP="00481EDE">
      <w:pPr>
        <w:jc w:val="center"/>
        <w:rPr>
          <w:rFonts w:cs="Arial"/>
          <w:b/>
          <w:sz w:val="28"/>
          <w:szCs w:val="28"/>
        </w:rPr>
      </w:pPr>
    </w:p>
    <w:p w14:paraId="399CDFCE" w14:textId="1628400E" w:rsidR="0018056C" w:rsidRDefault="0002655C" w:rsidP="00481EDE">
      <w:pPr>
        <w:jc w:val="center"/>
        <w:rPr>
          <w:rFonts w:cs="Arial"/>
          <w:b/>
          <w:sz w:val="28"/>
          <w:szCs w:val="28"/>
        </w:rPr>
      </w:pPr>
      <w:r w:rsidRPr="00082DE2">
        <w:rPr>
          <w:rFonts w:cs="Arial"/>
          <w:b/>
          <w:sz w:val="28"/>
          <w:szCs w:val="28"/>
        </w:rPr>
        <w:t xml:space="preserve">2016 </w:t>
      </w:r>
      <w:r w:rsidR="00BF1B43" w:rsidRPr="00082DE2">
        <w:rPr>
          <w:rFonts w:cs="Arial"/>
          <w:b/>
          <w:sz w:val="28"/>
          <w:szCs w:val="28"/>
        </w:rPr>
        <w:t xml:space="preserve">– 2017 </w:t>
      </w:r>
      <w:r w:rsidRPr="00082DE2">
        <w:rPr>
          <w:rFonts w:cs="Arial"/>
          <w:b/>
          <w:sz w:val="28"/>
          <w:szCs w:val="28"/>
        </w:rPr>
        <w:t>Resource Mobilization Action Plan</w:t>
      </w:r>
    </w:p>
    <w:p w14:paraId="212E1EB2" w14:textId="0BB04AC1" w:rsidR="00C85373" w:rsidRDefault="00C85373" w:rsidP="00481EDE">
      <w:pPr>
        <w:jc w:val="center"/>
        <w:rPr>
          <w:rFonts w:cs="Arial"/>
          <w:b/>
          <w:sz w:val="28"/>
          <w:szCs w:val="28"/>
        </w:rPr>
      </w:pPr>
    </w:p>
    <w:p w14:paraId="05307741" w14:textId="648951F8" w:rsidR="00C85373" w:rsidRDefault="00C85373" w:rsidP="00481EDE">
      <w:pPr>
        <w:jc w:val="center"/>
        <w:rPr>
          <w:rFonts w:cs="Arial"/>
          <w:b/>
          <w:sz w:val="28"/>
          <w:szCs w:val="28"/>
        </w:rPr>
      </w:pPr>
    </w:p>
    <w:p w14:paraId="031A7C7A" w14:textId="52D17E7F" w:rsidR="00C85373" w:rsidRDefault="00C85373" w:rsidP="00481EDE">
      <w:pPr>
        <w:jc w:val="center"/>
        <w:rPr>
          <w:rFonts w:cs="Arial"/>
          <w:b/>
          <w:sz w:val="28"/>
          <w:szCs w:val="28"/>
        </w:rPr>
      </w:pPr>
    </w:p>
    <w:p w14:paraId="49EEB1F1" w14:textId="79D204F9" w:rsidR="00C85373" w:rsidRDefault="00C85373" w:rsidP="00481EDE">
      <w:pPr>
        <w:jc w:val="center"/>
        <w:rPr>
          <w:rFonts w:cs="Arial"/>
          <w:b/>
          <w:sz w:val="28"/>
          <w:szCs w:val="28"/>
        </w:rPr>
      </w:pPr>
    </w:p>
    <w:p w14:paraId="0915BC32" w14:textId="56C810DA" w:rsidR="00C85373" w:rsidRDefault="00C85373" w:rsidP="00481EDE">
      <w:pPr>
        <w:jc w:val="center"/>
        <w:rPr>
          <w:rFonts w:cs="Arial"/>
          <w:b/>
          <w:sz w:val="28"/>
          <w:szCs w:val="28"/>
        </w:rPr>
      </w:pPr>
    </w:p>
    <w:p w14:paraId="543B4ED0" w14:textId="2B1622E4" w:rsidR="00C85373" w:rsidRDefault="00C85373" w:rsidP="00481EDE">
      <w:pPr>
        <w:jc w:val="center"/>
        <w:rPr>
          <w:rFonts w:cs="Arial"/>
          <w:b/>
          <w:sz w:val="28"/>
          <w:szCs w:val="28"/>
        </w:rPr>
      </w:pPr>
    </w:p>
    <w:p w14:paraId="0B454A71" w14:textId="50F21644" w:rsidR="00C85373" w:rsidRDefault="00C85373" w:rsidP="00481EDE">
      <w:pPr>
        <w:jc w:val="center"/>
        <w:rPr>
          <w:rFonts w:cs="Arial"/>
          <w:b/>
          <w:sz w:val="28"/>
          <w:szCs w:val="28"/>
        </w:rPr>
      </w:pPr>
    </w:p>
    <w:p w14:paraId="724D1F8B" w14:textId="3FACEB6C" w:rsidR="00C85373" w:rsidRDefault="00C85373" w:rsidP="00481EDE">
      <w:pPr>
        <w:jc w:val="center"/>
        <w:rPr>
          <w:rFonts w:cs="Arial"/>
          <w:b/>
          <w:sz w:val="28"/>
          <w:szCs w:val="28"/>
        </w:rPr>
      </w:pPr>
    </w:p>
    <w:p w14:paraId="67D05F88" w14:textId="623B64DB" w:rsidR="00C85373" w:rsidRDefault="00C85373" w:rsidP="00481EDE">
      <w:pPr>
        <w:jc w:val="center"/>
        <w:rPr>
          <w:rFonts w:cs="Arial"/>
          <w:b/>
          <w:sz w:val="28"/>
          <w:szCs w:val="28"/>
        </w:rPr>
      </w:pPr>
    </w:p>
    <w:p w14:paraId="1B990326" w14:textId="3C478940" w:rsidR="00C85373" w:rsidRDefault="00C85373" w:rsidP="00481EDE">
      <w:pPr>
        <w:jc w:val="center"/>
        <w:rPr>
          <w:rFonts w:cs="Arial"/>
          <w:b/>
          <w:sz w:val="28"/>
          <w:szCs w:val="28"/>
        </w:rPr>
      </w:pPr>
    </w:p>
    <w:p w14:paraId="1F693FFB" w14:textId="74FE531C" w:rsidR="00C85373" w:rsidRDefault="00C85373" w:rsidP="00481EDE">
      <w:pPr>
        <w:jc w:val="center"/>
        <w:rPr>
          <w:rFonts w:cs="Arial"/>
          <w:b/>
          <w:sz w:val="28"/>
          <w:szCs w:val="28"/>
        </w:rPr>
      </w:pPr>
    </w:p>
    <w:p w14:paraId="5BC751BB" w14:textId="78984C79" w:rsidR="00C85373" w:rsidRDefault="001C7D59" w:rsidP="001C7D59">
      <w:pPr>
        <w:jc w:val="right"/>
        <w:rPr>
          <w:rFonts w:cs="Arial"/>
          <w:b/>
          <w:sz w:val="28"/>
          <w:szCs w:val="28"/>
        </w:rPr>
      </w:pPr>
      <w:r>
        <w:rPr>
          <w:rFonts w:cs="Arial"/>
          <w:b/>
          <w:sz w:val="28"/>
          <w:szCs w:val="28"/>
        </w:rPr>
        <w:t>24 June, 2016</w:t>
      </w:r>
    </w:p>
    <w:sdt>
      <w:sdtPr>
        <w:rPr>
          <w:rFonts w:asciiTheme="minorHAnsi" w:eastAsiaTheme="minorHAnsi" w:hAnsiTheme="minorHAnsi" w:cstheme="minorBidi"/>
          <w:color w:val="auto"/>
          <w:sz w:val="22"/>
          <w:szCs w:val="22"/>
        </w:rPr>
        <w:id w:val="-210652549"/>
        <w:docPartObj>
          <w:docPartGallery w:val="Table of Contents"/>
          <w:docPartUnique/>
        </w:docPartObj>
      </w:sdtPr>
      <w:sdtEndPr>
        <w:rPr>
          <w:b/>
          <w:bCs/>
          <w:noProof/>
        </w:rPr>
      </w:sdtEndPr>
      <w:sdtContent>
        <w:p w14:paraId="6B502B56" w14:textId="6C2B3816" w:rsidR="000264AA" w:rsidRDefault="000264AA">
          <w:pPr>
            <w:pStyle w:val="TOCHeading"/>
          </w:pPr>
          <w:r>
            <w:t>Table of Contents</w:t>
          </w:r>
          <w:r w:rsidR="004B661D">
            <w:t xml:space="preserve">                                                                                       Pages</w:t>
          </w:r>
        </w:p>
        <w:p w14:paraId="46013678" w14:textId="3F038D39" w:rsidR="000264AA" w:rsidRDefault="000264AA">
          <w:pPr>
            <w:pStyle w:val="TOC1"/>
            <w:tabs>
              <w:tab w:val="left" w:pos="440"/>
              <w:tab w:val="right" w:leader="dot" w:pos="9350"/>
            </w:tabs>
            <w:rPr>
              <w:noProof/>
            </w:rPr>
          </w:pPr>
          <w:r>
            <w:fldChar w:fldCharType="begin"/>
          </w:r>
          <w:r>
            <w:instrText xml:space="preserve"> TOC \o "1-3" \h \z \u </w:instrText>
          </w:r>
          <w:r>
            <w:fldChar w:fldCharType="separate"/>
          </w:r>
          <w:hyperlink w:anchor="_Toc454521932" w:history="1">
            <w:r w:rsidRPr="00107E93">
              <w:rPr>
                <w:rStyle w:val="Hyperlink"/>
                <w:rFonts w:cs="Arial"/>
                <w:b/>
                <w:noProof/>
              </w:rPr>
              <w:t>1.</w:t>
            </w:r>
            <w:r>
              <w:rPr>
                <w:noProof/>
              </w:rPr>
              <w:tab/>
            </w:r>
            <w:r w:rsidRPr="00107E93">
              <w:rPr>
                <w:rStyle w:val="Hyperlink"/>
                <w:rFonts w:cs="Arial"/>
                <w:b/>
                <w:noProof/>
              </w:rPr>
              <w:t>Introduction</w:t>
            </w:r>
            <w:r>
              <w:rPr>
                <w:noProof/>
                <w:webHidden/>
              </w:rPr>
              <w:tab/>
            </w:r>
            <w:r>
              <w:rPr>
                <w:noProof/>
                <w:webHidden/>
              </w:rPr>
              <w:fldChar w:fldCharType="begin"/>
            </w:r>
            <w:r>
              <w:rPr>
                <w:noProof/>
                <w:webHidden/>
              </w:rPr>
              <w:instrText xml:space="preserve"> PAGEREF _Toc454521932 \h </w:instrText>
            </w:r>
            <w:r>
              <w:rPr>
                <w:noProof/>
                <w:webHidden/>
              </w:rPr>
            </w:r>
            <w:r>
              <w:rPr>
                <w:noProof/>
                <w:webHidden/>
              </w:rPr>
              <w:fldChar w:fldCharType="separate"/>
            </w:r>
            <w:r w:rsidR="00750EA4">
              <w:rPr>
                <w:noProof/>
                <w:webHidden/>
              </w:rPr>
              <w:t>3</w:t>
            </w:r>
            <w:r>
              <w:rPr>
                <w:noProof/>
                <w:webHidden/>
              </w:rPr>
              <w:fldChar w:fldCharType="end"/>
            </w:r>
          </w:hyperlink>
        </w:p>
        <w:p w14:paraId="379380C5" w14:textId="66511AD3" w:rsidR="000264AA" w:rsidRDefault="00874AE8">
          <w:pPr>
            <w:pStyle w:val="TOC1"/>
            <w:tabs>
              <w:tab w:val="left" w:pos="440"/>
              <w:tab w:val="right" w:leader="dot" w:pos="9350"/>
            </w:tabs>
            <w:rPr>
              <w:noProof/>
            </w:rPr>
          </w:pPr>
          <w:hyperlink w:anchor="_Toc454521933" w:history="1">
            <w:r w:rsidR="000264AA" w:rsidRPr="00107E93">
              <w:rPr>
                <w:rStyle w:val="Hyperlink"/>
                <w:b/>
                <w:noProof/>
              </w:rPr>
              <w:t>2.</w:t>
            </w:r>
            <w:r w:rsidR="000264AA">
              <w:rPr>
                <w:noProof/>
              </w:rPr>
              <w:tab/>
            </w:r>
            <w:r w:rsidR="000264AA" w:rsidRPr="00107E93">
              <w:rPr>
                <w:rStyle w:val="Hyperlink"/>
                <w:b/>
                <w:noProof/>
              </w:rPr>
              <w:t>Donor Resource Flows</w:t>
            </w:r>
            <w:r w:rsidR="000264AA">
              <w:rPr>
                <w:noProof/>
                <w:webHidden/>
              </w:rPr>
              <w:tab/>
            </w:r>
            <w:r w:rsidR="000264AA">
              <w:rPr>
                <w:noProof/>
                <w:webHidden/>
              </w:rPr>
              <w:fldChar w:fldCharType="begin"/>
            </w:r>
            <w:r w:rsidR="000264AA">
              <w:rPr>
                <w:noProof/>
                <w:webHidden/>
              </w:rPr>
              <w:instrText xml:space="preserve"> PAGEREF _Toc454521933 \h </w:instrText>
            </w:r>
            <w:r w:rsidR="000264AA">
              <w:rPr>
                <w:noProof/>
                <w:webHidden/>
              </w:rPr>
            </w:r>
            <w:r w:rsidR="000264AA">
              <w:rPr>
                <w:noProof/>
                <w:webHidden/>
              </w:rPr>
              <w:fldChar w:fldCharType="separate"/>
            </w:r>
            <w:r w:rsidR="00750EA4">
              <w:rPr>
                <w:noProof/>
                <w:webHidden/>
              </w:rPr>
              <w:t>3</w:t>
            </w:r>
            <w:r w:rsidR="000264AA">
              <w:rPr>
                <w:noProof/>
                <w:webHidden/>
              </w:rPr>
              <w:fldChar w:fldCharType="end"/>
            </w:r>
          </w:hyperlink>
        </w:p>
        <w:p w14:paraId="30BFE3FA" w14:textId="339CEB6A" w:rsidR="000264AA" w:rsidRDefault="00874AE8">
          <w:pPr>
            <w:pStyle w:val="TOC2"/>
            <w:tabs>
              <w:tab w:val="right" w:leader="dot" w:pos="9350"/>
            </w:tabs>
            <w:rPr>
              <w:noProof/>
            </w:rPr>
          </w:pPr>
          <w:hyperlink w:anchor="_Toc454521934" w:history="1">
            <w:r w:rsidR="000264AA" w:rsidRPr="00107E93">
              <w:rPr>
                <w:rStyle w:val="Hyperlink"/>
                <w:b/>
                <w:noProof/>
              </w:rPr>
              <w:t>2.1 Donor receipts</w:t>
            </w:r>
            <w:r w:rsidR="000264AA">
              <w:rPr>
                <w:noProof/>
                <w:webHidden/>
              </w:rPr>
              <w:tab/>
            </w:r>
            <w:r w:rsidR="000264AA">
              <w:rPr>
                <w:noProof/>
                <w:webHidden/>
              </w:rPr>
              <w:fldChar w:fldCharType="begin"/>
            </w:r>
            <w:r w:rsidR="000264AA">
              <w:rPr>
                <w:noProof/>
                <w:webHidden/>
              </w:rPr>
              <w:instrText xml:space="preserve"> PAGEREF _Toc454521934 \h </w:instrText>
            </w:r>
            <w:r w:rsidR="000264AA">
              <w:rPr>
                <w:noProof/>
                <w:webHidden/>
              </w:rPr>
            </w:r>
            <w:r w:rsidR="000264AA">
              <w:rPr>
                <w:noProof/>
                <w:webHidden/>
              </w:rPr>
              <w:fldChar w:fldCharType="separate"/>
            </w:r>
            <w:r w:rsidR="00750EA4">
              <w:rPr>
                <w:noProof/>
                <w:webHidden/>
              </w:rPr>
              <w:t>3</w:t>
            </w:r>
            <w:r w:rsidR="000264AA">
              <w:rPr>
                <w:noProof/>
                <w:webHidden/>
              </w:rPr>
              <w:fldChar w:fldCharType="end"/>
            </w:r>
          </w:hyperlink>
        </w:p>
        <w:p w14:paraId="4C99C290" w14:textId="6D9611F5" w:rsidR="000264AA" w:rsidRDefault="00874AE8">
          <w:pPr>
            <w:pStyle w:val="TOC2"/>
            <w:tabs>
              <w:tab w:val="left" w:pos="880"/>
              <w:tab w:val="right" w:leader="dot" w:pos="9350"/>
            </w:tabs>
            <w:rPr>
              <w:noProof/>
            </w:rPr>
          </w:pPr>
          <w:hyperlink w:anchor="_Toc454521935" w:history="1">
            <w:r w:rsidR="000264AA" w:rsidRPr="00107E93">
              <w:rPr>
                <w:rStyle w:val="Hyperlink"/>
                <w:b/>
                <w:noProof/>
              </w:rPr>
              <w:t>2.2</w:t>
            </w:r>
            <w:r w:rsidR="000264AA">
              <w:rPr>
                <w:noProof/>
              </w:rPr>
              <w:tab/>
            </w:r>
            <w:r w:rsidR="000264AA" w:rsidRPr="00107E93">
              <w:rPr>
                <w:rStyle w:val="Hyperlink"/>
                <w:b/>
                <w:noProof/>
              </w:rPr>
              <w:t>Resource utilization</w:t>
            </w:r>
            <w:r w:rsidR="000264AA">
              <w:rPr>
                <w:noProof/>
                <w:webHidden/>
              </w:rPr>
              <w:tab/>
            </w:r>
            <w:r w:rsidR="000264AA">
              <w:rPr>
                <w:noProof/>
                <w:webHidden/>
              </w:rPr>
              <w:fldChar w:fldCharType="begin"/>
            </w:r>
            <w:r w:rsidR="000264AA">
              <w:rPr>
                <w:noProof/>
                <w:webHidden/>
              </w:rPr>
              <w:instrText xml:space="preserve"> PAGEREF _Toc454521935 \h </w:instrText>
            </w:r>
            <w:r w:rsidR="000264AA">
              <w:rPr>
                <w:noProof/>
                <w:webHidden/>
              </w:rPr>
            </w:r>
            <w:r w:rsidR="000264AA">
              <w:rPr>
                <w:noProof/>
                <w:webHidden/>
              </w:rPr>
              <w:fldChar w:fldCharType="separate"/>
            </w:r>
            <w:r w:rsidR="00750EA4">
              <w:rPr>
                <w:noProof/>
                <w:webHidden/>
              </w:rPr>
              <w:t>4</w:t>
            </w:r>
            <w:r w:rsidR="000264AA">
              <w:rPr>
                <w:noProof/>
                <w:webHidden/>
              </w:rPr>
              <w:fldChar w:fldCharType="end"/>
            </w:r>
          </w:hyperlink>
        </w:p>
        <w:p w14:paraId="41C9F8DC" w14:textId="6086843F" w:rsidR="000264AA" w:rsidRDefault="00874AE8">
          <w:pPr>
            <w:pStyle w:val="TOC1"/>
            <w:tabs>
              <w:tab w:val="left" w:pos="440"/>
              <w:tab w:val="right" w:leader="dot" w:pos="9350"/>
            </w:tabs>
            <w:rPr>
              <w:noProof/>
            </w:rPr>
          </w:pPr>
          <w:hyperlink w:anchor="_Toc454521936" w:history="1">
            <w:r w:rsidR="000264AA" w:rsidRPr="00107E93">
              <w:rPr>
                <w:rStyle w:val="Hyperlink"/>
                <w:rFonts w:cs="Arial"/>
                <w:b/>
                <w:noProof/>
              </w:rPr>
              <w:t>3.</w:t>
            </w:r>
            <w:r w:rsidR="000264AA">
              <w:rPr>
                <w:noProof/>
              </w:rPr>
              <w:tab/>
            </w:r>
            <w:r w:rsidR="000264AA" w:rsidRPr="00107E93">
              <w:rPr>
                <w:rStyle w:val="Hyperlink"/>
                <w:rFonts w:cs="Arial"/>
                <w:b/>
                <w:noProof/>
              </w:rPr>
              <w:t>UNDP Malawi Value Proposition</w:t>
            </w:r>
            <w:r w:rsidR="000264AA">
              <w:rPr>
                <w:noProof/>
                <w:webHidden/>
              </w:rPr>
              <w:tab/>
            </w:r>
            <w:r w:rsidR="000264AA">
              <w:rPr>
                <w:noProof/>
                <w:webHidden/>
              </w:rPr>
              <w:fldChar w:fldCharType="begin"/>
            </w:r>
            <w:r w:rsidR="000264AA">
              <w:rPr>
                <w:noProof/>
                <w:webHidden/>
              </w:rPr>
              <w:instrText xml:space="preserve"> PAGEREF _Toc454521936 \h </w:instrText>
            </w:r>
            <w:r w:rsidR="000264AA">
              <w:rPr>
                <w:noProof/>
                <w:webHidden/>
              </w:rPr>
            </w:r>
            <w:r w:rsidR="000264AA">
              <w:rPr>
                <w:noProof/>
                <w:webHidden/>
              </w:rPr>
              <w:fldChar w:fldCharType="separate"/>
            </w:r>
            <w:r w:rsidR="00750EA4">
              <w:rPr>
                <w:noProof/>
                <w:webHidden/>
              </w:rPr>
              <w:t>5</w:t>
            </w:r>
            <w:r w:rsidR="000264AA">
              <w:rPr>
                <w:noProof/>
                <w:webHidden/>
              </w:rPr>
              <w:fldChar w:fldCharType="end"/>
            </w:r>
          </w:hyperlink>
        </w:p>
        <w:p w14:paraId="7C5CF4FF" w14:textId="569CD3C0" w:rsidR="000264AA" w:rsidRDefault="00874AE8">
          <w:pPr>
            <w:pStyle w:val="TOC1"/>
            <w:tabs>
              <w:tab w:val="left" w:pos="440"/>
              <w:tab w:val="right" w:leader="dot" w:pos="9350"/>
            </w:tabs>
            <w:rPr>
              <w:noProof/>
            </w:rPr>
          </w:pPr>
          <w:hyperlink w:anchor="_Toc454521937" w:history="1">
            <w:r w:rsidR="000264AA" w:rsidRPr="00107E93">
              <w:rPr>
                <w:rStyle w:val="Hyperlink"/>
                <w:rFonts w:cs="Arial"/>
                <w:b/>
                <w:noProof/>
              </w:rPr>
              <w:t>4.</w:t>
            </w:r>
            <w:r w:rsidR="000264AA">
              <w:rPr>
                <w:noProof/>
              </w:rPr>
              <w:tab/>
            </w:r>
            <w:r w:rsidR="000264AA" w:rsidRPr="00107E93">
              <w:rPr>
                <w:rStyle w:val="Hyperlink"/>
                <w:rFonts w:cs="Arial"/>
                <w:b/>
                <w:noProof/>
              </w:rPr>
              <w:t>Positioning UNDP for High Quality Development Programming</w:t>
            </w:r>
            <w:r w:rsidR="000264AA">
              <w:rPr>
                <w:noProof/>
                <w:webHidden/>
              </w:rPr>
              <w:tab/>
            </w:r>
            <w:r w:rsidR="000264AA">
              <w:rPr>
                <w:noProof/>
                <w:webHidden/>
              </w:rPr>
              <w:fldChar w:fldCharType="begin"/>
            </w:r>
            <w:r w:rsidR="000264AA">
              <w:rPr>
                <w:noProof/>
                <w:webHidden/>
              </w:rPr>
              <w:instrText xml:space="preserve"> PAGEREF _Toc454521937 \h </w:instrText>
            </w:r>
            <w:r w:rsidR="000264AA">
              <w:rPr>
                <w:noProof/>
                <w:webHidden/>
              </w:rPr>
            </w:r>
            <w:r w:rsidR="000264AA">
              <w:rPr>
                <w:noProof/>
                <w:webHidden/>
              </w:rPr>
              <w:fldChar w:fldCharType="separate"/>
            </w:r>
            <w:r w:rsidR="00750EA4">
              <w:rPr>
                <w:noProof/>
                <w:webHidden/>
              </w:rPr>
              <w:t>5</w:t>
            </w:r>
            <w:r w:rsidR="000264AA">
              <w:rPr>
                <w:noProof/>
                <w:webHidden/>
              </w:rPr>
              <w:fldChar w:fldCharType="end"/>
            </w:r>
          </w:hyperlink>
        </w:p>
        <w:p w14:paraId="152FDC1E" w14:textId="5D463AB5" w:rsidR="000264AA" w:rsidRDefault="00874AE8">
          <w:pPr>
            <w:pStyle w:val="TOC1"/>
            <w:tabs>
              <w:tab w:val="left" w:pos="440"/>
              <w:tab w:val="right" w:leader="dot" w:pos="9350"/>
            </w:tabs>
            <w:rPr>
              <w:noProof/>
            </w:rPr>
          </w:pPr>
          <w:hyperlink w:anchor="_Toc454521938" w:history="1">
            <w:r w:rsidR="000264AA" w:rsidRPr="00107E93">
              <w:rPr>
                <w:rStyle w:val="Hyperlink"/>
                <w:b/>
                <w:noProof/>
              </w:rPr>
              <w:t>5.</w:t>
            </w:r>
            <w:r w:rsidR="000264AA">
              <w:rPr>
                <w:noProof/>
              </w:rPr>
              <w:tab/>
            </w:r>
            <w:r w:rsidR="000264AA" w:rsidRPr="00107E93">
              <w:rPr>
                <w:rStyle w:val="Hyperlink"/>
                <w:b/>
                <w:noProof/>
              </w:rPr>
              <w:t>Future Resource Requirements and Opportunities</w:t>
            </w:r>
            <w:r w:rsidR="000264AA">
              <w:rPr>
                <w:noProof/>
                <w:webHidden/>
              </w:rPr>
              <w:tab/>
            </w:r>
            <w:r w:rsidR="000264AA">
              <w:rPr>
                <w:noProof/>
                <w:webHidden/>
              </w:rPr>
              <w:fldChar w:fldCharType="begin"/>
            </w:r>
            <w:r w:rsidR="000264AA">
              <w:rPr>
                <w:noProof/>
                <w:webHidden/>
              </w:rPr>
              <w:instrText xml:space="preserve"> PAGEREF _Toc454521938 \h </w:instrText>
            </w:r>
            <w:r w:rsidR="000264AA">
              <w:rPr>
                <w:noProof/>
                <w:webHidden/>
              </w:rPr>
            </w:r>
            <w:r w:rsidR="000264AA">
              <w:rPr>
                <w:noProof/>
                <w:webHidden/>
              </w:rPr>
              <w:fldChar w:fldCharType="separate"/>
            </w:r>
            <w:r w:rsidR="00750EA4">
              <w:rPr>
                <w:noProof/>
                <w:webHidden/>
              </w:rPr>
              <w:t>5</w:t>
            </w:r>
            <w:r w:rsidR="000264AA">
              <w:rPr>
                <w:noProof/>
                <w:webHidden/>
              </w:rPr>
              <w:fldChar w:fldCharType="end"/>
            </w:r>
          </w:hyperlink>
        </w:p>
        <w:p w14:paraId="681C1994" w14:textId="4377ADAD" w:rsidR="000264AA" w:rsidRDefault="00874AE8">
          <w:pPr>
            <w:pStyle w:val="TOC1"/>
            <w:tabs>
              <w:tab w:val="left" w:pos="440"/>
              <w:tab w:val="right" w:leader="dot" w:pos="9350"/>
            </w:tabs>
            <w:rPr>
              <w:noProof/>
            </w:rPr>
          </w:pPr>
          <w:hyperlink w:anchor="_Toc454521939" w:history="1">
            <w:r w:rsidR="000264AA" w:rsidRPr="00107E93">
              <w:rPr>
                <w:rStyle w:val="Hyperlink"/>
                <w:rFonts w:cs="Arial"/>
                <w:b/>
                <w:noProof/>
              </w:rPr>
              <w:t>6.</w:t>
            </w:r>
            <w:r w:rsidR="000264AA">
              <w:rPr>
                <w:noProof/>
              </w:rPr>
              <w:tab/>
            </w:r>
            <w:r w:rsidR="000264AA" w:rsidRPr="00107E93">
              <w:rPr>
                <w:rStyle w:val="Hyperlink"/>
                <w:rFonts w:cs="Arial"/>
                <w:b/>
                <w:noProof/>
              </w:rPr>
              <w:t>Objective of the Resource Mobilisation Plan</w:t>
            </w:r>
            <w:r w:rsidR="000264AA">
              <w:rPr>
                <w:noProof/>
                <w:webHidden/>
              </w:rPr>
              <w:tab/>
            </w:r>
            <w:r w:rsidR="000264AA">
              <w:rPr>
                <w:noProof/>
                <w:webHidden/>
              </w:rPr>
              <w:fldChar w:fldCharType="begin"/>
            </w:r>
            <w:r w:rsidR="000264AA">
              <w:rPr>
                <w:noProof/>
                <w:webHidden/>
              </w:rPr>
              <w:instrText xml:space="preserve"> PAGEREF _Toc454521939 \h </w:instrText>
            </w:r>
            <w:r w:rsidR="000264AA">
              <w:rPr>
                <w:noProof/>
                <w:webHidden/>
              </w:rPr>
            </w:r>
            <w:r w:rsidR="000264AA">
              <w:rPr>
                <w:noProof/>
                <w:webHidden/>
              </w:rPr>
              <w:fldChar w:fldCharType="separate"/>
            </w:r>
            <w:r w:rsidR="00750EA4">
              <w:rPr>
                <w:noProof/>
                <w:webHidden/>
              </w:rPr>
              <w:t>6</w:t>
            </w:r>
            <w:r w:rsidR="000264AA">
              <w:rPr>
                <w:noProof/>
                <w:webHidden/>
              </w:rPr>
              <w:fldChar w:fldCharType="end"/>
            </w:r>
          </w:hyperlink>
        </w:p>
        <w:p w14:paraId="190E22D4" w14:textId="1D73F597" w:rsidR="000264AA" w:rsidRDefault="00874AE8">
          <w:pPr>
            <w:pStyle w:val="TOC1"/>
            <w:tabs>
              <w:tab w:val="left" w:pos="440"/>
              <w:tab w:val="right" w:leader="dot" w:pos="9350"/>
            </w:tabs>
            <w:rPr>
              <w:noProof/>
            </w:rPr>
          </w:pPr>
          <w:hyperlink w:anchor="_Toc454521940" w:history="1">
            <w:r w:rsidR="000264AA" w:rsidRPr="00107E93">
              <w:rPr>
                <w:rStyle w:val="Hyperlink"/>
                <w:b/>
                <w:noProof/>
              </w:rPr>
              <w:t>7.</w:t>
            </w:r>
            <w:r w:rsidR="000264AA">
              <w:rPr>
                <w:noProof/>
              </w:rPr>
              <w:tab/>
            </w:r>
            <w:r w:rsidR="000264AA" w:rsidRPr="00107E93">
              <w:rPr>
                <w:rStyle w:val="Hyperlink"/>
                <w:b/>
                <w:noProof/>
              </w:rPr>
              <w:t>2016-2017 Resource Mobilization Targets</w:t>
            </w:r>
            <w:r w:rsidR="000264AA">
              <w:rPr>
                <w:noProof/>
                <w:webHidden/>
              </w:rPr>
              <w:tab/>
            </w:r>
            <w:r w:rsidR="000264AA">
              <w:rPr>
                <w:noProof/>
                <w:webHidden/>
              </w:rPr>
              <w:fldChar w:fldCharType="begin"/>
            </w:r>
            <w:r w:rsidR="000264AA">
              <w:rPr>
                <w:noProof/>
                <w:webHidden/>
              </w:rPr>
              <w:instrText xml:space="preserve"> PAGEREF _Toc454521940 \h </w:instrText>
            </w:r>
            <w:r w:rsidR="000264AA">
              <w:rPr>
                <w:noProof/>
                <w:webHidden/>
              </w:rPr>
            </w:r>
            <w:r w:rsidR="000264AA">
              <w:rPr>
                <w:noProof/>
                <w:webHidden/>
              </w:rPr>
              <w:fldChar w:fldCharType="separate"/>
            </w:r>
            <w:r w:rsidR="00750EA4">
              <w:rPr>
                <w:noProof/>
                <w:webHidden/>
              </w:rPr>
              <w:t>7</w:t>
            </w:r>
            <w:r w:rsidR="000264AA">
              <w:rPr>
                <w:noProof/>
                <w:webHidden/>
              </w:rPr>
              <w:fldChar w:fldCharType="end"/>
            </w:r>
          </w:hyperlink>
        </w:p>
        <w:p w14:paraId="7D9B68F7" w14:textId="1859BF01" w:rsidR="000264AA" w:rsidRDefault="000264AA">
          <w:r>
            <w:rPr>
              <w:b/>
              <w:bCs/>
              <w:noProof/>
            </w:rPr>
            <w:fldChar w:fldCharType="end"/>
          </w:r>
        </w:p>
      </w:sdtContent>
    </w:sdt>
    <w:p w14:paraId="09C9DFF2" w14:textId="711FB275" w:rsidR="00C85373" w:rsidRDefault="00C85373" w:rsidP="00481EDE">
      <w:pPr>
        <w:jc w:val="center"/>
        <w:rPr>
          <w:rFonts w:cs="Arial"/>
          <w:b/>
          <w:sz w:val="28"/>
          <w:szCs w:val="28"/>
        </w:rPr>
      </w:pPr>
    </w:p>
    <w:p w14:paraId="680E3301" w14:textId="2B5E0FCB" w:rsidR="00C85373" w:rsidRDefault="00990293" w:rsidP="00990293">
      <w:pPr>
        <w:rPr>
          <w:rFonts w:cs="Arial"/>
          <w:b/>
          <w:sz w:val="28"/>
          <w:szCs w:val="28"/>
        </w:rPr>
      </w:pPr>
      <w:r>
        <w:rPr>
          <w:rFonts w:cs="Arial"/>
          <w:b/>
          <w:sz w:val="28"/>
          <w:szCs w:val="28"/>
        </w:rPr>
        <w:t>List of Table</w:t>
      </w:r>
    </w:p>
    <w:p w14:paraId="5290A33B" w14:textId="6E4B91B9" w:rsidR="00990293" w:rsidRPr="00990293" w:rsidRDefault="00990293" w:rsidP="00990293">
      <w:pPr>
        <w:rPr>
          <w:rFonts w:cs="Arial"/>
          <w:sz w:val="28"/>
          <w:szCs w:val="28"/>
        </w:rPr>
      </w:pPr>
      <w:r w:rsidRPr="00990293">
        <w:rPr>
          <w:rFonts w:cs="Arial"/>
          <w:sz w:val="28"/>
          <w:szCs w:val="28"/>
        </w:rPr>
        <w:t>Table 1:</w:t>
      </w:r>
      <w:r>
        <w:rPr>
          <w:rFonts w:cs="Arial"/>
          <w:sz w:val="28"/>
          <w:szCs w:val="28"/>
        </w:rPr>
        <w:t xml:space="preserve"> </w:t>
      </w:r>
      <w:r w:rsidRPr="00990293">
        <w:rPr>
          <w:rFonts w:eastAsia="Times New Roman"/>
          <w:sz w:val="24"/>
          <w:szCs w:val="24"/>
        </w:rPr>
        <w:t>Cost-sharing Resources by Donor, 2012-2015 ($)</w:t>
      </w:r>
      <w:r w:rsidR="004B661D">
        <w:rPr>
          <w:rFonts w:eastAsia="Times New Roman"/>
          <w:sz w:val="24"/>
          <w:szCs w:val="24"/>
        </w:rPr>
        <w:t xml:space="preserve">       …………………………………………..   4                                 </w:t>
      </w:r>
    </w:p>
    <w:p w14:paraId="6EA11D3A" w14:textId="7A8D6DE9" w:rsidR="00990293" w:rsidRPr="00082DE2" w:rsidRDefault="00990293" w:rsidP="00990293">
      <w:pPr>
        <w:jc w:val="both"/>
        <w:rPr>
          <w:rFonts w:cs="Arial"/>
          <w:sz w:val="24"/>
          <w:szCs w:val="24"/>
        </w:rPr>
      </w:pPr>
      <w:r w:rsidRPr="00990293">
        <w:rPr>
          <w:rFonts w:cs="Arial"/>
          <w:sz w:val="28"/>
          <w:szCs w:val="28"/>
        </w:rPr>
        <w:t>Table 2:</w:t>
      </w:r>
      <w:r w:rsidRPr="00990293">
        <w:rPr>
          <w:rFonts w:cs="Arial"/>
          <w:sz w:val="24"/>
          <w:szCs w:val="24"/>
        </w:rPr>
        <w:t xml:space="preserve"> </w:t>
      </w:r>
      <w:r w:rsidRPr="00082DE2">
        <w:rPr>
          <w:rFonts w:cs="Arial"/>
          <w:sz w:val="24"/>
          <w:szCs w:val="24"/>
        </w:rPr>
        <w:t>Budget and Expenditures for Cost-sharing Resources, 2010-2015</w:t>
      </w:r>
      <w:r w:rsidR="004B661D">
        <w:rPr>
          <w:rFonts w:cs="Arial"/>
          <w:sz w:val="24"/>
          <w:szCs w:val="24"/>
        </w:rPr>
        <w:t>…………………………  4</w:t>
      </w:r>
    </w:p>
    <w:p w14:paraId="19AC9D34" w14:textId="4C4FB67E" w:rsidR="00990293" w:rsidRPr="00990293" w:rsidRDefault="00990293" w:rsidP="00990293">
      <w:pPr>
        <w:rPr>
          <w:rFonts w:cs="Arial"/>
          <w:sz w:val="28"/>
          <w:szCs w:val="28"/>
        </w:rPr>
      </w:pPr>
      <w:r w:rsidRPr="00990293">
        <w:rPr>
          <w:rFonts w:cs="Arial"/>
          <w:sz w:val="28"/>
          <w:szCs w:val="28"/>
        </w:rPr>
        <w:t>Table 3:</w:t>
      </w:r>
      <w:r w:rsidR="004B661D" w:rsidRPr="004B661D">
        <w:rPr>
          <w:sz w:val="24"/>
          <w:szCs w:val="24"/>
        </w:rPr>
        <w:t xml:space="preserve"> </w:t>
      </w:r>
      <w:r w:rsidR="004B661D" w:rsidRPr="001E22F1">
        <w:rPr>
          <w:sz w:val="24"/>
          <w:szCs w:val="24"/>
        </w:rPr>
        <w:t>2016-2017 Resource Mobilisation Action Plan Results Matrix</w:t>
      </w:r>
      <w:r w:rsidR="004B661D">
        <w:rPr>
          <w:sz w:val="24"/>
          <w:szCs w:val="24"/>
        </w:rPr>
        <w:t>……………………………….  9</w:t>
      </w:r>
    </w:p>
    <w:p w14:paraId="2A31C54B" w14:textId="4BEC74B6" w:rsidR="00990293" w:rsidRPr="00990293" w:rsidRDefault="00990293" w:rsidP="00990293">
      <w:pPr>
        <w:rPr>
          <w:rFonts w:cs="Arial"/>
          <w:sz w:val="28"/>
          <w:szCs w:val="28"/>
        </w:rPr>
      </w:pPr>
      <w:r w:rsidRPr="00990293">
        <w:rPr>
          <w:rFonts w:cs="Arial"/>
          <w:sz w:val="28"/>
          <w:szCs w:val="28"/>
        </w:rPr>
        <w:t>Table 4:</w:t>
      </w:r>
      <w:r w:rsidR="004B661D">
        <w:rPr>
          <w:rFonts w:cs="Arial"/>
          <w:sz w:val="28"/>
          <w:szCs w:val="28"/>
        </w:rPr>
        <w:t xml:space="preserve"> </w:t>
      </w:r>
      <w:r w:rsidR="004B661D" w:rsidRPr="001E22F1">
        <w:rPr>
          <w:sz w:val="24"/>
          <w:szCs w:val="24"/>
        </w:rPr>
        <w:t>Donor Action Plan</w:t>
      </w:r>
      <w:r w:rsidR="004B661D">
        <w:rPr>
          <w:sz w:val="24"/>
          <w:szCs w:val="24"/>
        </w:rPr>
        <w:t xml:space="preserve"> with RM Targets……………………………………………………………………… 12</w:t>
      </w:r>
    </w:p>
    <w:p w14:paraId="608CD5A0" w14:textId="1F61782C" w:rsidR="00C85373" w:rsidRDefault="00C85373" w:rsidP="00481EDE">
      <w:pPr>
        <w:jc w:val="center"/>
        <w:rPr>
          <w:rFonts w:cs="Arial"/>
          <w:b/>
          <w:sz w:val="28"/>
          <w:szCs w:val="28"/>
        </w:rPr>
      </w:pPr>
    </w:p>
    <w:p w14:paraId="794BFAC2" w14:textId="667A7878" w:rsidR="00C85373" w:rsidRDefault="00C85373" w:rsidP="00481EDE">
      <w:pPr>
        <w:jc w:val="center"/>
        <w:rPr>
          <w:rFonts w:cs="Arial"/>
          <w:b/>
          <w:sz w:val="28"/>
          <w:szCs w:val="28"/>
        </w:rPr>
      </w:pPr>
    </w:p>
    <w:p w14:paraId="036C9227" w14:textId="1F3F0FE4" w:rsidR="00C85373" w:rsidRDefault="00C85373" w:rsidP="00481EDE">
      <w:pPr>
        <w:jc w:val="center"/>
        <w:rPr>
          <w:rFonts w:cs="Arial"/>
          <w:b/>
          <w:sz w:val="28"/>
          <w:szCs w:val="28"/>
        </w:rPr>
      </w:pPr>
    </w:p>
    <w:p w14:paraId="5151549A" w14:textId="4447FD8A" w:rsidR="00C85373" w:rsidRDefault="00C85373" w:rsidP="00481EDE">
      <w:pPr>
        <w:jc w:val="center"/>
        <w:rPr>
          <w:rFonts w:cs="Arial"/>
          <w:b/>
          <w:sz w:val="28"/>
          <w:szCs w:val="28"/>
        </w:rPr>
      </w:pPr>
    </w:p>
    <w:p w14:paraId="18D67013" w14:textId="1AE8287B" w:rsidR="00C85373" w:rsidRDefault="00C85373" w:rsidP="00481EDE">
      <w:pPr>
        <w:jc w:val="center"/>
        <w:rPr>
          <w:rFonts w:cs="Arial"/>
          <w:b/>
          <w:sz w:val="28"/>
          <w:szCs w:val="28"/>
        </w:rPr>
      </w:pPr>
    </w:p>
    <w:p w14:paraId="5765C642" w14:textId="4AA87991" w:rsidR="00C85373" w:rsidRDefault="00C85373" w:rsidP="00481EDE">
      <w:pPr>
        <w:jc w:val="center"/>
        <w:rPr>
          <w:rFonts w:cs="Arial"/>
          <w:b/>
          <w:sz w:val="28"/>
          <w:szCs w:val="28"/>
        </w:rPr>
      </w:pPr>
    </w:p>
    <w:p w14:paraId="3C4C8DF0" w14:textId="47C44A61" w:rsidR="00C85373" w:rsidRDefault="00C85373" w:rsidP="00481EDE">
      <w:pPr>
        <w:jc w:val="center"/>
        <w:rPr>
          <w:rFonts w:cs="Arial"/>
          <w:b/>
          <w:sz w:val="28"/>
          <w:szCs w:val="28"/>
        </w:rPr>
      </w:pPr>
    </w:p>
    <w:p w14:paraId="506658B5" w14:textId="302CE9FE" w:rsidR="00C85373" w:rsidRDefault="00C85373" w:rsidP="00481EDE">
      <w:pPr>
        <w:jc w:val="center"/>
        <w:rPr>
          <w:rFonts w:cs="Arial"/>
          <w:b/>
          <w:sz w:val="28"/>
          <w:szCs w:val="28"/>
        </w:rPr>
      </w:pPr>
    </w:p>
    <w:p w14:paraId="4619727D" w14:textId="38154100" w:rsidR="00C85373" w:rsidRDefault="00C85373" w:rsidP="00481EDE">
      <w:pPr>
        <w:jc w:val="center"/>
        <w:rPr>
          <w:rFonts w:cs="Arial"/>
          <w:b/>
          <w:sz w:val="28"/>
          <w:szCs w:val="28"/>
        </w:rPr>
      </w:pPr>
    </w:p>
    <w:p w14:paraId="226B75B8" w14:textId="5CD80914" w:rsidR="00C85373" w:rsidRDefault="00C85373" w:rsidP="00481EDE">
      <w:pPr>
        <w:jc w:val="center"/>
        <w:rPr>
          <w:rFonts w:cs="Arial"/>
          <w:b/>
          <w:sz w:val="28"/>
          <w:szCs w:val="28"/>
        </w:rPr>
      </w:pPr>
    </w:p>
    <w:p w14:paraId="5242BC80" w14:textId="77777777" w:rsidR="00A31C11" w:rsidRPr="00082DE2" w:rsidRDefault="0002655C" w:rsidP="000264AA">
      <w:pPr>
        <w:pStyle w:val="ListParagraph"/>
        <w:numPr>
          <w:ilvl w:val="0"/>
          <w:numId w:val="11"/>
        </w:numPr>
        <w:jc w:val="both"/>
        <w:outlineLvl w:val="0"/>
        <w:rPr>
          <w:rFonts w:cs="Arial"/>
          <w:b/>
          <w:sz w:val="24"/>
          <w:szCs w:val="24"/>
        </w:rPr>
      </w:pPr>
      <w:bookmarkStart w:id="0" w:name="_Toc454521932"/>
      <w:r w:rsidRPr="00082DE2">
        <w:rPr>
          <w:rFonts w:cs="Arial"/>
          <w:b/>
          <w:sz w:val="24"/>
          <w:szCs w:val="24"/>
        </w:rPr>
        <w:lastRenderedPageBreak/>
        <w:t>Introduction</w:t>
      </w:r>
      <w:bookmarkEnd w:id="0"/>
    </w:p>
    <w:p w14:paraId="65464C18" w14:textId="281293BB" w:rsidR="00E7274C" w:rsidRPr="00082DE2" w:rsidRDefault="00E7274C" w:rsidP="00A31C11">
      <w:pPr>
        <w:jc w:val="both"/>
        <w:rPr>
          <w:rFonts w:cs="Arial"/>
          <w:sz w:val="24"/>
          <w:szCs w:val="24"/>
        </w:rPr>
      </w:pPr>
      <w:r w:rsidRPr="00082DE2">
        <w:rPr>
          <w:rFonts w:cs="Arial"/>
          <w:sz w:val="24"/>
          <w:szCs w:val="24"/>
        </w:rPr>
        <w:t xml:space="preserve">Resource mobilization is </w:t>
      </w:r>
      <w:r w:rsidR="00353674" w:rsidRPr="00082DE2">
        <w:rPr>
          <w:rFonts w:cs="Arial"/>
          <w:sz w:val="24"/>
          <w:szCs w:val="24"/>
        </w:rPr>
        <w:t>an important pillar</w:t>
      </w:r>
      <w:r w:rsidRPr="00082DE2">
        <w:rPr>
          <w:rFonts w:cs="Arial"/>
          <w:sz w:val="24"/>
          <w:szCs w:val="24"/>
        </w:rPr>
        <w:t xml:space="preserve"> of the Malawi Country offic</w:t>
      </w:r>
      <w:r w:rsidR="00E022B4" w:rsidRPr="00082DE2">
        <w:rPr>
          <w:rFonts w:cs="Arial"/>
          <w:sz w:val="24"/>
          <w:szCs w:val="24"/>
        </w:rPr>
        <w:t>e</w:t>
      </w:r>
      <w:r w:rsidR="00260AFB">
        <w:rPr>
          <w:rFonts w:cs="Arial"/>
          <w:sz w:val="24"/>
          <w:szCs w:val="24"/>
        </w:rPr>
        <w:t>’s work</w:t>
      </w:r>
      <w:r w:rsidR="00E022B4" w:rsidRPr="00082DE2">
        <w:rPr>
          <w:rFonts w:cs="Arial"/>
          <w:sz w:val="24"/>
          <w:szCs w:val="24"/>
        </w:rPr>
        <w:t xml:space="preserve">.  </w:t>
      </w:r>
      <w:r w:rsidR="004B2AEB" w:rsidRPr="00082DE2">
        <w:rPr>
          <w:rFonts w:cs="Arial"/>
          <w:sz w:val="24"/>
          <w:szCs w:val="24"/>
        </w:rPr>
        <w:t xml:space="preserve">The </w:t>
      </w:r>
      <w:r w:rsidR="00260AFB">
        <w:rPr>
          <w:rFonts w:cs="Arial"/>
          <w:sz w:val="24"/>
          <w:szCs w:val="24"/>
        </w:rPr>
        <w:t>office</w:t>
      </w:r>
      <w:r w:rsidR="004B2AEB" w:rsidRPr="00082DE2">
        <w:rPr>
          <w:rFonts w:cs="Arial"/>
          <w:sz w:val="24"/>
          <w:szCs w:val="24"/>
        </w:rPr>
        <w:t xml:space="preserve"> is expected to mobilize resources to complement its regular</w:t>
      </w:r>
      <w:r w:rsidR="00ED13D5" w:rsidRPr="00082DE2">
        <w:rPr>
          <w:rFonts w:cs="Arial"/>
          <w:sz w:val="24"/>
          <w:szCs w:val="24"/>
        </w:rPr>
        <w:t xml:space="preserve"> annual allocations whose levels</w:t>
      </w:r>
      <w:r w:rsidR="004B2AEB" w:rsidRPr="00082DE2">
        <w:rPr>
          <w:rFonts w:cs="Arial"/>
          <w:sz w:val="24"/>
          <w:szCs w:val="24"/>
        </w:rPr>
        <w:t xml:space="preserve"> </w:t>
      </w:r>
      <w:r w:rsidR="00366A63">
        <w:rPr>
          <w:rFonts w:cs="Arial"/>
          <w:sz w:val="24"/>
          <w:szCs w:val="24"/>
        </w:rPr>
        <w:t>have been</w:t>
      </w:r>
      <w:r w:rsidR="00366A63" w:rsidRPr="00082DE2">
        <w:rPr>
          <w:rFonts w:cs="Arial"/>
          <w:sz w:val="24"/>
          <w:szCs w:val="24"/>
        </w:rPr>
        <w:t xml:space="preserve"> </w:t>
      </w:r>
      <w:r w:rsidR="004B2AEB" w:rsidRPr="00082DE2">
        <w:rPr>
          <w:rFonts w:cs="Arial"/>
          <w:sz w:val="24"/>
          <w:szCs w:val="24"/>
        </w:rPr>
        <w:t xml:space="preserve">declining </w:t>
      </w:r>
      <w:r w:rsidR="00260AFB">
        <w:rPr>
          <w:rFonts w:cs="Arial"/>
          <w:sz w:val="24"/>
          <w:szCs w:val="24"/>
        </w:rPr>
        <w:t>over</w:t>
      </w:r>
      <w:r w:rsidR="004B2AEB" w:rsidRPr="00082DE2">
        <w:rPr>
          <w:rFonts w:cs="Arial"/>
          <w:sz w:val="24"/>
          <w:szCs w:val="24"/>
        </w:rPr>
        <w:t xml:space="preserve"> time. </w:t>
      </w:r>
      <w:r w:rsidR="00260AFB">
        <w:rPr>
          <w:rFonts w:cs="Arial"/>
          <w:sz w:val="24"/>
          <w:szCs w:val="24"/>
        </w:rPr>
        <w:t>For</w:t>
      </w:r>
      <w:r w:rsidR="004B2AEB" w:rsidRPr="00082DE2">
        <w:rPr>
          <w:rFonts w:cs="Arial"/>
          <w:sz w:val="24"/>
          <w:szCs w:val="24"/>
        </w:rPr>
        <w:t xml:space="preserve"> the current programming cycle </w:t>
      </w:r>
      <w:r w:rsidR="00ED13D5" w:rsidRPr="00082DE2">
        <w:rPr>
          <w:rFonts w:cs="Arial"/>
          <w:sz w:val="24"/>
          <w:szCs w:val="24"/>
        </w:rPr>
        <w:t xml:space="preserve">between 2012 and </w:t>
      </w:r>
      <w:r w:rsidR="004B2AEB" w:rsidRPr="00082DE2">
        <w:rPr>
          <w:rFonts w:cs="Arial"/>
          <w:sz w:val="24"/>
          <w:szCs w:val="24"/>
        </w:rPr>
        <w:t>2015, UNDP has mobilized</w:t>
      </w:r>
      <w:r w:rsidR="00E022B4" w:rsidRPr="00082DE2">
        <w:rPr>
          <w:rFonts w:cs="Arial"/>
          <w:sz w:val="24"/>
          <w:szCs w:val="24"/>
        </w:rPr>
        <w:t xml:space="preserve"> $</w:t>
      </w:r>
      <w:r w:rsidR="004B2AEB" w:rsidRPr="00082DE2">
        <w:rPr>
          <w:rFonts w:cs="Arial"/>
          <w:sz w:val="24"/>
          <w:szCs w:val="24"/>
        </w:rPr>
        <w:t>4</w:t>
      </w:r>
      <w:r w:rsidR="00C71C8D" w:rsidRPr="00082DE2">
        <w:rPr>
          <w:rFonts w:cs="Arial"/>
          <w:sz w:val="24"/>
          <w:szCs w:val="24"/>
        </w:rPr>
        <w:t>6,890,847</w:t>
      </w:r>
      <w:r w:rsidR="004B2AEB" w:rsidRPr="00082DE2">
        <w:rPr>
          <w:rFonts w:cs="Arial"/>
          <w:sz w:val="24"/>
          <w:szCs w:val="24"/>
        </w:rPr>
        <w:t xml:space="preserve"> from donors</w:t>
      </w:r>
      <w:r w:rsidR="00260AFB">
        <w:rPr>
          <w:rFonts w:cs="Arial"/>
          <w:sz w:val="24"/>
          <w:szCs w:val="24"/>
        </w:rPr>
        <w:t xml:space="preserve">, which </w:t>
      </w:r>
      <w:r w:rsidR="00353674" w:rsidRPr="00082DE2">
        <w:rPr>
          <w:rFonts w:cs="Arial"/>
          <w:sz w:val="24"/>
          <w:szCs w:val="24"/>
        </w:rPr>
        <w:t xml:space="preserve">enables the CO to work </w:t>
      </w:r>
      <w:r w:rsidR="00260AFB">
        <w:rPr>
          <w:rFonts w:cs="Arial"/>
          <w:sz w:val="24"/>
          <w:szCs w:val="24"/>
        </w:rPr>
        <w:t>on</w:t>
      </w:r>
      <w:r w:rsidR="00353674" w:rsidRPr="00082DE2">
        <w:rPr>
          <w:rFonts w:cs="Arial"/>
          <w:sz w:val="24"/>
          <w:szCs w:val="24"/>
        </w:rPr>
        <w:t xml:space="preserve"> partnership approach</w:t>
      </w:r>
      <w:r w:rsidR="00260AFB">
        <w:rPr>
          <w:rFonts w:cs="Arial"/>
          <w:sz w:val="24"/>
          <w:szCs w:val="24"/>
        </w:rPr>
        <w:t>es</w:t>
      </w:r>
      <w:r w:rsidR="00353674" w:rsidRPr="00082DE2">
        <w:rPr>
          <w:rFonts w:cs="Arial"/>
          <w:sz w:val="24"/>
          <w:szCs w:val="24"/>
        </w:rPr>
        <w:t xml:space="preserve"> with other development partners.</w:t>
      </w:r>
    </w:p>
    <w:p w14:paraId="23D87A2E" w14:textId="6C367B72" w:rsidR="00696A8B" w:rsidRPr="00082DE2" w:rsidRDefault="004B2AEB" w:rsidP="00A31C11">
      <w:pPr>
        <w:jc w:val="both"/>
        <w:rPr>
          <w:rFonts w:cs="Arial"/>
          <w:sz w:val="24"/>
          <w:szCs w:val="24"/>
        </w:rPr>
      </w:pPr>
      <w:r w:rsidRPr="00082DE2">
        <w:rPr>
          <w:rFonts w:cs="Arial"/>
          <w:sz w:val="24"/>
          <w:szCs w:val="24"/>
        </w:rPr>
        <w:t xml:space="preserve">The adoption of Sustainable Development Goals </w:t>
      </w:r>
      <w:r w:rsidR="004B661D">
        <w:rPr>
          <w:rFonts w:cs="Arial"/>
          <w:sz w:val="24"/>
          <w:szCs w:val="24"/>
        </w:rPr>
        <w:t xml:space="preserve">(SDGs) </w:t>
      </w:r>
      <w:r w:rsidRPr="00082DE2">
        <w:rPr>
          <w:rFonts w:cs="Arial"/>
          <w:sz w:val="24"/>
          <w:szCs w:val="24"/>
        </w:rPr>
        <w:t>has increased the d</w:t>
      </w:r>
      <w:r w:rsidR="00E022B4" w:rsidRPr="00082DE2">
        <w:rPr>
          <w:rFonts w:cs="Arial"/>
          <w:sz w:val="24"/>
          <w:szCs w:val="24"/>
        </w:rPr>
        <w:t>e</w:t>
      </w:r>
      <w:r w:rsidR="001D22DC" w:rsidRPr="00082DE2">
        <w:rPr>
          <w:rFonts w:cs="Arial"/>
          <w:sz w:val="24"/>
          <w:szCs w:val="24"/>
        </w:rPr>
        <w:t>mand</w:t>
      </w:r>
      <w:r w:rsidRPr="00082DE2">
        <w:rPr>
          <w:rFonts w:cs="Arial"/>
          <w:sz w:val="24"/>
          <w:szCs w:val="24"/>
        </w:rPr>
        <w:t xml:space="preserve"> for development resources</w:t>
      </w:r>
      <w:r w:rsidR="001D22DC" w:rsidRPr="00082DE2">
        <w:rPr>
          <w:rFonts w:cs="Arial"/>
          <w:sz w:val="24"/>
          <w:szCs w:val="24"/>
        </w:rPr>
        <w:t xml:space="preserve"> in an increasingly competitive environment. </w:t>
      </w:r>
      <w:r w:rsidRPr="00082DE2">
        <w:rPr>
          <w:rFonts w:cs="Arial"/>
          <w:sz w:val="24"/>
          <w:szCs w:val="24"/>
        </w:rPr>
        <w:t>This</w:t>
      </w:r>
      <w:r w:rsidR="00944A59" w:rsidRPr="00082DE2">
        <w:rPr>
          <w:rFonts w:cs="Arial"/>
          <w:sz w:val="24"/>
          <w:szCs w:val="24"/>
        </w:rPr>
        <w:t xml:space="preserve"> </w:t>
      </w:r>
      <w:r w:rsidR="00E022B4" w:rsidRPr="00082DE2">
        <w:rPr>
          <w:rFonts w:cs="Arial"/>
          <w:sz w:val="24"/>
          <w:szCs w:val="24"/>
        </w:rPr>
        <w:t>call</w:t>
      </w:r>
      <w:r w:rsidRPr="00082DE2">
        <w:rPr>
          <w:rFonts w:cs="Arial"/>
          <w:sz w:val="24"/>
          <w:szCs w:val="24"/>
        </w:rPr>
        <w:t xml:space="preserve">s for greater and more concerted </w:t>
      </w:r>
      <w:r w:rsidR="00E022B4" w:rsidRPr="00082DE2">
        <w:rPr>
          <w:rFonts w:cs="Arial"/>
          <w:sz w:val="24"/>
          <w:szCs w:val="24"/>
        </w:rPr>
        <w:t xml:space="preserve">efforts </w:t>
      </w:r>
      <w:r w:rsidR="00944A59" w:rsidRPr="00082DE2">
        <w:rPr>
          <w:rFonts w:cs="Arial"/>
          <w:sz w:val="24"/>
          <w:szCs w:val="24"/>
        </w:rPr>
        <w:t>in resource mobilization initiatives</w:t>
      </w:r>
      <w:r w:rsidR="00696A8B" w:rsidRPr="00082DE2">
        <w:rPr>
          <w:rFonts w:cs="Arial"/>
          <w:sz w:val="24"/>
          <w:szCs w:val="24"/>
        </w:rPr>
        <w:t xml:space="preserve"> than </w:t>
      </w:r>
      <w:r w:rsidR="001D22DC" w:rsidRPr="00082DE2">
        <w:rPr>
          <w:rFonts w:cs="Arial"/>
          <w:sz w:val="24"/>
          <w:szCs w:val="24"/>
        </w:rPr>
        <w:t xml:space="preserve">previously </w:t>
      </w:r>
      <w:r w:rsidR="00FB74B7">
        <w:rPr>
          <w:rFonts w:cs="Arial"/>
          <w:sz w:val="24"/>
          <w:szCs w:val="24"/>
        </w:rPr>
        <w:t>undertaken</w:t>
      </w:r>
      <w:r w:rsidR="00E022B4" w:rsidRPr="00082DE2">
        <w:rPr>
          <w:rFonts w:cs="Arial"/>
          <w:sz w:val="24"/>
          <w:szCs w:val="24"/>
        </w:rPr>
        <w:t xml:space="preserve">.   </w:t>
      </w:r>
    </w:p>
    <w:p w14:paraId="54E22D81" w14:textId="459B0CE8" w:rsidR="00E022B4" w:rsidRDefault="004B2AEB" w:rsidP="00A31C11">
      <w:pPr>
        <w:jc w:val="both"/>
        <w:rPr>
          <w:rFonts w:cs="Arial"/>
          <w:sz w:val="24"/>
          <w:szCs w:val="24"/>
        </w:rPr>
      </w:pPr>
      <w:r w:rsidRPr="00082DE2">
        <w:rPr>
          <w:rFonts w:cs="Arial"/>
          <w:sz w:val="24"/>
          <w:szCs w:val="24"/>
        </w:rPr>
        <w:t>T</w:t>
      </w:r>
      <w:r w:rsidR="00E022B4" w:rsidRPr="00082DE2">
        <w:rPr>
          <w:rFonts w:cs="Arial"/>
          <w:sz w:val="24"/>
          <w:szCs w:val="24"/>
        </w:rPr>
        <w:t xml:space="preserve">he Country Office has prepared a resource mobilization </w:t>
      </w:r>
      <w:r w:rsidR="00366A63">
        <w:rPr>
          <w:rFonts w:cs="Arial"/>
          <w:sz w:val="24"/>
          <w:szCs w:val="24"/>
        </w:rPr>
        <w:t xml:space="preserve">action </w:t>
      </w:r>
      <w:r w:rsidR="00E022B4" w:rsidRPr="00082DE2">
        <w:rPr>
          <w:rFonts w:cs="Arial"/>
          <w:sz w:val="24"/>
          <w:szCs w:val="24"/>
        </w:rPr>
        <w:t xml:space="preserve">plan to guide and </w:t>
      </w:r>
      <w:r w:rsidR="00944A59" w:rsidRPr="00082DE2">
        <w:rPr>
          <w:rFonts w:cs="Arial"/>
          <w:sz w:val="24"/>
          <w:szCs w:val="24"/>
        </w:rPr>
        <w:t xml:space="preserve">facilitate </w:t>
      </w:r>
      <w:r w:rsidR="00E022B4" w:rsidRPr="00082DE2">
        <w:rPr>
          <w:rFonts w:cs="Arial"/>
          <w:sz w:val="24"/>
          <w:szCs w:val="24"/>
        </w:rPr>
        <w:t>coordinat</w:t>
      </w:r>
      <w:r w:rsidR="00944A59" w:rsidRPr="00082DE2">
        <w:rPr>
          <w:rFonts w:cs="Arial"/>
          <w:sz w:val="24"/>
          <w:szCs w:val="24"/>
        </w:rPr>
        <w:t>ion of</w:t>
      </w:r>
      <w:r w:rsidR="00E022B4" w:rsidRPr="00082DE2">
        <w:rPr>
          <w:rFonts w:cs="Arial"/>
          <w:sz w:val="24"/>
          <w:szCs w:val="24"/>
        </w:rPr>
        <w:t xml:space="preserve"> its efforts</w:t>
      </w:r>
      <w:r w:rsidR="00696A8B" w:rsidRPr="00082DE2">
        <w:rPr>
          <w:rFonts w:cs="Arial"/>
          <w:sz w:val="24"/>
          <w:szCs w:val="24"/>
        </w:rPr>
        <w:t xml:space="preserve"> in order to sustain and increase levels of donor contribution</w:t>
      </w:r>
      <w:r w:rsidR="00FB74B7">
        <w:rPr>
          <w:rFonts w:cs="Arial"/>
          <w:sz w:val="24"/>
          <w:szCs w:val="24"/>
        </w:rPr>
        <w:t>s</w:t>
      </w:r>
      <w:r w:rsidR="00696A8B" w:rsidRPr="00082DE2">
        <w:rPr>
          <w:rFonts w:cs="Arial"/>
          <w:sz w:val="24"/>
          <w:szCs w:val="24"/>
        </w:rPr>
        <w:t xml:space="preserve"> to its programmes</w:t>
      </w:r>
      <w:r w:rsidR="00500FD9" w:rsidRPr="00082DE2">
        <w:rPr>
          <w:rFonts w:cs="Arial"/>
          <w:sz w:val="24"/>
          <w:szCs w:val="24"/>
        </w:rPr>
        <w:t xml:space="preserve"> </w:t>
      </w:r>
      <w:r w:rsidR="00FB74B7">
        <w:rPr>
          <w:rFonts w:cs="Arial"/>
          <w:sz w:val="24"/>
          <w:szCs w:val="24"/>
        </w:rPr>
        <w:t>while</w:t>
      </w:r>
      <w:r w:rsidR="00500FD9" w:rsidRPr="00082DE2">
        <w:rPr>
          <w:rFonts w:cs="Arial"/>
          <w:sz w:val="24"/>
          <w:szCs w:val="24"/>
        </w:rPr>
        <w:t xml:space="preserve"> expand</w:t>
      </w:r>
      <w:r w:rsidR="00FB74B7">
        <w:rPr>
          <w:rFonts w:cs="Arial"/>
          <w:sz w:val="24"/>
          <w:szCs w:val="24"/>
        </w:rPr>
        <w:t>ing</w:t>
      </w:r>
      <w:r w:rsidR="00500FD9" w:rsidRPr="00082DE2">
        <w:rPr>
          <w:rFonts w:cs="Arial"/>
          <w:sz w:val="24"/>
          <w:szCs w:val="24"/>
        </w:rPr>
        <w:t xml:space="preserve"> the donor base</w:t>
      </w:r>
      <w:r w:rsidR="00696A8B" w:rsidRPr="00082DE2">
        <w:rPr>
          <w:rFonts w:cs="Arial"/>
          <w:sz w:val="24"/>
          <w:szCs w:val="24"/>
        </w:rPr>
        <w:t>.</w:t>
      </w:r>
    </w:p>
    <w:p w14:paraId="684AF147" w14:textId="77777777" w:rsidR="000264AA" w:rsidRDefault="000264AA" w:rsidP="00A31C11">
      <w:pPr>
        <w:jc w:val="both"/>
        <w:rPr>
          <w:rFonts w:cs="Arial"/>
          <w:sz w:val="24"/>
          <w:szCs w:val="24"/>
        </w:rPr>
      </w:pPr>
    </w:p>
    <w:p w14:paraId="03F88037" w14:textId="77777777" w:rsidR="006B5557" w:rsidRPr="00082DE2" w:rsidRDefault="006B5557" w:rsidP="000264AA">
      <w:pPr>
        <w:pStyle w:val="ListParagraph"/>
        <w:numPr>
          <w:ilvl w:val="0"/>
          <w:numId w:val="11"/>
        </w:numPr>
        <w:jc w:val="both"/>
        <w:outlineLvl w:val="0"/>
        <w:rPr>
          <w:b/>
          <w:sz w:val="24"/>
          <w:szCs w:val="24"/>
        </w:rPr>
      </w:pPr>
      <w:bookmarkStart w:id="1" w:name="_Toc454521933"/>
      <w:r w:rsidRPr="00082DE2">
        <w:rPr>
          <w:b/>
          <w:sz w:val="24"/>
          <w:szCs w:val="24"/>
        </w:rPr>
        <w:t>Donor</w:t>
      </w:r>
      <w:r w:rsidR="0002655C" w:rsidRPr="00082DE2">
        <w:rPr>
          <w:b/>
          <w:sz w:val="24"/>
          <w:szCs w:val="24"/>
        </w:rPr>
        <w:t xml:space="preserve"> Resource </w:t>
      </w:r>
      <w:r w:rsidRPr="00082DE2">
        <w:rPr>
          <w:b/>
          <w:sz w:val="24"/>
          <w:szCs w:val="24"/>
        </w:rPr>
        <w:t>Flows</w:t>
      </w:r>
      <w:bookmarkEnd w:id="1"/>
    </w:p>
    <w:p w14:paraId="41CA7AC9" w14:textId="582FC30D" w:rsidR="00DE0870" w:rsidRPr="00C95CBF" w:rsidRDefault="00DE0870" w:rsidP="000264AA">
      <w:pPr>
        <w:pStyle w:val="Heading2"/>
        <w:rPr>
          <w:b/>
          <w:color w:val="auto"/>
          <w:sz w:val="24"/>
          <w:szCs w:val="24"/>
        </w:rPr>
      </w:pPr>
      <w:bookmarkStart w:id="2" w:name="_Toc454521934"/>
      <w:r w:rsidRPr="00C95CBF">
        <w:rPr>
          <w:b/>
          <w:color w:val="auto"/>
          <w:sz w:val="24"/>
          <w:szCs w:val="24"/>
        </w:rPr>
        <w:t>2.1 Donor receipts</w:t>
      </w:r>
      <w:bookmarkEnd w:id="2"/>
    </w:p>
    <w:p w14:paraId="6F5B62FE" w14:textId="682AD0F3" w:rsidR="006B5557" w:rsidRPr="00082DE2" w:rsidRDefault="006B5557" w:rsidP="006B5557">
      <w:pPr>
        <w:jc w:val="both"/>
        <w:rPr>
          <w:sz w:val="24"/>
          <w:szCs w:val="24"/>
        </w:rPr>
      </w:pPr>
      <w:r w:rsidRPr="00082DE2">
        <w:rPr>
          <w:sz w:val="24"/>
          <w:szCs w:val="24"/>
        </w:rPr>
        <w:t xml:space="preserve">Between 2012 and 2015, UNDP </w:t>
      </w:r>
      <w:r w:rsidR="00383D05" w:rsidRPr="00082DE2">
        <w:rPr>
          <w:sz w:val="24"/>
          <w:szCs w:val="24"/>
        </w:rPr>
        <w:t>mobilized</w:t>
      </w:r>
      <w:r w:rsidRPr="00082DE2">
        <w:rPr>
          <w:sz w:val="24"/>
          <w:szCs w:val="24"/>
        </w:rPr>
        <w:t xml:space="preserve"> $4</w:t>
      </w:r>
      <w:r w:rsidR="00383D05" w:rsidRPr="00082DE2">
        <w:rPr>
          <w:sz w:val="24"/>
          <w:szCs w:val="24"/>
        </w:rPr>
        <w:t>6,890,847</w:t>
      </w:r>
      <w:r w:rsidRPr="00082DE2">
        <w:rPr>
          <w:sz w:val="24"/>
          <w:szCs w:val="24"/>
        </w:rPr>
        <w:t xml:space="preserve"> </w:t>
      </w:r>
      <w:r w:rsidR="00FB74B7">
        <w:rPr>
          <w:sz w:val="24"/>
          <w:szCs w:val="24"/>
        </w:rPr>
        <w:t xml:space="preserve">in </w:t>
      </w:r>
      <w:r w:rsidRPr="00082DE2">
        <w:rPr>
          <w:sz w:val="24"/>
          <w:szCs w:val="24"/>
        </w:rPr>
        <w:t>non-core r</w:t>
      </w:r>
      <w:r w:rsidR="00ED13D5" w:rsidRPr="00082DE2">
        <w:rPr>
          <w:sz w:val="24"/>
          <w:szCs w:val="24"/>
        </w:rPr>
        <w:t xml:space="preserve">esources. The key donors </w:t>
      </w:r>
      <w:r w:rsidR="00FB74B7">
        <w:rPr>
          <w:sz w:val="24"/>
          <w:szCs w:val="24"/>
        </w:rPr>
        <w:t>over this period were</w:t>
      </w:r>
      <w:r w:rsidR="00ED13D5" w:rsidRPr="00082DE2">
        <w:rPr>
          <w:sz w:val="24"/>
          <w:szCs w:val="24"/>
        </w:rPr>
        <w:t xml:space="preserve"> </w:t>
      </w:r>
      <w:r w:rsidRPr="00082DE2">
        <w:rPr>
          <w:sz w:val="24"/>
          <w:szCs w:val="24"/>
        </w:rPr>
        <w:t xml:space="preserve">the EU, DFID, Norway, </w:t>
      </w:r>
      <w:r w:rsidR="00ED13D5" w:rsidRPr="00082DE2">
        <w:rPr>
          <w:sz w:val="24"/>
          <w:szCs w:val="24"/>
        </w:rPr>
        <w:t xml:space="preserve">Irish Aid, </w:t>
      </w:r>
      <w:r w:rsidR="00383D05" w:rsidRPr="00082DE2">
        <w:rPr>
          <w:sz w:val="24"/>
          <w:szCs w:val="24"/>
        </w:rPr>
        <w:t xml:space="preserve">GEF </w:t>
      </w:r>
      <w:r w:rsidRPr="00082DE2">
        <w:rPr>
          <w:sz w:val="24"/>
          <w:szCs w:val="24"/>
        </w:rPr>
        <w:t xml:space="preserve">and the Government of Malawi – Ministry of Health.  </w:t>
      </w:r>
    </w:p>
    <w:p w14:paraId="196D875C" w14:textId="3F13FEE4" w:rsidR="00BD04FF" w:rsidRDefault="006B5557" w:rsidP="00082DE2">
      <w:pPr>
        <w:jc w:val="both"/>
        <w:rPr>
          <w:sz w:val="24"/>
          <w:szCs w:val="24"/>
        </w:rPr>
      </w:pPr>
      <w:r w:rsidRPr="00082DE2">
        <w:rPr>
          <w:sz w:val="24"/>
          <w:szCs w:val="24"/>
        </w:rPr>
        <w:t xml:space="preserve">Table 1 shows </w:t>
      </w:r>
      <w:r w:rsidR="00944A59" w:rsidRPr="00082DE2">
        <w:rPr>
          <w:sz w:val="24"/>
          <w:szCs w:val="24"/>
        </w:rPr>
        <w:t>the flow resources from the key</w:t>
      </w:r>
      <w:r w:rsidRPr="00082DE2">
        <w:rPr>
          <w:sz w:val="24"/>
          <w:szCs w:val="24"/>
        </w:rPr>
        <w:t xml:space="preserve"> donor</w:t>
      </w:r>
      <w:r w:rsidR="00944A59" w:rsidRPr="00082DE2">
        <w:rPr>
          <w:sz w:val="24"/>
          <w:szCs w:val="24"/>
        </w:rPr>
        <w:t>s</w:t>
      </w:r>
      <w:r w:rsidRPr="00082DE2">
        <w:rPr>
          <w:sz w:val="24"/>
          <w:szCs w:val="24"/>
        </w:rPr>
        <w:t xml:space="preserve">. </w:t>
      </w:r>
      <w:r w:rsidR="009A79CC" w:rsidRPr="00082DE2">
        <w:rPr>
          <w:sz w:val="24"/>
          <w:szCs w:val="24"/>
        </w:rPr>
        <w:t>T</w:t>
      </w:r>
      <w:r w:rsidRPr="00082DE2">
        <w:rPr>
          <w:sz w:val="24"/>
          <w:szCs w:val="24"/>
        </w:rPr>
        <w:t xml:space="preserve">he </w:t>
      </w:r>
      <w:r w:rsidR="00ED13D5" w:rsidRPr="00082DE2">
        <w:rPr>
          <w:sz w:val="24"/>
          <w:szCs w:val="24"/>
        </w:rPr>
        <w:t xml:space="preserve">EU has been the largest donor </w:t>
      </w:r>
      <w:r w:rsidR="009A79CC" w:rsidRPr="00082DE2">
        <w:rPr>
          <w:sz w:val="24"/>
          <w:szCs w:val="24"/>
        </w:rPr>
        <w:t>to</w:t>
      </w:r>
      <w:r w:rsidR="00ED13D5" w:rsidRPr="00082DE2">
        <w:rPr>
          <w:sz w:val="24"/>
          <w:szCs w:val="24"/>
        </w:rPr>
        <w:t xml:space="preserve"> UNDP</w:t>
      </w:r>
      <w:r w:rsidR="00944A59" w:rsidRPr="00082DE2">
        <w:rPr>
          <w:sz w:val="24"/>
          <w:szCs w:val="24"/>
        </w:rPr>
        <w:t xml:space="preserve"> in Malawi</w:t>
      </w:r>
      <w:r w:rsidR="009A79CC" w:rsidRPr="00082DE2">
        <w:rPr>
          <w:sz w:val="24"/>
          <w:szCs w:val="24"/>
        </w:rPr>
        <w:t xml:space="preserve">, totaling </w:t>
      </w:r>
      <w:r w:rsidR="00383D05" w:rsidRPr="00082DE2">
        <w:rPr>
          <w:sz w:val="24"/>
          <w:szCs w:val="24"/>
        </w:rPr>
        <w:t>$11,971,711</w:t>
      </w:r>
      <w:r w:rsidRPr="00082DE2">
        <w:rPr>
          <w:sz w:val="24"/>
          <w:szCs w:val="24"/>
        </w:rPr>
        <w:t>.</w:t>
      </w:r>
      <w:r w:rsidR="00FB74B7">
        <w:rPr>
          <w:sz w:val="24"/>
          <w:szCs w:val="24"/>
        </w:rPr>
        <w:t xml:space="preserve"> </w:t>
      </w:r>
      <w:r w:rsidRPr="00082DE2">
        <w:rPr>
          <w:sz w:val="24"/>
          <w:szCs w:val="24"/>
        </w:rPr>
        <w:t xml:space="preserve">The bulk of these resources were provided for </w:t>
      </w:r>
      <w:r w:rsidR="00626336" w:rsidRPr="00082DE2">
        <w:rPr>
          <w:sz w:val="24"/>
          <w:szCs w:val="24"/>
        </w:rPr>
        <w:t>activities related to the 2014 tripartite elections</w:t>
      </w:r>
      <w:r w:rsidRPr="00082DE2">
        <w:rPr>
          <w:sz w:val="24"/>
          <w:szCs w:val="24"/>
        </w:rPr>
        <w:t>.</w:t>
      </w:r>
      <w:r w:rsidR="00FB74B7">
        <w:rPr>
          <w:sz w:val="24"/>
          <w:szCs w:val="24"/>
        </w:rPr>
        <w:t xml:space="preserve"> </w:t>
      </w:r>
      <w:r w:rsidRPr="00082DE2">
        <w:rPr>
          <w:sz w:val="24"/>
          <w:szCs w:val="24"/>
        </w:rPr>
        <w:t xml:space="preserve">DFID is the second largest donor with a </w:t>
      </w:r>
      <w:r w:rsidR="00383D05" w:rsidRPr="00082DE2">
        <w:rPr>
          <w:sz w:val="24"/>
          <w:szCs w:val="24"/>
        </w:rPr>
        <w:t>total contribution of $8,782,782</w:t>
      </w:r>
      <w:r w:rsidRPr="00082DE2">
        <w:rPr>
          <w:sz w:val="24"/>
          <w:szCs w:val="24"/>
        </w:rPr>
        <w:t>.  The funds were allocated to the Private Sector</w:t>
      </w:r>
      <w:r w:rsidR="00944A59" w:rsidRPr="00082DE2">
        <w:rPr>
          <w:sz w:val="24"/>
          <w:szCs w:val="24"/>
        </w:rPr>
        <w:t xml:space="preserve"> Development and Election</w:t>
      </w:r>
      <w:r w:rsidRPr="00082DE2">
        <w:rPr>
          <w:sz w:val="24"/>
          <w:szCs w:val="24"/>
        </w:rPr>
        <w:t xml:space="preserve"> projects. </w:t>
      </w:r>
      <w:r w:rsidR="00BD04FF">
        <w:rPr>
          <w:sz w:val="24"/>
          <w:szCs w:val="24"/>
        </w:rPr>
        <w:t xml:space="preserve">The contributions from EU, DFID, Irish Aid and Norway went up in 2013 and 2014 and significantly dropped in 2015 because </w:t>
      </w:r>
      <w:r w:rsidR="001432B9">
        <w:rPr>
          <w:sz w:val="24"/>
          <w:szCs w:val="24"/>
        </w:rPr>
        <w:t>the bulk of the funding was towards the 2014 tripartite elections which took place in 2014.</w:t>
      </w:r>
    </w:p>
    <w:p w14:paraId="1843352C" w14:textId="7518E2F4" w:rsidR="00082DE2" w:rsidRDefault="00BF1B43" w:rsidP="00082DE2">
      <w:pPr>
        <w:jc w:val="both"/>
        <w:rPr>
          <w:sz w:val="24"/>
          <w:szCs w:val="24"/>
        </w:rPr>
      </w:pPr>
      <w:r w:rsidRPr="00082DE2">
        <w:rPr>
          <w:sz w:val="24"/>
          <w:szCs w:val="24"/>
        </w:rPr>
        <w:t xml:space="preserve">GEF </w:t>
      </w:r>
      <w:r w:rsidR="00C71C8D" w:rsidRPr="00082DE2">
        <w:rPr>
          <w:sz w:val="24"/>
          <w:szCs w:val="24"/>
        </w:rPr>
        <w:t>represent</w:t>
      </w:r>
      <w:r w:rsidRPr="00082DE2">
        <w:rPr>
          <w:sz w:val="24"/>
          <w:szCs w:val="24"/>
        </w:rPr>
        <w:t>s</w:t>
      </w:r>
      <w:r w:rsidR="00082DE2" w:rsidRPr="00082DE2">
        <w:rPr>
          <w:sz w:val="24"/>
          <w:szCs w:val="24"/>
        </w:rPr>
        <w:t xml:space="preserve"> an important and growing source of non-core resources for the country moving from $769,570 in 2012 to $3,185,152</w:t>
      </w:r>
      <w:r w:rsidR="00FB74B7">
        <w:rPr>
          <w:sz w:val="24"/>
          <w:szCs w:val="24"/>
        </w:rPr>
        <w:t xml:space="preserve"> in </w:t>
      </w:r>
      <w:r w:rsidR="009D40B6">
        <w:rPr>
          <w:sz w:val="24"/>
          <w:szCs w:val="24"/>
        </w:rPr>
        <w:t>2015</w:t>
      </w:r>
      <w:r w:rsidR="00FB74B7">
        <w:rPr>
          <w:sz w:val="24"/>
          <w:szCs w:val="24"/>
        </w:rPr>
        <w:t>,</w:t>
      </w:r>
      <w:r w:rsidR="00082DE2" w:rsidRPr="00082DE2">
        <w:rPr>
          <w:sz w:val="24"/>
          <w:szCs w:val="24"/>
        </w:rPr>
        <w:t xml:space="preserve"> which translates into 15% and 26%, respectively of total non-core resources. The share of GEF </w:t>
      </w:r>
      <w:r w:rsidR="00FB74B7">
        <w:rPr>
          <w:sz w:val="24"/>
          <w:szCs w:val="24"/>
        </w:rPr>
        <w:t xml:space="preserve">funding </w:t>
      </w:r>
      <w:r w:rsidR="00082DE2" w:rsidRPr="00082DE2">
        <w:rPr>
          <w:sz w:val="24"/>
          <w:szCs w:val="24"/>
        </w:rPr>
        <w:t>to total non-core resources will remain significant as Malawi qualified for an</w:t>
      </w:r>
      <w:r w:rsidR="009D40B6">
        <w:rPr>
          <w:sz w:val="24"/>
          <w:szCs w:val="24"/>
        </w:rPr>
        <w:t xml:space="preserve"> allocation of approximately $12.3</w:t>
      </w:r>
      <w:r w:rsidR="00082DE2" w:rsidRPr="00082DE2">
        <w:rPr>
          <w:sz w:val="24"/>
          <w:szCs w:val="24"/>
        </w:rPr>
        <w:t xml:space="preserve"> million from the Green Climate Fund </w:t>
      </w:r>
      <w:r w:rsidR="00FB74B7">
        <w:rPr>
          <w:sz w:val="24"/>
          <w:szCs w:val="24"/>
        </w:rPr>
        <w:t>to be</w:t>
      </w:r>
      <w:r w:rsidR="00082DE2" w:rsidRPr="00082DE2">
        <w:rPr>
          <w:sz w:val="24"/>
          <w:szCs w:val="24"/>
        </w:rPr>
        <w:t xml:space="preserve"> programmed from 2016.</w:t>
      </w:r>
    </w:p>
    <w:p w14:paraId="0C8A4601" w14:textId="3BA5C834" w:rsidR="000264AA" w:rsidRDefault="000264AA" w:rsidP="000264AA">
      <w:pPr>
        <w:jc w:val="both"/>
        <w:rPr>
          <w:sz w:val="24"/>
          <w:szCs w:val="24"/>
        </w:rPr>
      </w:pPr>
      <w:r w:rsidRPr="00082DE2">
        <w:rPr>
          <w:sz w:val="24"/>
          <w:szCs w:val="24"/>
        </w:rPr>
        <w:t>The table also shows that the size of the programme has grown over time. Much of the funding is linked to projects which are closing in 2016, implying that respective contribution agreements are also expiring in December unless there are efforts and opportunities to extend the agreements.</w:t>
      </w:r>
    </w:p>
    <w:p w14:paraId="61FE4888" w14:textId="77777777" w:rsidR="004B661D" w:rsidRPr="00082DE2" w:rsidRDefault="004B661D" w:rsidP="000264AA">
      <w:pPr>
        <w:jc w:val="both"/>
        <w:rPr>
          <w:sz w:val="24"/>
          <w:szCs w:val="24"/>
        </w:rPr>
      </w:pPr>
    </w:p>
    <w:p w14:paraId="2A495C65" w14:textId="45A30227" w:rsidR="00383D05" w:rsidRPr="00082DE2" w:rsidRDefault="00383D05" w:rsidP="00383D05">
      <w:pPr>
        <w:spacing w:line="0" w:lineRule="atLeast"/>
        <w:jc w:val="both"/>
        <w:rPr>
          <w:rFonts w:eastAsia="Times New Roman"/>
          <w:sz w:val="24"/>
          <w:szCs w:val="24"/>
        </w:rPr>
      </w:pPr>
      <w:r w:rsidRPr="00082DE2">
        <w:rPr>
          <w:sz w:val="24"/>
          <w:szCs w:val="24"/>
        </w:rPr>
        <w:lastRenderedPageBreak/>
        <w:t xml:space="preserve">Table 1: </w:t>
      </w:r>
      <w:r w:rsidRPr="00082DE2">
        <w:rPr>
          <w:rFonts w:eastAsia="Times New Roman"/>
          <w:b/>
          <w:sz w:val="24"/>
          <w:szCs w:val="24"/>
        </w:rPr>
        <w:t xml:space="preserve">Cost-sharing </w:t>
      </w:r>
      <w:r w:rsidR="00990293">
        <w:rPr>
          <w:rFonts w:eastAsia="Times New Roman"/>
          <w:b/>
          <w:sz w:val="24"/>
          <w:szCs w:val="24"/>
        </w:rPr>
        <w:t xml:space="preserve">Resources </w:t>
      </w:r>
      <w:r w:rsidRPr="00082DE2">
        <w:rPr>
          <w:rFonts w:eastAsia="Times New Roman"/>
          <w:b/>
          <w:sz w:val="24"/>
          <w:szCs w:val="24"/>
        </w:rPr>
        <w:t xml:space="preserve">by Donor, 2012-2015 </w:t>
      </w:r>
      <w:r w:rsidR="00C71C8D" w:rsidRPr="00082DE2">
        <w:rPr>
          <w:rFonts w:eastAsia="Times New Roman"/>
          <w:sz w:val="24"/>
          <w:szCs w:val="24"/>
        </w:rPr>
        <w:t>($</w:t>
      </w:r>
      <w:r w:rsidRPr="00082DE2">
        <w:rPr>
          <w:rFonts w:eastAsia="Times New Roman"/>
          <w:sz w:val="24"/>
          <w:szCs w:val="24"/>
        </w:rPr>
        <w:t>)</w:t>
      </w:r>
    </w:p>
    <w:tbl>
      <w:tblPr>
        <w:tblW w:w="9355" w:type="dxa"/>
        <w:tblLook w:val="04A0" w:firstRow="1" w:lastRow="0" w:firstColumn="1" w:lastColumn="0" w:noHBand="0" w:noVBand="1"/>
      </w:tblPr>
      <w:tblGrid>
        <w:gridCol w:w="2155"/>
        <w:gridCol w:w="1530"/>
        <w:gridCol w:w="1530"/>
        <w:gridCol w:w="1260"/>
        <w:gridCol w:w="1350"/>
        <w:gridCol w:w="1530"/>
      </w:tblGrid>
      <w:tr w:rsidR="00C71C8D" w:rsidRPr="00082DE2" w14:paraId="171EF4CF" w14:textId="77777777" w:rsidTr="00082DE2">
        <w:trPr>
          <w:trHeight w:val="431"/>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8E2F3"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DONOR</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0778156" w14:textId="77777777" w:rsidR="00383D05" w:rsidRPr="00B85500" w:rsidRDefault="00383D05" w:rsidP="009D40B6">
            <w:pPr>
              <w:spacing w:after="0" w:line="0" w:lineRule="atLeast"/>
              <w:jc w:val="center"/>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2012</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3A979CA" w14:textId="77777777" w:rsidR="00383D05" w:rsidRPr="00B85500" w:rsidRDefault="00383D05" w:rsidP="009D40B6">
            <w:pPr>
              <w:spacing w:after="0" w:line="0" w:lineRule="atLeast"/>
              <w:jc w:val="center"/>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2013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7B2010B" w14:textId="77777777" w:rsidR="00383D05" w:rsidRPr="00B85500" w:rsidRDefault="00383D05" w:rsidP="009D40B6">
            <w:pPr>
              <w:spacing w:after="0" w:line="0" w:lineRule="atLeast"/>
              <w:jc w:val="center"/>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2014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2DEC17D" w14:textId="77777777" w:rsidR="00383D05" w:rsidRPr="00B85500" w:rsidRDefault="00383D05" w:rsidP="009D40B6">
            <w:pPr>
              <w:spacing w:after="0" w:line="0" w:lineRule="atLeast"/>
              <w:jc w:val="center"/>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2015</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76B19E9D"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TOTAL</w:t>
            </w:r>
          </w:p>
        </w:tc>
      </w:tr>
      <w:tr w:rsidR="00C71C8D" w:rsidRPr="00082DE2" w14:paraId="4B5EAFA5" w14:textId="77777777" w:rsidTr="00082DE2">
        <w:trPr>
          <w:trHeight w:val="296"/>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9A261C6"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EU/EC</w:t>
            </w:r>
          </w:p>
        </w:tc>
        <w:tc>
          <w:tcPr>
            <w:tcW w:w="1530" w:type="dxa"/>
            <w:tcBorders>
              <w:top w:val="nil"/>
              <w:left w:val="nil"/>
              <w:bottom w:val="single" w:sz="4" w:space="0" w:color="auto"/>
              <w:right w:val="single" w:sz="4" w:space="0" w:color="auto"/>
            </w:tcBorders>
            <w:shd w:val="clear" w:color="auto" w:fill="auto"/>
            <w:noWrap/>
            <w:vAlign w:val="bottom"/>
            <w:hideMark/>
          </w:tcPr>
          <w:p w14:paraId="058DA1BB"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904,556 </w:t>
            </w:r>
          </w:p>
        </w:tc>
        <w:tc>
          <w:tcPr>
            <w:tcW w:w="1530" w:type="dxa"/>
            <w:tcBorders>
              <w:top w:val="nil"/>
              <w:left w:val="nil"/>
              <w:bottom w:val="single" w:sz="4" w:space="0" w:color="auto"/>
              <w:right w:val="single" w:sz="4" w:space="0" w:color="auto"/>
            </w:tcBorders>
            <w:shd w:val="clear" w:color="auto" w:fill="auto"/>
            <w:noWrap/>
            <w:vAlign w:val="bottom"/>
            <w:hideMark/>
          </w:tcPr>
          <w:p w14:paraId="25822A46"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5,643,318 </w:t>
            </w:r>
          </w:p>
        </w:tc>
        <w:tc>
          <w:tcPr>
            <w:tcW w:w="1260" w:type="dxa"/>
            <w:tcBorders>
              <w:top w:val="nil"/>
              <w:left w:val="nil"/>
              <w:bottom w:val="single" w:sz="4" w:space="0" w:color="auto"/>
              <w:right w:val="single" w:sz="4" w:space="0" w:color="auto"/>
            </w:tcBorders>
            <w:shd w:val="clear" w:color="auto" w:fill="auto"/>
            <w:noWrap/>
            <w:vAlign w:val="bottom"/>
            <w:hideMark/>
          </w:tcPr>
          <w:p w14:paraId="0D9C80C5"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4,276,559 </w:t>
            </w:r>
          </w:p>
        </w:tc>
        <w:tc>
          <w:tcPr>
            <w:tcW w:w="1350" w:type="dxa"/>
            <w:tcBorders>
              <w:top w:val="nil"/>
              <w:left w:val="nil"/>
              <w:bottom w:val="single" w:sz="4" w:space="0" w:color="auto"/>
              <w:right w:val="single" w:sz="4" w:space="0" w:color="auto"/>
            </w:tcBorders>
            <w:shd w:val="clear" w:color="auto" w:fill="auto"/>
            <w:noWrap/>
            <w:vAlign w:val="bottom"/>
            <w:hideMark/>
          </w:tcPr>
          <w:p w14:paraId="4804C807"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1,147,278 </w:t>
            </w:r>
          </w:p>
        </w:tc>
        <w:tc>
          <w:tcPr>
            <w:tcW w:w="1530" w:type="dxa"/>
            <w:tcBorders>
              <w:top w:val="nil"/>
              <w:left w:val="nil"/>
              <w:bottom w:val="single" w:sz="4" w:space="0" w:color="auto"/>
              <w:right w:val="single" w:sz="4" w:space="0" w:color="auto"/>
            </w:tcBorders>
            <w:shd w:val="clear" w:color="auto" w:fill="auto"/>
            <w:noWrap/>
            <w:vAlign w:val="bottom"/>
            <w:hideMark/>
          </w:tcPr>
          <w:p w14:paraId="7A7A92CD" w14:textId="116E2BF7" w:rsidR="00383D05" w:rsidRPr="00B85500" w:rsidRDefault="00AB701B" w:rsidP="00383D05">
            <w:pPr>
              <w:spacing w:after="0" w:line="0" w:lineRule="atLeast"/>
              <w:rPr>
                <w:rFonts w:ascii="Calibri" w:eastAsia="Times New Roman" w:hAnsi="Calibri" w:cs="Times New Roman"/>
                <w:b/>
                <w:bCs/>
                <w:color w:val="000000"/>
                <w:sz w:val="20"/>
                <w:szCs w:val="20"/>
              </w:rPr>
            </w:pPr>
            <w:r w:rsidRPr="00082DE2">
              <w:rPr>
                <w:rFonts w:ascii="Calibri" w:eastAsia="Times New Roman" w:hAnsi="Calibri" w:cs="Times New Roman"/>
                <w:b/>
                <w:bCs/>
                <w:color w:val="000000"/>
                <w:sz w:val="20"/>
                <w:szCs w:val="20"/>
              </w:rPr>
              <w:t xml:space="preserve"> 11,971,711</w:t>
            </w:r>
          </w:p>
        </w:tc>
      </w:tr>
      <w:tr w:rsidR="00C71C8D" w:rsidRPr="00082DE2" w14:paraId="53D0B648" w14:textId="77777777" w:rsidTr="00082DE2">
        <w:trPr>
          <w:trHeight w:val="28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A851972"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DFID</w:t>
            </w:r>
          </w:p>
        </w:tc>
        <w:tc>
          <w:tcPr>
            <w:tcW w:w="1530" w:type="dxa"/>
            <w:tcBorders>
              <w:top w:val="nil"/>
              <w:left w:val="nil"/>
              <w:bottom w:val="single" w:sz="4" w:space="0" w:color="auto"/>
              <w:right w:val="single" w:sz="4" w:space="0" w:color="auto"/>
            </w:tcBorders>
            <w:shd w:val="clear" w:color="auto" w:fill="auto"/>
            <w:noWrap/>
            <w:vAlign w:val="bottom"/>
            <w:hideMark/>
          </w:tcPr>
          <w:p w14:paraId="2F2DEF59"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044075F"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2,227,867 </w:t>
            </w:r>
          </w:p>
        </w:tc>
        <w:tc>
          <w:tcPr>
            <w:tcW w:w="1260" w:type="dxa"/>
            <w:tcBorders>
              <w:top w:val="nil"/>
              <w:left w:val="nil"/>
              <w:bottom w:val="single" w:sz="4" w:space="0" w:color="auto"/>
              <w:right w:val="single" w:sz="4" w:space="0" w:color="auto"/>
            </w:tcBorders>
            <w:shd w:val="clear" w:color="auto" w:fill="auto"/>
            <w:noWrap/>
            <w:vAlign w:val="bottom"/>
            <w:hideMark/>
          </w:tcPr>
          <w:p w14:paraId="1CDB796B"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3,461,377 </w:t>
            </w:r>
          </w:p>
        </w:tc>
        <w:tc>
          <w:tcPr>
            <w:tcW w:w="1350" w:type="dxa"/>
            <w:tcBorders>
              <w:top w:val="nil"/>
              <w:left w:val="nil"/>
              <w:bottom w:val="single" w:sz="4" w:space="0" w:color="auto"/>
              <w:right w:val="single" w:sz="4" w:space="0" w:color="auto"/>
            </w:tcBorders>
            <w:shd w:val="clear" w:color="auto" w:fill="auto"/>
            <w:noWrap/>
            <w:vAlign w:val="bottom"/>
            <w:hideMark/>
          </w:tcPr>
          <w:p w14:paraId="2ACDB04D"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3,093,538 </w:t>
            </w:r>
          </w:p>
        </w:tc>
        <w:tc>
          <w:tcPr>
            <w:tcW w:w="1530" w:type="dxa"/>
            <w:tcBorders>
              <w:top w:val="nil"/>
              <w:left w:val="nil"/>
              <w:bottom w:val="single" w:sz="4" w:space="0" w:color="auto"/>
              <w:right w:val="single" w:sz="4" w:space="0" w:color="auto"/>
            </w:tcBorders>
            <w:shd w:val="clear" w:color="auto" w:fill="auto"/>
            <w:noWrap/>
            <w:vAlign w:val="bottom"/>
            <w:hideMark/>
          </w:tcPr>
          <w:p w14:paraId="2FF136D1" w14:textId="18E038F8"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 xml:space="preserve">      </w:t>
            </w:r>
            <w:r w:rsidR="00AB701B" w:rsidRPr="00082DE2">
              <w:rPr>
                <w:rFonts w:ascii="Calibri" w:eastAsia="Times New Roman" w:hAnsi="Calibri" w:cs="Times New Roman"/>
                <w:b/>
                <w:bCs/>
                <w:color w:val="000000"/>
                <w:sz w:val="20"/>
                <w:szCs w:val="20"/>
              </w:rPr>
              <w:t>8,782,782</w:t>
            </w:r>
          </w:p>
        </w:tc>
      </w:tr>
      <w:tr w:rsidR="00C71C8D" w:rsidRPr="00082DE2" w14:paraId="3268967A" w14:textId="77777777" w:rsidTr="00082DE2">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8EDD781"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NORWAY</w:t>
            </w:r>
          </w:p>
        </w:tc>
        <w:tc>
          <w:tcPr>
            <w:tcW w:w="1530" w:type="dxa"/>
            <w:tcBorders>
              <w:top w:val="nil"/>
              <w:left w:val="nil"/>
              <w:bottom w:val="single" w:sz="4" w:space="0" w:color="auto"/>
              <w:right w:val="single" w:sz="4" w:space="0" w:color="auto"/>
            </w:tcBorders>
            <w:shd w:val="clear" w:color="auto" w:fill="auto"/>
            <w:noWrap/>
            <w:vAlign w:val="bottom"/>
            <w:hideMark/>
          </w:tcPr>
          <w:p w14:paraId="27712032"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865,113 </w:t>
            </w:r>
          </w:p>
        </w:tc>
        <w:tc>
          <w:tcPr>
            <w:tcW w:w="1530" w:type="dxa"/>
            <w:tcBorders>
              <w:top w:val="nil"/>
              <w:left w:val="nil"/>
              <w:bottom w:val="single" w:sz="4" w:space="0" w:color="auto"/>
              <w:right w:val="single" w:sz="4" w:space="0" w:color="auto"/>
            </w:tcBorders>
            <w:shd w:val="clear" w:color="auto" w:fill="auto"/>
            <w:noWrap/>
            <w:vAlign w:val="bottom"/>
            <w:hideMark/>
          </w:tcPr>
          <w:p w14:paraId="39ECD7B6"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4,102,414 </w:t>
            </w:r>
          </w:p>
        </w:tc>
        <w:tc>
          <w:tcPr>
            <w:tcW w:w="1260" w:type="dxa"/>
            <w:tcBorders>
              <w:top w:val="nil"/>
              <w:left w:val="nil"/>
              <w:bottom w:val="single" w:sz="4" w:space="0" w:color="auto"/>
              <w:right w:val="single" w:sz="4" w:space="0" w:color="auto"/>
            </w:tcBorders>
            <w:shd w:val="clear" w:color="auto" w:fill="auto"/>
            <w:noWrap/>
            <w:vAlign w:val="bottom"/>
            <w:hideMark/>
          </w:tcPr>
          <w:p w14:paraId="4E1C27C6"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2,164,723 </w:t>
            </w:r>
          </w:p>
        </w:tc>
        <w:tc>
          <w:tcPr>
            <w:tcW w:w="1350" w:type="dxa"/>
            <w:tcBorders>
              <w:top w:val="nil"/>
              <w:left w:val="nil"/>
              <w:bottom w:val="single" w:sz="4" w:space="0" w:color="auto"/>
              <w:right w:val="single" w:sz="4" w:space="0" w:color="auto"/>
            </w:tcBorders>
            <w:shd w:val="clear" w:color="auto" w:fill="auto"/>
            <w:noWrap/>
            <w:vAlign w:val="bottom"/>
            <w:hideMark/>
          </w:tcPr>
          <w:p w14:paraId="292EBBC9"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519,763 </w:t>
            </w:r>
          </w:p>
        </w:tc>
        <w:tc>
          <w:tcPr>
            <w:tcW w:w="1530" w:type="dxa"/>
            <w:tcBorders>
              <w:top w:val="nil"/>
              <w:left w:val="nil"/>
              <w:bottom w:val="single" w:sz="4" w:space="0" w:color="auto"/>
              <w:right w:val="single" w:sz="4" w:space="0" w:color="auto"/>
            </w:tcBorders>
            <w:shd w:val="clear" w:color="auto" w:fill="auto"/>
            <w:noWrap/>
            <w:vAlign w:val="bottom"/>
            <w:hideMark/>
          </w:tcPr>
          <w:p w14:paraId="00E6D43B" w14:textId="0B03E0D1" w:rsidR="00383D05" w:rsidRPr="00B85500" w:rsidRDefault="00AB701B" w:rsidP="00383D05">
            <w:pPr>
              <w:spacing w:after="0" w:line="0" w:lineRule="atLeast"/>
              <w:rPr>
                <w:rFonts w:ascii="Calibri" w:eastAsia="Times New Roman" w:hAnsi="Calibri" w:cs="Times New Roman"/>
                <w:b/>
                <w:bCs/>
                <w:color w:val="000000"/>
                <w:sz w:val="20"/>
                <w:szCs w:val="20"/>
              </w:rPr>
            </w:pPr>
            <w:r w:rsidRPr="00082DE2">
              <w:rPr>
                <w:rFonts w:ascii="Calibri" w:eastAsia="Times New Roman" w:hAnsi="Calibri" w:cs="Times New Roman"/>
                <w:b/>
                <w:bCs/>
                <w:color w:val="000000"/>
                <w:sz w:val="20"/>
                <w:szCs w:val="20"/>
              </w:rPr>
              <w:t xml:space="preserve">      7,652,013</w:t>
            </w:r>
            <w:r w:rsidR="00383D05" w:rsidRPr="00B85500">
              <w:rPr>
                <w:rFonts w:ascii="Calibri" w:eastAsia="Times New Roman" w:hAnsi="Calibri" w:cs="Times New Roman"/>
                <w:b/>
                <w:bCs/>
                <w:color w:val="000000"/>
                <w:sz w:val="20"/>
                <w:szCs w:val="20"/>
              </w:rPr>
              <w:t xml:space="preserve"> </w:t>
            </w:r>
          </w:p>
        </w:tc>
      </w:tr>
      <w:tr w:rsidR="00C71C8D" w:rsidRPr="00082DE2" w14:paraId="0FEE9094" w14:textId="77777777" w:rsidTr="00082DE2">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161A541"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IRISH</w:t>
            </w:r>
          </w:p>
        </w:tc>
        <w:tc>
          <w:tcPr>
            <w:tcW w:w="1530" w:type="dxa"/>
            <w:tcBorders>
              <w:top w:val="nil"/>
              <w:left w:val="nil"/>
              <w:bottom w:val="single" w:sz="4" w:space="0" w:color="auto"/>
              <w:right w:val="single" w:sz="4" w:space="0" w:color="auto"/>
            </w:tcBorders>
            <w:shd w:val="clear" w:color="auto" w:fill="auto"/>
            <w:noWrap/>
            <w:vAlign w:val="bottom"/>
            <w:hideMark/>
          </w:tcPr>
          <w:p w14:paraId="4A0D9946"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289,856 </w:t>
            </w:r>
          </w:p>
        </w:tc>
        <w:tc>
          <w:tcPr>
            <w:tcW w:w="1530" w:type="dxa"/>
            <w:tcBorders>
              <w:top w:val="nil"/>
              <w:left w:val="nil"/>
              <w:bottom w:val="single" w:sz="4" w:space="0" w:color="auto"/>
              <w:right w:val="single" w:sz="4" w:space="0" w:color="auto"/>
            </w:tcBorders>
            <w:shd w:val="clear" w:color="auto" w:fill="auto"/>
            <w:noWrap/>
            <w:vAlign w:val="bottom"/>
            <w:hideMark/>
          </w:tcPr>
          <w:p w14:paraId="06BDEED2"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1,716,509 </w:t>
            </w:r>
          </w:p>
        </w:tc>
        <w:tc>
          <w:tcPr>
            <w:tcW w:w="1260" w:type="dxa"/>
            <w:tcBorders>
              <w:top w:val="nil"/>
              <w:left w:val="nil"/>
              <w:bottom w:val="single" w:sz="4" w:space="0" w:color="auto"/>
              <w:right w:val="single" w:sz="4" w:space="0" w:color="auto"/>
            </w:tcBorders>
            <w:shd w:val="clear" w:color="auto" w:fill="auto"/>
            <w:noWrap/>
            <w:vAlign w:val="bottom"/>
            <w:hideMark/>
          </w:tcPr>
          <w:p w14:paraId="3F7FA057"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588,804 </w:t>
            </w:r>
          </w:p>
        </w:tc>
        <w:tc>
          <w:tcPr>
            <w:tcW w:w="1350" w:type="dxa"/>
            <w:tcBorders>
              <w:top w:val="nil"/>
              <w:left w:val="nil"/>
              <w:bottom w:val="single" w:sz="4" w:space="0" w:color="auto"/>
              <w:right w:val="single" w:sz="4" w:space="0" w:color="auto"/>
            </w:tcBorders>
            <w:shd w:val="clear" w:color="auto" w:fill="auto"/>
            <w:noWrap/>
            <w:vAlign w:val="bottom"/>
            <w:hideMark/>
          </w:tcPr>
          <w:p w14:paraId="1E371056"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882,154 </w:t>
            </w:r>
          </w:p>
        </w:tc>
        <w:tc>
          <w:tcPr>
            <w:tcW w:w="1530" w:type="dxa"/>
            <w:tcBorders>
              <w:top w:val="nil"/>
              <w:left w:val="nil"/>
              <w:bottom w:val="single" w:sz="4" w:space="0" w:color="auto"/>
              <w:right w:val="single" w:sz="4" w:space="0" w:color="auto"/>
            </w:tcBorders>
            <w:shd w:val="clear" w:color="auto" w:fill="auto"/>
            <w:noWrap/>
            <w:vAlign w:val="bottom"/>
            <w:hideMark/>
          </w:tcPr>
          <w:p w14:paraId="417A67D8" w14:textId="76F170B7" w:rsidR="00383D05" w:rsidRPr="00B85500" w:rsidRDefault="00AB701B" w:rsidP="00383D05">
            <w:pPr>
              <w:spacing w:after="0" w:line="0" w:lineRule="atLeast"/>
              <w:rPr>
                <w:rFonts w:ascii="Calibri" w:eastAsia="Times New Roman" w:hAnsi="Calibri" w:cs="Times New Roman"/>
                <w:b/>
                <w:bCs/>
                <w:color w:val="000000"/>
                <w:sz w:val="20"/>
                <w:szCs w:val="20"/>
              </w:rPr>
            </w:pPr>
            <w:r w:rsidRPr="00082DE2">
              <w:rPr>
                <w:rFonts w:ascii="Calibri" w:eastAsia="Times New Roman" w:hAnsi="Calibri" w:cs="Times New Roman"/>
                <w:b/>
                <w:bCs/>
                <w:color w:val="000000"/>
                <w:sz w:val="20"/>
                <w:szCs w:val="20"/>
              </w:rPr>
              <w:t xml:space="preserve">      3,477,323</w:t>
            </w:r>
            <w:r w:rsidR="00383D05" w:rsidRPr="00B85500">
              <w:rPr>
                <w:rFonts w:ascii="Calibri" w:eastAsia="Times New Roman" w:hAnsi="Calibri" w:cs="Times New Roman"/>
                <w:b/>
                <w:bCs/>
                <w:color w:val="000000"/>
                <w:sz w:val="20"/>
                <w:szCs w:val="20"/>
              </w:rPr>
              <w:t xml:space="preserve"> </w:t>
            </w:r>
          </w:p>
        </w:tc>
      </w:tr>
      <w:tr w:rsidR="00C71C8D" w:rsidRPr="00082DE2" w14:paraId="4E1A151C" w14:textId="77777777" w:rsidTr="00082DE2">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E2D3FB4"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MALAWI</w:t>
            </w:r>
          </w:p>
        </w:tc>
        <w:tc>
          <w:tcPr>
            <w:tcW w:w="1530" w:type="dxa"/>
            <w:tcBorders>
              <w:top w:val="nil"/>
              <w:left w:val="nil"/>
              <w:bottom w:val="single" w:sz="4" w:space="0" w:color="auto"/>
              <w:right w:val="single" w:sz="4" w:space="0" w:color="auto"/>
            </w:tcBorders>
            <w:shd w:val="clear" w:color="auto" w:fill="auto"/>
            <w:noWrap/>
            <w:vAlign w:val="bottom"/>
            <w:hideMark/>
          </w:tcPr>
          <w:p w14:paraId="38F1B03C"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1,224,513 </w:t>
            </w:r>
          </w:p>
        </w:tc>
        <w:tc>
          <w:tcPr>
            <w:tcW w:w="1530" w:type="dxa"/>
            <w:tcBorders>
              <w:top w:val="nil"/>
              <w:left w:val="nil"/>
              <w:bottom w:val="single" w:sz="4" w:space="0" w:color="auto"/>
              <w:right w:val="single" w:sz="4" w:space="0" w:color="auto"/>
            </w:tcBorders>
            <w:shd w:val="clear" w:color="auto" w:fill="auto"/>
            <w:noWrap/>
            <w:vAlign w:val="bottom"/>
            <w:hideMark/>
          </w:tcPr>
          <w:p w14:paraId="2B02D174"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1,670,254 </w:t>
            </w:r>
          </w:p>
        </w:tc>
        <w:tc>
          <w:tcPr>
            <w:tcW w:w="1260" w:type="dxa"/>
            <w:tcBorders>
              <w:top w:val="nil"/>
              <w:left w:val="nil"/>
              <w:bottom w:val="single" w:sz="4" w:space="0" w:color="auto"/>
              <w:right w:val="single" w:sz="4" w:space="0" w:color="auto"/>
            </w:tcBorders>
            <w:shd w:val="clear" w:color="auto" w:fill="auto"/>
            <w:noWrap/>
            <w:vAlign w:val="bottom"/>
            <w:hideMark/>
          </w:tcPr>
          <w:p w14:paraId="262A18F2"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80BD288"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8988459" w14:textId="5FE180DD" w:rsidR="00383D05" w:rsidRPr="00B85500" w:rsidRDefault="00AB701B" w:rsidP="00383D05">
            <w:pPr>
              <w:spacing w:after="0" w:line="0" w:lineRule="atLeast"/>
              <w:rPr>
                <w:rFonts w:ascii="Calibri" w:eastAsia="Times New Roman" w:hAnsi="Calibri" w:cs="Times New Roman"/>
                <w:b/>
                <w:bCs/>
                <w:color w:val="000000"/>
                <w:sz w:val="20"/>
                <w:szCs w:val="20"/>
              </w:rPr>
            </w:pPr>
            <w:r w:rsidRPr="00082DE2">
              <w:rPr>
                <w:rFonts w:ascii="Calibri" w:eastAsia="Times New Roman" w:hAnsi="Calibri" w:cs="Times New Roman"/>
                <w:b/>
                <w:bCs/>
                <w:color w:val="000000"/>
                <w:sz w:val="20"/>
                <w:szCs w:val="20"/>
              </w:rPr>
              <w:t xml:space="preserve">      2,894,767</w:t>
            </w:r>
            <w:r w:rsidR="00383D05" w:rsidRPr="00B85500">
              <w:rPr>
                <w:rFonts w:ascii="Calibri" w:eastAsia="Times New Roman" w:hAnsi="Calibri" w:cs="Times New Roman"/>
                <w:b/>
                <w:bCs/>
                <w:color w:val="000000"/>
                <w:sz w:val="20"/>
                <w:szCs w:val="20"/>
              </w:rPr>
              <w:t xml:space="preserve"> </w:t>
            </w:r>
          </w:p>
        </w:tc>
      </w:tr>
      <w:tr w:rsidR="00C71C8D" w:rsidRPr="00082DE2" w14:paraId="05F2D359" w14:textId="77777777" w:rsidTr="00082DE2">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9A8B7A6"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UNITAR</w:t>
            </w:r>
          </w:p>
        </w:tc>
        <w:tc>
          <w:tcPr>
            <w:tcW w:w="1530" w:type="dxa"/>
            <w:tcBorders>
              <w:top w:val="nil"/>
              <w:left w:val="nil"/>
              <w:bottom w:val="single" w:sz="4" w:space="0" w:color="auto"/>
              <w:right w:val="single" w:sz="4" w:space="0" w:color="auto"/>
            </w:tcBorders>
            <w:shd w:val="clear" w:color="auto" w:fill="auto"/>
            <w:noWrap/>
            <w:vAlign w:val="bottom"/>
            <w:hideMark/>
          </w:tcPr>
          <w:p w14:paraId="389A4B66"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145,150 </w:t>
            </w:r>
          </w:p>
        </w:tc>
        <w:tc>
          <w:tcPr>
            <w:tcW w:w="1530" w:type="dxa"/>
            <w:tcBorders>
              <w:top w:val="nil"/>
              <w:left w:val="nil"/>
              <w:bottom w:val="single" w:sz="4" w:space="0" w:color="auto"/>
              <w:right w:val="single" w:sz="4" w:space="0" w:color="auto"/>
            </w:tcBorders>
            <w:shd w:val="clear" w:color="auto" w:fill="auto"/>
            <w:noWrap/>
            <w:vAlign w:val="bottom"/>
            <w:hideMark/>
          </w:tcPr>
          <w:p w14:paraId="124B57B5"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26,750 </w:t>
            </w:r>
          </w:p>
        </w:tc>
        <w:tc>
          <w:tcPr>
            <w:tcW w:w="1260" w:type="dxa"/>
            <w:tcBorders>
              <w:top w:val="nil"/>
              <w:left w:val="nil"/>
              <w:bottom w:val="single" w:sz="4" w:space="0" w:color="auto"/>
              <w:right w:val="single" w:sz="4" w:space="0" w:color="auto"/>
            </w:tcBorders>
            <w:shd w:val="clear" w:color="auto" w:fill="auto"/>
            <w:noWrap/>
            <w:vAlign w:val="bottom"/>
            <w:hideMark/>
          </w:tcPr>
          <w:p w14:paraId="6F707173"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10,000 </w:t>
            </w:r>
          </w:p>
        </w:tc>
        <w:tc>
          <w:tcPr>
            <w:tcW w:w="1350" w:type="dxa"/>
            <w:tcBorders>
              <w:top w:val="nil"/>
              <w:left w:val="nil"/>
              <w:bottom w:val="single" w:sz="4" w:space="0" w:color="auto"/>
              <w:right w:val="single" w:sz="4" w:space="0" w:color="auto"/>
            </w:tcBorders>
            <w:shd w:val="clear" w:color="auto" w:fill="auto"/>
            <w:noWrap/>
            <w:vAlign w:val="bottom"/>
            <w:hideMark/>
          </w:tcPr>
          <w:p w14:paraId="47BD398B"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38,200 </w:t>
            </w:r>
          </w:p>
        </w:tc>
        <w:tc>
          <w:tcPr>
            <w:tcW w:w="1530" w:type="dxa"/>
            <w:tcBorders>
              <w:top w:val="nil"/>
              <w:left w:val="nil"/>
              <w:bottom w:val="single" w:sz="4" w:space="0" w:color="auto"/>
              <w:right w:val="single" w:sz="4" w:space="0" w:color="auto"/>
            </w:tcBorders>
            <w:shd w:val="clear" w:color="auto" w:fill="auto"/>
            <w:noWrap/>
            <w:vAlign w:val="bottom"/>
            <w:hideMark/>
          </w:tcPr>
          <w:p w14:paraId="41557192" w14:textId="3EA2DD20" w:rsidR="00383D05" w:rsidRPr="00B85500" w:rsidRDefault="00AB701B" w:rsidP="00383D05">
            <w:pPr>
              <w:spacing w:after="0" w:line="0" w:lineRule="atLeast"/>
              <w:rPr>
                <w:rFonts w:ascii="Calibri" w:eastAsia="Times New Roman" w:hAnsi="Calibri" w:cs="Times New Roman"/>
                <w:b/>
                <w:bCs/>
                <w:color w:val="000000"/>
                <w:sz w:val="20"/>
                <w:szCs w:val="20"/>
              </w:rPr>
            </w:pPr>
            <w:r w:rsidRPr="00082DE2">
              <w:rPr>
                <w:rFonts w:ascii="Calibri" w:eastAsia="Times New Roman" w:hAnsi="Calibri" w:cs="Times New Roman"/>
                <w:b/>
                <w:bCs/>
                <w:color w:val="000000"/>
                <w:sz w:val="20"/>
                <w:szCs w:val="20"/>
              </w:rPr>
              <w:t xml:space="preserve">          220,100</w:t>
            </w:r>
          </w:p>
        </w:tc>
      </w:tr>
      <w:tr w:rsidR="00C71C8D" w:rsidRPr="00082DE2" w14:paraId="18675B40" w14:textId="77777777" w:rsidTr="00082DE2">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FA2A09F"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ONE FUND</w:t>
            </w:r>
          </w:p>
        </w:tc>
        <w:tc>
          <w:tcPr>
            <w:tcW w:w="1530" w:type="dxa"/>
            <w:tcBorders>
              <w:top w:val="nil"/>
              <w:left w:val="nil"/>
              <w:bottom w:val="single" w:sz="4" w:space="0" w:color="auto"/>
              <w:right w:val="single" w:sz="4" w:space="0" w:color="auto"/>
            </w:tcBorders>
            <w:shd w:val="clear" w:color="auto" w:fill="auto"/>
            <w:noWrap/>
            <w:vAlign w:val="bottom"/>
            <w:hideMark/>
          </w:tcPr>
          <w:p w14:paraId="2CF8E2CF"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858,412 </w:t>
            </w:r>
          </w:p>
        </w:tc>
        <w:tc>
          <w:tcPr>
            <w:tcW w:w="1530" w:type="dxa"/>
            <w:tcBorders>
              <w:top w:val="nil"/>
              <w:left w:val="nil"/>
              <w:bottom w:val="single" w:sz="4" w:space="0" w:color="auto"/>
              <w:right w:val="single" w:sz="4" w:space="0" w:color="auto"/>
            </w:tcBorders>
            <w:shd w:val="clear" w:color="auto" w:fill="auto"/>
            <w:noWrap/>
            <w:vAlign w:val="bottom"/>
            <w:hideMark/>
          </w:tcPr>
          <w:p w14:paraId="6321DA04"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1,022,488 </w:t>
            </w:r>
          </w:p>
        </w:tc>
        <w:tc>
          <w:tcPr>
            <w:tcW w:w="1260" w:type="dxa"/>
            <w:tcBorders>
              <w:top w:val="nil"/>
              <w:left w:val="nil"/>
              <w:bottom w:val="single" w:sz="4" w:space="0" w:color="auto"/>
              <w:right w:val="single" w:sz="4" w:space="0" w:color="auto"/>
            </w:tcBorders>
            <w:shd w:val="clear" w:color="auto" w:fill="auto"/>
            <w:noWrap/>
            <w:vAlign w:val="bottom"/>
            <w:hideMark/>
          </w:tcPr>
          <w:p w14:paraId="24B5BBD9"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761,686 </w:t>
            </w:r>
          </w:p>
        </w:tc>
        <w:tc>
          <w:tcPr>
            <w:tcW w:w="1350" w:type="dxa"/>
            <w:tcBorders>
              <w:top w:val="nil"/>
              <w:left w:val="nil"/>
              <w:bottom w:val="single" w:sz="4" w:space="0" w:color="auto"/>
              <w:right w:val="single" w:sz="4" w:space="0" w:color="auto"/>
            </w:tcBorders>
            <w:shd w:val="clear" w:color="auto" w:fill="auto"/>
            <w:noWrap/>
            <w:vAlign w:val="bottom"/>
            <w:hideMark/>
          </w:tcPr>
          <w:p w14:paraId="6AF438FD"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3,239,037 </w:t>
            </w:r>
          </w:p>
        </w:tc>
        <w:tc>
          <w:tcPr>
            <w:tcW w:w="1530" w:type="dxa"/>
            <w:tcBorders>
              <w:top w:val="nil"/>
              <w:left w:val="nil"/>
              <w:bottom w:val="single" w:sz="4" w:space="0" w:color="auto"/>
              <w:right w:val="single" w:sz="4" w:space="0" w:color="auto"/>
            </w:tcBorders>
            <w:shd w:val="clear" w:color="auto" w:fill="auto"/>
            <w:noWrap/>
            <w:vAlign w:val="bottom"/>
            <w:hideMark/>
          </w:tcPr>
          <w:p w14:paraId="363B34DA" w14:textId="1E67F611" w:rsidR="00383D05" w:rsidRPr="00B85500" w:rsidRDefault="00AB701B" w:rsidP="00383D05">
            <w:pPr>
              <w:spacing w:after="0" w:line="0" w:lineRule="atLeast"/>
              <w:rPr>
                <w:rFonts w:ascii="Calibri" w:eastAsia="Times New Roman" w:hAnsi="Calibri" w:cs="Times New Roman"/>
                <w:b/>
                <w:bCs/>
                <w:color w:val="000000"/>
                <w:sz w:val="20"/>
                <w:szCs w:val="20"/>
              </w:rPr>
            </w:pPr>
            <w:r w:rsidRPr="00082DE2">
              <w:rPr>
                <w:rFonts w:ascii="Calibri" w:eastAsia="Times New Roman" w:hAnsi="Calibri" w:cs="Times New Roman"/>
                <w:b/>
                <w:bCs/>
                <w:color w:val="000000"/>
                <w:sz w:val="20"/>
                <w:szCs w:val="20"/>
              </w:rPr>
              <w:t xml:space="preserve">      5,881,622</w:t>
            </w:r>
            <w:r w:rsidR="00383D05" w:rsidRPr="00B85500">
              <w:rPr>
                <w:rFonts w:ascii="Calibri" w:eastAsia="Times New Roman" w:hAnsi="Calibri" w:cs="Times New Roman"/>
                <w:b/>
                <w:bCs/>
                <w:color w:val="000000"/>
                <w:sz w:val="20"/>
                <w:szCs w:val="20"/>
              </w:rPr>
              <w:t xml:space="preserve"> </w:t>
            </w:r>
          </w:p>
        </w:tc>
      </w:tr>
      <w:tr w:rsidR="00C71C8D" w:rsidRPr="00082DE2" w14:paraId="4611484B" w14:textId="77777777" w:rsidTr="00082DE2">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02467BD"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MILLIMIUN PROMISE ALLIANCE</w:t>
            </w:r>
          </w:p>
        </w:tc>
        <w:tc>
          <w:tcPr>
            <w:tcW w:w="1530" w:type="dxa"/>
            <w:tcBorders>
              <w:top w:val="nil"/>
              <w:left w:val="nil"/>
              <w:bottom w:val="single" w:sz="4" w:space="0" w:color="auto"/>
              <w:right w:val="single" w:sz="4" w:space="0" w:color="auto"/>
            </w:tcBorders>
            <w:shd w:val="clear" w:color="auto" w:fill="auto"/>
            <w:noWrap/>
            <w:vAlign w:val="bottom"/>
            <w:hideMark/>
          </w:tcPr>
          <w:p w14:paraId="1FAC8E0F"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14,359 </w:t>
            </w:r>
          </w:p>
        </w:tc>
        <w:tc>
          <w:tcPr>
            <w:tcW w:w="1530" w:type="dxa"/>
            <w:tcBorders>
              <w:top w:val="nil"/>
              <w:left w:val="nil"/>
              <w:bottom w:val="single" w:sz="4" w:space="0" w:color="auto"/>
              <w:right w:val="single" w:sz="4" w:space="0" w:color="auto"/>
            </w:tcBorders>
            <w:shd w:val="clear" w:color="auto" w:fill="auto"/>
            <w:noWrap/>
            <w:vAlign w:val="bottom"/>
            <w:hideMark/>
          </w:tcPr>
          <w:p w14:paraId="39D2AB78"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08E226"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9D8B78E"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067DB4" w14:textId="14845CEC" w:rsidR="00383D05" w:rsidRPr="00B85500" w:rsidRDefault="00AB701B" w:rsidP="00383D05">
            <w:pPr>
              <w:spacing w:after="0" w:line="0" w:lineRule="atLeast"/>
              <w:rPr>
                <w:rFonts w:ascii="Calibri" w:eastAsia="Times New Roman" w:hAnsi="Calibri" w:cs="Times New Roman"/>
                <w:b/>
                <w:bCs/>
                <w:color w:val="000000"/>
                <w:sz w:val="20"/>
                <w:szCs w:val="20"/>
              </w:rPr>
            </w:pPr>
            <w:r w:rsidRPr="00082DE2">
              <w:rPr>
                <w:rFonts w:ascii="Calibri" w:eastAsia="Times New Roman" w:hAnsi="Calibri" w:cs="Times New Roman"/>
                <w:b/>
                <w:bCs/>
                <w:color w:val="000000"/>
                <w:sz w:val="20"/>
                <w:szCs w:val="20"/>
              </w:rPr>
              <w:t xml:space="preserve">            14,359</w:t>
            </w:r>
            <w:r w:rsidR="00383D05" w:rsidRPr="00B85500">
              <w:rPr>
                <w:rFonts w:ascii="Calibri" w:eastAsia="Times New Roman" w:hAnsi="Calibri" w:cs="Times New Roman"/>
                <w:b/>
                <w:bCs/>
                <w:color w:val="000000"/>
                <w:sz w:val="20"/>
                <w:szCs w:val="20"/>
              </w:rPr>
              <w:t xml:space="preserve"> </w:t>
            </w:r>
          </w:p>
        </w:tc>
      </w:tr>
      <w:tr w:rsidR="00C71C8D" w:rsidRPr="00082DE2" w14:paraId="304C13DE" w14:textId="77777777" w:rsidTr="00082DE2">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200F4049"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GEF</w:t>
            </w:r>
          </w:p>
        </w:tc>
        <w:tc>
          <w:tcPr>
            <w:tcW w:w="1530" w:type="dxa"/>
            <w:tcBorders>
              <w:top w:val="nil"/>
              <w:left w:val="nil"/>
              <w:bottom w:val="single" w:sz="4" w:space="0" w:color="auto"/>
              <w:right w:val="single" w:sz="4" w:space="0" w:color="auto"/>
            </w:tcBorders>
            <w:shd w:val="clear" w:color="auto" w:fill="auto"/>
            <w:noWrap/>
            <w:vAlign w:val="bottom"/>
            <w:hideMark/>
          </w:tcPr>
          <w:p w14:paraId="0421FE99"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769,570 </w:t>
            </w:r>
          </w:p>
        </w:tc>
        <w:tc>
          <w:tcPr>
            <w:tcW w:w="1530" w:type="dxa"/>
            <w:tcBorders>
              <w:top w:val="nil"/>
              <w:left w:val="nil"/>
              <w:bottom w:val="single" w:sz="4" w:space="0" w:color="auto"/>
              <w:right w:val="single" w:sz="4" w:space="0" w:color="auto"/>
            </w:tcBorders>
            <w:shd w:val="clear" w:color="auto" w:fill="auto"/>
            <w:noWrap/>
            <w:vAlign w:val="bottom"/>
            <w:hideMark/>
          </w:tcPr>
          <w:p w14:paraId="2730F166"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980,056 </w:t>
            </w:r>
          </w:p>
        </w:tc>
        <w:tc>
          <w:tcPr>
            <w:tcW w:w="1260" w:type="dxa"/>
            <w:tcBorders>
              <w:top w:val="nil"/>
              <w:left w:val="nil"/>
              <w:bottom w:val="single" w:sz="4" w:space="0" w:color="auto"/>
              <w:right w:val="single" w:sz="4" w:space="0" w:color="auto"/>
            </w:tcBorders>
            <w:shd w:val="clear" w:color="auto" w:fill="auto"/>
            <w:noWrap/>
            <w:vAlign w:val="bottom"/>
            <w:hideMark/>
          </w:tcPr>
          <w:p w14:paraId="1BA9AA47"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1,061,391 </w:t>
            </w:r>
          </w:p>
        </w:tc>
        <w:tc>
          <w:tcPr>
            <w:tcW w:w="1350" w:type="dxa"/>
            <w:tcBorders>
              <w:top w:val="nil"/>
              <w:left w:val="nil"/>
              <w:bottom w:val="single" w:sz="4" w:space="0" w:color="auto"/>
              <w:right w:val="single" w:sz="4" w:space="0" w:color="auto"/>
            </w:tcBorders>
            <w:shd w:val="clear" w:color="auto" w:fill="auto"/>
            <w:noWrap/>
            <w:vAlign w:val="bottom"/>
            <w:hideMark/>
          </w:tcPr>
          <w:p w14:paraId="56F61F90" w14:textId="77777777" w:rsidR="00383D05" w:rsidRPr="00B85500" w:rsidRDefault="00383D05" w:rsidP="00383D05">
            <w:pPr>
              <w:spacing w:after="0" w:line="0" w:lineRule="atLeast"/>
              <w:rPr>
                <w:rFonts w:ascii="Calibri" w:eastAsia="Times New Roman" w:hAnsi="Calibri" w:cs="Times New Roman"/>
                <w:color w:val="000000"/>
                <w:sz w:val="20"/>
                <w:szCs w:val="20"/>
              </w:rPr>
            </w:pPr>
            <w:r w:rsidRPr="00B85500">
              <w:rPr>
                <w:rFonts w:ascii="Calibri" w:eastAsia="Times New Roman" w:hAnsi="Calibri" w:cs="Times New Roman"/>
                <w:color w:val="000000"/>
                <w:sz w:val="20"/>
                <w:szCs w:val="20"/>
              </w:rPr>
              <w:t xml:space="preserve">           3,185,152 </w:t>
            </w:r>
          </w:p>
        </w:tc>
        <w:tc>
          <w:tcPr>
            <w:tcW w:w="1530" w:type="dxa"/>
            <w:tcBorders>
              <w:top w:val="nil"/>
              <w:left w:val="nil"/>
              <w:bottom w:val="single" w:sz="4" w:space="0" w:color="auto"/>
              <w:right w:val="single" w:sz="4" w:space="0" w:color="auto"/>
            </w:tcBorders>
            <w:shd w:val="clear" w:color="auto" w:fill="auto"/>
            <w:noWrap/>
            <w:vAlign w:val="bottom"/>
            <w:hideMark/>
          </w:tcPr>
          <w:p w14:paraId="3B25B2E0" w14:textId="1AAEEFE4" w:rsidR="00383D05" w:rsidRPr="00B85500" w:rsidRDefault="00AB701B" w:rsidP="00383D05">
            <w:pPr>
              <w:spacing w:after="0" w:line="0" w:lineRule="atLeast"/>
              <w:rPr>
                <w:rFonts w:ascii="Calibri" w:eastAsia="Times New Roman" w:hAnsi="Calibri" w:cs="Times New Roman"/>
                <w:b/>
                <w:bCs/>
                <w:color w:val="000000"/>
                <w:sz w:val="20"/>
                <w:szCs w:val="20"/>
              </w:rPr>
            </w:pPr>
            <w:r w:rsidRPr="00082DE2">
              <w:rPr>
                <w:rFonts w:ascii="Calibri" w:eastAsia="Times New Roman" w:hAnsi="Calibri" w:cs="Times New Roman"/>
                <w:b/>
                <w:bCs/>
                <w:color w:val="000000"/>
                <w:sz w:val="20"/>
                <w:szCs w:val="20"/>
              </w:rPr>
              <w:t xml:space="preserve">      5,996,169</w:t>
            </w:r>
            <w:r w:rsidR="00383D05" w:rsidRPr="00B85500">
              <w:rPr>
                <w:rFonts w:ascii="Calibri" w:eastAsia="Times New Roman" w:hAnsi="Calibri" w:cs="Times New Roman"/>
                <w:b/>
                <w:bCs/>
                <w:color w:val="000000"/>
                <w:sz w:val="20"/>
                <w:szCs w:val="20"/>
              </w:rPr>
              <w:t xml:space="preserve"> </w:t>
            </w:r>
          </w:p>
        </w:tc>
      </w:tr>
      <w:tr w:rsidR="00C71C8D" w:rsidRPr="00082DE2" w14:paraId="74C092AB" w14:textId="77777777" w:rsidTr="00082DE2">
        <w:trPr>
          <w:trHeight w:val="26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1A2F2FA"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TOTAL</w:t>
            </w:r>
          </w:p>
        </w:tc>
        <w:tc>
          <w:tcPr>
            <w:tcW w:w="1530" w:type="dxa"/>
            <w:tcBorders>
              <w:top w:val="nil"/>
              <w:left w:val="nil"/>
              <w:bottom w:val="single" w:sz="4" w:space="0" w:color="auto"/>
              <w:right w:val="single" w:sz="4" w:space="0" w:color="auto"/>
            </w:tcBorders>
            <w:shd w:val="clear" w:color="auto" w:fill="auto"/>
            <w:noWrap/>
            <w:vAlign w:val="bottom"/>
            <w:hideMark/>
          </w:tcPr>
          <w:p w14:paraId="13505E07"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 xml:space="preserve">         5,071,528 </w:t>
            </w:r>
          </w:p>
        </w:tc>
        <w:tc>
          <w:tcPr>
            <w:tcW w:w="1530" w:type="dxa"/>
            <w:tcBorders>
              <w:top w:val="nil"/>
              <w:left w:val="nil"/>
              <w:bottom w:val="single" w:sz="4" w:space="0" w:color="auto"/>
              <w:right w:val="single" w:sz="4" w:space="0" w:color="auto"/>
            </w:tcBorders>
            <w:shd w:val="clear" w:color="auto" w:fill="auto"/>
            <w:noWrap/>
            <w:vAlign w:val="bottom"/>
            <w:hideMark/>
          </w:tcPr>
          <w:p w14:paraId="0D33FA1A"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 xml:space="preserve">       17,389,655 </w:t>
            </w:r>
          </w:p>
        </w:tc>
        <w:tc>
          <w:tcPr>
            <w:tcW w:w="1260" w:type="dxa"/>
            <w:tcBorders>
              <w:top w:val="nil"/>
              <w:left w:val="nil"/>
              <w:bottom w:val="single" w:sz="4" w:space="0" w:color="auto"/>
              <w:right w:val="single" w:sz="4" w:space="0" w:color="auto"/>
            </w:tcBorders>
            <w:shd w:val="clear" w:color="auto" w:fill="auto"/>
            <w:noWrap/>
            <w:vAlign w:val="bottom"/>
            <w:hideMark/>
          </w:tcPr>
          <w:p w14:paraId="1E0E7CD5"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 xml:space="preserve">        12,324,540 </w:t>
            </w:r>
          </w:p>
        </w:tc>
        <w:tc>
          <w:tcPr>
            <w:tcW w:w="1350" w:type="dxa"/>
            <w:tcBorders>
              <w:top w:val="nil"/>
              <w:left w:val="nil"/>
              <w:bottom w:val="single" w:sz="4" w:space="0" w:color="auto"/>
              <w:right w:val="single" w:sz="4" w:space="0" w:color="auto"/>
            </w:tcBorders>
            <w:shd w:val="clear" w:color="auto" w:fill="auto"/>
            <w:noWrap/>
            <w:vAlign w:val="bottom"/>
            <w:hideMark/>
          </w:tcPr>
          <w:p w14:paraId="2CD7B280" w14:textId="77777777" w:rsidR="00383D05" w:rsidRPr="00B85500" w:rsidRDefault="00383D05" w:rsidP="00383D05">
            <w:pPr>
              <w:spacing w:after="0" w:line="0" w:lineRule="atLeast"/>
              <w:rPr>
                <w:rFonts w:ascii="Calibri" w:eastAsia="Times New Roman" w:hAnsi="Calibri" w:cs="Times New Roman"/>
                <w:b/>
                <w:bCs/>
                <w:color w:val="000000"/>
                <w:sz w:val="20"/>
                <w:szCs w:val="20"/>
              </w:rPr>
            </w:pPr>
            <w:r w:rsidRPr="00B85500">
              <w:rPr>
                <w:rFonts w:ascii="Calibri" w:eastAsia="Times New Roman" w:hAnsi="Calibri" w:cs="Times New Roman"/>
                <w:b/>
                <w:bCs/>
                <w:color w:val="000000"/>
                <w:sz w:val="20"/>
                <w:szCs w:val="20"/>
              </w:rPr>
              <w:t xml:space="preserve">         12,105,123 </w:t>
            </w:r>
          </w:p>
        </w:tc>
        <w:tc>
          <w:tcPr>
            <w:tcW w:w="1530" w:type="dxa"/>
            <w:tcBorders>
              <w:top w:val="nil"/>
              <w:left w:val="nil"/>
              <w:bottom w:val="single" w:sz="4" w:space="0" w:color="auto"/>
              <w:right w:val="single" w:sz="4" w:space="0" w:color="auto"/>
            </w:tcBorders>
            <w:shd w:val="clear" w:color="auto" w:fill="auto"/>
            <w:noWrap/>
            <w:vAlign w:val="bottom"/>
            <w:hideMark/>
          </w:tcPr>
          <w:p w14:paraId="69E79809" w14:textId="7DE4C67A" w:rsidR="00383D05" w:rsidRPr="00B85500" w:rsidRDefault="00AB701B" w:rsidP="00383D05">
            <w:pPr>
              <w:spacing w:after="0" w:line="0" w:lineRule="atLeast"/>
              <w:rPr>
                <w:rFonts w:ascii="Calibri" w:eastAsia="Times New Roman" w:hAnsi="Calibri" w:cs="Times New Roman"/>
                <w:b/>
                <w:bCs/>
                <w:color w:val="000000"/>
                <w:sz w:val="20"/>
                <w:szCs w:val="20"/>
              </w:rPr>
            </w:pPr>
            <w:r w:rsidRPr="00082DE2">
              <w:rPr>
                <w:rFonts w:ascii="Calibri" w:eastAsia="Times New Roman" w:hAnsi="Calibri" w:cs="Times New Roman"/>
                <w:b/>
                <w:bCs/>
                <w:color w:val="000000"/>
                <w:sz w:val="20"/>
                <w:szCs w:val="20"/>
              </w:rPr>
              <w:t xml:space="preserve">       </w:t>
            </w:r>
            <w:r w:rsidR="00383D05" w:rsidRPr="00B85500">
              <w:rPr>
                <w:rFonts w:ascii="Calibri" w:eastAsia="Times New Roman" w:hAnsi="Calibri" w:cs="Times New Roman"/>
                <w:b/>
                <w:bCs/>
                <w:color w:val="000000"/>
                <w:sz w:val="20"/>
                <w:szCs w:val="20"/>
              </w:rPr>
              <w:t xml:space="preserve">46,890,847 </w:t>
            </w:r>
          </w:p>
        </w:tc>
      </w:tr>
    </w:tbl>
    <w:p w14:paraId="22968C35" w14:textId="77777777" w:rsidR="00082DE2" w:rsidRDefault="00082DE2" w:rsidP="00B0674D">
      <w:pPr>
        <w:jc w:val="both"/>
        <w:rPr>
          <w:sz w:val="24"/>
          <w:szCs w:val="24"/>
        </w:rPr>
      </w:pPr>
    </w:p>
    <w:p w14:paraId="32D8ADC8" w14:textId="58FCA3AD" w:rsidR="00DE0870" w:rsidRPr="00082DE2" w:rsidRDefault="00DE0870" w:rsidP="000264AA">
      <w:pPr>
        <w:pStyle w:val="ListParagraph"/>
        <w:numPr>
          <w:ilvl w:val="1"/>
          <w:numId w:val="11"/>
        </w:numPr>
        <w:jc w:val="both"/>
        <w:outlineLvl w:val="1"/>
        <w:rPr>
          <w:b/>
          <w:sz w:val="24"/>
          <w:szCs w:val="24"/>
        </w:rPr>
      </w:pPr>
      <w:bookmarkStart w:id="3" w:name="_Toc454521935"/>
      <w:r w:rsidRPr="00082DE2">
        <w:rPr>
          <w:b/>
          <w:sz w:val="24"/>
          <w:szCs w:val="24"/>
        </w:rPr>
        <w:t>Resource utilization</w:t>
      </w:r>
      <w:bookmarkEnd w:id="3"/>
    </w:p>
    <w:p w14:paraId="7BE0B48F" w14:textId="798708CC" w:rsidR="00DE0870" w:rsidRDefault="00DE0870" w:rsidP="00DE0870">
      <w:pPr>
        <w:jc w:val="both"/>
        <w:rPr>
          <w:sz w:val="24"/>
          <w:szCs w:val="24"/>
        </w:rPr>
      </w:pPr>
      <w:r w:rsidRPr="00082DE2">
        <w:rPr>
          <w:sz w:val="24"/>
          <w:szCs w:val="24"/>
        </w:rPr>
        <w:t xml:space="preserve">Table 2 shows the utilization of donor receipts from 2010 to 2015.  The average delivery </w:t>
      </w:r>
      <w:r w:rsidR="00ED13D5" w:rsidRPr="00082DE2">
        <w:rPr>
          <w:sz w:val="24"/>
          <w:szCs w:val="24"/>
        </w:rPr>
        <w:t xml:space="preserve">rate </w:t>
      </w:r>
      <w:r w:rsidRPr="00082DE2">
        <w:rPr>
          <w:sz w:val="24"/>
          <w:szCs w:val="24"/>
        </w:rPr>
        <w:t xml:space="preserve">of donor resources is </w:t>
      </w:r>
      <w:r w:rsidR="00C71C8D" w:rsidRPr="00082DE2">
        <w:rPr>
          <w:sz w:val="24"/>
          <w:szCs w:val="24"/>
        </w:rPr>
        <w:t>73</w:t>
      </w:r>
      <w:r w:rsidR="00445397" w:rsidRPr="00082DE2">
        <w:rPr>
          <w:sz w:val="24"/>
          <w:szCs w:val="24"/>
        </w:rPr>
        <w:t>%.</w:t>
      </w:r>
      <w:r w:rsidRPr="00082DE2">
        <w:rPr>
          <w:sz w:val="24"/>
          <w:szCs w:val="24"/>
        </w:rPr>
        <w:t xml:space="preserve"> This performance fell short of the minimum delivery rate of 85% set by the UNDP Regional Bureau for Africa.</w:t>
      </w:r>
      <w:r w:rsidR="00FB74B7">
        <w:rPr>
          <w:sz w:val="24"/>
          <w:szCs w:val="24"/>
        </w:rPr>
        <w:t xml:space="preserve"> </w:t>
      </w:r>
      <w:r w:rsidRPr="00082DE2">
        <w:rPr>
          <w:sz w:val="24"/>
          <w:szCs w:val="24"/>
        </w:rPr>
        <w:t xml:space="preserve">In the 2015, the minimum delivery rate was raised to 90%. </w:t>
      </w:r>
      <w:r w:rsidR="00626336" w:rsidRPr="00082DE2">
        <w:rPr>
          <w:sz w:val="24"/>
          <w:szCs w:val="24"/>
        </w:rPr>
        <w:t xml:space="preserve">This </w:t>
      </w:r>
      <w:r w:rsidR="008E6E0D" w:rsidRPr="00082DE2">
        <w:rPr>
          <w:sz w:val="24"/>
          <w:szCs w:val="24"/>
        </w:rPr>
        <w:t>imperative to spend calls for</w:t>
      </w:r>
      <w:r w:rsidR="00626336" w:rsidRPr="00082DE2">
        <w:rPr>
          <w:sz w:val="24"/>
          <w:szCs w:val="24"/>
        </w:rPr>
        <w:t xml:space="preserve"> resources mobilization efforts in the country </w:t>
      </w:r>
      <w:r w:rsidR="008E6E0D" w:rsidRPr="00082DE2">
        <w:rPr>
          <w:sz w:val="24"/>
          <w:szCs w:val="24"/>
        </w:rPr>
        <w:t>office to</w:t>
      </w:r>
      <w:r w:rsidR="00626336" w:rsidRPr="00082DE2">
        <w:rPr>
          <w:sz w:val="24"/>
          <w:szCs w:val="24"/>
        </w:rPr>
        <w:t xml:space="preserve"> be accompanied by effective measures to ensure high programme </w:t>
      </w:r>
      <w:r w:rsidR="008E6E0D" w:rsidRPr="00082DE2">
        <w:rPr>
          <w:sz w:val="24"/>
          <w:szCs w:val="24"/>
        </w:rPr>
        <w:t xml:space="preserve">quality to result in high programme </w:t>
      </w:r>
      <w:r w:rsidR="00626336" w:rsidRPr="00082DE2">
        <w:rPr>
          <w:sz w:val="24"/>
          <w:szCs w:val="24"/>
        </w:rPr>
        <w:t>delivery</w:t>
      </w:r>
      <w:r w:rsidR="008E6E0D" w:rsidRPr="00082DE2">
        <w:rPr>
          <w:sz w:val="24"/>
          <w:szCs w:val="24"/>
        </w:rPr>
        <w:t xml:space="preserve"> and results</w:t>
      </w:r>
      <w:r w:rsidR="00626336" w:rsidRPr="00082DE2">
        <w:rPr>
          <w:sz w:val="24"/>
          <w:szCs w:val="24"/>
        </w:rPr>
        <w:t>.</w:t>
      </w:r>
    </w:p>
    <w:p w14:paraId="4C6961BC" w14:textId="77777777" w:rsidR="004B661D" w:rsidRDefault="004B661D" w:rsidP="00DE0870">
      <w:pPr>
        <w:jc w:val="both"/>
        <w:rPr>
          <w:sz w:val="24"/>
          <w:szCs w:val="24"/>
        </w:rPr>
      </w:pPr>
    </w:p>
    <w:p w14:paraId="5443683F" w14:textId="333DDE4B" w:rsidR="00445397" w:rsidRPr="00082DE2" w:rsidRDefault="00445397" w:rsidP="00AB701B">
      <w:pPr>
        <w:jc w:val="both"/>
        <w:rPr>
          <w:rFonts w:cs="Arial"/>
          <w:sz w:val="24"/>
          <w:szCs w:val="24"/>
        </w:rPr>
      </w:pPr>
      <w:r w:rsidRPr="00082DE2">
        <w:rPr>
          <w:rFonts w:cs="Arial"/>
          <w:b/>
          <w:sz w:val="24"/>
          <w:szCs w:val="24"/>
        </w:rPr>
        <w:t xml:space="preserve">Table 2: </w:t>
      </w:r>
      <w:r w:rsidRPr="00082DE2">
        <w:rPr>
          <w:rFonts w:cs="Arial"/>
          <w:sz w:val="24"/>
          <w:szCs w:val="24"/>
        </w:rPr>
        <w:t>Budget and Expenditures for Cost-sharing Resources, 2010-2015</w:t>
      </w:r>
    </w:p>
    <w:tbl>
      <w:tblPr>
        <w:tblW w:w="9355" w:type="dxa"/>
        <w:tblLook w:val="04A0" w:firstRow="1" w:lastRow="0" w:firstColumn="1" w:lastColumn="0" w:noHBand="0" w:noVBand="1"/>
      </w:tblPr>
      <w:tblGrid>
        <w:gridCol w:w="1435"/>
        <w:gridCol w:w="1170"/>
        <w:gridCol w:w="1260"/>
        <w:gridCol w:w="1350"/>
        <w:gridCol w:w="1440"/>
        <w:gridCol w:w="1350"/>
        <w:gridCol w:w="1350"/>
      </w:tblGrid>
      <w:tr w:rsidR="00AB701B" w:rsidRPr="00082DE2" w14:paraId="1F8959C5" w14:textId="77777777" w:rsidTr="00C71C8D">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2B540"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69011B9" w14:textId="77777777" w:rsidR="00AB701B" w:rsidRPr="00AB701B" w:rsidRDefault="00AB701B" w:rsidP="00AB701B">
            <w:pPr>
              <w:spacing w:after="0" w:line="240" w:lineRule="auto"/>
              <w:jc w:val="right"/>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2010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004A5E5" w14:textId="77777777" w:rsidR="00AB701B" w:rsidRPr="00AB701B" w:rsidRDefault="00AB701B" w:rsidP="00AB701B">
            <w:pPr>
              <w:spacing w:after="0" w:line="240" w:lineRule="auto"/>
              <w:jc w:val="right"/>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2011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D5D2B2B" w14:textId="77777777" w:rsidR="00AB701B" w:rsidRPr="00AB701B" w:rsidRDefault="00AB701B" w:rsidP="00AB701B">
            <w:pPr>
              <w:spacing w:after="0" w:line="240" w:lineRule="auto"/>
              <w:jc w:val="right"/>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2012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A4DD674" w14:textId="77777777" w:rsidR="00AB701B" w:rsidRPr="00AB701B" w:rsidRDefault="00AB701B" w:rsidP="00AB701B">
            <w:pPr>
              <w:spacing w:after="0" w:line="240" w:lineRule="auto"/>
              <w:jc w:val="right"/>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2013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7290512" w14:textId="77777777" w:rsidR="00AB701B" w:rsidRPr="00AB701B" w:rsidRDefault="00AB701B" w:rsidP="00AB701B">
            <w:pPr>
              <w:spacing w:after="0" w:line="240" w:lineRule="auto"/>
              <w:jc w:val="right"/>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2014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BB450B8" w14:textId="77777777" w:rsidR="00AB701B" w:rsidRPr="00AB701B" w:rsidRDefault="00AB701B" w:rsidP="00AB701B">
            <w:pPr>
              <w:spacing w:after="0" w:line="240" w:lineRule="auto"/>
              <w:jc w:val="right"/>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2015</w:t>
            </w:r>
          </w:p>
        </w:tc>
      </w:tr>
      <w:tr w:rsidR="00AB701B" w:rsidRPr="00082DE2" w14:paraId="2C1F357E" w14:textId="77777777" w:rsidTr="00C71C8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3459382" w14:textId="77777777" w:rsidR="00AB701B" w:rsidRPr="00AB701B" w:rsidRDefault="00AB701B" w:rsidP="00AB701B">
            <w:pPr>
              <w:spacing w:after="0" w:line="240" w:lineRule="auto"/>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Budget $</w:t>
            </w:r>
          </w:p>
        </w:tc>
        <w:tc>
          <w:tcPr>
            <w:tcW w:w="1170" w:type="dxa"/>
            <w:tcBorders>
              <w:top w:val="nil"/>
              <w:left w:val="nil"/>
              <w:bottom w:val="single" w:sz="4" w:space="0" w:color="auto"/>
              <w:right w:val="single" w:sz="4" w:space="0" w:color="auto"/>
            </w:tcBorders>
            <w:shd w:val="clear" w:color="auto" w:fill="auto"/>
            <w:noWrap/>
            <w:vAlign w:val="bottom"/>
            <w:hideMark/>
          </w:tcPr>
          <w:p w14:paraId="4F38E43A"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xml:space="preserve">  28,119,000 </w:t>
            </w:r>
          </w:p>
        </w:tc>
        <w:tc>
          <w:tcPr>
            <w:tcW w:w="1260" w:type="dxa"/>
            <w:tcBorders>
              <w:top w:val="nil"/>
              <w:left w:val="nil"/>
              <w:bottom w:val="single" w:sz="4" w:space="0" w:color="auto"/>
              <w:right w:val="single" w:sz="4" w:space="0" w:color="auto"/>
            </w:tcBorders>
            <w:shd w:val="clear" w:color="auto" w:fill="auto"/>
            <w:noWrap/>
            <w:vAlign w:val="bottom"/>
            <w:hideMark/>
          </w:tcPr>
          <w:p w14:paraId="5498649A"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xml:space="preserve"> 15,010,000 </w:t>
            </w:r>
          </w:p>
        </w:tc>
        <w:tc>
          <w:tcPr>
            <w:tcW w:w="1350" w:type="dxa"/>
            <w:tcBorders>
              <w:top w:val="nil"/>
              <w:left w:val="nil"/>
              <w:bottom w:val="single" w:sz="4" w:space="0" w:color="auto"/>
              <w:right w:val="single" w:sz="4" w:space="0" w:color="auto"/>
            </w:tcBorders>
            <w:shd w:val="clear" w:color="auto" w:fill="auto"/>
            <w:noWrap/>
            <w:vAlign w:val="bottom"/>
            <w:hideMark/>
          </w:tcPr>
          <w:p w14:paraId="7558587C"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xml:space="preserve">  11,324,575 </w:t>
            </w:r>
          </w:p>
        </w:tc>
        <w:tc>
          <w:tcPr>
            <w:tcW w:w="1440" w:type="dxa"/>
            <w:tcBorders>
              <w:top w:val="nil"/>
              <w:left w:val="nil"/>
              <w:bottom w:val="single" w:sz="4" w:space="0" w:color="auto"/>
              <w:right w:val="single" w:sz="4" w:space="0" w:color="auto"/>
            </w:tcBorders>
            <w:shd w:val="clear" w:color="auto" w:fill="auto"/>
            <w:noWrap/>
            <w:vAlign w:val="bottom"/>
            <w:hideMark/>
          </w:tcPr>
          <w:p w14:paraId="59478681"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xml:space="preserve">  16,588,937 </w:t>
            </w:r>
          </w:p>
        </w:tc>
        <w:tc>
          <w:tcPr>
            <w:tcW w:w="1350" w:type="dxa"/>
            <w:tcBorders>
              <w:top w:val="nil"/>
              <w:left w:val="nil"/>
              <w:bottom w:val="single" w:sz="4" w:space="0" w:color="auto"/>
              <w:right w:val="single" w:sz="4" w:space="0" w:color="auto"/>
            </w:tcBorders>
            <w:shd w:val="clear" w:color="auto" w:fill="auto"/>
            <w:noWrap/>
            <w:vAlign w:val="bottom"/>
            <w:hideMark/>
          </w:tcPr>
          <w:p w14:paraId="27FFEDA3"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xml:space="preserve">  21,045,136 </w:t>
            </w:r>
          </w:p>
        </w:tc>
        <w:tc>
          <w:tcPr>
            <w:tcW w:w="1350" w:type="dxa"/>
            <w:tcBorders>
              <w:top w:val="nil"/>
              <w:left w:val="nil"/>
              <w:bottom w:val="single" w:sz="4" w:space="0" w:color="auto"/>
              <w:right w:val="single" w:sz="4" w:space="0" w:color="auto"/>
            </w:tcBorders>
            <w:shd w:val="clear" w:color="auto" w:fill="auto"/>
            <w:noWrap/>
            <w:vAlign w:val="bottom"/>
            <w:hideMark/>
          </w:tcPr>
          <w:p w14:paraId="204C59D6"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xml:space="preserve">    12,808,194 </w:t>
            </w:r>
          </w:p>
        </w:tc>
      </w:tr>
      <w:tr w:rsidR="00AB701B" w:rsidRPr="00082DE2" w14:paraId="78949041" w14:textId="77777777" w:rsidTr="00C71C8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453F8F1" w14:textId="77777777" w:rsidR="00AB701B" w:rsidRPr="00AB701B" w:rsidRDefault="00AB701B" w:rsidP="00AB701B">
            <w:pPr>
              <w:spacing w:after="0" w:line="240" w:lineRule="auto"/>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Expenditure $</w:t>
            </w:r>
          </w:p>
        </w:tc>
        <w:tc>
          <w:tcPr>
            <w:tcW w:w="1170" w:type="dxa"/>
            <w:tcBorders>
              <w:top w:val="nil"/>
              <w:left w:val="nil"/>
              <w:bottom w:val="single" w:sz="4" w:space="0" w:color="auto"/>
              <w:right w:val="single" w:sz="4" w:space="0" w:color="auto"/>
            </w:tcBorders>
            <w:shd w:val="clear" w:color="auto" w:fill="auto"/>
            <w:noWrap/>
            <w:vAlign w:val="bottom"/>
            <w:hideMark/>
          </w:tcPr>
          <w:p w14:paraId="64820B0B"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xml:space="preserve">  17,221,000 </w:t>
            </w:r>
          </w:p>
        </w:tc>
        <w:tc>
          <w:tcPr>
            <w:tcW w:w="1260" w:type="dxa"/>
            <w:tcBorders>
              <w:top w:val="nil"/>
              <w:left w:val="nil"/>
              <w:bottom w:val="single" w:sz="4" w:space="0" w:color="auto"/>
              <w:right w:val="single" w:sz="4" w:space="0" w:color="auto"/>
            </w:tcBorders>
            <w:shd w:val="clear" w:color="auto" w:fill="auto"/>
            <w:noWrap/>
            <w:vAlign w:val="bottom"/>
            <w:hideMark/>
          </w:tcPr>
          <w:p w14:paraId="6BEE8880"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xml:space="preserve"> 12,025,000 </w:t>
            </w:r>
          </w:p>
        </w:tc>
        <w:tc>
          <w:tcPr>
            <w:tcW w:w="1350" w:type="dxa"/>
            <w:tcBorders>
              <w:top w:val="nil"/>
              <w:left w:val="nil"/>
              <w:bottom w:val="single" w:sz="4" w:space="0" w:color="auto"/>
              <w:right w:val="single" w:sz="4" w:space="0" w:color="auto"/>
            </w:tcBorders>
            <w:shd w:val="clear" w:color="auto" w:fill="auto"/>
            <w:noWrap/>
            <w:vAlign w:val="bottom"/>
            <w:hideMark/>
          </w:tcPr>
          <w:p w14:paraId="38F778BB"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xml:space="preserve">    6,466,205 </w:t>
            </w:r>
          </w:p>
        </w:tc>
        <w:tc>
          <w:tcPr>
            <w:tcW w:w="1440" w:type="dxa"/>
            <w:tcBorders>
              <w:top w:val="nil"/>
              <w:left w:val="nil"/>
              <w:bottom w:val="single" w:sz="4" w:space="0" w:color="auto"/>
              <w:right w:val="single" w:sz="4" w:space="0" w:color="auto"/>
            </w:tcBorders>
            <w:shd w:val="clear" w:color="auto" w:fill="auto"/>
            <w:noWrap/>
            <w:vAlign w:val="bottom"/>
            <w:hideMark/>
          </w:tcPr>
          <w:p w14:paraId="08DF7CDF"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xml:space="preserve">     9,950,295 </w:t>
            </w:r>
          </w:p>
        </w:tc>
        <w:tc>
          <w:tcPr>
            <w:tcW w:w="1350" w:type="dxa"/>
            <w:tcBorders>
              <w:top w:val="nil"/>
              <w:left w:val="nil"/>
              <w:bottom w:val="single" w:sz="4" w:space="0" w:color="auto"/>
              <w:right w:val="single" w:sz="4" w:space="0" w:color="auto"/>
            </w:tcBorders>
            <w:shd w:val="clear" w:color="auto" w:fill="auto"/>
            <w:noWrap/>
            <w:vAlign w:val="bottom"/>
            <w:hideMark/>
          </w:tcPr>
          <w:p w14:paraId="00C62FD0"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xml:space="preserve">  18,368,475 </w:t>
            </w:r>
          </w:p>
        </w:tc>
        <w:tc>
          <w:tcPr>
            <w:tcW w:w="1350" w:type="dxa"/>
            <w:tcBorders>
              <w:top w:val="nil"/>
              <w:left w:val="nil"/>
              <w:bottom w:val="single" w:sz="4" w:space="0" w:color="auto"/>
              <w:right w:val="single" w:sz="4" w:space="0" w:color="auto"/>
            </w:tcBorders>
            <w:shd w:val="clear" w:color="auto" w:fill="auto"/>
            <w:noWrap/>
            <w:vAlign w:val="bottom"/>
            <w:hideMark/>
          </w:tcPr>
          <w:p w14:paraId="4E24E5E6" w14:textId="77777777" w:rsidR="00AB701B" w:rsidRPr="00AB701B" w:rsidRDefault="00AB701B" w:rsidP="00AB701B">
            <w:pPr>
              <w:spacing w:after="0" w:line="240" w:lineRule="auto"/>
              <w:rPr>
                <w:rFonts w:ascii="Calibri" w:eastAsia="Times New Roman" w:hAnsi="Calibri" w:cs="Times New Roman"/>
                <w:color w:val="000000"/>
                <w:sz w:val="20"/>
                <w:szCs w:val="20"/>
              </w:rPr>
            </w:pPr>
            <w:r w:rsidRPr="00AB701B">
              <w:rPr>
                <w:rFonts w:ascii="Calibri" w:eastAsia="Times New Roman" w:hAnsi="Calibri" w:cs="Times New Roman"/>
                <w:color w:val="000000"/>
                <w:sz w:val="20"/>
                <w:szCs w:val="20"/>
              </w:rPr>
              <w:t xml:space="preserve">    11,659,188 </w:t>
            </w:r>
          </w:p>
        </w:tc>
      </w:tr>
      <w:tr w:rsidR="00AB701B" w:rsidRPr="00082DE2" w14:paraId="6179AAAF" w14:textId="77777777" w:rsidTr="00C71C8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66F01E6" w14:textId="77777777" w:rsidR="00AB701B" w:rsidRPr="00AB701B" w:rsidRDefault="00AB701B" w:rsidP="00AB701B">
            <w:pPr>
              <w:spacing w:after="0" w:line="240" w:lineRule="auto"/>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Delivery %</w:t>
            </w:r>
          </w:p>
        </w:tc>
        <w:tc>
          <w:tcPr>
            <w:tcW w:w="1170" w:type="dxa"/>
            <w:tcBorders>
              <w:top w:val="nil"/>
              <w:left w:val="nil"/>
              <w:bottom w:val="single" w:sz="4" w:space="0" w:color="auto"/>
              <w:right w:val="single" w:sz="4" w:space="0" w:color="auto"/>
            </w:tcBorders>
            <w:shd w:val="clear" w:color="auto" w:fill="auto"/>
            <w:noWrap/>
            <w:vAlign w:val="bottom"/>
            <w:hideMark/>
          </w:tcPr>
          <w:p w14:paraId="1BA8D12A" w14:textId="77777777" w:rsidR="00AB701B" w:rsidRPr="00AB701B" w:rsidRDefault="00AB701B" w:rsidP="00AB701B">
            <w:pPr>
              <w:spacing w:after="0" w:line="240" w:lineRule="auto"/>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 xml:space="preserve">                  61 </w:t>
            </w:r>
          </w:p>
        </w:tc>
        <w:tc>
          <w:tcPr>
            <w:tcW w:w="1260" w:type="dxa"/>
            <w:tcBorders>
              <w:top w:val="nil"/>
              <w:left w:val="nil"/>
              <w:bottom w:val="single" w:sz="4" w:space="0" w:color="auto"/>
              <w:right w:val="single" w:sz="4" w:space="0" w:color="auto"/>
            </w:tcBorders>
            <w:shd w:val="clear" w:color="auto" w:fill="auto"/>
            <w:noWrap/>
            <w:vAlign w:val="bottom"/>
            <w:hideMark/>
          </w:tcPr>
          <w:p w14:paraId="366CEE6F" w14:textId="77777777" w:rsidR="00AB701B" w:rsidRPr="00AB701B" w:rsidRDefault="00AB701B" w:rsidP="00AB701B">
            <w:pPr>
              <w:spacing w:after="0" w:line="240" w:lineRule="auto"/>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 xml:space="preserve">                 80 </w:t>
            </w:r>
          </w:p>
        </w:tc>
        <w:tc>
          <w:tcPr>
            <w:tcW w:w="1350" w:type="dxa"/>
            <w:tcBorders>
              <w:top w:val="nil"/>
              <w:left w:val="nil"/>
              <w:bottom w:val="single" w:sz="4" w:space="0" w:color="auto"/>
              <w:right w:val="single" w:sz="4" w:space="0" w:color="auto"/>
            </w:tcBorders>
            <w:shd w:val="clear" w:color="auto" w:fill="auto"/>
            <w:noWrap/>
            <w:vAlign w:val="bottom"/>
            <w:hideMark/>
          </w:tcPr>
          <w:p w14:paraId="0C03D851" w14:textId="77777777" w:rsidR="00AB701B" w:rsidRPr="00AB701B" w:rsidRDefault="00AB701B" w:rsidP="00AB701B">
            <w:pPr>
              <w:spacing w:after="0" w:line="240" w:lineRule="auto"/>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 xml:space="preserve">                  57 </w:t>
            </w:r>
          </w:p>
        </w:tc>
        <w:tc>
          <w:tcPr>
            <w:tcW w:w="1440" w:type="dxa"/>
            <w:tcBorders>
              <w:top w:val="nil"/>
              <w:left w:val="nil"/>
              <w:bottom w:val="single" w:sz="4" w:space="0" w:color="auto"/>
              <w:right w:val="single" w:sz="4" w:space="0" w:color="auto"/>
            </w:tcBorders>
            <w:shd w:val="clear" w:color="auto" w:fill="auto"/>
            <w:noWrap/>
            <w:vAlign w:val="bottom"/>
            <w:hideMark/>
          </w:tcPr>
          <w:p w14:paraId="0A8E538D" w14:textId="77777777" w:rsidR="00AB701B" w:rsidRPr="00AB701B" w:rsidRDefault="00AB701B" w:rsidP="00AB701B">
            <w:pPr>
              <w:spacing w:after="0" w:line="240" w:lineRule="auto"/>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 xml:space="preserve">                  60 </w:t>
            </w:r>
          </w:p>
        </w:tc>
        <w:tc>
          <w:tcPr>
            <w:tcW w:w="1350" w:type="dxa"/>
            <w:tcBorders>
              <w:top w:val="nil"/>
              <w:left w:val="nil"/>
              <w:bottom w:val="single" w:sz="4" w:space="0" w:color="auto"/>
              <w:right w:val="single" w:sz="4" w:space="0" w:color="auto"/>
            </w:tcBorders>
            <w:shd w:val="clear" w:color="auto" w:fill="auto"/>
            <w:noWrap/>
            <w:vAlign w:val="bottom"/>
            <w:hideMark/>
          </w:tcPr>
          <w:p w14:paraId="1127FD93" w14:textId="77777777" w:rsidR="00AB701B" w:rsidRPr="00AB701B" w:rsidRDefault="00AB701B" w:rsidP="00AB701B">
            <w:pPr>
              <w:spacing w:after="0" w:line="240" w:lineRule="auto"/>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 xml:space="preserve">                  87 </w:t>
            </w:r>
          </w:p>
        </w:tc>
        <w:tc>
          <w:tcPr>
            <w:tcW w:w="1350" w:type="dxa"/>
            <w:tcBorders>
              <w:top w:val="nil"/>
              <w:left w:val="nil"/>
              <w:bottom w:val="single" w:sz="4" w:space="0" w:color="auto"/>
              <w:right w:val="single" w:sz="4" w:space="0" w:color="auto"/>
            </w:tcBorders>
            <w:shd w:val="clear" w:color="auto" w:fill="auto"/>
            <w:noWrap/>
            <w:vAlign w:val="bottom"/>
            <w:hideMark/>
          </w:tcPr>
          <w:p w14:paraId="4637B077" w14:textId="77777777" w:rsidR="00AB701B" w:rsidRPr="00AB701B" w:rsidRDefault="00AB701B" w:rsidP="00AB701B">
            <w:pPr>
              <w:spacing w:after="0" w:line="240" w:lineRule="auto"/>
              <w:rPr>
                <w:rFonts w:ascii="Calibri" w:eastAsia="Times New Roman" w:hAnsi="Calibri" w:cs="Times New Roman"/>
                <w:b/>
                <w:bCs/>
                <w:color w:val="000000"/>
                <w:sz w:val="20"/>
                <w:szCs w:val="20"/>
              </w:rPr>
            </w:pPr>
            <w:r w:rsidRPr="00AB701B">
              <w:rPr>
                <w:rFonts w:ascii="Calibri" w:eastAsia="Times New Roman" w:hAnsi="Calibri" w:cs="Times New Roman"/>
                <w:b/>
                <w:bCs/>
                <w:color w:val="000000"/>
                <w:sz w:val="20"/>
                <w:szCs w:val="20"/>
              </w:rPr>
              <w:t xml:space="preserve">                    91 </w:t>
            </w:r>
          </w:p>
        </w:tc>
      </w:tr>
    </w:tbl>
    <w:p w14:paraId="27359332" w14:textId="60D0D417" w:rsidR="00AB701B" w:rsidRDefault="00AB701B" w:rsidP="00445397">
      <w:pPr>
        <w:jc w:val="both"/>
        <w:rPr>
          <w:rFonts w:cs="Arial"/>
          <w:sz w:val="24"/>
          <w:szCs w:val="24"/>
        </w:rPr>
      </w:pPr>
    </w:p>
    <w:p w14:paraId="466564CD" w14:textId="66987F35" w:rsidR="00C95CBF" w:rsidRDefault="00C95CBF" w:rsidP="00445397">
      <w:pPr>
        <w:jc w:val="both"/>
        <w:rPr>
          <w:rFonts w:cs="Arial"/>
          <w:sz w:val="24"/>
          <w:szCs w:val="24"/>
        </w:rPr>
      </w:pPr>
    </w:p>
    <w:p w14:paraId="0354F73D" w14:textId="77777777" w:rsidR="004B661D" w:rsidRDefault="004B661D" w:rsidP="00445397">
      <w:pPr>
        <w:jc w:val="both"/>
        <w:rPr>
          <w:rFonts w:cs="Arial"/>
          <w:sz w:val="24"/>
          <w:szCs w:val="24"/>
        </w:rPr>
      </w:pPr>
    </w:p>
    <w:p w14:paraId="0A00C47E" w14:textId="77777777" w:rsidR="002B3B24" w:rsidRPr="00082DE2" w:rsidRDefault="002B3B24" w:rsidP="000264AA">
      <w:pPr>
        <w:pStyle w:val="ListParagraph"/>
        <w:numPr>
          <w:ilvl w:val="0"/>
          <w:numId w:val="11"/>
        </w:numPr>
        <w:jc w:val="both"/>
        <w:outlineLvl w:val="0"/>
        <w:rPr>
          <w:rFonts w:cs="Arial"/>
          <w:b/>
          <w:sz w:val="24"/>
          <w:szCs w:val="24"/>
        </w:rPr>
      </w:pPr>
      <w:bookmarkStart w:id="4" w:name="_Toc454521936"/>
      <w:r w:rsidRPr="00082DE2">
        <w:rPr>
          <w:rFonts w:cs="Arial"/>
          <w:b/>
          <w:sz w:val="24"/>
          <w:szCs w:val="24"/>
        </w:rPr>
        <w:lastRenderedPageBreak/>
        <w:t xml:space="preserve">UNDP </w:t>
      </w:r>
      <w:r w:rsidR="0002655C" w:rsidRPr="00082DE2">
        <w:rPr>
          <w:rFonts w:cs="Arial"/>
          <w:b/>
          <w:sz w:val="24"/>
          <w:szCs w:val="24"/>
        </w:rPr>
        <w:t>Malawi Value Proposition</w:t>
      </w:r>
      <w:bookmarkEnd w:id="4"/>
    </w:p>
    <w:p w14:paraId="5A7ECE58" w14:textId="14519932" w:rsidR="00D5269A" w:rsidRDefault="00246AE5" w:rsidP="00B0674D">
      <w:pPr>
        <w:jc w:val="both"/>
        <w:rPr>
          <w:rFonts w:cs="Arial"/>
          <w:sz w:val="24"/>
          <w:szCs w:val="24"/>
        </w:rPr>
      </w:pPr>
      <w:r w:rsidRPr="00082DE2">
        <w:rPr>
          <w:rFonts w:cs="Arial"/>
          <w:sz w:val="24"/>
          <w:szCs w:val="24"/>
        </w:rPr>
        <w:t xml:space="preserve">UNDP is well positioned to assist the Government of Malawi in spearheading the development agenda based on its </w:t>
      </w:r>
      <w:r w:rsidRPr="00082DE2">
        <w:rPr>
          <w:rFonts w:cs="Arial"/>
          <w:b/>
          <w:sz w:val="24"/>
          <w:szCs w:val="24"/>
        </w:rPr>
        <w:t>50 years of experience</w:t>
      </w:r>
      <w:r w:rsidRPr="00082DE2">
        <w:rPr>
          <w:rFonts w:cs="Arial"/>
          <w:sz w:val="24"/>
          <w:szCs w:val="24"/>
          <w:lang w:val="en-GB"/>
        </w:rPr>
        <w:t xml:space="preserve"> </w:t>
      </w:r>
      <w:r w:rsidRPr="00082DE2">
        <w:rPr>
          <w:rFonts w:cs="Arial"/>
          <w:sz w:val="24"/>
          <w:szCs w:val="24"/>
        </w:rPr>
        <w:t xml:space="preserve">in sustainable development. </w:t>
      </w:r>
      <w:r w:rsidR="00004016" w:rsidRPr="00082DE2">
        <w:rPr>
          <w:rFonts w:cs="Arial"/>
          <w:sz w:val="24"/>
          <w:szCs w:val="24"/>
        </w:rPr>
        <w:t xml:space="preserve">Key partners </w:t>
      </w:r>
      <w:r w:rsidRPr="00082DE2">
        <w:rPr>
          <w:rFonts w:cs="Arial"/>
          <w:sz w:val="24"/>
          <w:szCs w:val="24"/>
        </w:rPr>
        <w:t>-</w:t>
      </w:r>
      <w:r w:rsidR="00004016" w:rsidRPr="00082DE2">
        <w:rPr>
          <w:rFonts w:cs="Arial"/>
          <w:sz w:val="24"/>
          <w:szCs w:val="24"/>
        </w:rPr>
        <w:t xml:space="preserve"> </w:t>
      </w:r>
      <w:r w:rsidRPr="00082DE2">
        <w:rPr>
          <w:rFonts w:cs="Arial"/>
          <w:sz w:val="24"/>
          <w:szCs w:val="24"/>
        </w:rPr>
        <w:t>government, funding agencies</w:t>
      </w:r>
      <w:r w:rsidR="00D5269A" w:rsidRPr="00082DE2">
        <w:rPr>
          <w:rFonts w:cs="Arial"/>
          <w:sz w:val="24"/>
          <w:szCs w:val="24"/>
        </w:rPr>
        <w:t>, other UN agencies</w:t>
      </w:r>
      <w:r w:rsidRPr="00082DE2">
        <w:rPr>
          <w:rFonts w:cs="Arial"/>
          <w:sz w:val="24"/>
          <w:szCs w:val="24"/>
        </w:rPr>
        <w:t xml:space="preserve"> and private sector</w:t>
      </w:r>
      <w:r w:rsidR="00004016" w:rsidRPr="00082DE2">
        <w:rPr>
          <w:rFonts w:cs="Arial"/>
          <w:sz w:val="24"/>
          <w:szCs w:val="24"/>
        </w:rPr>
        <w:t xml:space="preserve"> - generally view UNDP in Malawi positively</w:t>
      </w:r>
      <w:r w:rsidRPr="00082DE2">
        <w:rPr>
          <w:rFonts w:cs="Arial"/>
          <w:sz w:val="24"/>
          <w:szCs w:val="24"/>
        </w:rPr>
        <w:t xml:space="preserve">.  The 2015 </w:t>
      </w:r>
      <w:r w:rsidR="00D5269A" w:rsidRPr="00082DE2">
        <w:rPr>
          <w:rFonts w:cs="Arial"/>
          <w:sz w:val="24"/>
          <w:szCs w:val="24"/>
        </w:rPr>
        <w:t>Partnership Survey</w:t>
      </w:r>
      <w:r w:rsidRPr="00082DE2">
        <w:rPr>
          <w:rFonts w:cs="Arial"/>
          <w:sz w:val="24"/>
          <w:szCs w:val="24"/>
        </w:rPr>
        <w:t xml:space="preserve"> found that UNDP in Malawi </w:t>
      </w:r>
      <w:r w:rsidR="00D5269A" w:rsidRPr="00082DE2">
        <w:rPr>
          <w:rFonts w:cs="Arial"/>
          <w:sz w:val="24"/>
          <w:szCs w:val="24"/>
        </w:rPr>
        <w:t>has a favourable image and i</w:t>
      </w:r>
      <w:r w:rsidRPr="00082DE2">
        <w:rPr>
          <w:rFonts w:cs="Arial"/>
          <w:sz w:val="24"/>
          <w:szCs w:val="24"/>
        </w:rPr>
        <w:t xml:space="preserve">s viewed by its partners </w:t>
      </w:r>
      <w:r w:rsidR="00A76B75" w:rsidRPr="00082DE2">
        <w:rPr>
          <w:rFonts w:cs="Arial"/>
          <w:sz w:val="24"/>
          <w:szCs w:val="24"/>
        </w:rPr>
        <w:t>as</w:t>
      </w:r>
      <w:r w:rsidRPr="00082DE2">
        <w:rPr>
          <w:rFonts w:cs="Arial"/>
          <w:sz w:val="24"/>
          <w:szCs w:val="24"/>
        </w:rPr>
        <w:t xml:space="preserve"> a trusted partner</w:t>
      </w:r>
      <w:r w:rsidR="00D5269A" w:rsidRPr="00082DE2">
        <w:rPr>
          <w:rFonts w:cs="Arial"/>
          <w:sz w:val="24"/>
          <w:szCs w:val="24"/>
        </w:rPr>
        <w:t xml:space="preserve">, with programmes </w:t>
      </w:r>
      <w:r w:rsidR="00A76B75" w:rsidRPr="00082DE2">
        <w:rPr>
          <w:rFonts w:cs="Arial"/>
          <w:sz w:val="24"/>
          <w:szCs w:val="24"/>
        </w:rPr>
        <w:t xml:space="preserve">that are </w:t>
      </w:r>
      <w:r w:rsidR="00D5269A" w:rsidRPr="00082DE2">
        <w:rPr>
          <w:rFonts w:cs="Arial"/>
          <w:sz w:val="24"/>
          <w:szCs w:val="24"/>
        </w:rPr>
        <w:t>aligned to Malawi’s national priorities.</w:t>
      </w:r>
    </w:p>
    <w:p w14:paraId="196EC166" w14:textId="77777777" w:rsidR="00990293" w:rsidRPr="00082DE2" w:rsidRDefault="00990293" w:rsidP="00B0674D">
      <w:pPr>
        <w:jc w:val="both"/>
        <w:rPr>
          <w:rFonts w:cs="Arial"/>
          <w:sz w:val="24"/>
          <w:szCs w:val="24"/>
        </w:rPr>
      </w:pPr>
    </w:p>
    <w:p w14:paraId="4DBEE521" w14:textId="4026DD86" w:rsidR="00B52B2A" w:rsidRPr="00082DE2" w:rsidRDefault="0002655C" w:rsidP="000264AA">
      <w:pPr>
        <w:pStyle w:val="ListParagraph"/>
        <w:numPr>
          <w:ilvl w:val="0"/>
          <w:numId w:val="11"/>
        </w:numPr>
        <w:jc w:val="both"/>
        <w:outlineLvl w:val="0"/>
        <w:rPr>
          <w:rFonts w:cs="Arial"/>
          <w:b/>
          <w:sz w:val="24"/>
          <w:szCs w:val="24"/>
        </w:rPr>
      </w:pPr>
      <w:bookmarkStart w:id="5" w:name="_Toc454521937"/>
      <w:r w:rsidRPr="00082DE2">
        <w:rPr>
          <w:rFonts w:cs="Arial"/>
          <w:b/>
          <w:sz w:val="24"/>
          <w:szCs w:val="24"/>
        </w:rPr>
        <w:t xml:space="preserve">Positioning UNDP for </w:t>
      </w:r>
      <w:r w:rsidR="00ED13D5" w:rsidRPr="00082DE2">
        <w:rPr>
          <w:rFonts w:cs="Arial"/>
          <w:b/>
          <w:sz w:val="24"/>
          <w:szCs w:val="24"/>
        </w:rPr>
        <w:t xml:space="preserve">High Quality </w:t>
      </w:r>
      <w:r w:rsidRPr="00082DE2">
        <w:rPr>
          <w:rFonts w:cs="Arial"/>
          <w:b/>
          <w:sz w:val="24"/>
          <w:szCs w:val="24"/>
        </w:rPr>
        <w:t>Development</w:t>
      </w:r>
      <w:r w:rsidR="00ED13D5" w:rsidRPr="00082DE2">
        <w:rPr>
          <w:rFonts w:cs="Arial"/>
          <w:b/>
          <w:sz w:val="24"/>
          <w:szCs w:val="24"/>
        </w:rPr>
        <w:t xml:space="preserve"> Programming</w:t>
      </w:r>
      <w:bookmarkEnd w:id="5"/>
    </w:p>
    <w:p w14:paraId="2F68F0B1" w14:textId="57F3F88F" w:rsidR="004C0A6D" w:rsidRPr="00082DE2" w:rsidRDefault="00B52B2A" w:rsidP="00B0674D">
      <w:pPr>
        <w:jc w:val="both"/>
        <w:rPr>
          <w:sz w:val="24"/>
          <w:szCs w:val="24"/>
        </w:rPr>
      </w:pPr>
      <w:r w:rsidRPr="00082DE2">
        <w:rPr>
          <w:rFonts w:cs="Arial"/>
          <w:sz w:val="24"/>
          <w:szCs w:val="24"/>
        </w:rPr>
        <w:t>In 201</w:t>
      </w:r>
      <w:r w:rsidR="008475AE" w:rsidRPr="00082DE2">
        <w:rPr>
          <w:rFonts w:cs="Arial"/>
          <w:sz w:val="24"/>
          <w:szCs w:val="24"/>
        </w:rPr>
        <w:t>4-1</w:t>
      </w:r>
      <w:r w:rsidRPr="00082DE2">
        <w:rPr>
          <w:rFonts w:cs="Arial"/>
          <w:sz w:val="24"/>
          <w:szCs w:val="24"/>
        </w:rPr>
        <w:t>5, UNDP</w:t>
      </w:r>
      <w:r w:rsidR="003F7FEC" w:rsidRPr="00082DE2">
        <w:rPr>
          <w:rFonts w:cs="Arial"/>
          <w:sz w:val="24"/>
          <w:szCs w:val="24"/>
        </w:rPr>
        <w:t xml:space="preserve"> Malawi</w:t>
      </w:r>
      <w:r w:rsidRPr="00082DE2">
        <w:rPr>
          <w:rFonts w:cs="Arial"/>
          <w:sz w:val="24"/>
          <w:szCs w:val="24"/>
        </w:rPr>
        <w:t xml:space="preserve"> </w:t>
      </w:r>
      <w:r w:rsidR="0078063F" w:rsidRPr="00082DE2">
        <w:rPr>
          <w:rFonts w:cs="Arial"/>
          <w:sz w:val="24"/>
          <w:szCs w:val="24"/>
        </w:rPr>
        <w:t xml:space="preserve">went through </w:t>
      </w:r>
      <w:r w:rsidR="0078063F" w:rsidRPr="00082DE2">
        <w:rPr>
          <w:sz w:val="24"/>
          <w:szCs w:val="24"/>
        </w:rPr>
        <w:t>a programme alignment and restructuring process, to reposition itself to deliver better and high quality programmes and provide better services to the</w:t>
      </w:r>
      <w:r w:rsidR="00944A59" w:rsidRPr="00082DE2">
        <w:rPr>
          <w:sz w:val="24"/>
          <w:szCs w:val="24"/>
        </w:rPr>
        <w:t xml:space="preserve"> clientele which it serves. The</w:t>
      </w:r>
      <w:r w:rsidR="0078063F" w:rsidRPr="00082DE2">
        <w:rPr>
          <w:sz w:val="24"/>
          <w:szCs w:val="24"/>
        </w:rPr>
        <w:t xml:space="preserve"> restructuring was </w:t>
      </w:r>
      <w:r w:rsidR="0024797B" w:rsidRPr="00082DE2">
        <w:rPr>
          <w:sz w:val="24"/>
          <w:szCs w:val="24"/>
        </w:rPr>
        <w:t>a result of</w:t>
      </w:r>
      <w:r w:rsidR="0078063F" w:rsidRPr="00082DE2">
        <w:rPr>
          <w:sz w:val="24"/>
          <w:szCs w:val="24"/>
        </w:rPr>
        <w:t xml:space="preserve"> the 2014 – 2017 UNDP Corporate Strategic Pl</w:t>
      </w:r>
      <w:r w:rsidR="003F7FEC" w:rsidRPr="00082DE2">
        <w:rPr>
          <w:sz w:val="24"/>
          <w:szCs w:val="24"/>
        </w:rPr>
        <w:t xml:space="preserve">an, so that the organisation </w:t>
      </w:r>
      <w:r w:rsidR="0078063F" w:rsidRPr="00082DE2">
        <w:rPr>
          <w:sz w:val="24"/>
          <w:szCs w:val="24"/>
        </w:rPr>
        <w:t>remain</w:t>
      </w:r>
      <w:r w:rsidR="003F7FEC" w:rsidRPr="00082DE2">
        <w:rPr>
          <w:sz w:val="24"/>
          <w:szCs w:val="24"/>
        </w:rPr>
        <w:t>s</w:t>
      </w:r>
      <w:r w:rsidR="0078063F" w:rsidRPr="00082DE2">
        <w:rPr>
          <w:sz w:val="24"/>
          <w:szCs w:val="24"/>
        </w:rPr>
        <w:t xml:space="preserve"> relevant in a fast changing and dynamic world and </w:t>
      </w:r>
      <w:r w:rsidR="0024797B" w:rsidRPr="00082DE2">
        <w:rPr>
          <w:sz w:val="24"/>
          <w:szCs w:val="24"/>
        </w:rPr>
        <w:t>remains</w:t>
      </w:r>
      <w:r w:rsidR="0078063F" w:rsidRPr="00082DE2">
        <w:rPr>
          <w:sz w:val="24"/>
          <w:szCs w:val="24"/>
        </w:rPr>
        <w:t xml:space="preserve"> fit for purpose.</w:t>
      </w:r>
    </w:p>
    <w:p w14:paraId="67E677A3" w14:textId="442FFEA3" w:rsidR="00E47125" w:rsidRPr="00082DE2" w:rsidRDefault="00944A59" w:rsidP="00E47125">
      <w:pPr>
        <w:jc w:val="both"/>
        <w:rPr>
          <w:sz w:val="24"/>
          <w:szCs w:val="24"/>
        </w:rPr>
      </w:pPr>
      <w:r w:rsidRPr="00082DE2">
        <w:rPr>
          <w:sz w:val="24"/>
          <w:szCs w:val="24"/>
        </w:rPr>
        <w:t>The programme a</w:t>
      </w:r>
      <w:r w:rsidR="00E47125" w:rsidRPr="00082DE2">
        <w:rPr>
          <w:sz w:val="24"/>
          <w:szCs w:val="24"/>
        </w:rPr>
        <w:t>lignment and restructuring process</w:t>
      </w:r>
      <w:r w:rsidRPr="00082DE2">
        <w:rPr>
          <w:sz w:val="24"/>
          <w:szCs w:val="24"/>
        </w:rPr>
        <w:t xml:space="preserve">es </w:t>
      </w:r>
      <w:r w:rsidR="003F7FEC" w:rsidRPr="00082DE2">
        <w:rPr>
          <w:sz w:val="24"/>
          <w:szCs w:val="24"/>
        </w:rPr>
        <w:t xml:space="preserve">of the Country Office </w:t>
      </w:r>
      <w:r w:rsidR="0024797B" w:rsidRPr="00082DE2">
        <w:rPr>
          <w:sz w:val="24"/>
          <w:szCs w:val="24"/>
        </w:rPr>
        <w:t>led to</w:t>
      </w:r>
      <w:r w:rsidRPr="00082DE2">
        <w:rPr>
          <w:sz w:val="24"/>
          <w:szCs w:val="24"/>
        </w:rPr>
        <w:t xml:space="preserve"> the following</w:t>
      </w:r>
      <w:r w:rsidR="00E47125" w:rsidRPr="00082DE2">
        <w:rPr>
          <w:sz w:val="24"/>
          <w:szCs w:val="24"/>
        </w:rPr>
        <w:t>:</w:t>
      </w:r>
    </w:p>
    <w:p w14:paraId="0F88910B" w14:textId="0048954D" w:rsidR="00E47125" w:rsidRPr="00082DE2" w:rsidRDefault="00E47125" w:rsidP="0002655C">
      <w:pPr>
        <w:pStyle w:val="ListParagraph"/>
        <w:numPr>
          <w:ilvl w:val="0"/>
          <w:numId w:val="10"/>
        </w:numPr>
        <w:jc w:val="both"/>
        <w:rPr>
          <w:sz w:val="24"/>
          <w:szCs w:val="24"/>
        </w:rPr>
      </w:pPr>
      <w:r w:rsidRPr="00082DE2">
        <w:rPr>
          <w:sz w:val="24"/>
          <w:szCs w:val="24"/>
        </w:rPr>
        <w:t xml:space="preserve">Moving away from a projectized to an issues based approach or more holistic programming in recognition of the complexity of development challenges to ensure greater impact. </w:t>
      </w:r>
    </w:p>
    <w:p w14:paraId="05310AE6" w14:textId="77777777" w:rsidR="00E47125" w:rsidRPr="00082DE2" w:rsidRDefault="00E47125" w:rsidP="0002655C">
      <w:pPr>
        <w:pStyle w:val="ListParagraph"/>
        <w:jc w:val="both"/>
        <w:rPr>
          <w:sz w:val="24"/>
          <w:szCs w:val="24"/>
        </w:rPr>
      </w:pPr>
      <w:r w:rsidRPr="00082DE2">
        <w:rPr>
          <w:sz w:val="24"/>
          <w:szCs w:val="24"/>
        </w:rPr>
        <w:t xml:space="preserve">   </w:t>
      </w:r>
    </w:p>
    <w:p w14:paraId="457BBA00" w14:textId="4869BD50" w:rsidR="00E47125" w:rsidRPr="00082DE2" w:rsidRDefault="00E47125" w:rsidP="0002655C">
      <w:pPr>
        <w:pStyle w:val="ListParagraph"/>
        <w:numPr>
          <w:ilvl w:val="0"/>
          <w:numId w:val="10"/>
        </w:numPr>
        <w:jc w:val="both"/>
        <w:rPr>
          <w:sz w:val="24"/>
          <w:szCs w:val="24"/>
        </w:rPr>
      </w:pPr>
      <w:r w:rsidRPr="00082DE2">
        <w:rPr>
          <w:sz w:val="24"/>
          <w:szCs w:val="24"/>
        </w:rPr>
        <w:t xml:space="preserve">Change in the programme portfolios from four clusters to two portfolios and introduction of an advisory team on development impact.   The two programmes, namely: </w:t>
      </w:r>
      <w:r w:rsidRPr="00082DE2">
        <w:rPr>
          <w:i/>
          <w:sz w:val="24"/>
          <w:szCs w:val="24"/>
        </w:rPr>
        <w:t>Responsive Institutions and Citizen Engagement</w:t>
      </w:r>
      <w:r w:rsidRPr="00082DE2">
        <w:rPr>
          <w:sz w:val="24"/>
          <w:szCs w:val="24"/>
        </w:rPr>
        <w:t xml:space="preserve"> (RICE) and </w:t>
      </w:r>
      <w:r w:rsidRPr="00082DE2">
        <w:rPr>
          <w:i/>
          <w:sz w:val="24"/>
          <w:szCs w:val="24"/>
        </w:rPr>
        <w:t>Resilience and Sustainable Growth</w:t>
      </w:r>
      <w:r w:rsidRPr="00082DE2">
        <w:rPr>
          <w:sz w:val="24"/>
          <w:szCs w:val="24"/>
        </w:rPr>
        <w:t xml:space="preserve"> (RSG) address three issues whose selection is based on </w:t>
      </w:r>
      <w:r w:rsidR="001E6056" w:rsidRPr="00082DE2">
        <w:rPr>
          <w:sz w:val="24"/>
          <w:szCs w:val="24"/>
        </w:rPr>
        <w:t xml:space="preserve">(i) </w:t>
      </w:r>
      <w:r w:rsidRPr="00082DE2">
        <w:rPr>
          <w:sz w:val="24"/>
          <w:szCs w:val="24"/>
        </w:rPr>
        <w:t>the perception of Development Partners (DPs) about where UNDP has greatest potential to add value</w:t>
      </w:r>
      <w:r w:rsidR="001E6056" w:rsidRPr="00082DE2">
        <w:rPr>
          <w:sz w:val="24"/>
          <w:szCs w:val="24"/>
        </w:rPr>
        <w:t>, (ii) the mandate of UNDP</w:t>
      </w:r>
      <w:r w:rsidRPr="00082DE2">
        <w:rPr>
          <w:sz w:val="24"/>
          <w:szCs w:val="24"/>
        </w:rPr>
        <w:t xml:space="preserve"> and </w:t>
      </w:r>
      <w:r w:rsidR="001E6056" w:rsidRPr="00082DE2">
        <w:rPr>
          <w:sz w:val="24"/>
          <w:szCs w:val="24"/>
        </w:rPr>
        <w:t xml:space="preserve">(iii) </w:t>
      </w:r>
      <w:r w:rsidRPr="00082DE2">
        <w:rPr>
          <w:sz w:val="24"/>
          <w:szCs w:val="24"/>
        </w:rPr>
        <w:t xml:space="preserve">is adequately geared for effective implementation.   </w:t>
      </w:r>
    </w:p>
    <w:p w14:paraId="369B5E6E" w14:textId="77777777" w:rsidR="00E47125" w:rsidRPr="00082DE2" w:rsidRDefault="00E47125" w:rsidP="0002655C">
      <w:pPr>
        <w:pStyle w:val="ListParagraph"/>
        <w:jc w:val="both"/>
        <w:rPr>
          <w:sz w:val="24"/>
          <w:szCs w:val="24"/>
        </w:rPr>
      </w:pPr>
    </w:p>
    <w:p w14:paraId="01825FEE" w14:textId="61E74D43" w:rsidR="00E47125" w:rsidRDefault="001E6056" w:rsidP="00B0674D">
      <w:pPr>
        <w:pStyle w:val="ListParagraph"/>
        <w:numPr>
          <w:ilvl w:val="0"/>
          <w:numId w:val="10"/>
        </w:numPr>
        <w:jc w:val="both"/>
        <w:rPr>
          <w:sz w:val="24"/>
          <w:szCs w:val="24"/>
        </w:rPr>
      </w:pPr>
      <w:r w:rsidRPr="00082DE2">
        <w:rPr>
          <w:sz w:val="24"/>
          <w:szCs w:val="24"/>
        </w:rPr>
        <w:t>A r</w:t>
      </w:r>
      <w:r w:rsidR="00E47125" w:rsidRPr="00082DE2">
        <w:rPr>
          <w:sz w:val="24"/>
          <w:szCs w:val="24"/>
        </w:rPr>
        <w:t>evitalized Country Office Structure which</w:t>
      </w:r>
      <w:r w:rsidR="00E47125" w:rsidRPr="00082DE2">
        <w:rPr>
          <w:b/>
          <w:sz w:val="24"/>
          <w:szCs w:val="24"/>
        </w:rPr>
        <w:t xml:space="preserve"> </w:t>
      </w:r>
      <w:r w:rsidR="00E47125" w:rsidRPr="00082DE2">
        <w:rPr>
          <w:sz w:val="24"/>
          <w:szCs w:val="24"/>
        </w:rPr>
        <w:t>gives UNDP the right profile - one that is sustainable within available resources, and that can deliver optimally and grow with demand in the ar</w:t>
      </w:r>
      <w:r w:rsidR="007E55B9" w:rsidRPr="00082DE2">
        <w:rPr>
          <w:sz w:val="24"/>
          <w:szCs w:val="24"/>
        </w:rPr>
        <w:t>eas where it</w:t>
      </w:r>
      <w:r w:rsidR="00E47125" w:rsidRPr="00082DE2">
        <w:rPr>
          <w:sz w:val="24"/>
          <w:szCs w:val="24"/>
        </w:rPr>
        <w:t xml:space="preserve"> excel</w:t>
      </w:r>
      <w:r w:rsidR="007E55B9" w:rsidRPr="00082DE2">
        <w:rPr>
          <w:sz w:val="24"/>
          <w:szCs w:val="24"/>
        </w:rPr>
        <w:t>s</w:t>
      </w:r>
      <w:r w:rsidR="00E47125" w:rsidRPr="00082DE2">
        <w:rPr>
          <w:sz w:val="24"/>
          <w:szCs w:val="24"/>
        </w:rPr>
        <w:t xml:space="preserve">. </w:t>
      </w:r>
    </w:p>
    <w:p w14:paraId="4D380A27" w14:textId="1815A33E" w:rsidR="00B53C3B" w:rsidRPr="00B53C3B" w:rsidRDefault="00B53C3B" w:rsidP="00B53C3B">
      <w:pPr>
        <w:jc w:val="both"/>
        <w:rPr>
          <w:sz w:val="24"/>
          <w:szCs w:val="24"/>
        </w:rPr>
      </w:pPr>
      <w:r>
        <w:rPr>
          <w:sz w:val="24"/>
          <w:szCs w:val="24"/>
        </w:rPr>
        <w:t>Following the programme alignment and restructuring processes, the CO came out stronger, better positioned for high quality programming and for ra</w:t>
      </w:r>
      <w:r w:rsidR="009D40B6">
        <w:rPr>
          <w:sz w:val="24"/>
          <w:szCs w:val="24"/>
        </w:rPr>
        <w:t>i</w:t>
      </w:r>
      <w:r>
        <w:rPr>
          <w:sz w:val="24"/>
          <w:szCs w:val="24"/>
        </w:rPr>
        <w:t xml:space="preserve">sing the image of the organization than before.  These attributes are essential for resource mobilization efforts. </w:t>
      </w:r>
    </w:p>
    <w:p w14:paraId="01A6E942" w14:textId="77777777" w:rsidR="00EF4F56" w:rsidRPr="00082DE2" w:rsidRDefault="00EF4F56" w:rsidP="00EF4F56">
      <w:pPr>
        <w:pStyle w:val="ListParagraph"/>
        <w:rPr>
          <w:sz w:val="24"/>
          <w:szCs w:val="24"/>
        </w:rPr>
      </w:pPr>
    </w:p>
    <w:p w14:paraId="7B4F3A81" w14:textId="77777777" w:rsidR="00CD1C38" w:rsidRPr="00082DE2" w:rsidRDefault="00CD1C38" w:rsidP="000264AA">
      <w:pPr>
        <w:pStyle w:val="ListParagraph"/>
        <w:numPr>
          <w:ilvl w:val="0"/>
          <w:numId w:val="11"/>
        </w:numPr>
        <w:jc w:val="both"/>
        <w:outlineLvl w:val="0"/>
        <w:rPr>
          <w:b/>
          <w:sz w:val="24"/>
          <w:szCs w:val="24"/>
        </w:rPr>
      </w:pPr>
      <w:bookmarkStart w:id="6" w:name="_Toc454521938"/>
      <w:r w:rsidRPr="00082DE2">
        <w:rPr>
          <w:b/>
          <w:sz w:val="24"/>
          <w:szCs w:val="24"/>
        </w:rPr>
        <w:t>Future Resource Requirements and Opportunities</w:t>
      </w:r>
      <w:bookmarkEnd w:id="6"/>
    </w:p>
    <w:p w14:paraId="29844EAD" w14:textId="14F2690B" w:rsidR="00CD1C38" w:rsidRPr="00082DE2" w:rsidRDefault="00CD1C38" w:rsidP="00CD1C38">
      <w:pPr>
        <w:jc w:val="both"/>
        <w:rPr>
          <w:sz w:val="24"/>
          <w:szCs w:val="24"/>
        </w:rPr>
      </w:pPr>
      <w:r w:rsidRPr="00082DE2">
        <w:rPr>
          <w:sz w:val="24"/>
          <w:szCs w:val="24"/>
        </w:rPr>
        <w:t>The demands for development resources at all levels are rising due to the growing complexities of society needs</w:t>
      </w:r>
      <w:r w:rsidR="00263B4E" w:rsidRPr="00082DE2">
        <w:rPr>
          <w:sz w:val="24"/>
          <w:szCs w:val="24"/>
        </w:rPr>
        <w:t xml:space="preserve"> and a multiplicity of development actors who are able to make a difference on </w:t>
      </w:r>
      <w:r w:rsidR="00263B4E" w:rsidRPr="00082DE2">
        <w:rPr>
          <w:sz w:val="24"/>
          <w:szCs w:val="24"/>
        </w:rPr>
        <w:lastRenderedPageBreak/>
        <w:t>the ground</w:t>
      </w:r>
      <w:r w:rsidRPr="00082DE2">
        <w:rPr>
          <w:sz w:val="24"/>
          <w:szCs w:val="24"/>
        </w:rPr>
        <w:t xml:space="preserve">. In particular, there is need for unprecedented levels of resources to implement the SDGs.   </w:t>
      </w:r>
    </w:p>
    <w:p w14:paraId="24C1EC9E" w14:textId="006BAEE2" w:rsidR="0080227E" w:rsidRPr="00082DE2" w:rsidRDefault="00CD1C38" w:rsidP="00CD1C38">
      <w:pPr>
        <w:jc w:val="both"/>
        <w:rPr>
          <w:sz w:val="24"/>
          <w:szCs w:val="24"/>
        </w:rPr>
      </w:pPr>
      <w:r w:rsidRPr="00082DE2">
        <w:rPr>
          <w:sz w:val="24"/>
          <w:szCs w:val="24"/>
        </w:rPr>
        <w:t xml:space="preserve">The SDGs present both a challenge and an opportunity for resource mobilization.  </w:t>
      </w:r>
      <w:r w:rsidR="00263B4E" w:rsidRPr="00082DE2">
        <w:rPr>
          <w:sz w:val="24"/>
          <w:szCs w:val="24"/>
        </w:rPr>
        <w:t>As the custodian of the SDGs, t</w:t>
      </w:r>
      <w:r w:rsidRPr="00082DE2">
        <w:rPr>
          <w:sz w:val="24"/>
          <w:szCs w:val="24"/>
        </w:rPr>
        <w:t xml:space="preserve">hese goals are not only strongly linked to the mission and mandate of UNDP but also </w:t>
      </w:r>
      <w:r w:rsidR="00263B4E" w:rsidRPr="00082DE2">
        <w:rPr>
          <w:sz w:val="24"/>
          <w:szCs w:val="24"/>
        </w:rPr>
        <w:t xml:space="preserve">fit well with </w:t>
      </w:r>
      <w:r w:rsidRPr="00082DE2">
        <w:rPr>
          <w:sz w:val="24"/>
          <w:szCs w:val="24"/>
        </w:rPr>
        <w:t>the selected areas in the Strategic Plan.</w:t>
      </w:r>
      <w:r w:rsidR="00263B4E" w:rsidRPr="00082DE2">
        <w:rPr>
          <w:sz w:val="24"/>
          <w:szCs w:val="24"/>
        </w:rPr>
        <w:t xml:space="preserve">  </w:t>
      </w:r>
      <w:r w:rsidR="0080227E" w:rsidRPr="00082DE2">
        <w:rPr>
          <w:sz w:val="24"/>
          <w:szCs w:val="24"/>
        </w:rPr>
        <w:t xml:space="preserve">UNDP can leverage this identity to position itself as a leader in facilitating programming of interventions related to the </w:t>
      </w:r>
      <w:r w:rsidR="00263B4E" w:rsidRPr="00082DE2">
        <w:rPr>
          <w:sz w:val="24"/>
          <w:szCs w:val="24"/>
        </w:rPr>
        <w:t>prioritized</w:t>
      </w:r>
      <w:r w:rsidR="0080227E" w:rsidRPr="00082DE2">
        <w:rPr>
          <w:sz w:val="24"/>
          <w:szCs w:val="24"/>
        </w:rPr>
        <w:t xml:space="preserve"> goals</w:t>
      </w:r>
      <w:r w:rsidR="00263B4E" w:rsidRPr="00082DE2">
        <w:rPr>
          <w:sz w:val="24"/>
          <w:szCs w:val="24"/>
        </w:rPr>
        <w:t xml:space="preserve"> by the national government</w:t>
      </w:r>
      <w:r w:rsidR="0080227E" w:rsidRPr="00082DE2">
        <w:rPr>
          <w:sz w:val="24"/>
          <w:szCs w:val="24"/>
        </w:rPr>
        <w:t xml:space="preserve">.  </w:t>
      </w:r>
    </w:p>
    <w:p w14:paraId="4CB4ED8B" w14:textId="4F8A52E9" w:rsidR="000236B3" w:rsidRPr="00082DE2" w:rsidRDefault="00CD1C38" w:rsidP="00CD1C38">
      <w:pPr>
        <w:jc w:val="both"/>
        <w:rPr>
          <w:sz w:val="24"/>
          <w:szCs w:val="24"/>
        </w:rPr>
      </w:pPr>
      <w:r w:rsidRPr="00082DE2">
        <w:rPr>
          <w:sz w:val="24"/>
          <w:szCs w:val="24"/>
        </w:rPr>
        <w:t>Over the past four years, donors have continued to work with UNDP in the area of democratic governance</w:t>
      </w:r>
      <w:r w:rsidR="00263B4E" w:rsidRPr="00082DE2">
        <w:rPr>
          <w:sz w:val="24"/>
          <w:szCs w:val="24"/>
        </w:rPr>
        <w:t>,</w:t>
      </w:r>
      <w:r w:rsidR="0080227E" w:rsidRPr="00082DE2">
        <w:rPr>
          <w:sz w:val="24"/>
          <w:szCs w:val="24"/>
        </w:rPr>
        <w:t xml:space="preserve"> public sector management and private sector development</w:t>
      </w:r>
      <w:r w:rsidRPr="00082DE2">
        <w:rPr>
          <w:sz w:val="24"/>
          <w:szCs w:val="24"/>
        </w:rPr>
        <w:t>.</w:t>
      </w:r>
      <w:r w:rsidR="00FB74B7">
        <w:rPr>
          <w:sz w:val="24"/>
          <w:szCs w:val="24"/>
        </w:rPr>
        <w:t xml:space="preserve"> </w:t>
      </w:r>
      <w:r w:rsidR="007E55B9" w:rsidRPr="00082DE2">
        <w:rPr>
          <w:sz w:val="24"/>
          <w:szCs w:val="24"/>
        </w:rPr>
        <w:t xml:space="preserve">Following </w:t>
      </w:r>
      <w:r w:rsidR="00640ED9" w:rsidRPr="00082DE2">
        <w:rPr>
          <w:sz w:val="24"/>
          <w:szCs w:val="24"/>
        </w:rPr>
        <w:t xml:space="preserve">recent </w:t>
      </w:r>
      <w:r w:rsidR="007E55B9" w:rsidRPr="00082DE2">
        <w:rPr>
          <w:sz w:val="24"/>
          <w:szCs w:val="24"/>
        </w:rPr>
        <w:t>engagement by the CO, t</w:t>
      </w:r>
      <w:r w:rsidRPr="00082DE2">
        <w:rPr>
          <w:sz w:val="24"/>
          <w:szCs w:val="24"/>
        </w:rPr>
        <w:t>he EU, DFID and Irish Aid have shown different levels of interest to continue working with UNDP in these areas.</w:t>
      </w:r>
      <w:r w:rsidR="00FB74B7">
        <w:rPr>
          <w:sz w:val="24"/>
          <w:szCs w:val="24"/>
        </w:rPr>
        <w:t xml:space="preserve"> </w:t>
      </w:r>
      <w:r w:rsidR="00B53C3B">
        <w:rPr>
          <w:sz w:val="24"/>
          <w:szCs w:val="24"/>
        </w:rPr>
        <w:t>Paragraph 7 below presents specific resource mobilization targets emanating from engagement with partners.</w:t>
      </w:r>
      <w:r w:rsidRPr="00082DE2">
        <w:rPr>
          <w:sz w:val="24"/>
          <w:szCs w:val="24"/>
        </w:rPr>
        <w:t xml:space="preserve">  </w:t>
      </w:r>
    </w:p>
    <w:p w14:paraId="2F9A3A52" w14:textId="55052FDB" w:rsidR="00CD1C38" w:rsidRPr="00082DE2" w:rsidRDefault="00CD1C38" w:rsidP="00CD1C38">
      <w:pPr>
        <w:jc w:val="both"/>
        <w:rPr>
          <w:sz w:val="24"/>
          <w:szCs w:val="24"/>
        </w:rPr>
      </w:pPr>
      <w:r w:rsidRPr="00082DE2">
        <w:rPr>
          <w:sz w:val="24"/>
          <w:szCs w:val="24"/>
        </w:rPr>
        <w:t>Based on the results of the 201</w:t>
      </w:r>
      <w:r w:rsidR="007E55B9" w:rsidRPr="00082DE2">
        <w:rPr>
          <w:sz w:val="24"/>
          <w:szCs w:val="24"/>
        </w:rPr>
        <w:t>5</w:t>
      </w:r>
      <w:r w:rsidRPr="00082DE2">
        <w:rPr>
          <w:sz w:val="24"/>
          <w:szCs w:val="24"/>
        </w:rPr>
        <w:t xml:space="preserve"> Partnership Survey, UNDP must demonstrate improvements in quality and timely reporting, main</w:t>
      </w:r>
      <w:r w:rsidR="007E55B9" w:rsidRPr="00082DE2">
        <w:rPr>
          <w:sz w:val="24"/>
          <w:szCs w:val="24"/>
        </w:rPr>
        <w:t>tain</w:t>
      </w:r>
      <w:r w:rsidRPr="00082DE2">
        <w:rPr>
          <w:sz w:val="24"/>
          <w:szCs w:val="24"/>
        </w:rPr>
        <w:t xml:space="preserve"> high levels of transpar</w:t>
      </w:r>
      <w:r w:rsidR="000236B3" w:rsidRPr="00082DE2">
        <w:rPr>
          <w:sz w:val="24"/>
          <w:szCs w:val="24"/>
        </w:rPr>
        <w:t>ency and accountability and pay</w:t>
      </w:r>
      <w:r w:rsidR="007E55B9" w:rsidRPr="00082DE2">
        <w:rPr>
          <w:sz w:val="24"/>
          <w:szCs w:val="24"/>
        </w:rPr>
        <w:t xml:space="preserve"> </w:t>
      </w:r>
      <w:r w:rsidRPr="00082DE2">
        <w:rPr>
          <w:sz w:val="24"/>
          <w:szCs w:val="24"/>
        </w:rPr>
        <w:t>attention to the operational efficiency and effectiveness.</w:t>
      </w:r>
      <w:r w:rsidR="00FB74B7">
        <w:rPr>
          <w:sz w:val="24"/>
          <w:szCs w:val="24"/>
        </w:rPr>
        <w:t xml:space="preserve"> </w:t>
      </w:r>
      <w:r w:rsidRPr="00082DE2">
        <w:rPr>
          <w:sz w:val="24"/>
          <w:szCs w:val="24"/>
        </w:rPr>
        <w:t>UNDP should ensure adequate visibility of its donors</w:t>
      </w:r>
      <w:r w:rsidR="00CA0325" w:rsidRPr="00082DE2">
        <w:rPr>
          <w:sz w:val="24"/>
          <w:szCs w:val="24"/>
        </w:rPr>
        <w:t xml:space="preserve"> as well</w:t>
      </w:r>
      <w:r w:rsidRPr="00082DE2">
        <w:rPr>
          <w:sz w:val="24"/>
          <w:szCs w:val="24"/>
        </w:rPr>
        <w:t>. It is impera</w:t>
      </w:r>
      <w:r w:rsidR="000236B3" w:rsidRPr="00082DE2">
        <w:rPr>
          <w:sz w:val="24"/>
          <w:szCs w:val="24"/>
        </w:rPr>
        <w:t>tive that UNDP should boost</w:t>
      </w:r>
      <w:r w:rsidRPr="00082DE2">
        <w:rPr>
          <w:sz w:val="24"/>
          <w:szCs w:val="24"/>
        </w:rPr>
        <w:t xml:space="preserve"> its image as a substantive partner to potential donors through visibility initiatives.</w:t>
      </w:r>
    </w:p>
    <w:p w14:paraId="4ABC2F55" w14:textId="2C0C3CB3" w:rsidR="00CD1C38" w:rsidRPr="00082DE2" w:rsidRDefault="00CD1C38" w:rsidP="00CD1C38">
      <w:pPr>
        <w:jc w:val="both"/>
        <w:rPr>
          <w:sz w:val="24"/>
          <w:szCs w:val="24"/>
        </w:rPr>
      </w:pPr>
      <w:r w:rsidRPr="00082DE2">
        <w:rPr>
          <w:sz w:val="24"/>
          <w:szCs w:val="24"/>
        </w:rPr>
        <w:t xml:space="preserve">The National Registration and Identification System project offers huge opportunities for mobilizing third party and </w:t>
      </w:r>
      <w:r w:rsidR="00FB74B7">
        <w:rPr>
          <w:sz w:val="24"/>
          <w:szCs w:val="24"/>
        </w:rPr>
        <w:t>G</w:t>
      </w:r>
      <w:r w:rsidRPr="00082DE2">
        <w:rPr>
          <w:sz w:val="24"/>
          <w:szCs w:val="24"/>
        </w:rPr>
        <w:t xml:space="preserve">overnment </w:t>
      </w:r>
      <w:r w:rsidR="00FB74B7">
        <w:rPr>
          <w:sz w:val="24"/>
          <w:szCs w:val="24"/>
        </w:rPr>
        <w:t>C</w:t>
      </w:r>
      <w:r w:rsidRPr="00082DE2">
        <w:rPr>
          <w:sz w:val="24"/>
          <w:szCs w:val="24"/>
        </w:rPr>
        <w:t xml:space="preserve">ost </w:t>
      </w:r>
      <w:r w:rsidR="00FB74B7">
        <w:rPr>
          <w:sz w:val="24"/>
          <w:szCs w:val="24"/>
        </w:rPr>
        <w:t>S</w:t>
      </w:r>
      <w:r w:rsidRPr="00082DE2">
        <w:rPr>
          <w:sz w:val="24"/>
          <w:szCs w:val="24"/>
        </w:rPr>
        <w:t>haring resources.  In this regard, UNDP should invest more resources to facilitate negotiation</w:t>
      </w:r>
      <w:r w:rsidR="007E55B9" w:rsidRPr="00082DE2">
        <w:rPr>
          <w:sz w:val="24"/>
          <w:szCs w:val="24"/>
        </w:rPr>
        <w:t>s</w:t>
      </w:r>
      <w:r w:rsidRPr="00082DE2">
        <w:rPr>
          <w:sz w:val="24"/>
          <w:szCs w:val="24"/>
        </w:rPr>
        <w:t xml:space="preserve"> towards government contribution to the project</w:t>
      </w:r>
      <w:r w:rsidR="001622EA" w:rsidRPr="00082DE2">
        <w:rPr>
          <w:sz w:val="24"/>
          <w:szCs w:val="24"/>
        </w:rPr>
        <w:t xml:space="preserve"> and ensure that there is an agile and responsive team in place to provide support to Government through the Direct Implementation Modality</w:t>
      </w:r>
      <w:r w:rsidRPr="00082DE2">
        <w:rPr>
          <w:sz w:val="24"/>
          <w:szCs w:val="24"/>
        </w:rPr>
        <w:t>.</w:t>
      </w:r>
      <w:r w:rsidR="00D75EBB">
        <w:rPr>
          <w:sz w:val="24"/>
          <w:szCs w:val="24"/>
        </w:rPr>
        <w:t xml:space="preserve">  This should entail deployed of dedicated technical assistance personnel to ensure constant engagement with national authorities and key development partners.</w:t>
      </w:r>
    </w:p>
    <w:p w14:paraId="3070BE06" w14:textId="15790AF6" w:rsidR="00CD1C38" w:rsidRPr="00082DE2" w:rsidRDefault="00CD1C38" w:rsidP="00CD1C38">
      <w:pPr>
        <w:jc w:val="both"/>
        <w:rPr>
          <w:rFonts w:cs="Arial"/>
          <w:sz w:val="24"/>
          <w:szCs w:val="24"/>
        </w:rPr>
      </w:pPr>
      <w:r w:rsidRPr="00082DE2">
        <w:rPr>
          <w:sz w:val="24"/>
          <w:szCs w:val="24"/>
        </w:rPr>
        <w:t>Recent consultations with the representatives of the private sector have shown that the private sector is willing to contribute to development work if engaged in a meaningful way.</w:t>
      </w:r>
      <w:r w:rsidRPr="00082DE2">
        <w:rPr>
          <w:rFonts w:cs="Arial"/>
          <w:sz w:val="24"/>
          <w:szCs w:val="24"/>
        </w:rPr>
        <w:t xml:space="preserve">  For instance, the private sector </w:t>
      </w:r>
      <w:r w:rsidR="009C4368" w:rsidRPr="00082DE2">
        <w:rPr>
          <w:rFonts w:cs="Arial"/>
          <w:sz w:val="24"/>
          <w:szCs w:val="24"/>
        </w:rPr>
        <w:t xml:space="preserve">has </w:t>
      </w:r>
      <w:r w:rsidRPr="00082DE2">
        <w:rPr>
          <w:rFonts w:cs="Arial"/>
          <w:sz w:val="24"/>
          <w:szCs w:val="24"/>
        </w:rPr>
        <w:t xml:space="preserve">shown interest in getting involved in climate change initiatives because of the risks climate change poses to the growth of the sector </w:t>
      </w:r>
      <w:r w:rsidR="000236B3" w:rsidRPr="00082DE2">
        <w:rPr>
          <w:rFonts w:cs="Arial"/>
          <w:sz w:val="24"/>
          <w:szCs w:val="24"/>
        </w:rPr>
        <w:t xml:space="preserve">and also the opportunities which </w:t>
      </w:r>
      <w:r w:rsidRPr="00082DE2">
        <w:rPr>
          <w:rFonts w:cs="Arial"/>
          <w:sz w:val="24"/>
          <w:szCs w:val="24"/>
        </w:rPr>
        <w:t>adaptation technologies and approaches offer t</w:t>
      </w:r>
      <w:r w:rsidR="009C4368" w:rsidRPr="00082DE2">
        <w:rPr>
          <w:rFonts w:cs="Arial"/>
          <w:sz w:val="24"/>
          <w:szCs w:val="24"/>
        </w:rPr>
        <w:t>o the sector</w:t>
      </w:r>
      <w:r w:rsidRPr="00082DE2">
        <w:rPr>
          <w:rFonts w:cs="Arial"/>
          <w:sz w:val="24"/>
          <w:szCs w:val="24"/>
        </w:rPr>
        <w:t>.</w:t>
      </w:r>
      <w:r w:rsidR="00B4292A" w:rsidRPr="00082DE2">
        <w:rPr>
          <w:rFonts w:cs="Arial"/>
          <w:sz w:val="24"/>
          <w:szCs w:val="24"/>
        </w:rPr>
        <w:t xml:space="preserve"> More broadly, they also need to engage in the implementation of the SDGs.</w:t>
      </w:r>
    </w:p>
    <w:p w14:paraId="7036C677" w14:textId="5823C2F1" w:rsidR="00CD1C38" w:rsidRDefault="00CD1C38" w:rsidP="00CD1C38">
      <w:pPr>
        <w:jc w:val="both"/>
        <w:rPr>
          <w:sz w:val="24"/>
          <w:szCs w:val="24"/>
        </w:rPr>
      </w:pPr>
      <w:r w:rsidRPr="00082DE2">
        <w:rPr>
          <w:sz w:val="24"/>
          <w:szCs w:val="24"/>
        </w:rPr>
        <w:t>The 2016 Resource Mobilization</w:t>
      </w:r>
      <w:r w:rsidR="000236B3" w:rsidRPr="00082DE2">
        <w:rPr>
          <w:sz w:val="24"/>
          <w:szCs w:val="24"/>
        </w:rPr>
        <w:t xml:space="preserve"> Action Plan is designed to pursue</w:t>
      </w:r>
      <w:r w:rsidR="009C4368" w:rsidRPr="00082DE2">
        <w:rPr>
          <w:sz w:val="24"/>
          <w:szCs w:val="24"/>
        </w:rPr>
        <w:t xml:space="preserve"> the</w:t>
      </w:r>
      <w:r w:rsidR="000236B3" w:rsidRPr="00082DE2">
        <w:rPr>
          <w:sz w:val="24"/>
          <w:szCs w:val="24"/>
        </w:rPr>
        <w:t xml:space="preserve"> </w:t>
      </w:r>
      <w:r w:rsidR="009C4368" w:rsidRPr="00082DE2">
        <w:rPr>
          <w:sz w:val="24"/>
          <w:szCs w:val="24"/>
        </w:rPr>
        <w:t>opportunities outlined above</w:t>
      </w:r>
      <w:r w:rsidR="00B4292A" w:rsidRPr="00082DE2">
        <w:rPr>
          <w:sz w:val="24"/>
          <w:szCs w:val="24"/>
        </w:rPr>
        <w:t>,</w:t>
      </w:r>
      <w:r w:rsidR="000236B3" w:rsidRPr="00082DE2">
        <w:rPr>
          <w:sz w:val="24"/>
          <w:szCs w:val="24"/>
        </w:rPr>
        <w:t xml:space="preserve"> </w:t>
      </w:r>
      <w:r w:rsidR="00334E6A">
        <w:rPr>
          <w:sz w:val="24"/>
          <w:szCs w:val="24"/>
        </w:rPr>
        <w:t>as well as</w:t>
      </w:r>
      <w:r w:rsidR="00334E6A" w:rsidRPr="00082DE2">
        <w:rPr>
          <w:sz w:val="24"/>
          <w:szCs w:val="24"/>
        </w:rPr>
        <w:t xml:space="preserve"> </w:t>
      </w:r>
      <w:r w:rsidR="000236B3" w:rsidRPr="00082DE2">
        <w:rPr>
          <w:sz w:val="24"/>
          <w:szCs w:val="24"/>
        </w:rPr>
        <w:t>other initiatives</w:t>
      </w:r>
      <w:r w:rsidR="009C4368" w:rsidRPr="00082DE2">
        <w:rPr>
          <w:sz w:val="24"/>
          <w:szCs w:val="24"/>
        </w:rPr>
        <w:t>.</w:t>
      </w:r>
    </w:p>
    <w:p w14:paraId="6EFA7668" w14:textId="77777777" w:rsidR="00990293" w:rsidRPr="00082DE2" w:rsidRDefault="00990293" w:rsidP="00CD1C38">
      <w:pPr>
        <w:jc w:val="both"/>
        <w:rPr>
          <w:sz w:val="24"/>
          <w:szCs w:val="24"/>
        </w:rPr>
      </w:pPr>
    </w:p>
    <w:p w14:paraId="0068BEB7" w14:textId="77777777" w:rsidR="00952C7B" w:rsidRPr="00082DE2" w:rsidRDefault="00F10438" w:rsidP="000264AA">
      <w:pPr>
        <w:pStyle w:val="ListParagraph"/>
        <w:numPr>
          <w:ilvl w:val="0"/>
          <w:numId w:val="11"/>
        </w:numPr>
        <w:jc w:val="both"/>
        <w:outlineLvl w:val="0"/>
        <w:rPr>
          <w:rFonts w:cs="Arial"/>
          <w:b/>
          <w:sz w:val="24"/>
          <w:szCs w:val="24"/>
        </w:rPr>
      </w:pPr>
      <w:r w:rsidRPr="00082DE2">
        <w:rPr>
          <w:sz w:val="24"/>
          <w:szCs w:val="24"/>
        </w:rPr>
        <w:t xml:space="preserve"> </w:t>
      </w:r>
      <w:bookmarkStart w:id="7" w:name="_Toc454521939"/>
      <w:r w:rsidRPr="00082DE2">
        <w:rPr>
          <w:rFonts w:cs="Arial"/>
          <w:b/>
          <w:sz w:val="24"/>
          <w:szCs w:val="24"/>
        </w:rPr>
        <w:t>Objective of the Resource Mobilisation Plan</w:t>
      </w:r>
      <w:bookmarkEnd w:id="7"/>
    </w:p>
    <w:p w14:paraId="4D693325" w14:textId="720EAFE4" w:rsidR="002978AA" w:rsidRPr="00082DE2" w:rsidRDefault="00952C7B" w:rsidP="002978AA">
      <w:pPr>
        <w:autoSpaceDE w:val="0"/>
        <w:autoSpaceDN w:val="0"/>
        <w:adjustRightInd w:val="0"/>
        <w:spacing w:after="0" w:line="240" w:lineRule="auto"/>
        <w:jc w:val="both"/>
        <w:rPr>
          <w:rFonts w:cs="Arial"/>
          <w:sz w:val="24"/>
          <w:szCs w:val="24"/>
        </w:rPr>
      </w:pPr>
      <w:r w:rsidRPr="00082DE2">
        <w:rPr>
          <w:rFonts w:cs="Arial"/>
          <w:sz w:val="24"/>
          <w:szCs w:val="24"/>
        </w:rPr>
        <w:t xml:space="preserve">The main objective of this plan is to ensure </w:t>
      </w:r>
      <w:r w:rsidR="0055137A" w:rsidRPr="00082DE2">
        <w:rPr>
          <w:rFonts w:cs="Arial"/>
          <w:sz w:val="24"/>
          <w:szCs w:val="24"/>
        </w:rPr>
        <w:t xml:space="preserve">a </w:t>
      </w:r>
      <w:r w:rsidR="00712DDA" w:rsidRPr="00082DE2">
        <w:rPr>
          <w:rFonts w:cs="Arial"/>
          <w:sz w:val="24"/>
          <w:szCs w:val="24"/>
        </w:rPr>
        <w:t xml:space="preserve">clear and </w:t>
      </w:r>
      <w:r w:rsidRPr="00082DE2">
        <w:rPr>
          <w:rFonts w:cs="Arial"/>
          <w:sz w:val="24"/>
          <w:szCs w:val="24"/>
        </w:rPr>
        <w:t xml:space="preserve">coordinated approach to resource mobilisation </w:t>
      </w:r>
      <w:r w:rsidR="0055137A" w:rsidRPr="00082DE2">
        <w:rPr>
          <w:rFonts w:cs="Arial"/>
          <w:sz w:val="24"/>
          <w:szCs w:val="24"/>
        </w:rPr>
        <w:t xml:space="preserve">initiatives by the CO. </w:t>
      </w:r>
      <w:r w:rsidRPr="00082DE2">
        <w:rPr>
          <w:rFonts w:cs="Arial"/>
          <w:sz w:val="24"/>
          <w:szCs w:val="24"/>
        </w:rPr>
        <w:t xml:space="preserve"> Through this plan, UNDP seeks to expand its resource </w:t>
      </w:r>
      <w:r w:rsidR="00CD1C38" w:rsidRPr="00082DE2">
        <w:rPr>
          <w:rFonts w:cs="Arial"/>
          <w:sz w:val="24"/>
          <w:szCs w:val="24"/>
        </w:rPr>
        <w:lastRenderedPageBreak/>
        <w:t xml:space="preserve">mobilization </w:t>
      </w:r>
      <w:r w:rsidRPr="00082DE2">
        <w:rPr>
          <w:rFonts w:cs="Arial"/>
          <w:sz w:val="24"/>
          <w:szCs w:val="24"/>
        </w:rPr>
        <w:t>base</w:t>
      </w:r>
      <w:r w:rsidR="008F1219" w:rsidRPr="00082DE2">
        <w:rPr>
          <w:rFonts w:cs="Arial"/>
          <w:sz w:val="24"/>
          <w:szCs w:val="24"/>
        </w:rPr>
        <w:t xml:space="preserve"> for the continuity and stability of UNDP and its work</w:t>
      </w:r>
      <w:r w:rsidRPr="00082DE2">
        <w:rPr>
          <w:rFonts w:cs="Arial"/>
          <w:sz w:val="24"/>
          <w:szCs w:val="24"/>
        </w:rPr>
        <w:t xml:space="preserve"> and strengthen </w:t>
      </w:r>
      <w:r w:rsidR="003A5BA7" w:rsidRPr="00082DE2">
        <w:rPr>
          <w:rFonts w:cs="Arial"/>
          <w:sz w:val="24"/>
          <w:szCs w:val="24"/>
        </w:rPr>
        <w:t>partnership with existing donors to e</w:t>
      </w:r>
      <w:r w:rsidRPr="00082DE2">
        <w:rPr>
          <w:rFonts w:cs="Arial"/>
          <w:sz w:val="24"/>
          <w:szCs w:val="24"/>
        </w:rPr>
        <w:t>nsure sustenance of resource availability</w:t>
      </w:r>
      <w:r w:rsidR="00FC4164" w:rsidRPr="00082DE2">
        <w:rPr>
          <w:rFonts w:cs="Arial"/>
          <w:sz w:val="24"/>
          <w:szCs w:val="24"/>
        </w:rPr>
        <w:t xml:space="preserve"> for UNDP to fulfill its mandate as a </w:t>
      </w:r>
      <w:r w:rsidR="00AB5BE6" w:rsidRPr="00082DE2">
        <w:rPr>
          <w:rFonts w:cs="Arial"/>
          <w:sz w:val="24"/>
          <w:szCs w:val="24"/>
        </w:rPr>
        <w:t xml:space="preserve">partner of choice in </w:t>
      </w:r>
      <w:r w:rsidR="00FC4164" w:rsidRPr="00082DE2">
        <w:rPr>
          <w:rFonts w:cs="Arial"/>
          <w:sz w:val="24"/>
          <w:szCs w:val="24"/>
        </w:rPr>
        <w:t>Malawi’s development agenda.</w:t>
      </w:r>
      <w:r w:rsidR="008F1219" w:rsidRPr="00082DE2">
        <w:rPr>
          <w:rFonts w:cs="Arial"/>
          <w:sz w:val="24"/>
          <w:szCs w:val="24"/>
        </w:rPr>
        <w:t xml:space="preserve"> </w:t>
      </w:r>
    </w:p>
    <w:p w14:paraId="57DBE2EA" w14:textId="77777777" w:rsidR="002978AA" w:rsidRPr="00082DE2" w:rsidRDefault="002978AA" w:rsidP="002978AA">
      <w:pPr>
        <w:autoSpaceDE w:val="0"/>
        <w:autoSpaceDN w:val="0"/>
        <w:adjustRightInd w:val="0"/>
        <w:spacing w:after="0" w:line="240" w:lineRule="auto"/>
        <w:jc w:val="both"/>
        <w:rPr>
          <w:rFonts w:cs="Arial"/>
          <w:sz w:val="24"/>
          <w:szCs w:val="24"/>
        </w:rPr>
      </w:pPr>
    </w:p>
    <w:p w14:paraId="299D1662" w14:textId="3F319EAD" w:rsidR="000119B3" w:rsidRPr="00082DE2" w:rsidRDefault="00CD1C38" w:rsidP="002978AA">
      <w:pPr>
        <w:autoSpaceDE w:val="0"/>
        <w:autoSpaceDN w:val="0"/>
        <w:adjustRightInd w:val="0"/>
        <w:spacing w:after="0" w:line="240" w:lineRule="auto"/>
        <w:jc w:val="both"/>
        <w:rPr>
          <w:rFonts w:cs="Arial"/>
          <w:sz w:val="24"/>
          <w:szCs w:val="24"/>
        </w:rPr>
      </w:pPr>
      <w:r w:rsidRPr="00082DE2">
        <w:rPr>
          <w:rFonts w:cs="Arial"/>
          <w:sz w:val="24"/>
          <w:szCs w:val="24"/>
        </w:rPr>
        <w:t>The plan has four results areas.</w:t>
      </w:r>
      <w:r w:rsidR="000119B3" w:rsidRPr="00082DE2">
        <w:rPr>
          <w:rFonts w:cs="Arial"/>
          <w:sz w:val="24"/>
          <w:szCs w:val="24"/>
        </w:rPr>
        <w:t xml:space="preserve"> Firstly, it seeks to position UNDP as a trusted</w:t>
      </w:r>
      <w:r w:rsidR="00334E6A">
        <w:rPr>
          <w:rFonts w:cs="Arial"/>
          <w:sz w:val="24"/>
          <w:szCs w:val="24"/>
        </w:rPr>
        <w:t>,</w:t>
      </w:r>
      <w:r w:rsidR="000119B3" w:rsidRPr="00082DE2">
        <w:rPr>
          <w:rFonts w:cs="Arial"/>
          <w:sz w:val="24"/>
          <w:szCs w:val="24"/>
        </w:rPr>
        <w:t xml:space="preserve"> substantive, accountable and transparent partner to manage donor resources </w:t>
      </w:r>
      <w:r w:rsidR="00F3645D" w:rsidRPr="00082DE2">
        <w:rPr>
          <w:rFonts w:cs="Arial"/>
          <w:sz w:val="24"/>
          <w:szCs w:val="24"/>
        </w:rPr>
        <w:t xml:space="preserve">based </w:t>
      </w:r>
      <w:r w:rsidR="000119B3" w:rsidRPr="00082DE2">
        <w:rPr>
          <w:rFonts w:cs="Arial"/>
          <w:sz w:val="24"/>
          <w:szCs w:val="24"/>
        </w:rPr>
        <w:t xml:space="preserve">on </w:t>
      </w:r>
      <w:r w:rsidR="00F3645D" w:rsidRPr="00082DE2">
        <w:rPr>
          <w:rFonts w:cs="Arial"/>
          <w:sz w:val="24"/>
          <w:szCs w:val="24"/>
        </w:rPr>
        <w:t xml:space="preserve">the </w:t>
      </w:r>
      <w:r w:rsidR="000119B3" w:rsidRPr="00082DE2">
        <w:rPr>
          <w:rFonts w:cs="Arial"/>
          <w:sz w:val="24"/>
          <w:szCs w:val="24"/>
        </w:rPr>
        <w:t xml:space="preserve">principles of quality, value for money and cost effectiveness. </w:t>
      </w:r>
    </w:p>
    <w:p w14:paraId="5B298E6F" w14:textId="77777777" w:rsidR="001432B9" w:rsidRDefault="001432B9" w:rsidP="000119B3">
      <w:pPr>
        <w:jc w:val="both"/>
        <w:rPr>
          <w:rFonts w:cs="Arial"/>
          <w:sz w:val="24"/>
          <w:szCs w:val="24"/>
        </w:rPr>
      </w:pPr>
    </w:p>
    <w:p w14:paraId="15F55AAC" w14:textId="10CE734A" w:rsidR="000119B3" w:rsidRPr="00082DE2" w:rsidRDefault="000119B3" w:rsidP="000119B3">
      <w:pPr>
        <w:jc w:val="both"/>
        <w:rPr>
          <w:rFonts w:cs="Arial"/>
          <w:sz w:val="24"/>
          <w:szCs w:val="24"/>
        </w:rPr>
      </w:pPr>
      <w:r w:rsidRPr="00082DE2">
        <w:rPr>
          <w:rFonts w:cs="Arial"/>
          <w:sz w:val="24"/>
          <w:szCs w:val="24"/>
        </w:rPr>
        <w:t>Secondly, the plan seeks to enhance visibility of donor partners and of UNDP’s contribution to Malawi development work in order to demonstrate the contribution of both UNDP and donors in development.</w:t>
      </w:r>
    </w:p>
    <w:p w14:paraId="00A42B4A" w14:textId="77777777" w:rsidR="00F3645D" w:rsidRPr="00082DE2" w:rsidRDefault="000119B3" w:rsidP="00B0674D">
      <w:pPr>
        <w:jc w:val="both"/>
        <w:rPr>
          <w:rFonts w:cs="Arial"/>
          <w:sz w:val="24"/>
          <w:szCs w:val="24"/>
        </w:rPr>
      </w:pPr>
      <w:r w:rsidRPr="00082DE2">
        <w:rPr>
          <w:rFonts w:cs="Arial"/>
          <w:sz w:val="24"/>
          <w:szCs w:val="24"/>
        </w:rPr>
        <w:t xml:space="preserve">Thirdly, the plan enlists support activities aimed at </w:t>
      </w:r>
      <w:r w:rsidR="00F3645D" w:rsidRPr="00082DE2">
        <w:rPr>
          <w:rFonts w:cs="Arial"/>
          <w:sz w:val="24"/>
          <w:szCs w:val="24"/>
        </w:rPr>
        <w:t>strengthening institutional and staff capacities for successful implementation of resource mobilization strategies.</w:t>
      </w:r>
    </w:p>
    <w:p w14:paraId="351D6F34" w14:textId="0336CF15" w:rsidR="000119B3" w:rsidRPr="00082DE2" w:rsidRDefault="00F3645D" w:rsidP="00B0674D">
      <w:pPr>
        <w:jc w:val="both"/>
        <w:rPr>
          <w:rFonts w:cs="Arial"/>
          <w:sz w:val="24"/>
          <w:szCs w:val="24"/>
        </w:rPr>
      </w:pPr>
      <w:r w:rsidRPr="00082DE2">
        <w:rPr>
          <w:rFonts w:cs="Arial"/>
          <w:sz w:val="24"/>
          <w:szCs w:val="24"/>
        </w:rPr>
        <w:t xml:space="preserve">Lastly, through this plan, UNDP seeks to </w:t>
      </w:r>
      <w:r w:rsidR="000119B3" w:rsidRPr="00082DE2">
        <w:rPr>
          <w:rFonts w:cs="Arial"/>
          <w:sz w:val="24"/>
          <w:szCs w:val="24"/>
        </w:rPr>
        <w:t xml:space="preserve">strength engagement with existing and potential donors </w:t>
      </w:r>
      <w:r w:rsidR="001A0E66" w:rsidRPr="00082DE2">
        <w:rPr>
          <w:rFonts w:cs="Arial"/>
          <w:sz w:val="24"/>
          <w:szCs w:val="24"/>
        </w:rPr>
        <w:t>to</w:t>
      </w:r>
      <w:r w:rsidR="000119B3" w:rsidRPr="00082DE2">
        <w:rPr>
          <w:rFonts w:cs="Arial"/>
          <w:sz w:val="24"/>
          <w:szCs w:val="24"/>
        </w:rPr>
        <w:t xml:space="preserve"> support specific initiatives</w:t>
      </w:r>
      <w:r w:rsidRPr="00082DE2">
        <w:rPr>
          <w:rFonts w:cs="Arial"/>
          <w:sz w:val="24"/>
          <w:szCs w:val="24"/>
        </w:rPr>
        <w:t xml:space="preserve"> that are aligned to the UNDP focus areas as outlined in the 201</w:t>
      </w:r>
      <w:r w:rsidR="001A0E66" w:rsidRPr="00082DE2">
        <w:rPr>
          <w:rFonts w:cs="Arial"/>
          <w:sz w:val="24"/>
          <w:szCs w:val="24"/>
        </w:rPr>
        <w:t>4</w:t>
      </w:r>
      <w:r w:rsidRPr="00082DE2">
        <w:rPr>
          <w:rFonts w:cs="Arial"/>
          <w:sz w:val="24"/>
          <w:szCs w:val="24"/>
        </w:rPr>
        <w:t>-2017 Strategic Plan as well as the SDGs.</w:t>
      </w:r>
    </w:p>
    <w:p w14:paraId="453FF602" w14:textId="76F75535" w:rsidR="004069F1" w:rsidRPr="005A0715" w:rsidRDefault="005A0715" w:rsidP="00B0674D">
      <w:pPr>
        <w:jc w:val="both"/>
        <w:rPr>
          <w:rFonts w:cs="Arial"/>
          <w:sz w:val="24"/>
          <w:szCs w:val="24"/>
        </w:rPr>
      </w:pPr>
      <w:r w:rsidRPr="005A0715">
        <w:rPr>
          <w:rFonts w:cs="Arial"/>
          <w:sz w:val="24"/>
          <w:szCs w:val="24"/>
        </w:rPr>
        <w:t>Table 3 below provides a summary of the outputs and activities which will be implemented to realise the above objectives.</w:t>
      </w:r>
    </w:p>
    <w:p w14:paraId="75EA51D0" w14:textId="77777777" w:rsidR="00DC51AB" w:rsidRDefault="00DC51AB" w:rsidP="00DC51AB"/>
    <w:p w14:paraId="45C2E413" w14:textId="07AB7835" w:rsidR="00DC51AB" w:rsidRDefault="00DC51AB" w:rsidP="000264AA">
      <w:pPr>
        <w:pStyle w:val="ListParagraph"/>
        <w:numPr>
          <w:ilvl w:val="0"/>
          <w:numId w:val="11"/>
        </w:numPr>
        <w:outlineLvl w:val="0"/>
        <w:rPr>
          <w:b/>
        </w:rPr>
      </w:pPr>
      <w:bookmarkStart w:id="8" w:name="_Toc454521940"/>
      <w:r w:rsidRPr="00DC51AB">
        <w:rPr>
          <w:b/>
        </w:rPr>
        <w:t>2016-2017 Resource Mobilization Targets</w:t>
      </w:r>
      <w:bookmarkEnd w:id="8"/>
    </w:p>
    <w:p w14:paraId="09DF25D4" w14:textId="53617140" w:rsidR="00C9006B" w:rsidRPr="00C9006B" w:rsidRDefault="00C9006B" w:rsidP="00C9006B">
      <w:pPr>
        <w:jc w:val="both"/>
        <w:rPr>
          <w:rFonts w:cs="Arial"/>
          <w:sz w:val="24"/>
          <w:szCs w:val="24"/>
        </w:rPr>
      </w:pPr>
      <w:r w:rsidRPr="00C9006B">
        <w:rPr>
          <w:rFonts w:cs="Arial"/>
          <w:sz w:val="24"/>
          <w:szCs w:val="24"/>
        </w:rPr>
        <w:t>Table 4 shows resource mobilization targets for the period January, 2016 to December, 2017.  In tota</w:t>
      </w:r>
      <w:r w:rsidR="00ED4040">
        <w:rPr>
          <w:rFonts w:cs="Arial"/>
          <w:sz w:val="24"/>
          <w:szCs w:val="24"/>
        </w:rPr>
        <w:t>l, UNDP is expected to conclude</w:t>
      </w:r>
      <w:r w:rsidRPr="00C9006B">
        <w:rPr>
          <w:rFonts w:cs="Arial"/>
          <w:sz w:val="24"/>
          <w:szCs w:val="24"/>
        </w:rPr>
        <w:t xml:space="preserve"> financing agreements amounting to</w:t>
      </w:r>
      <w:r w:rsidR="00BD04FF">
        <w:rPr>
          <w:rFonts w:cs="Arial"/>
          <w:sz w:val="24"/>
          <w:szCs w:val="24"/>
        </w:rPr>
        <w:t xml:space="preserve"> </w:t>
      </w:r>
      <w:r w:rsidR="008158E3">
        <w:rPr>
          <w:rFonts w:cs="Arial"/>
          <w:sz w:val="24"/>
          <w:szCs w:val="24"/>
        </w:rPr>
        <w:t xml:space="preserve">approximately </w:t>
      </w:r>
      <w:r w:rsidR="00BD04FF" w:rsidRPr="008158E3">
        <w:rPr>
          <w:rFonts w:cs="Arial"/>
          <w:sz w:val="24"/>
          <w:szCs w:val="24"/>
        </w:rPr>
        <w:t xml:space="preserve">$ </w:t>
      </w:r>
      <w:r w:rsidR="008158E3" w:rsidRPr="008158E3">
        <w:rPr>
          <w:rFonts w:cs="Arial"/>
          <w:sz w:val="24"/>
          <w:szCs w:val="24"/>
        </w:rPr>
        <w:t>77</w:t>
      </w:r>
      <w:r w:rsidR="00ED4040" w:rsidRPr="008158E3">
        <w:rPr>
          <w:rFonts w:cs="Arial"/>
          <w:sz w:val="24"/>
          <w:szCs w:val="24"/>
        </w:rPr>
        <w:t xml:space="preserve"> </w:t>
      </w:r>
      <w:r w:rsidR="00BD04FF" w:rsidRPr="008158E3">
        <w:rPr>
          <w:rFonts w:cs="Arial"/>
          <w:sz w:val="24"/>
          <w:szCs w:val="24"/>
        </w:rPr>
        <w:t>million</w:t>
      </w:r>
      <w:bookmarkStart w:id="9" w:name="_GoBack"/>
      <w:bookmarkEnd w:id="9"/>
      <w:r w:rsidRPr="00C9006B">
        <w:rPr>
          <w:rFonts w:cs="Arial"/>
          <w:sz w:val="24"/>
          <w:szCs w:val="24"/>
        </w:rPr>
        <w:t xml:space="preserve"> by the end of December, 2017.  It is understood that these targets relate to ongoing discussions and consultations with respective partners.  In most cases the consultations started prior to 2016.  While in some cases the donor contributions reflect a perceived funding gap, in some cases the figures represent donor ear-markings for a particular intervention based on donor considerations.  </w:t>
      </w:r>
      <w:r w:rsidR="00ED4040">
        <w:rPr>
          <w:rFonts w:cs="Arial"/>
          <w:sz w:val="24"/>
          <w:szCs w:val="24"/>
        </w:rPr>
        <w:t>T</w:t>
      </w:r>
      <w:r w:rsidRPr="00C9006B">
        <w:rPr>
          <w:rFonts w:cs="Arial"/>
          <w:sz w:val="24"/>
          <w:szCs w:val="24"/>
        </w:rPr>
        <w:t xml:space="preserve">he traditional donors, namely: EU, Irish Aid, DFID, GEF and Norway continue to be the most important donor partners </w:t>
      </w:r>
      <w:r w:rsidR="00ED4040">
        <w:rPr>
          <w:rFonts w:cs="Arial"/>
          <w:sz w:val="24"/>
          <w:szCs w:val="24"/>
        </w:rPr>
        <w:t>of UNDP in the country</w:t>
      </w:r>
      <w:r w:rsidRPr="00C9006B">
        <w:rPr>
          <w:rFonts w:cs="Arial"/>
          <w:sz w:val="24"/>
          <w:szCs w:val="24"/>
        </w:rPr>
        <w:t xml:space="preserve">.   In addition, there is </w:t>
      </w:r>
      <w:r w:rsidR="00ED4040">
        <w:rPr>
          <w:rFonts w:cs="Arial"/>
          <w:sz w:val="24"/>
          <w:szCs w:val="24"/>
        </w:rPr>
        <w:t xml:space="preserve">a </w:t>
      </w:r>
      <w:r w:rsidRPr="00C9006B">
        <w:rPr>
          <w:rFonts w:cs="Arial"/>
          <w:sz w:val="24"/>
          <w:szCs w:val="24"/>
        </w:rPr>
        <w:t>significant expected contribution from the Government of Malawi towards the National Registration and National Identif</w:t>
      </w:r>
      <w:r w:rsidR="00216738">
        <w:rPr>
          <w:rFonts w:cs="Arial"/>
          <w:sz w:val="24"/>
          <w:szCs w:val="24"/>
        </w:rPr>
        <w:t>ication System.  By 31 December, 2017, over Euro 10.2 million</w:t>
      </w:r>
      <w:r w:rsidRPr="00C9006B">
        <w:rPr>
          <w:rFonts w:cs="Arial"/>
          <w:sz w:val="24"/>
          <w:szCs w:val="24"/>
        </w:rPr>
        <w:t xml:space="preserve"> is expected from non-traditional partners.  These are KfW and the International Fund for Agricultural Development (IFAD) </w:t>
      </w:r>
      <w:r w:rsidR="00ED4040">
        <w:rPr>
          <w:rFonts w:cs="Arial"/>
          <w:sz w:val="24"/>
          <w:szCs w:val="24"/>
        </w:rPr>
        <w:t>who will both contribute</w:t>
      </w:r>
      <w:r w:rsidRPr="00C9006B">
        <w:rPr>
          <w:rFonts w:cs="Arial"/>
          <w:sz w:val="24"/>
          <w:szCs w:val="24"/>
        </w:rPr>
        <w:t xml:space="preserve"> towards the Malawi Innovation Challenge Fund under the Private Sector Development project.</w:t>
      </w:r>
    </w:p>
    <w:p w14:paraId="36591B5C" w14:textId="77777777" w:rsidR="00DC51AB" w:rsidRDefault="00DC51AB" w:rsidP="00DC51AB"/>
    <w:p w14:paraId="70EB1B73" w14:textId="1941F15E" w:rsidR="00BF1B43" w:rsidRPr="00082DE2" w:rsidRDefault="00BF1B43" w:rsidP="00B0674D">
      <w:pPr>
        <w:jc w:val="both"/>
        <w:rPr>
          <w:rFonts w:cs="Arial"/>
          <w:b/>
          <w:sz w:val="24"/>
          <w:szCs w:val="24"/>
        </w:rPr>
      </w:pPr>
    </w:p>
    <w:p w14:paraId="004925B8" w14:textId="67622350" w:rsidR="00BF1B43" w:rsidRPr="00082DE2" w:rsidRDefault="00BF1B43" w:rsidP="00B0674D">
      <w:pPr>
        <w:jc w:val="both"/>
        <w:rPr>
          <w:rFonts w:cs="Arial"/>
          <w:b/>
          <w:sz w:val="24"/>
          <w:szCs w:val="24"/>
        </w:rPr>
      </w:pPr>
    </w:p>
    <w:p w14:paraId="529B1DFC" w14:textId="03BD6708" w:rsidR="00BF1B43" w:rsidRPr="00082DE2" w:rsidRDefault="00BF1B43" w:rsidP="00B0674D">
      <w:pPr>
        <w:jc w:val="both"/>
        <w:rPr>
          <w:rFonts w:cs="Arial"/>
          <w:b/>
          <w:sz w:val="24"/>
          <w:szCs w:val="24"/>
        </w:rPr>
      </w:pPr>
    </w:p>
    <w:p w14:paraId="142640E7" w14:textId="315B0117" w:rsidR="00BF1B43" w:rsidRPr="00082DE2" w:rsidRDefault="00BF1B43" w:rsidP="00B0674D">
      <w:pPr>
        <w:jc w:val="both"/>
        <w:rPr>
          <w:rFonts w:cs="Arial"/>
          <w:b/>
          <w:sz w:val="24"/>
          <w:szCs w:val="24"/>
        </w:rPr>
      </w:pPr>
    </w:p>
    <w:p w14:paraId="0B4589F4" w14:textId="679FF505" w:rsidR="00BF1B43" w:rsidRPr="00082DE2" w:rsidRDefault="00BF1B43" w:rsidP="00B0674D">
      <w:pPr>
        <w:jc w:val="both"/>
        <w:rPr>
          <w:rFonts w:cs="Arial"/>
          <w:b/>
          <w:sz w:val="24"/>
          <w:szCs w:val="24"/>
        </w:rPr>
      </w:pPr>
    </w:p>
    <w:p w14:paraId="41F5BF34" w14:textId="77777777" w:rsidR="00C9006B" w:rsidRDefault="00C9006B" w:rsidP="00B0674D">
      <w:pPr>
        <w:jc w:val="both"/>
        <w:rPr>
          <w:rFonts w:cs="Arial"/>
          <w:b/>
          <w:sz w:val="24"/>
          <w:szCs w:val="24"/>
        </w:rPr>
        <w:sectPr w:rsidR="00C9006B" w:rsidSect="00C9006B">
          <w:footerReference w:type="default" r:id="rId9"/>
          <w:pgSz w:w="12240" w:h="15840"/>
          <w:pgMar w:top="1440" w:right="1440" w:bottom="1440" w:left="1440" w:header="720" w:footer="720" w:gutter="0"/>
          <w:cols w:space="720"/>
          <w:docGrid w:linePitch="360"/>
        </w:sectPr>
      </w:pPr>
    </w:p>
    <w:p w14:paraId="4AF4DC0F" w14:textId="74C05EF1" w:rsidR="00BF1B43" w:rsidRPr="001E22F1" w:rsidRDefault="001E22F1" w:rsidP="00990293">
      <w:pPr>
        <w:pStyle w:val="Heading1"/>
        <w:rPr>
          <w:b/>
          <w:color w:val="auto"/>
          <w:sz w:val="24"/>
          <w:szCs w:val="24"/>
        </w:rPr>
      </w:pPr>
      <w:r w:rsidRPr="001E22F1">
        <w:rPr>
          <w:b/>
          <w:color w:val="auto"/>
          <w:sz w:val="24"/>
          <w:szCs w:val="24"/>
        </w:rPr>
        <w:lastRenderedPageBreak/>
        <w:t xml:space="preserve">Table 3:  </w:t>
      </w:r>
      <w:r w:rsidRPr="001E22F1">
        <w:rPr>
          <w:color w:val="auto"/>
          <w:sz w:val="24"/>
          <w:szCs w:val="24"/>
        </w:rPr>
        <w:t>2016-2017 Resource Mobilisation Action Plan Results Matrix</w:t>
      </w:r>
    </w:p>
    <w:p w14:paraId="7266D482" w14:textId="77777777" w:rsidR="00BF1B43" w:rsidRPr="001E22F1" w:rsidRDefault="00BF1B43" w:rsidP="00BF1B43">
      <w:pPr>
        <w:jc w:val="both"/>
        <w:rPr>
          <w:b/>
          <w:sz w:val="24"/>
          <w:szCs w:val="24"/>
        </w:rPr>
      </w:pPr>
    </w:p>
    <w:tbl>
      <w:tblPr>
        <w:tblStyle w:val="TableGrid"/>
        <w:tblW w:w="14310" w:type="dxa"/>
        <w:tblInd w:w="-635" w:type="dxa"/>
        <w:tblLook w:val="04A0" w:firstRow="1" w:lastRow="0" w:firstColumn="1" w:lastColumn="0" w:noHBand="0" w:noVBand="1"/>
      </w:tblPr>
      <w:tblGrid>
        <w:gridCol w:w="2812"/>
        <w:gridCol w:w="4748"/>
        <w:gridCol w:w="1770"/>
        <w:gridCol w:w="15"/>
        <w:gridCol w:w="2104"/>
        <w:gridCol w:w="2861"/>
      </w:tblGrid>
      <w:tr w:rsidR="00BF1B43" w14:paraId="66491AAE" w14:textId="77777777" w:rsidTr="00925265">
        <w:trPr>
          <w:trHeight w:val="285"/>
        </w:trPr>
        <w:tc>
          <w:tcPr>
            <w:tcW w:w="2812" w:type="dxa"/>
            <w:vMerge w:val="restart"/>
            <w:shd w:val="clear" w:color="auto" w:fill="8EAADB" w:themeFill="accent5" w:themeFillTint="99"/>
          </w:tcPr>
          <w:p w14:paraId="6DF377B5" w14:textId="77777777" w:rsidR="00BF1B43" w:rsidRDefault="00BF1B43" w:rsidP="00260AFB">
            <w:pPr>
              <w:jc w:val="both"/>
              <w:rPr>
                <w:b/>
              </w:rPr>
            </w:pPr>
            <w:r>
              <w:rPr>
                <w:b/>
              </w:rPr>
              <w:t>OUTPUT</w:t>
            </w:r>
          </w:p>
        </w:tc>
        <w:tc>
          <w:tcPr>
            <w:tcW w:w="4748" w:type="dxa"/>
            <w:vMerge w:val="restart"/>
            <w:shd w:val="clear" w:color="auto" w:fill="8EAADB" w:themeFill="accent5" w:themeFillTint="99"/>
          </w:tcPr>
          <w:p w14:paraId="30445DF4" w14:textId="77777777" w:rsidR="00BF1B43" w:rsidRPr="00312B83" w:rsidRDefault="00BF1B43" w:rsidP="00260AFB">
            <w:pPr>
              <w:ind w:left="360"/>
              <w:jc w:val="both"/>
              <w:rPr>
                <w:b/>
              </w:rPr>
            </w:pPr>
            <w:r w:rsidRPr="00312B83">
              <w:rPr>
                <w:b/>
              </w:rPr>
              <w:t>ACTIVITY</w:t>
            </w:r>
          </w:p>
        </w:tc>
        <w:tc>
          <w:tcPr>
            <w:tcW w:w="3889" w:type="dxa"/>
            <w:gridSpan w:val="3"/>
            <w:shd w:val="clear" w:color="auto" w:fill="8EAADB" w:themeFill="accent5" w:themeFillTint="99"/>
          </w:tcPr>
          <w:p w14:paraId="49D53594" w14:textId="77777777" w:rsidR="00BF1B43" w:rsidRDefault="00BF1B43" w:rsidP="00260AFB">
            <w:pPr>
              <w:jc w:val="center"/>
              <w:rPr>
                <w:b/>
              </w:rPr>
            </w:pPr>
            <w:r>
              <w:rPr>
                <w:b/>
              </w:rPr>
              <w:t>TIMEFRAME</w:t>
            </w:r>
          </w:p>
        </w:tc>
        <w:tc>
          <w:tcPr>
            <w:tcW w:w="2861" w:type="dxa"/>
            <w:vMerge w:val="restart"/>
            <w:shd w:val="clear" w:color="auto" w:fill="8EAADB" w:themeFill="accent5" w:themeFillTint="99"/>
          </w:tcPr>
          <w:p w14:paraId="137543BD" w14:textId="77777777" w:rsidR="00BF1B43" w:rsidRDefault="00BF1B43" w:rsidP="00260AFB">
            <w:pPr>
              <w:jc w:val="center"/>
              <w:rPr>
                <w:b/>
              </w:rPr>
            </w:pPr>
            <w:r>
              <w:rPr>
                <w:b/>
              </w:rPr>
              <w:t>RESPONSIBLE</w:t>
            </w:r>
          </w:p>
          <w:p w14:paraId="14B45C64" w14:textId="77777777" w:rsidR="00BF1B43" w:rsidRDefault="00BF1B43" w:rsidP="00260AFB">
            <w:pPr>
              <w:jc w:val="center"/>
              <w:rPr>
                <w:b/>
              </w:rPr>
            </w:pPr>
            <w:r>
              <w:rPr>
                <w:b/>
              </w:rPr>
              <w:t>PERSON(S)</w:t>
            </w:r>
          </w:p>
        </w:tc>
      </w:tr>
      <w:tr w:rsidR="00BF1B43" w14:paraId="61A346EF" w14:textId="77777777" w:rsidTr="00925265">
        <w:trPr>
          <w:trHeight w:val="240"/>
        </w:trPr>
        <w:tc>
          <w:tcPr>
            <w:tcW w:w="2812" w:type="dxa"/>
            <w:vMerge/>
            <w:shd w:val="clear" w:color="auto" w:fill="8EAADB" w:themeFill="accent5" w:themeFillTint="99"/>
          </w:tcPr>
          <w:p w14:paraId="1D916173" w14:textId="77777777" w:rsidR="00BF1B43" w:rsidRDefault="00BF1B43" w:rsidP="00260AFB">
            <w:pPr>
              <w:jc w:val="both"/>
              <w:rPr>
                <w:b/>
              </w:rPr>
            </w:pPr>
          </w:p>
        </w:tc>
        <w:tc>
          <w:tcPr>
            <w:tcW w:w="4748" w:type="dxa"/>
            <w:vMerge/>
            <w:shd w:val="clear" w:color="auto" w:fill="8EAADB" w:themeFill="accent5" w:themeFillTint="99"/>
          </w:tcPr>
          <w:p w14:paraId="6D544341" w14:textId="77777777" w:rsidR="00BF1B43" w:rsidRPr="00312B83" w:rsidRDefault="00BF1B43" w:rsidP="00260AFB">
            <w:pPr>
              <w:ind w:left="360"/>
              <w:jc w:val="both"/>
              <w:rPr>
                <w:b/>
              </w:rPr>
            </w:pPr>
          </w:p>
        </w:tc>
        <w:tc>
          <w:tcPr>
            <w:tcW w:w="1785" w:type="dxa"/>
            <w:gridSpan w:val="2"/>
            <w:shd w:val="clear" w:color="auto" w:fill="8EAADB" w:themeFill="accent5" w:themeFillTint="99"/>
          </w:tcPr>
          <w:p w14:paraId="54A50395" w14:textId="77777777" w:rsidR="00BF1B43" w:rsidRDefault="00BF1B43" w:rsidP="00260AFB">
            <w:pPr>
              <w:jc w:val="both"/>
              <w:rPr>
                <w:b/>
              </w:rPr>
            </w:pPr>
            <w:r>
              <w:rPr>
                <w:b/>
              </w:rPr>
              <w:t>2016</w:t>
            </w:r>
          </w:p>
        </w:tc>
        <w:tc>
          <w:tcPr>
            <w:tcW w:w="2104" w:type="dxa"/>
            <w:shd w:val="clear" w:color="auto" w:fill="8EAADB" w:themeFill="accent5" w:themeFillTint="99"/>
          </w:tcPr>
          <w:p w14:paraId="5987456B" w14:textId="77777777" w:rsidR="00BF1B43" w:rsidRDefault="00BF1B43" w:rsidP="00260AFB">
            <w:pPr>
              <w:jc w:val="both"/>
              <w:rPr>
                <w:b/>
              </w:rPr>
            </w:pPr>
            <w:r>
              <w:rPr>
                <w:b/>
              </w:rPr>
              <w:t>2017</w:t>
            </w:r>
          </w:p>
        </w:tc>
        <w:tc>
          <w:tcPr>
            <w:tcW w:w="2861" w:type="dxa"/>
            <w:vMerge/>
            <w:shd w:val="clear" w:color="auto" w:fill="8EAADB" w:themeFill="accent5" w:themeFillTint="99"/>
          </w:tcPr>
          <w:p w14:paraId="357EEEFE" w14:textId="77777777" w:rsidR="00BF1B43" w:rsidRDefault="00BF1B43" w:rsidP="00260AFB">
            <w:pPr>
              <w:jc w:val="center"/>
              <w:rPr>
                <w:b/>
              </w:rPr>
            </w:pPr>
          </w:p>
        </w:tc>
      </w:tr>
      <w:tr w:rsidR="00BF1B43" w14:paraId="220A1298" w14:textId="77777777" w:rsidTr="00925265">
        <w:trPr>
          <w:trHeight w:val="810"/>
        </w:trPr>
        <w:tc>
          <w:tcPr>
            <w:tcW w:w="2812" w:type="dxa"/>
            <w:vMerge w:val="restart"/>
          </w:tcPr>
          <w:p w14:paraId="4FE535A9" w14:textId="77777777" w:rsidR="00BF1B43" w:rsidRDefault="00BF1B43" w:rsidP="00260AFB">
            <w:pPr>
              <w:jc w:val="both"/>
            </w:pPr>
            <w:r w:rsidRPr="00B71742">
              <w:rPr>
                <w:b/>
              </w:rPr>
              <w:t xml:space="preserve">UNDP positioned as </w:t>
            </w:r>
            <w:r>
              <w:rPr>
                <w:b/>
              </w:rPr>
              <w:t>a</w:t>
            </w:r>
            <w:r w:rsidRPr="00B71742">
              <w:rPr>
                <w:b/>
              </w:rPr>
              <w:t xml:space="preserve"> </w:t>
            </w:r>
            <w:r>
              <w:rPr>
                <w:b/>
              </w:rPr>
              <w:t>t</w:t>
            </w:r>
            <w:r w:rsidRPr="00B71742">
              <w:rPr>
                <w:b/>
              </w:rPr>
              <w:t>rusted</w:t>
            </w:r>
            <w:r>
              <w:rPr>
                <w:b/>
              </w:rPr>
              <w:t>,</w:t>
            </w:r>
            <w:r w:rsidRPr="00B71742">
              <w:rPr>
                <w:b/>
              </w:rPr>
              <w:t xml:space="preserve"> substantive</w:t>
            </w:r>
            <w:r>
              <w:rPr>
                <w:b/>
              </w:rPr>
              <w:t>, accountable</w:t>
            </w:r>
            <w:r w:rsidRPr="00B71742">
              <w:rPr>
                <w:b/>
              </w:rPr>
              <w:t xml:space="preserve"> and </w:t>
            </w:r>
            <w:r>
              <w:rPr>
                <w:b/>
              </w:rPr>
              <w:t xml:space="preserve">transparent </w:t>
            </w:r>
            <w:r w:rsidRPr="00B71742">
              <w:rPr>
                <w:b/>
              </w:rPr>
              <w:t>partner to manage donor resources</w:t>
            </w:r>
            <w:r>
              <w:rPr>
                <w:b/>
              </w:rPr>
              <w:t xml:space="preserve"> on principles of quality, value for money and cost effectiveness</w:t>
            </w:r>
            <w:r>
              <w:t>.</w:t>
            </w:r>
          </w:p>
          <w:p w14:paraId="27487162" w14:textId="77777777" w:rsidR="00BF1B43" w:rsidRPr="00647406" w:rsidRDefault="00BF1B43" w:rsidP="00260AFB">
            <w:pPr>
              <w:jc w:val="both"/>
            </w:pPr>
          </w:p>
        </w:tc>
        <w:tc>
          <w:tcPr>
            <w:tcW w:w="4748" w:type="dxa"/>
          </w:tcPr>
          <w:p w14:paraId="2966C565" w14:textId="281BDF0E" w:rsidR="00BF1B43" w:rsidRDefault="00BF1B43" w:rsidP="00260AFB">
            <w:pPr>
              <w:jc w:val="both"/>
            </w:pPr>
            <w:r>
              <w:t>Ensure the UNDP programme results match with investment-value for money and cost effectiveness including limiting workshops and travel in favour of programme delivery.</w:t>
            </w:r>
          </w:p>
        </w:tc>
        <w:tc>
          <w:tcPr>
            <w:tcW w:w="1785" w:type="dxa"/>
            <w:gridSpan w:val="2"/>
          </w:tcPr>
          <w:p w14:paraId="66AF6B49" w14:textId="77777777" w:rsidR="00BF1B43" w:rsidRPr="00542FA3" w:rsidRDefault="00BF1B43" w:rsidP="00260AFB">
            <w:pPr>
              <w:jc w:val="center"/>
            </w:pPr>
          </w:p>
        </w:tc>
        <w:tc>
          <w:tcPr>
            <w:tcW w:w="2104" w:type="dxa"/>
          </w:tcPr>
          <w:p w14:paraId="72B3C72D" w14:textId="77777777" w:rsidR="00BF1B43" w:rsidRPr="00542FA3" w:rsidRDefault="00BF1B43" w:rsidP="00260AFB">
            <w:pPr>
              <w:jc w:val="center"/>
            </w:pPr>
            <w:r>
              <w:t>On-going</w:t>
            </w:r>
          </w:p>
        </w:tc>
        <w:tc>
          <w:tcPr>
            <w:tcW w:w="2861" w:type="dxa"/>
          </w:tcPr>
          <w:p w14:paraId="75ED0C9E" w14:textId="77777777" w:rsidR="00BF1B43" w:rsidRPr="00542FA3" w:rsidRDefault="00BF1B43" w:rsidP="00260AFB">
            <w:pPr>
              <w:jc w:val="center"/>
            </w:pPr>
            <w:r>
              <w:t>Portfolio Managers/DRR (P&amp;O)</w:t>
            </w:r>
          </w:p>
        </w:tc>
      </w:tr>
      <w:tr w:rsidR="00BF1B43" w14:paraId="5C5BCDDF" w14:textId="77777777" w:rsidTr="00925265">
        <w:trPr>
          <w:trHeight w:val="695"/>
        </w:trPr>
        <w:tc>
          <w:tcPr>
            <w:tcW w:w="2812" w:type="dxa"/>
            <w:vMerge/>
          </w:tcPr>
          <w:p w14:paraId="77781B2B" w14:textId="77777777" w:rsidR="00BF1B43" w:rsidRPr="00647406" w:rsidRDefault="00BF1B43" w:rsidP="00260AFB">
            <w:pPr>
              <w:jc w:val="both"/>
            </w:pPr>
          </w:p>
        </w:tc>
        <w:tc>
          <w:tcPr>
            <w:tcW w:w="4748" w:type="dxa"/>
          </w:tcPr>
          <w:p w14:paraId="55B74B8A" w14:textId="4B05B8CF" w:rsidR="00BF1B43" w:rsidRDefault="00BF1B43" w:rsidP="00260AFB">
            <w:pPr>
              <w:jc w:val="both"/>
            </w:pPr>
            <w:r>
              <w:t>Make experts available to inform UNDP Malawi pipeline projects in key programmatic areas of democratic governance, development effectiveness, public sector management, Private Sector Development, climate change, economic growth and disaster risk management</w:t>
            </w:r>
            <w:r w:rsidR="00925265">
              <w:t>.</w:t>
            </w:r>
          </w:p>
        </w:tc>
        <w:tc>
          <w:tcPr>
            <w:tcW w:w="1785" w:type="dxa"/>
            <w:gridSpan w:val="2"/>
          </w:tcPr>
          <w:p w14:paraId="73D9BDFA" w14:textId="77777777" w:rsidR="00BF1B43" w:rsidRPr="00542FA3" w:rsidRDefault="00BF1B43" w:rsidP="00260AFB">
            <w:pPr>
              <w:jc w:val="center"/>
            </w:pPr>
            <w:r>
              <w:t>Q2-Q4</w:t>
            </w:r>
          </w:p>
        </w:tc>
        <w:tc>
          <w:tcPr>
            <w:tcW w:w="2104" w:type="dxa"/>
          </w:tcPr>
          <w:p w14:paraId="035A1FA7" w14:textId="77777777" w:rsidR="00BF1B43" w:rsidRPr="00542FA3" w:rsidRDefault="00BF1B43" w:rsidP="00260AFB">
            <w:pPr>
              <w:jc w:val="center"/>
            </w:pPr>
            <w:r>
              <w:t>Q1-Q4</w:t>
            </w:r>
          </w:p>
        </w:tc>
        <w:tc>
          <w:tcPr>
            <w:tcW w:w="2861" w:type="dxa"/>
          </w:tcPr>
          <w:p w14:paraId="337CF8A6" w14:textId="77777777" w:rsidR="00BF1B43" w:rsidRPr="00542FA3" w:rsidRDefault="00BF1B43" w:rsidP="00260AFB">
            <w:pPr>
              <w:jc w:val="center"/>
            </w:pPr>
            <w:r>
              <w:t>RR/DRR (P)/Learning Manager</w:t>
            </w:r>
          </w:p>
        </w:tc>
      </w:tr>
      <w:tr w:rsidR="00BF1B43" w14:paraId="52FD4DEC" w14:textId="77777777" w:rsidTr="00925265">
        <w:trPr>
          <w:trHeight w:val="827"/>
        </w:trPr>
        <w:tc>
          <w:tcPr>
            <w:tcW w:w="2812" w:type="dxa"/>
            <w:vMerge w:val="restart"/>
          </w:tcPr>
          <w:p w14:paraId="48F5CE7C" w14:textId="77777777" w:rsidR="00BF1B43" w:rsidRPr="00B71742" w:rsidRDefault="00BF1B43" w:rsidP="00260AFB">
            <w:pPr>
              <w:jc w:val="both"/>
              <w:rPr>
                <w:b/>
              </w:rPr>
            </w:pPr>
            <w:r w:rsidRPr="00B71742">
              <w:rPr>
                <w:b/>
              </w:rPr>
              <w:t xml:space="preserve">Enhanced visibility of </w:t>
            </w:r>
            <w:r>
              <w:rPr>
                <w:b/>
              </w:rPr>
              <w:t xml:space="preserve">both </w:t>
            </w:r>
            <w:r w:rsidRPr="00B71742">
              <w:rPr>
                <w:b/>
              </w:rPr>
              <w:t>donor partners and UNDP’s contribution to Malawi development work</w:t>
            </w:r>
          </w:p>
          <w:p w14:paraId="18FF4929" w14:textId="77777777" w:rsidR="00BF1B43" w:rsidRPr="00647406" w:rsidRDefault="00BF1B43" w:rsidP="00260AFB">
            <w:pPr>
              <w:jc w:val="both"/>
            </w:pPr>
          </w:p>
        </w:tc>
        <w:tc>
          <w:tcPr>
            <w:tcW w:w="4748" w:type="dxa"/>
          </w:tcPr>
          <w:p w14:paraId="14A662C5" w14:textId="77777777" w:rsidR="00BF1B43" w:rsidRDefault="00BF1B43" w:rsidP="00260AFB">
            <w:pPr>
              <w:jc w:val="both"/>
              <w:rPr>
                <w:rFonts w:ascii="Calibri" w:hAnsi="Calibri"/>
              </w:rPr>
            </w:pPr>
            <w:r w:rsidRPr="00312B83">
              <w:rPr>
                <w:rFonts w:ascii="Calibri" w:hAnsi="Calibri"/>
              </w:rPr>
              <w:t>Produce and distribute</w:t>
            </w:r>
            <w:r>
              <w:rPr>
                <w:rFonts w:ascii="Calibri" w:hAnsi="Calibri"/>
              </w:rPr>
              <w:t xml:space="preserve"> communication package through multiplicity of channels i.e.</w:t>
            </w:r>
            <w:r w:rsidRPr="00AA1AA3">
              <w:rPr>
                <w:rFonts w:ascii="Calibri" w:hAnsi="Calibri"/>
              </w:rPr>
              <w:t xml:space="preserve"> website, newsletters, newspaper pullout, documentaries (2017)-highlighting;</w:t>
            </w:r>
          </w:p>
          <w:p w14:paraId="4E27CDDF" w14:textId="77777777" w:rsidR="00BF1B43" w:rsidRDefault="00BF1B43" w:rsidP="00BF1B43">
            <w:pPr>
              <w:pStyle w:val="ListParagraph"/>
              <w:numPr>
                <w:ilvl w:val="0"/>
                <w:numId w:val="13"/>
              </w:numPr>
              <w:jc w:val="both"/>
              <w:rPr>
                <w:rFonts w:ascii="Calibri" w:hAnsi="Calibri"/>
              </w:rPr>
            </w:pPr>
            <w:r>
              <w:rPr>
                <w:rFonts w:ascii="Calibri" w:hAnsi="Calibri"/>
              </w:rPr>
              <w:t>Malawi Innovation Challenge Fund (MICF), Integrated Rural Development (IRD) launch, 2016 HDR</w:t>
            </w:r>
          </w:p>
          <w:p w14:paraId="6811C797" w14:textId="77777777" w:rsidR="00BF1B43" w:rsidRDefault="00BF1B43" w:rsidP="00BF1B43">
            <w:pPr>
              <w:pStyle w:val="ListParagraph"/>
              <w:numPr>
                <w:ilvl w:val="0"/>
                <w:numId w:val="13"/>
              </w:numPr>
              <w:jc w:val="both"/>
              <w:rPr>
                <w:rFonts w:ascii="Calibri" w:hAnsi="Calibri"/>
              </w:rPr>
            </w:pPr>
            <w:r>
              <w:rPr>
                <w:rFonts w:ascii="Calibri" w:hAnsi="Calibri"/>
              </w:rPr>
              <w:t>Results of project evaluation</w:t>
            </w:r>
          </w:p>
          <w:p w14:paraId="0D22D50F" w14:textId="77777777" w:rsidR="00BF1B43" w:rsidRDefault="00BF1B43" w:rsidP="00BF1B43">
            <w:pPr>
              <w:pStyle w:val="ListParagraph"/>
              <w:numPr>
                <w:ilvl w:val="0"/>
                <w:numId w:val="13"/>
              </w:numPr>
              <w:jc w:val="both"/>
              <w:rPr>
                <w:rFonts w:ascii="Calibri" w:hAnsi="Calibri"/>
              </w:rPr>
            </w:pPr>
            <w:r>
              <w:rPr>
                <w:rFonts w:ascii="Calibri" w:hAnsi="Calibri"/>
              </w:rPr>
              <w:t>Donor contributions</w:t>
            </w:r>
          </w:p>
          <w:p w14:paraId="0C5454D4" w14:textId="77777777" w:rsidR="00BF1B43" w:rsidRDefault="00BF1B43" w:rsidP="00BF1B43">
            <w:pPr>
              <w:pStyle w:val="ListParagraph"/>
              <w:numPr>
                <w:ilvl w:val="0"/>
                <w:numId w:val="13"/>
              </w:numPr>
              <w:jc w:val="both"/>
              <w:rPr>
                <w:rFonts w:ascii="Calibri" w:hAnsi="Calibri"/>
              </w:rPr>
            </w:pPr>
            <w:r>
              <w:rPr>
                <w:rFonts w:ascii="Calibri" w:hAnsi="Calibri"/>
              </w:rPr>
              <w:t>Success stories, human interest stories /testimonials</w:t>
            </w:r>
          </w:p>
          <w:p w14:paraId="1A46FB38" w14:textId="77777777" w:rsidR="00BF1B43" w:rsidRDefault="00BF1B43" w:rsidP="00BF1B43">
            <w:pPr>
              <w:pStyle w:val="ListParagraph"/>
              <w:numPr>
                <w:ilvl w:val="0"/>
                <w:numId w:val="13"/>
              </w:numPr>
              <w:jc w:val="both"/>
              <w:rPr>
                <w:rFonts w:ascii="Calibri" w:hAnsi="Calibri"/>
              </w:rPr>
            </w:pPr>
            <w:r w:rsidRPr="00E219CD">
              <w:rPr>
                <w:rFonts w:ascii="Calibri" w:hAnsi="Calibri"/>
              </w:rPr>
              <w:t xml:space="preserve">UNDP </w:t>
            </w:r>
            <w:r>
              <w:rPr>
                <w:rFonts w:ascii="Calibri" w:hAnsi="Calibri"/>
              </w:rPr>
              <w:t>comparative advantage</w:t>
            </w:r>
          </w:p>
          <w:p w14:paraId="654EC9A9" w14:textId="504D6AD1" w:rsidR="00BF1B43" w:rsidRPr="00B6601E" w:rsidRDefault="00BF1B43" w:rsidP="00B6601E">
            <w:pPr>
              <w:pStyle w:val="ListParagraph"/>
              <w:numPr>
                <w:ilvl w:val="0"/>
                <w:numId w:val="13"/>
              </w:numPr>
              <w:jc w:val="both"/>
              <w:rPr>
                <w:rFonts w:ascii="Calibri" w:hAnsi="Calibri"/>
              </w:rPr>
            </w:pPr>
            <w:r w:rsidRPr="00E219CD">
              <w:rPr>
                <w:rFonts w:ascii="Calibri" w:hAnsi="Calibri"/>
              </w:rPr>
              <w:t>UNDP achievements</w:t>
            </w:r>
          </w:p>
        </w:tc>
        <w:tc>
          <w:tcPr>
            <w:tcW w:w="1785" w:type="dxa"/>
            <w:gridSpan w:val="2"/>
          </w:tcPr>
          <w:p w14:paraId="1A9B469E" w14:textId="77777777" w:rsidR="00BF1B43" w:rsidRPr="0028505F" w:rsidRDefault="00BF1B43" w:rsidP="00260AFB">
            <w:pPr>
              <w:jc w:val="center"/>
            </w:pPr>
            <w:r>
              <w:t>Quarterly</w:t>
            </w:r>
          </w:p>
        </w:tc>
        <w:tc>
          <w:tcPr>
            <w:tcW w:w="2104" w:type="dxa"/>
          </w:tcPr>
          <w:p w14:paraId="51F0D64B" w14:textId="77777777" w:rsidR="00BF1B43" w:rsidRPr="0028505F" w:rsidRDefault="00BF1B43" w:rsidP="00260AFB">
            <w:pPr>
              <w:jc w:val="center"/>
            </w:pPr>
            <w:r>
              <w:t>Quarterly</w:t>
            </w:r>
          </w:p>
        </w:tc>
        <w:tc>
          <w:tcPr>
            <w:tcW w:w="2861" w:type="dxa"/>
          </w:tcPr>
          <w:p w14:paraId="1F59CC3F" w14:textId="77777777" w:rsidR="00BF1B43" w:rsidRPr="0028505F" w:rsidRDefault="00BF1B43" w:rsidP="00260AFB">
            <w:pPr>
              <w:jc w:val="center"/>
            </w:pPr>
            <w:r>
              <w:t xml:space="preserve">RR/DRR (P)/ </w:t>
            </w:r>
            <w:r w:rsidRPr="00BB781C">
              <w:t>Communication</w:t>
            </w:r>
            <w:r>
              <w:t xml:space="preserve"> Analyst</w:t>
            </w:r>
          </w:p>
        </w:tc>
      </w:tr>
      <w:tr w:rsidR="00BF1B43" w14:paraId="1CD6BD49" w14:textId="77777777" w:rsidTr="00925265">
        <w:trPr>
          <w:trHeight w:val="287"/>
        </w:trPr>
        <w:tc>
          <w:tcPr>
            <w:tcW w:w="2812" w:type="dxa"/>
            <w:vMerge/>
          </w:tcPr>
          <w:p w14:paraId="5AA34A0C" w14:textId="77777777" w:rsidR="00BF1B43" w:rsidRPr="00647406" w:rsidRDefault="00BF1B43" w:rsidP="00260AFB">
            <w:pPr>
              <w:jc w:val="both"/>
            </w:pPr>
          </w:p>
        </w:tc>
        <w:tc>
          <w:tcPr>
            <w:tcW w:w="4748" w:type="dxa"/>
          </w:tcPr>
          <w:p w14:paraId="455C9D1A" w14:textId="77777777" w:rsidR="00BF1B43" w:rsidRPr="00647406" w:rsidRDefault="00BF1B43" w:rsidP="00260AFB">
            <w:pPr>
              <w:jc w:val="both"/>
            </w:pPr>
            <w:r>
              <w:t xml:space="preserve">Conduct round table and panel discussions with IPs, DPs and private sector around 2016 HDR, IRD Launch </w:t>
            </w:r>
          </w:p>
        </w:tc>
        <w:tc>
          <w:tcPr>
            <w:tcW w:w="1770" w:type="dxa"/>
          </w:tcPr>
          <w:p w14:paraId="0D03DA1F" w14:textId="77777777" w:rsidR="00BF1B43" w:rsidRPr="00BB781C" w:rsidRDefault="00BF1B43" w:rsidP="00260AFB">
            <w:pPr>
              <w:jc w:val="center"/>
            </w:pPr>
            <w:r>
              <w:t>Q4</w:t>
            </w:r>
          </w:p>
        </w:tc>
        <w:tc>
          <w:tcPr>
            <w:tcW w:w="2119" w:type="dxa"/>
            <w:gridSpan w:val="2"/>
          </w:tcPr>
          <w:p w14:paraId="67D38B69" w14:textId="77777777" w:rsidR="00BF1B43" w:rsidRPr="00BB781C" w:rsidRDefault="00BF1B43" w:rsidP="00260AFB">
            <w:pPr>
              <w:jc w:val="center"/>
            </w:pPr>
            <w:r>
              <w:t>Q1 and Q4</w:t>
            </w:r>
          </w:p>
        </w:tc>
        <w:tc>
          <w:tcPr>
            <w:tcW w:w="2861" w:type="dxa"/>
          </w:tcPr>
          <w:p w14:paraId="3998252B" w14:textId="77777777" w:rsidR="00BF1B43" w:rsidRPr="00BB781C" w:rsidRDefault="00BF1B43" w:rsidP="00260AFB">
            <w:pPr>
              <w:jc w:val="center"/>
            </w:pPr>
            <w:r>
              <w:t xml:space="preserve">RR/DRR (P)/ </w:t>
            </w:r>
            <w:r w:rsidRPr="00BB781C">
              <w:t>Communication</w:t>
            </w:r>
            <w:r>
              <w:t xml:space="preserve"> Analyst</w:t>
            </w:r>
          </w:p>
        </w:tc>
      </w:tr>
      <w:tr w:rsidR="00BF1B43" w14:paraId="04E23387" w14:textId="77777777" w:rsidTr="00925265">
        <w:trPr>
          <w:trHeight w:val="1070"/>
        </w:trPr>
        <w:tc>
          <w:tcPr>
            <w:tcW w:w="2812" w:type="dxa"/>
            <w:vMerge/>
          </w:tcPr>
          <w:p w14:paraId="75286B1D" w14:textId="77777777" w:rsidR="00BF1B43" w:rsidRPr="00647406" w:rsidRDefault="00BF1B43" w:rsidP="00260AFB">
            <w:pPr>
              <w:jc w:val="both"/>
            </w:pPr>
          </w:p>
        </w:tc>
        <w:tc>
          <w:tcPr>
            <w:tcW w:w="4748" w:type="dxa"/>
          </w:tcPr>
          <w:p w14:paraId="2AA23052" w14:textId="77777777" w:rsidR="00BF1B43" w:rsidRDefault="00BF1B43" w:rsidP="00260AFB">
            <w:pPr>
              <w:jc w:val="both"/>
              <w:rPr>
                <w:rFonts w:ascii="Calibri" w:hAnsi="Calibri"/>
              </w:rPr>
            </w:pPr>
            <w:r>
              <w:rPr>
                <w:rFonts w:ascii="Calibri" w:hAnsi="Calibri"/>
              </w:rPr>
              <w:t>Strengthen media relationship for visibility of UNDP’s work by;</w:t>
            </w:r>
          </w:p>
          <w:p w14:paraId="2B248C23" w14:textId="77777777" w:rsidR="00BF1B43" w:rsidRPr="00450FA6" w:rsidRDefault="00BF1B43" w:rsidP="00BF1B43">
            <w:pPr>
              <w:pStyle w:val="ListParagraph"/>
              <w:numPr>
                <w:ilvl w:val="0"/>
                <w:numId w:val="15"/>
              </w:numPr>
              <w:jc w:val="both"/>
            </w:pPr>
            <w:r w:rsidRPr="00450FA6">
              <w:rPr>
                <w:rFonts w:ascii="Calibri" w:hAnsi="Calibri"/>
              </w:rPr>
              <w:t>Conduct informal sessions with media practitioners,</w:t>
            </w:r>
            <w:r>
              <w:rPr>
                <w:rFonts w:ascii="Calibri" w:hAnsi="Calibri"/>
              </w:rPr>
              <w:t xml:space="preserve"> aimed at raising awareness on MICF</w:t>
            </w:r>
            <w:r w:rsidRPr="00450FA6">
              <w:rPr>
                <w:rFonts w:ascii="Calibri" w:hAnsi="Calibri"/>
              </w:rPr>
              <w:t xml:space="preserve"> and general work of UNDP in Malawi</w:t>
            </w:r>
            <w:r>
              <w:rPr>
                <w:rFonts w:ascii="Calibri" w:hAnsi="Calibri"/>
              </w:rPr>
              <w:t>.</w:t>
            </w:r>
          </w:p>
          <w:p w14:paraId="3420E618" w14:textId="77777777" w:rsidR="00BF1B43" w:rsidRPr="00450FA6" w:rsidRDefault="00BF1B43" w:rsidP="00BF1B43">
            <w:pPr>
              <w:pStyle w:val="ListParagraph"/>
              <w:numPr>
                <w:ilvl w:val="0"/>
                <w:numId w:val="15"/>
              </w:numPr>
              <w:jc w:val="both"/>
            </w:pPr>
            <w:r>
              <w:rPr>
                <w:rFonts w:ascii="Calibri" w:hAnsi="Calibri"/>
              </w:rPr>
              <w:t>Conduct media tour to beneficiaries of MICF grants and private sector.</w:t>
            </w:r>
          </w:p>
          <w:p w14:paraId="6D27F637" w14:textId="77777777" w:rsidR="00BF1B43" w:rsidRDefault="00BF1B43" w:rsidP="00BF1B43">
            <w:pPr>
              <w:pStyle w:val="ListParagraph"/>
              <w:numPr>
                <w:ilvl w:val="0"/>
                <w:numId w:val="15"/>
              </w:numPr>
              <w:jc w:val="both"/>
            </w:pPr>
            <w:r>
              <w:rPr>
                <w:rFonts w:ascii="Calibri" w:hAnsi="Calibri"/>
              </w:rPr>
              <w:t>Issue press release based on results of UNDP supported projects.</w:t>
            </w:r>
          </w:p>
        </w:tc>
        <w:tc>
          <w:tcPr>
            <w:tcW w:w="1770" w:type="dxa"/>
          </w:tcPr>
          <w:p w14:paraId="311D9178" w14:textId="77777777" w:rsidR="00BF1B43" w:rsidRPr="00DB3F97" w:rsidRDefault="00BF1B43" w:rsidP="00260AFB">
            <w:pPr>
              <w:jc w:val="center"/>
            </w:pPr>
            <w:r>
              <w:t>Q3 and Q4</w:t>
            </w:r>
          </w:p>
        </w:tc>
        <w:tc>
          <w:tcPr>
            <w:tcW w:w="2119" w:type="dxa"/>
            <w:gridSpan w:val="2"/>
          </w:tcPr>
          <w:p w14:paraId="56627B3D" w14:textId="77777777" w:rsidR="00BF1B43" w:rsidRPr="00DB3F97" w:rsidRDefault="00BF1B43" w:rsidP="00260AFB">
            <w:pPr>
              <w:jc w:val="center"/>
            </w:pPr>
            <w:r>
              <w:t>Q2 and Q4</w:t>
            </w:r>
          </w:p>
        </w:tc>
        <w:tc>
          <w:tcPr>
            <w:tcW w:w="2861" w:type="dxa"/>
          </w:tcPr>
          <w:p w14:paraId="1B1EBA6A" w14:textId="77777777" w:rsidR="00BF1B43" w:rsidRPr="00600C32" w:rsidRDefault="00BF1B43" w:rsidP="00260AFB">
            <w:pPr>
              <w:jc w:val="center"/>
            </w:pPr>
            <w:r>
              <w:t>Portfolio Managers</w:t>
            </w:r>
            <w:r w:rsidRPr="00600C32">
              <w:t>/Communication</w:t>
            </w:r>
            <w:r>
              <w:t xml:space="preserve"> Analyst</w:t>
            </w:r>
          </w:p>
        </w:tc>
      </w:tr>
      <w:tr w:rsidR="00BF1B43" w14:paraId="0A1997D9" w14:textId="77777777" w:rsidTr="00925265">
        <w:trPr>
          <w:trHeight w:val="575"/>
        </w:trPr>
        <w:tc>
          <w:tcPr>
            <w:tcW w:w="2812" w:type="dxa"/>
            <w:vMerge/>
          </w:tcPr>
          <w:p w14:paraId="74DF6C4D" w14:textId="77777777" w:rsidR="00BF1B43" w:rsidRPr="00647406" w:rsidRDefault="00BF1B43" w:rsidP="00260AFB">
            <w:pPr>
              <w:jc w:val="both"/>
            </w:pPr>
          </w:p>
        </w:tc>
        <w:tc>
          <w:tcPr>
            <w:tcW w:w="4748" w:type="dxa"/>
          </w:tcPr>
          <w:p w14:paraId="3A4AB0E5" w14:textId="77777777" w:rsidR="00BF1B43" w:rsidRDefault="00BF1B43" w:rsidP="00260AFB">
            <w:pPr>
              <w:jc w:val="both"/>
            </w:pPr>
            <w:r>
              <w:t xml:space="preserve">Conduct joint monitoring field visits </w:t>
            </w:r>
          </w:p>
        </w:tc>
        <w:tc>
          <w:tcPr>
            <w:tcW w:w="1770" w:type="dxa"/>
          </w:tcPr>
          <w:p w14:paraId="5E7122D2" w14:textId="77777777" w:rsidR="00BF1B43" w:rsidRDefault="00BF1B43" w:rsidP="00260AFB">
            <w:pPr>
              <w:jc w:val="center"/>
            </w:pPr>
            <w:r>
              <w:t>Bi-annual</w:t>
            </w:r>
          </w:p>
        </w:tc>
        <w:tc>
          <w:tcPr>
            <w:tcW w:w="2119" w:type="dxa"/>
            <w:gridSpan w:val="2"/>
          </w:tcPr>
          <w:p w14:paraId="3551C621" w14:textId="77777777" w:rsidR="00BF1B43" w:rsidRDefault="00BF1B43" w:rsidP="00260AFB">
            <w:pPr>
              <w:jc w:val="center"/>
            </w:pPr>
            <w:r>
              <w:t>Bi-annual</w:t>
            </w:r>
          </w:p>
        </w:tc>
        <w:tc>
          <w:tcPr>
            <w:tcW w:w="2861" w:type="dxa"/>
          </w:tcPr>
          <w:p w14:paraId="1D2AB2C9" w14:textId="77777777" w:rsidR="00BF1B43" w:rsidRPr="00542FA3" w:rsidRDefault="00BF1B43" w:rsidP="00260AFB">
            <w:pPr>
              <w:jc w:val="center"/>
            </w:pPr>
            <w:r>
              <w:t>DRR (P) and Portfolio Managers, Learning Manager</w:t>
            </w:r>
          </w:p>
        </w:tc>
      </w:tr>
      <w:tr w:rsidR="00BF1B43" w14:paraId="3C085906" w14:textId="77777777" w:rsidTr="00925265">
        <w:trPr>
          <w:trHeight w:val="710"/>
        </w:trPr>
        <w:tc>
          <w:tcPr>
            <w:tcW w:w="2812" w:type="dxa"/>
            <w:vMerge w:val="restart"/>
          </w:tcPr>
          <w:p w14:paraId="12E3169C" w14:textId="77777777" w:rsidR="00BF1B43" w:rsidRPr="00647406" w:rsidRDefault="00BF1B43" w:rsidP="00260AFB">
            <w:pPr>
              <w:jc w:val="both"/>
            </w:pPr>
            <w:r>
              <w:rPr>
                <w:b/>
              </w:rPr>
              <w:t xml:space="preserve"> </w:t>
            </w:r>
            <w:r w:rsidRPr="00B71742">
              <w:rPr>
                <w:b/>
              </w:rPr>
              <w:t>Strengthened institutional and staff capacities for RM</w:t>
            </w:r>
          </w:p>
        </w:tc>
        <w:tc>
          <w:tcPr>
            <w:tcW w:w="4748" w:type="dxa"/>
          </w:tcPr>
          <w:p w14:paraId="2CE709AF" w14:textId="77777777" w:rsidR="00BF1B43" w:rsidRDefault="00BF1B43" w:rsidP="00260AFB">
            <w:pPr>
              <w:jc w:val="both"/>
            </w:pPr>
            <w:r w:rsidRPr="00647406">
              <w:t>Train</w:t>
            </w:r>
            <w:r>
              <w:t xml:space="preserve"> programme staff</w:t>
            </w:r>
            <w:r w:rsidRPr="00647406">
              <w:t xml:space="preserve"> on </w:t>
            </w:r>
            <w:r>
              <w:t xml:space="preserve">managing </w:t>
            </w:r>
            <w:r w:rsidRPr="00647406">
              <w:t>donor relations</w:t>
            </w:r>
            <w:r>
              <w:t xml:space="preserve"> (including donor language, reporting and handling)</w:t>
            </w:r>
          </w:p>
        </w:tc>
        <w:tc>
          <w:tcPr>
            <w:tcW w:w="1770" w:type="dxa"/>
          </w:tcPr>
          <w:p w14:paraId="366B3C17" w14:textId="77777777" w:rsidR="00BF1B43" w:rsidRPr="00906F75" w:rsidRDefault="00BF1B43" w:rsidP="00260AFB">
            <w:pPr>
              <w:jc w:val="center"/>
            </w:pPr>
            <w:r>
              <w:t>-</w:t>
            </w:r>
          </w:p>
        </w:tc>
        <w:tc>
          <w:tcPr>
            <w:tcW w:w="2119" w:type="dxa"/>
            <w:gridSpan w:val="2"/>
          </w:tcPr>
          <w:p w14:paraId="4AED1D11" w14:textId="77777777" w:rsidR="00BF1B43" w:rsidRPr="00906F75" w:rsidRDefault="00BF1B43" w:rsidP="00260AFB">
            <w:pPr>
              <w:jc w:val="center"/>
            </w:pPr>
            <w:r>
              <w:t>Q2</w:t>
            </w:r>
          </w:p>
        </w:tc>
        <w:tc>
          <w:tcPr>
            <w:tcW w:w="2861" w:type="dxa"/>
          </w:tcPr>
          <w:p w14:paraId="0580DF6F" w14:textId="77777777" w:rsidR="00BF1B43" w:rsidRPr="00906F75" w:rsidRDefault="00BF1B43" w:rsidP="00260AFB">
            <w:pPr>
              <w:jc w:val="center"/>
            </w:pPr>
            <w:r w:rsidRPr="00C05801">
              <w:t>DRR (P)/DRR (O)</w:t>
            </w:r>
            <w:r>
              <w:t>/BERA</w:t>
            </w:r>
          </w:p>
        </w:tc>
      </w:tr>
      <w:tr w:rsidR="00BF1B43" w14:paraId="408984BB" w14:textId="77777777" w:rsidTr="00925265">
        <w:trPr>
          <w:trHeight w:val="620"/>
        </w:trPr>
        <w:tc>
          <w:tcPr>
            <w:tcW w:w="2812" w:type="dxa"/>
            <w:vMerge/>
          </w:tcPr>
          <w:p w14:paraId="274C21C2" w14:textId="77777777" w:rsidR="00BF1B43" w:rsidRPr="00647406" w:rsidRDefault="00BF1B43" w:rsidP="00260AFB">
            <w:pPr>
              <w:jc w:val="both"/>
            </w:pPr>
          </w:p>
        </w:tc>
        <w:tc>
          <w:tcPr>
            <w:tcW w:w="4748" w:type="dxa"/>
          </w:tcPr>
          <w:p w14:paraId="2EB7DC81" w14:textId="77777777" w:rsidR="00BF1B43" w:rsidRPr="00605186" w:rsidRDefault="00BF1B43" w:rsidP="00260AFB">
            <w:pPr>
              <w:jc w:val="both"/>
            </w:pPr>
            <w:r w:rsidRPr="00605186">
              <w:t>Establish rules for donor/partner engagement for UNDP CO staff</w:t>
            </w:r>
          </w:p>
        </w:tc>
        <w:tc>
          <w:tcPr>
            <w:tcW w:w="1770" w:type="dxa"/>
          </w:tcPr>
          <w:p w14:paraId="5E931036" w14:textId="77777777" w:rsidR="00BF1B43" w:rsidRPr="00906F75" w:rsidRDefault="00BF1B43" w:rsidP="00260AFB">
            <w:pPr>
              <w:jc w:val="center"/>
            </w:pPr>
            <w:r>
              <w:t>Q2 &amp; Q3</w:t>
            </w:r>
          </w:p>
        </w:tc>
        <w:tc>
          <w:tcPr>
            <w:tcW w:w="2119" w:type="dxa"/>
            <w:gridSpan w:val="2"/>
          </w:tcPr>
          <w:p w14:paraId="4AE1CF2B" w14:textId="77777777" w:rsidR="00BF1B43" w:rsidRPr="00906F75" w:rsidRDefault="00BF1B43" w:rsidP="00260AFB">
            <w:pPr>
              <w:jc w:val="center"/>
            </w:pPr>
            <w:r>
              <w:t>-</w:t>
            </w:r>
          </w:p>
        </w:tc>
        <w:tc>
          <w:tcPr>
            <w:tcW w:w="2861" w:type="dxa"/>
          </w:tcPr>
          <w:p w14:paraId="53D57F82" w14:textId="77777777" w:rsidR="00BF1B43" w:rsidRPr="00906F75" w:rsidRDefault="00BF1B43" w:rsidP="00260AFB">
            <w:pPr>
              <w:jc w:val="center"/>
            </w:pPr>
            <w:r w:rsidRPr="00C05801">
              <w:t>DRR (P)/DRR (O)</w:t>
            </w:r>
          </w:p>
        </w:tc>
      </w:tr>
      <w:tr w:rsidR="00BF1B43" w14:paraId="5EF3CC27" w14:textId="77777777" w:rsidTr="00925265">
        <w:trPr>
          <w:trHeight w:val="660"/>
        </w:trPr>
        <w:tc>
          <w:tcPr>
            <w:tcW w:w="2812" w:type="dxa"/>
            <w:vMerge/>
          </w:tcPr>
          <w:p w14:paraId="76B5BFFD" w14:textId="77777777" w:rsidR="00BF1B43" w:rsidRPr="00647406" w:rsidRDefault="00BF1B43" w:rsidP="00260AFB">
            <w:pPr>
              <w:jc w:val="both"/>
            </w:pPr>
          </w:p>
        </w:tc>
        <w:tc>
          <w:tcPr>
            <w:tcW w:w="4748" w:type="dxa"/>
          </w:tcPr>
          <w:p w14:paraId="359346BF" w14:textId="77777777" w:rsidR="00BF1B43" w:rsidRDefault="00BF1B43" w:rsidP="00260AFB">
            <w:pPr>
              <w:jc w:val="both"/>
            </w:pPr>
            <w:r>
              <w:t>Conduct financial management training for non-finance programme staff</w:t>
            </w:r>
          </w:p>
        </w:tc>
        <w:tc>
          <w:tcPr>
            <w:tcW w:w="1770" w:type="dxa"/>
          </w:tcPr>
          <w:p w14:paraId="6E0DCE59" w14:textId="77777777" w:rsidR="00BF1B43" w:rsidRPr="00906F75" w:rsidRDefault="00BF1B43" w:rsidP="00260AFB">
            <w:pPr>
              <w:jc w:val="center"/>
            </w:pPr>
            <w:r>
              <w:t>-</w:t>
            </w:r>
          </w:p>
        </w:tc>
        <w:tc>
          <w:tcPr>
            <w:tcW w:w="2119" w:type="dxa"/>
            <w:gridSpan w:val="2"/>
          </w:tcPr>
          <w:p w14:paraId="22B218AE" w14:textId="77777777" w:rsidR="00BF1B43" w:rsidRPr="00906F75" w:rsidRDefault="00BF1B43" w:rsidP="00260AFB">
            <w:pPr>
              <w:jc w:val="center"/>
            </w:pPr>
            <w:r>
              <w:t>Q1</w:t>
            </w:r>
          </w:p>
        </w:tc>
        <w:tc>
          <w:tcPr>
            <w:tcW w:w="2861" w:type="dxa"/>
          </w:tcPr>
          <w:p w14:paraId="256997DD" w14:textId="77777777" w:rsidR="00BF1B43" w:rsidRPr="00906F75" w:rsidRDefault="00BF1B43" w:rsidP="00260AFB">
            <w:pPr>
              <w:jc w:val="center"/>
            </w:pPr>
            <w:r w:rsidRPr="00C05801">
              <w:t>DRR (P)/DRR (O)</w:t>
            </w:r>
          </w:p>
        </w:tc>
      </w:tr>
      <w:tr w:rsidR="00BF1B43" w14:paraId="748C21C4" w14:textId="77777777" w:rsidTr="00925265">
        <w:trPr>
          <w:trHeight w:val="755"/>
        </w:trPr>
        <w:tc>
          <w:tcPr>
            <w:tcW w:w="2812" w:type="dxa"/>
            <w:vMerge/>
          </w:tcPr>
          <w:p w14:paraId="49EBF053" w14:textId="77777777" w:rsidR="00BF1B43" w:rsidRPr="00647406" w:rsidRDefault="00BF1B43" w:rsidP="00260AFB">
            <w:pPr>
              <w:jc w:val="both"/>
            </w:pPr>
          </w:p>
        </w:tc>
        <w:tc>
          <w:tcPr>
            <w:tcW w:w="4748" w:type="dxa"/>
          </w:tcPr>
          <w:p w14:paraId="7B6F792A" w14:textId="77777777" w:rsidR="00BF1B43" w:rsidRDefault="00BF1B43" w:rsidP="00260AFB">
            <w:pPr>
              <w:jc w:val="both"/>
            </w:pPr>
            <w:r>
              <w:t>Participate in relevant Bureau for External Relations and Advocacy (BERA) Webinars</w:t>
            </w:r>
          </w:p>
        </w:tc>
        <w:tc>
          <w:tcPr>
            <w:tcW w:w="1770" w:type="dxa"/>
          </w:tcPr>
          <w:p w14:paraId="7E88385D" w14:textId="77777777" w:rsidR="00BF1B43" w:rsidRPr="00906F75" w:rsidRDefault="00BF1B43" w:rsidP="00260AFB">
            <w:pPr>
              <w:jc w:val="center"/>
            </w:pPr>
            <w:r>
              <w:t>As announced</w:t>
            </w:r>
          </w:p>
        </w:tc>
        <w:tc>
          <w:tcPr>
            <w:tcW w:w="2119" w:type="dxa"/>
            <w:gridSpan w:val="2"/>
          </w:tcPr>
          <w:p w14:paraId="4AE74E95" w14:textId="77777777" w:rsidR="00BF1B43" w:rsidRPr="00906F75" w:rsidRDefault="00BF1B43" w:rsidP="00260AFB">
            <w:pPr>
              <w:jc w:val="center"/>
            </w:pPr>
            <w:r>
              <w:t>As announced</w:t>
            </w:r>
          </w:p>
        </w:tc>
        <w:tc>
          <w:tcPr>
            <w:tcW w:w="2861" w:type="dxa"/>
          </w:tcPr>
          <w:p w14:paraId="26BE7B47" w14:textId="77777777" w:rsidR="00BF1B43" w:rsidRPr="00906F75" w:rsidRDefault="00BF1B43" w:rsidP="00260AFB">
            <w:pPr>
              <w:jc w:val="center"/>
            </w:pPr>
            <w:r>
              <w:t>DRR (P), Communications Analyst</w:t>
            </w:r>
          </w:p>
        </w:tc>
      </w:tr>
      <w:tr w:rsidR="00BF1B43" w14:paraId="49AFCC2C" w14:textId="77777777" w:rsidTr="00925265">
        <w:trPr>
          <w:trHeight w:val="755"/>
        </w:trPr>
        <w:tc>
          <w:tcPr>
            <w:tcW w:w="2812" w:type="dxa"/>
            <w:vMerge w:val="restart"/>
          </w:tcPr>
          <w:p w14:paraId="3EF84747" w14:textId="77777777" w:rsidR="00BF1B43" w:rsidRPr="00647406" w:rsidRDefault="00BF1B43" w:rsidP="00260AFB">
            <w:pPr>
              <w:autoSpaceDE w:val="0"/>
              <w:autoSpaceDN w:val="0"/>
              <w:adjustRightInd w:val="0"/>
              <w:jc w:val="both"/>
              <w:rPr>
                <w:rFonts w:cs="HelveticaNeue"/>
              </w:rPr>
            </w:pPr>
            <w:r w:rsidRPr="0015504E">
              <w:rPr>
                <w:b/>
              </w:rPr>
              <w:t>Strengthened engagement with existing and potential donors for support to specific initiative</w:t>
            </w:r>
            <w:r>
              <w:rPr>
                <w:b/>
              </w:rPr>
              <w:t>s</w:t>
            </w:r>
          </w:p>
        </w:tc>
        <w:tc>
          <w:tcPr>
            <w:tcW w:w="4748" w:type="dxa"/>
          </w:tcPr>
          <w:p w14:paraId="55D337FF" w14:textId="77777777" w:rsidR="00BF1B43" w:rsidRPr="00647406" w:rsidRDefault="00BF1B43" w:rsidP="00260AFB">
            <w:pPr>
              <w:jc w:val="both"/>
            </w:pPr>
            <w:r>
              <w:t xml:space="preserve">Conduct donor mapping for Malawi and update accordingly </w:t>
            </w:r>
          </w:p>
        </w:tc>
        <w:tc>
          <w:tcPr>
            <w:tcW w:w="1770" w:type="dxa"/>
          </w:tcPr>
          <w:p w14:paraId="23181D3C" w14:textId="77777777" w:rsidR="00BF1B43" w:rsidRPr="00A23DC9" w:rsidRDefault="00BF1B43" w:rsidP="00260AFB">
            <w:pPr>
              <w:jc w:val="center"/>
            </w:pPr>
            <w:r>
              <w:t>Q4</w:t>
            </w:r>
          </w:p>
        </w:tc>
        <w:tc>
          <w:tcPr>
            <w:tcW w:w="2119" w:type="dxa"/>
            <w:gridSpan w:val="2"/>
          </w:tcPr>
          <w:p w14:paraId="6F265A57" w14:textId="77777777" w:rsidR="00BF1B43" w:rsidRPr="00906F75" w:rsidRDefault="00BF1B43" w:rsidP="00260AFB">
            <w:pPr>
              <w:jc w:val="center"/>
            </w:pPr>
            <w:r>
              <w:t>Q2, Q3</w:t>
            </w:r>
          </w:p>
        </w:tc>
        <w:tc>
          <w:tcPr>
            <w:tcW w:w="2861" w:type="dxa"/>
          </w:tcPr>
          <w:p w14:paraId="2D30F18F" w14:textId="008E2B45" w:rsidR="00BF1B43" w:rsidRPr="00906F75" w:rsidRDefault="00BF1B43" w:rsidP="00925265">
            <w:pPr>
              <w:jc w:val="center"/>
            </w:pPr>
            <w:r w:rsidRPr="00906F75">
              <w:t>RR/DRR (P)</w:t>
            </w:r>
            <w:r>
              <w:t>/Communication Analyst</w:t>
            </w:r>
          </w:p>
        </w:tc>
      </w:tr>
      <w:tr w:rsidR="00BF1B43" w14:paraId="5ADB788B" w14:textId="77777777" w:rsidTr="00925265">
        <w:trPr>
          <w:trHeight w:val="665"/>
        </w:trPr>
        <w:tc>
          <w:tcPr>
            <w:tcW w:w="2812" w:type="dxa"/>
            <w:vMerge/>
          </w:tcPr>
          <w:p w14:paraId="783889ED" w14:textId="77777777" w:rsidR="00BF1B43" w:rsidRPr="00647406" w:rsidRDefault="00BF1B43" w:rsidP="00260AFB">
            <w:pPr>
              <w:autoSpaceDE w:val="0"/>
              <w:autoSpaceDN w:val="0"/>
              <w:adjustRightInd w:val="0"/>
              <w:jc w:val="both"/>
              <w:rPr>
                <w:rFonts w:cs="HelveticaNeue"/>
              </w:rPr>
            </w:pPr>
          </w:p>
        </w:tc>
        <w:tc>
          <w:tcPr>
            <w:tcW w:w="4748" w:type="dxa"/>
          </w:tcPr>
          <w:p w14:paraId="2C10300D" w14:textId="77777777" w:rsidR="00BF1B43" w:rsidRDefault="00BF1B43" w:rsidP="00260AFB">
            <w:pPr>
              <w:jc w:val="both"/>
            </w:pPr>
            <w:r>
              <w:t xml:space="preserve">Follow-up and develop </w:t>
            </w:r>
            <w:r w:rsidRPr="00647406">
              <w:t xml:space="preserve">innovative proposals </w:t>
            </w:r>
            <w:r>
              <w:t>for</w:t>
            </w:r>
            <w:r w:rsidRPr="00647406">
              <w:t xml:space="preserve"> potential donors</w:t>
            </w:r>
            <w:r>
              <w:t xml:space="preserve"> focusing on pipeline projects;</w:t>
            </w:r>
          </w:p>
          <w:p w14:paraId="04102C62" w14:textId="77777777" w:rsidR="00BF1B43" w:rsidRDefault="00BF1B43" w:rsidP="00260AFB">
            <w:pPr>
              <w:jc w:val="both"/>
            </w:pPr>
          </w:p>
          <w:p w14:paraId="7B834DEA" w14:textId="442E6DD7" w:rsidR="00BF1B43" w:rsidRDefault="00BF1B43" w:rsidP="00BF1B43">
            <w:pPr>
              <w:pStyle w:val="ListParagraph"/>
              <w:numPr>
                <w:ilvl w:val="0"/>
                <w:numId w:val="14"/>
              </w:numPr>
              <w:jc w:val="both"/>
            </w:pPr>
            <w:r>
              <w:t>KfW, IFAD, EU</w:t>
            </w:r>
            <w:r w:rsidR="00D75EBB">
              <w:t>, USAID</w:t>
            </w:r>
            <w:r>
              <w:t xml:space="preserve"> and DFID on Private Sector Development (PSD)</w:t>
            </w:r>
          </w:p>
          <w:p w14:paraId="7751118D" w14:textId="1A99288F" w:rsidR="00BF1B43" w:rsidRDefault="00BF1B43" w:rsidP="00BF1B43">
            <w:pPr>
              <w:pStyle w:val="ListParagraph"/>
              <w:numPr>
                <w:ilvl w:val="0"/>
                <w:numId w:val="14"/>
              </w:numPr>
              <w:jc w:val="both"/>
            </w:pPr>
            <w:r>
              <w:t xml:space="preserve"> Irish Aid and Government of Norway on support for Human Rights, Electoral </w:t>
            </w:r>
            <w:r>
              <w:lastRenderedPageBreak/>
              <w:t xml:space="preserve">Reforms and IRD and Decentralization Programme </w:t>
            </w:r>
          </w:p>
          <w:p w14:paraId="00B5C6A7" w14:textId="2D7E5C6A" w:rsidR="00D75EBB" w:rsidRDefault="00D75EBB" w:rsidP="00BF1B43">
            <w:pPr>
              <w:pStyle w:val="ListParagraph"/>
              <w:numPr>
                <w:ilvl w:val="0"/>
                <w:numId w:val="14"/>
              </w:numPr>
              <w:jc w:val="both"/>
            </w:pPr>
            <w:r>
              <w:t>DFID, EU, USAID, Japan, Norway, Government of Malawi and Irish Aid on the National Registration and Identification System.</w:t>
            </w:r>
          </w:p>
          <w:p w14:paraId="7C1B3EB0" w14:textId="77777777" w:rsidR="00BF1B43" w:rsidRDefault="00BF1B43" w:rsidP="00BF1B43">
            <w:pPr>
              <w:pStyle w:val="ListParagraph"/>
              <w:numPr>
                <w:ilvl w:val="0"/>
                <w:numId w:val="14"/>
              </w:numPr>
              <w:jc w:val="both"/>
            </w:pPr>
            <w:r>
              <w:t>Government of Japan on National Peace Architecture</w:t>
            </w:r>
          </w:p>
          <w:p w14:paraId="3C40D881" w14:textId="77777777" w:rsidR="00BF1B43" w:rsidRDefault="00BF1B43" w:rsidP="00BF1B43">
            <w:pPr>
              <w:pStyle w:val="ListParagraph"/>
              <w:numPr>
                <w:ilvl w:val="0"/>
                <w:numId w:val="14"/>
              </w:numPr>
              <w:jc w:val="both"/>
            </w:pPr>
            <w:r>
              <w:t>World Bank and African Development Bank on support to Government Project</w:t>
            </w:r>
          </w:p>
          <w:p w14:paraId="1EBE9C5D" w14:textId="47F6BB6D" w:rsidR="00BF1B43" w:rsidRDefault="00BF1B43" w:rsidP="00BF1B43">
            <w:pPr>
              <w:pStyle w:val="ListParagraph"/>
              <w:numPr>
                <w:ilvl w:val="0"/>
                <w:numId w:val="14"/>
              </w:numPr>
              <w:jc w:val="both"/>
            </w:pPr>
            <w:r>
              <w:t>GEF-6</w:t>
            </w:r>
            <w:r w:rsidR="00D75EBB">
              <w:t>, Least Developed Country Fund</w:t>
            </w:r>
            <w:r>
              <w:t xml:space="preserve"> on </w:t>
            </w:r>
            <w:r w:rsidR="00D75EBB">
              <w:t>biodiversity initiatives.</w:t>
            </w:r>
            <w:r>
              <w:t xml:space="preserve"> </w:t>
            </w:r>
          </w:p>
          <w:p w14:paraId="11816AEA" w14:textId="17363AE3" w:rsidR="00BF1B43" w:rsidRDefault="00BF1B43" w:rsidP="00BF1B43">
            <w:pPr>
              <w:pStyle w:val="ListParagraph"/>
              <w:numPr>
                <w:ilvl w:val="0"/>
                <w:numId w:val="14"/>
              </w:numPr>
              <w:jc w:val="both"/>
            </w:pPr>
            <w:r>
              <w:t>One Fund</w:t>
            </w:r>
          </w:p>
          <w:p w14:paraId="167DCEBD" w14:textId="35269CA2" w:rsidR="00D75EBB" w:rsidRDefault="00D75EBB" w:rsidP="00BF1B43">
            <w:pPr>
              <w:pStyle w:val="ListParagraph"/>
              <w:numPr>
                <w:ilvl w:val="0"/>
                <w:numId w:val="14"/>
              </w:numPr>
              <w:jc w:val="both"/>
            </w:pPr>
            <w:r>
              <w:t>Private sector and foundations on areas to facilitate SDGs programming and implementation aspects.</w:t>
            </w:r>
          </w:p>
          <w:p w14:paraId="2CEF3F4B" w14:textId="77777777" w:rsidR="00BF1B43" w:rsidRDefault="00BF1B43" w:rsidP="00BF1B43">
            <w:pPr>
              <w:pStyle w:val="ListParagraph"/>
              <w:numPr>
                <w:ilvl w:val="0"/>
                <w:numId w:val="14"/>
              </w:numPr>
              <w:jc w:val="both"/>
            </w:pPr>
            <w:r>
              <w:t>Government of Norway on protecting rights of people living with Albinism</w:t>
            </w:r>
          </w:p>
          <w:p w14:paraId="715BE122" w14:textId="77777777" w:rsidR="00BF1B43" w:rsidRPr="0028505F" w:rsidRDefault="00BF1B43" w:rsidP="00BF1B43">
            <w:pPr>
              <w:pStyle w:val="ListParagraph"/>
              <w:numPr>
                <w:ilvl w:val="0"/>
                <w:numId w:val="14"/>
              </w:numPr>
              <w:jc w:val="both"/>
            </w:pPr>
            <w:r>
              <w:t>Government of China in selected areas</w:t>
            </w:r>
          </w:p>
        </w:tc>
        <w:tc>
          <w:tcPr>
            <w:tcW w:w="1770" w:type="dxa"/>
          </w:tcPr>
          <w:p w14:paraId="6CD8BABA" w14:textId="77777777" w:rsidR="00BF1B43" w:rsidRPr="0028505F" w:rsidRDefault="00BF1B43" w:rsidP="00260AFB">
            <w:pPr>
              <w:jc w:val="center"/>
            </w:pPr>
            <w:r>
              <w:lastRenderedPageBreak/>
              <w:t>Q3, Q4</w:t>
            </w:r>
          </w:p>
        </w:tc>
        <w:tc>
          <w:tcPr>
            <w:tcW w:w="2119" w:type="dxa"/>
            <w:gridSpan w:val="2"/>
          </w:tcPr>
          <w:p w14:paraId="518068A1" w14:textId="77777777" w:rsidR="00BF1B43" w:rsidRPr="0028505F" w:rsidRDefault="00BF1B43" w:rsidP="00260AFB">
            <w:pPr>
              <w:jc w:val="center"/>
            </w:pPr>
            <w:r>
              <w:t>Q1-Q4</w:t>
            </w:r>
          </w:p>
        </w:tc>
        <w:tc>
          <w:tcPr>
            <w:tcW w:w="2861" w:type="dxa"/>
          </w:tcPr>
          <w:p w14:paraId="463ADA74" w14:textId="77777777" w:rsidR="00BF1B43" w:rsidRDefault="00BF1B43" w:rsidP="00260AFB">
            <w:pPr>
              <w:jc w:val="center"/>
              <w:rPr>
                <w:b/>
              </w:rPr>
            </w:pPr>
            <w:r w:rsidRPr="00906F75">
              <w:t>RR/DRR (P)</w:t>
            </w:r>
          </w:p>
        </w:tc>
      </w:tr>
      <w:tr w:rsidR="00BF1B43" w14:paraId="46718B8A" w14:textId="77777777" w:rsidTr="00925265">
        <w:tc>
          <w:tcPr>
            <w:tcW w:w="2812" w:type="dxa"/>
            <w:vMerge/>
          </w:tcPr>
          <w:p w14:paraId="30AC559F" w14:textId="77777777" w:rsidR="00BF1B43" w:rsidRPr="00647406" w:rsidRDefault="00BF1B43" w:rsidP="00260AFB">
            <w:pPr>
              <w:autoSpaceDE w:val="0"/>
              <w:autoSpaceDN w:val="0"/>
              <w:adjustRightInd w:val="0"/>
              <w:jc w:val="both"/>
            </w:pPr>
          </w:p>
        </w:tc>
        <w:tc>
          <w:tcPr>
            <w:tcW w:w="4748" w:type="dxa"/>
          </w:tcPr>
          <w:p w14:paraId="5E5D8888" w14:textId="77777777" w:rsidR="00BF1B43" w:rsidRPr="00A8447B" w:rsidRDefault="00BF1B43" w:rsidP="00260AFB">
            <w:pPr>
              <w:jc w:val="both"/>
            </w:pPr>
            <w:r>
              <w:t xml:space="preserve">Build partnerships with Government to engage UNDP to assist in implementing grants or loans from International Financial Institutions. E.g. handling procurement process on behalf of Government on AfDB or WB loan/grant projects. </w:t>
            </w:r>
          </w:p>
        </w:tc>
        <w:tc>
          <w:tcPr>
            <w:tcW w:w="1770" w:type="dxa"/>
          </w:tcPr>
          <w:p w14:paraId="454BA618" w14:textId="77777777" w:rsidR="00BF1B43" w:rsidRPr="0028505F" w:rsidRDefault="00BF1B43" w:rsidP="00260AFB">
            <w:pPr>
              <w:jc w:val="center"/>
            </w:pPr>
            <w:r>
              <w:t>-</w:t>
            </w:r>
          </w:p>
        </w:tc>
        <w:tc>
          <w:tcPr>
            <w:tcW w:w="2119" w:type="dxa"/>
            <w:gridSpan w:val="2"/>
          </w:tcPr>
          <w:p w14:paraId="022FB4A6" w14:textId="77777777" w:rsidR="00BF1B43" w:rsidRPr="0028505F" w:rsidRDefault="00BF1B43" w:rsidP="00260AFB">
            <w:pPr>
              <w:jc w:val="center"/>
            </w:pPr>
            <w:r w:rsidRPr="0028505F">
              <w:t>Q</w:t>
            </w:r>
            <w:r>
              <w:t>2</w:t>
            </w:r>
          </w:p>
        </w:tc>
        <w:tc>
          <w:tcPr>
            <w:tcW w:w="2861" w:type="dxa"/>
          </w:tcPr>
          <w:p w14:paraId="7B31F42E" w14:textId="77777777" w:rsidR="00BF1B43" w:rsidRPr="00A8447B" w:rsidRDefault="00BF1B43" w:rsidP="00260AFB">
            <w:pPr>
              <w:jc w:val="center"/>
            </w:pPr>
            <w:r w:rsidRPr="00A8447B">
              <w:t>RR/DRR (P)</w:t>
            </w:r>
          </w:p>
        </w:tc>
      </w:tr>
      <w:tr w:rsidR="00BF1B43" w14:paraId="54984BB0" w14:textId="77777777" w:rsidTr="00925265">
        <w:tc>
          <w:tcPr>
            <w:tcW w:w="2812" w:type="dxa"/>
            <w:vMerge/>
          </w:tcPr>
          <w:p w14:paraId="0D02FD3C" w14:textId="77777777" w:rsidR="00BF1B43" w:rsidRPr="00647406" w:rsidRDefault="00BF1B43" w:rsidP="00260AFB">
            <w:pPr>
              <w:autoSpaceDE w:val="0"/>
              <w:autoSpaceDN w:val="0"/>
              <w:adjustRightInd w:val="0"/>
              <w:jc w:val="both"/>
            </w:pPr>
          </w:p>
        </w:tc>
        <w:tc>
          <w:tcPr>
            <w:tcW w:w="4748" w:type="dxa"/>
          </w:tcPr>
          <w:p w14:paraId="46B9A0F1" w14:textId="2F4FB688" w:rsidR="00BF1B43" w:rsidRPr="00B45059" w:rsidRDefault="00BF1B43" w:rsidP="001E22F1">
            <w:pPr>
              <w:jc w:val="both"/>
              <w:rPr>
                <w:b/>
              </w:rPr>
            </w:pPr>
            <w:r>
              <w:t>Explore and e</w:t>
            </w:r>
            <w:r w:rsidRPr="00647406">
              <w:t>nhanc</w:t>
            </w:r>
            <w:r>
              <w:t>e</w:t>
            </w:r>
            <w:r w:rsidRPr="00647406">
              <w:t xml:space="preserve"> the role of UNDP ambassadors</w:t>
            </w:r>
            <w:r>
              <w:t>/champions/models/v</w:t>
            </w:r>
            <w:r w:rsidRPr="00647406">
              <w:t>olunteers</w:t>
            </w:r>
            <w:r>
              <w:t>/ former UNDP Malawi RR/Staff in resource mobilization at international and local levels-2017</w:t>
            </w:r>
          </w:p>
        </w:tc>
        <w:tc>
          <w:tcPr>
            <w:tcW w:w="1770" w:type="dxa"/>
          </w:tcPr>
          <w:p w14:paraId="5A601597" w14:textId="77777777" w:rsidR="00BF1B43" w:rsidRPr="0028505F" w:rsidRDefault="00BF1B43" w:rsidP="00260AFB">
            <w:pPr>
              <w:jc w:val="center"/>
            </w:pPr>
            <w:r>
              <w:t>Q4</w:t>
            </w:r>
          </w:p>
        </w:tc>
        <w:tc>
          <w:tcPr>
            <w:tcW w:w="2119" w:type="dxa"/>
            <w:gridSpan w:val="2"/>
          </w:tcPr>
          <w:p w14:paraId="33292C1B" w14:textId="77777777" w:rsidR="00BF1B43" w:rsidRPr="0028505F" w:rsidRDefault="00BF1B43" w:rsidP="00260AFB">
            <w:pPr>
              <w:jc w:val="center"/>
            </w:pPr>
            <w:r>
              <w:t>Q1</w:t>
            </w:r>
          </w:p>
        </w:tc>
        <w:tc>
          <w:tcPr>
            <w:tcW w:w="2861" w:type="dxa"/>
          </w:tcPr>
          <w:p w14:paraId="4D8DD103" w14:textId="77777777" w:rsidR="00BF1B43" w:rsidRPr="00A8447B" w:rsidRDefault="00BF1B43" w:rsidP="00260AFB">
            <w:pPr>
              <w:jc w:val="center"/>
            </w:pPr>
            <w:r>
              <w:t>RR/</w:t>
            </w:r>
            <w:r w:rsidRPr="00A8447B">
              <w:t>DRR (P)</w:t>
            </w:r>
            <w:r>
              <w:t>/Communication Analyst</w:t>
            </w:r>
          </w:p>
        </w:tc>
      </w:tr>
      <w:tr w:rsidR="00BF1B43" w14:paraId="57369580" w14:textId="77777777" w:rsidTr="00925265">
        <w:tc>
          <w:tcPr>
            <w:tcW w:w="2812" w:type="dxa"/>
            <w:vMerge/>
          </w:tcPr>
          <w:p w14:paraId="719C727B" w14:textId="77777777" w:rsidR="00BF1B43" w:rsidRPr="00647406" w:rsidRDefault="00BF1B43" w:rsidP="00260AFB">
            <w:pPr>
              <w:autoSpaceDE w:val="0"/>
              <w:autoSpaceDN w:val="0"/>
              <w:adjustRightInd w:val="0"/>
              <w:jc w:val="both"/>
            </w:pPr>
          </w:p>
        </w:tc>
        <w:tc>
          <w:tcPr>
            <w:tcW w:w="4748" w:type="dxa"/>
          </w:tcPr>
          <w:p w14:paraId="19E0C6D5" w14:textId="77777777" w:rsidR="00BF1B43" w:rsidRPr="00647406" w:rsidRDefault="00BF1B43" w:rsidP="00260AFB">
            <w:pPr>
              <w:jc w:val="both"/>
            </w:pPr>
            <w:r>
              <w:t>S</w:t>
            </w:r>
            <w:r w:rsidRPr="00647406">
              <w:t>et</w:t>
            </w:r>
            <w:r>
              <w:t>-</w:t>
            </w:r>
            <w:r w:rsidRPr="00647406">
              <w:t>up online fundraising platform (crowd sourcing)</w:t>
            </w:r>
            <w:r>
              <w:t>, guided by UNDP HQ to mobilize funds for special initiatives including emergencies-2017</w:t>
            </w:r>
          </w:p>
        </w:tc>
        <w:tc>
          <w:tcPr>
            <w:tcW w:w="1785" w:type="dxa"/>
            <w:gridSpan w:val="2"/>
          </w:tcPr>
          <w:p w14:paraId="5F388D74" w14:textId="77777777" w:rsidR="00BF1B43" w:rsidRPr="002B00EA" w:rsidRDefault="00BF1B43" w:rsidP="00260AFB">
            <w:pPr>
              <w:jc w:val="center"/>
            </w:pPr>
            <w:r>
              <w:t>-</w:t>
            </w:r>
          </w:p>
        </w:tc>
        <w:tc>
          <w:tcPr>
            <w:tcW w:w="2104" w:type="dxa"/>
          </w:tcPr>
          <w:p w14:paraId="17977E33" w14:textId="77777777" w:rsidR="00BF1B43" w:rsidRPr="002B00EA" w:rsidRDefault="00BF1B43" w:rsidP="00260AFB">
            <w:pPr>
              <w:jc w:val="center"/>
            </w:pPr>
            <w:r>
              <w:t>Q1</w:t>
            </w:r>
          </w:p>
        </w:tc>
        <w:tc>
          <w:tcPr>
            <w:tcW w:w="2861" w:type="dxa"/>
          </w:tcPr>
          <w:p w14:paraId="29D122F3" w14:textId="77777777" w:rsidR="00BF1B43" w:rsidRPr="00A8447B" w:rsidRDefault="00BF1B43" w:rsidP="00260AFB">
            <w:pPr>
              <w:jc w:val="center"/>
            </w:pPr>
            <w:r>
              <w:t>DRR (P)/BERA/Communication Analyst</w:t>
            </w:r>
          </w:p>
        </w:tc>
      </w:tr>
    </w:tbl>
    <w:p w14:paraId="64122571" w14:textId="77777777" w:rsidR="00BF1B43" w:rsidRPr="002A706D" w:rsidRDefault="00BF1B43" w:rsidP="00BF1B43">
      <w:pPr>
        <w:jc w:val="both"/>
        <w:rPr>
          <w:b/>
        </w:rPr>
      </w:pPr>
    </w:p>
    <w:p w14:paraId="6924B90C" w14:textId="77777777" w:rsidR="00925265" w:rsidRDefault="00925265" w:rsidP="00C9006B">
      <w:pPr>
        <w:rPr>
          <w:b/>
          <w:sz w:val="24"/>
          <w:szCs w:val="24"/>
        </w:rPr>
      </w:pPr>
    </w:p>
    <w:p w14:paraId="4AF628CE" w14:textId="712895B6" w:rsidR="00C9006B" w:rsidRPr="00C85373" w:rsidRDefault="001E22F1" w:rsidP="00C9006B">
      <w:pPr>
        <w:rPr>
          <w:b/>
          <w:sz w:val="24"/>
          <w:szCs w:val="24"/>
        </w:rPr>
      </w:pPr>
      <w:r>
        <w:rPr>
          <w:b/>
          <w:sz w:val="24"/>
          <w:szCs w:val="24"/>
        </w:rPr>
        <w:lastRenderedPageBreak/>
        <w:t xml:space="preserve">Table 4:   </w:t>
      </w:r>
      <w:r w:rsidRPr="001E22F1">
        <w:rPr>
          <w:sz w:val="24"/>
          <w:szCs w:val="24"/>
        </w:rPr>
        <w:t>Donor Action Plan</w:t>
      </w:r>
      <w:r w:rsidR="004B661D">
        <w:rPr>
          <w:sz w:val="24"/>
          <w:szCs w:val="24"/>
        </w:rPr>
        <w:t xml:space="preserve"> with RM Targets</w:t>
      </w:r>
      <w:r w:rsidR="00E4558C">
        <w:rPr>
          <w:sz w:val="24"/>
          <w:szCs w:val="24"/>
        </w:rPr>
        <w:t>, 2016-2017</w:t>
      </w:r>
    </w:p>
    <w:tbl>
      <w:tblPr>
        <w:tblStyle w:val="TableGrid"/>
        <w:tblW w:w="14130" w:type="dxa"/>
        <w:tblInd w:w="-455" w:type="dxa"/>
        <w:tblLook w:val="04A0" w:firstRow="1" w:lastRow="0" w:firstColumn="1" w:lastColumn="0" w:noHBand="0" w:noVBand="1"/>
      </w:tblPr>
      <w:tblGrid>
        <w:gridCol w:w="1863"/>
        <w:gridCol w:w="1827"/>
        <w:gridCol w:w="1620"/>
        <w:gridCol w:w="3960"/>
        <w:gridCol w:w="2790"/>
        <w:gridCol w:w="2070"/>
      </w:tblGrid>
      <w:tr w:rsidR="00C9006B" w14:paraId="7A88AEAC" w14:textId="77777777" w:rsidTr="00925265">
        <w:trPr>
          <w:trHeight w:val="944"/>
        </w:trPr>
        <w:tc>
          <w:tcPr>
            <w:tcW w:w="1863" w:type="dxa"/>
          </w:tcPr>
          <w:p w14:paraId="679BADB4" w14:textId="77777777" w:rsidR="00C9006B" w:rsidRPr="007B5DFE" w:rsidRDefault="00C9006B" w:rsidP="003E4694">
            <w:pPr>
              <w:rPr>
                <w:b/>
              </w:rPr>
            </w:pPr>
            <w:r w:rsidRPr="007B5DFE">
              <w:rPr>
                <w:b/>
              </w:rPr>
              <w:t>Partner</w:t>
            </w:r>
          </w:p>
        </w:tc>
        <w:tc>
          <w:tcPr>
            <w:tcW w:w="1827" w:type="dxa"/>
          </w:tcPr>
          <w:p w14:paraId="5A63D37E" w14:textId="77777777" w:rsidR="00C9006B" w:rsidRPr="007B5DFE" w:rsidRDefault="00C9006B" w:rsidP="003E4694">
            <w:pPr>
              <w:rPr>
                <w:b/>
              </w:rPr>
            </w:pPr>
            <w:r w:rsidRPr="007B5DFE">
              <w:rPr>
                <w:b/>
              </w:rPr>
              <w:t>Projects</w:t>
            </w:r>
          </w:p>
        </w:tc>
        <w:tc>
          <w:tcPr>
            <w:tcW w:w="1620" w:type="dxa"/>
          </w:tcPr>
          <w:p w14:paraId="42B56157" w14:textId="77777777" w:rsidR="00C9006B" w:rsidRPr="007B5DFE" w:rsidRDefault="00C9006B" w:rsidP="003E4694">
            <w:pPr>
              <w:rPr>
                <w:b/>
              </w:rPr>
            </w:pPr>
            <w:r w:rsidRPr="007B5DFE">
              <w:rPr>
                <w:b/>
              </w:rPr>
              <w:t>Resource Mobilization Target</w:t>
            </w:r>
          </w:p>
        </w:tc>
        <w:tc>
          <w:tcPr>
            <w:tcW w:w="3960" w:type="dxa"/>
          </w:tcPr>
          <w:p w14:paraId="436414E8" w14:textId="77777777" w:rsidR="00C9006B" w:rsidRPr="007B5DFE" w:rsidRDefault="00C9006B" w:rsidP="003E4694">
            <w:pPr>
              <w:rPr>
                <w:b/>
              </w:rPr>
            </w:pPr>
            <w:r w:rsidRPr="007B5DFE">
              <w:rPr>
                <w:b/>
              </w:rPr>
              <w:t>Action</w:t>
            </w:r>
          </w:p>
        </w:tc>
        <w:tc>
          <w:tcPr>
            <w:tcW w:w="2790" w:type="dxa"/>
          </w:tcPr>
          <w:p w14:paraId="7182DB00" w14:textId="77777777" w:rsidR="00C9006B" w:rsidRPr="007B5DFE" w:rsidRDefault="00C9006B" w:rsidP="003E4694">
            <w:pPr>
              <w:rPr>
                <w:b/>
              </w:rPr>
            </w:pPr>
            <w:r w:rsidRPr="007B5DFE">
              <w:rPr>
                <w:b/>
              </w:rPr>
              <w:t>Responsible section</w:t>
            </w:r>
          </w:p>
        </w:tc>
        <w:tc>
          <w:tcPr>
            <w:tcW w:w="2070" w:type="dxa"/>
          </w:tcPr>
          <w:p w14:paraId="44187D38" w14:textId="77777777" w:rsidR="00C9006B" w:rsidRPr="007B5DFE" w:rsidRDefault="00C9006B" w:rsidP="003E4694">
            <w:pPr>
              <w:rPr>
                <w:b/>
              </w:rPr>
            </w:pPr>
            <w:r w:rsidRPr="007B5DFE">
              <w:rPr>
                <w:b/>
              </w:rPr>
              <w:t>Deadline</w:t>
            </w:r>
          </w:p>
        </w:tc>
      </w:tr>
      <w:tr w:rsidR="00C9006B" w14:paraId="475C1803" w14:textId="77777777" w:rsidTr="00925265">
        <w:tc>
          <w:tcPr>
            <w:tcW w:w="1863" w:type="dxa"/>
          </w:tcPr>
          <w:p w14:paraId="68A1FAD0" w14:textId="77777777" w:rsidR="00C9006B" w:rsidRDefault="00C9006B" w:rsidP="003E4694">
            <w:r>
              <w:t>EU, Irish Aid, Norway, UNDP, DFID Japan, US</w:t>
            </w:r>
          </w:p>
        </w:tc>
        <w:tc>
          <w:tcPr>
            <w:tcW w:w="1827" w:type="dxa"/>
          </w:tcPr>
          <w:p w14:paraId="291FE0FE" w14:textId="77777777" w:rsidR="00C9006B" w:rsidRDefault="00C9006B" w:rsidP="003E4694">
            <w:r>
              <w:t>National registration and Id. System</w:t>
            </w:r>
          </w:p>
        </w:tc>
        <w:tc>
          <w:tcPr>
            <w:tcW w:w="1620" w:type="dxa"/>
          </w:tcPr>
          <w:p w14:paraId="47074B89" w14:textId="77777777" w:rsidR="00C9006B" w:rsidRDefault="00C9006B" w:rsidP="003E4694">
            <w:r>
              <w:t>$30.5 million</w:t>
            </w:r>
          </w:p>
        </w:tc>
        <w:tc>
          <w:tcPr>
            <w:tcW w:w="3960" w:type="dxa"/>
          </w:tcPr>
          <w:p w14:paraId="7DE9A9BF" w14:textId="5641BDE3" w:rsidR="00C9006B" w:rsidRDefault="00C9006B" w:rsidP="00C9006B">
            <w:pPr>
              <w:pStyle w:val="ListParagraph"/>
              <w:numPr>
                <w:ilvl w:val="0"/>
                <w:numId w:val="20"/>
              </w:numPr>
            </w:pPr>
            <w:r>
              <w:t>Commitments and contribution sharing agreements by end Aug 2016. Establish basket fund by Aug 2016.</w:t>
            </w:r>
          </w:p>
          <w:p w14:paraId="1BC94A06" w14:textId="361DF374" w:rsidR="00C9006B" w:rsidRDefault="00C9006B" w:rsidP="00C85373">
            <w:pPr>
              <w:pStyle w:val="ListParagraph"/>
              <w:numPr>
                <w:ilvl w:val="0"/>
                <w:numId w:val="20"/>
              </w:numPr>
            </w:pPr>
            <w:r>
              <w:t>Project Document endorsed by end July, 2016</w:t>
            </w:r>
          </w:p>
        </w:tc>
        <w:tc>
          <w:tcPr>
            <w:tcW w:w="2790" w:type="dxa"/>
          </w:tcPr>
          <w:p w14:paraId="14297763" w14:textId="62356C8B" w:rsidR="00C9006B" w:rsidRDefault="00C9006B" w:rsidP="00C85373">
            <w:r>
              <w:t>DRR (P), Elections CTA and RICE Portfolio</w:t>
            </w:r>
          </w:p>
        </w:tc>
        <w:tc>
          <w:tcPr>
            <w:tcW w:w="2070" w:type="dxa"/>
          </w:tcPr>
          <w:p w14:paraId="15D5D514" w14:textId="77777777" w:rsidR="00C9006B" w:rsidRDefault="00C9006B" w:rsidP="003E4694">
            <w:r>
              <w:t>Jan, 2017</w:t>
            </w:r>
          </w:p>
        </w:tc>
      </w:tr>
      <w:tr w:rsidR="00C9006B" w14:paraId="441871E9" w14:textId="77777777" w:rsidTr="00925265">
        <w:tc>
          <w:tcPr>
            <w:tcW w:w="1863" w:type="dxa"/>
          </w:tcPr>
          <w:p w14:paraId="33120A53" w14:textId="77777777" w:rsidR="00C9006B" w:rsidRDefault="00C9006B" w:rsidP="003E4694">
            <w:r>
              <w:t>Government of Malawi</w:t>
            </w:r>
          </w:p>
        </w:tc>
        <w:tc>
          <w:tcPr>
            <w:tcW w:w="1827" w:type="dxa"/>
          </w:tcPr>
          <w:p w14:paraId="5622E6D2" w14:textId="77777777" w:rsidR="00C9006B" w:rsidRDefault="00C9006B" w:rsidP="003E4694">
            <w:r>
              <w:t>National Registration and Id. System</w:t>
            </w:r>
          </w:p>
        </w:tc>
        <w:tc>
          <w:tcPr>
            <w:tcW w:w="1620" w:type="dxa"/>
          </w:tcPr>
          <w:p w14:paraId="13FDE9DF" w14:textId="77777777" w:rsidR="00C9006B" w:rsidRDefault="00C9006B" w:rsidP="003E4694">
            <w:r>
              <w:t>$21 million</w:t>
            </w:r>
          </w:p>
          <w:p w14:paraId="0F01D2DA" w14:textId="77777777" w:rsidR="00C9006B" w:rsidRDefault="00C9006B" w:rsidP="003E4694"/>
          <w:p w14:paraId="5402A992" w14:textId="77777777" w:rsidR="00C9006B" w:rsidRDefault="00C9006B" w:rsidP="003E4694">
            <w:r>
              <w:t>(In two tranches $ 7.5 July, 2016 and $13.5 million July, 2017</w:t>
            </w:r>
          </w:p>
        </w:tc>
        <w:tc>
          <w:tcPr>
            <w:tcW w:w="3960" w:type="dxa"/>
          </w:tcPr>
          <w:p w14:paraId="33C2397F" w14:textId="3EB53BD8" w:rsidR="00C9006B" w:rsidRDefault="00C9006B" w:rsidP="00C9006B">
            <w:pPr>
              <w:pStyle w:val="ListParagraph"/>
              <w:numPr>
                <w:ilvl w:val="0"/>
                <w:numId w:val="19"/>
              </w:numPr>
            </w:pPr>
            <w:r>
              <w:t xml:space="preserve">Advocacy with Ministry of Finance and Parliament. </w:t>
            </w:r>
          </w:p>
          <w:p w14:paraId="2212EE9C" w14:textId="496B4851" w:rsidR="00C9006B" w:rsidRDefault="00C9006B" w:rsidP="00C9006B">
            <w:pPr>
              <w:pStyle w:val="ListParagraph"/>
              <w:numPr>
                <w:ilvl w:val="0"/>
                <w:numId w:val="19"/>
              </w:numPr>
            </w:pPr>
            <w:r>
              <w:t>Prodoc and establishment of basket fund</w:t>
            </w:r>
          </w:p>
          <w:p w14:paraId="4B58A964" w14:textId="1035763A" w:rsidR="00C9006B" w:rsidRDefault="00C9006B" w:rsidP="00C9006B">
            <w:pPr>
              <w:pStyle w:val="ListParagraph"/>
              <w:numPr>
                <w:ilvl w:val="0"/>
                <w:numId w:val="19"/>
              </w:numPr>
            </w:pPr>
            <w:r>
              <w:t>Govt cost-sharing agreement</w:t>
            </w:r>
          </w:p>
        </w:tc>
        <w:tc>
          <w:tcPr>
            <w:tcW w:w="2790" w:type="dxa"/>
          </w:tcPr>
          <w:p w14:paraId="23674F8D" w14:textId="77777777" w:rsidR="00C9006B" w:rsidRDefault="00C9006B" w:rsidP="003E4694">
            <w:r>
              <w:t>DRR (P) and Responsive Institutions and Citizen Engagement (RICE) Portfolio</w:t>
            </w:r>
          </w:p>
        </w:tc>
        <w:tc>
          <w:tcPr>
            <w:tcW w:w="2070" w:type="dxa"/>
          </w:tcPr>
          <w:p w14:paraId="4D638F1E" w14:textId="13E06F53" w:rsidR="00C9006B" w:rsidRDefault="00C9006B" w:rsidP="003E4694">
            <w:r>
              <w:t>1</w:t>
            </w:r>
            <w:r w:rsidRPr="00E814AC">
              <w:rPr>
                <w:vertAlign w:val="superscript"/>
              </w:rPr>
              <w:t>st</w:t>
            </w:r>
            <w:r w:rsidR="00925265">
              <w:t xml:space="preserve"> t</w:t>
            </w:r>
            <w:r>
              <w:t>ranche, July, 2017</w:t>
            </w:r>
          </w:p>
          <w:p w14:paraId="7F7642E4" w14:textId="77777777" w:rsidR="00C9006B" w:rsidRDefault="00C9006B" w:rsidP="003E4694"/>
          <w:p w14:paraId="76F13297" w14:textId="77777777" w:rsidR="00C9006B" w:rsidRDefault="00C9006B" w:rsidP="003E4694"/>
          <w:p w14:paraId="1E2EBE2C" w14:textId="77777777" w:rsidR="00C9006B" w:rsidRDefault="00C9006B" w:rsidP="003E4694"/>
          <w:p w14:paraId="4860C954" w14:textId="77777777" w:rsidR="00C9006B" w:rsidRDefault="00C9006B" w:rsidP="003E4694">
            <w:r>
              <w:t>2</w:t>
            </w:r>
            <w:r w:rsidRPr="00E814AC">
              <w:rPr>
                <w:vertAlign w:val="superscript"/>
              </w:rPr>
              <w:t>nd</w:t>
            </w:r>
            <w:r>
              <w:t xml:space="preserve"> tranche, July, 2017</w:t>
            </w:r>
          </w:p>
        </w:tc>
      </w:tr>
      <w:tr w:rsidR="003E4694" w14:paraId="4388C258" w14:textId="77777777" w:rsidTr="00925265">
        <w:tc>
          <w:tcPr>
            <w:tcW w:w="1863" w:type="dxa"/>
            <w:vMerge w:val="restart"/>
          </w:tcPr>
          <w:p w14:paraId="13A91FDA" w14:textId="77777777" w:rsidR="003E4694" w:rsidRDefault="003E4694" w:rsidP="003E4694"/>
          <w:p w14:paraId="4127D79E" w14:textId="77777777" w:rsidR="003E4694" w:rsidRDefault="003E4694" w:rsidP="003E4694"/>
          <w:p w14:paraId="643A14E1" w14:textId="77777777" w:rsidR="003E4694" w:rsidRDefault="003E4694" w:rsidP="003E4694"/>
          <w:p w14:paraId="5411D31F" w14:textId="5BD3B7AB" w:rsidR="003E4694" w:rsidRDefault="003E4694" w:rsidP="003E4694">
            <w:r>
              <w:t>EU</w:t>
            </w:r>
          </w:p>
          <w:p w14:paraId="4ADD1C82" w14:textId="77777777" w:rsidR="003E4694" w:rsidRDefault="003E4694" w:rsidP="003E4694"/>
          <w:p w14:paraId="78D6D2AE" w14:textId="77777777" w:rsidR="003E4694" w:rsidRDefault="003E4694" w:rsidP="003E4694"/>
        </w:tc>
        <w:tc>
          <w:tcPr>
            <w:tcW w:w="1827" w:type="dxa"/>
          </w:tcPr>
          <w:p w14:paraId="645D51A6" w14:textId="5A580BEE" w:rsidR="003E4694" w:rsidRDefault="003E4694" w:rsidP="003E4694">
            <w:r>
              <w:t>Malawi Electoral Support Project Phase II</w:t>
            </w:r>
          </w:p>
        </w:tc>
        <w:tc>
          <w:tcPr>
            <w:tcW w:w="1620" w:type="dxa"/>
          </w:tcPr>
          <w:p w14:paraId="6B1231A2" w14:textId="48AB4194" w:rsidR="003E4694" w:rsidRPr="003E4694" w:rsidRDefault="003E4694" w:rsidP="003E4694">
            <w:r w:rsidRPr="003E4694">
              <w:rPr>
                <w:rFonts w:cstheme="minorHAnsi"/>
              </w:rPr>
              <w:t>€2.5 million</w:t>
            </w:r>
          </w:p>
        </w:tc>
        <w:tc>
          <w:tcPr>
            <w:tcW w:w="3960" w:type="dxa"/>
          </w:tcPr>
          <w:p w14:paraId="023323C4" w14:textId="6EFDE81A" w:rsidR="003E4694" w:rsidRDefault="003E4694" w:rsidP="003E4694">
            <w:pPr>
              <w:pStyle w:val="ListParagraph"/>
              <w:numPr>
                <w:ilvl w:val="0"/>
                <w:numId w:val="21"/>
              </w:numPr>
            </w:pPr>
            <w:r>
              <w:t>Project formulation document</w:t>
            </w:r>
          </w:p>
          <w:p w14:paraId="3406F602" w14:textId="7EEFD643" w:rsidR="003E4694" w:rsidRDefault="003E4694" w:rsidP="003E4694">
            <w:pPr>
              <w:pStyle w:val="ListParagraph"/>
              <w:numPr>
                <w:ilvl w:val="0"/>
                <w:numId w:val="21"/>
              </w:numPr>
            </w:pPr>
            <w:r>
              <w:t>Preparation on contribution agreement documents</w:t>
            </w:r>
          </w:p>
        </w:tc>
        <w:tc>
          <w:tcPr>
            <w:tcW w:w="2790" w:type="dxa"/>
          </w:tcPr>
          <w:p w14:paraId="0A1882C5" w14:textId="0617D61C" w:rsidR="003E4694" w:rsidRDefault="003E4694" w:rsidP="003E4694">
            <w:r>
              <w:t>DRR (P) and RICE Portfolio</w:t>
            </w:r>
          </w:p>
        </w:tc>
        <w:tc>
          <w:tcPr>
            <w:tcW w:w="2070" w:type="dxa"/>
          </w:tcPr>
          <w:p w14:paraId="695D8373" w14:textId="5B7E3A1A" w:rsidR="003E4694" w:rsidRDefault="003E4694" w:rsidP="003E4694">
            <w:r>
              <w:t>April, 2017</w:t>
            </w:r>
          </w:p>
        </w:tc>
      </w:tr>
      <w:tr w:rsidR="003E4694" w14:paraId="463F8DAE" w14:textId="77777777" w:rsidTr="00925265">
        <w:tc>
          <w:tcPr>
            <w:tcW w:w="1863" w:type="dxa"/>
            <w:vMerge/>
          </w:tcPr>
          <w:p w14:paraId="356D347A" w14:textId="45F63D07" w:rsidR="003E4694" w:rsidRDefault="003E4694" w:rsidP="003E4694"/>
        </w:tc>
        <w:tc>
          <w:tcPr>
            <w:tcW w:w="1827" w:type="dxa"/>
          </w:tcPr>
          <w:p w14:paraId="39830663" w14:textId="584175B5" w:rsidR="003E4694" w:rsidRDefault="003E4694" w:rsidP="003E4694">
            <w:r>
              <w:t>Chilungamo – Access to Justice by the Poor</w:t>
            </w:r>
          </w:p>
        </w:tc>
        <w:tc>
          <w:tcPr>
            <w:tcW w:w="1620" w:type="dxa"/>
          </w:tcPr>
          <w:p w14:paraId="7298C42D" w14:textId="624D9710" w:rsidR="003E4694" w:rsidRPr="003E4694" w:rsidRDefault="003E4694" w:rsidP="003E4694">
            <w:r w:rsidRPr="003E4694">
              <w:rPr>
                <w:rFonts w:cstheme="minorHAnsi"/>
              </w:rPr>
              <w:t>€</w:t>
            </w:r>
            <w:r w:rsidRPr="003E4694">
              <w:t>3.5 million</w:t>
            </w:r>
          </w:p>
        </w:tc>
        <w:tc>
          <w:tcPr>
            <w:tcW w:w="3960" w:type="dxa"/>
          </w:tcPr>
          <w:p w14:paraId="55A939BF" w14:textId="77777777" w:rsidR="003E4694" w:rsidRDefault="003E4694" w:rsidP="003E4694">
            <w:pPr>
              <w:pStyle w:val="ListParagraph"/>
              <w:numPr>
                <w:ilvl w:val="0"/>
                <w:numId w:val="21"/>
              </w:numPr>
            </w:pPr>
            <w:r>
              <w:t>Continued engagement</w:t>
            </w:r>
          </w:p>
          <w:p w14:paraId="69AAE5BC" w14:textId="581934AB" w:rsidR="003E4694" w:rsidRDefault="003E4694" w:rsidP="003E4694">
            <w:pPr>
              <w:pStyle w:val="ListParagraph"/>
              <w:numPr>
                <w:ilvl w:val="0"/>
                <w:numId w:val="21"/>
              </w:numPr>
            </w:pPr>
            <w:r>
              <w:t>Preparation on contribution agreement documents</w:t>
            </w:r>
          </w:p>
        </w:tc>
        <w:tc>
          <w:tcPr>
            <w:tcW w:w="2790" w:type="dxa"/>
          </w:tcPr>
          <w:p w14:paraId="5C3C5302" w14:textId="5A066D9E" w:rsidR="003E4694" w:rsidRDefault="003E4694" w:rsidP="003E4694">
            <w:r>
              <w:t>DRR (P) and RICE Portfolio</w:t>
            </w:r>
          </w:p>
        </w:tc>
        <w:tc>
          <w:tcPr>
            <w:tcW w:w="2070" w:type="dxa"/>
          </w:tcPr>
          <w:p w14:paraId="11495B48" w14:textId="43A83D03" w:rsidR="003E4694" w:rsidRDefault="003E4694" w:rsidP="003E4694">
            <w:r>
              <w:t>November, 2017</w:t>
            </w:r>
          </w:p>
        </w:tc>
      </w:tr>
      <w:tr w:rsidR="003E4694" w14:paraId="3CD0B34F" w14:textId="77777777" w:rsidTr="00925265">
        <w:tc>
          <w:tcPr>
            <w:tcW w:w="1863" w:type="dxa"/>
          </w:tcPr>
          <w:p w14:paraId="70949590" w14:textId="77777777" w:rsidR="003E4694" w:rsidRDefault="003E4694" w:rsidP="003E4694">
            <w:r>
              <w:t>Irish  Aid</w:t>
            </w:r>
          </w:p>
        </w:tc>
        <w:tc>
          <w:tcPr>
            <w:tcW w:w="1827" w:type="dxa"/>
          </w:tcPr>
          <w:p w14:paraId="0F3AAF39" w14:textId="77777777" w:rsidR="003E4694" w:rsidRDefault="003E4694" w:rsidP="003E4694">
            <w:r>
              <w:t>Decentralization and Integrated Rural Development</w:t>
            </w:r>
          </w:p>
        </w:tc>
        <w:tc>
          <w:tcPr>
            <w:tcW w:w="1620" w:type="dxa"/>
          </w:tcPr>
          <w:p w14:paraId="5960E590" w14:textId="225A19FF" w:rsidR="003E4694" w:rsidRPr="00BC2434" w:rsidRDefault="003E4694" w:rsidP="003E4694">
            <w:pPr>
              <w:rPr>
                <w:b/>
                <w:sz w:val="24"/>
                <w:szCs w:val="24"/>
              </w:rPr>
            </w:pPr>
            <w:r w:rsidRPr="003E4694">
              <w:rPr>
                <w:sz w:val="24"/>
                <w:szCs w:val="24"/>
              </w:rPr>
              <w:t>€</w:t>
            </w:r>
            <w:r w:rsidRPr="003E4694">
              <w:t>5 million</w:t>
            </w:r>
          </w:p>
        </w:tc>
        <w:tc>
          <w:tcPr>
            <w:tcW w:w="3960" w:type="dxa"/>
          </w:tcPr>
          <w:p w14:paraId="301CF572" w14:textId="5F05F427" w:rsidR="003E4694" w:rsidRDefault="003E4694" w:rsidP="003E4694">
            <w:pPr>
              <w:pStyle w:val="ListParagraph"/>
              <w:numPr>
                <w:ilvl w:val="0"/>
                <w:numId w:val="18"/>
              </w:numPr>
            </w:pPr>
            <w:r>
              <w:t xml:space="preserve">Facilitate development of Programme Framework for Decentralization and IRD </w:t>
            </w:r>
          </w:p>
          <w:p w14:paraId="7553A691" w14:textId="3D6D95EA" w:rsidR="003E4694" w:rsidRDefault="003E4694" w:rsidP="003E4694">
            <w:pPr>
              <w:pStyle w:val="ListParagraph"/>
              <w:numPr>
                <w:ilvl w:val="0"/>
                <w:numId w:val="18"/>
              </w:numPr>
            </w:pPr>
            <w:r>
              <w:t>Facilitate Devolution of HR and Development Budget</w:t>
            </w:r>
          </w:p>
        </w:tc>
        <w:tc>
          <w:tcPr>
            <w:tcW w:w="2790" w:type="dxa"/>
          </w:tcPr>
          <w:p w14:paraId="252A000A" w14:textId="77777777" w:rsidR="003E4694" w:rsidRDefault="003E4694" w:rsidP="003E4694">
            <w:r>
              <w:t>DRR (P) and RICE Portfolio</w:t>
            </w:r>
          </w:p>
        </w:tc>
        <w:tc>
          <w:tcPr>
            <w:tcW w:w="2070" w:type="dxa"/>
          </w:tcPr>
          <w:p w14:paraId="575040BF" w14:textId="77777777" w:rsidR="003E4694" w:rsidRDefault="003E4694" w:rsidP="003E4694">
            <w:r>
              <w:t>December, 2017</w:t>
            </w:r>
          </w:p>
        </w:tc>
      </w:tr>
      <w:tr w:rsidR="003E4694" w14:paraId="573436DD" w14:textId="77777777" w:rsidTr="00924D71">
        <w:trPr>
          <w:trHeight w:val="620"/>
        </w:trPr>
        <w:tc>
          <w:tcPr>
            <w:tcW w:w="1863" w:type="dxa"/>
          </w:tcPr>
          <w:p w14:paraId="2D7BA1F6" w14:textId="77777777" w:rsidR="003E4694" w:rsidRDefault="003E4694" w:rsidP="003E4694">
            <w:r>
              <w:t>KfW</w:t>
            </w:r>
          </w:p>
        </w:tc>
        <w:tc>
          <w:tcPr>
            <w:tcW w:w="1827" w:type="dxa"/>
          </w:tcPr>
          <w:p w14:paraId="7B01200C" w14:textId="668DC891" w:rsidR="003E4694" w:rsidRDefault="003E4694" w:rsidP="003E4694">
            <w:r>
              <w:t xml:space="preserve">Private Development – Malawi Innovation Challenge Fund: </w:t>
            </w:r>
            <w:r>
              <w:lastRenderedPageBreak/>
              <w:t>Manufacturing and logistics window.</w:t>
            </w:r>
          </w:p>
        </w:tc>
        <w:tc>
          <w:tcPr>
            <w:tcW w:w="1620" w:type="dxa"/>
          </w:tcPr>
          <w:p w14:paraId="4C84BC8F" w14:textId="3422AA08" w:rsidR="003E4694" w:rsidRDefault="003E4694" w:rsidP="003E4694">
            <w:r>
              <w:rPr>
                <w:sz w:val="24"/>
                <w:szCs w:val="24"/>
              </w:rPr>
              <w:lastRenderedPageBreak/>
              <w:t>€</w:t>
            </w:r>
            <w:r>
              <w:t>3 million</w:t>
            </w:r>
            <w:r w:rsidR="00924D71">
              <w:t xml:space="preserve"> </w:t>
            </w:r>
          </w:p>
          <w:p w14:paraId="519428B6" w14:textId="77777777" w:rsidR="003E4694" w:rsidRDefault="003E4694" w:rsidP="003E4694"/>
          <w:p w14:paraId="753769B6" w14:textId="42BDF0EB" w:rsidR="003E4694" w:rsidRPr="00BC2434" w:rsidRDefault="003E4694" w:rsidP="00924D71">
            <w:pPr>
              <w:rPr>
                <w:b/>
                <w:sz w:val="24"/>
                <w:szCs w:val="24"/>
              </w:rPr>
            </w:pPr>
          </w:p>
        </w:tc>
        <w:tc>
          <w:tcPr>
            <w:tcW w:w="3960" w:type="dxa"/>
          </w:tcPr>
          <w:p w14:paraId="3A7E420A" w14:textId="0737A2C3" w:rsidR="003E4694" w:rsidRDefault="003E4694" w:rsidP="003E4694">
            <w:r>
              <w:t>Establish New Window on Manufacturing (2017-2019) Agreement.</w:t>
            </w:r>
          </w:p>
          <w:p w14:paraId="18B83C79" w14:textId="4EBA0C58" w:rsidR="003E4694" w:rsidRDefault="003E4694" w:rsidP="003E4694"/>
        </w:tc>
        <w:tc>
          <w:tcPr>
            <w:tcW w:w="2790" w:type="dxa"/>
          </w:tcPr>
          <w:p w14:paraId="6EF4A254" w14:textId="77777777" w:rsidR="003E4694" w:rsidRDefault="003E4694" w:rsidP="003E4694">
            <w:r>
              <w:t>DRR(P) and Resilience and Sustainable Growth (RSG) Portfolio</w:t>
            </w:r>
          </w:p>
        </w:tc>
        <w:tc>
          <w:tcPr>
            <w:tcW w:w="2070" w:type="dxa"/>
          </w:tcPr>
          <w:p w14:paraId="3A046F72" w14:textId="73EA3CCB" w:rsidR="003E4694" w:rsidRDefault="00337C81" w:rsidP="003E4694">
            <w:r w:rsidRPr="00280BB8">
              <w:t>December</w:t>
            </w:r>
            <w:r w:rsidR="003E4694" w:rsidRPr="00280BB8">
              <w:t>, 2016</w:t>
            </w:r>
          </w:p>
        </w:tc>
      </w:tr>
      <w:tr w:rsidR="00924D71" w14:paraId="677CECC3" w14:textId="77777777" w:rsidTr="00925265">
        <w:tc>
          <w:tcPr>
            <w:tcW w:w="1863" w:type="dxa"/>
          </w:tcPr>
          <w:p w14:paraId="449B0BDF" w14:textId="63742B71" w:rsidR="00924D71" w:rsidRDefault="00924D71" w:rsidP="003E4694">
            <w:r>
              <w:t>KfW</w:t>
            </w:r>
          </w:p>
        </w:tc>
        <w:tc>
          <w:tcPr>
            <w:tcW w:w="1827" w:type="dxa"/>
          </w:tcPr>
          <w:p w14:paraId="0B2338B1" w14:textId="057D73F3" w:rsidR="00924D71" w:rsidRDefault="00924D71" w:rsidP="003E4694">
            <w:r>
              <w:t>New contribution for Malawi Innovation Challenge Fund</w:t>
            </w:r>
          </w:p>
        </w:tc>
        <w:tc>
          <w:tcPr>
            <w:tcW w:w="1620" w:type="dxa"/>
          </w:tcPr>
          <w:p w14:paraId="7E48A1F7" w14:textId="6ED3C417" w:rsidR="00924D71" w:rsidRDefault="00924D71" w:rsidP="00924D71">
            <w:r w:rsidRPr="006406D2">
              <w:t xml:space="preserve"> </w:t>
            </w:r>
            <w:r w:rsidRPr="006406D2">
              <w:rPr>
                <w:sz w:val="24"/>
                <w:szCs w:val="24"/>
              </w:rPr>
              <w:t>€</w:t>
            </w:r>
            <w:r w:rsidRPr="006406D2">
              <w:t>5 million</w:t>
            </w:r>
          </w:p>
          <w:p w14:paraId="61428723" w14:textId="77777777" w:rsidR="00924D71" w:rsidRDefault="00924D71" w:rsidP="003E4694">
            <w:pPr>
              <w:rPr>
                <w:sz w:val="24"/>
                <w:szCs w:val="24"/>
              </w:rPr>
            </w:pPr>
          </w:p>
        </w:tc>
        <w:tc>
          <w:tcPr>
            <w:tcW w:w="3960" w:type="dxa"/>
          </w:tcPr>
          <w:p w14:paraId="50472354" w14:textId="0ECB96FA" w:rsidR="00924D71" w:rsidRDefault="00910A7C" w:rsidP="003E4694">
            <w:r>
              <w:t>Monitoring signing of agreement between Government of Malawi and German KfW</w:t>
            </w:r>
          </w:p>
        </w:tc>
        <w:tc>
          <w:tcPr>
            <w:tcW w:w="2790" w:type="dxa"/>
          </w:tcPr>
          <w:p w14:paraId="542330A5" w14:textId="7ECF2C5D" w:rsidR="00924D71" w:rsidRDefault="00924D71" w:rsidP="003E4694">
            <w:r>
              <w:t>RSG, Cinzia</w:t>
            </w:r>
          </w:p>
        </w:tc>
        <w:tc>
          <w:tcPr>
            <w:tcW w:w="2070" w:type="dxa"/>
          </w:tcPr>
          <w:p w14:paraId="650E0FB1" w14:textId="77B1FBFD" w:rsidR="00924D71" w:rsidRPr="003E4694" w:rsidRDefault="00910A7C" w:rsidP="003E4694">
            <w:pPr>
              <w:rPr>
                <w:highlight w:val="yellow"/>
              </w:rPr>
            </w:pPr>
            <w:r w:rsidRPr="006406D2">
              <w:t>December, 2017</w:t>
            </w:r>
          </w:p>
        </w:tc>
      </w:tr>
      <w:tr w:rsidR="003E4694" w14:paraId="4E3FD608" w14:textId="77777777" w:rsidTr="00925265">
        <w:tc>
          <w:tcPr>
            <w:tcW w:w="1863" w:type="dxa"/>
          </w:tcPr>
          <w:p w14:paraId="09299CF2" w14:textId="77777777" w:rsidR="003E4694" w:rsidRDefault="003E4694" w:rsidP="003E4694">
            <w:r>
              <w:t>IFAD</w:t>
            </w:r>
          </w:p>
        </w:tc>
        <w:tc>
          <w:tcPr>
            <w:tcW w:w="1827" w:type="dxa"/>
          </w:tcPr>
          <w:p w14:paraId="5501CDE0" w14:textId="0A073153" w:rsidR="003E4694" w:rsidRDefault="003E4694" w:rsidP="003E4694">
            <w:r>
              <w:t>Private Development – Malawi Innovation Challenge Fund:</w:t>
            </w:r>
          </w:p>
          <w:p w14:paraId="1C76AF88" w14:textId="7A84D58F" w:rsidR="003E4694" w:rsidRDefault="003E4694" w:rsidP="003E4694">
            <w:r>
              <w:t>Irrigation window</w:t>
            </w:r>
          </w:p>
        </w:tc>
        <w:tc>
          <w:tcPr>
            <w:tcW w:w="1620" w:type="dxa"/>
          </w:tcPr>
          <w:p w14:paraId="1038B00D" w14:textId="77777777" w:rsidR="003E4694" w:rsidRDefault="003E4694" w:rsidP="003E4694">
            <w:r w:rsidRPr="006406D2">
              <w:t>S2.5 million</w:t>
            </w:r>
          </w:p>
        </w:tc>
        <w:tc>
          <w:tcPr>
            <w:tcW w:w="3960" w:type="dxa"/>
          </w:tcPr>
          <w:p w14:paraId="05DB4D68" w14:textId="7BD714EC" w:rsidR="003E4694" w:rsidRDefault="003E4694" w:rsidP="003E4694">
            <w:r>
              <w:t>Project document and agreement (2017-2019)</w:t>
            </w:r>
          </w:p>
        </w:tc>
        <w:tc>
          <w:tcPr>
            <w:tcW w:w="2790" w:type="dxa"/>
          </w:tcPr>
          <w:p w14:paraId="4935391E" w14:textId="350DE16D" w:rsidR="003E4694" w:rsidRDefault="003E4694" w:rsidP="003E4694">
            <w:r>
              <w:t>RSG, Cinzia</w:t>
            </w:r>
          </w:p>
        </w:tc>
        <w:tc>
          <w:tcPr>
            <w:tcW w:w="2070" w:type="dxa"/>
          </w:tcPr>
          <w:p w14:paraId="19DCFF6E" w14:textId="77777777" w:rsidR="003E4694" w:rsidRDefault="003E4694" w:rsidP="003E4694">
            <w:r w:rsidRPr="006406D2">
              <w:t>October, 2016</w:t>
            </w:r>
          </w:p>
        </w:tc>
      </w:tr>
      <w:tr w:rsidR="003E4694" w14:paraId="13AE9EBD" w14:textId="77777777" w:rsidTr="00925265">
        <w:tc>
          <w:tcPr>
            <w:tcW w:w="1863" w:type="dxa"/>
          </w:tcPr>
          <w:p w14:paraId="1860A5FB" w14:textId="205826BD" w:rsidR="003E4694" w:rsidRDefault="003E4694" w:rsidP="003E4694">
            <w:r>
              <w:t xml:space="preserve">Norway </w:t>
            </w:r>
          </w:p>
        </w:tc>
        <w:tc>
          <w:tcPr>
            <w:tcW w:w="1827" w:type="dxa"/>
          </w:tcPr>
          <w:p w14:paraId="4ECC51D8" w14:textId="4864F6F0" w:rsidR="003E4694" w:rsidRDefault="003E4694" w:rsidP="003E4694">
            <w:r>
              <w:t xml:space="preserve">Human Rights </w:t>
            </w:r>
          </w:p>
        </w:tc>
        <w:tc>
          <w:tcPr>
            <w:tcW w:w="1620" w:type="dxa"/>
          </w:tcPr>
          <w:p w14:paraId="0F6CA623" w14:textId="66E774DD" w:rsidR="003E4694" w:rsidRDefault="003E4694" w:rsidP="003E4694">
            <w:r>
              <w:t>NOK 1,869</w:t>
            </w:r>
            <w:r w:rsidR="00E4558C">
              <w:t>,</w:t>
            </w:r>
            <w:r>
              <w:t>159</w:t>
            </w:r>
          </w:p>
        </w:tc>
        <w:tc>
          <w:tcPr>
            <w:tcW w:w="3960" w:type="dxa"/>
          </w:tcPr>
          <w:p w14:paraId="1CD6A060" w14:textId="65024309" w:rsidR="003E4694" w:rsidRDefault="006406D2" w:rsidP="003E4694">
            <w:r>
              <w:t xml:space="preserve">Develop a bridging project document </w:t>
            </w:r>
          </w:p>
        </w:tc>
        <w:tc>
          <w:tcPr>
            <w:tcW w:w="2790" w:type="dxa"/>
          </w:tcPr>
          <w:p w14:paraId="70D34E40" w14:textId="64B70115" w:rsidR="003E4694" w:rsidRDefault="00AF78DD" w:rsidP="003E4694">
            <w:r>
              <w:t>Clemence, Agnes</w:t>
            </w:r>
          </w:p>
        </w:tc>
        <w:tc>
          <w:tcPr>
            <w:tcW w:w="2070" w:type="dxa"/>
          </w:tcPr>
          <w:p w14:paraId="756DE31C" w14:textId="7670DF64" w:rsidR="003E4694" w:rsidRDefault="00AF78DD" w:rsidP="003E4694">
            <w:r>
              <w:t>December, 2017</w:t>
            </w:r>
          </w:p>
        </w:tc>
      </w:tr>
    </w:tbl>
    <w:p w14:paraId="2D0C6BFD" w14:textId="77777777" w:rsidR="00C9006B" w:rsidRDefault="00C9006B" w:rsidP="00C9006B"/>
    <w:p w14:paraId="50978CA5" w14:textId="77777777" w:rsidR="00C9006B" w:rsidRDefault="00C9006B" w:rsidP="00C9006B"/>
    <w:p w14:paraId="60FB7792" w14:textId="77777777" w:rsidR="00C9006B" w:rsidRDefault="00C9006B" w:rsidP="00C9006B"/>
    <w:p w14:paraId="654D570A" w14:textId="77777777" w:rsidR="007C70F6" w:rsidRPr="00082DE2" w:rsidRDefault="007C70F6" w:rsidP="00C9006B">
      <w:pPr>
        <w:jc w:val="both"/>
        <w:rPr>
          <w:rFonts w:cs="Arial"/>
          <w:b/>
          <w:sz w:val="24"/>
          <w:szCs w:val="24"/>
        </w:rPr>
      </w:pPr>
    </w:p>
    <w:p w14:paraId="51546F8C" w14:textId="21D3E7FF" w:rsidR="00BF1B43" w:rsidRPr="0002655C" w:rsidRDefault="00BF1B43" w:rsidP="00B0674D">
      <w:pPr>
        <w:jc w:val="both"/>
        <w:rPr>
          <w:rFonts w:cs="Arial"/>
          <w:b/>
        </w:rPr>
      </w:pPr>
    </w:p>
    <w:sectPr w:rsidR="00BF1B43" w:rsidRPr="0002655C" w:rsidSect="00C900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1D8D" w14:textId="77777777" w:rsidR="00874AE8" w:rsidRDefault="00874AE8" w:rsidP="00B479FF">
      <w:pPr>
        <w:spacing w:after="0" w:line="240" w:lineRule="auto"/>
      </w:pPr>
      <w:r>
        <w:separator/>
      </w:r>
    </w:p>
  </w:endnote>
  <w:endnote w:type="continuationSeparator" w:id="0">
    <w:p w14:paraId="3A319301" w14:textId="77777777" w:rsidR="00874AE8" w:rsidRDefault="00874AE8" w:rsidP="00B4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515826"/>
      <w:docPartObj>
        <w:docPartGallery w:val="Page Numbers (Bottom of Page)"/>
        <w:docPartUnique/>
      </w:docPartObj>
    </w:sdtPr>
    <w:sdtEndPr>
      <w:rPr>
        <w:noProof/>
      </w:rPr>
    </w:sdtEndPr>
    <w:sdtContent>
      <w:p w14:paraId="27334701" w14:textId="483441C4" w:rsidR="003E4694" w:rsidRDefault="003E4694">
        <w:pPr>
          <w:pStyle w:val="Footer"/>
          <w:jc w:val="center"/>
        </w:pPr>
        <w:r>
          <w:fldChar w:fldCharType="begin"/>
        </w:r>
        <w:r>
          <w:instrText xml:space="preserve"> PAGE   \* MERGEFORMAT </w:instrText>
        </w:r>
        <w:r>
          <w:fldChar w:fldCharType="separate"/>
        </w:r>
        <w:r w:rsidR="00BA60EE">
          <w:rPr>
            <w:noProof/>
          </w:rPr>
          <w:t>8</w:t>
        </w:r>
        <w:r>
          <w:rPr>
            <w:noProof/>
          </w:rPr>
          <w:fldChar w:fldCharType="end"/>
        </w:r>
      </w:p>
    </w:sdtContent>
  </w:sdt>
  <w:p w14:paraId="7537BADD" w14:textId="77777777" w:rsidR="003E4694" w:rsidRDefault="003E4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72F5E" w14:textId="77777777" w:rsidR="00874AE8" w:rsidRDefault="00874AE8" w:rsidP="00B479FF">
      <w:pPr>
        <w:spacing w:after="0" w:line="240" w:lineRule="auto"/>
      </w:pPr>
      <w:r>
        <w:separator/>
      </w:r>
    </w:p>
  </w:footnote>
  <w:footnote w:type="continuationSeparator" w:id="0">
    <w:p w14:paraId="29A0EFF3" w14:textId="77777777" w:rsidR="00874AE8" w:rsidRDefault="00874AE8" w:rsidP="00B47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2BE"/>
    <w:multiLevelType w:val="hybridMultilevel"/>
    <w:tmpl w:val="1E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56DC"/>
    <w:multiLevelType w:val="hybridMultilevel"/>
    <w:tmpl w:val="168EB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80B57"/>
    <w:multiLevelType w:val="hybridMultilevel"/>
    <w:tmpl w:val="29B8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06EAF"/>
    <w:multiLevelType w:val="hybridMultilevel"/>
    <w:tmpl w:val="E354CD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7B33262"/>
    <w:multiLevelType w:val="hybridMultilevel"/>
    <w:tmpl w:val="4DFC470E"/>
    <w:lvl w:ilvl="0" w:tplc="0809000F">
      <w:start w:val="1"/>
      <w:numFmt w:val="decimal"/>
      <w:lvlText w:val="%1."/>
      <w:lvlJc w:val="left"/>
      <w:pPr>
        <w:ind w:left="720" w:hanging="360"/>
      </w:pPr>
      <w:rPr>
        <w:color w:val="538135" w:themeColor="accent6" w:themeShade="B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FC69FF"/>
    <w:multiLevelType w:val="hybridMultilevel"/>
    <w:tmpl w:val="65FA8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8614E3"/>
    <w:multiLevelType w:val="hybridMultilevel"/>
    <w:tmpl w:val="E4869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264C26"/>
    <w:multiLevelType w:val="hybridMultilevel"/>
    <w:tmpl w:val="04FC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01A2A"/>
    <w:multiLevelType w:val="hybridMultilevel"/>
    <w:tmpl w:val="E912F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BA6074"/>
    <w:multiLevelType w:val="hybridMultilevel"/>
    <w:tmpl w:val="0C487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761FAC"/>
    <w:multiLevelType w:val="hybridMultilevel"/>
    <w:tmpl w:val="8CD0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C4A9B"/>
    <w:multiLevelType w:val="hybridMultilevel"/>
    <w:tmpl w:val="A236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6757E"/>
    <w:multiLevelType w:val="hybridMultilevel"/>
    <w:tmpl w:val="7A14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B4294"/>
    <w:multiLevelType w:val="hybridMultilevel"/>
    <w:tmpl w:val="34C6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76C0A"/>
    <w:multiLevelType w:val="multilevel"/>
    <w:tmpl w:val="DE3E75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9506A2"/>
    <w:multiLevelType w:val="hybridMultilevel"/>
    <w:tmpl w:val="35BC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750FC"/>
    <w:multiLevelType w:val="hybridMultilevel"/>
    <w:tmpl w:val="E012D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E006DF"/>
    <w:multiLevelType w:val="hybridMultilevel"/>
    <w:tmpl w:val="217AA76E"/>
    <w:lvl w:ilvl="0" w:tplc="0409000F">
      <w:start w:val="1"/>
      <w:numFmt w:val="decimal"/>
      <w:lvlText w:val="%1."/>
      <w:lvlJc w:val="left"/>
      <w:pPr>
        <w:ind w:left="720" w:hanging="360"/>
      </w:pPr>
      <w:rPr>
        <w:rFonts w:hint="default"/>
        <w:color w:val="538135" w:themeColor="accent6" w:themeShade="B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CC60B54"/>
    <w:multiLevelType w:val="hybridMultilevel"/>
    <w:tmpl w:val="C8D881C4"/>
    <w:lvl w:ilvl="0" w:tplc="BC18805E">
      <w:start w:val="1"/>
      <w:numFmt w:val="bullet"/>
      <w:lvlText w:val=""/>
      <w:lvlJc w:val="left"/>
      <w:pPr>
        <w:ind w:left="360" w:hanging="360"/>
      </w:pPr>
      <w:rPr>
        <w:rFonts w:ascii="Symbol" w:hAnsi="Symbol" w:hint="default"/>
        <w:color w:val="5ED2D2"/>
      </w:rPr>
    </w:lvl>
    <w:lvl w:ilvl="1" w:tplc="3146CC24">
      <w:start w:val="1"/>
      <w:numFmt w:val="bullet"/>
      <w:lvlText w:val="-"/>
      <w:lvlJc w:val="left"/>
      <w:pPr>
        <w:ind w:left="1080" w:hanging="360"/>
      </w:pPr>
      <w:rPr>
        <w:rFonts w:ascii="Calibri" w:eastAsia="Times New Roman" w:hAnsi="Calibri"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F733040"/>
    <w:multiLevelType w:val="hybridMultilevel"/>
    <w:tmpl w:val="87486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17"/>
  </w:num>
  <w:num w:numId="8">
    <w:abstractNumId w:val="5"/>
  </w:num>
  <w:num w:numId="9">
    <w:abstractNumId w:val="7"/>
  </w:num>
  <w:num w:numId="10">
    <w:abstractNumId w:val="11"/>
  </w:num>
  <w:num w:numId="11">
    <w:abstractNumId w:val="14"/>
  </w:num>
  <w:num w:numId="12">
    <w:abstractNumId w:val="2"/>
  </w:num>
  <w:num w:numId="13">
    <w:abstractNumId w:val="3"/>
  </w:num>
  <w:num w:numId="14">
    <w:abstractNumId w:val="15"/>
  </w:num>
  <w:num w:numId="15">
    <w:abstractNumId w:val="12"/>
  </w:num>
  <w:num w:numId="16">
    <w:abstractNumId w:val="16"/>
  </w:num>
  <w:num w:numId="17">
    <w:abstractNumId w:val="10"/>
  </w:num>
  <w:num w:numId="18">
    <w:abstractNumId w:val="8"/>
  </w:num>
  <w:num w:numId="19">
    <w:abstractNumId w:val="6"/>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4D"/>
    <w:rsid w:val="00004016"/>
    <w:rsid w:val="00010435"/>
    <w:rsid w:val="000119B3"/>
    <w:rsid w:val="000236B3"/>
    <w:rsid w:val="000264AA"/>
    <w:rsid w:val="0002655C"/>
    <w:rsid w:val="00027F0D"/>
    <w:rsid w:val="00071ACB"/>
    <w:rsid w:val="00082DE2"/>
    <w:rsid w:val="000B2883"/>
    <w:rsid w:val="000C1E88"/>
    <w:rsid w:val="000D0738"/>
    <w:rsid w:val="00125259"/>
    <w:rsid w:val="001432B9"/>
    <w:rsid w:val="00147E75"/>
    <w:rsid w:val="001622EA"/>
    <w:rsid w:val="0018056C"/>
    <w:rsid w:val="001A0E66"/>
    <w:rsid w:val="001C7D59"/>
    <w:rsid w:val="001D22DC"/>
    <w:rsid w:val="001D613E"/>
    <w:rsid w:val="001D7C5F"/>
    <w:rsid w:val="001E22F1"/>
    <w:rsid w:val="001E6056"/>
    <w:rsid w:val="001F3C27"/>
    <w:rsid w:val="00216738"/>
    <w:rsid w:val="002467E2"/>
    <w:rsid w:val="00246AE5"/>
    <w:rsid w:val="0024797B"/>
    <w:rsid w:val="00250EB8"/>
    <w:rsid w:val="00260AFB"/>
    <w:rsid w:val="00263B4E"/>
    <w:rsid w:val="00277D58"/>
    <w:rsid w:val="00280BB8"/>
    <w:rsid w:val="002978AA"/>
    <w:rsid w:val="002A571D"/>
    <w:rsid w:val="002B3B24"/>
    <w:rsid w:val="002C135E"/>
    <w:rsid w:val="002E19D2"/>
    <w:rsid w:val="002F62B5"/>
    <w:rsid w:val="00301A1D"/>
    <w:rsid w:val="00304F6E"/>
    <w:rsid w:val="0030633F"/>
    <w:rsid w:val="00334E6A"/>
    <w:rsid w:val="00337C81"/>
    <w:rsid w:val="00343F4C"/>
    <w:rsid w:val="00353674"/>
    <w:rsid w:val="00366A63"/>
    <w:rsid w:val="0037532C"/>
    <w:rsid w:val="00383103"/>
    <w:rsid w:val="00383D05"/>
    <w:rsid w:val="003A5BA7"/>
    <w:rsid w:val="003E289E"/>
    <w:rsid w:val="003E4694"/>
    <w:rsid w:val="003E7BA2"/>
    <w:rsid w:val="003F489A"/>
    <w:rsid w:val="003F7FEC"/>
    <w:rsid w:val="004069F1"/>
    <w:rsid w:val="0042221A"/>
    <w:rsid w:val="00434153"/>
    <w:rsid w:val="00445397"/>
    <w:rsid w:val="00472976"/>
    <w:rsid w:val="00481EDE"/>
    <w:rsid w:val="004A3197"/>
    <w:rsid w:val="004B2AEB"/>
    <w:rsid w:val="004B661D"/>
    <w:rsid w:val="004B7783"/>
    <w:rsid w:val="004C0A6D"/>
    <w:rsid w:val="00500FD9"/>
    <w:rsid w:val="00515345"/>
    <w:rsid w:val="0055137A"/>
    <w:rsid w:val="00570DD9"/>
    <w:rsid w:val="00584966"/>
    <w:rsid w:val="005A0715"/>
    <w:rsid w:val="005B1399"/>
    <w:rsid w:val="00613474"/>
    <w:rsid w:val="00615C3D"/>
    <w:rsid w:val="00626336"/>
    <w:rsid w:val="00632178"/>
    <w:rsid w:val="006406D2"/>
    <w:rsid w:val="00640814"/>
    <w:rsid w:val="00640ED9"/>
    <w:rsid w:val="0064182B"/>
    <w:rsid w:val="0065066D"/>
    <w:rsid w:val="00663C05"/>
    <w:rsid w:val="00666876"/>
    <w:rsid w:val="006702D0"/>
    <w:rsid w:val="006776CC"/>
    <w:rsid w:val="00696A8B"/>
    <w:rsid w:val="006B5557"/>
    <w:rsid w:val="006B6C7C"/>
    <w:rsid w:val="006D0909"/>
    <w:rsid w:val="006D5A7A"/>
    <w:rsid w:val="006E4AF6"/>
    <w:rsid w:val="00712DDA"/>
    <w:rsid w:val="00720461"/>
    <w:rsid w:val="00750EA4"/>
    <w:rsid w:val="0078063F"/>
    <w:rsid w:val="00782239"/>
    <w:rsid w:val="007874FE"/>
    <w:rsid w:val="007C5928"/>
    <w:rsid w:val="007C70F6"/>
    <w:rsid w:val="007D5D54"/>
    <w:rsid w:val="007E2616"/>
    <w:rsid w:val="007E33ED"/>
    <w:rsid w:val="007E55B9"/>
    <w:rsid w:val="00800D85"/>
    <w:rsid w:val="0080227E"/>
    <w:rsid w:val="008158E3"/>
    <w:rsid w:val="008475AE"/>
    <w:rsid w:val="00861E3C"/>
    <w:rsid w:val="00865140"/>
    <w:rsid w:val="00873749"/>
    <w:rsid w:val="00874AE8"/>
    <w:rsid w:val="008904C3"/>
    <w:rsid w:val="00893171"/>
    <w:rsid w:val="008A58FC"/>
    <w:rsid w:val="008B5FE9"/>
    <w:rsid w:val="008C3F85"/>
    <w:rsid w:val="008D1AB8"/>
    <w:rsid w:val="008E6E0D"/>
    <w:rsid w:val="008F1219"/>
    <w:rsid w:val="00904D4A"/>
    <w:rsid w:val="00910A7C"/>
    <w:rsid w:val="00915BAD"/>
    <w:rsid w:val="00917129"/>
    <w:rsid w:val="00924D71"/>
    <w:rsid w:val="00925265"/>
    <w:rsid w:val="0093318D"/>
    <w:rsid w:val="00944A59"/>
    <w:rsid w:val="00952C7B"/>
    <w:rsid w:val="009711E9"/>
    <w:rsid w:val="00990293"/>
    <w:rsid w:val="009950C7"/>
    <w:rsid w:val="009A3E38"/>
    <w:rsid w:val="009A79CC"/>
    <w:rsid w:val="009C4368"/>
    <w:rsid w:val="009D40B6"/>
    <w:rsid w:val="009E0AB9"/>
    <w:rsid w:val="00A22A6F"/>
    <w:rsid w:val="00A31C11"/>
    <w:rsid w:val="00A76B75"/>
    <w:rsid w:val="00A84F00"/>
    <w:rsid w:val="00A90844"/>
    <w:rsid w:val="00AA1CA5"/>
    <w:rsid w:val="00AB5BE6"/>
    <w:rsid w:val="00AB701B"/>
    <w:rsid w:val="00AD7A75"/>
    <w:rsid w:val="00AF78DD"/>
    <w:rsid w:val="00B0674D"/>
    <w:rsid w:val="00B22387"/>
    <w:rsid w:val="00B32412"/>
    <w:rsid w:val="00B4292A"/>
    <w:rsid w:val="00B462E0"/>
    <w:rsid w:val="00B479FF"/>
    <w:rsid w:val="00B52B2A"/>
    <w:rsid w:val="00B53C3B"/>
    <w:rsid w:val="00B64F8E"/>
    <w:rsid w:val="00B6601E"/>
    <w:rsid w:val="00BA60EE"/>
    <w:rsid w:val="00BB5942"/>
    <w:rsid w:val="00BC2434"/>
    <w:rsid w:val="00BD04FF"/>
    <w:rsid w:val="00BE6712"/>
    <w:rsid w:val="00BF0024"/>
    <w:rsid w:val="00BF1B43"/>
    <w:rsid w:val="00C6211D"/>
    <w:rsid w:val="00C66279"/>
    <w:rsid w:val="00C71C8D"/>
    <w:rsid w:val="00C8188B"/>
    <w:rsid w:val="00C85373"/>
    <w:rsid w:val="00C9006B"/>
    <w:rsid w:val="00C95CBF"/>
    <w:rsid w:val="00CA0325"/>
    <w:rsid w:val="00CD1C38"/>
    <w:rsid w:val="00CF1232"/>
    <w:rsid w:val="00CF577C"/>
    <w:rsid w:val="00D301AB"/>
    <w:rsid w:val="00D470E9"/>
    <w:rsid w:val="00D5269A"/>
    <w:rsid w:val="00D62D27"/>
    <w:rsid w:val="00D75EBB"/>
    <w:rsid w:val="00D83F30"/>
    <w:rsid w:val="00D94351"/>
    <w:rsid w:val="00DA6B2D"/>
    <w:rsid w:val="00DC0D3D"/>
    <w:rsid w:val="00DC51AB"/>
    <w:rsid w:val="00DD2E87"/>
    <w:rsid w:val="00DE0870"/>
    <w:rsid w:val="00E022B4"/>
    <w:rsid w:val="00E03901"/>
    <w:rsid w:val="00E057A6"/>
    <w:rsid w:val="00E4558C"/>
    <w:rsid w:val="00E47125"/>
    <w:rsid w:val="00E5430E"/>
    <w:rsid w:val="00E7274C"/>
    <w:rsid w:val="00E85F0A"/>
    <w:rsid w:val="00E87152"/>
    <w:rsid w:val="00EA13AA"/>
    <w:rsid w:val="00EA1975"/>
    <w:rsid w:val="00ED13D5"/>
    <w:rsid w:val="00ED4040"/>
    <w:rsid w:val="00EF4274"/>
    <w:rsid w:val="00EF4F56"/>
    <w:rsid w:val="00EF665C"/>
    <w:rsid w:val="00F10438"/>
    <w:rsid w:val="00F3645D"/>
    <w:rsid w:val="00F44FA1"/>
    <w:rsid w:val="00F45090"/>
    <w:rsid w:val="00F85343"/>
    <w:rsid w:val="00FA5D3B"/>
    <w:rsid w:val="00FB74B7"/>
    <w:rsid w:val="00FC4164"/>
    <w:rsid w:val="00FE24B1"/>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1DF43"/>
  <w15:docId w15:val="{0E38E3BA-A139-4EFC-AEF2-B5623221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264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9FF"/>
  </w:style>
  <w:style w:type="paragraph" w:styleId="Footer">
    <w:name w:val="footer"/>
    <w:basedOn w:val="Normal"/>
    <w:link w:val="FooterChar"/>
    <w:uiPriority w:val="99"/>
    <w:unhideWhenUsed/>
    <w:rsid w:val="00B47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9FF"/>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010435"/>
    <w:pPr>
      <w:ind w:left="720"/>
      <w:contextualSpacing/>
    </w:pPr>
  </w:style>
  <w:style w:type="paragraph" w:styleId="NoSpacing">
    <w:name w:val="No Spacing"/>
    <w:link w:val="NoSpacingChar"/>
    <w:uiPriority w:val="1"/>
    <w:qFormat/>
    <w:rsid w:val="00917129"/>
    <w:pPr>
      <w:spacing w:after="0" w:line="240" w:lineRule="auto"/>
    </w:pPr>
    <w:rPr>
      <w:rFonts w:eastAsiaTheme="minorEastAsia"/>
    </w:rPr>
  </w:style>
  <w:style w:type="character" w:customStyle="1" w:styleId="NoSpacingChar">
    <w:name w:val="No Spacing Char"/>
    <w:basedOn w:val="DefaultParagraphFont"/>
    <w:link w:val="NoSpacing"/>
    <w:uiPriority w:val="1"/>
    <w:rsid w:val="00917129"/>
    <w:rPr>
      <w:rFonts w:eastAsiaTheme="minorEastAsia"/>
    </w:rPr>
  </w:style>
  <w:style w:type="paragraph" w:styleId="NormalWeb">
    <w:name w:val="Normal (Web)"/>
    <w:basedOn w:val="Normal"/>
    <w:uiPriority w:val="99"/>
    <w:semiHidden/>
    <w:unhideWhenUsed/>
    <w:rsid w:val="00A908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844"/>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basedOn w:val="DefaultParagraphFont"/>
    <w:link w:val="ListParagraph"/>
    <w:uiPriority w:val="34"/>
    <w:qFormat/>
    <w:locked/>
    <w:rsid w:val="00A31C11"/>
  </w:style>
  <w:style w:type="paragraph" w:styleId="BalloonText">
    <w:name w:val="Balloon Text"/>
    <w:basedOn w:val="Normal"/>
    <w:link w:val="BalloonTextChar"/>
    <w:uiPriority w:val="99"/>
    <w:semiHidden/>
    <w:unhideWhenUsed/>
    <w:rsid w:val="0084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5AE"/>
    <w:rPr>
      <w:rFonts w:ascii="Segoe UI" w:hAnsi="Segoe UI" w:cs="Segoe UI"/>
      <w:sz w:val="18"/>
      <w:szCs w:val="18"/>
    </w:rPr>
  </w:style>
  <w:style w:type="character" w:styleId="CommentReference">
    <w:name w:val="annotation reference"/>
    <w:basedOn w:val="DefaultParagraphFont"/>
    <w:uiPriority w:val="99"/>
    <w:semiHidden/>
    <w:unhideWhenUsed/>
    <w:rsid w:val="00904D4A"/>
    <w:rPr>
      <w:sz w:val="16"/>
      <w:szCs w:val="16"/>
    </w:rPr>
  </w:style>
  <w:style w:type="paragraph" w:styleId="CommentText">
    <w:name w:val="annotation text"/>
    <w:basedOn w:val="Normal"/>
    <w:link w:val="CommentTextChar"/>
    <w:uiPriority w:val="99"/>
    <w:semiHidden/>
    <w:unhideWhenUsed/>
    <w:rsid w:val="00904D4A"/>
    <w:pPr>
      <w:spacing w:line="240" w:lineRule="auto"/>
    </w:pPr>
    <w:rPr>
      <w:sz w:val="20"/>
      <w:szCs w:val="20"/>
    </w:rPr>
  </w:style>
  <w:style w:type="character" w:customStyle="1" w:styleId="CommentTextChar">
    <w:name w:val="Comment Text Char"/>
    <w:basedOn w:val="DefaultParagraphFont"/>
    <w:link w:val="CommentText"/>
    <w:uiPriority w:val="99"/>
    <w:semiHidden/>
    <w:rsid w:val="00904D4A"/>
    <w:rPr>
      <w:sz w:val="20"/>
      <w:szCs w:val="20"/>
    </w:rPr>
  </w:style>
  <w:style w:type="paragraph" w:styleId="CommentSubject">
    <w:name w:val="annotation subject"/>
    <w:basedOn w:val="CommentText"/>
    <w:next w:val="CommentText"/>
    <w:link w:val="CommentSubjectChar"/>
    <w:uiPriority w:val="99"/>
    <w:semiHidden/>
    <w:unhideWhenUsed/>
    <w:rsid w:val="00904D4A"/>
    <w:rPr>
      <w:b/>
      <w:bCs/>
    </w:rPr>
  </w:style>
  <w:style w:type="character" w:customStyle="1" w:styleId="CommentSubjectChar">
    <w:name w:val="Comment Subject Char"/>
    <w:basedOn w:val="CommentTextChar"/>
    <w:link w:val="CommentSubject"/>
    <w:uiPriority w:val="99"/>
    <w:semiHidden/>
    <w:rsid w:val="00904D4A"/>
    <w:rPr>
      <w:b/>
      <w:bCs/>
      <w:sz w:val="20"/>
      <w:szCs w:val="20"/>
    </w:rPr>
  </w:style>
  <w:style w:type="table" w:styleId="TableGrid">
    <w:name w:val="Table Grid"/>
    <w:basedOn w:val="TableNormal"/>
    <w:uiPriority w:val="39"/>
    <w:rsid w:val="00BF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64A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264AA"/>
    <w:pPr>
      <w:outlineLvl w:val="9"/>
    </w:pPr>
  </w:style>
  <w:style w:type="character" w:customStyle="1" w:styleId="Heading2Char">
    <w:name w:val="Heading 2 Char"/>
    <w:basedOn w:val="DefaultParagraphFont"/>
    <w:link w:val="Heading2"/>
    <w:uiPriority w:val="9"/>
    <w:semiHidden/>
    <w:rsid w:val="000264AA"/>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0264AA"/>
    <w:pPr>
      <w:spacing w:after="100"/>
    </w:pPr>
  </w:style>
  <w:style w:type="paragraph" w:styleId="TOC2">
    <w:name w:val="toc 2"/>
    <w:basedOn w:val="Normal"/>
    <w:next w:val="Normal"/>
    <w:autoRedefine/>
    <w:uiPriority w:val="39"/>
    <w:unhideWhenUsed/>
    <w:rsid w:val="000264A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320930136">
      <w:bodyDiv w:val="1"/>
      <w:marLeft w:val="0"/>
      <w:marRight w:val="0"/>
      <w:marTop w:val="0"/>
      <w:marBottom w:val="0"/>
      <w:divBdr>
        <w:top w:val="none" w:sz="0" w:space="0" w:color="auto"/>
        <w:left w:val="none" w:sz="0" w:space="0" w:color="auto"/>
        <w:bottom w:val="none" w:sz="0" w:space="0" w:color="auto"/>
        <w:right w:val="none" w:sz="0" w:space="0" w:color="auto"/>
      </w:divBdr>
    </w:div>
    <w:div w:id="962886405">
      <w:bodyDiv w:val="1"/>
      <w:marLeft w:val="0"/>
      <w:marRight w:val="0"/>
      <w:marTop w:val="0"/>
      <w:marBottom w:val="0"/>
      <w:divBdr>
        <w:top w:val="none" w:sz="0" w:space="0" w:color="auto"/>
        <w:left w:val="none" w:sz="0" w:space="0" w:color="auto"/>
        <w:bottom w:val="none" w:sz="0" w:space="0" w:color="auto"/>
        <w:right w:val="none" w:sz="0" w:space="0" w:color="auto"/>
      </w:divBdr>
    </w:div>
    <w:div w:id="1176264075">
      <w:bodyDiv w:val="1"/>
      <w:marLeft w:val="0"/>
      <w:marRight w:val="0"/>
      <w:marTop w:val="0"/>
      <w:marBottom w:val="0"/>
      <w:divBdr>
        <w:top w:val="none" w:sz="0" w:space="0" w:color="auto"/>
        <w:left w:val="none" w:sz="0" w:space="0" w:color="auto"/>
        <w:bottom w:val="none" w:sz="0" w:space="0" w:color="auto"/>
        <w:right w:val="none" w:sz="0" w:space="0" w:color="auto"/>
      </w:divBdr>
    </w:div>
    <w:div w:id="1610119394">
      <w:bodyDiv w:val="1"/>
      <w:marLeft w:val="0"/>
      <w:marRight w:val="0"/>
      <w:marTop w:val="0"/>
      <w:marBottom w:val="0"/>
      <w:divBdr>
        <w:top w:val="none" w:sz="0" w:space="0" w:color="auto"/>
        <w:left w:val="none" w:sz="0" w:space="0" w:color="auto"/>
        <w:bottom w:val="none" w:sz="0" w:space="0" w:color="auto"/>
        <w:right w:val="none" w:sz="0" w:space="0" w:color="auto"/>
      </w:divBdr>
    </w:div>
    <w:div w:id="21082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7A51-5351-4573-8A31-17F00D1A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Innocent Mbvundula</dc:creator>
  <cp:keywords/>
  <dc:description/>
  <cp:lastModifiedBy>Peter Kulemeka</cp:lastModifiedBy>
  <cp:revision>2</cp:revision>
  <cp:lastPrinted>2017-11-17T11:17:00Z</cp:lastPrinted>
  <dcterms:created xsi:type="dcterms:W3CDTF">2017-11-17T11:35:00Z</dcterms:created>
  <dcterms:modified xsi:type="dcterms:W3CDTF">2017-11-17T11:35:00Z</dcterms:modified>
</cp:coreProperties>
</file>