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3853" w:rsidP="00904573" w:rsidRDefault="00CB3853" w14:paraId="3E668B63" w14:textId="77777777" w14:noSpellErr="1"/>
    <w:p w:rsidR="58DE5893" w:rsidP="58DE5893" w:rsidRDefault="58DE5893" w14:paraId="59E861F0" w14:textId="3AA39959">
      <w:pPr>
        <w:pStyle w:val="Normal"/>
      </w:pPr>
    </w:p>
    <w:p w:rsidRPr="00CA347E" w:rsidR="00CB3853" w:rsidP="00CA347E" w:rsidRDefault="00CA347E" w14:paraId="4B8CC189" w14:textId="14A94D61">
      <w:pPr>
        <w:jc w:val="center"/>
        <w:rPr>
          <w:b/>
          <w:bCs/>
          <w:sz w:val="24"/>
          <w:szCs w:val="24"/>
        </w:rPr>
      </w:pPr>
      <w:r w:rsidRPr="00CA347E">
        <w:rPr>
          <w:b/>
          <w:bCs/>
          <w:sz w:val="24"/>
          <w:szCs w:val="24"/>
        </w:rPr>
        <w:t xml:space="preserve">2020 RBAP </w:t>
      </w:r>
      <w:proofErr w:type="spellStart"/>
      <w:r w:rsidRPr="00CA347E">
        <w:rPr>
          <w:b/>
          <w:bCs/>
          <w:sz w:val="24"/>
          <w:szCs w:val="24"/>
        </w:rPr>
        <w:t>Whos</w:t>
      </w:r>
      <w:proofErr w:type="spellEnd"/>
      <w:r w:rsidRPr="00CA347E">
        <w:rPr>
          <w:b/>
          <w:bCs/>
          <w:sz w:val="24"/>
          <w:szCs w:val="24"/>
        </w:rPr>
        <w:t xml:space="preserve"> and </w:t>
      </w:r>
      <w:proofErr w:type="spellStart"/>
      <w:r w:rsidRPr="00CA347E">
        <w:rPr>
          <w:b/>
          <w:bCs/>
          <w:sz w:val="24"/>
          <w:szCs w:val="24"/>
        </w:rPr>
        <w:t>Hows</w:t>
      </w:r>
      <w:proofErr w:type="spellEnd"/>
      <w:r w:rsidRPr="00CA347E">
        <w:rPr>
          <w:b/>
          <w:bCs/>
          <w:sz w:val="24"/>
          <w:szCs w:val="24"/>
        </w:rPr>
        <w:t xml:space="preserve"> Marker Data</w:t>
      </w:r>
    </w:p>
    <w:p w:rsidR="00CA347E" w:rsidP="00904573" w:rsidRDefault="00CA347E" w14:paraId="665D3105" w14:textId="77777777">
      <w:pPr>
        <w:rPr>
          <w:b/>
          <w:bCs/>
        </w:rPr>
      </w:pPr>
    </w:p>
    <w:p w:rsidR="00A32051" w:rsidP="00904573" w:rsidRDefault="00904573" w14:paraId="16601E01" w14:textId="78EE0B96">
      <w:pPr>
        <w:rPr>
          <w:sz w:val="24"/>
          <w:szCs w:val="24"/>
        </w:rPr>
      </w:pPr>
      <w:r w:rsidRPr="00CA347E">
        <w:rPr>
          <w:sz w:val="24"/>
          <w:szCs w:val="24"/>
        </w:rPr>
        <w:t>This snapshot of the 2020 project marker data provides an overview of the target groups (</w:t>
      </w:r>
      <w:proofErr w:type="spellStart"/>
      <w:r w:rsidRPr="00CA347E">
        <w:rPr>
          <w:sz w:val="24"/>
          <w:szCs w:val="24"/>
        </w:rPr>
        <w:t>Whos</w:t>
      </w:r>
      <w:proofErr w:type="spellEnd"/>
      <w:r w:rsidRPr="00CA347E">
        <w:rPr>
          <w:sz w:val="24"/>
          <w:szCs w:val="24"/>
        </w:rPr>
        <w:t>) and intervention types (</w:t>
      </w:r>
      <w:proofErr w:type="spellStart"/>
      <w:r w:rsidRPr="00CA347E">
        <w:rPr>
          <w:sz w:val="24"/>
          <w:szCs w:val="24"/>
        </w:rPr>
        <w:t>Hows</w:t>
      </w:r>
      <w:proofErr w:type="spellEnd"/>
      <w:r w:rsidRPr="00CA347E">
        <w:rPr>
          <w:sz w:val="24"/>
          <w:szCs w:val="24"/>
        </w:rPr>
        <w:t xml:space="preserve">) </w:t>
      </w:r>
      <w:r w:rsidR="005919DE">
        <w:rPr>
          <w:sz w:val="24"/>
          <w:szCs w:val="24"/>
        </w:rPr>
        <w:t>of</w:t>
      </w:r>
      <w:r w:rsidR="00687408">
        <w:rPr>
          <w:sz w:val="24"/>
          <w:szCs w:val="24"/>
        </w:rPr>
        <w:t xml:space="preserve"> the</w:t>
      </w:r>
      <w:r w:rsidR="005919DE">
        <w:rPr>
          <w:sz w:val="24"/>
          <w:szCs w:val="24"/>
        </w:rPr>
        <w:t xml:space="preserve"> project outputs </w:t>
      </w:r>
      <w:r w:rsidR="007F5F8A">
        <w:rPr>
          <w:sz w:val="24"/>
          <w:szCs w:val="24"/>
        </w:rPr>
        <w:t xml:space="preserve">of </w:t>
      </w:r>
      <w:r w:rsidRPr="00CA347E">
        <w:rPr>
          <w:sz w:val="24"/>
          <w:szCs w:val="24"/>
        </w:rPr>
        <w:t>UNDP RBAP in 2</w:t>
      </w:r>
      <w:r w:rsidRPr="00CA347E" w:rsidR="00E83DFA">
        <w:rPr>
          <w:sz w:val="24"/>
          <w:szCs w:val="24"/>
        </w:rPr>
        <w:t>020</w:t>
      </w:r>
      <w:r w:rsidR="008A7C7A">
        <w:rPr>
          <w:sz w:val="24"/>
          <w:szCs w:val="24"/>
        </w:rPr>
        <w:t xml:space="preserve"> (Country Offices and BRH)</w:t>
      </w:r>
      <w:r w:rsidRPr="00CA347E">
        <w:rPr>
          <w:sz w:val="24"/>
          <w:szCs w:val="24"/>
        </w:rPr>
        <w:t>. The document presents a summary of “</w:t>
      </w:r>
      <w:proofErr w:type="spellStart"/>
      <w:r w:rsidRPr="00CA347E">
        <w:rPr>
          <w:sz w:val="24"/>
          <w:szCs w:val="24"/>
        </w:rPr>
        <w:t>Whos</w:t>
      </w:r>
      <w:proofErr w:type="spellEnd"/>
      <w:r w:rsidRPr="00CA347E">
        <w:rPr>
          <w:sz w:val="24"/>
          <w:szCs w:val="24"/>
        </w:rPr>
        <w:t>” and “</w:t>
      </w:r>
      <w:proofErr w:type="spellStart"/>
      <w:r w:rsidRPr="00CA347E">
        <w:rPr>
          <w:sz w:val="24"/>
          <w:szCs w:val="24"/>
        </w:rPr>
        <w:t>Hows</w:t>
      </w:r>
      <w:proofErr w:type="spellEnd"/>
      <w:r w:rsidRPr="00CA347E">
        <w:rPr>
          <w:sz w:val="24"/>
          <w:szCs w:val="24"/>
        </w:rPr>
        <w:t xml:space="preserve">” marker data and provides information </w:t>
      </w:r>
      <w:r w:rsidR="007F5F8A">
        <w:rPr>
          <w:sz w:val="24"/>
          <w:szCs w:val="24"/>
        </w:rPr>
        <w:t>on the</w:t>
      </w:r>
      <w:r w:rsidRPr="00CA347E">
        <w:rPr>
          <w:sz w:val="24"/>
          <w:szCs w:val="24"/>
        </w:rPr>
        <w:t xml:space="preserve"> target groups and intervention types </w:t>
      </w:r>
      <w:r w:rsidR="00A32051">
        <w:rPr>
          <w:sz w:val="24"/>
          <w:szCs w:val="24"/>
        </w:rPr>
        <w:t>by</w:t>
      </w:r>
      <w:r w:rsidRPr="00CA347E" w:rsidR="00E83DFA">
        <w:rPr>
          <w:sz w:val="24"/>
          <w:szCs w:val="24"/>
        </w:rPr>
        <w:t xml:space="preserve"> </w:t>
      </w:r>
      <w:r w:rsidR="00687408">
        <w:rPr>
          <w:sz w:val="24"/>
          <w:szCs w:val="24"/>
        </w:rPr>
        <w:t>UNDP’s</w:t>
      </w:r>
      <w:r w:rsidRPr="00CA347E" w:rsidR="00E83DFA">
        <w:rPr>
          <w:sz w:val="24"/>
          <w:szCs w:val="24"/>
        </w:rPr>
        <w:t xml:space="preserve"> six Signature Solutions</w:t>
      </w:r>
      <w:r w:rsidRPr="00CA347E">
        <w:rPr>
          <w:sz w:val="24"/>
          <w:szCs w:val="24"/>
        </w:rPr>
        <w:t>.</w:t>
      </w:r>
      <w:r w:rsidR="008A23A8">
        <w:rPr>
          <w:rStyle w:val="FootnoteReference"/>
          <w:sz w:val="24"/>
          <w:szCs w:val="24"/>
        </w:rPr>
        <w:footnoteReference w:id="1"/>
      </w:r>
    </w:p>
    <w:p w:rsidRPr="008A23A8" w:rsidR="00CB3853" w:rsidRDefault="00A32051" w14:paraId="7708F582" w14:textId="74F2F313">
      <w:pPr>
        <w:rPr>
          <w:b/>
          <w:bCs/>
        </w:rPr>
      </w:pPr>
      <w:r w:rsidRPr="00EE6B90">
        <w:rPr>
          <w:b/>
          <w:bCs/>
        </w:rPr>
        <w:t xml:space="preserve">WHOs marker summary – target groups </w:t>
      </w:r>
    </w:p>
    <w:tbl>
      <w:tblPr>
        <w:tblW w:w="15398" w:type="dxa"/>
        <w:tblBorders>
          <w:insideH w:val="single" w:color="auto" w:sz="4" w:space="0"/>
        </w:tblBorders>
        <w:tblLook w:val="04A0" w:firstRow="1" w:lastRow="0" w:firstColumn="1" w:lastColumn="0" w:noHBand="0" w:noVBand="1"/>
      </w:tblPr>
      <w:tblGrid>
        <w:gridCol w:w="5134"/>
        <w:gridCol w:w="1954"/>
        <w:gridCol w:w="567"/>
        <w:gridCol w:w="7743"/>
      </w:tblGrid>
      <w:tr w:rsidRPr="00E83DFA" w:rsidR="00CB3853" w:rsidTr="00CA347E" w14:paraId="302AC8FE" w14:textId="5B6CDD1A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</w:tcPr>
          <w:p w:rsidRPr="00E83DFA" w:rsidR="00CB3853" w:rsidP="00904573" w:rsidRDefault="00CB3853" w14:paraId="3648CA0D" w14:textId="71813582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Table 1 </w:t>
            </w:r>
            <w:r w:rsidRPr="00E83DFA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RBAP 2020 </w:t>
            </w:r>
            <w:proofErr w:type="spellStart"/>
            <w:r w:rsidRPr="00E83DFA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Whos</w:t>
            </w:r>
            <w:proofErr w:type="spellEnd"/>
            <w:r w:rsidRPr="00E83DFA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Markers</w:t>
            </w:r>
            <w:r w:rsidRPr="00E83DFA">
              <w:rPr>
                <w:rStyle w:val="FootnoteReference"/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footnoteReference w:id="2"/>
            </w:r>
            <w:r w:rsidRPr="00E83DFA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noWrap/>
            <w:vAlign w:val="bottom"/>
          </w:tcPr>
          <w:p w:rsidRPr="00E83DFA" w:rsidR="00CB3853" w:rsidP="00904573" w:rsidRDefault="00CB3853" w14:paraId="217C147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Pr="00E83DFA" w:rsidR="00CB3853" w:rsidP="00904573" w:rsidRDefault="00CB3853" w14:paraId="25112F0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tcBorders>
              <w:top w:val="nil"/>
              <w:bottom w:val="nil"/>
            </w:tcBorders>
          </w:tcPr>
          <w:p w:rsidRPr="00E83DFA" w:rsidR="00CB3853" w:rsidP="00904573" w:rsidRDefault="00CB3853" w14:paraId="7A6B073B" w14:textId="04434DED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28E99FF0" w14:textId="77016C00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1C7096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in rural areas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26410F0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22%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A32051" w:rsidR="00CA347E" w:rsidP="00CB3853" w:rsidRDefault="00CA347E" w14:paraId="32168797" w14:textId="40B7CE8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43" w:type="dxa"/>
            <w:vMerge w:val="restart"/>
            <w:tcBorders>
              <w:top w:val="nil"/>
              <w:bottom w:val="nil"/>
            </w:tcBorders>
          </w:tcPr>
          <w:p w:rsidRPr="00A32051" w:rsidR="00CB3853" w:rsidP="00CB3853" w:rsidRDefault="00CB3853" w14:paraId="6DE11231" w14:textId="5A9097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2051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Pr="00A32051">
              <w:rPr>
                <w:rFonts w:cstheme="minorHAnsi"/>
                <w:sz w:val="24"/>
                <w:szCs w:val="24"/>
              </w:rPr>
              <w:t>W</w:t>
            </w:r>
            <w:r w:rsidR="00311E23">
              <w:rPr>
                <w:rFonts w:cstheme="minorHAnsi"/>
                <w:sz w:val="24"/>
                <w:szCs w:val="24"/>
              </w:rPr>
              <w:t>ho</w:t>
            </w:r>
            <w:r w:rsidRPr="00A32051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Pr="00A32051">
              <w:rPr>
                <w:rFonts w:cstheme="minorHAnsi"/>
                <w:sz w:val="24"/>
                <w:szCs w:val="24"/>
              </w:rPr>
              <w:t xml:space="preserve"> marker data provides information </w:t>
            </w:r>
            <w:r w:rsidR="00311E23">
              <w:rPr>
                <w:rFonts w:cstheme="minorHAnsi"/>
                <w:sz w:val="24"/>
                <w:szCs w:val="24"/>
              </w:rPr>
              <w:t>on</w:t>
            </w:r>
            <w:r w:rsidRPr="00A32051">
              <w:rPr>
                <w:rFonts w:cstheme="minorHAnsi"/>
                <w:sz w:val="24"/>
                <w:szCs w:val="24"/>
              </w:rPr>
              <w:t xml:space="preserve"> the beneficiaries/target groups</w:t>
            </w:r>
            <w:r w:rsidR="005C5D9C">
              <w:rPr>
                <w:rFonts w:cstheme="minorHAnsi"/>
                <w:sz w:val="24"/>
                <w:szCs w:val="24"/>
              </w:rPr>
              <w:t xml:space="preserve"> of</w:t>
            </w:r>
            <w:r w:rsidRPr="00A32051">
              <w:rPr>
                <w:rFonts w:cstheme="minorHAnsi"/>
                <w:sz w:val="24"/>
                <w:szCs w:val="24"/>
              </w:rPr>
              <w:t xml:space="preserve"> project outputs. Table 1 shows the percentage distribution of the reported beneficiary groups and </w:t>
            </w:r>
            <w:r w:rsidRPr="00A32051" w:rsidR="00B33313">
              <w:rPr>
                <w:rFonts w:cstheme="minorHAnsi"/>
                <w:sz w:val="24"/>
                <w:szCs w:val="24"/>
              </w:rPr>
              <w:t>table on the next page</w:t>
            </w:r>
            <w:r w:rsidRPr="00A3205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presents the reported target groups </w:t>
            </w:r>
            <w:r w:rsidRPr="00A32051" w:rsidR="00B33313">
              <w:rPr>
                <w:rFonts w:eastAsia="Times New Roman" w:cstheme="minorHAnsi"/>
                <w:color w:val="000000"/>
                <w:sz w:val="24"/>
                <w:szCs w:val="24"/>
              </w:rPr>
              <w:t>by the six</w:t>
            </w:r>
            <w:r w:rsidRPr="00A3205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Signature Solutions.</w:t>
            </w:r>
          </w:p>
          <w:p w:rsidRPr="00A32051" w:rsidR="00CB3853" w:rsidP="00CB3853" w:rsidRDefault="00CB3853" w14:paraId="511B1938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A32051" w:rsidR="00CB3853" w:rsidP="00CB3853" w:rsidRDefault="00CB3853" w14:paraId="37A335D2" w14:textId="4852B6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205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People living in rural areas, </w:t>
            </w:r>
            <w:r w:rsidR="00BB51E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</w:t>
            </w:r>
            <w:r w:rsidRPr="00A3205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eople living in urban areas and </w:t>
            </w:r>
            <w:r w:rsidR="00BB51E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</w:t>
            </w:r>
            <w:r w:rsidRPr="00A3205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omen are among the most frequently reported target groups across the</w:t>
            </w:r>
            <w:r w:rsidR="00C15D0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six</w:t>
            </w:r>
            <w:r w:rsidRPr="00A3205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Signature Solutions. </w:t>
            </w:r>
          </w:p>
          <w:p w:rsidRPr="00A32051" w:rsidR="00CA347E" w:rsidP="00CB3853" w:rsidRDefault="00CA347E" w14:paraId="7E80467D" w14:textId="1A1D1F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A32051" w:rsidR="00CB3853" w:rsidP="00CB3853" w:rsidRDefault="00CA347E" w14:paraId="4777A0D5" w14:textId="586D2F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205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least frequently reported target groups </w:t>
            </w:r>
            <w:r w:rsidR="00F257B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are:</w:t>
            </w:r>
            <w:r w:rsidRPr="00A3205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B51E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</w:t>
            </w:r>
            <w:r w:rsidRPr="00A3205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efugees, </w:t>
            </w:r>
            <w:r w:rsidR="00BB51E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</w:t>
            </w:r>
            <w:r w:rsidRPr="00A3205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ey populations for HIV, </w:t>
            </w:r>
            <w:r w:rsidR="00BB51E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</w:t>
            </w:r>
            <w:r w:rsidRPr="00A3205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uberculosis and malaria, </w:t>
            </w:r>
            <w:r w:rsidR="00BB51E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</w:t>
            </w:r>
            <w:r w:rsidRPr="00A3205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igrants</w:t>
            </w:r>
            <w:r w:rsidR="008121F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A3205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B51E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</w:t>
            </w:r>
            <w:r w:rsidRPr="00A3205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nternally displaced </w:t>
            </w:r>
            <w:proofErr w:type="gramStart"/>
            <w:r w:rsidRPr="00A3205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persons</w:t>
            </w:r>
            <w:proofErr w:type="gramEnd"/>
            <w:r w:rsidR="008121F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Sexual and gender orientation</w:t>
            </w:r>
            <w:r w:rsidRPr="00A3205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Pr="00A32051" w:rsidR="00CB3853" w:rsidP="00CB3853" w:rsidRDefault="00CB3853" w14:paraId="0C9928B9" w14:textId="0B5498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904573" w:rsidR="00CB3853" w:rsidTr="00CA347E" w14:paraId="199024AC" w14:textId="6ABC0A43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25A976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in urban areas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712E556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16%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669670F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4AE28A00" w14:textId="255C723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17E80E6E" w14:textId="6FD4FDC9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49DB87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05EAB32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12%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09A3735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5918F56A" w14:textId="3478640F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1AB88FCC" w14:textId="2D8BC4D7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3C7E3F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in peri-urban areas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5268D4C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6F527F1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660B4412" w14:textId="5E8D5714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16376986" w14:textId="593F49D1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357137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in multi-dimensional poverty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537DA53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16DD731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6BFFCA9D" w14:textId="4AE38E78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457D689F" w14:textId="4F0CD442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66D804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Youth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0841203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04DE0AE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3A37BF1E" w14:textId="489485CE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253CBC61" w14:textId="07ABC542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77236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Persons directly affected by natural disasters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2532B45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12C87CF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63BB22E8" w14:textId="55540173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41E1387E" w14:textId="1D370563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2613A2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Minorities (</w:t>
            </w:r>
            <w:proofErr w:type="gramStart"/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e.g.</w:t>
            </w:r>
            <w:proofErr w:type="gramEnd"/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 race, ethnicity, linguistic, religion, etc.)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5A3F1A4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1DAC45D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62D6580B" w14:textId="306E9739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38A483DB" w14:textId="53FC76DC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784113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in slums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73A5BF3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218B8C9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1768C019" w14:textId="750024AA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44307F46" w14:textId="289E4152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1A6346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under the national poverty line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6D8C8E0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2BCF0ED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5A3CB025" w14:textId="019E2A72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5A635675" w14:textId="653E4E9C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138F82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Persons negatively affected by armed conflict or violence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03832D0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7F1E659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225AA857" w14:textId="4179F7A6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713886F7" w14:textId="0AF8DA24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2FF8BC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Persons with disabilities (</w:t>
            </w:r>
            <w:proofErr w:type="spellStart"/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PwD</w:t>
            </w:r>
            <w:proofErr w:type="spellEnd"/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7462112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5EC193A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07D543F7" w14:textId="4C2C68E9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3DE7E843" w14:textId="1B9D06A4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209E99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Unemployed persons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7F6E19F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376F1BB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721485FC" w14:textId="434B364E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5A8C251A" w14:textId="18650E88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04C614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Sexual and gender orientation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3E18DAB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45AEA75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77EB4627" w14:textId="3C87ED7D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49E718C8" w14:textId="17EF42B4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4D7849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Migrants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1A9E672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23128F2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50DEA2AB" w14:textId="58572AD2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60B94C6E" w14:textId="08136B91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41AE88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Internally displaced persons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5FB93F2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523EEB0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6C124D4D" w14:textId="1A0BD033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6096A502" w14:textId="152C6296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3FB602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Key populations for HIV, </w:t>
            </w:r>
            <w:proofErr w:type="gramStart"/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tuberculosis</w:t>
            </w:r>
            <w:proofErr w:type="gramEnd"/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 and malaria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449699C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3340FE4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62CEBF46" w14:textId="52CA3ADC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904573" w:rsidR="00CB3853" w:rsidTr="00CA347E" w14:paraId="0F62AF8E" w14:textId="308CD5C5">
        <w:trPr>
          <w:trHeight w:val="300"/>
        </w:trPr>
        <w:tc>
          <w:tcPr>
            <w:tcW w:w="513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0E453A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Refugees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Pr="00904573" w:rsidR="00CB3853" w:rsidP="00904573" w:rsidRDefault="00CB3853" w14:paraId="10E72AD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04573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904573" w:rsidR="00CB3853" w:rsidP="00904573" w:rsidRDefault="00CB3853" w14:paraId="36C9C54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3" w:type="dxa"/>
            <w:vMerge/>
            <w:tcBorders>
              <w:top w:val="nil"/>
              <w:bottom w:val="nil"/>
            </w:tcBorders>
          </w:tcPr>
          <w:p w:rsidRPr="00904573" w:rsidR="00CB3853" w:rsidP="00904573" w:rsidRDefault="00CB3853" w14:paraId="25F1AB47" w14:textId="5F6813BB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Pr="0071501B" w:rsidR="00900D8C" w:rsidRDefault="00900D8C" w14:paraId="18D9FECA" w14:textId="22283D97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431" w:tblpY="-719"/>
        <w:tblW w:w="16401" w:type="dxa"/>
        <w:tblLook w:val="04A0" w:firstRow="1" w:lastRow="0" w:firstColumn="1" w:lastColumn="0" w:noHBand="0" w:noVBand="1"/>
      </w:tblPr>
      <w:tblGrid>
        <w:gridCol w:w="2405"/>
        <w:gridCol w:w="664"/>
        <w:gridCol w:w="2313"/>
        <w:gridCol w:w="619"/>
        <w:gridCol w:w="2358"/>
        <w:gridCol w:w="619"/>
        <w:gridCol w:w="1937"/>
        <w:gridCol w:w="582"/>
        <w:gridCol w:w="1694"/>
        <w:gridCol w:w="664"/>
        <w:gridCol w:w="1875"/>
        <w:gridCol w:w="671"/>
      </w:tblGrid>
      <w:tr w:rsidRPr="0071501B" w:rsidR="0071501B" w:rsidTr="00FC195E" w14:paraId="1EF6E8A3" w14:textId="77777777">
        <w:trPr>
          <w:trHeight w:val="426"/>
        </w:trPr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71501B" w:rsidR="0071501B" w:rsidP="0071501B" w:rsidRDefault="0071501B" w14:paraId="70AFA764" w14:textId="77777777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71501B" w:rsidR="0071501B" w:rsidP="0071501B" w:rsidRDefault="0071501B" w14:paraId="1DB59327" w14:textId="77777777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71501B" w:rsidR="0071501B" w:rsidP="0071501B" w:rsidRDefault="0071501B" w14:paraId="59DB0154" w14:textId="77777777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71501B" w:rsidR="0071501B" w:rsidP="0071501B" w:rsidRDefault="0071501B" w14:paraId="41CEDC44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71501B" w:rsidR="0071501B" w:rsidP="0071501B" w:rsidRDefault="0071501B" w14:paraId="37E4F3FF" w14:textId="77777777">
            <w:pPr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71501B" w:rsidR="0071501B" w:rsidP="0071501B" w:rsidRDefault="0071501B" w14:paraId="65714890" w14:textId="77777777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71501B" w:rsidR="0071501B" w:rsidP="0071501B" w:rsidRDefault="0071501B" w14:paraId="45F9AEBA" w14:textId="77777777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71501B" w:rsidR="0071501B" w:rsidP="0071501B" w:rsidRDefault="0071501B" w14:paraId="16B0FD6C" w14:textId="77777777">
            <w:pPr>
              <w:rPr>
                <w:sz w:val="18"/>
                <w:szCs w:val="18"/>
              </w:rPr>
            </w:pPr>
          </w:p>
        </w:tc>
      </w:tr>
      <w:tr w:rsidRPr="0071501B" w:rsidR="00CB3853" w:rsidTr="0086241B" w14:paraId="4F34E2A4" w14:textId="77777777">
        <w:trPr>
          <w:trHeight w:val="300"/>
        </w:trPr>
        <w:tc>
          <w:tcPr>
            <w:tcW w:w="3069" w:type="dxa"/>
            <w:gridSpan w:val="2"/>
            <w:tcBorders>
              <w:top w:val="single" w:color="auto" w:sz="4" w:space="0"/>
            </w:tcBorders>
            <w:noWrap/>
            <w:hideMark/>
          </w:tcPr>
          <w:p w:rsidRPr="003A203E" w:rsidR="00CB3853" w:rsidP="0071501B" w:rsidRDefault="00B33313" w14:paraId="39973C12" w14:textId="693C032E">
            <w:pPr>
              <w:rPr>
                <w:b/>
                <w:bCs/>
                <w:sz w:val="18"/>
                <w:szCs w:val="18"/>
              </w:rPr>
            </w:pPr>
            <w:r w:rsidRPr="003A203E">
              <w:rPr>
                <w:b/>
                <w:bCs/>
                <w:sz w:val="18"/>
                <w:szCs w:val="18"/>
              </w:rPr>
              <w:t xml:space="preserve">1 Poverty 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</w:tcBorders>
            <w:noWrap/>
            <w:hideMark/>
          </w:tcPr>
          <w:p w:rsidRPr="003A203E" w:rsidR="00CB3853" w:rsidP="0071501B" w:rsidRDefault="00B33313" w14:paraId="5ED5F277" w14:textId="0FDA6783">
            <w:pPr>
              <w:rPr>
                <w:b/>
                <w:bCs/>
                <w:sz w:val="18"/>
                <w:szCs w:val="18"/>
              </w:rPr>
            </w:pPr>
            <w:r w:rsidRPr="003A203E">
              <w:rPr>
                <w:b/>
                <w:bCs/>
                <w:sz w:val="18"/>
                <w:szCs w:val="18"/>
              </w:rPr>
              <w:t xml:space="preserve">2 Governance 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</w:tcBorders>
            <w:noWrap/>
            <w:hideMark/>
          </w:tcPr>
          <w:p w:rsidRPr="003A203E" w:rsidR="00CB3853" w:rsidP="0071501B" w:rsidRDefault="00B33313" w14:paraId="50C3A0DD" w14:textId="2941C133">
            <w:pPr>
              <w:rPr>
                <w:b/>
                <w:bCs/>
                <w:sz w:val="18"/>
                <w:szCs w:val="18"/>
              </w:rPr>
            </w:pPr>
            <w:r w:rsidRPr="003A203E">
              <w:rPr>
                <w:b/>
                <w:bCs/>
                <w:sz w:val="18"/>
                <w:szCs w:val="18"/>
              </w:rPr>
              <w:t xml:space="preserve">3 Resilience 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</w:tcBorders>
            <w:noWrap/>
            <w:hideMark/>
          </w:tcPr>
          <w:p w:rsidRPr="003A203E" w:rsidR="00CB3853" w:rsidP="0071501B" w:rsidRDefault="00B33313" w14:paraId="7BFF0BC2" w14:textId="17C57839">
            <w:pPr>
              <w:rPr>
                <w:b/>
                <w:bCs/>
                <w:sz w:val="18"/>
                <w:szCs w:val="18"/>
              </w:rPr>
            </w:pPr>
            <w:r w:rsidRPr="003A203E">
              <w:rPr>
                <w:b/>
                <w:bCs/>
                <w:sz w:val="18"/>
                <w:szCs w:val="18"/>
              </w:rPr>
              <w:t xml:space="preserve">4 Environment 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</w:tcBorders>
            <w:noWrap/>
            <w:hideMark/>
          </w:tcPr>
          <w:p w:rsidRPr="003A203E" w:rsidR="00CB3853" w:rsidP="0071501B" w:rsidRDefault="00B33313" w14:paraId="02730AA4" w14:textId="289171F6">
            <w:pPr>
              <w:rPr>
                <w:b/>
                <w:bCs/>
                <w:sz w:val="18"/>
                <w:szCs w:val="18"/>
              </w:rPr>
            </w:pPr>
            <w:r w:rsidRPr="003A203E">
              <w:rPr>
                <w:b/>
                <w:bCs/>
                <w:sz w:val="18"/>
                <w:szCs w:val="18"/>
              </w:rPr>
              <w:t xml:space="preserve">5 Energy 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</w:tcBorders>
            <w:noWrap/>
            <w:hideMark/>
          </w:tcPr>
          <w:p w:rsidRPr="003A203E" w:rsidR="00CB3853" w:rsidP="0071501B" w:rsidRDefault="00B33313" w14:paraId="126BDE1E" w14:textId="5BBBDB63">
            <w:pPr>
              <w:rPr>
                <w:b/>
                <w:bCs/>
                <w:sz w:val="18"/>
                <w:szCs w:val="18"/>
              </w:rPr>
            </w:pPr>
            <w:r w:rsidRPr="003A203E">
              <w:rPr>
                <w:b/>
                <w:bCs/>
                <w:sz w:val="18"/>
                <w:szCs w:val="18"/>
              </w:rPr>
              <w:t xml:space="preserve">6 Gender </w:t>
            </w:r>
          </w:p>
        </w:tc>
      </w:tr>
      <w:tr w:rsidRPr="0071501B" w:rsidR="0071501B" w:rsidTr="00FC195E" w14:paraId="3E610C86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3AE791D5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rural areas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60D27391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21%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04A85DB1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rural areas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4A1F04E0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19%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230ADA59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rural areas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72673B0E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25%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7D518729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rural areas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3BBB327F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28%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178CFCB1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rural areas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16C6E1E1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24%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66D42477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Women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7387DE1E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19%</w:t>
            </w:r>
          </w:p>
        </w:tc>
      </w:tr>
      <w:tr w:rsidRPr="0071501B" w:rsidR="0071501B" w:rsidTr="00FC195E" w14:paraId="3773161B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2C2A529D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urban areas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6EB01405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15%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73FCEC7D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urban areas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49096E2C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15%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09D46415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urban areas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341021CB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17%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69ED2A02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urban areas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4A717095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18%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7CF8E682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peri-urban areas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73AFF605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16%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407E1421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rural areas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3FD708A2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17%</w:t>
            </w:r>
          </w:p>
        </w:tc>
      </w:tr>
      <w:tr w:rsidRPr="0071501B" w:rsidR="0071501B" w:rsidTr="00FC195E" w14:paraId="18D42D8A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5523C8D3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multi-dimensional poverty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58DC1746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13%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0E75C35B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Women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56D43540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13%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260BC51F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directly affected by natural disasters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2C960D2E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14%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13846C2A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peri-urban areas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5A36418D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15%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6E7DA433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urban areas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65111A88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16%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5C33C3B9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urban areas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48E874C3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15%</w:t>
            </w:r>
          </w:p>
        </w:tc>
      </w:tr>
      <w:tr w:rsidRPr="0071501B" w:rsidR="0071501B" w:rsidTr="00FC195E" w14:paraId="660A9F11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1EE3D2AA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Women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25157AD5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11%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44160443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Youth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1BAE51BD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9%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09827982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Women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6D7C2C64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11%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4FBFF30F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Women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11DC74AC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10%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5174A561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Women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02F94B3D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8%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30C82433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Youth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0921857C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11%</w:t>
            </w:r>
          </w:p>
        </w:tc>
      </w:tr>
      <w:tr w:rsidRPr="0071501B" w:rsidR="0071501B" w:rsidTr="00FC195E" w14:paraId="6A8CB80D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408531C8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peri-urban areas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50D3A0FE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9%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61D41A38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peri-urban areas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20FED067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9%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6A8DD522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peri-urban areas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5E3671C3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9%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69B71BB5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Youth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30AECEBD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7%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3D3DF649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Youth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0D1E2F41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8%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5A079732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multi-dimensional poverty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7040370C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8%</w:t>
            </w:r>
          </w:p>
        </w:tc>
      </w:tr>
      <w:tr w:rsidRPr="0071501B" w:rsidR="0071501B" w:rsidTr="00FC195E" w14:paraId="2FEDC060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337DABC2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Youth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7732ED91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6%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77D0C770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multi-dimensional poverty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1F8005F5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7%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0D713BA2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multi-dimensional poverty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4C096F19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9%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20F7E33B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multi-dimensional poverty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60D51D68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6%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6AD609DA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multi-dimensional poverty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3044DFB1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7%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5D464791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with disabilities (</w:t>
            </w:r>
            <w:proofErr w:type="spellStart"/>
            <w:r w:rsidRPr="0071501B">
              <w:rPr>
                <w:sz w:val="18"/>
                <w:szCs w:val="18"/>
              </w:rPr>
              <w:t>PwD</w:t>
            </w:r>
            <w:proofErr w:type="spellEnd"/>
            <w:r w:rsidRPr="0071501B">
              <w:rPr>
                <w:sz w:val="18"/>
                <w:szCs w:val="18"/>
              </w:rPr>
              <w:t>)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6C345D57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6%</w:t>
            </w:r>
          </w:p>
        </w:tc>
      </w:tr>
      <w:tr w:rsidRPr="0071501B" w:rsidR="0071501B" w:rsidTr="00FC195E" w14:paraId="38416007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4EFA00C2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directly affected by natural disasters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67FC032B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4%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4A1269A7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Minorities (</w:t>
            </w:r>
            <w:proofErr w:type="gramStart"/>
            <w:r w:rsidRPr="0071501B">
              <w:rPr>
                <w:sz w:val="18"/>
                <w:szCs w:val="18"/>
              </w:rPr>
              <w:t>e.g.</w:t>
            </w:r>
            <w:proofErr w:type="gramEnd"/>
            <w:r w:rsidRPr="0071501B">
              <w:rPr>
                <w:sz w:val="18"/>
                <w:szCs w:val="18"/>
              </w:rPr>
              <w:t xml:space="preserve"> race, ethnicity, linguistic, religion, etc.)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3F6C0E20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6%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2F66AF07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Youth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11556B60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5%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1504EE76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directly affected by natural disasters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793CDB43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5%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2EB49499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slums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60B583C7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6%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2E8D4D19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peri-urban areas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7DD38FD2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6%</w:t>
            </w:r>
          </w:p>
        </w:tc>
      </w:tr>
      <w:tr w:rsidRPr="0071501B" w:rsidR="0071501B" w:rsidTr="00FC195E" w14:paraId="6CBD3719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3F0DC662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under the national poverty line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0E806F47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4%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7039A9D1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negatively affected by armed conflict or violence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6F34AB83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4%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52A4B2B4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with disabilities (</w:t>
            </w:r>
            <w:proofErr w:type="spellStart"/>
            <w:r w:rsidRPr="0071501B">
              <w:rPr>
                <w:sz w:val="18"/>
                <w:szCs w:val="18"/>
              </w:rPr>
              <w:t>PwD</w:t>
            </w:r>
            <w:proofErr w:type="spellEnd"/>
            <w:r w:rsidRPr="0071501B">
              <w:rPr>
                <w:sz w:val="18"/>
                <w:szCs w:val="18"/>
              </w:rPr>
              <w:t>)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136895CF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3%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2E47E7B0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Unemployed persons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17901B57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0E758843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under the national poverty line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4DF939E5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5%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6D2EF1F0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Sexual and gender orientation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3D0465AB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6%</w:t>
            </w:r>
          </w:p>
        </w:tc>
      </w:tr>
      <w:tr w:rsidRPr="0071501B" w:rsidR="0071501B" w:rsidTr="00FC195E" w14:paraId="3D97058F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31F79C17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Minorities (</w:t>
            </w:r>
            <w:proofErr w:type="gramStart"/>
            <w:r w:rsidRPr="0071501B">
              <w:rPr>
                <w:sz w:val="18"/>
                <w:szCs w:val="18"/>
              </w:rPr>
              <w:t>e.g.</w:t>
            </w:r>
            <w:proofErr w:type="gramEnd"/>
            <w:r w:rsidRPr="0071501B">
              <w:rPr>
                <w:sz w:val="18"/>
                <w:szCs w:val="18"/>
              </w:rPr>
              <w:t xml:space="preserve"> race, ethnicity, linguistic, religion, etc.)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032BE850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3%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467C0341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slums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1E95A551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3%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6DF3D097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Minorities (</w:t>
            </w:r>
            <w:proofErr w:type="gramStart"/>
            <w:r w:rsidRPr="0071501B">
              <w:rPr>
                <w:sz w:val="18"/>
                <w:szCs w:val="18"/>
              </w:rPr>
              <w:t>e.g.</w:t>
            </w:r>
            <w:proofErr w:type="gramEnd"/>
            <w:r w:rsidRPr="0071501B">
              <w:rPr>
                <w:sz w:val="18"/>
                <w:szCs w:val="18"/>
              </w:rPr>
              <w:t xml:space="preserve"> race, ethnicity, linguistic, religion, etc.)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3D962B97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451307B6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Minorities (</w:t>
            </w:r>
            <w:proofErr w:type="gramStart"/>
            <w:r w:rsidRPr="0071501B">
              <w:rPr>
                <w:sz w:val="18"/>
                <w:szCs w:val="18"/>
              </w:rPr>
              <w:t>e.g.</w:t>
            </w:r>
            <w:proofErr w:type="gramEnd"/>
            <w:r w:rsidRPr="0071501B">
              <w:rPr>
                <w:sz w:val="18"/>
                <w:szCs w:val="18"/>
              </w:rPr>
              <w:t xml:space="preserve"> race, ethnicity, linguistic, religion, etc.)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061BB261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6F96DDDF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Minorities (</w:t>
            </w:r>
            <w:proofErr w:type="gramStart"/>
            <w:r w:rsidRPr="0071501B">
              <w:rPr>
                <w:sz w:val="18"/>
                <w:szCs w:val="18"/>
              </w:rPr>
              <w:t>e.g.</w:t>
            </w:r>
            <w:proofErr w:type="gramEnd"/>
            <w:r w:rsidRPr="0071501B">
              <w:rPr>
                <w:sz w:val="18"/>
                <w:szCs w:val="18"/>
              </w:rPr>
              <w:t xml:space="preserve"> race, ethnicity, linguistic, religion, etc.)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09CA9B6B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3%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3CB8FE76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Unemployed persons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2006BD40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3%</w:t>
            </w:r>
          </w:p>
        </w:tc>
      </w:tr>
      <w:tr w:rsidRPr="0071501B" w:rsidR="0071501B" w:rsidTr="00FC195E" w14:paraId="3D381936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65BD1976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slums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2286ADE5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3%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23C9DE7E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with disabilities (</w:t>
            </w:r>
            <w:proofErr w:type="spellStart"/>
            <w:r w:rsidRPr="0071501B">
              <w:rPr>
                <w:sz w:val="18"/>
                <w:szCs w:val="18"/>
              </w:rPr>
              <w:t>PwD</w:t>
            </w:r>
            <w:proofErr w:type="spellEnd"/>
            <w:r w:rsidRPr="0071501B">
              <w:rPr>
                <w:sz w:val="18"/>
                <w:szCs w:val="18"/>
              </w:rPr>
              <w:t>)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12695960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6E9663EE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under the national poverty line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1A849A2C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6C1B556F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slums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6FA98027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54A649AF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Unemployed persons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0A659F9C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3%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77A8DFC3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slums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249D2F9B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3%</w:t>
            </w:r>
          </w:p>
        </w:tc>
      </w:tr>
      <w:tr w:rsidRPr="0071501B" w:rsidR="0071501B" w:rsidTr="00FC195E" w14:paraId="37A4B484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2C2C0688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negatively affected by armed conflict or violence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3003680C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0DBB69A2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under the national poverty line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69D01416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6E9F7E95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Sexual and gender orientation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77C81E39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533C79E6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under the national poverty line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521D5CDF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4B80BB91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Migrants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24A87A60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6E6B8066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Minorities (</w:t>
            </w:r>
            <w:proofErr w:type="gramStart"/>
            <w:r w:rsidRPr="0071501B">
              <w:rPr>
                <w:sz w:val="18"/>
                <w:szCs w:val="18"/>
              </w:rPr>
              <w:t>e.g.</w:t>
            </w:r>
            <w:proofErr w:type="gramEnd"/>
            <w:r w:rsidRPr="0071501B">
              <w:rPr>
                <w:sz w:val="18"/>
                <w:szCs w:val="18"/>
              </w:rPr>
              <w:t xml:space="preserve"> race, ethnicity, linguistic, religion, etc.)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2D29CCDB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2%</w:t>
            </w:r>
          </w:p>
        </w:tc>
      </w:tr>
      <w:tr w:rsidRPr="0071501B" w:rsidR="0071501B" w:rsidTr="00FC195E" w14:paraId="04EAE7B3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44AE0651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with disabilities (</w:t>
            </w:r>
            <w:proofErr w:type="spellStart"/>
            <w:r w:rsidRPr="0071501B">
              <w:rPr>
                <w:sz w:val="18"/>
                <w:szCs w:val="18"/>
              </w:rPr>
              <w:t>PwD</w:t>
            </w:r>
            <w:proofErr w:type="spellEnd"/>
            <w:r w:rsidRPr="0071501B">
              <w:rPr>
                <w:sz w:val="18"/>
                <w:szCs w:val="18"/>
              </w:rPr>
              <w:t>)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63352D83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0A1FDD80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Sexual and gender orientation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038121FD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0C019A04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Unemployed persons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347E3A49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698ECA26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with disabilities (</w:t>
            </w:r>
            <w:proofErr w:type="spellStart"/>
            <w:r w:rsidRPr="0071501B">
              <w:rPr>
                <w:sz w:val="18"/>
                <w:szCs w:val="18"/>
              </w:rPr>
              <w:t>PwD</w:t>
            </w:r>
            <w:proofErr w:type="spellEnd"/>
            <w:r w:rsidRPr="0071501B">
              <w:rPr>
                <w:sz w:val="18"/>
                <w:szCs w:val="18"/>
              </w:rPr>
              <w:t>)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25EE0686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377CF9AE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directly affected by natural disasters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50834820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5772CB24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under the national poverty line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69E803E9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2%</w:t>
            </w:r>
          </w:p>
        </w:tc>
      </w:tr>
      <w:tr w:rsidRPr="0071501B" w:rsidR="0071501B" w:rsidTr="00FC195E" w14:paraId="1466A195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42C780A4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Unemployed persons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7A9ED968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2%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3B077613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Migrants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28498428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275FB06D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Internally displaced persons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1CFFFA6D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2336DD40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negatively affected by armed conflict or violence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0AD295D4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4BCA949F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with disabilities (</w:t>
            </w:r>
            <w:proofErr w:type="spellStart"/>
            <w:r w:rsidRPr="0071501B">
              <w:rPr>
                <w:sz w:val="18"/>
                <w:szCs w:val="18"/>
              </w:rPr>
              <w:t>PwD</w:t>
            </w:r>
            <w:proofErr w:type="spellEnd"/>
            <w:r w:rsidRPr="0071501B">
              <w:rPr>
                <w:sz w:val="18"/>
                <w:szCs w:val="18"/>
              </w:rPr>
              <w:t>)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35B470DA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665A33E9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negatively affected by armed conflict or violence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2D864DE2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</w:tr>
      <w:tr w:rsidRPr="0071501B" w:rsidR="0071501B" w:rsidTr="00FC195E" w14:paraId="50E25A00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405199BC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Migrants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15839B83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74F1BEBD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directly affected by natural disasters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792F43CE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25492C73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negatively affected by armed conflict or violence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033AFFF0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09794A98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Internally displaced persons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0D2F69BD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6EF82AD3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Internally displaced persons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418FD3EC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45C1CDA4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 xml:space="preserve">Key populations for HIV, </w:t>
            </w:r>
            <w:proofErr w:type="gramStart"/>
            <w:r w:rsidRPr="0071501B">
              <w:rPr>
                <w:sz w:val="18"/>
                <w:szCs w:val="18"/>
              </w:rPr>
              <w:t>tuberculosis</w:t>
            </w:r>
            <w:proofErr w:type="gramEnd"/>
            <w:r w:rsidRPr="0071501B">
              <w:rPr>
                <w:sz w:val="18"/>
                <w:szCs w:val="18"/>
              </w:rPr>
              <w:t xml:space="preserve"> and malaria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36FADC4D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</w:tr>
      <w:tr w:rsidRPr="0071501B" w:rsidR="0071501B" w:rsidTr="00FC195E" w14:paraId="42DF72F0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16A39EA6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Internally displaced persons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1E0A0852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01EDE63E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 xml:space="preserve">Key populations for HIV, </w:t>
            </w:r>
            <w:proofErr w:type="gramStart"/>
            <w:r w:rsidRPr="0071501B">
              <w:rPr>
                <w:sz w:val="18"/>
                <w:szCs w:val="18"/>
              </w:rPr>
              <w:t>tuberculosis</w:t>
            </w:r>
            <w:proofErr w:type="gramEnd"/>
            <w:r w:rsidRPr="0071501B">
              <w:rPr>
                <w:sz w:val="18"/>
                <w:szCs w:val="18"/>
              </w:rPr>
              <w:t xml:space="preserve"> and malaria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1EA691B2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773023D8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People living in slums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0CDBFF92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6EE83F4E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 xml:space="preserve">Key populations for HIV, </w:t>
            </w:r>
            <w:proofErr w:type="gramStart"/>
            <w:r w:rsidRPr="0071501B">
              <w:rPr>
                <w:sz w:val="18"/>
                <w:szCs w:val="18"/>
              </w:rPr>
              <w:t>tuberculosis</w:t>
            </w:r>
            <w:proofErr w:type="gramEnd"/>
            <w:r w:rsidRPr="0071501B">
              <w:rPr>
                <w:sz w:val="18"/>
                <w:szCs w:val="18"/>
              </w:rPr>
              <w:t xml:space="preserve"> and malaria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5ED1872C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273B9C4C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 xml:space="preserve">Key populations for HIV, </w:t>
            </w:r>
            <w:proofErr w:type="gramStart"/>
            <w:r w:rsidRPr="0071501B">
              <w:rPr>
                <w:sz w:val="18"/>
                <w:szCs w:val="18"/>
              </w:rPr>
              <w:t>tuberculosis</w:t>
            </w:r>
            <w:proofErr w:type="gramEnd"/>
            <w:r w:rsidRPr="0071501B">
              <w:rPr>
                <w:sz w:val="18"/>
                <w:szCs w:val="18"/>
              </w:rPr>
              <w:t xml:space="preserve"> and malaria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34E7C602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3AA40F9F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directly affected by natural disasters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42F818E2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</w:tr>
      <w:tr w:rsidRPr="0071501B" w:rsidR="0071501B" w:rsidTr="00FC195E" w14:paraId="60F9CB48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11493D0E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 xml:space="preserve">Key populations for HIV, </w:t>
            </w:r>
            <w:proofErr w:type="gramStart"/>
            <w:r w:rsidRPr="0071501B">
              <w:rPr>
                <w:sz w:val="18"/>
                <w:szCs w:val="18"/>
              </w:rPr>
              <w:t>tuberculosis</w:t>
            </w:r>
            <w:proofErr w:type="gramEnd"/>
            <w:r w:rsidRPr="0071501B">
              <w:rPr>
                <w:sz w:val="18"/>
                <w:szCs w:val="18"/>
              </w:rPr>
              <w:t xml:space="preserve"> and malaria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41B7E9B9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478E3B6B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Unemployed persons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368A5036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7334075F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Migrants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2E0BCCF6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15C2C02D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Refugees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6B534AC6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75687241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Persons negatively affected by armed conflict or violence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42F43035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2CEA4031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Internally displaced persons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31AD5099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</w:tr>
      <w:tr w:rsidRPr="0071501B" w:rsidR="0071501B" w:rsidTr="00FC195E" w14:paraId="11BA414C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69F870DB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Sexual and gender orientation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7B0E6A61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73140FDC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Internally displaced persons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63B1583E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1%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25931CF7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 xml:space="preserve">Key populations for HIV, </w:t>
            </w:r>
            <w:proofErr w:type="gramStart"/>
            <w:r w:rsidRPr="0071501B">
              <w:rPr>
                <w:sz w:val="18"/>
                <w:szCs w:val="18"/>
              </w:rPr>
              <w:t>tuberculosis</w:t>
            </w:r>
            <w:proofErr w:type="gramEnd"/>
            <w:r w:rsidRPr="0071501B">
              <w:rPr>
                <w:sz w:val="18"/>
                <w:szCs w:val="18"/>
              </w:rPr>
              <w:t xml:space="preserve"> and malaria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17CAEC6D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5EDCCA04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Sexual and gender orientation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573EF30A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24FE9C94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Refugees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56C99A5A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0F335E91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Migrants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40BF9B6B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</w:tr>
      <w:tr w:rsidRPr="0071501B" w:rsidR="0071501B" w:rsidTr="00FC195E" w14:paraId="71FD5436" w14:textId="77777777">
        <w:trPr>
          <w:trHeight w:val="300"/>
        </w:trPr>
        <w:tc>
          <w:tcPr>
            <w:tcW w:w="2405" w:type="dxa"/>
            <w:noWrap/>
            <w:hideMark/>
          </w:tcPr>
          <w:p w:rsidRPr="0071501B" w:rsidR="0071501B" w:rsidP="0071501B" w:rsidRDefault="0071501B" w14:paraId="3167C9E4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Refugees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75B8FC07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2313" w:type="dxa"/>
            <w:noWrap/>
            <w:hideMark/>
          </w:tcPr>
          <w:p w:rsidRPr="0071501B" w:rsidR="0071501B" w:rsidP="0071501B" w:rsidRDefault="0071501B" w14:paraId="54A98E54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Refugees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07C61B0A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2358" w:type="dxa"/>
            <w:noWrap/>
            <w:hideMark/>
          </w:tcPr>
          <w:p w:rsidRPr="0071501B" w:rsidR="0071501B" w:rsidP="0071501B" w:rsidRDefault="0071501B" w14:paraId="5607FF09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Refugees</w:t>
            </w:r>
          </w:p>
        </w:tc>
        <w:tc>
          <w:tcPr>
            <w:tcW w:w="619" w:type="dxa"/>
            <w:noWrap/>
            <w:hideMark/>
          </w:tcPr>
          <w:p w:rsidRPr="0071501B" w:rsidR="0071501B" w:rsidP="003A203E" w:rsidRDefault="0071501B" w14:paraId="0BCFE326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1937" w:type="dxa"/>
            <w:noWrap/>
            <w:hideMark/>
          </w:tcPr>
          <w:p w:rsidRPr="0071501B" w:rsidR="0071501B" w:rsidP="0071501B" w:rsidRDefault="0071501B" w14:paraId="4149EB57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Migrants</w:t>
            </w:r>
          </w:p>
        </w:tc>
        <w:tc>
          <w:tcPr>
            <w:tcW w:w="582" w:type="dxa"/>
            <w:noWrap/>
            <w:hideMark/>
          </w:tcPr>
          <w:p w:rsidRPr="0071501B" w:rsidR="0071501B" w:rsidP="003A203E" w:rsidRDefault="0071501B" w14:paraId="4BD64DD5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1694" w:type="dxa"/>
            <w:noWrap/>
            <w:hideMark/>
          </w:tcPr>
          <w:p w:rsidRPr="0071501B" w:rsidR="0071501B" w:rsidP="0071501B" w:rsidRDefault="0071501B" w14:paraId="7774CD6D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Sexual and gender orientation</w:t>
            </w:r>
          </w:p>
        </w:tc>
        <w:tc>
          <w:tcPr>
            <w:tcW w:w="664" w:type="dxa"/>
            <w:noWrap/>
            <w:hideMark/>
          </w:tcPr>
          <w:p w:rsidRPr="0071501B" w:rsidR="0071501B" w:rsidP="003A203E" w:rsidRDefault="0071501B" w14:paraId="56F9C1C3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  <w:tc>
          <w:tcPr>
            <w:tcW w:w="1875" w:type="dxa"/>
            <w:noWrap/>
            <w:hideMark/>
          </w:tcPr>
          <w:p w:rsidRPr="0071501B" w:rsidR="0071501B" w:rsidP="0071501B" w:rsidRDefault="0071501B" w14:paraId="468B36B9" w14:textId="77777777">
            <w:pPr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Refugees</w:t>
            </w:r>
          </w:p>
        </w:tc>
        <w:tc>
          <w:tcPr>
            <w:tcW w:w="671" w:type="dxa"/>
            <w:noWrap/>
            <w:hideMark/>
          </w:tcPr>
          <w:p w:rsidRPr="0071501B" w:rsidR="0071501B" w:rsidP="003A203E" w:rsidRDefault="0071501B" w14:paraId="65BF2BB9" w14:textId="77777777">
            <w:pPr>
              <w:jc w:val="center"/>
              <w:rPr>
                <w:sz w:val="18"/>
                <w:szCs w:val="18"/>
              </w:rPr>
            </w:pPr>
            <w:r w:rsidRPr="0071501B">
              <w:rPr>
                <w:sz w:val="18"/>
                <w:szCs w:val="18"/>
              </w:rPr>
              <w:t>0%</w:t>
            </w:r>
          </w:p>
        </w:tc>
      </w:tr>
    </w:tbl>
    <w:p w:rsidR="00900D8C" w:rsidRDefault="00900D8C" w14:paraId="0F2DE2DC" w14:textId="77777777"/>
    <w:p w:rsidR="00904573" w:rsidP="00904573" w:rsidRDefault="00904573" w14:paraId="5C174F5C" w14:textId="3C2C71B5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proofErr w:type="spellStart"/>
      <w:r w:rsidRPr="00B34095">
        <w:rPr>
          <w:rFonts w:eastAsia="Times New Roman" w:cstheme="minorHAnsi"/>
          <w:b/>
          <w:bCs/>
          <w:color w:val="000000" w:themeColor="text1"/>
          <w:sz w:val="24"/>
          <w:szCs w:val="24"/>
        </w:rPr>
        <w:t>Hows</w:t>
      </w:r>
      <w:proofErr w:type="spellEnd"/>
      <w:r w:rsidRPr="00B34095">
        <w:rPr>
          <w:rFonts w:eastAsia="Times New Roman" w:cstheme="minorHAnsi"/>
          <w:b/>
          <w:bCs/>
          <w:color w:val="000000" w:themeColor="text1"/>
          <w:sz w:val="24"/>
          <w:szCs w:val="24"/>
        </w:rPr>
        <w:t> </w:t>
      </w:r>
      <w:r w:rsidRPr="00B34095" w:rsidR="00CA347E">
        <w:rPr>
          <w:rFonts w:eastAsia="Times New Roman" w:cstheme="minorHAnsi"/>
          <w:b/>
          <w:bCs/>
          <w:color w:val="000000" w:themeColor="text1"/>
          <w:sz w:val="24"/>
          <w:szCs w:val="24"/>
        </w:rPr>
        <w:t>M</w:t>
      </w:r>
      <w:r w:rsidRPr="00B3409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arker </w:t>
      </w:r>
      <w:proofErr w:type="gramStart"/>
      <w:r w:rsidRPr="00B34095" w:rsidR="00CA347E">
        <w:rPr>
          <w:rFonts w:eastAsia="Times New Roman" w:cstheme="minorHAnsi"/>
          <w:b/>
          <w:bCs/>
          <w:color w:val="000000" w:themeColor="text1"/>
          <w:sz w:val="24"/>
          <w:szCs w:val="24"/>
        </w:rPr>
        <w:t>S</w:t>
      </w:r>
      <w:r w:rsidRPr="00B34095">
        <w:rPr>
          <w:rFonts w:eastAsia="Times New Roman" w:cstheme="minorHAnsi"/>
          <w:b/>
          <w:bCs/>
          <w:color w:val="000000" w:themeColor="text1"/>
          <w:sz w:val="24"/>
          <w:szCs w:val="24"/>
        </w:rPr>
        <w:t>ummary  </w:t>
      </w:r>
      <w:r w:rsidR="00FC195E">
        <w:rPr>
          <w:rFonts w:eastAsia="Times New Roman" w:cstheme="minorHAnsi"/>
          <w:b/>
          <w:bCs/>
          <w:color w:val="000000" w:themeColor="text1"/>
          <w:sz w:val="24"/>
          <w:szCs w:val="24"/>
        </w:rPr>
        <w:t>-</w:t>
      </w:r>
      <w:proofErr w:type="gramEnd"/>
      <w:r w:rsidR="00FC195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intervention types </w:t>
      </w:r>
    </w:p>
    <w:p w:rsidRPr="00B34095" w:rsidR="00B34095" w:rsidP="00904573" w:rsidRDefault="00B34095" w14:paraId="6FF21F21" w14:textId="77777777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:rsidRPr="00A162DD" w:rsidR="00904573" w:rsidP="00904573" w:rsidRDefault="00904573" w14:paraId="054C6793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162DD">
        <w:rPr>
          <w:rFonts w:ascii="Calibri" w:hAnsi="Calibri" w:eastAsia="Times New Roman" w:cs="Calibri"/>
        </w:rPr>
        <w:t> </w:t>
      </w:r>
    </w:p>
    <w:p w:rsidR="00237465" w:rsidP="00B33313" w:rsidRDefault="00904573" w14:paraId="431B5BE8" w14:textId="5808CA42">
      <w:pPr>
        <w:spacing w:after="0" w:line="240" w:lineRule="auto"/>
        <w:jc w:val="both"/>
        <w:textAlignment w:val="baseline"/>
        <w:rPr>
          <w:rFonts w:ascii="Calibri (Body)" w:hAnsi="Calibri (Body)" w:eastAsia="Calibri (Body)" w:cs="Calibri (Body)"/>
          <w:color w:val="000000" w:themeColor="text1"/>
        </w:rPr>
      </w:pPr>
      <w:r w:rsidRPr="00A162DD">
        <w:rPr>
          <w:rFonts w:ascii="Calibri" w:hAnsi="Calibri" w:eastAsia="Times New Roman" w:cs="Calibri"/>
        </w:rPr>
        <w:t>The </w:t>
      </w:r>
      <w:proofErr w:type="spellStart"/>
      <w:r w:rsidRPr="00A162DD">
        <w:rPr>
          <w:rFonts w:ascii="Calibri" w:hAnsi="Calibri" w:eastAsia="Times New Roman" w:cs="Calibri"/>
        </w:rPr>
        <w:t>hows</w:t>
      </w:r>
      <w:proofErr w:type="spellEnd"/>
      <w:r w:rsidRPr="00A162DD">
        <w:rPr>
          <w:rFonts w:ascii="Calibri" w:hAnsi="Calibri" w:eastAsia="Times New Roman" w:cs="Calibri"/>
        </w:rPr>
        <w:t xml:space="preserve"> marker data have been summarised to get an overview of </w:t>
      </w:r>
      <w:r w:rsidR="00B33313">
        <w:rPr>
          <w:rFonts w:ascii="Calibri" w:hAnsi="Calibri" w:eastAsia="Times New Roman" w:cs="Calibri"/>
        </w:rPr>
        <w:t>the intervention types</w:t>
      </w:r>
      <w:r w:rsidR="00C6147B">
        <w:rPr>
          <w:rFonts w:ascii="Calibri" w:hAnsi="Calibri" w:eastAsia="Times New Roman" w:cs="Calibri"/>
        </w:rPr>
        <w:t xml:space="preserve"> of project outputs</w:t>
      </w:r>
      <w:r w:rsidRPr="00A162DD">
        <w:rPr>
          <w:rFonts w:ascii="Calibri" w:hAnsi="Calibri" w:eastAsia="Times New Roman" w:cs="Calibri"/>
        </w:rPr>
        <w:t xml:space="preserve">. Table </w:t>
      </w:r>
      <w:r w:rsidR="00B33313">
        <w:rPr>
          <w:rFonts w:ascii="Calibri" w:hAnsi="Calibri" w:eastAsia="Times New Roman" w:cs="Calibri"/>
        </w:rPr>
        <w:t>3</w:t>
      </w:r>
      <w:r w:rsidRPr="00A162DD">
        <w:rPr>
          <w:rFonts w:ascii="Calibri" w:hAnsi="Calibri" w:eastAsia="Times New Roman" w:cs="Calibri"/>
        </w:rPr>
        <w:t xml:space="preserve"> shows the percentage distribution of </w:t>
      </w:r>
      <w:r w:rsidR="00B33313">
        <w:rPr>
          <w:rFonts w:ascii="Calibri" w:hAnsi="Calibri" w:eastAsia="Times New Roman" w:cs="Calibri"/>
        </w:rPr>
        <w:t>all</w:t>
      </w:r>
      <w:r w:rsidRPr="00A162DD">
        <w:rPr>
          <w:rFonts w:ascii="Calibri" w:hAnsi="Calibri" w:eastAsia="Times New Roman" w:cs="Calibri"/>
        </w:rPr>
        <w:t> reported intervention types</w:t>
      </w:r>
      <w:r w:rsidR="00B33313">
        <w:rPr>
          <w:rFonts w:ascii="Calibri" w:hAnsi="Calibri" w:eastAsia="Times New Roman" w:cs="Calibri"/>
        </w:rPr>
        <w:t xml:space="preserve">. </w:t>
      </w:r>
      <w:r w:rsidRPr="592ED226">
        <w:rPr>
          <w:rFonts w:ascii="Calibri (Body)" w:hAnsi="Calibri (Body)" w:eastAsia="Calibri (Body)" w:cs="Calibri (Body)"/>
          <w:color w:val="000000" w:themeColor="text1"/>
        </w:rPr>
        <w:t xml:space="preserve">Table 4 presents the intervention </w:t>
      </w:r>
      <w:r w:rsidR="00B33313">
        <w:rPr>
          <w:rFonts w:ascii="Calibri (Body)" w:hAnsi="Calibri (Body)" w:eastAsia="Calibri (Body)" w:cs="Calibri (Body)"/>
          <w:color w:val="000000" w:themeColor="text1"/>
        </w:rPr>
        <w:t>types</w:t>
      </w:r>
      <w:r w:rsidRPr="592ED226">
        <w:rPr>
          <w:rFonts w:ascii="Calibri (Body)" w:hAnsi="Calibri (Body)" w:eastAsia="Calibri (Body)" w:cs="Calibri (Body)"/>
          <w:color w:val="000000" w:themeColor="text1"/>
        </w:rPr>
        <w:t xml:space="preserve"> by Signature Solutions.</w:t>
      </w:r>
    </w:p>
    <w:p w:rsidR="00B33313" w:rsidP="00B33313" w:rsidRDefault="00B33313" w14:paraId="404ACDD4" w14:textId="10C70786">
      <w:pPr>
        <w:spacing w:after="0" w:line="240" w:lineRule="auto"/>
        <w:jc w:val="both"/>
        <w:textAlignment w:val="baseline"/>
        <w:rPr>
          <w:rFonts w:ascii="Calibri (Body)" w:hAnsi="Calibri (Body)" w:eastAsia="Calibri (Body)" w:cs="Calibri (Body)"/>
          <w:color w:val="000000" w:themeColor="text1"/>
        </w:rPr>
      </w:pPr>
    </w:p>
    <w:p w:rsidR="00970523" w:rsidRDefault="00970523" w14:paraId="3B7D5003" w14:textId="53387EAC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949"/>
        <w:gridCol w:w="1011"/>
        <w:gridCol w:w="406"/>
        <w:gridCol w:w="8022"/>
      </w:tblGrid>
      <w:tr w:rsidRPr="00585DE0" w:rsidR="00B34095" w:rsidTr="00B34095" w14:paraId="0868DD3B" w14:textId="478EBB9E">
        <w:trPr>
          <w:trHeight w:val="300"/>
        </w:trPr>
        <w:tc>
          <w:tcPr>
            <w:tcW w:w="6960" w:type="dxa"/>
            <w:gridSpan w:val="2"/>
            <w:tcBorders>
              <w:bottom w:val="single" w:color="auto" w:sz="4" w:space="0"/>
            </w:tcBorders>
            <w:noWrap/>
          </w:tcPr>
          <w:p w:rsidRPr="00B33313" w:rsidR="00B34095" w:rsidP="00585DE0" w:rsidRDefault="00B34095" w14:paraId="3FC87622" w14:textId="1107FDE8">
            <w:pPr>
              <w:rPr>
                <w:b/>
                <w:bCs/>
              </w:rPr>
            </w:pPr>
            <w:r w:rsidRPr="00B33313">
              <w:rPr>
                <w:b/>
                <w:bCs/>
              </w:rPr>
              <w:t xml:space="preserve">Table 3 </w:t>
            </w:r>
            <w:r w:rsidR="00274212">
              <w:rPr>
                <w:b/>
                <w:bCs/>
              </w:rPr>
              <w:t xml:space="preserve">RBAP 2020 </w:t>
            </w:r>
            <w:r w:rsidRPr="00B33313">
              <w:rPr>
                <w:b/>
                <w:bCs/>
              </w:rPr>
              <w:t>How’s Marker</w:t>
            </w:r>
            <w:r w:rsidR="00274212">
              <w:rPr>
                <w:b/>
                <w:bCs/>
              </w:rPr>
              <w:t>s</w:t>
            </w:r>
            <w:r w:rsidR="00274212">
              <w:rPr>
                <w:rStyle w:val="FootnoteReference"/>
                <w:b/>
                <w:bCs/>
              </w:rPr>
              <w:footnoteReference w:id="3"/>
            </w:r>
            <w:r w:rsidRPr="00B33313">
              <w:rPr>
                <w:b/>
                <w:bCs/>
              </w:rPr>
              <w:t xml:space="preserve"> </w:t>
            </w:r>
          </w:p>
        </w:tc>
        <w:tc>
          <w:tcPr>
            <w:tcW w:w="406" w:type="dxa"/>
            <w:vMerge w:val="restart"/>
          </w:tcPr>
          <w:p w:rsidRPr="00B33313" w:rsidR="00B34095" w:rsidP="00585DE0" w:rsidRDefault="00B34095" w14:paraId="54CB8311" w14:textId="77777777">
            <w:pPr>
              <w:rPr>
                <w:b/>
                <w:bCs/>
              </w:rPr>
            </w:pPr>
          </w:p>
        </w:tc>
        <w:tc>
          <w:tcPr>
            <w:tcW w:w="8022" w:type="dxa"/>
            <w:vMerge w:val="restart"/>
          </w:tcPr>
          <w:p w:rsidR="00B34095" w:rsidP="00585DE0" w:rsidRDefault="00B34095" w14:paraId="7618A7EB" w14:textId="77777777">
            <w:pPr>
              <w:rPr>
                <w:b/>
                <w:bCs/>
                <w:sz w:val="24"/>
                <w:szCs w:val="24"/>
              </w:rPr>
            </w:pPr>
          </w:p>
          <w:p w:rsidR="00B34095" w:rsidP="00585DE0" w:rsidRDefault="00B34095" w14:paraId="2A264B30" w14:textId="77777777">
            <w:pPr>
              <w:rPr>
                <w:b/>
                <w:bCs/>
                <w:sz w:val="24"/>
                <w:szCs w:val="24"/>
              </w:rPr>
            </w:pPr>
          </w:p>
          <w:p w:rsidRPr="00B34095" w:rsidR="00B34095" w:rsidP="00585DE0" w:rsidRDefault="00B34095" w14:paraId="09C2ACBE" w14:textId="12E68923">
            <w:pPr>
              <w:rPr>
                <w:sz w:val="24"/>
                <w:szCs w:val="24"/>
              </w:rPr>
            </w:pPr>
            <w:r w:rsidRPr="00B34095">
              <w:rPr>
                <w:sz w:val="24"/>
                <w:szCs w:val="24"/>
              </w:rPr>
              <w:t>Capacity development / technical assistance, Institutional Mechanisms and System Building and Convening / Partnerships / Knowledge Sharing</w:t>
            </w:r>
            <w:r w:rsidR="001256BB">
              <w:rPr>
                <w:sz w:val="24"/>
                <w:szCs w:val="24"/>
              </w:rPr>
              <w:t xml:space="preserve"> </w:t>
            </w:r>
            <w:r w:rsidRPr="00B34095">
              <w:rPr>
                <w:sz w:val="24"/>
                <w:szCs w:val="24"/>
              </w:rPr>
              <w:t xml:space="preserve">are among the most frequently reported intervention types across Signature Solutions. </w:t>
            </w:r>
          </w:p>
          <w:p w:rsidRPr="00B34095" w:rsidR="00B34095" w:rsidP="00585DE0" w:rsidRDefault="00B34095" w14:paraId="4F60466B" w14:textId="77777777">
            <w:pPr>
              <w:rPr>
                <w:sz w:val="24"/>
                <w:szCs w:val="24"/>
              </w:rPr>
            </w:pPr>
          </w:p>
          <w:p w:rsidRPr="00B33313" w:rsidR="00B34095" w:rsidP="00585DE0" w:rsidRDefault="00B34095" w14:paraId="49C081C7" w14:textId="21B4E7F3">
            <w:pPr>
              <w:rPr>
                <w:b/>
                <w:bCs/>
              </w:rPr>
            </w:pPr>
            <w:r w:rsidRPr="00B34095">
              <w:rPr>
                <w:sz w:val="24"/>
                <w:szCs w:val="24"/>
              </w:rPr>
              <w:t xml:space="preserve">The least frequently reported intervention types </w:t>
            </w:r>
            <w:proofErr w:type="gramStart"/>
            <w:r w:rsidRPr="00B34095">
              <w:rPr>
                <w:sz w:val="24"/>
                <w:szCs w:val="24"/>
              </w:rPr>
              <w:t>are:</w:t>
            </w:r>
            <w:proofErr w:type="gramEnd"/>
            <w:r w:rsidRPr="00B34095">
              <w:rPr>
                <w:sz w:val="24"/>
                <w:szCs w:val="24"/>
              </w:rPr>
              <w:t xml:space="preserve"> UN Agency Integration, Risk Analysis, Thought Leadership, Optimising Financing</w:t>
            </w:r>
            <w:r w:rsidR="00037B4E">
              <w:rPr>
                <w:sz w:val="24"/>
                <w:szCs w:val="24"/>
              </w:rPr>
              <w:t xml:space="preserve">, </w:t>
            </w:r>
            <w:r w:rsidRPr="00B34095" w:rsidR="00037B4E">
              <w:rPr>
                <w:sz w:val="24"/>
                <w:szCs w:val="24"/>
              </w:rPr>
              <w:t xml:space="preserve">Normative Support </w:t>
            </w:r>
            <w:r w:rsidRPr="00B34095">
              <w:rPr>
                <w:sz w:val="24"/>
                <w:szCs w:val="24"/>
              </w:rPr>
              <w:t>and Support Functions.</w:t>
            </w:r>
            <w:r>
              <w:t xml:space="preserve"> </w:t>
            </w:r>
          </w:p>
        </w:tc>
      </w:tr>
      <w:tr w:rsidRPr="00585DE0" w:rsidR="00B34095" w:rsidTr="00B34095" w14:paraId="501D1D40" w14:textId="793F7FEA">
        <w:trPr>
          <w:trHeight w:val="300"/>
        </w:trPr>
        <w:tc>
          <w:tcPr>
            <w:tcW w:w="59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585DE0" w:rsidR="00B34095" w:rsidRDefault="00B34095" w14:paraId="0F4EB3D7" w14:textId="77777777">
            <w:r w:rsidRPr="00585DE0">
              <w:t>Capacity Development / Technical Assistance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hideMark/>
          </w:tcPr>
          <w:p w:rsidRPr="00585DE0" w:rsidR="00B34095" w:rsidP="00585DE0" w:rsidRDefault="00B34095" w14:paraId="5955EACA" w14:textId="77777777">
            <w:r w:rsidRPr="00585DE0">
              <w:t>34%</w:t>
            </w:r>
          </w:p>
        </w:tc>
        <w:tc>
          <w:tcPr>
            <w:tcW w:w="406" w:type="dxa"/>
            <w:vMerge/>
          </w:tcPr>
          <w:p w:rsidRPr="00585DE0" w:rsidR="00B34095" w:rsidP="00585DE0" w:rsidRDefault="00B34095" w14:paraId="4C63B06E" w14:textId="77777777"/>
        </w:tc>
        <w:tc>
          <w:tcPr>
            <w:tcW w:w="8022" w:type="dxa"/>
            <w:vMerge/>
          </w:tcPr>
          <w:p w:rsidRPr="00585DE0" w:rsidR="00B34095" w:rsidP="00585DE0" w:rsidRDefault="00B34095" w14:paraId="141B1EEF" w14:textId="1E7011B3"/>
        </w:tc>
      </w:tr>
      <w:tr w:rsidRPr="00585DE0" w:rsidR="00B34095" w:rsidTr="00B34095" w14:paraId="07E1CEF8" w14:textId="6F7E7217">
        <w:trPr>
          <w:trHeight w:val="300"/>
        </w:trPr>
        <w:tc>
          <w:tcPr>
            <w:tcW w:w="59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585DE0" w:rsidR="00B34095" w:rsidRDefault="00B34095" w14:paraId="07F8003D" w14:textId="77777777">
            <w:r w:rsidRPr="00585DE0">
              <w:t>Institutional Mechanism and System Building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hideMark/>
          </w:tcPr>
          <w:p w:rsidRPr="00585DE0" w:rsidR="00B34095" w:rsidP="00585DE0" w:rsidRDefault="00B34095" w14:paraId="502DCB6C" w14:textId="77777777">
            <w:r w:rsidRPr="00585DE0">
              <w:t>16%</w:t>
            </w:r>
          </w:p>
        </w:tc>
        <w:tc>
          <w:tcPr>
            <w:tcW w:w="406" w:type="dxa"/>
            <w:vMerge/>
          </w:tcPr>
          <w:p w:rsidRPr="00585DE0" w:rsidR="00B34095" w:rsidP="00585DE0" w:rsidRDefault="00B34095" w14:paraId="349AC4A5" w14:textId="77777777"/>
        </w:tc>
        <w:tc>
          <w:tcPr>
            <w:tcW w:w="8022" w:type="dxa"/>
            <w:vMerge/>
          </w:tcPr>
          <w:p w:rsidRPr="00585DE0" w:rsidR="00B34095" w:rsidP="00585DE0" w:rsidRDefault="00B34095" w14:paraId="60EBD031" w14:textId="277452D7"/>
        </w:tc>
      </w:tr>
      <w:tr w:rsidRPr="00585DE0" w:rsidR="00B34095" w:rsidTr="00B34095" w14:paraId="5CFACEB3" w14:textId="519EE11C">
        <w:trPr>
          <w:trHeight w:val="300"/>
        </w:trPr>
        <w:tc>
          <w:tcPr>
            <w:tcW w:w="59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585DE0" w:rsidR="00B34095" w:rsidRDefault="00B34095" w14:paraId="7CCDC6AC" w14:textId="77777777">
            <w:r w:rsidRPr="00585DE0">
              <w:t>Convening / Partnerships / Knowledge Sharing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hideMark/>
          </w:tcPr>
          <w:p w:rsidRPr="00585DE0" w:rsidR="00B34095" w:rsidP="00585DE0" w:rsidRDefault="00B34095" w14:paraId="7D4BB8BB" w14:textId="77777777">
            <w:r w:rsidRPr="00585DE0">
              <w:t>12%</w:t>
            </w:r>
          </w:p>
        </w:tc>
        <w:tc>
          <w:tcPr>
            <w:tcW w:w="406" w:type="dxa"/>
            <w:vMerge/>
          </w:tcPr>
          <w:p w:rsidRPr="00585DE0" w:rsidR="00B34095" w:rsidP="00585DE0" w:rsidRDefault="00B34095" w14:paraId="53D043E2" w14:textId="77777777"/>
        </w:tc>
        <w:tc>
          <w:tcPr>
            <w:tcW w:w="8022" w:type="dxa"/>
            <w:vMerge/>
          </w:tcPr>
          <w:p w:rsidRPr="00585DE0" w:rsidR="00B34095" w:rsidP="00585DE0" w:rsidRDefault="00B34095" w14:paraId="572ECBEF" w14:textId="3076ACCF"/>
        </w:tc>
      </w:tr>
      <w:tr w:rsidRPr="00585DE0" w:rsidR="00B34095" w:rsidTr="00B34095" w14:paraId="2655CA68" w14:textId="395264B8">
        <w:trPr>
          <w:trHeight w:val="300"/>
        </w:trPr>
        <w:tc>
          <w:tcPr>
            <w:tcW w:w="59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585DE0" w:rsidR="00B34095" w:rsidRDefault="00B34095" w14:paraId="1CD8911B" w14:textId="77777777">
            <w:r w:rsidRPr="00585DE0">
              <w:t>Data Collection and Analysis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hideMark/>
          </w:tcPr>
          <w:p w:rsidRPr="00585DE0" w:rsidR="00B34095" w:rsidP="00585DE0" w:rsidRDefault="00B34095" w14:paraId="3B4377C0" w14:textId="77777777">
            <w:r w:rsidRPr="00585DE0">
              <w:t>10%</w:t>
            </w:r>
          </w:p>
        </w:tc>
        <w:tc>
          <w:tcPr>
            <w:tcW w:w="406" w:type="dxa"/>
            <w:vMerge/>
          </w:tcPr>
          <w:p w:rsidRPr="00585DE0" w:rsidR="00B34095" w:rsidP="00585DE0" w:rsidRDefault="00B34095" w14:paraId="7B1A9982" w14:textId="77777777"/>
        </w:tc>
        <w:tc>
          <w:tcPr>
            <w:tcW w:w="8022" w:type="dxa"/>
            <w:vMerge/>
          </w:tcPr>
          <w:p w:rsidRPr="00585DE0" w:rsidR="00B34095" w:rsidP="00585DE0" w:rsidRDefault="00B34095" w14:paraId="28EEB8F8" w14:textId="77C92843"/>
        </w:tc>
      </w:tr>
      <w:tr w:rsidRPr="00585DE0" w:rsidR="00B34095" w:rsidTr="00B34095" w14:paraId="1EB1CCC1" w14:textId="693AB890">
        <w:trPr>
          <w:trHeight w:val="300"/>
        </w:trPr>
        <w:tc>
          <w:tcPr>
            <w:tcW w:w="59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585DE0" w:rsidR="00B34095" w:rsidRDefault="00B34095" w14:paraId="4442C076" w14:textId="77777777">
            <w:r w:rsidRPr="00585DE0">
              <w:t>Policy Advice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hideMark/>
          </w:tcPr>
          <w:p w:rsidRPr="00585DE0" w:rsidR="00B34095" w:rsidP="00585DE0" w:rsidRDefault="00B34095" w14:paraId="4FDE500C" w14:textId="77777777">
            <w:r w:rsidRPr="00585DE0">
              <w:t>8%</w:t>
            </w:r>
          </w:p>
        </w:tc>
        <w:tc>
          <w:tcPr>
            <w:tcW w:w="406" w:type="dxa"/>
            <w:vMerge/>
          </w:tcPr>
          <w:p w:rsidRPr="00585DE0" w:rsidR="00B34095" w:rsidP="00585DE0" w:rsidRDefault="00B34095" w14:paraId="382BB2EB" w14:textId="77777777"/>
        </w:tc>
        <w:tc>
          <w:tcPr>
            <w:tcW w:w="8022" w:type="dxa"/>
            <w:vMerge/>
          </w:tcPr>
          <w:p w:rsidRPr="00585DE0" w:rsidR="00B34095" w:rsidP="00585DE0" w:rsidRDefault="00B34095" w14:paraId="0CC76E8B" w14:textId="46800424"/>
        </w:tc>
      </w:tr>
      <w:tr w:rsidRPr="00585DE0" w:rsidR="00B34095" w:rsidTr="00B34095" w14:paraId="36C0EFA1" w14:textId="59E87222">
        <w:trPr>
          <w:trHeight w:val="300"/>
        </w:trPr>
        <w:tc>
          <w:tcPr>
            <w:tcW w:w="59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585DE0" w:rsidR="00B34095" w:rsidRDefault="00B34095" w14:paraId="2608CD46" w14:textId="77777777">
            <w:r w:rsidRPr="00585DE0">
              <w:t>Direct support / Service Delivery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hideMark/>
          </w:tcPr>
          <w:p w:rsidRPr="00585DE0" w:rsidR="00B34095" w:rsidP="00585DE0" w:rsidRDefault="00B34095" w14:paraId="3AB7C302" w14:textId="77777777">
            <w:r w:rsidRPr="00585DE0">
              <w:t>7%</w:t>
            </w:r>
          </w:p>
        </w:tc>
        <w:tc>
          <w:tcPr>
            <w:tcW w:w="406" w:type="dxa"/>
            <w:vMerge/>
          </w:tcPr>
          <w:p w:rsidRPr="00585DE0" w:rsidR="00B34095" w:rsidP="00585DE0" w:rsidRDefault="00B34095" w14:paraId="47908663" w14:textId="77777777"/>
        </w:tc>
        <w:tc>
          <w:tcPr>
            <w:tcW w:w="8022" w:type="dxa"/>
            <w:vMerge/>
          </w:tcPr>
          <w:p w:rsidRPr="00585DE0" w:rsidR="00B34095" w:rsidP="00585DE0" w:rsidRDefault="00B34095" w14:paraId="456F5F90" w14:textId="7F7BB30A"/>
        </w:tc>
      </w:tr>
      <w:tr w:rsidRPr="00585DE0" w:rsidR="00B34095" w:rsidTr="00B34095" w14:paraId="131C31B8" w14:textId="5CB1EFA7">
        <w:trPr>
          <w:trHeight w:val="300"/>
        </w:trPr>
        <w:tc>
          <w:tcPr>
            <w:tcW w:w="59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585DE0" w:rsidR="00B34095" w:rsidRDefault="00B34095" w14:paraId="22B5CD68" w14:textId="77777777">
            <w:r w:rsidRPr="00585DE0">
              <w:t>Innovative Approaches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hideMark/>
          </w:tcPr>
          <w:p w:rsidRPr="00585DE0" w:rsidR="00B34095" w:rsidP="00585DE0" w:rsidRDefault="00B34095" w14:paraId="3395C10F" w14:textId="77777777">
            <w:r w:rsidRPr="00585DE0">
              <w:t>6%</w:t>
            </w:r>
          </w:p>
        </w:tc>
        <w:tc>
          <w:tcPr>
            <w:tcW w:w="406" w:type="dxa"/>
            <w:vMerge/>
          </w:tcPr>
          <w:p w:rsidRPr="00585DE0" w:rsidR="00B34095" w:rsidP="00585DE0" w:rsidRDefault="00B34095" w14:paraId="6BE0CD6C" w14:textId="77777777"/>
        </w:tc>
        <w:tc>
          <w:tcPr>
            <w:tcW w:w="8022" w:type="dxa"/>
            <w:vMerge/>
          </w:tcPr>
          <w:p w:rsidRPr="00585DE0" w:rsidR="00B34095" w:rsidP="00585DE0" w:rsidRDefault="00B34095" w14:paraId="3143B96D" w14:textId="0E805245"/>
        </w:tc>
      </w:tr>
      <w:tr w:rsidRPr="00585DE0" w:rsidR="00B34095" w:rsidTr="00B34095" w14:paraId="2DF2FEAE" w14:textId="0E2D69AF">
        <w:trPr>
          <w:trHeight w:val="300"/>
        </w:trPr>
        <w:tc>
          <w:tcPr>
            <w:tcW w:w="59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585DE0" w:rsidR="00B34095" w:rsidRDefault="00B34095" w14:paraId="3BAC2E72" w14:textId="77777777">
            <w:r w:rsidRPr="00585DE0">
              <w:t>Support Functions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hideMark/>
          </w:tcPr>
          <w:p w:rsidRPr="00585DE0" w:rsidR="00B34095" w:rsidP="00585DE0" w:rsidRDefault="00B34095" w14:paraId="577E93A5" w14:textId="77777777">
            <w:r w:rsidRPr="00585DE0">
              <w:t>1%</w:t>
            </w:r>
          </w:p>
        </w:tc>
        <w:tc>
          <w:tcPr>
            <w:tcW w:w="406" w:type="dxa"/>
            <w:vMerge/>
          </w:tcPr>
          <w:p w:rsidRPr="00585DE0" w:rsidR="00B34095" w:rsidP="00585DE0" w:rsidRDefault="00B34095" w14:paraId="64D9C178" w14:textId="77777777"/>
        </w:tc>
        <w:tc>
          <w:tcPr>
            <w:tcW w:w="8022" w:type="dxa"/>
            <w:vMerge/>
          </w:tcPr>
          <w:p w:rsidRPr="00585DE0" w:rsidR="00B34095" w:rsidP="00585DE0" w:rsidRDefault="00B34095" w14:paraId="7F3C254E" w14:textId="2A359675"/>
        </w:tc>
      </w:tr>
      <w:tr w:rsidRPr="00585DE0" w:rsidR="00B34095" w:rsidTr="00B34095" w14:paraId="4E30AC0D" w14:textId="41700D28">
        <w:trPr>
          <w:trHeight w:val="300"/>
        </w:trPr>
        <w:tc>
          <w:tcPr>
            <w:tcW w:w="59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585DE0" w:rsidR="00B34095" w:rsidRDefault="00B34095" w14:paraId="5E21159A" w14:textId="77777777">
            <w:r w:rsidRPr="00585DE0">
              <w:t>Normative Support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hideMark/>
          </w:tcPr>
          <w:p w:rsidRPr="00585DE0" w:rsidR="00B34095" w:rsidP="00585DE0" w:rsidRDefault="00B34095" w14:paraId="36469E38" w14:textId="77777777">
            <w:r w:rsidRPr="00585DE0">
              <w:t>1%</w:t>
            </w:r>
          </w:p>
        </w:tc>
        <w:tc>
          <w:tcPr>
            <w:tcW w:w="406" w:type="dxa"/>
            <w:vMerge/>
          </w:tcPr>
          <w:p w:rsidRPr="00585DE0" w:rsidR="00B34095" w:rsidP="00585DE0" w:rsidRDefault="00B34095" w14:paraId="7FDC3F03" w14:textId="77777777"/>
        </w:tc>
        <w:tc>
          <w:tcPr>
            <w:tcW w:w="8022" w:type="dxa"/>
            <w:vMerge/>
          </w:tcPr>
          <w:p w:rsidRPr="00585DE0" w:rsidR="00B34095" w:rsidP="00585DE0" w:rsidRDefault="00B34095" w14:paraId="02B5A00F" w14:textId="10E016ED"/>
        </w:tc>
      </w:tr>
      <w:tr w:rsidRPr="00585DE0" w:rsidR="00B34095" w:rsidTr="00B34095" w14:paraId="3E6F0DCF" w14:textId="0CCA21D7">
        <w:trPr>
          <w:trHeight w:val="300"/>
        </w:trPr>
        <w:tc>
          <w:tcPr>
            <w:tcW w:w="59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585DE0" w:rsidR="00B34095" w:rsidRDefault="00B34095" w14:paraId="3C45432B" w14:textId="77777777">
            <w:r w:rsidRPr="00585DE0">
              <w:t>Optimising Financing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hideMark/>
          </w:tcPr>
          <w:p w:rsidRPr="00585DE0" w:rsidR="00B34095" w:rsidP="00585DE0" w:rsidRDefault="00B34095" w14:paraId="482E974C" w14:textId="77777777">
            <w:r w:rsidRPr="00585DE0">
              <w:t>1%</w:t>
            </w:r>
          </w:p>
        </w:tc>
        <w:tc>
          <w:tcPr>
            <w:tcW w:w="406" w:type="dxa"/>
            <w:vMerge/>
          </w:tcPr>
          <w:p w:rsidRPr="00585DE0" w:rsidR="00B34095" w:rsidP="00585DE0" w:rsidRDefault="00B34095" w14:paraId="6B9D4283" w14:textId="77777777"/>
        </w:tc>
        <w:tc>
          <w:tcPr>
            <w:tcW w:w="8022" w:type="dxa"/>
            <w:vMerge/>
          </w:tcPr>
          <w:p w:rsidRPr="00585DE0" w:rsidR="00B34095" w:rsidP="00585DE0" w:rsidRDefault="00B34095" w14:paraId="4180E609" w14:textId="3F6A49C8"/>
        </w:tc>
      </w:tr>
      <w:tr w:rsidRPr="00585DE0" w:rsidR="00B34095" w:rsidTr="00B34095" w14:paraId="0FE7110F" w14:textId="0905C932">
        <w:trPr>
          <w:trHeight w:val="300"/>
        </w:trPr>
        <w:tc>
          <w:tcPr>
            <w:tcW w:w="59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585DE0" w:rsidR="00B34095" w:rsidRDefault="00B34095" w14:paraId="457197D0" w14:textId="77777777">
            <w:r w:rsidRPr="00585DE0">
              <w:t>Thought Leadership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hideMark/>
          </w:tcPr>
          <w:p w:rsidRPr="00585DE0" w:rsidR="00B34095" w:rsidP="00585DE0" w:rsidRDefault="00B34095" w14:paraId="31D9E9B2" w14:textId="77777777">
            <w:r w:rsidRPr="00585DE0">
              <w:t>1%</w:t>
            </w:r>
          </w:p>
        </w:tc>
        <w:tc>
          <w:tcPr>
            <w:tcW w:w="406" w:type="dxa"/>
            <w:vMerge/>
          </w:tcPr>
          <w:p w:rsidRPr="00585DE0" w:rsidR="00B34095" w:rsidP="00585DE0" w:rsidRDefault="00B34095" w14:paraId="23B4315B" w14:textId="77777777"/>
        </w:tc>
        <w:tc>
          <w:tcPr>
            <w:tcW w:w="8022" w:type="dxa"/>
            <w:vMerge/>
          </w:tcPr>
          <w:p w:rsidRPr="00585DE0" w:rsidR="00B34095" w:rsidP="00585DE0" w:rsidRDefault="00B34095" w14:paraId="3E0436DD" w14:textId="0B0D9906"/>
        </w:tc>
      </w:tr>
      <w:tr w:rsidRPr="00585DE0" w:rsidR="00B34095" w:rsidTr="00B34095" w14:paraId="1AC6458C" w14:textId="42B9A2DD">
        <w:trPr>
          <w:trHeight w:val="300"/>
        </w:trPr>
        <w:tc>
          <w:tcPr>
            <w:tcW w:w="59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585DE0" w:rsidR="00B34095" w:rsidRDefault="00B34095" w14:paraId="2E861330" w14:textId="77777777">
            <w:r w:rsidRPr="00585DE0">
              <w:t>Risk Analysis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hideMark/>
          </w:tcPr>
          <w:p w:rsidRPr="00585DE0" w:rsidR="00B34095" w:rsidP="00585DE0" w:rsidRDefault="00B34095" w14:paraId="689AEEC1" w14:textId="77777777">
            <w:r w:rsidRPr="00585DE0">
              <w:t>1%</w:t>
            </w:r>
          </w:p>
        </w:tc>
        <w:tc>
          <w:tcPr>
            <w:tcW w:w="406" w:type="dxa"/>
            <w:vMerge/>
          </w:tcPr>
          <w:p w:rsidRPr="00585DE0" w:rsidR="00B34095" w:rsidP="00585DE0" w:rsidRDefault="00B34095" w14:paraId="7DFE1AD7" w14:textId="77777777"/>
        </w:tc>
        <w:tc>
          <w:tcPr>
            <w:tcW w:w="8022" w:type="dxa"/>
            <w:vMerge/>
          </w:tcPr>
          <w:p w:rsidRPr="00585DE0" w:rsidR="00B34095" w:rsidP="00585DE0" w:rsidRDefault="00B34095" w14:paraId="66A9C54F" w14:textId="52D6300C"/>
        </w:tc>
      </w:tr>
      <w:tr w:rsidRPr="00585DE0" w:rsidR="00B34095" w:rsidTr="00B34095" w14:paraId="3B272152" w14:textId="1A035D6A">
        <w:trPr>
          <w:trHeight w:val="300"/>
        </w:trPr>
        <w:tc>
          <w:tcPr>
            <w:tcW w:w="59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585DE0" w:rsidR="00B34095" w:rsidRDefault="00B34095" w14:paraId="4366C0C2" w14:textId="77777777">
            <w:r w:rsidRPr="00585DE0">
              <w:t>UN Agency Integration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hideMark/>
          </w:tcPr>
          <w:p w:rsidRPr="00585DE0" w:rsidR="00B34095" w:rsidP="00585DE0" w:rsidRDefault="00B34095" w14:paraId="57FDB575" w14:textId="77777777">
            <w:r w:rsidRPr="00585DE0">
              <w:t>0%</w:t>
            </w:r>
          </w:p>
        </w:tc>
        <w:tc>
          <w:tcPr>
            <w:tcW w:w="406" w:type="dxa"/>
            <w:vMerge/>
          </w:tcPr>
          <w:p w:rsidRPr="00585DE0" w:rsidR="00B34095" w:rsidP="00585DE0" w:rsidRDefault="00B34095" w14:paraId="1CD24724" w14:textId="77777777"/>
        </w:tc>
        <w:tc>
          <w:tcPr>
            <w:tcW w:w="8022" w:type="dxa"/>
            <w:vMerge/>
          </w:tcPr>
          <w:p w:rsidRPr="00585DE0" w:rsidR="00B34095" w:rsidP="00585DE0" w:rsidRDefault="00B34095" w14:paraId="0E236CB3" w14:textId="1858AC2F"/>
        </w:tc>
      </w:tr>
    </w:tbl>
    <w:p w:rsidR="00970523" w:rsidRDefault="00970523" w14:paraId="513F8DF4" w14:textId="0E359CAA"/>
    <w:p w:rsidR="00970523" w:rsidRDefault="00970523" w14:paraId="39C7E320" w14:textId="527EC893"/>
    <w:p w:rsidR="0071501B" w:rsidRDefault="0071501B" w14:paraId="64E182CC" w14:textId="3A63AC51"/>
    <w:p w:rsidR="0071501B" w:rsidRDefault="0071501B" w14:paraId="1CD681F5" w14:textId="77777777"/>
    <w:p w:rsidR="00970523" w:rsidRDefault="00970523" w14:paraId="594F764B" w14:textId="276421E8"/>
    <w:p w:rsidR="008A23A8" w:rsidRDefault="008A23A8" w14:paraId="47757A74" w14:textId="00E77E53"/>
    <w:p w:rsidR="008A23A8" w:rsidRDefault="008A23A8" w14:paraId="4BE5E2E2" w14:textId="77777777"/>
    <w:p w:rsidR="00237465" w:rsidRDefault="00237465" w14:paraId="581B05C6" w14:textId="1FB959B1"/>
    <w:tbl>
      <w:tblPr>
        <w:tblStyle w:val="TableGrid"/>
        <w:tblW w:w="15672" w:type="dxa"/>
        <w:tblLook w:val="04A0" w:firstRow="1" w:lastRow="0" w:firstColumn="1" w:lastColumn="0" w:noHBand="0" w:noVBand="1"/>
      </w:tblPr>
      <w:tblGrid>
        <w:gridCol w:w="2247"/>
        <w:gridCol w:w="664"/>
        <w:gridCol w:w="2013"/>
        <w:gridCol w:w="664"/>
        <w:gridCol w:w="1858"/>
        <w:gridCol w:w="664"/>
        <w:gridCol w:w="1857"/>
        <w:gridCol w:w="664"/>
        <w:gridCol w:w="1857"/>
        <w:gridCol w:w="664"/>
        <w:gridCol w:w="1857"/>
        <w:gridCol w:w="664"/>
      </w:tblGrid>
      <w:tr w:rsidRPr="00B33313" w:rsidR="00B33313" w:rsidTr="008A23A8" w14:paraId="0A884B47" w14:textId="77777777">
        <w:trPr>
          <w:trHeight w:val="310"/>
        </w:trPr>
        <w:tc>
          <w:tcPr>
            <w:tcW w:w="15672" w:type="dxa"/>
            <w:gridSpan w:val="12"/>
            <w:noWrap/>
          </w:tcPr>
          <w:p w:rsidRPr="00B33313" w:rsidR="00B33313" w:rsidRDefault="00B33313" w14:paraId="0669239F" w14:textId="24EA0213">
            <w:pPr>
              <w:rPr>
                <w:b/>
                <w:bCs/>
                <w:sz w:val="20"/>
                <w:szCs w:val="20"/>
              </w:rPr>
            </w:pPr>
            <w:r w:rsidRPr="00B33313">
              <w:rPr>
                <w:b/>
                <w:bCs/>
                <w:sz w:val="20"/>
                <w:szCs w:val="20"/>
              </w:rPr>
              <w:t xml:space="preserve">Table 4 – </w:t>
            </w:r>
            <w:proofErr w:type="spellStart"/>
            <w:r w:rsidRPr="00B33313">
              <w:rPr>
                <w:b/>
                <w:bCs/>
                <w:sz w:val="20"/>
                <w:szCs w:val="20"/>
              </w:rPr>
              <w:t>Hows</w:t>
            </w:r>
            <w:proofErr w:type="spellEnd"/>
            <w:r w:rsidRPr="00B33313">
              <w:rPr>
                <w:b/>
                <w:bCs/>
                <w:sz w:val="20"/>
                <w:szCs w:val="20"/>
              </w:rPr>
              <w:t xml:space="preserve"> markers by Signature Solutions </w:t>
            </w:r>
          </w:p>
        </w:tc>
      </w:tr>
      <w:tr w:rsidRPr="00B33313" w:rsidR="008A23A8" w:rsidTr="008A23A8" w14:paraId="3ECEDFF7" w14:textId="77777777">
        <w:trPr>
          <w:trHeight w:val="310"/>
        </w:trPr>
        <w:tc>
          <w:tcPr>
            <w:tcW w:w="2247" w:type="dxa"/>
            <w:noWrap/>
            <w:hideMark/>
          </w:tcPr>
          <w:p w:rsidRPr="003A203E" w:rsidR="00585DE0" w:rsidRDefault="00B33313" w14:paraId="6E74075A" w14:textId="4B40FDFF">
            <w:pPr>
              <w:rPr>
                <w:b/>
                <w:bCs/>
                <w:sz w:val="20"/>
                <w:szCs w:val="20"/>
              </w:rPr>
            </w:pPr>
            <w:r w:rsidRPr="003A203E">
              <w:rPr>
                <w:b/>
                <w:bCs/>
                <w:sz w:val="20"/>
                <w:szCs w:val="20"/>
              </w:rPr>
              <w:t xml:space="preserve">1 Poverty </w:t>
            </w:r>
          </w:p>
        </w:tc>
        <w:tc>
          <w:tcPr>
            <w:tcW w:w="664" w:type="dxa"/>
            <w:noWrap/>
            <w:hideMark/>
          </w:tcPr>
          <w:p w:rsidRPr="003A203E" w:rsidR="00585DE0" w:rsidP="003A203E" w:rsidRDefault="00585DE0" w14:paraId="744AF8A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:rsidRPr="003A203E" w:rsidR="00585DE0" w:rsidRDefault="00B33313" w14:paraId="7B334E7A" w14:textId="0DB54068">
            <w:pPr>
              <w:rPr>
                <w:b/>
                <w:bCs/>
                <w:sz w:val="20"/>
                <w:szCs w:val="20"/>
              </w:rPr>
            </w:pPr>
            <w:r w:rsidRPr="003A203E">
              <w:rPr>
                <w:b/>
                <w:bCs/>
                <w:sz w:val="20"/>
                <w:szCs w:val="20"/>
              </w:rPr>
              <w:t xml:space="preserve">2 Governance </w:t>
            </w:r>
          </w:p>
        </w:tc>
        <w:tc>
          <w:tcPr>
            <w:tcW w:w="2521" w:type="dxa"/>
            <w:gridSpan w:val="2"/>
            <w:noWrap/>
            <w:hideMark/>
          </w:tcPr>
          <w:p w:rsidRPr="003A203E" w:rsidR="00585DE0" w:rsidRDefault="00B33313" w14:paraId="7A5696BA" w14:textId="1585D101">
            <w:pPr>
              <w:rPr>
                <w:b/>
                <w:bCs/>
                <w:sz w:val="20"/>
                <w:szCs w:val="20"/>
              </w:rPr>
            </w:pPr>
            <w:r w:rsidRPr="003A203E">
              <w:rPr>
                <w:b/>
                <w:bCs/>
                <w:sz w:val="20"/>
                <w:szCs w:val="20"/>
              </w:rPr>
              <w:t xml:space="preserve">3 Resilience </w:t>
            </w:r>
          </w:p>
        </w:tc>
        <w:tc>
          <w:tcPr>
            <w:tcW w:w="2520" w:type="dxa"/>
            <w:gridSpan w:val="2"/>
            <w:noWrap/>
            <w:hideMark/>
          </w:tcPr>
          <w:p w:rsidRPr="003A203E" w:rsidR="00585DE0" w:rsidRDefault="00B33313" w14:paraId="66E159E0" w14:textId="209EA119">
            <w:pPr>
              <w:rPr>
                <w:b/>
                <w:bCs/>
                <w:sz w:val="20"/>
                <w:szCs w:val="20"/>
              </w:rPr>
            </w:pPr>
            <w:r w:rsidRPr="003A203E">
              <w:rPr>
                <w:b/>
                <w:bCs/>
                <w:sz w:val="20"/>
                <w:szCs w:val="20"/>
              </w:rPr>
              <w:t xml:space="preserve">4 Environment </w:t>
            </w:r>
          </w:p>
        </w:tc>
        <w:tc>
          <w:tcPr>
            <w:tcW w:w="2520" w:type="dxa"/>
            <w:gridSpan w:val="2"/>
            <w:noWrap/>
            <w:hideMark/>
          </w:tcPr>
          <w:p w:rsidRPr="003A203E" w:rsidR="00585DE0" w:rsidRDefault="00B33313" w14:paraId="6E41CD66" w14:textId="2787A6CA">
            <w:pPr>
              <w:rPr>
                <w:b/>
                <w:bCs/>
                <w:sz w:val="20"/>
                <w:szCs w:val="20"/>
              </w:rPr>
            </w:pPr>
            <w:r w:rsidRPr="003A203E">
              <w:rPr>
                <w:b/>
                <w:bCs/>
                <w:sz w:val="20"/>
                <w:szCs w:val="20"/>
              </w:rPr>
              <w:t xml:space="preserve">5 Energy </w:t>
            </w:r>
          </w:p>
        </w:tc>
        <w:tc>
          <w:tcPr>
            <w:tcW w:w="2520" w:type="dxa"/>
            <w:gridSpan w:val="2"/>
            <w:noWrap/>
            <w:hideMark/>
          </w:tcPr>
          <w:p w:rsidRPr="003A203E" w:rsidR="00585DE0" w:rsidRDefault="00B33313" w14:paraId="6D71B8E3" w14:textId="3E240648">
            <w:pPr>
              <w:rPr>
                <w:b/>
                <w:bCs/>
                <w:sz w:val="20"/>
                <w:szCs w:val="20"/>
              </w:rPr>
            </w:pPr>
            <w:r w:rsidRPr="003A203E">
              <w:rPr>
                <w:b/>
                <w:bCs/>
                <w:sz w:val="20"/>
                <w:szCs w:val="20"/>
              </w:rPr>
              <w:t xml:space="preserve">6 Gender </w:t>
            </w:r>
          </w:p>
        </w:tc>
      </w:tr>
      <w:tr w:rsidRPr="00B33313" w:rsidR="008A23A8" w:rsidTr="008A23A8" w14:paraId="6ADE6916" w14:textId="77777777">
        <w:trPr>
          <w:trHeight w:val="310"/>
        </w:trPr>
        <w:tc>
          <w:tcPr>
            <w:tcW w:w="2247" w:type="dxa"/>
            <w:noWrap/>
            <w:hideMark/>
          </w:tcPr>
          <w:p w:rsidRPr="00B33313" w:rsidR="00585DE0" w:rsidRDefault="00585DE0" w14:paraId="2172D82E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Capacity Development / Technical Assistance</w:t>
            </w:r>
          </w:p>
        </w:tc>
        <w:tc>
          <w:tcPr>
            <w:tcW w:w="664" w:type="dxa"/>
            <w:noWrap/>
            <w:hideMark/>
          </w:tcPr>
          <w:p w:rsidRPr="00B33313" w:rsidR="00585DE0" w:rsidP="003A203E" w:rsidRDefault="00585DE0" w14:paraId="4DDC2132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33%</w:t>
            </w:r>
          </w:p>
        </w:tc>
        <w:tc>
          <w:tcPr>
            <w:tcW w:w="2013" w:type="dxa"/>
            <w:noWrap/>
            <w:hideMark/>
          </w:tcPr>
          <w:p w:rsidRPr="00B33313" w:rsidR="00585DE0" w:rsidRDefault="00585DE0" w14:paraId="10F255C1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Capacity Development / Technical Assistance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3BD097BE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36%</w:t>
            </w:r>
          </w:p>
        </w:tc>
        <w:tc>
          <w:tcPr>
            <w:tcW w:w="1858" w:type="dxa"/>
            <w:noWrap/>
            <w:hideMark/>
          </w:tcPr>
          <w:p w:rsidRPr="00B33313" w:rsidR="00585DE0" w:rsidRDefault="00585DE0" w14:paraId="4C5A2A91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Capacity Development / Technical Assistance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3A1FCEA6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34%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71478534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Capacity Development / Technical Assistance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FCDFFFE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36%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7CE2A6E2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Capacity Development / Technical Assistance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1E2936B9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36%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2E250C2F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Capacity Development / Technical Assistance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E512AA8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39%</w:t>
            </w:r>
          </w:p>
        </w:tc>
      </w:tr>
      <w:tr w:rsidRPr="00B33313" w:rsidR="008A23A8" w:rsidTr="008A23A8" w14:paraId="616EE956" w14:textId="77777777">
        <w:trPr>
          <w:trHeight w:val="310"/>
        </w:trPr>
        <w:tc>
          <w:tcPr>
            <w:tcW w:w="2247" w:type="dxa"/>
            <w:noWrap/>
            <w:hideMark/>
          </w:tcPr>
          <w:p w:rsidRPr="00B33313" w:rsidR="00585DE0" w:rsidRDefault="00585DE0" w14:paraId="71726D12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Institutional Mechanism and System Building</w:t>
            </w:r>
          </w:p>
        </w:tc>
        <w:tc>
          <w:tcPr>
            <w:tcW w:w="664" w:type="dxa"/>
            <w:noWrap/>
            <w:hideMark/>
          </w:tcPr>
          <w:p w:rsidRPr="00B33313" w:rsidR="00585DE0" w:rsidP="003A203E" w:rsidRDefault="00585DE0" w14:paraId="4DCF43F3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13%</w:t>
            </w:r>
          </w:p>
        </w:tc>
        <w:tc>
          <w:tcPr>
            <w:tcW w:w="2013" w:type="dxa"/>
            <w:noWrap/>
            <w:hideMark/>
          </w:tcPr>
          <w:p w:rsidRPr="00B33313" w:rsidR="00585DE0" w:rsidRDefault="00585DE0" w14:paraId="236E9739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Institutional Mechanism and System Building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64AC264B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18%</w:t>
            </w:r>
          </w:p>
        </w:tc>
        <w:tc>
          <w:tcPr>
            <w:tcW w:w="1858" w:type="dxa"/>
            <w:noWrap/>
            <w:hideMark/>
          </w:tcPr>
          <w:p w:rsidRPr="00B33313" w:rsidR="00585DE0" w:rsidRDefault="00585DE0" w14:paraId="3B45FB1D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Institutional Mechanism and System Building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06BF68A5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15%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781E4500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Institutional Mechanism and System Building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3C4A00A5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18%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7E07864A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Convening / Partnerships / Knowledge Sharing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01B7C89C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17%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0297C8BD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Institutional Mechanism and System Building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13FCB9C1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17%</w:t>
            </w:r>
          </w:p>
        </w:tc>
      </w:tr>
      <w:tr w:rsidRPr="00B33313" w:rsidR="008A23A8" w:rsidTr="008A23A8" w14:paraId="0F04E16F" w14:textId="77777777">
        <w:trPr>
          <w:trHeight w:val="310"/>
        </w:trPr>
        <w:tc>
          <w:tcPr>
            <w:tcW w:w="2247" w:type="dxa"/>
            <w:noWrap/>
            <w:hideMark/>
          </w:tcPr>
          <w:p w:rsidRPr="00B33313" w:rsidR="00585DE0" w:rsidRDefault="00585DE0" w14:paraId="76FA84B7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Data Collection and Analysis</w:t>
            </w:r>
          </w:p>
        </w:tc>
        <w:tc>
          <w:tcPr>
            <w:tcW w:w="664" w:type="dxa"/>
            <w:noWrap/>
            <w:hideMark/>
          </w:tcPr>
          <w:p w:rsidRPr="00B33313" w:rsidR="00585DE0" w:rsidP="003A203E" w:rsidRDefault="00585DE0" w14:paraId="03C24D81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12%</w:t>
            </w:r>
          </w:p>
        </w:tc>
        <w:tc>
          <w:tcPr>
            <w:tcW w:w="2013" w:type="dxa"/>
            <w:noWrap/>
            <w:hideMark/>
          </w:tcPr>
          <w:p w:rsidRPr="00B33313" w:rsidR="00585DE0" w:rsidRDefault="00585DE0" w14:paraId="50240C6E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Convening / Partnerships / Knowledge Sharing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11FDA524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12%</w:t>
            </w:r>
          </w:p>
        </w:tc>
        <w:tc>
          <w:tcPr>
            <w:tcW w:w="1858" w:type="dxa"/>
            <w:noWrap/>
            <w:hideMark/>
          </w:tcPr>
          <w:p w:rsidRPr="00B33313" w:rsidR="00585DE0" w:rsidRDefault="00585DE0" w14:paraId="4AB50D00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Data Collection and Analysis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1EC09850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13%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5D9FEA56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Convening / Partnerships / Knowledge Sharing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AEDC4B3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13%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6E9FF099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Data Collection and Analysis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08DE1B2A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12%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4BC4DE38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Direct support / Service Delivery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A8DDA84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11%</w:t>
            </w:r>
          </w:p>
        </w:tc>
      </w:tr>
      <w:tr w:rsidRPr="00B33313" w:rsidR="008A23A8" w:rsidTr="008A23A8" w14:paraId="16880CD0" w14:textId="77777777">
        <w:trPr>
          <w:trHeight w:val="310"/>
        </w:trPr>
        <w:tc>
          <w:tcPr>
            <w:tcW w:w="2247" w:type="dxa"/>
            <w:noWrap/>
            <w:hideMark/>
          </w:tcPr>
          <w:p w:rsidRPr="00B33313" w:rsidR="00585DE0" w:rsidRDefault="00585DE0" w14:paraId="49490CE1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Convening / Partnerships / Knowledge Sharing</w:t>
            </w:r>
          </w:p>
        </w:tc>
        <w:tc>
          <w:tcPr>
            <w:tcW w:w="664" w:type="dxa"/>
            <w:noWrap/>
            <w:hideMark/>
          </w:tcPr>
          <w:p w:rsidRPr="00B33313" w:rsidR="00585DE0" w:rsidP="003A203E" w:rsidRDefault="00585DE0" w14:paraId="127FFE5D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10%</w:t>
            </w:r>
          </w:p>
        </w:tc>
        <w:tc>
          <w:tcPr>
            <w:tcW w:w="2013" w:type="dxa"/>
            <w:noWrap/>
            <w:hideMark/>
          </w:tcPr>
          <w:p w:rsidRPr="00B33313" w:rsidR="00585DE0" w:rsidRDefault="00585DE0" w14:paraId="534DFB78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Direct support / Service Delivery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71B50195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9%</w:t>
            </w:r>
          </w:p>
        </w:tc>
        <w:tc>
          <w:tcPr>
            <w:tcW w:w="1858" w:type="dxa"/>
            <w:noWrap/>
            <w:hideMark/>
          </w:tcPr>
          <w:p w:rsidRPr="00B33313" w:rsidR="00585DE0" w:rsidRDefault="00585DE0" w14:paraId="480AACE9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Convening / Partnerships / Knowledge Sharing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C98432E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13%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58562210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Data Collection and Analysis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7B659E4B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10%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0476A553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Innovative Approaches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6B12137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12%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6454206E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Convening / Partnerships / Knowledge Sharing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0A6D19EB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10%</w:t>
            </w:r>
          </w:p>
        </w:tc>
      </w:tr>
      <w:tr w:rsidRPr="00B33313" w:rsidR="008A23A8" w:rsidTr="008A23A8" w14:paraId="375B37AD" w14:textId="77777777">
        <w:trPr>
          <w:trHeight w:val="310"/>
        </w:trPr>
        <w:tc>
          <w:tcPr>
            <w:tcW w:w="2247" w:type="dxa"/>
            <w:noWrap/>
            <w:hideMark/>
          </w:tcPr>
          <w:p w:rsidRPr="00B33313" w:rsidR="00585DE0" w:rsidRDefault="00585DE0" w14:paraId="7C604321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Policy Advice</w:t>
            </w:r>
          </w:p>
        </w:tc>
        <w:tc>
          <w:tcPr>
            <w:tcW w:w="664" w:type="dxa"/>
            <w:noWrap/>
            <w:hideMark/>
          </w:tcPr>
          <w:p w:rsidRPr="00B33313" w:rsidR="00585DE0" w:rsidP="003A203E" w:rsidRDefault="00585DE0" w14:paraId="13FC3257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9%</w:t>
            </w:r>
          </w:p>
        </w:tc>
        <w:tc>
          <w:tcPr>
            <w:tcW w:w="2013" w:type="dxa"/>
            <w:noWrap/>
            <w:hideMark/>
          </w:tcPr>
          <w:p w:rsidRPr="00B33313" w:rsidR="00585DE0" w:rsidRDefault="00585DE0" w14:paraId="4D23F611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Policy Advice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77A3C86F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7%</w:t>
            </w:r>
          </w:p>
        </w:tc>
        <w:tc>
          <w:tcPr>
            <w:tcW w:w="1858" w:type="dxa"/>
            <w:noWrap/>
            <w:hideMark/>
          </w:tcPr>
          <w:p w:rsidRPr="00B33313" w:rsidR="00585DE0" w:rsidRDefault="00585DE0" w14:paraId="614D377E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Policy Advice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6A56CFA3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9%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1F688B84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Policy Advice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08BCFEA1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9%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55811864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Institutional Mechanism and System Building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4918D1E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11%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6EDF9B1A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Data Collection and Analysis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134E212B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9%</w:t>
            </w:r>
          </w:p>
        </w:tc>
      </w:tr>
      <w:tr w:rsidRPr="00B33313" w:rsidR="008A23A8" w:rsidTr="008A23A8" w14:paraId="3E637395" w14:textId="77777777">
        <w:trPr>
          <w:trHeight w:val="310"/>
        </w:trPr>
        <w:tc>
          <w:tcPr>
            <w:tcW w:w="2247" w:type="dxa"/>
            <w:noWrap/>
            <w:hideMark/>
          </w:tcPr>
          <w:p w:rsidRPr="00B33313" w:rsidR="00585DE0" w:rsidRDefault="00585DE0" w14:paraId="4173C582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Innovative Approaches</w:t>
            </w:r>
          </w:p>
        </w:tc>
        <w:tc>
          <w:tcPr>
            <w:tcW w:w="664" w:type="dxa"/>
            <w:noWrap/>
            <w:hideMark/>
          </w:tcPr>
          <w:p w:rsidRPr="00B33313" w:rsidR="00585DE0" w:rsidP="003A203E" w:rsidRDefault="00585DE0" w14:paraId="116CE804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7%</w:t>
            </w:r>
          </w:p>
        </w:tc>
        <w:tc>
          <w:tcPr>
            <w:tcW w:w="2013" w:type="dxa"/>
            <w:noWrap/>
            <w:hideMark/>
          </w:tcPr>
          <w:p w:rsidRPr="00B33313" w:rsidR="00585DE0" w:rsidRDefault="00585DE0" w14:paraId="1A0DA87D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Data Collection and Analysis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19057E62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6%</w:t>
            </w:r>
          </w:p>
        </w:tc>
        <w:tc>
          <w:tcPr>
            <w:tcW w:w="1858" w:type="dxa"/>
            <w:noWrap/>
            <w:hideMark/>
          </w:tcPr>
          <w:p w:rsidRPr="00B33313" w:rsidR="00585DE0" w:rsidRDefault="00585DE0" w14:paraId="02CE2735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Innovative Approaches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39C2D92C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5%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03123A51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Innovative Approaches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6D53EAEC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6%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4768541A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Direct support / Service Delivery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086F374D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5%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2DA92DE3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Innovative Approaches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4E5217AF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4%</w:t>
            </w:r>
          </w:p>
        </w:tc>
      </w:tr>
      <w:tr w:rsidRPr="00B33313" w:rsidR="008A23A8" w:rsidTr="008A23A8" w14:paraId="75CFC4EC" w14:textId="77777777">
        <w:trPr>
          <w:trHeight w:val="310"/>
        </w:trPr>
        <w:tc>
          <w:tcPr>
            <w:tcW w:w="2247" w:type="dxa"/>
            <w:noWrap/>
            <w:hideMark/>
          </w:tcPr>
          <w:p w:rsidRPr="00B33313" w:rsidR="00585DE0" w:rsidRDefault="00585DE0" w14:paraId="08560143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Direct support / Service Delivery</w:t>
            </w:r>
          </w:p>
        </w:tc>
        <w:tc>
          <w:tcPr>
            <w:tcW w:w="664" w:type="dxa"/>
            <w:noWrap/>
            <w:hideMark/>
          </w:tcPr>
          <w:p w:rsidRPr="00B33313" w:rsidR="00585DE0" w:rsidP="003A203E" w:rsidRDefault="00585DE0" w14:paraId="667B0A8E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7%</w:t>
            </w:r>
          </w:p>
        </w:tc>
        <w:tc>
          <w:tcPr>
            <w:tcW w:w="2013" w:type="dxa"/>
            <w:noWrap/>
            <w:hideMark/>
          </w:tcPr>
          <w:p w:rsidRPr="00B33313" w:rsidR="00585DE0" w:rsidRDefault="00585DE0" w14:paraId="1950D1AA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Innovative Approaches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4C8825B2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5%</w:t>
            </w:r>
          </w:p>
        </w:tc>
        <w:tc>
          <w:tcPr>
            <w:tcW w:w="1858" w:type="dxa"/>
            <w:noWrap/>
            <w:hideMark/>
          </w:tcPr>
          <w:p w:rsidRPr="00B33313" w:rsidR="00585DE0" w:rsidRDefault="00585DE0" w14:paraId="1E1B0DAF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Direct support / Service Delivery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0EE8BB42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5%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11648DCC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Direct support / Service Delivery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9A09523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2%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00864B3E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Optimising Financing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3B012FBD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3%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37913191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Policy Advice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82746B0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4%</w:t>
            </w:r>
          </w:p>
        </w:tc>
      </w:tr>
      <w:tr w:rsidRPr="00B33313" w:rsidR="008A23A8" w:rsidTr="008A23A8" w14:paraId="0FCD1961" w14:textId="77777777">
        <w:trPr>
          <w:trHeight w:val="310"/>
        </w:trPr>
        <w:tc>
          <w:tcPr>
            <w:tcW w:w="2247" w:type="dxa"/>
            <w:noWrap/>
            <w:hideMark/>
          </w:tcPr>
          <w:p w:rsidRPr="00B33313" w:rsidR="00585DE0" w:rsidRDefault="00585DE0" w14:paraId="3EC27CA8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Optimising Financing</w:t>
            </w:r>
          </w:p>
        </w:tc>
        <w:tc>
          <w:tcPr>
            <w:tcW w:w="664" w:type="dxa"/>
            <w:noWrap/>
            <w:hideMark/>
          </w:tcPr>
          <w:p w:rsidRPr="00B33313" w:rsidR="00585DE0" w:rsidP="003A203E" w:rsidRDefault="00585DE0" w14:paraId="46351AAA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2%</w:t>
            </w:r>
          </w:p>
        </w:tc>
        <w:tc>
          <w:tcPr>
            <w:tcW w:w="2013" w:type="dxa"/>
            <w:noWrap/>
            <w:hideMark/>
          </w:tcPr>
          <w:p w:rsidRPr="00B33313" w:rsidR="00585DE0" w:rsidRDefault="00585DE0" w14:paraId="7E4CB93B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Normative Support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606B0597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2%</w:t>
            </w:r>
          </w:p>
        </w:tc>
        <w:tc>
          <w:tcPr>
            <w:tcW w:w="1858" w:type="dxa"/>
            <w:noWrap/>
            <w:hideMark/>
          </w:tcPr>
          <w:p w:rsidRPr="00B33313" w:rsidR="00585DE0" w:rsidRDefault="00585DE0" w14:paraId="04C2671F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Risk Analysis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30FACE01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2%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20BDC99E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Optimising Financing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2BEC704A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289CA213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Policy Advice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1C02688E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3%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2371C529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Normative Support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EA58ADD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3%</w:t>
            </w:r>
          </w:p>
        </w:tc>
      </w:tr>
      <w:tr w:rsidRPr="00B33313" w:rsidR="008A23A8" w:rsidTr="008A23A8" w14:paraId="23385897" w14:textId="77777777">
        <w:trPr>
          <w:trHeight w:val="310"/>
        </w:trPr>
        <w:tc>
          <w:tcPr>
            <w:tcW w:w="2247" w:type="dxa"/>
            <w:noWrap/>
            <w:hideMark/>
          </w:tcPr>
          <w:p w:rsidRPr="00B33313" w:rsidR="00585DE0" w:rsidRDefault="00585DE0" w14:paraId="4A535097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Support Functions</w:t>
            </w:r>
          </w:p>
        </w:tc>
        <w:tc>
          <w:tcPr>
            <w:tcW w:w="664" w:type="dxa"/>
            <w:noWrap/>
            <w:hideMark/>
          </w:tcPr>
          <w:p w:rsidRPr="00B33313" w:rsidR="00585DE0" w:rsidP="003A203E" w:rsidRDefault="00585DE0" w14:paraId="79478D17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2%</w:t>
            </w:r>
          </w:p>
        </w:tc>
        <w:tc>
          <w:tcPr>
            <w:tcW w:w="2013" w:type="dxa"/>
            <w:noWrap/>
            <w:hideMark/>
          </w:tcPr>
          <w:p w:rsidRPr="00B33313" w:rsidR="00585DE0" w:rsidRDefault="00585DE0" w14:paraId="48FC9C33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Support Functions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1E011949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1%</w:t>
            </w:r>
          </w:p>
        </w:tc>
        <w:tc>
          <w:tcPr>
            <w:tcW w:w="1858" w:type="dxa"/>
            <w:noWrap/>
            <w:hideMark/>
          </w:tcPr>
          <w:p w:rsidRPr="00B33313" w:rsidR="00585DE0" w:rsidRDefault="00585DE0" w14:paraId="2B33C74F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Normative Support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7C71E79B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38CF1135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Normative Support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7AD3E74E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2E5D9F5C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Normative Support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8B7685C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0F2B6665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Support Functions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0F03E36C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2%</w:t>
            </w:r>
          </w:p>
        </w:tc>
      </w:tr>
      <w:tr w:rsidRPr="00B33313" w:rsidR="008A23A8" w:rsidTr="008A23A8" w14:paraId="2A86DD22" w14:textId="77777777">
        <w:trPr>
          <w:trHeight w:val="310"/>
        </w:trPr>
        <w:tc>
          <w:tcPr>
            <w:tcW w:w="2247" w:type="dxa"/>
            <w:noWrap/>
            <w:hideMark/>
          </w:tcPr>
          <w:p w:rsidRPr="00B33313" w:rsidR="00585DE0" w:rsidRDefault="00585DE0" w14:paraId="43AB4EBB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Thought Leadership</w:t>
            </w:r>
          </w:p>
        </w:tc>
        <w:tc>
          <w:tcPr>
            <w:tcW w:w="664" w:type="dxa"/>
            <w:noWrap/>
            <w:hideMark/>
          </w:tcPr>
          <w:p w:rsidRPr="00B33313" w:rsidR="00585DE0" w:rsidP="003A203E" w:rsidRDefault="00585DE0" w14:paraId="1DF8266A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2%</w:t>
            </w:r>
          </w:p>
        </w:tc>
        <w:tc>
          <w:tcPr>
            <w:tcW w:w="2013" w:type="dxa"/>
            <w:noWrap/>
            <w:hideMark/>
          </w:tcPr>
          <w:p w:rsidRPr="00B33313" w:rsidR="00585DE0" w:rsidRDefault="00585DE0" w14:paraId="53E6791D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Optimising Financing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4BC127C0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1%</w:t>
            </w:r>
          </w:p>
        </w:tc>
        <w:tc>
          <w:tcPr>
            <w:tcW w:w="1858" w:type="dxa"/>
            <w:noWrap/>
            <w:hideMark/>
          </w:tcPr>
          <w:p w:rsidRPr="00B33313" w:rsidR="00585DE0" w:rsidRDefault="00585DE0" w14:paraId="4C1EBEE6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Optimising Financing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28E68B4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3C53917D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Support Functions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6D0148EA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65573769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Risk Analysis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DF5A177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334048C5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Thought Leadership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44346EAE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2%</w:t>
            </w:r>
          </w:p>
        </w:tc>
      </w:tr>
      <w:tr w:rsidRPr="00B33313" w:rsidR="008A23A8" w:rsidTr="008A23A8" w14:paraId="7AFCA860" w14:textId="77777777">
        <w:trPr>
          <w:trHeight w:val="310"/>
        </w:trPr>
        <w:tc>
          <w:tcPr>
            <w:tcW w:w="2247" w:type="dxa"/>
            <w:noWrap/>
            <w:hideMark/>
          </w:tcPr>
          <w:p w:rsidRPr="00B33313" w:rsidR="00585DE0" w:rsidRDefault="00585DE0" w14:paraId="12DE259D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Normative Support</w:t>
            </w:r>
          </w:p>
        </w:tc>
        <w:tc>
          <w:tcPr>
            <w:tcW w:w="664" w:type="dxa"/>
            <w:noWrap/>
            <w:hideMark/>
          </w:tcPr>
          <w:p w:rsidRPr="00B33313" w:rsidR="00585DE0" w:rsidP="003A203E" w:rsidRDefault="00585DE0" w14:paraId="6F55BDB7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1%</w:t>
            </w:r>
          </w:p>
        </w:tc>
        <w:tc>
          <w:tcPr>
            <w:tcW w:w="2013" w:type="dxa"/>
            <w:noWrap/>
            <w:hideMark/>
          </w:tcPr>
          <w:p w:rsidRPr="00B33313" w:rsidR="00585DE0" w:rsidRDefault="00585DE0" w14:paraId="475C12D6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Thought Leadership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324B713D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1%</w:t>
            </w:r>
          </w:p>
        </w:tc>
        <w:tc>
          <w:tcPr>
            <w:tcW w:w="1858" w:type="dxa"/>
            <w:noWrap/>
            <w:hideMark/>
          </w:tcPr>
          <w:p w:rsidRPr="00B33313" w:rsidR="00585DE0" w:rsidRDefault="00585DE0" w14:paraId="1343EE4E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Support Functions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3019E234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0%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6C07C3BF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Thought Leadership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00ED74F2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30AC1373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Support Functions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472EAB5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0%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57A3157B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Optimising Financing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267BEB3F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0%</w:t>
            </w:r>
          </w:p>
        </w:tc>
      </w:tr>
      <w:tr w:rsidRPr="00B33313" w:rsidR="008A23A8" w:rsidTr="008A23A8" w14:paraId="59729486" w14:textId="77777777">
        <w:trPr>
          <w:trHeight w:val="310"/>
        </w:trPr>
        <w:tc>
          <w:tcPr>
            <w:tcW w:w="2247" w:type="dxa"/>
            <w:noWrap/>
            <w:hideMark/>
          </w:tcPr>
          <w:p w:rsidRPr="00B33313" w:rsidR="00585DE0" w:rsidRDefault="00585DE0" w14:paraId="49D45892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Risk Analysis</w:t>
            </w:r>
          </w:p>
        </w:tc>
        <w:tc>
          <w:tcPr>
            <w:tcW w:w="664" w:type="dxa"/>
            <w:noWrap/>
            <w:hideMark/>
          </w:tcPr>
          <w:p w:rsidRPr="00B33313" w:rsidR="00585DE0" w:rsidP="003A203E" w:rsidRDefault="00585DE0" w14:paraId="7256AFE1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1%</w:t>
            </w:r>
          </w:p>
        </w:tc>
        <w:tc>
          <w:tcPr>
            <w:tcW w:w="2013" w:type="dxa"/>
            <w:noWrap/>
            <w:hideMark/>
          </w:tcPr>
          <w:p w:rsidRPr="00B33313" w:rsidR="00585DE0" w:rsidRDefault="00585DE0" w14:paraId="02A63896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Risk Analysis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3DD5910F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1%</w:t>
            </w:r>
          </w:p>
        </w:tc>
        <w:tc>
          <w:tcPr>
            <w:tcW w:w="1858" w:type="dxa"/>
            <w:noWrap/>
            <w:hideMark/>
          </w:tcPr>
          <w:p w:rsidRPr="00B33313" w:rsidR="00585DE0" w:rsidRDefault="00585DE0" w14:paraId="452AB9A1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Thought Leadership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1320236B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0%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52FB6FC0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Risk Analysis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12FAF537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409DF800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Thought Leadership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073FFA9C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0%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3C7DE7A6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Risk Analysis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452C8EE4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0%</w:t>
            </w:r>
          </w:p>
        </w:tc>
      </w:tr>
      <w:tr w:rsidRPr="00B33313" w:rsidR="008A23A8" w:rsidTr="008A23A8" w14:paraId="3CCC5274" w14:textId="77777777">
        <w:trPr>
          <w:trHeight w:val="310"/>
        </w:trPr>
        <w:tc>
          <w:tcPr>
            <w:tcW w:w="2247" w:type="dxa"/>
            <w:noWrap/>
            <w:hideMark/>
          </w:tcPr>
          <w:p w:rsidRPr="00B33313" w:rsidR="00585DE0" w:rsidRDefault="00585DE0" w14:paraId="1BB8AE66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UN Agency Integration</w:t>
            </w:r>
          </w:p>
        </w:tc>
        <w:tc>
          <w:tcPr>
            <w:tcW w:w="664" w:type="dxa"/>
            <w:noWrap/>
            <w:hideMark/>
          </w:tcPr>
          <w:p w:rsidRPr="00B33313" w:rsidR="00585DE0" w:rsidP="003A203E" w:rsidRDefault="00585DE0" w14:paraId="1707511B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0%</w:t>
            </w:r>
          </w:p>
        </w:tc>
        <w:tc>
          <w:tcPr>
            <w:tcW w:w="2013" w:type="dxa"/>
            <w:noWrap/>
            <w:hideMark/>
          </w:tcPr>
          <w:p w:rsidRPr="00B33313" w:rsidR="00585DE0" w:rsidRDefault="00585DE0" w14:paraId="0EBF2851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UN Agency Integration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67A650B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0%</w:t>
            </w:r>
          </w:p>
        </w:tc>
        <w:tc>
          <w:tcPr>
            <w:tcW w:w="1858" w:type="dxa"/>
            <w:noWrap/>
            <w:hideMark/>
          </w:tcPr>
          <w:p w:rsidRPr="00B33313" w:rsidR="00585DE0" w:rsidRDefault="00585DE0" w14:paraId="30834AFD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UN Agency Integration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37E08648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0%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3B8C3EBD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UN Agency Integration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0E4FB68C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0%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231AE331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UN Agency Integration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98A8978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0%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32C8A30D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UN Agency Integration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5623F71F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0%</w:t>
            </w:r>
          </w:p>
        </w:tc>
      </w:tr>
      <w:tr w:rsidRPr="00B33313" w:rsidR="008A23A8" w:rsidTr="008A23A8" w14:paraId="4330BB56" w14:textId="77777777">
        <w:trPr>
          <w:trHeight w:val="310"/>
        </w:trPr>
        <w:tc>
          <w:tcPr>
            <w:tcW w:w="2247" w:type="dxa"/>
            <w:noWrap/>
            <w:hideMark/>
          </w:tcPr>
          <w:p w:rsidRPr="00B33313" w:rsidR="00585DE0" w:rsidRDefault="00585DE0" w14:paraId="0583FF17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Grand Total</w:t>
            </w:r>
          </w:p>
        </w:tc>
        <w:tc>
          <w:tcPr>
            <w:tcW w:w="664" w:type="dxa"/>
            <w:noWrap/>
            <w:hideMark/>
          </w:tcPr>
          <w:p w:rsidRPr="00B33313" w:rsidR="00585DE0" w:rsidP="003A203E" w:rsidRDefault="00585DE0" w14:paraId="33DDCBC1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100%</w:t>
            </w:r>
          </w:p>
        </w:tc>
        <w:tc>
          <w:tcPr>
            <w:tcW w:w="2013" w:type="dxa"/>
            <w:noWrap/>
            <w:hideMark/>
          </w:tcPr>
          <w:p w:rsidRPr="00B33313" w:rsidR="00585DE0" w:rsidRDefault="00585DE0" w14:paraId="5EDE8001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Grand Total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18E19EDA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100%</w:t>
            </w:r>
          </w:p>
        </w:tc>
        <w:tc>
          <w:tcPr>
            <w:tcW w:w="1858" w:type="dxa"/>
            <w:noWrap/>
            <w:hideMark/>
          </w:tcPr>
          <w:p w:rsidRPr="00B33313" w:rsidR="00585DE0" w:rsidRDefault="00585DE0" w14:paraId="2297C7AC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Grand Total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33D3C6FC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100%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5E857F8C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Grand Total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427AFB12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100%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02FEB9E2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Grand Total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012DCC80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100%</w:t>
            </w:r>
          </w:p>
        </w:tc>
        <w:tc>
          <w:tcPr>
            <w:tcW w:w="1857" w:type="dxa"/>
            <w:noWrap/>
            <w:hideMark/>
          </w:tcPr>
          <w:p w:rsidRPr="00B33313" w:rsidR="00585DE0" w:rsidRDefault="00585DE0" w14:paraId="550B0339" w14:textId="77777777">
            <w:pPr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Grand Total</w:t>
            </w:r>
          </w:p>
        </w:tc>
        <w:tc>
          <w:tcPr>
            <w:tcW w:w="663" w:type="dxa"/>
            <w:noWrap/>
            <w:hideMark/>
          </w:tcPr>
          <w:p w:rsidRPr="00B33313" w:rsidR="00585DE0" w:rsidP="003A203E" w:rsidRDefault="00585DE0" w14:paraId="22877F70" w14:textId="77777777">
            <w:pPr>
              <w:jc w:val="center"/>
              <w:rPr>
                <w:sz w:val="20"/>
                <w:szCs w:val="20"/>
              </w:rPr>
            </w:pPr>
            <w:r w:rsidRPr="00B33313">
              <w:rPr>
                <w:sz w:val="20"/>
                <w:szCs w:val="20"/>
              </w:rPr>
              <w:t>100%</w:t>
            </w:r>
          </w:p>
        </w:tc>
      </w:tr>
    </w:tbl>
    <w:p w:rsidR="00237465" w:rsidRDefault="00237465" w14:paraId="24B2B032" w14:textId="7F4CCE15"/>
    <w:p w:rsidR="00585DE0" w:rsidRDefault="00585DE0" w14:paraId="4807FEDC" w14:textId="22E6D508"/>
    <w:p w:rsidR="00B33313" w:rsidRDefault="00037B4E" w14:paraId="0C875672" w14:textId="03653009">
      <w:r>
        <w:lastRenderedPageBreak/>
        <w:t xml:space="preserve">Annex 1 - </w:t>
      </w:r>
    </w:p>
    <w:p w:rsidR="00B33313" w:rsidRDefault="00B33313" w14:paraId="4D2616D8" w14:textId="012387A9"/>
    <w:tbl>
      <w:tblPr>
        <w:tblW w:w="5118" w:type="dxa"/>
        <w:tblBorders>
          <w:insideH w:val="single" w:color="auto" w:sz="4" w:space="0"/>
        </w:tblBorders>
        <w:tblLook w:val="04A0" w:firstRow="1" w:lastRow="0" w:firstColumn="1" w:lastColumn="0" w:noHBand="0" w:noVBand="1"/>
      </w:tblPr>
      <w:tblGrid>
        <w:gridCol w:w="4536"/>
        <w:gridCol w:w="664"/>
      </w:tblGrid>
      <w:tr w:rsidRPr="00585DE0" w:rsidR="00585DE0" w:rsidTr="00CA347E" w14:paraId="72BC5FEC" w14:textId="77777777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1A66D293" w14:textId="4C7B7E2A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Signature </w:t>
            </w:r>
            <w:r w:rsidRPr="00CA347E" w:rsidR="00CA347E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– H</w:t>
            </w:r>
            <w:r w:rsidR="00CA347E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ow</w:t>
            </w:r>
            <w:r w:rsidRPr="00CA347E" w:rsidR="00CA347E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’s 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75A915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585DE0" w:rsidR="00585DE0" w:rsidTr="00CA347E" w14:paraId="18B7552D" w14:textId="77777777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3FB8C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Capacity Development / Technical Assistance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2FBA4A0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24%</w:t>
            </w:r>
          </w:p>
        </w:tc>
      </w:tr>
      <w:tr w:rsidRPr="00585DE0" w:rsidR="00585DE0" w:rsidTr="00CA347E" w14:paraId="14326284" w14:textId="77777777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4C4B5645" w14:textId="147D0B4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Convening / Partnerships / Knowledge Sharing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0139746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13%</w:t>
            </w:r>
          </w:p>
        </w:tc>
      </w:tr>
      <w:tr w:rsidRPr="00585DE0" w:rsidR="00585DE0" w:rsidTr="00CA347E" w14:paraId="326DD84E" w14:textId="77777777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6BFA1B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Data Collection and Analysis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74EC906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</w:tr>
      <w:tr w:rsidRPr="00585DE0" w:rsidR="00585DE0" w:rsidTr="00CA347E" w14:paraId="5D023328" w14:textId="77777777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3B0FE4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Direct support / Service Delivery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6BACBE0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</w:tr>
      <w:tr w:rsidRPr="00585DE0" w:rsidR="00585DE0" w:rsidTr="00CA347E" w14:paraId="720E5E2A" w14:textId="77777777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38717D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Support Functions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74D6DDF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</w:tr>
      <w:tr w:rsidRPr="00585DE0" w:rsidR="00585DE0" w:rsidTr="00CA347E" w14:paraId="3E65CCAB" w14:textId="77777777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2C3F60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Policy Advice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16726A5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8%</w:t>
            </w:r>
          </w:p>
        </w:tc>
      </w:tr>
      <w:tr w:rsidRPr="00585DE0" w:rsidR="00585DE0" w:rsidTr="00CA347E" w14:paraId="3D917963" w14:textId="77777777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62697F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Innovative Approaches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0457F65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8%</w:t>
            </w:r>
          </w:p>
        </w:tc>
      </w:tr>
      <w:tr w:rsidRPr="00585DE0" w:rsidR="00585DE0" w:rsidTr="00CA347E" w14:paraId="30331571" w14:textId="77777777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10EA9D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Institutional Mechanism and System Building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13A4B15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8%</w:t>
            </w:r>
          </w:p>
        </w:tc>
      </w:tr>
      <w:tr w:rsidRPr="00585DE0" w:rsidR="00585DE0" w:rsidTr="00CA347E" w14:paraId="2A15EFFB" w14:textId="77777777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32CA5F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UN Agency Integration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18C0735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5%</w:t>
            </w:r>
          </w:p>
        </w:tc>
      </w:tr>
      <w:tr w:rsidRPr="00585DE0" w:rsidR="00585DE0" w:rsidTr="00CA347E" w14:paraId="5E5B5BFE" w14:textId="77777777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26A431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Thought Leadership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03FB64E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</w:tr>
      <w:tr w:rsidRPr="00585DE0" w:rsidR="00585DE0" w:rsidTr="00CA347E" w14:paraId="72DFDCDD" w14:textId="77777777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71E50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Normative Support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7AC501B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</w:tr>
      <w:tr w:rsidRPr="00585DE0" w:rsidR="00585DE0" w:rsidTr="00CA347E" w14:paraId="13F361B1" w14:textId="77777777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1128EF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Optimising Financing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6A6DDE3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</w:tr>
      <w:tr w:rsidRPr="00585DE0" w:rsidR="00585DE0" w:rsidTr="00CA347E" w14:paraId="573E2C27" w14:textId="77777777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7AF778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Risk Analysis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02C83FA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</w:tr>
      <w:tr w:rsidRPr="00585DE0" w:rsidR="00585DE0" w:rsidTr="00CA347E" w14:paraId="4C943BD9" w14:textId="77777777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0730A9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Pr="00585DE0" w:rsidR="00585DE0" w:rsidP="00585DE0" w:rsidRDefault="00585DE0" w14:paraId="70D593C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</w:tbl>
    <w:p w:rsidR="00585DE0" w:rsidRDefault="00585DE0" w14:paraId="3EC3E3F6" w14:textId="77777777"/>
    <w:tbl>
      <w:tblPr>
        <w:tblW w:w="4699" w:type="dxa"/>
        <w:tblBorders>
          <w:insideH w:val="single" w:color="auto" w:sz="4" w:space="0"/>
        </w:tblBorders>
        <w:tblLook w:val="04A0" w:firstRow="1" w:lastRow="0" w:firstColumn="1" w:lastColumn="0" w:noHBand="0" w:noVBand="1"/>
      </w:tblPr>
      <w:tblGrid>
        <w:gridCol w:w="4177"/>
        <w:gridCol w:w="664"/>
      </w:tblGrid>
      <w:tr w:rsidRPr="00585DE0" w:rsidR="00CA347E" w:rsidTr="00CA347E" w14:paraId="1181DA0D" w14:textId="77777777">
        <w:trPr>
          <w:trHeight w:val="300"/>
        </w:trPr>
        <w:tc>
          <w:tcPr>
            <w:tcW w:w="4699" w:type="dxa"/>
            <w:gridSpan w:val="2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219CA565" w14:textId="15FA8EA0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Signature C</w:t>
            </w:r>
            <w:r w:rsidRPr="00CA347E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How’s </w:t>
            </w:r>
          </w:p>
        </w:tc>
      </w:tr>
      <w:tr w:rsidRPr="00585DE0" w:rsidR="00CA347E" w:rsidTr="00CA347E" w14:paraId="7CDFAA89" w14:textId="77777777">
        <w:trPr>
          <w:trHeight w:val="300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3D96ED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Capacity Development / Technical Assistance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6229E91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31%</w:t>
            </w:r>
          </w:p>
        </w:tc>
      </w:tr>
      <w:tr w:rsidRPr="00585DE0" w:rsidR="00CA347E" w:rsidTr="00CA347E" w14:paraId="3919723D" w14:textId="77777777">
        <w:trPr>
          <w:trHeight w:val="300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2B9E36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Convening / Partnerships / Knowledge Sharing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6FA8C84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25%</w:t>
            </w:r>
          </w:p>
        </w:tc>
      </w:tr>
      <w:tr w:rsidRPr="00585DE0" w:rsidR="00CA347E" w:rsidTr="00CA347E" w14:paraId="7A620F9F" w14:textId="77777777">
        <w:trPr>
          <w:trHeight w:val="300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20406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Data Collection and Analysis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626C937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13%</w:t>
            </w:r>
          </w:p>
        </w:tc>
      </w:tr>
      <w:tr w:rsidRPr="00585DE0" w:rsidR="00CA347E" w:rsidTr="00CA347E" w14:paraId="4888C883" w14:textId="77777777">
        <w:trPr>
          <w:trHeight w:val="300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1EFE4D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Innovative Approaches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1CE9986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13%</w:t>
            </w:r>
          </w:p>
        </w:tc>
      </w:tr>
      <w:tr w:rsidRPr="00585DE0" w:rsidR="00CA347E" w:rsidTr="00CA347E" w14:paraId="47B742B8" w14:textId="77777777">
        <w:trPr>
          <w:trHeight w:val="300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428137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Direct support / Service Delivery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724121B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6%</w:t>
            </w:r>
          </w:p>
        </w:tc>
      </w:tr>
      <w:tr w:rsidRPr="00585DE0" w:rsidR="00CA347E" w:rsidTr="00CA347E" w14:paraId="11D38479" w14:textId="77777777">
        <w:trPr>
          <w:trHeight w:val="300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5C8773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Optimising Financing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5369830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6%</w:t>
            </w:r>
          </w:p>
        </w:tc>
      </w:tr>
      <w:tr w:rsidRPr="00585DE0" w:rsidR="00CA347E" w:rsidTr="00CA347E" w14:paraId="54C57D00" w14:textId="77777777">
        <w:trPr>
          <w:trHeight w:val="300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7A8DD7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Policy Advice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2EA0400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6%</w:t>
            </w:r>
          </w:p>
        </w:tc>
      </w:tr>
      <w:tr w:rsidRPr="00585DE0" w:rsidR="00CA347E" w:rsidTr="00CA347E" w14:paraId="2363B5EA" w14:textId="77777777">
        <w:trPr>
          <w:trHeight w:val="300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375939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Institutional Mechanism and System Building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750A336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585DE0" w:rsidR="00CA347E" w:rsidTr="00CA347E" w14:paraId="74E11A5E" w14:textId="77777777">
        <w:trPr>
          <w:trHeight w:val="300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434699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Normative Support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0672959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585DE0" w:rsidR="00CA347E" w:rsidTr="00CA347E" w14:paraId="4F69982D" w14:textId="77777777">
        <w:trPr>
          <w:trHeight w:val="300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7ABD6C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Risk Analysis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4FFA465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585DE0" w:rsidR="00CA347E" w:rsidTr="00CA347E" w14:paraId="4D3AA23D" w14:textId="77777777">
        <w:trPr>
          <w:trHeight w:val="300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20FFDA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Support Functions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125B222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585DE0" w:rsidR="00CA347E" w:rsidTr="00CA347E" w14:paraId="04072E31" w14:textId="77777777">
        <w:trPr>
          <w:trHeight w:val="300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5D6ED7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Thought Leadership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003ECB3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585DE0" w:rsidR="00CA347E" w:rsidTr="00CA347E" w14:paraId="30F62751" w14:textId="77777777">
        <w:trPr>
          <w:trHeight w:val="300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2283B1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UN Agency Integration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31309CA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585DE0" w:rsidR="00CA347E" w:rsidTr="00CA347E" w14:paraId="29D4706B" w14:textId="77777777">
        <w:trPr>
          <w:trHeight w:val="300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6E4F27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Pr="00585DE0" w:rsidR="00CA347E" w:rsidP="00605B31" w:rsidRDefault="00CA347E" w14:paraId="6DAD3B9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85DE0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</w:tbl>
    <w:p w:rsidR="00237465" w:rsidRDefault="00237465" w14:paraId="01950D5C" w14:textId="4E2E37FF"/>
    <w:p w:rsidR="00970523" w:rsidRDefault="00970523" w14:paraId="5101EF8C" w14:textId="524FBF86"/>
    <w:tbl>
      <w:tblPr>
        <w:tblW w:w="10459" w:type="dxa"/>
        <w:tblLook w:val="04A0" w:firstRow="1" w:lastRow="0" w:firstColumn="1" w:lastColumn="0" w:noHBand="0" w:noVBand="1"/>
      </w:tblPr>
      <w:tblGrid>
        <w:gridCol w:w="4099"/>
        <w:gridCol w:w="644"/>
        <w:gridCol w:w="20"/>
        <w:gridCol w:w="677"/>
        <w:gridCol w:w="7"/>
        <w:gridCol w:w="677"/>
        <w:gridCol w:w="7"/>
        <w:gridCol w:w="4075"/>
        <w:gridCol w:w="649"/>
        <w:gridCol w:w="15"/>
      </w:tblGrid>
      <w:tr w:rsidRPr="007F1F3B" w:rsidR="007F1F3B" w:rsidTr="00CA347E" w14:paraId="0DBEFDE2" w14:textId="77777777">
        <w:trPr>
          <w:gridAfter w:val="1"/>
          <w:wAfter w:w="7" w:type="dxa"/>
          <w:trHeight w:val="300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4EAD24E" w14:textId="3C393865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Signature </w:t>
            </w:r>
            <w:r w:rsidRPr="00CA347E" w:rsidR="00CA347E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– Who’s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F92BE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BA3D9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57D7D2CE" w14:textId="59C6F04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Signature C</w:t>
            </w:r>
            <w:r w:rsidRPr="00CA347E" w:rsidR="00CA347E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Who’s Marker </w:t>
            </w:r>
          </w:p>
        </w:tc>
      </w:tr>
      <w:tr w:rsidRPr="007F1F3B" w:rsidR="007F1F3B" w:rsidTr="00CA347E" w14:paraId="3DF0B52A" w14:textId="77777777">
        <w:trPr>
          <w:trHeight w:val="300"/>
        </w:trPr>
        <w:tc>
          <w:tcPr>
            <w:tcW w:w="40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31E8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in urban areas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43FE6B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5282641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6F4621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0770A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in rural areas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21EA8B5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25%</w:t>
            </w:r>
          </w:p>
        </w:tc>
      </w:tr>
      <w:tr w:rsidRPr="007F1F3B" w:rsidR="007F1F3B" w:rsidTr="00CA347E" w14:paraId="4BA329DD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5662F2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in rural areas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2CF6A9A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19%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DD817A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61153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51AF59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in urban areas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EFFEFE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25%</w:t>
            </w:r>
          </w:p>
        </w:tc>
      </w:tr>
      <w:tr w:rsidRPr="007F1F3B" w:rsidR="007F1F3B" w:rsidTr="00CA347E" w14:paraId="2D85A414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D89DE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in multi-dimensional poverty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D39E33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13%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0CDB85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1F2712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8EDE6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in multi-dimensional poverty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19B7716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15%</w:t>
            </w:r>
          </w:p>
        </w:tc>
      </w:tr>
      <w:tr w:rsidRPr="007F1F3B" w:rsidR="007F1F3B" w:rsidTr="00CA347E" w14:paraId="04982B0E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AF467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D2760B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11%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AB578C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5EE794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54B32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in peri-urban areas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60DC759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</w:tr>
      <w:tr w:rsidRPr="007F1F3B" w:rsidR="007F1F3B" w:rsidTr="00CA347E" w14:paraId="4AC6A869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5CB85B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Minorities (</w:t>
            </w:r>
            <w:proofErr w:type="gramStart"/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e.g.</w:t>
            </w:r>
            <w:proofErr w:type="gramEnd"/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 race, ethnicity, linguistic, religion, etc.)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279F008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19E4363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63011A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C57DD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11DF9E4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</w:tr>
      <w:tr w:rsidRPr="007F1F3B" w:rsidR="007F1F3B" w:rsidTr="00CA347E" w14:paraId="67FA1859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2378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Youth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688CB70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95738B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22280A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52B26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Key populations for HIV, </w:t>
            </w:r>
            <w:proofErr w:type="gramStart"/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tuberculosis</w:t>
            </w:r>
            <w:proofErr w:type="gramEnd"/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 and malaria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1374194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5%</w:t>
            </w:r>
          </w:p>
        </w:tc>
      </w:tr>
      <w:tr w:rsidRPr="007F1F3B" w:rsidR="007F1F3B" w:rsidTr="00CA347E" w14:paraId="2E107762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084F5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under the national poverty line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7CE3A8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DA75DD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68C844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65EF61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Unemployed persons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2B887C2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5%</w:t>
            </w:r>
          </w:p>
        </w:tc>
      </w:tr>
      <w:tr w:rsidRPr="007F1F3B" w:rsidR="007F1F3B" w:rsidTr="00CA347E" w14:paraId="355A8554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8C0A4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Persons directly affected by natural disasters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21718BF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1C12974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104293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6516EB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Youth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B51349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5%</w:t>
            </w:r>
          </w:p>
        </w:tc>
      </w:tr>
      <w:tr w:rsidRPr="007F1F3B" w:rsidR="007F1F3B" w:rsidTr="00CA347E" w14:paraId="2F054E16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6CB9BB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in peri-urban areas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2C5B5BD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7DE48D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59DAA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CA528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Internally displaced persons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6704678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7F1F3B" w:rsidR="007F1F3B" w:rsidTr="00CA347E" w14:paraId="2AE92CB2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9916E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Persons with disabilities (</w:t>
            </w:r>
            <w:proofErr w:type="spellStart"/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PwD</w:t>
            </w:r>
            <w:proofErr w:type="spellEnd"/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5B57226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8D0791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0C2BB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9A1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Migrants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15F31E9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7F1F3B" w:rsidR="007F1F3B" w:rsidTr="00CA347E" w14:paraId="4905E1C7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E6478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Unemployed persons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F5FD28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1A1BC25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5FC04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203590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Minorities (</w:t>
            </w:r>
            <w:proofErr w:type="gramStart"/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e.g.</w:t>
            </w:r>
            <w:proofErr w:type="gramEnd"/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 race, ethnicity, linguistic, religion, etc.)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1F4023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7F1F3B" w:rsidR="007F1F3B" w:rsidTr="00CA347E" w14:paraId="16BF0052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1B37B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in slums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5D926F7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55CB1FE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6C9361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6D198F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in slums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8AE033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7F1F3B" w:rsidR="007F1F3B" w:rsidTr="00CA347E" w14:paraId="423177B4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87C16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Internally displaced persons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B72E00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510A2CA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E5F41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76E43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People living under the national poverty line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5C2CEA9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7F1F3B" w:rsidR="007F1F3B" w:rsidTr="00CA347E" w14:paraId="5F2709C5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ECA19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Key populations for HIV, </w:t>
            </w:r>
            <w:proofErr w:type="gramStart"/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tuberculosis</w:t>
            </w:r>
            <w:proofErr w:type="gramEnd"/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 and malaria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2A318C5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9E2426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81AE8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B4410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Persons directly affected by natural disasters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D30AB4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7F1F3B" w:rsidR="007F1F3B" w:rsidTr="00CA347E" w14:paraId="7B22EAC7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7AEC2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Migrants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655686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1591CD6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158251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38118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Persons negatively affected by armed conflict or violence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A8C158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7F1F3B" w:rsidR="007F1F3B" w:rsidTr="00CA347E" w14:paraId="3C6B248C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595D5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Persons negatively affected by armed conflict or violence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602B3C2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5AE882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3AAAC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5B0D3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Persons with disabilities (</w:t>
            </w:r>
            <w:proofErr w:type="spellStart"/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PwD</w:t>
            </w:r>
            <w:proofErr w:type="spellEnd"/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6BA5383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7F1F3B" w:rsidR="007F1F3B" w:rsidTr="00CA347E" w14:paraId="7234D90C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565E5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Sexual and gender orientation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6112F2E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2EFD8DD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503655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F6BBF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Refugees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3ADEB9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7F1F3B" w:rsidR="007F1F3B" w:rsidTr="00CA347E" w14:paraId="1E28DB60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0779A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Signature 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7756EF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2F2E88F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27485A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1DC579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Sexual and gender orientation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BCF637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Pr="007F1F3B" w:rsidR="007F1F3B" w:rsidTr="00CA347E" w14:paraId="5734BD74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2074BC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Refugees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396AB7A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E14CEF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0F54F4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938C9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25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22955D9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Pr="007F1F3B" w:rsidR="007F1F3B" w:rsidTr="00CA347E" w14:paraId="73A130EB" w14:textId="77777777">
        <w:trPr>
          <w:trHeight w:val="300"/>
        </w:trPr>
        <w:tc>
          <w:tcPr>
            <w:tcW w:w="409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1D54E3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5C9C45F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1F3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234B79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6B7347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40900B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1F3B" w:rsidR="007F1F3B" w:rsidP="007F1F3B" w:rsidRDefault="007F1F3B" w14:paraId="711FFF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70523" w:rsidRDefault="00970523" w14:paraId="58736693" w14:textId="77777777"/>
    <w:sectPr w:rsidR="00970523" w:rsidSect="00E83D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7EBB" w:rsidP="00E83DFA" w:rsidRDefault="00F67EBB" w14:paraId="002FD0BA" w14:textId="77777777">
      <w:pPr>
        <w:spacing w:after="0" w:line="240" w:lineRule="auto"/>
      </w:pPr>
      <w:r>
        <w:separator/>
      </w:r>
    </w:p>
  </w:endnote>
  <w:endnote w:type="continuationSeparator" w:id="0">
    <w:p w:rsidR="00F67EBB" w:rsidP="00E83DFA" w:rsidRDefault="00F67EBB" w14:paraId="1FA461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7EBB" w:rsidP="00E83DFA" w:rsidRDefault="00F67EBB" w14:paraId="11E6DCC4" w14:textId="77777777">
      <w:pPr>
        <w:spacing w:after="0" w:line="240" w:lineRule="auto"/>
      </w:pPr>
      <w:r>
        <w:separator/>
      </w:r>
    </w:p>
  </w:footnote>
  <w:footnote w:type="continuationSeparator" w:id="0">
    <w:p w:rsidR="00F67EBB" w:rsidP="00E83DFA" w:rsidRDefault="00F67EBB" w14:paraId="59AAB7D0" w14:textId="77777777">
      <w:pPr>
        <w:spacing w:after="0" w:line="240" w:lineRule="auto"/>
      </w:pPr>
      <w:r>
        <w:continuationSeparator/>
      </w:r>
    </w:p>
  </w:footnote>
  <w:footnote w:id="1">
    <w:p w:rsidR="008A23A8" w:rsidRDefault="008A23A8" w14:paraId="24498305" w14:textId="476D0235">
      <w:pPr>
        <w:pStyle w:val="FootnoteText"/>
      </w:pPr>
      <w:r>
        <w:rPr>
          <w:rStyle w:val="FootnoteReference"/>
        </w:rPr>
        <w:footnoteRef/>
      </w:r>
      <w:r>
        <w:t xml:space="preserve"> Percentages presented in this document are based on the count of outputs IDs linked to marker categories. The marker categories are not mutually exclusive; one output can be linked to several marker categories.</w:t>
      </w:r>
    </w:p>
  </w:footnote>
  <w:footnote w:id="2">
    <w:p w:rsidR="00CB3853" w:rsidRDefault="00CB3853" w14:paraId="002DCEBB" w14:textId="6766FC89">
      <w:pPr>
        <w:pStyle w:val="FootnoteText"/>
      </w:pPr>
      <w:r>
        <w:rPr>
          <w:rStyle w:val="FootnoteReference"/>
        </w:rPr>
        <w:footnoteRef/>
      </w:r>
      <w:r>
        <w:t xml:space="preserve"> Signature Solutions 1-6 and </w:t>
      </w:r>
      <w:r w:rsidRPr="00AA2775">
        <w:rPr>
          <w:highlight w:val="yellow"/>
        </w:rPr>
        <w:t>outputs not linked to Signature Solutions have been included in the analysis.</w:t>
      </w:r>
    </w:p>
  </w:footnote>
  <w:footnote w:id="3">
    <w:p w:rsidR="00274212" w:rsidRDefault="00274212" w14:paraId="6E3E2C68" w14:textId="7494E49B">
      <w:pPr>
        <w:pStyle w:val="FootnoteText"/>
      </w:pPr>
      <w:r>
        <w:rPr>
          <w:rStyle w:val="FootnoteReference"/>
        </w:rPr>
        <w:footnoteRef/>
      </w:r>
      <w:r>
        <w:t xml:space="preserve"> Signature Solutions 1-6 and outputs </w:t>
      </w:r>
      <w:r w:rsidRPr="005970C9">
        <w:rPr>
          <w:highlight w:val="yellow"/>
        </w:rPr>
        <w:t>not linked to Signature Solutions have been included in the analysis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23"/>
    <w:rsid w:val="00037B4E"/>
    <w:rsid w:val="001256BB"/>
    <w:rsid w:val="001A0FA5"/>
    <w:rsid w:val="001A709C"/>
    <w:rsid w:val="00203F2A"/>
    <w:rsid w:val="00237465"/>
    <w:rsid w:val="00274212"/>
    <w:rsid w:val="00311E23"/>
    <w:rsid w:val="003A203E"/>
    <w:rsid w:val="005117D8"/>
    <w:rsid w:val="00585DE0"/>
    <w:rsid w:val="005919DE"/>
    <w:rsid w:val="005970C9"/>
    <w:rsid w:val="005C5D9C"/>
    <w:rsid w:val="00687408"/>
    <w:rsid w:val="0071501B"/>
    <w:rsid w:val="007A1984"/>
    <w:rsid w:val="007D3413"/>
    <w:rsid w:val="007F1F3B"/>
    <w:rsid w:val="007F5F8A"/>
    <w:rsid w:val="008121F2"/>
    <w:rsid w:val="008A23A8"/>
    <w:rsid w:val="008A7C7A"/>
    <w:rsid w:val="00900D8C"/>
    <w:rsid w:val="00904573"/>
    <w:rsid w:val="00970523"/>
    <w:rsid w:val="009716AA"/>
    <w:rsid w:val="00A32051"/>
    <w:rsid w:val="00A61D7D"/>
    <w:rsid w:val="00A75055"/>
    <w:rsid w:val="00AA2775"/>
    <w:rsid w:val="00B33313"/>
    <w:rsid w:val="00B34095"/>
    <w:rsid w:val="00B96CAF"/>
    <w:rsid w:val="00BB1ABC"/>
    <w:rsid w:val="00BB51E5"/>
    <w:rsid w:val="00BD74AA"/>
    <w:rsid w:val="00C15D08"/>
    <w:rsid w:val="00C449E5"/>
    <w:rsid w:val="00C6147B"/>
    <w:rsid w:val="00CA347E"/>
    <w:rsid w:val="00CB3853"/>
    <w:rsid w:val="00CC2F7B"/>
    <w:rsid w:val="00D560C4"/>
    <w:rsid w:val="00E83CD4"/>
    <w:rsid w:val="00E83DFA"/>
    <w:rsid w:val="00F257B0"/>
    <w:rsid w:val="00F378B2"/>
    <w:rsid w:val="00F67EBB"/>
    <w:rsid w:val="00FC195E"/>
    <w:rsid w:val="58D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9321"/>
  <w15:chartTrackingRefBased/>
  <w15:docId w15:val="{1A4A4D97-9B26-405A-8C69-C2617C54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4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83DF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83D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3DF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7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09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A7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0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A7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00c263-81cf-470a-afab-8b990b779967">
      <UserInfo>
        <DisplayName>Bushra Hassan</DisplayName>
        <AccountId>993</AccountId>
        <AccountType/>
      </UserInfo>
    </SharedWithUsers>
    <DOARequestRole xmlns="5100c263-81cf-470a-afab-8b990b7799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E6673049E3B40999B58EE015B1D57" ma:contentTypeVersion="12" ma:contentTypeDescription="Create a new document." ma:contentTypeScope="" ma:versionID="10690e880ba7b211fe825d97b5d6fa49">
  <xsd:schema xmlns:xsd="http://www.w3.org/2001/XMLSchema" xmlns:xs="http://www.w3.org/2001/XMLSchema" xmlns:p="http://schemas.microsoft.com/office/2006/metadata/properties" xmlns:ns2="0b9d4b80-5231-4892-8ade-c99df299be1f" xmlns:ns3="5100c263-81cf-470a-afab-8b990b779967" targetNamespace="http://schemas.microsoft.com/office/2006/metadata/properties" ma:root="true" ma:fieldsID="478981a17a56b98f36715a8594e515f2" ns2:_="" ns3:_="">
    <xsd:import namespace="0b9d4b80-5231-4892-8ade-c99df299be1f"/>
    <xsd:import namespace="5100c263-81cf-470a-afab-8b990b779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DOARequestRol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d4b80-5231-4892-8ade-c99df299b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0c263-81cf-470a-afab-8b990b779967" elementFormDefault="qualified">
    <xsd:import namespace="http://schemas.microsoft.com/office/2006/documentManagement/types"/>
    <xsd:import namespace="http://schemas.microsoft.com/office/infopath/2007/PartnerControls"/>
    <xsd:element name="DOARequestRole" ma:index="10" nillable="true" ma:displayName="DOARequestRole" ma:internalName="DOARequestRole">
      <xsd:simpleType>
        <xsd:restriction base="dms:Note">
          <xsd:maxLength value="255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A8DC-D851-41B5-B8A7-51A47D3BBB0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eba7b59-e653-4f04-b130-7c927b9eca4c"/>
    <ds:schemaRef ds:uri="9ae741e2-0a20-4696-8c12-9f42bad78004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854A4F-2D7E-43CA-897D-A6DBD5C4C56B}"/>
</file>

<file path=customXml/itemProps3.xml><?xml version="1.0" encoding="utf-8"?>
<ds:datastoreItem xmlns:ds="http://schemas.openxmlformats.org/officeDocument/2006/customXml" ds:itemID="{612A86A3-C362-4BD8-8E53-A035742FB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B573E-C733-43F9-9B11-08061BBBEA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Pauliina Meskus</dc:creator>
  <keywords/>
  <dc:description/>
  <lastModifiedBy>Bushra Hassan</lastModifiedBy>
  <revision>3</revision>
  <dcterms:created xsi:type="dcterms:W3CDTF">2021-07-26T10:40:00.0000000Z</dcterms:created>
  <dcterms:modified xsi:type="dcterms:W3CDTF">2021-08-26T05:03:15.5790844Z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0x010100355E6673049E3B40999B58EE015B1D57</vt:lpwstr>
  </property>
</Properties>
</file>