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BF4F" w14:textId="77777777" w:rsidR="00552F34" w:rsidRPr="007D12CD" w:rsidRDefault="00552F34" w:rsidP="00DA02F3">
      <w:pPr>
        <w:rPr>
          <w:rFonts w:ascii="Palatino" w:hAnsi="Palatino"/>
          <w:noProof/>
        </w:rPr>
      </w:pPr>
      <w:bookmarkStart w:id="0" w:name="_GoBack"/>
      <w:bookmarkEnd w:id="0"/>
    </w:p>
    <w:p w14:paraId="53B81A22" w14:textId="77777777" w:rsidR="00CA5A4F" w:rsidRPr="007D12CD" w:rsidRDefault="00CA5A4F" w:rsidP="00DA02F3">
      <w:pPr>
        <w:rPr>
          <w:rFonts w:ascii="Palatino" w:hAnsi="Palatino"/>
          <w:noProof/>
        </w:rPr>
      </w:pPr>
    </w:p>
    <w:p w14:paraId="58CF5B6C" w14:textId="77777777" w:rsidR="00CA5A4F" w:rsidRPr="007D12CD" w:rsidRDefault="00CA5A4F" w:rsidP="00DA02F3">
      <w:pPr>
        <w:rPr>
          <w:rFonts w:ascii="Palatino" w:hAnsi="Palatino"/>
          <w:noProof/>
        </w:rPr>
      </w:pPr>
    </w:p>
    <w:p w14:paraId="25F32C9B" w14:textId="5857708E" w:rsidR="00CA5A4F" w:rsidRPr="007D12CD" w:rsidRDefault="00005702" w:rsidP="00DA02F3">
      <w:pPr>
        <w:rPr>
          <w:rFonts w:ascii="Palatino" w:hAnsi="Palatino"/>
          <w:noProof/>
        </w:rPr>
      </w:pPr>
      <w:r w:rsidRPr="007D12CD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 wp14:anchorId="52973B48" wp14:editId="05550B05">
            <wp:simplePos x="0" y="0"/>
            <wp:positionH relativeFrom="column">
              <wp:posOffset>2409825</wp:posOffset>
            </wp:positionH>
            <wp:positionV relativeFrom="paragraph">
              <wp:posOffset>238125</wp:posOffset>
            </wp:positionV>
            <wp:extent cx="1238250" cy="1428750"/>
            <wp:effectExtent l="0" t="0" r="6350" b="0"/>
            <wp:wrapTight wrapText="bothSides">
              <wp:wrapPolygon edited="0">
                <wp:start x="9305" y="0"/>
                <wp:lineTo x="3102" y="1920"/>
                <wp:lineTo x="0" y="4224"/>
                <wp:lineTo x="0" y="11904"/>
                <wp:lineTo x="1772" y="18432"/>
                <wp:lineTo x="2215" y="19200"/>
                <wp:lineTo x="7975" y="21120"/>
                <wp:lineTo x="9748" y="21120"/>
                <wp:lineTo x="11963" y="21120"/>
                <wp:lineTo x="12406" y="21120"/>
                <wp:lineTo x="15508" y="18432"/>
                <wp:lineTo x="19938" y="18432"/>
                <wp:lineTo x="20825" y="16896"/>
                <wp:lineTo x="21268" y="10368"/>
                <wp:lineTo x="21268" y="3840"/>
                <wp:lineTo x="18609" y="2304"/>
                <wp:lineTo x="11963" y="0"/>
                <wp:lineTo x="9305" y="0"/>
              </wp:wrapPolygon>
            </wp:wrapTight>
            <wp:docPr id="13" name="Picture 13" descr="Coat of arms of Montenegr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at of arms of Montenegro.sv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AFAD47" w14:textId="227407AE" w:rsidR="00005702" w:rsidRPr="007D12CD" w:rsidRDefault="00005702" w:rsidP="00DA02F3">
      <w:pPr>
        <w:jc w:val="center"/>
        <w:rPr>
          <w:rFonts w:ascii="Calibri" w:hAnsi="Calibri"/>
          <w:noProof/>
          <w:lang w:eastAsia="mk-MK"/>
        </w:rPr>
      </w:pPr>
      <w:r w:rsidRPr="007D12CD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C1631F9" wp14:editId="00638266">
            <wp:simplePos x="0" y="0"/>
            <wp:positionH relativeFrom="column">
              <wp:posOffset>4333126</wp:posOffset>
            </wp:positionH>
            <wp:positionV relativeFrom="paragraph">
              <wp:posOffset>226031</wp:posOffset>
            </wp:positionV>
            <wp:extent cx="1143000" cy="1031875"/>
            <wp:effectExtent l="0" t="0" r="0" b="9525"/>
            <wp:wrapNone/>
            <wp:docPr id="8" name="Picture 19" descr="GEF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F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2CD">
        <w:rPr>
          <w:rFonts w:ascii="Calibri" w:hAnsi="Calibri"/>
          <w:noProof/>
        </w:rPr>
        <w:drawing>
          <wp:inline distT="0" distB="0" distL="0" distR="0" wp14:anchorId="53AA2559" wp14:editId="41679C13">
            <wp:extent cx="704850" cy="1438275"/>
            <wp:effectExtent l="19050" t="0" r="0" b="0"/>
            <wp:docPr id="7" name="Picture 1" descr="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2D0D5" w14:textId="359341E6" w:rsidR="00CA5A4F" w:rsidRPr="007D12CD" w:rsidRDefault="00CA5A4F" w:rsidP="00DA02F3">
      <w:pPr>
        <w:jc w:val="center"/>
        <w:rPr>
          <w:rFonts w:ascii="Palatino" w:hAnsi="Palatino"/>
          <w:noProof/>
        </w:rPr>
      </w:pPr>
    </w:p>
    <w:p w14:paraId="048E4213" w14:textId="77777777" w:rsidR="00005702" w:rsidRPr="007D12CD" w:rsidRDefault="00005702" w:rsidP="00DA02F3">
      <w:pPr>
        <w:jc w:val="center"/>
        <w:rPr>
          <w:rFonts w:ascii="Palatino" w:hAnsi="Palatino"/>
          <w:noProof/>
        </w:rPr>
      </w:pPr>
    </w:p>
    <w:p w14:paraId="749CA1A5" w14:textId="77777777" w:rsidR="00E43E37" w:rsidRPr="007D12CD" w:rsidRDefault="00E43E37" w:rsidP="00DA02F3">
      <w:pPr>
        <w:jc w:val="center"/>
        <w:rPr>
          <w:rFonts w:ascii="Palatino" w:hAnsi="Palatino"/>
          <w:noProof/>
        </w:rPr>
      </w:pPr>
    </w:p>
    <w:p w14:paraId="37F22430" w14:textId="77777777" w:rsidR="00E43E37" w:rsidRPr="007D12CD" w:rsidRDefault="00E43E37" w:rsidP="00DA02F3">
      <w:pPr>
        <w:jc w:val="center"/>
        <w:rPr>
          <w:rFonts w:ascii="Palatino" w:hAnsi="Palatino"/>
          <w:noProof/>
        </w:rPr>
      </w:pPr>
    </w:p>
    <w:p w14:paraId="4212639B" w14:textId="68EB8E1F" w:rsidR="003D7399" w:rsidRPr="007D12CD" w:rsidRDefault="00E43E37" w:rsidP="00DA02F3">
      <w:pPr>
        <w:jc w:val="center"/>
        <w:rPr>
          <w:rFonts w:ascii="Palatino" w:hAnsi="Palatino"/>
          <w:b/>
          <w:noProof/>
          <w:sz w:val="32"/>
          <w:szCs w:val="32"/>
        </w:rPr>
      </w:pPr>
      <w:r w:rsidRPr="007D12CD">
        <w:rPr>
          <w:rFonts w:ascii="Palatino" w:hAnsi="Palatino"/>
          <w:b/>
          <w:noProof/>
          <w:sz w:val="32"/>
          <w:szCs w:val="32"/>
        </w:rPr>
        <w:t>A N A L I Z A</w:t>
      </w:r>
    </w:p>
    <w:p w14:paraId="03F356E8" w14:textId="486F65AE" w:rsidR="00E43E37" w:rsidRPr="007D12CD" w:rsidRDefault="00E43E37" w:rsidP="00DA02F3">
      <w:pPr>
        <w:jc w:val="center"/>
        <w:rPr>
          <w:rFonts w:ascii="Palatino" w:hAnsi="Palatino"/>
          <w:b/>
          <w:noProof/>
          <w:sz w:val="32"/>
          <w:szCs w:val="32"/>
        </w:rPr>
      </w:pPr>
      <w:r w:rsidRPr="007D12CD">
        <w:rPr>
          <w:rFonts w:ascii="Palatino" w:hAnsi="Palatino"/>
          <w:b/>
          <w:noProof/>
          <w:sz w:val="32"/>
          <w:szCs w:val="32"/>
        </w:rPr>
        <w:t>m</w:t>
      </w:r>
      <w:r w:rsidR="00B46084" w:rsidRPr="007D12CD">
        <w:rPr>
          <w:rFonts w:ascii="Palatino" w:hAnsi="Palatino"/>
          <w:b/>
          <w:noProof/>
          <w:sz w:val="32"/>
          <w:szCs w:val="32"/>
        </w:rPr>
        <w:t xml:space="preserve">ogućnosti uspostavljanja javno-privatnog partnerstva </w:t>
      </w:r>
    </w:p>
    <w:p w14:paraId="493BE23C" w14:textId="034FF23A" w:rsidR="00E43E37" w:rsidRPr="007D12CD" w:rsidRDefault="00B46084" w:rsidP="00DA02F3">
      <w:pPr>
        <w:jc w:val="center"/>
        <w:rPr>
          <w:rFonts w:ascii="Palatino" w:hAnsi="Palatino"/>
          <w:b/>
          <w:noProof/>
          <w:sz w:val="32"/>
          <w:szCs w:val="32"/>
        </w:rPr>
      </w:pPr>
      <w:r w:rsidRPr="007D12CD">
        <w:rPr>
          <w:rFonts w:ascii="Palatino" w:hAnsi="Palatino"/>
          <w:b/>
          <w:noProof/>
          <w:sz w:val="32"/>
          <w:szCs w:val="32"/>
        </w:rPr>
        <w:t xml:space="preserve">u upravljanju polihlorovanim bifenilima </w:t>
      </w:r>
    </w:p>
    <w:p w14:paraId="0B164965" w14:textId="1962EDF8" w:rsidR="008A266E" w:rsidRPr="007D12CD" w:rsidRDefault="00E43E37" w:rsidP="00DA02F3">
      <w:pPr>
        <w:jc w:val="center"/>
        <w:rPr>
          <w:rFonts w:ascii="Palatino" w:hAnsi="Palatino"/>
          <w:b/>
          <w:noProof/>
          <w:sz w:val="28"/>
          <w:szCs w:val="28"/>
        </w:rPr>
      </w:pPr>
      <w:r w:rsidRPr="007D12CD">
        <w:rPr>
          <w:rFonts w:ascii="Palatino" w:hAnsi="Palatino"/>
          <w:b/>
          <w:noProof/>
          <w:sz w:val="32"/>
          <w:szCs w:val="32"/>
        </w:rPr>
        <w:t>u Crnoj Gori</w:t>
      </w:r>
    </w:p>
    <w:p w14:paraId="37C73684" w14:textId="77777777" w:rsidR="009268B0" w:rsidRPr="007D12CD" w:rsidRDefault="009268B0" w:rsidP="00DA02F3">
      <w:pPr>
        <w:jc w:val="center"/>
        <w:rPr>
          <w:rFonts w:ascii="Palatino" w:hAnsi="Palatino"/>
          <w:b/>
          <w:noProof/>
          <w:sz w:val="32"/>
          <w:szCs w:val="32"/>
        </w:rPr>
      </w:pPr>
    </w:p>
    <w:p w14:paraId="70834077" w14:textId="77777777" w:rsidR="009268B0" w:rsidRPr="007D12CD" w:rsidRDefault="009268B0" w:rsidP="00DA02F3">
      <w:pPr>
        <w:jc w:val="center"/>
        <w:rPr>
          <w:rFonts w:ascii="Palatino" w:hAnsi="Palatino"/>
          <w:b/>
          <w:noProof/>
          <w:sz w:val="32"/>
          <w:szCs w:val="32"/>
        </w:rPr>
      </w:pPr>
    </w:p>
    <w:p w14:paraId="4896C456" w14:textId="77777777" w:rsidR="009268B0" w:rsidRPr="007D12CD" w:rsidRDefault="009268B0" w:rsidP="00DA02F3">
      <w:pPr>
        <w:jc w:val="center"/>
        <w:rPr>
          <w:rFonts w:ascii="Palatino" w:hAnsi="Palatino"/>
          <w:b/>
          <w:noProof/>
        </w:rPr>
      </w:pPr>
    </w:p>
    <w:p w14:paraId="160A9455" w14:textId="77777777" w:rsidR="009268B0" w:rsidRPr="007D12CD" w:rsidRDefault="009268B0" w:rsidP="00DA02F3">
      <w:pPr>
        <w:jc w:val="center"/>
        <w:rPr>
          <w:rFonts w:ascii="Palatino" w:hAnsi="Palatino"/>
          <w:b/>
          <w:noProof/>
        </w:rPr>
      </w:pPr>
    </w:p>
    <w:p w14:paraId="2AB124B0" w14:textId="77777777" w:rsidR="00686711" w:rsidRPr="007D12CD" w:rsidRDefault="00686711" w:rsidP="00DA02F3">
      <w:pPr>
        <w:jc w:val="center"/>
        <w:rPr>
          <w:rFonts w:ascii="Palatino" w:hAnsi="Palatino"/>
          <w:b/>
          <w:noProof/>
        </w:rPr>
      </w:pPr>
    </w:p>
    <w:p w14:paraId="68D94622" w14:textId="77777777" w:rsidR="00686711" w:rsidRPr="007D12CD" w:rsidRDefault="00686711" w:rsidP="00DA02F3">
      <w:pPr>
        <w:jc w:val="center"/>
        <w:rPr>
          <w:rFonts w:ascii="Palatino" w:hAnsi="Palatino"/>
          <w:b/>
          <w:noProof/>
        </w:rPr>
      </w:pPr>
    </w:p>
    <w:p w14:paraId="72646A27" w14:textId="77777777" w:rsidR="00686711" w:rsidRPr="007D12CD" w:rsidRDefault="00686711" w:rsidP="00DA02F3">
      <w:pPr>
        <w:jc w:val="center"/>
        <w:rPr>
          <w:rFonts w:ascii="Palatino" w:hAnsi="Palatino"/>
          <w:b/>
          <w:noProof/>
        </w:rPr>
      </w:pPr>
    </w:p>
    <w:p w14:paraId="11495847" w14:textId="6EAB5167" w:rsidR="00686711" w:rsidRPr="007D12CD" w:rsidRDefault="00B46084" w:rsidP="00DA02F3">
      <w:pPr>
        <w:jc w:val="center"/>
        <w:rPr>
          <w:rFonts w:ascii="Palatino" w:hAnsi="Palatino"/>
          <w:b/>
          <w:noProof/>
        </w:rPr>
      </w:pPr>
      <w:r w:rsidRPr="007D12CD">
        <w:rPr>
          <w:rFonts w:ascii="Palatino" w:hAnsi="Palatino"/>
          <w:b/>
          <w:noProof/>
        </w:rPr>
        <w:t>Septembar</w:t>
      </w:r>
      <w:r w:rsidR="00BA04CA" w:rsidRPr="007D12CD">
        <w:rPr>
          <w:rFonts w:ascii="Palatino" w:hAnsi="Palatino"/>
          <w:b/>
          <w:noProof/>
        </w:rPr>
        <w:t xml:space="preserve"> </w:t>
      </w:r>
      <w:r w:rsidRPr="007D12CD">
        <w:rPr>
          <w:rFonts w:ascii="Palatino" w:hAnsi="Palatino"/>
          <w:b/>
          <w:noProof/>
        </w:rPr>
        <w:t>7,</w:t>
      </w:r>
      <w:r w:rsidR="00BA04CA" w:rsidRPr="007D12CD">
        <w:rPr>
          <w:rFonts w:ascii="Palatino" w:hAnsi="Palatino"/>
          <w:b/>
          <w:noProof/>
        </w:rPr>
        <w:t xml:space="preserve"> 2020</w:t>
      </w:r>
    </w:p>
    <w:p w14:paraId="2EE93914" w14:textId="77777777" w:rsidR="009268B0" w:rsidRPr="007D12CD" w:rsidRDefault="009268B0" w:rsidP="00DA02F3">
      <w:pPr>
        <w:jc w:val="center"/>
        <w:rPr>
          <w:rFonts w:ascii="Palatino" w:hAnsi="Palatino"/>
          <w:b/>
          <w:noProof/>
        </w:rPr>
      </w:pPr>
    </w:p>
    <w:p w14:paraId="443F7095" w14:textId="77777777" w:rsidR="009268B0" w:rsidRPr="007D12CD" w:rsidRDefault="009268B0" w:rsidP="00DA02F3">
      <w:pPr>
        <w:rPr>
          <w:rFonts w:ascii="Palatino" w:hAnsi="Palatino"/>
          <w:b/>
          <w:noProof/>
        </w:rPr>
      </w:pPr>
    </w:p>
    <w:p w14:paraId="4E41541B" w14:textId="77777777" w:rsidR="00686711" w:rsidRPr="007D12CD" w:rsidRDefault="00686711" w:rsidP="00DA02F3">
      <w:pPr>
        <w:rPr>
          <w:rFonts w:ascii="Palatino" w:hAnsi="Palatino"/>
          <w:b/>
          <w:noProof/>
        </w:rPr>
      </w:pPr>
    </w:p>
    <w:p w14:paraId="291D2FCB" w14:textId="4A195777" w:rsidR="00005702" w:rsidRPr="007D12CD" w:rsidRDefault="00005702" w:rsidP="00DA02F3">
      <w:pPr>
        <w:rPr>
          <w:rFonts w:ascii="Palatino" w:hAnsi="Palatino"/>
          <w:b/>
          <w:noProof/>
        </w:rPr>
      </w:pPr>
      <w:r w:rsidRPr="007D12CD">
        <w:rPr>
          <w:rFonts w:ascii="Palatino" w:hAnsi="Palatino"/>
          <w:b/>
          <w:noProof/>
        </w:rPr>
        <w:t>Program razvoja Ujedinjenih Nacija (UNDP)</w:t>
      </w:r>
    </w:p>
    <w:p w14:paraId="024493A8" w14:textId="20981AB2" w:rsidR="00005702" w:rsidRPr="007D12CD" w:rsidRDefault="00005702" w:rsidP="00DA02F3">
      <w:pPr>
        <w:rPr>
          <w:rFonts w:ascii="Palatino" w:hAnsi="Palatino"/>
          <w:b/>
          <w:noProof/>
        </w:rPr>
      </w:pPr>
      <w:r w:rsidRPr="007D12CD">
        <w:rPr>
          <w:rFonts w:ascii="Palatino" w:hAnsi="Palatino"/>
          <w:b/>
          <w:noProof/>
        </w:rPr>
        <w:t xml:space="preserve">Projekat: </w:t>
      </w:r>
      <w:r w:rsidR="005A4B2F" w:rsidRPr="007D12CD">
        <w:rPr>
          <w:rFonts w:ascii="Palatino" w:hAnsi="Palatino"/>
          <w:b/>
          <w:noProof/>
        </w:rPr>
        <w:t>Sveobuhvatno e</w:t>
      </w:r>
      <w:r w:rsidRPr="007D12CD">
        <w:rPr>
          <w:rFonts w:ascii="Palatino" w:hAnsi="Palatino"/>
          <w:b/>
          <w:noProof/>
        </w:rPr>
        <w:t xml:space="preserve">kološki </w:t>
      </w:r>
      <w:r w:rsidR="00DE57F8" w:rsidRPr="007D12CD">
        <w:rPr>
          <w:rFonts w:ascii="Palatino" w:hAnsi="Palatino"/>
          <w:b/>
          <w:noProof/>
        </w:rPr>
        <w:t>prihvatljivo</w:t>
      </w:r>
      <w:r w:rsidRPr="007D12CD">
        <w:rPr>
          <w:rFonts w:ascii="Palatino" w:hAnsi="Palatino"/>
          <w:b/>
          <w:noProof/>
        </w:rPr>
        <w:t xml:space="preserve"> upravljanje polihlorovanim bifenilima u Crnoj Gori</w:t>
      </w:r>
    </w:p>
    <w:p w14:paraId="6B6F2100" w14:textId="407CC77F" w:rsidR="00005702" w:rsidRPr="007D12CD" w:rsidRDefault="00005702" w:rsidP="00DA02F3">
      <w:pPr>
        <w:rPr>
          <w:rFonts w:ascii="Palatino" w:hAnsi="Palatino"/>
          <w:b/>
          <w:noProof/>
        </w:rPr>
      </w:pPr>
      <w:r w:rsidRPr="007D12CD">
        <w:rPr>
          <w:rFonts w:ascii="Palatino" w:hAnsi="Palatino"/>
          <w:b/>
          <w:noProof/>
        </w:rPr>
        <w:t>Analiza mogu</w:t>
      </w:r>
      <w:r w:rsidRPr="007D12CD">
        <w:rPr>
          <w:rFonts w:ascii="Palatino" w:hAnsi="Palatino" w:hint="eastAsia"/>
          <w:b/>
          <w:noProof/>
        </w:rPr>
        <w:t>ć</w:t>
      </w:r>
      <w:r w:rsidRPr="007D12CD">
        <w:rPr>
          <w:rFonts w:ascii="Palatino" w:hAnsi="Palatino"/>
          <w:b/>
          <w:noProof/>
        </w:rPr>
        <w:t>nosti uspostavljanja javno-privatnog partnerstva u upravljanju polihlorovanim bifenilima u Crnoj Gori</w:t>
      </w:r>
    </w:p>
    <w:p w14:paraId="0F343EAD" w14:textId="77777777" w:rsidR="00005702" w:rsidRPr="007D12CD" w:rsidRDefault="00005702" w:rsidP="00DA02F3">
      <w:pPr>
        <w:rPr>
          <w:rFonts w:ascii="Palatino" w:hAnsi="Palatino"/>
          <w:b/>
          <w:noProof/>
        </w:rPr>
      </w:pPr>
    </w:p>
    <w:p w14:paraId="678BC7F1" w14:textId="77777777" w:rsidR="001F76FB" w:rsidRPr="007D12CD" w:rsidRDefault="001F76FB" w:rsidP="00DA02F3">
      <w:pPr>
        <w:rPr>
          <w:rFonts w:ascii="Palatino" w:hAnsi="Palatino"/>
          <w:b/>
          <w:noProof/>
        </w:rPr>
      </w:pPr>
    </w:p>
    <w:p w14:paraId="788249F4" w14:textId="77777777" w:rsidR="001F76FB" w:rsidRPr="007D12CD" w:rsidRDefault="001F76FB" w:rsidP="00DA02F3">
      <w:pPr>
        <w:rPr>
          <w:rFonts w:ascii="Palatino" w:hAnsi="Palatino"/>
          <w:b/>
          <w:noProof/>
        </w:rPr>
      </w:pPr>
    </w:p>
    <w:p w14:paraId="1C1965A1" w14:textId="77777777" w:rsidR="00005702" w:rsidRPr="007D12CD" w:rsidRDefault="00005702" w:rsidP="00DA02F3">
      <w:pPr>
        <w:rPr>
          <w:rFonts w:ascii="Palatino" w:hAnsi="Palatino"/>
          <w:b/>
          <w:noProof/>
        </w:rPr>
      </w:pPr>
    </w:p>
    <w:p w14:paraId="2357F935" w14:textId="77777777" w:rsidR="001F76FB" w:rsidRPr="007D12CD" w:rsidRDefault="001F76FB" w:rsidP="00DA02F3">
      <w:pPr>
        <w:spacing w:after="60"/>
        <w:rPr>
          <w:rFonts w:ascii="Calibri" w:hAnsi="Calibri" w:cs="Calibri"/>
          <w:i/>
          <w:noProof/>
          <w:sz w:val="20"/>
          <w:szCs w:val="21"/>
        </w:rPr>
      </w:pPr>
    </w:p>
    <w:p w14:paraId="01002EA4" w14:textId="77777777" w:rsidR="001F76FB" w:rsidRPr="007D12CD" w:rsidRDefault="001F76FB" w:rsidP="00DA02F3">
      <w:pPr>
        <w:spacing w:after="60"/>
        <w:rPr>
          <w:rFonts w:ascii="Calibri" w:hAnsi="Calibri" w:cs="Calibri"/>
          <w:i/>
          <w:noProof/>
          <w:sz w:val="20"/>
          <w:szCs w:val="21"/>
        </w:rPr>
      </w:pPr>
    </w:p>
    <w:p w14:paraId="7F09E885" w14:textId="77777777" w:rsidR="001F76FB" w:rsidRPr="007D12CD" w:rsidRDefault="001F76FB" w:rsidP="00DA02F3">
      <w:pPr>
        <w:spacing w:after="60"/>
        <w:rPr>
          <w:rFonts w:ascii="Calibri" w:hAnsi="Calibri" w:cs="Calibri"/>
          <w:i/>
          <w:noProof/>
          <w:sz w:val="20"/>
          <w:szCs w:val="21"/>
        </w:rPr>
      </w:pPr>
    </w:p>
    <w:p w14:paraId="3A2A3732" w14:textId="77777777" w:rsidR="001F76FB" w:rsidRPr="007D12CD" w:rsidRDefault="001F76FB" w:rsidP="00DA02F3">
      <w:pPr>
        <w:spacing w:after="60"/>
        <w:rPr>
          <w:rFonts w:ascii="Calibri" w:hAnsi="Calibri" w:cs="Calibri"/>
          <w:i/>
          <w:noProof/>
          <w:sz w:val="20"/>
          <w:szCs w:val="21"/>
        </w:rPr>
      </w:pPr>
    </w:p>
    <w:p w14:paraId="0094485E" w14:textId="77777777" w:rsidR="001F76FB" w:rsidRPr="007D12CD" w:rsidRDefault="001F76FB" w:rsidP="00DA02F3">
      <w:pPr>
        <w:spacing w:after="60"/>
        <w:rPr>
          <w:rFonts w:ascii="Calibri" w:hAnsi="Calibri" w:cs="Calibri"/>
          <w:i/>
          <w:noProof/>
          <w:sz w:val="20"/>
          <w:szCs w:val="21"/>
        </w:rPr>
      </w:pPr>
    </w:p>
    <w:p w14:paraId="53A8F166" w14:textId="77777777" w:rsidR="001F76FB" w:rsidRPr="007D12CD" w:rsidRDefault="001F76FB" w:rsidP="00DA02F3">
      <w:pPr>
        <w:spacing w:after="60"/>
        <w:rPr>
          <w:rFonts w:ascii="Calibri" w:hAnsi="Calibri" w:cs="Calibri"/>
          <w:i/>
          <w:noProof/>
          <w:sz w:val="20"/>
          <w:szCs w:val="21"/>
        </w:rPr>
      </w:pPr>
    </w:p>
    <w:p w14:paraId="1341B930" w14:textId="77777777" w:rsidR="001F76FB" w:rsidRPr="007D12CD" w:rsidRDefault="001F76FB" w:rsidP="00DA02F3">
      <w:pPr>
        <w:spacing w:after="60"/>
        <w:rPr>
          <w:rFonts w:ascii="Calibri" w:hAnsi="Calibri" w:cs="Calibri"/>
          <w:i/>
          <w:noProof/>
          <w:sz w:val="20"/>
          <w:szCs w:val="21"/>
        </w:rPr>
      </w:pPr>
    </w:p>
    <w:p w14:paraId="5B6A314A" w14:textId="77777777" w:rsidR="001F76FB" w:rsidRPr="007D12CD" w:rsidRDefault="001F76FB" w:rsidP="00DA02F3">
      <w:pPr>
        <w:spacing w:after="60"/>
        <w:rPr>
          <w:rFonts w:ascii="Calibri" w:hAnsi="Calibri" w:cs="Calibri"/>
          <w:i/>
          <w:noProof/>
          <w:sz w:val="20"/>
          <w:szCs w:val="21"/>
        </w:rPr>
      </w:pPr>
    </w:p>
    <w:p w14:paraId="13F1CF55" w14:textId="77777777" w:rsidR="001F76FB" w:rsidRPr="007D12CD" w:rsidRDefault="001F76FB" w:rsidP="00DA02F3">
      <w:pPr>
        <w:spacing w:after="60"/>
        <w:rPr>
          <w:rFonts w:ascii="Calibri" w:hAnsi="Calibri" w:cs="Calibri"/>
          <w:i/>
          <w:noProof/>
          <w:sz w:val="20"/>
          <w:szCs w:val="21"/>
        </w:rPr>
      </w:pPr>
    </w:p>
    <w:p w14:paraId="3EABB57D" w14:textId="77777777" w:rsidR="001F76FB" w:rsidRPr="007D12CD" w:rsidRDefault="001F76FB" w:rsidP="00DA02F3">
      <w:pPr>
        <w:spacing w:after="60"/>
        <w:rPr>
          <w:rFonts w:ascii="Calibri" w:hAnsi="Calibri" w:cs="Calibri"/>
          <w:i/>
          <w:noProof/>
          <w:sz w:val="20"/>
          <w:szCs w:val="21"/>
        </w:rPr>
      </w:pPr>
    </w:p>
    <w:p w14:paraId="5C5E4C6F" w14:textId="77777777" w:rsidR="001F76FB" w:rsidRPr="007D12CD" w:rsidRDefault="001F76FB" w:rsidP="00DA02F3">
      <w:pPr>
        <w:spacing w:after="60"/>
        <w:rPr>
          <w:rFonts w:ascii="Calibri" w:hAnsi="Calibri" w:cs="Calibri"/>
          <w:i/>
          <w:noProof/>
          <w:sz w:val="20"/>
          <w:szCs w:val="21"/>
        </w:rPr>
      </w:pPr>
    </w:p>
    <w:p w14:paraId="28A717DE" w14:textId="77777777" w:rsidR="001F76FB" w:rsidRPr="007D12CD" w:rsidRDefault="001F76FB" w:rsidP="00DA02F3">
      <w:pPr>
        <w:spacing w:after="60"/>
        <w:rPr>
          <w:rFonts w:ascii="Calibri" w:hAnsi="Calibri" w:cs="Calibri"/>
          <w:i/>
          <w:noProof/>
          <w:sz w:val="20"/>
          <w:szCs w:val="21"/>
        </w:rPr>
      </w:pPr>
    </w:p>
    <w:p w14:paraId="2D4B5573" w14:textId="77777777" w:rsidR="001F76FB" w:rsidRPr="007D12CD" w:rsidRDefault="001F76FB" w:rsidP="00DA02F3">
      <w:pPr>
        <w:spacing w:after="60"/>
        <w:rPr>
          <w:rFonts w:ascii="Calibri" w:hAnsi="Calibri" w:cs="Calibri"/>
          <w:i/>
          <w:noProof/>
          <w:sz w:val="20"/>
          <w:szCs w:val="21"/>
        </w:rPr>
      </w:pPr>
    </w:p>
    <w:p w14:paraId="3E19E04A" w14:textId="77777777" w:rsidR="001F76FB" w:rsidRPr="007D12CD" w:rsidRDefault="001F76FB" w:rsidP="00DA02F3">
      <w:pPr>
        <w:spacing w:after="60"/>
        <w:rPr>
          <w:rFonts w:ascii="Calibri" w:hAnsi="Calibri" w:cs="Calibri"/>
          <w:i/>
          <w:noProof/>
          <w:sz w:val="20"/>
          <w:szCs w:val="21"/>
        </w:rPr>
      </w:pPr>
    </w:p>
    <w:p w14:paraId="01BE439D" w14:textId="77777777" w:rsidR="001F76FB" w:rsidRPr="007D12CD" w:rsidRDefault="001F76FB" w:rsidP="00DA02F3">
      <w:pPr>
        <w:spacing w:after="60"/>
        <w:rPr>
          <w:rFonts w:ascii="Calibri" w:hAnsi="Calibri" w:cs="Calibri"/>
          <w:i/>
          <w:noProof/>
          <w:sz w:val="20"/>
          <w:szCs w:val="21"/>
        </w:rPr>
      </w:pPr>
    </w:p>
    <w:p w14:paraId="2A212BE8" w14:textId="2ABF2044" w:rsidR="001F76FB" w:rsidRPr="007D12CD" w:rsidRDefault="001F76FB" w:rsidP="00DA02F3">
      <w:pPr>
        <w:spacing w:after="60"/>
        <w:rPr>
          <w:rFonts w:ascii="Palatino" w:hAnsi="Palatino" w:cs="Calibri"/>
          <w:noProof/>
          <w:sz w:val="20"/>
          <w:szCs w:val="21"/>
        </w:rPr>
      </w:pPr>
      <w:r w:rsidRPr="007D12CD">
        <w:rPr>
          <w:rFonts w:ascii="Palatino" w:hAnsi="Palatino" w:cs="Calibri"/>
          <w:i/>
          <w:noProof/>
          <w:sz w:val="20"/>
          <w:szCs w:val="21"/>
        </w:rPr>
        <w:t>Pripremila:</w:t>
      </w:r>
    </w:p>
    <w:p w14:paraId="559E207F" w14:textId="6650C353" w:rsidR="001F76FB" w:rsidRPr="007D12CD" w:rsidRDefault="001F76FB" w:rsidP="00DA02F3">
      <w:pPr>
        <w:rPr>
          <w:rFonts w:ascii="Palatino" w:hAnsi="Palatino" w:cs="Calibri"/>
          <w:b/>
          <w:noProof/>
          <w:sz w:val="20"/>
          <w:szCs w:val="21"/>
        </w:rPr>
      </w:pPr>
      <w:r w:rsidRPr="007D12CD">
        <w:rPr>
          <w:rFonts w:ascii="Palatino" w:hAnsi="Palatino" w:cs="Calibri"/>
          <w:b/>
          <w:noProof/>
          <w:sz w:val="20"/>
          <w:szCs w:val="21"/>
        </w:rPr>
        <w:t>prof. dr Dragana Radević</w:t>
      </w:r>
    </w:p>
    <w:p w14:paraId="0A416AFC" w14:textId="77777777" w:rsidR="001F76FB" w:rsidRPr="007D12CD" w:rsidRDefault="001F76FB" w:rsidP="00DA02F3">
      <w:pPr>
        <w:spacing w:after="60"/>
        <w:rPr>
          <w:rFonts w:ascii="Palatino" w:hAnsi="Palatino" w:cs="Calibri"/>
          <w:i/>
          <w:noProof/>
          <w:sz w:val="20"/>
          <w:szCs w:val="21"/>
        </w:rPr>
      </w:pPr>
    </w:p>
    <w:p w14:paraId="0AB1F7C1" w14:textId="29BD6933" w:rsidR="001F76FB" w:rsidRPr="007D12CD" w:rsidRDefault="001F76FB" w:rsidP="00DA02F3">
      <w:pPr>
        <w:spacing w:after="60"/>
        <w:rPr>
          <w:rFonts w:ascii="Palatino" w:hAnsi="Palatino" w:cs="Calibri"/>
          <w:i/>
          <w:noProof/>
          <w:sz w:val="20"/>
          <w:szCs w:val="21"/>
        </w:rPr>
      </w:pPr>
      <w:r w:rsidRPr="007D12CD">
        <w:rPr>
          <w:rFonts w:ascii="Palatino" w:hAnsi="Palatino" w:cs="Calibri"/>
          <w:i/>
          <w:noProof/>
          <w:sz w:val="20"/>
          <w:szCs w:val="21"/>
        </w:rPr>
        <w:t>u saradnji sa:</w:t>
      </w:r>
    </w:p>
    <w:p w14:paraId="687A4F0C" w14:textId="6DC5529B" w:rsidR="001F76FB" w:rsidRPr="007D12CD" w:rsidRDefault="001F76FB" w:rsidP="00DA02F3">
      <w:pPr>
        <w:spacing w:after="60"/>
        <w:rPr>
          <w:rFonts w:ascii="Palatino" w:hAnsi="Palatino" w:cs="Calibri"/>
          <w:b/>
          <w:noProof/>
          <w:sz w:val="20"/>
          <w:szCs w:val="21"/>
        </w:rPr>
      </w:pPr>
      <w:r w:rsidRPr="007D12CD">
        <w:rPr>
          <w:rFonts w:ascii="Palatino" w:hAnsi="Palatino" w:cs="Calibri"/>
          <w:b/>
          <w:noProof/>
          <w:sz w:val="20"/>
          <w:szCs w:val="21"/>
        </w:rPr>
        <w:t>Maja Kustudić</w:t>
      </w:r>
    </w:p>
    <w:p w14:paraId="37377872" w14:textId="77777777" w:rsidR="001F76FB" w:rsidRPr="007D12CD" w:rsidRDefault="001F76FB" w:rsidP="00DA02F3">
      <w:pPr>
        <w:spacing w:after="60"/>
        <w:rPr>
          <w:rFonts w:ascii="Palatino" w:hAnsi="Palatino" w:cs="Calibri"/>
          <w:noProof/>
          <w:sz w:val="20"/>
          <w:szCs w:val="21"/>
        </w:rPr>
      </w:pPr>
      <w:r w:rsidRPr="007D12CD">
        <w:rPr>
          <w:rFonts w:ascii="Palatino" w:hAnsi="Palatino" w:cs="Calibri"/>
          <w:noProof/>
          <w:sz w:val="20"/>
          <w:szCs w:val="21"/>
        </w:rPr>
        <w:t>UNDP Project Manager</w:t>
      </w:r>
    </w:p>
    <w:p w14:paraId="66147545" w14:textId="3602AA7E" w:rsidR="001F76FB" w:rsidRPr="007D12CD" w:rsidRDefault="00DA02F3" w:rsidP="00DA02F3">
      <w:pPr>
        <w:spacing w:before="120" w:after="60"/>
        <w:rPr>
          <w:rFonts w:ascii="Palatino" w:hAnsi="Palatino" w:cs="Calibri"/>
          <w:b/>
          <w:noProof/>
          <w:sz w:val="20"/>
          <w:szCs w:val="21"/>
        </w:rPr>
      </w:pPr>
      <w:r w:rsidRPr="007D12CD">
        <w:rPr>
          <w:rFonts w:ascii="Palatino" w:hAnsi="Palatino" w:cs="Calibri"/>
          <w:b/>
          <w:noProof/>
          <w:sz w:val="20"/>
          <w:szCs w:val="21"/>
        </w:rPr>
        <w:t>Vladan Bož</w:t>
      </w:r>
      <w:r w:rsidR="001F76FB" w:rsidRPr="007D12CD">
        <w:rPr>
          <w:rFonts w:ascii="Palatino" w:hAnsi="Palatino" w:cs="Calibri"/>
          <w:b/>
          <w:noProof/>
          <w:sz w:val="20"/>
          <w:szCs w:val="21"/>
        </w:rPr>
        <w:t>ovi</w:t>
      </w:r>
      <w:r w:rsidRPr="007D12CD">
        <w:rPr>
          <w:rFonts w:ascii="Palatino" w:hAnsi="Palatino" w:cs="Calibri"/>
          <w:b/>
          <w:noProof/>
          <w:sz w:val="20"/>
          <w:szCs w:val="21"/>
        </w:rPr>
        <w:t>ć</w:t>
      </w:r>
    </w:p>
    <w:p w14:paraId="39E3B953" w14:textId="77777777" w:rsidR="001F76FB" w:rsidRPr="007D12CD" w:rsidRDefault="001F76FB" w:rsidP="00DA02F3">
      <w:pPr>
        <w:spacing w:after="60"/>
        <w:rPr>
          <w:rFonts w:ascii="Palatino" w:hAnsi="Palatino" w:cs="Calibri"/>
          <w:noProof/>
          <w:sz w:val="20"/>
          <w:szCs w:val="21"/>
        </w:rPr>
      </w:pPr>
      <w:r w:rsidRPr="007D12CD">
        <w:rPr>
          <w:rFonts w:ascii="Palatino" w:hAnsi="Palatino" w:cs="Calibri"/>
          <w:noProof/>
          <w:sz w:val="20"/>
          <w:szCs w:val="21"/>
        </w:rPr>
        <w:lastRenderedPageBreak/>
        <w:t>UNDP Project Coordinator</w:t>
      </w:r>
    </w:p>
    <w:p w14:paraId="70497626" w14:textId="77777777" w:rsidR="001F76FB" w:rsidRPr="007D12CD" w:rsidRDefault="001F76FB" w:rsidP="00DA02F3">
      <w:pPr>
        <w:spacing w:after="60"/>
        <w:rPr>
          <w:rFonts w:ascii="Palatino" w:hAnsi="Palatino" w:cs="Calibri"/>
          <w:i/>
          <w:noProof/>
          <w:sz w:val="20"/>
          <w:szCs w:val="21"/>
        </w:rPr>
      </w:pPr>
    </w:p>
    <w:p w14:paraId="10126C9D" w14:textId="77777777" w:rsidR="001D3817" w:rsidRPr="007D12CD" w:rsidRDefault="001F76FB" w:rsidP="00DA02F3">
      <w:pPr>
        <w:rPr>
          <w:rFonts w:ascii="Palatino" w:hAnsi="Palatino" w:cs="Calibri"/>
          <w:b/>
          <w:caps/>
          <w:noProof/>
        </w:rPr>
      </w:pPr>
      <w:r w:rsidRPr="007D12CD">
        <w:rPr>
          <w:rFonts w:ascii="Palatino" w:hAnsi="Palatino" w:cs="Calibri"/>
          <w:b/>
          <w:i/>
          <w:noProof/>
          <w:sz w:val="20"/>
          <w:szCs w:val="21"/>
        </w:rPr>
        <w:t>Podgorica, Septembar 2020</w:t>
      </w:r>
      <w:r w:rsidRPr="007D12CD">
        <w:rPr>
          <w:rFonts w:ascii="Palatino" w:hAnsi="Palatino" w:cs="Calibri"/>
          <w:b/>
          <w:caps/>
          <w:noProof/>
        </w:rPr>
        <w:br w:type="page"/>
      </w:r>
      <w:r w:rsidR="009E2C85" w:rsidRPr="007D12CD">
        <w:rPr>
          <w:rFonts w:ascii="Palatino" w:hAnsi="Palatino" w:cs="Calibri"/>
          <w:b/>
          <w:caps/>
          <w:noProof/>
        </w:rPr>
        <w:lastRenderedPageBreak/>
        <w:t>Sadržaj</w:t>
      </w:r>
    </w:p>
    <w:p w14:paraId="22DC1F7D" w14:textId="77777777" w:rsidR="001D3817" w:rsidRPr="007D12CD" w:rsidRDefault="001D3817" w:rsidP="00DA02F3">
      <w:pPr>
        <w:rPr>
          <w:rFonts w:ascii="Palatino" w:hAnsi="Palatino" w:cs="Calibri"/>
          <w:b/>
          <w:caps/>
          <w:noProof/>
        </w:rPr>
      </w:pPr>
    </w:p>
    <w:p w14:paraId="06A2394B" w14:textId="77777777" w:rsidR="001014F7" w:rsidRPr="001014F7" w:rsidRDefault="001014F7">
      <w:pPr>
        <w:pStyle w:val="TOC1"/>
        <w:tabs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 w:cs="Calibri"/>
          <w:b/>
          <w:caps/>
          <w:noProof/>
        </w:rPr>
        <w:fldChar w:fldCharType="begin"/>
      </w:r>
      <w:r w:rsidRPr="001014F7">
        <w:rPr>
          <w:rFonts w:ascii="Palatino" w:hAnsi="Palatino" w:cs="Calibri"/>
          <w:b/>
          <w:caps/>
          <w:noProof/>
        </w:rPr>
        <w:instrText xml:space="preserve"> TOC \o "1-4" </w:instrText>
      </w:r>
      <w:r w:rsidRPr="001014F7">
        <w:rPr>
          <w:rFonts w:ascii="Palatino" w:hAnsi="Palatino" w:cs="Calibri"/>
          <w:b/>
          <w:caps/>
          <w:noProof/>
        </w:rPr>
        <w:fldChar w:fldCharType="separate"/>
      </w:r>
      <w:r w:rsidRPr="001014F7">
        <w:rPr>
          <w:rFonts w:ascii="Palatino" w:hAnsi="Palatino"/>
          <w:noProof/>
        </w:rPr>
        <w:t>Lista skraćenica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_Toc462603351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4</w:t>
      </w:r>
      <w:r w:rsidRPr="001014F7">
        <w:rPr>
          <w:rFonts w:ascii="Palatino" w:hAnsi="Palatino"/>
          <w:noProof/>
        </w:rPr>
        <w:fldChar w:fldCharType="end"/>
      </w:r>
    </w:p>
    <w:p w14:paraId="187C9EFB" w14:textId="77777777" w:rsidR="001014F7" w:rsidRPr="001014F7" w:rsidRDefault="001014F7">
      <w:pPr>
        <w:pStyle w:val="TOC1"/>
        <w:tabs>
          <w:tab w:val="left" w:pos="407"/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/>
          <w:noProof/>
        </w:rPr>
        <w:t>1.</w:t>
      </w:r>
      <w:r w:rsidRPr="001014F7">
        <w:rPr>
          <w:rFonts w:ascii="Palatino" w:eastAsiaTheme="minorEastAsia" w:hAnsi="Palatino"/>
          <w:noProof/>
          <w:sz w:val="24"/>
          <w:szCs w:val="24"/>
          <w:lang w:eastAsia="ja-JP"/>
        </w:rPr>
        <w:tab/>
      </w:r>
      <w:r w:rsidRPr="001014F7">
        <w:rPr>
          <w:rFonts w:ascii="Palatino" w:hAnsi="Palatino"/>
          <w:noProof/>
        </w:rPr>
        <w:t>Uvod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_Toc462603352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5</w:t>
      </w:r>
      <w:r w:rsidRPr="001014F7">
        <w:rPr>
          <w:rFonts w:ascii="Palatino" w:hAnsi="Palatino"/>
          <w:noProof/>
        </w:rPr>
        <w:fldChar w:fldCharType="end"/>
      </w:r>
    </w:p>
    <w:p w14:paraId="7FEBC784" w14:textId="77777777" w:rsidR="001014F7" w:rsidRPr="001014F7" w:rsidRDefault="001014F7">
      <w:pPr>
        <w:pStyle w:val="TOC1"/>
        <w:tabs>
          <w:tab w:val="left" w:pos="407"/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/>
          <w:noProof/>
        </w:rPr>
        <w:t>2.</w:t>
      </w:r>
      <w:r w:rsidRPr="001014F7">
        <w:rPr>
          <w:rFonts w:ascii="Palatino" w:eastAsiaTheme="minorEastAsia" w:hAnsi="Palatino"/>
          <w:noProof/>
          <w:sz w:val="24"/>
          <w:szCs w:val="24"/>
          <w:lang w:eastAsia="ja-JP"/>
        </w:rPr>
        <w:tab/>
      </w:r>
      <w:r w:rsidRPr="001014F7">
        <w:rPr>
          <w:rFonts w:ascii="Palatino" w:hAnsi="Palatino"/>
          <w:noProof/>
        </w:rPr>
        <w:t>Cilj Analize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_Toc462603353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6</w:t>
      </w:r>
      <w:r w:rsidRPr="001014F7">
        <w:rPr>
          <w:rFonts w:ascii="Palatino" w:hAnsi="Palatino"/>
          <w:noProof/>
        </w:rPr>
        <w:fldChar w:fldCharType="end"/>
      </w:r>
    </w:p>
    <w:p w14:paraId="135205F9" w14:textId="77777777" w:rsidR="001014F7" w:rsidRPr="001014F7" w:rsidRDefault="001014F7">
      <w:pPr>
        <w:pStyle w:val="TOC1"/>
        <w:tabs>
          <w:tab w:val="left" w:pos="407"/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/>
          <w:noProof/>
        </w:rPr>
        <w:t>3.</w:t>
      </w:r>
      <w:r w:rsidRPr="001014F7">
        <w:rPr>
          <w:rFonts w:ascii="Palatino" w:eastAsiaTheme="minorEastAsia" w:hAnsi="Palatino"/>
          <w:noProof/>
          <w:sz w:val="24"/>
          <w:szCs w:val="24"/>
          <w:lang w:eastAsia="ja-JP"/>
        </w:rPr>
        <w:tab/>
      </w:r>
      <w:r w:rsidRPr="001014F7">
        <w:rPr>
          <w:rFonts w:ascii="Palatino" w:hAnsi="Palatino"/>
          <w:noProof/>
        </w:rPr>
        <w:t>PCB i otpad koji sadrži PCB – trenutno stanje u Crnoj Gori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_Toc462603354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6</w:t>
      </w:r>
      <w:r w:rsidRPr="001014F7">
        <w:rPr>
          <w:rFonts w:ascii="Palatino" w:hAnsi="Palatino"/>
          <w:noProof/>
        </w:rPr>
        <w:fldChar w:fldCharType="end"/>
      </w:r>
    </w:p>
    <w:p w14:paraId="4CBBCE0A" w14:textId="77777777" w:rsidR="001014F7" w:rsidRPr="001014F7" w:rsidRDefault="001014F7">
      <w:pPr>
        <w:pStyle w:val="TOC2"/>
        <w:tabs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/>
          <w:noProof/>
        </w:rPr>
        <w:t>3.1 Raspoložive tehnologije za tretman i odlaganje opreme i otpada kontaminiranog PCB-om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_Toc462603355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7</w:t>
      </w:r>
      <w:r w:rsidRPr="001014F7">
        <w:rPr>
          <w:rFonts w:ascii="Palatino" w:hAnsi="Palatino"/>
          <w:noProof/>
        </w:rPr>
        <w:fldChar w:fldCharType="end"/>
      </w:r>
    </w:p>
    <w:p w14:paraId="5BDC3265" w14:textId="77777777" w:rsidR="001014F7" w:rsidRPr="001014F7" w:rsidRDefault="001014F7">
      <w:pPr>
        <w:pStyle w:val="TOC2"/>
        <w:tabs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/>
          <w:noProof/>
        </w:rPr>
        <w:t>3.2 Izbor tehnologije za tretman i odlaganje transformatora sa PCB u Crnoj Gori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_Toc462603356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8</w:t>
      </w:r>
      <w:r w:rsidRPr="001014F7">
        <w:rPr>
          <w:rFonts w:ascii="Palatino" w:hAnsi="Palatino"/>
          <w:noProof/>
        </w:rPr>
        <w:fldChar w:fldCharType="end"/>
      </w:r>
    </w:p>
    <w:p w14:paraId="29862196" w14:textId="77777777" w:rsidR="001014F7" w:rsidRPr="001014F7" w:rsidRDefault="001014F7">
      <w:pPr>
        <w:pStyle w:val="TOC1"/>
        <w:tabs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/>
          <w:noProof/>
        </w:rPr>
        <w:t>4. Javno-privatno partnerstvo u upravljanju polihlorovanim bifenilima u Crnoj Gori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_Toc462603357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9</w:t>
      </w:r>
      <w:r w:rsidRPr="001014F7">
        <w:rPr>
          <w:rFonts w:ascii="Palatino" w:hAnsi="Palatino"/>
          <w:noProof/>
        </w:rPr>
        <w:fldChar w:fldCharType="end"/>
      </w:r>
    </w:p>
    <w:p w14:paraId="19C3499E" w14:textId="77777777" w:rsidR="001014F7" w:rsidRPr="001014F7" w:rsidRDefault="001014F7">
      <w:pPr>
        <w:pStyle w:val="TOC2"/>
        <w:tabs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/>
          <w:noProof/>
        </w:rPr>
        <w:t>4.1 Koncept javno-privatnog partnerstva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_Toc462603358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10</w:t>
      </w:r>
      <w:r w:rsidRPr="001014F7">
        <w:rPr>
          <w:rFonts w:ascii="Palatino" w:hAnsi="Palatino"/>
          <w:noProof/>
        </w:rPr>
        <w:fldChar w:fldCharType="end"/>
      </w:r>
    </w:p>
    <w:p w14:paraId="73EBE8DE" w14:textId="77777777" w:rsidR="001014F7" w:rsidRPr="001014F7" w:rsidRDefault="001014F7">
      <w:pPr>
        <w:pStyle w:val="TOC3"/>
        <w:tabs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/>
          <w:noProof/>
        </w:rPr>
        <w:t>Pojam JPP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_Toc462603359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11</w:t>
      </w:r>
      <w:r w:rsidRPr="001014F7">
        <w:rPr>
          <w:rFonts w:ascii="Palatino" w:hAnsi="Palatino"/>
          <w:noProof/>
        </w:rPr>
        <w:fldChar w:fldCharType="end"/>
      </w:r>
    </w:p>
    <w:p w14:paraId="3C518EE0" w14:textId="77777777" w:rsidR="001014F7" w:rsidRPr="001014F7" w:rsidRDefault="001014F7">
      <w:pPr>
        <w:pStyle w:val="TOC3"/>
        <w:tabs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/>
          <w:noProof/>
        </w:rPr>
        <w:t>Predmet JPP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_Toc462603360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12</w:t>
      </w:r>
      <w:r w:rsidRPr="001014F7">
        <w:rPr>
          <w:rFonts w:ascii="Palatino" w:hAnsi="Palatino"/>
          <w:noProof/>
        </w:rPr>
        <w:fldChar w:fldCharType="end"/>
      </w:r>
    </w:p>
    <w:p w14:paraId="1FE2F587" w14:textId="77777777" w:rsidR="001014F7" w:rsidRPr="001014F7" w:rsidRDefault="001014F7">
      <w:pPr>
        <w:pStyle w:val="TOC3"/>
        <w:tabs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/>
          <w:noProof/>
        </w:rPr>
        <w:t>Vrste JPP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_Toc462603361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12</w:t>
      </w:r>
      <w:r w:rsidRPr="001014F7">
        <w:rPr>
          <w:rFonts w:ascii="Palatino" w:hAnsi="Palatino"/>
          <w:noProof/>
        </w:rPr>
        <w:fldChar w:fldCharType="end"/>
      </w:r>
    </w:p>
    <w:p w14:paraId="60F200D3" w14:textId="77777777" w:rsidR="001014F7" w:rsidRPr="001014F7" w:rsidRDefault="001014F7">
      <w:pPr>
        <w:pStyle w:val="TOC4"/>
        <w:tabs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/>
          <w:noProof/>
        </w:rPr>
        <w:t>Pravni okvir za upravljanje otpadom koji sadrži PCB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_Toc462603362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13</w:t>
      </w:r>
      <w:r w:rsidRPr="001014F7">
        <w:rPr>
          <w:rFonts w:ascii="Palatino" w:hAnsi="Palatino"/>
          <w:noProof/>
        </w:rPr>
        <w:fldChar w:fldCharType="end"/>
      </w:r>
    </w:p>
    <w:p w14:paraId="3F16951D" w14:textId="77777777" w:rsidR="001014F7" w:rsidRPr="001014F7" w:rsidRDefault="001014F7">
      <w:pPr>
        <w:pStyle w:val="TOC3"/>
        <w:tabs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/>
          <w:noProof/>
        </w:rPr>
        <w:t>Učesnici u JPP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_Toc462603363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14</w:t>
      </w:r>
      <w:r w:rsidRPr="001014F7">
        <w:rPr>
          <w:rFonts w:ascii="Palatino" w:hAnsi="Palatino"/>
          <w:noProof/>
        </w:rPr>
        <w:fldChar w:fldCharType="end"/>
      </w:r>
    </w:p>
    <w:p w14:paraId="60635A0B" w14:textId="77777777" w:rsidR="001014F7" w:rsidRPr="001014F7" w:rsidRDefault="001014F7">
      <w:pPr>
        <w:pStyle w:val="TOC4"/>
        <w:tabs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/>
          <w:noProof/>
        </w:rPr>
        <w:t>Učesnici u postupku izvoza transformatora koji sadrže PCB za tretman u inostranstvu i vraćanje tretiranih transformatora u ponovnu upotrebu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_Toc462603364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15</w:t>
      </w:r>
      <w:r w:rsidRPr="001014F7">
        <w:rPr>
          <w:rFonts w:ascii="Palatino" w:hAnsi="Palatino"/>
          <w:noProof/>
        </w:rPr>
        <w:fldChar w:fldCharType="end"/>
      </w:r>
    </w:p>
    <w:p w14:paraId="5E823009" w14:textId="77777777" w:rsidR="001014F7" w:rsidRPr="001014F7" w:rsidRDefault="001014F7">
      <w:pPr>
        <w:pStyle w:val="TOC1"/>
        <w:tabs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/>
          <w:noProof/>
        </w:rPr>
        <w:t>5. Zaključak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_Toc462603365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18</w:t>
      </w:r>
      <w:r w:rsidRPr="001014F7">
        <w:rPr>
          <w:rFonts w:ascii="Palatino" w:hAnsi="Palatino"/>
          <w:noProof/>
        </w:rPr>
        <w:fldChar w:fldCharType="end"/>
      </w:r>
    </w:p>
    <w:p w14:paraId="4379B385" w14:textId="77777777" w:rsidR="001014F7" w:rsidRPr="001014F7" w:rsidRDefault="001014F7">
      <w:pPr>
        <w:pStyle w:val="TOC1"/>
        <w:tabs>
          <w:tab w:val="right" w:leader="dot" w:pos="9628"/>
        </w:tabs>
        <w:rPr>
          <w:rFonts w:ascii="Palatino" w:eastAsiaTheme="minorEastAsia" w:hAnsi="Palatino"/>
          <w:noProof/>
          <w:sz w:val="24"/>
          <w:szCs w:val="24"/>
          <w:lang w:eastAsia="ja-JP"/>
        </w:rPr>
      </w:pPr>
      <w:r w:rsidRPr="001014F7">
        <w:rPr>
          <w:rFonts w:ascii="Palatino" w:hAnsi="Palatino"/>
          <w:noProof/>
        </w:rPr>
        <w:t>Literatura</w:t>
      </w:r>
      <w:r w:rsidRPr="001014F7">
        <w:rPr>
          <w:rFonts w:ascii="Palatino" w:hAnsi="Palatino"/>
          <w:noProof/>
        </w:rPr>
        <w:tab/>
      </w:r>
      <w:r w:rsidRPr="001014F7">
        <w:rPr>
          <w:rFonts w:ascii="Palatino" w:hAnsi="Palatino"/>
          <w:noProof/>
        </w:rPr>
        <w:fldChar w:fldCharType="begin"/>
      </w:r>
      <w:r w:rsidRPr="001014F7">
        <w:rPr>
          <w:rFonts w:ascii="Palatino" w:hAnsi="Palatino"/>
          <w:noProof/>
        </w:rPr>
        <w:instrText xml:space="preserve"> PAGEREF _Toc462603366 \h </w:instrText>
      </w:r>
      <w:r w:rsidRPr="001014F7">
        <w:rPr>
          <w:rFonts w:ascii="Palatino" w:hAnsi="Palatino"/>
          <w:noProof/>
        </w:rPr>
      </w:r>
      <w:r w:rsidRPr="001014F7">
        <w:rPr>
          <w:rFonts w:ascii="Palatino" w:hAnsi="Palatino"/>
          <w:noProof/>
        </w:rPr>
        <w:fldChar w:fldCharType="separate"/>
      </w:r>
      <w:r w:rsidRPr="001014F7">
        <w:rPr>
          <w:rFonts w:ascii="Palatino" w:hAnsi="Palatino"/>
          <w:noProof/>
        </w:rPr>
        <w:t>19</w:t>
      </w:r>
      <w:r w:rsidRPr="001014F7">
        <w:rPr>
          <w:rFonts w:ascii="Palatino" w:hAnsi="Palatino"/>
          <w:noProof/>
        </w:rPr>
        <w:fldChar w:fldCharType="end"/>
      </w:r>
    </w:p>
    <w:p w14:paraId="1D82486C" w14:textId="6692F190" w:rsidR="001F76FB" w:rsidRPr="007D12CD" w:rsidRDefault="001014F7" w:rsidP="00DA02F3">
      <w:pPr>
        <w:rPr>
          <w:rFonts w:ascii="Palatino" w:hAnsi="Palatino"/>
          <w:b/>
          <w:noProof/>
        </w:rPr>
      </w:pPr>
      <w:r w:rsidRPr="001014F7">
        <w:rPr>
          <w:rFonts w:ascii="Palatino" w:hAnsi="Palatino" w:cs="Calibri"/>
          <w:b/>
          <w:caps/>
          <w:noProof/>
        </w:rPr>
        <w:fldChar w:fldCharType="end"/>
      </w:r>
      <w:r w:rsidR="001F76FB" w:rsidRPr="007D12CD">
        <w:rPr>
          <w:rFonts w:ascii="Palatino" w:hAnsi="Palatino"/>
          <w:b/>
          <w:noProof/>
        </w:rPr>
        <w:br w:type="page"/>
      </w:r>
    </w:p>
    <w:p w14:paraId="3FEC3083" w14:textId="630DEC54" w:rsidR="009E2C85" w:rsidRPr="007D12CD" w:rsidRDefault="009E2C85" w:rsidP="00DA02F3">
      <w:pPr>
        <w:pStyle w:val="Heading1"/>
      </w:pPr>
      <w:bookmarkStart w:id="1" w:name="_Toc462603351"/>
      <w:r w:rsidRPr="002A40E0">
        <w:lastRenderedPageBreak/>
        <w:t>Lista skraćenica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7728"/>
      </w:tblGrid>
      <w:tr w:rsidR="009E2C85" w:rsidRPr="007D12CD" w14:paraId="3FE30905" w14:textId="77777777" w:rsidTr="002A40E0">
        <w:trPr>
          <w:trHeight w:val="20"/>
        </w:trPr>
        <w:tc>
          <w:tcPr>
            <w:tcW w:w="1426" w:type="dxa"/>
          </w:tcPr>
          <w:p w14:paraId="28C5DE78" w14:textId="77777777" w:rsidR="009E2C85" w:rsidRPr="007D12CD" w:rsidRDefault="009E2C85" w:rsidP="00DA02F3">
            <w:pPr>
              <w:rPr>
                <w:rFonts w:ascii="Palatino" w:hAnsi="Palatino"/>
                <w:b/>
                <w:noProof/>
              </w:rPr>
            </w:pPr>
            <w:r w:rsidRPr="007D12CD">
              <w:rPr>
                <w:rFonts w:ascii="Palatino" w:hAnsi="Palatino"/>
                <w:b/>
                <w:noProof/>
              </w:rPr>
              <w:t>CEDIS</w:t>
            </w:r>
          </w:p>
        </w:tc>
        <w:tc>
          <w:tcPr>
            <w:tcW w:w="7728" w:type="dxa"/>
          </w:tcPr>
          <w:p w14:paraId="49F46567" w14:textId="283C7333" w:rsidR="009E2C85" w:rsidRPr="007D12CD" w:rsidRDefault="006F2996" w:rsidP="00DA02F3">
            <w:pPr>
              <w:rPr>
                <w:rFonts w:ascii="Palatino" w:hAnsi="Palatino"/>
                <w:noProof/>
              </w:rPr>
            </w:pPr>
            <w:r>
              <w:rPr>
                <w:rFonts w:ascii="Palatino" w:hAnsi="Palatino"/>
                <w:noProof/>
              </w:rPr>
              <w:t>Crnogorski elektrodistributivni sistem</w:t>
            </w:r>
          </w:p>
        </w:tc>
      </w:tr>
      <w:tr w:rsidR="009E2C85" w:rsidRPr="007D12CD" w14:paraId="4F3F66D5" w14:textId="77777777" w:rsidTr="002A40E0">
        <w:trPr>
          <w:trHeight w:val="20"/>
        </w:trPr>
        <w:tc>
          <w:tcPr>
            <w:tcW w:w="1426" w:type="dxa"/>
          </w:tcPr>
          <w:p w14:paraId="03DDCE2D" w14:textId="77777777" w:rsidR="009E2C85" w:rsidRPr="007D12CD" w:rsidRDefault="009E2C85" w:rsidP="00DA02F3">
            <w:pPr>
              <w:rPr>
                <w:rFonts w:ascii="Palatino" w:hAnsi="Palatino"/>
                <w:b/>
                <w:noProof/>
              </w:rPr>
            </w:pPr>
            <w:r w:rsidRPr="007D12CD">
              <w:rPr>
                <w:rFonts w:ascii="Palatino" w:hAnsi="Palatino"/>
                <w:b/>
                <w:noProof/>
              </w:rPr>
              <w:t>CETI</w:t>
            </w:r>
          </w:p>
        </w:tc>
        <w:tc>
          <w:tcPr>
            <w:tcW w:w="7728" w:type="dxa"/>
          </w:tcPr>
          <w:p w14:paraId="6F3B4127" w14:textId="29521C91" w:rsidR="009E2C85" w:rsidRPr="007D12CD" w:rsidRDefault="00AA3B10" w:rsidP="00DA02F3">
            <w:pPr>
              <w:rPr>
                <w:rFonts w:ascii="Palatino" w:hAnsi="Palatino"/>
                <w:noProof/>
              </w:rPr>
            </w:pPr>
            <w:r>
              <w:rPr>
                <w:rFonts w:ascii="Palatino" w:hAnsi="Palatino"/>
                <w:noProof/>
              </w:rPr>
              <w:t>Centar za ekotoksikološka istraživanja</w:t>
            </w:r>
          </w:p>
        </w:tc>
      </w:tr>
      <w:tr w:rsidR="00125865" w:rsidRPr="007D12CD" w14:paraId="30095004" w14:textId="77777777" w:rsidTr="002A40E0">
        <w:trPr>
          <w:trHeight w:val="20"/>
        </w:trPr>
        <w:tc>
          <w:tcPr>
            <w:tcW w:w="1426" w:type="dxa"/>
          </w:tcPr>
          <w:p w14:paraId="4C7CFE86" w14:textId="704F828A" w:rsidR="00125865" w:rsidRPr="007D12CD" w:rsidRDefault="00125865" w:rsidP="00DA02F3">
            <w:pPr>
              <w:rPr>
                <w:rFonts w:ascii="Palatino" w:hAnsi="Palatino"/>
                <w:b/>
                <w:noProof/>
              </w:rPr>
            </w:pPr>
            <w:r>
              <w:rPr>
                <w:rFonts w:ascii="Palatino" w:hAnsi="Palatino"/>
                <w:b/>
                <w:noProof/>
              </w:rPr>
              <w:t>EBRD</w:t>
            </w:r>
          </w:p>
        </w:tc>
        <w:tc>
          <w:tcPr>
            <w:tcW w:w="7728" w:type="dxa"/>
          </w:tcPr>
          <w:p w14:paraId="723D2D8C" w14:textId="354FE736" w:rsidR="00125865" w:rsidRDefault="00125865" w:rsidP="00DA02F3">
            <w:pPr>
              <w:rPr>
                <w:rFonts w:ascii="Palatino" w:hAnsi="Palatino"/>
                <w:noProof/>
              </w:rPr>
            </w:pPr>
            <w:r>
              <w:rPr>
                <w:rFonts w:ascii="Palatino" w:hAnsi="Palatino"/>
                <w:noProof/>
              </w:rPr>
              <w:t>Evropska banka za rekonstrukciju i razvoj</w:t>
            </w:r>
          </w:p>
        </w:tc>
      </w:tr>
      <w:tr w:rsidR="009C6A7B" w:rsidRPr="007D12CD" w14:paraId="31971EAF" w14:textId="77777777" w:rsidTr="002A40E0">
        <w:trPr>
          <w:trHeight w:val="20"/>
        </w:trPr>
        <w:tc>
          <w:tcPr>
            <w:tcW w:w="1426" w:type="dxa"/>
          </w:tcPr>
          <w:p w14:paraId="3D3D91A2" w14:textId="0D80E171" w:rsidR="009C6A7B" w:rsidRPr="007D12CD" w:rsidRDefault="009C6A7B" w:rsidP="00DA02F3">
            <w:pPr>
              <w:rPr>
                <w:rFonts w:ascii="Palatino" w:hAnsi="Palatino"/>
                <w:b/>
                <w:noProof/>
              </w:rPr>
            </w:pPr>
            <w:r>
              <w:rPr>
                <w:rFonts w:ascii="Palatino" w:hAnsi="Palatino"/>
                <w:b/>
                <w:noProof/>
              </w:rPr>
              <w:t>EPEC</w:t>
            </w:r>
          </w:p>
        </w:tc>
        <w:tc>
          <w:tcPr>
            <w:tcW w:w="7728" w:type="dxa"/>
          </w:tcPr>
          <w:p w14:paraId="7E08C5BF" w14:textId="784D4616" w:rsidR="009C6A7B" w:rsidRDefault="009C6A7B" w:rsidP="00DA02F3">
            <w:pPr>
              <w:rPr>
                <w:rFonts w:ascii="Palatino" w:hAnsi="Palatino"/>
                <w:noProof/>
              </w:rPr>
            </w:pPr>
            <w:r>
              <w:rPr>
                <w:rFonts w:ascii="Palatino" w:hAnsi="Palatino"/>
                <w:noProof/>
              </w:rPr>
              <w:t>Evropski centar za ekspertizu JPP</w:t>
            </w:r>
          </w:p>
        </w:tc>
      </w:tr>
      <w:tr w:rsidR="00125865" w:rsidRPr="007D12CD" w14:paraId="6A953ED6" w14:textId="77777777" w:rsidTr="002A40E0">
        <w:trPr>
          <w:trHeight w:val="20"/>
        </w:trPr>
        <w:tc>
          <w:tcPr>
            <w:tcW w:w="1426" w:type="dxa"/>
          </w:tcPr>
          <w:p w14:paraId="0290E62D" w14:textId="7A987743" w:rsidR="00125865" w:rsidRDefault="00125865" w:rsidP="00DA02F3">
            <w:pPr>
              <w:rPr>
                <w:rFonts w:ascii="Palatino" w:hAnsi="Palatino"/>
                <w:b/>
                <w:noProof/>
              </w:rPr>
            </w:pPr>
            <w:r>
              <w:rPr>
                <w:rFonts w:ascii="Palatino" w:hAnsi="Palatino"/>
                <w:b/>
                <w:noProof/>
              </w:rPr>
              <w:t>EU</w:t>
            </w:r>
          </w:p>
        </w:tc>
        <w:tc>
          <w:tcPr>
            <w:tcW w:w="7728" w:type="dxa"/>
          </w:tcPr>
          <w:p w14:paraId="0BDAF929" w14:textId="6E9C78ED" w:rsidR="00125865" w:rsidRDefault="00125865" w:rsidP="00DA02F3">
            <w:pPr>
              <w:rPr>
                <w:rFonts w:ascii="Palatino" w:hAnsi="Palatino"/>
                <w:noProof/>
              </w:rPr>
            </w:pPr>
            <w:r>
              <w:rPr>
                <w:rFonts w:ascii="Palatino" w:hAnsi="Palatino"/>
                <w:noProof/>
              </w:rPr>
              <w:t>Evropska unija</w:t>
            </w:r>
          </w:p>
        </w:tc>
      </w:tr>
      <w:tr w:rsidR="009E2C85" w:rsidRPr="007D12CD" w14:paraId="296A5377" w14:textId="77777777" w:rsidTr="002A40E0">
        <w:trPr>
          <w:trHeight w:val="20"/>
        </w:trPr>
        <w:tc>
          <w:tcPr>
            <w:tcW w:w="1426" w:type="dxa"/>
          </w:tcPr>
          <w:p w14:paraId="1C2574E0" w14:textId="77777777" w:rsidR="009E2C85" w:rsidRPr="007D12CD" w:rsidRDefault="009E2C85" w:rsidP="00DA02F3">
            <w:pPr>
              <w:rPr>
                <w:rFonts w:ascii="Palatino" w:hAnsi="Palatino"/>
                <w:b/>
                <w:noProof/>
              </w:rPr>
            </w:pPr>
            <w:r w:rsidRPr="007D12CD">
              <w:rPr>
                <w:rFonts w:ascii="Palatino" w:hAnsi="Palatino"/>
                <w:b/>
                <w:noProof/>
              </w:rPr>
              <w:t>GEF</w:t>
            </w:r>
          </w:p>
        </w:tc>
        <w:tc>
          <w:tcPr>
            <w:tcW w:w="7728" w:type="dxa"/>
          </w:tcPr>
          <w:p w14:paraId="64018579" w14:textId="4CD43189" w:rsidR="009E2C85" w:rsidRPr="007D12CD" w:rsidRDefault="003B4BCD" w:rsidP="003B4BCD">
            <w:pPr>
              <w:rPr>
                <w:rFonts w:ascii="Palatino" w:hAnsi="Palatino"/>
                <w:noProof/>
              </w:rPr>
            </w:pPr>
            <w:r w:rsidRPr="007D12CD">
              <w:rPr>
                <w:rFonts w:ascii="Palatino" w:hAnsi="Palatino"/>
                <w:noProof/>
              </w:rPr>
              <w:t>Globaln</w:t>
            </w:r>
            <w:r>
              <w:rPr>
                <w:rFonts w:ascii="Palatino" w:hAnsi="Palatino"/>
                <w:noProof/>
              </w:rPr>
              <w:t>i</w:t>
            </w:r>
            <w:r w:rsidRPr="007D12CD">
              <w:rPr>
                <w:rFonts w:ascii="Palatino" w:hAnsi="Palatino"/>
                <w:noProof/>
              </w:rPr>
              <w:t xml:space="preserve"> fond za životnu sredinu</w:t>
            </w:r>
          </w:p>
        </w:tc>
      </w:tr>
      <w:tr w:rsidR="00AA3B10" w:rsidRPr="007D12CD" w14:paraId="73DF39FB" w14:textId="77777777" w:rsidTr="002A40E0">
        <w:trPr>
          <w:trHeight w:val="20"/>
        </w:trPr>
        <w:tc>
          <w:tcPr>
            <w:tcW w:w="1426" w:type="dxa"/>
          </w:tcPr>
          <w:p w14:paraId="00EBCC32" w14:textId="55C048A5" w:rsidR="00AA3B10" w:rsidRPr="007D12CD" w:rsidRDefault="00AA3B10" w:rsidP="00DA02F3">
            <w:pPr>
              <w:rPr>
                <w:rFonts w:ascii="Palatino" w:hAnsi="Palatino"/>
                <w:b/>
                <w:noProof/>
              </w:rPr>
            </w:pPr>
            <w:r>
              <w:rPr>
                <w:rFonts w:ascii="Palatino" w:hAnsi="Palatino"/>
                <w:b/>
                <w:noProof/>
              </w:rPr>
              <w:t>JPP</w:t>
            </w:r>
          </w:p>
        </w:tc>
        <w:tc>
          <w:tcPr>
            <w:tcW w:w="7728" w:type="dxa"/>
          </w:tcPr>
          <w:p w14:paraId="7105501C" w14:textId="4CAFC286" w:rsidR="00AA3B10" w:rsidRPr="007D12CD" w:rsidRDefault="00AA3B10" w:rsidP="00DA02F3">
            <w:pPr>
              <w:rPr>
                <w:rFonts w:ascii="Palatino" w:hAnsi="Palatino"/>
                <w:noProof/>
              </w:rPr>
            </w:pPr>
            <w:r>
              <w:rPr>
                <w:rFonts w:ascii="Palatino" w:hAnsi="Palatino"/>
                <w:noProof/>
              </w:rPr>
              <w:t>Javno privatno partnerstvo</w:t>
            </w:r>
          </w:p>
        </w:tc>
      </w:tr>
      <w:tr w:rsidR="009E2C85" w:rsidRPr="007D12CD" w14:paraId="6F3ED915" w14:textId="77777777" w:rsidTr="002A40E0">
        <w:trPr>
          <w:trHeight w:val="20"/>
        </w:trPr>
        <w:tc>
          <w:tcPr>
            <w:tcW w:w="1426" w:type="dxa"/>
          </w:tcPr>
          <w:p w14:paraId="5F507A0E" w14:textId="77777777" w:rsidR="009E2C85" w:rsidRPr="007D12CD" w:rsidRDefault="009E2C85" w:rsidP="00DA02F3">
            <w:pPr>
              <w:rPr>
                <w:rFonts w:ascii="Palatino" w:hAnsi="Palatino"/>
                <w:b/>
                <w:noProof/>
              </w:rPr>
            </w:pPr>
            <w:r w:rsidRPr="007D12CD">
              <w:rPr>
                <w:rFonts w:ascii="Palatino" w:hAnsi="Palatino"/>
                <w:b/>
                <w:noProof/>
              </w:rPr>
              <w:t>NIP</w:t>
            </w:r>
          </w:p>
        </w:tc>
        <w:tc>
          <w:tcPr>
            <w:tcW w:w="7728" w:type="dxa"/>
          </w:tcPr>
          <w:p w14:paraId="2D674E98" w14:textId="0AFAAE94" w:rsidR="009E2C85" w:rsidRPr="007D12CD" w:rsidRDefault="00AA3B10" w:rsidP="00DA02F3">
            <w:pPr>
              <w:rPr>
                <w:rFonts w:ascii="Palatino" w:hAnsi="Palatino"/>
                <w:noProof/>
              </w:rPr>
            </w:pPr>
            <w:r>
              <w:rPr>
                <w:rFonts w:ascii="Palatino" w:hAnsi="Palatino"/>
                <w:noProof/>
              </w:rPr>
              <w:t>Nacionalni plan implementacije</w:t>
            </w:r>
          </w:p>
        </w:tc>
      </w:tr>
      <w:tr w:rsidR="00803B7C" w:rsidRPr="007D12CD" w14:paraId="4D5B03BB" w14:textId="77777777" w:rsidTr="002A40E0">
        <w:trPr>
          <w:trHeight w:val="20"/>
        </w:trPr>
        <w:tc>
          <w:tcPr>
            <w:tcW w:w="1426" w:type="dxa"/>
          </w:tcPr>
          <w:p w14:paraId="0F326516" w14:textId="37AB048F" w:rsidR="00803B7C" w:rsidRPr="007D12CD" w:rsidRDefault="00803B7C" w:rsidP="00DA02F3">
            <w:pPr>
              <w:rPr>
                <w:rFonts w:ascii="Palatino" w:hAnsi="Palatino"/>
                <w:b/>
                <w:noProof/>
              </w:rPr>
            </w:pPr>
            <w:r>
              <w:rPr>
                <w:rFonts w:ascii="Palatino" w:hAnsi="Palatino"/>
                <w:b/>
                <w:noProof/>
              </w:rPr>
              <w:t>OECD</w:t>
            </w:r>
          </w:p>
        </w:tc>
        <w:tc>
          <w:tcPr>
            <w:tcW w:w="7728" w:type="dxa"/>
          </w:tcPr>
          <w:p w14:paraId="1B5CACB9" w14:textId="36DAC3CE" w:rsidR="00803B7C" w:rsidRDefault="00803B7C" w:rsidP="00DA02F3">
            <w:pPr>
              <w:rPr>
                <w:rFonts w:ascii="Palatino" w:hAnsi="Palatino"/>
                <w:noProof/>
              </w:rPr>
            </w:pPr>
            <w:r>
              <w:rPr>
                <w:rFonts w:ascii="Palatino" w:hAnsi="Palatino"/>
                <w:noProof/>
              </w:rPr>
              <w:t>Organizacija za ekonomsku saradnju i razvoj</w:t>
            </w:r>
          </w:p>
        </w:tc>
      </w:tr>
      <w:tr w:rsidR="009E2C85" w:rsidRPr="007D12CD" w14:paraId="41EF407F" w14:textId="77777777" w:rsidTr="002A40E0">
        <w:trPr>
          <w:trHeight w:val="20"/>
        </w:trPr>
        <w:tc>
          <w:tcPr>
            <w:tcW w:w="1426" w:type="dxa"/>
          </w:tcPr>
          <w:p w14:paraId="25BF079E" w14:textId="28A60721" w:rsidR="009E2C85" w:rsidRPr="007D12CD" w:rsidRDefault="006C5421" w:rsidP="00DA02F3">
            <w:pPr>
              <w:rPr>
                <w:rFonts w:ascii="Palatino" w:hAnsi="Palatino"/>
                <w:b/>
                <w:noProof/>
              </w:rPr>
            </w:pPr>
            <w:r>
              <w:rPr>
                <w:rFonts w:ascii="Palatino" w:hAnsi="Palatino"/>
                <w:b/>
                <w:noProof/>
              </w:rPr>
              <w:t>PCB</w:t>
            </w:r>
          </w:p>
        </w:tc>
        <w:tc>
          <w:tcPr>
            <w:tcW w:w="7728" w:type="dxa"/>
          </w:tcPr>
          <w:p w14:paraId="2C93ECC6" w14:textId="4540FBF1" w:rsidR="009E2C85" w:rsidRPr="007D12CD" w:rsidRDefault="00AA3B10" w:rsidP="00DA02F3">
            <w:pPr>
              <w:rPr>
                <w:rFonts w:ascii="Palatino" w:hAnsi="Palatino"/>
                <w:noProof/>
              </w:rPr>
            </w:pPr>
            <w:r>
              <w:rPr>
                <w:rFonts w:ascii="Palatino" w:hAnsi="Palatino"/>
                <w:noProof/>
              </w:rPr>
              <w:t>Polihlorovani bifenili</w:t>
            </w:r>
            <w:r w:rsidR="006C5421">
              <w:rPr>
                <w:rFonts w:ascii="Palatino" w:hAnsi="Palatino"/>
                <w:noProof/>
              </w:rPr>
              <w:t xml:space="preserve"> (</w:t>
            </w:r>
            <w:r w:rsidR="006C5421" w:rsidRPr="006C5421">
              <w:rPr>
                <w:rFonts w:ascii="Palatino" w:hAnsi="Palatino"/>
                <w:i/>
                <w:noProof/>
              </w:rPr>
              <w:t xml:space="preserve">eng. </w:t>
            </w:r>
            <w:r w:rsidR="006C5421" w:rsidRPr="006C5421">
              <w:rPr>
                <w:rFonts w:ascii="Palatino" w:hAnsi="Palatino"/>
                <w:i/>
                <w:noProof/>
                <w:lang w:val="en-GB"/>
              </w:rPr>
              <w:t>Polychlorinated biphenyls</w:t>
            </w:r>
            <w:r w:rsidR="006C5421">
              <w:rPr>
                <w:rFonts w:ascii="Palatino" w:hAnsi="Palatino"/>
                <w:noProof/>
                <w:lang w:val="en-GB"/>
              </w:rPr>
              <w:t>)</w:t>
            </w:r>
          </w:p>
        </w:tc>
      </w:tr>
      <w:tr w:rsidR="009E2C85" w:rsidRPr="007D12CD" w14:paraId="310316FF" w14:textId="77777777" w:rsidTr="002A40E0">
        <w:tc>
          <w:tcPr>
            <w:tcW w:w="1426" w:type="dxa"/>
          </w:tcPr>
          <w:p w14:paraId="3708C46D" w14:textId="77777777" w:rsidR="009E2C85" w:rsidRPr="007D12CD" w:rsidRDefault="009E2C85" w:rsidP="00DA02F3">
            <w:pPr>
              <w:rPr>
                <w:rFonts w:ascii="Palatino" w:hAnsi="Palatino"/>
                <w:b/>
                <w:noProof/>
              </w:rPr>
            </w:pPr>
            <w:r w:rsidRPr="007D12CD">
              <w:rPr>
                <w:rFonts w:ascii="Palatino" w:hAnsi="Palatino"/>
                <w:b/>
                <w:noProof/>
              </w:rPr>
              <w:t>POPs</w:t>
            </w:r>
          </w:p>
        </w:tc>
        <w:tc>
          <w:tcPr>
            <w:tcW w:w="7728" w:type="dxa"/>
          </w:tcPr>
          <w:p w14:paraId="66644DA1" w14:textId="690E18E7" w:rsidR="009E2C85" w:rsidRPr="007D12CD" w:rsidRDefault="00FB61E5" w:rsidP="00FB61E5">
            <w:pPr>
              <w:rPr>
                <w:rFonts w:ascii="Palatino" w:hAnsi="Palatino"/>
                <w:noProof/>
              </w:rPr>
            </w:pPr>
            <w:r>
              <w:rPr>
                <w:rFonts w:ascii="Palatino" w:hAnsi="Palatino"/>
                <w:noProof/>
              </w:rPr>
              <w:t>Dugotrajne</w:t>
            </w:r>
            <w:r w:rsidRPr="007D12CD">
              <w:rPr>
                <w:rFonts w:ascii="Palatino" w:hAnsi="Palatino"/>
                <w:noProof/>
              </w:rPr>
              <w:t xml:space="preserve"> organsk</w:t>
            </w:r>
            <w:r>
              <w:rPr>
                <w:rFonts w:ascii="Palatino" w:hAnsi="Palatino"/>
                <w:noProof/>
              </w:rPr>
              <w:t>e</w:t>
            </w:r>
            <w:r w:rsidRPr="007D12CD">
              <w:rPr>
                <w:rFonts w:ascii="Palatino" w:hAnsi="Palatino"/>
                <w:noProof/>
              </w:rPr>
              <w:t xml:space="preserve"> zagađujuć</w:t>
            </w:r>
            <w:r>
              <w:rPr>
                <w:rFonts w:ascii="Palatino" w:hAnsi="Palatino"/>
                <w:noProof/>
              </w:rPr>
              <w:t>e</w:t>
            </w:r>
            <w:r w:rsidRPr="007D12CD">
              <w:rPr>
                <w:rFonts w:ascii="Palatino" w:hAnsi="Palatino"/>
                <w:noProof/>
              </w:rPr>
              <w:t xml:space="preserve"> materij</w:t>
            </w:r>
            <w:r>
              <w:rPr>
                <w:rFonts w:ascii="Palatino" w:hAnsi="Palatino"/>
                <w:noProof/>
              </w:rPr>
              <w:t xml:space="preserve">e </w:t>
            </w:r>
            <w:r w:rsidRPr="006C5421">
              <w:rPr>
                <w:rFonts w:ascii="Palatino" w:hAnsi="Palatino"/>
                <w:i/>
                <w:noProof/>
              </w:rPr>
              <w:t>(</w:t>
            </w:r>
            <w:r w:rsidR="006C5421" w:rsidRPr="006C5421">
              <w:rPr>
                <w:rFonts w:ascii="Palatino" w:hAnsi="Palatino"/>
                <w:i/>
                <w:noProof/>
              </w:rPr>
              <w:t xml:space="preserve">eng. </w:t>
            </w:r>
            <w:r w:rsidR="009E2C85" w:rsidRPr="006C5421">
              <w:rPr>
                <w:rFonts w:ascii="Palatino" w:hAnsi="Palatino"/>
                <w:i/>
                <w:noProof/>
              </w:rPr>
              <w:t>Persistent Organic Pollutants</w:t>
            </w:r>
            <w:r w:rsidRPr="006C5421">
              <w:rPr>
                <w:rFonts w:ascii="Palatino" w:hAnsi="Palatino"/>
                <w:i/>
                <w:noProof/>
              </w:rPr>
              <w:t>)</w:t>
            </w:r>
          </w:p>
        </w:tc>
      </w:tr>
      <w:tr w:rsidR="009C6A7B" w:rsidRPr="007D12CD" w14:paraId="1DE431B6" w14:textId="77777777" w:rsidTr="002A40E0">
        <w:tc>
          <w:tcPr>
            <w:tcW w:w="1426" w:type="dxa"/>
          </w:tcPr>
          <w:p w14:paraId="05251215" w14:textId="5653D0C8" w:rsidR="009C6A7B" w:rsidRPr="007D12CD" w:rsidRDefault="009C6A7B" w:rsidP="00DA02F3">
            <w:pPr>
              <w:rPr>
                <w:rFonts w:ascii="Palatino" w:hAnsi="Palatino"/>
                <w:b/>
                <w:noProof/>
              </w:rPr>
            </w:pPr>
            <w:r>
              <w:rPr>
                <w:rFonts w:ascii="Palatino" w:hAnsi="Palatino"/>
                <w:b/>
                <w:noProof/>
              </w:rPr>
              <w:t>PPP</w:t>
            </w:r>
          </w:p>
        </w:tc>
        <w:tc>
          <w:tcPr>
            <w:tcW w:w="7728" w:type="dxa"/>
          </w:tcPr>
          <w:p w14:paraId="7A33522B" w14:textId="687D754D" w:rsidR="009C6A7B" w:rsidRDefault="009C6A7B" w:rsidP="00FB61E5">
            <w:pPr>
              <w:rPr>
                <w:rFonts w:ascii="Palatino" w:hAnsi="Palatino"/>
                <w:noProof/>
              </w:rPr>
            </w:pPr>
            <w:r>
              <w:rPr>
                <w:rFonts w:ascii="Palatino" w:hAnsi="Palatino"/>
                <w:noProof/>
              </w:rPr>
              <w:t>Public-Private Partnership (javno-privatno partnerstvo)</w:t>
            </w:r>
          </w:p>
        </w:tc>
      </w:tr>
      <w:tr w:rsidR="009E2C85" w:rsidRPr="007D12CD" w14:paraId="31553710" w14:textId="77777777" w:rsidTr="002A40E0">
        <w:tc>
          <w:tcPr>
            <w:tcW w:w="1426" w:type="dxa"/>
          </w:tcPr>
          <w:p w14:paraId="776A96B1" w14:textId="77777777" w:rsidR="009E2C85" w:rsidRPr="007D12CD" w:rsidRDefault="009E2C85" w:rsidP="00DA02F3">
            <w:pPr>
              <w:rPr>
                <w:rFonts w:ascii="Palatino" w:hAnsi="Palatino"/>
                <w:b/>
                <w:noProof/>
              </w:rPr>
            </w:pPr>
            <w:r w:rsidRPr="007D12CD">
              <w:rPr>
                <w:rFonts w:ascii="Palatino" w:hAnsi="Palatino"/>
                <w:b/>
                <w:noProof/>
              </w:rPr>
              <w:t>UNDP</w:t>
            </w:r>
          </w:p>
        </w:tc>
        <w:tc>
          <w:tcPr>
            <w:tcW w:w="7728" w:type="dxa"/>
          </w:tcPr>
          <w:p w14:paraId="4F23F405" w14:textId="4760853B" w:rsidR="009E2C85" w:rsidRPr="007D12CD" w:rsidRDefault="00136632" w:rsidP="00DA02F3">
            <w:pPr>
              <w:rPr>
                <w:rFonts w:ascii="Palatino" w:hAnsi="Palatino"/>
                <w:noProof/>
              </w:rPr>
            </w:pPr>
            <w:r w:rsidRPr="007D12CD">
              <w:rPr>
                <w:rFonts w:ascii="Palatino" w:hAnsi="Palatino"/>
                <w:noProof/>
              </w:rPr>
              <w:t>Programa Ujedinjenih nacija za razvoj</w:t>
            </w:r>
          </w:p>
        </w:tc>
      </w:tr>
      <w:tr w:rsidR="009960B0" w:rsidRPr="007D12CD" w14:paraId="24DF53C6" w14:textId="77777777" w:rsidTr="002A40E0">
        <w:tc>
          <w:tcPr>
            <w:tcW w:w="1426" w:type="dxa"/>
          </w:tcPr>
          <w:p w14:paraId="75343440" w14:textId="269DA43B" w:rsidR="009960B0" w:rsidRPr="007D12CD" w:rsidRDefault="009960B0" w:rsidP="00DA02F3">
            <w:pPr>
              <w:rPr>
                <w:rFonts w:ascii="Palatino" w:hAnsi="Palatino"/>
                <w:b/>
                <w:noProof/>
              </w:rPr>
            </w:pPr>
            <w:r>
              <w:rPr>
                <w:rFonts w:ascii="Palatino" w:hAnsi="Palatino"/>
                <w:b/>
                <w:noProof/>
              </w:rPr>
              <w:t>UNEP</w:t>
            </w:r>
          </w:p>
        </w:tc>
        <w:tc>
          <w:tcPr>
            <w:tcW w:w="7728" w:type="dxa"/>
          </w:tcPr>
          <w:p w14:paraId="6EC55F20" w14:textId="07CD3D64" w:rsidR="009960B0" w:rsidRPr="007D12CD" w:rsidRDefault="00665228" w:rsidP="00DA02F3">
            <w:pPr>
              <w:rPr>
                <w:rFonts w:ascii="Palatino" w:hAnsi="Palatino"/>
                <w:noProof/>
              </w:rPr>
            </w:pPr>
            <w:r>
              <w:rPr>
                <w:rFonts w:ascii="Palatino" w:hAnsi="Palatino"/>
                <w:noProof/>
              </w:rPr>
              <w:t>Program zaštite životne sredine Ujedinjenih nacija</w:t>
            </w:r>
          </w:p>
        </w:tc>
      </w:tr>
      <w:tr w:rsidR="00812FED" w:rsidRPr="007D12CD" w14:paraId="23134720" w14:textId="77777777" w:rsidTr="002A40E0">
        <w:tc>
          <w:tcPr>
            <w:tcW w:w="1426" w:type="dxa"/>
          </w:tcPr>
          <w:p w14:paraId="3504B4AE" w14:textId="2270B675" w:rsidR="00812FED" w:rsidRDefault="00A03C47" w:rsidP="00DA02F3">
            <w:pPr>
              <w:rPr>
                <w:rFonts w:ascii="Palatino" w:hAnsi="Palatino"/>
                <w:b/>
                <w:noProof/>
              </w:rPr>
            </w:pPr>
            <w:r>
              <w:rPr>
                <w:rFonts w:ascii="Palatino" w:hAnsi="Palatino"/>
                <w:b/>
                <w:noProof/>
              </w:rPr>
              <w:t>UNICTRAL</w:t>
            </w:r>
          </w:p>
        </w:tc>
        <w:tc>
          <w:tcPr>
            <w:tcW w:w="7728" w:type="dxa"/>
          </w:tcPr>
          <w:p w14:paraId="10944477" w14:textId="02120D0C" w:rsidR="00812FED" w:rsidRDefault="00A03C47" w:rsidP="00DA02F3">
            <w:pPr>
              <w:rPr>
                <w:rFonts w:ascii="Palatino" w:hAnsi="Palatino"/>
                <w:noProof/>
              </w:rPr>
            </w:pPr>
            <w:r w:rsidRPr="00A03C47">
              <w:rPr>
                <w:rFonts w:ascii="Palatino" w:hAnsi="Palatino"/>
                <w:noProof/>
              </w:rPr>
              <w:t>United Nations Commission on International Trade Law</w:t>
            </w:r>
          </w:p>
        </w:tc>
      </w:tr>
    </w:tbl>
    <w:p w14:paraId="0E1C6B36" w14:textId="77777777" w:rsidR="009E2C85" w:rsidRPr="007D12CD" w:rsidRDefault="009E2C85" w:rsidP="00DA02F3">
      <w:pPr>
        <w:rPr>
          <w:rFonts w:ascii="Palatino" w:hAnsi="Palatino"/>
          <w:b/>
          <w:noProof/>
        </w:rPr>
      </w:pPr>
    </w:p>
    <w:p w14:paraId="2B0C2E54" w14:textId="77777777" w:rsidR="009E2C85" w:rsidRPr="007D12CD" w:rsidRDefault="009E2C85" w:rsidP="00DA02F3">
      <w:pPr>
        <w:rPr>
          <w:rFonts w:ascii="Palatino" w:hAnsi="Palatino"/>
          <w:b/>
          <w:noProof/>
        </w:rPr>
      </w:pPr>
      <w:r w:rsidRPr="007D12CD">
        <w:rPr>
          <w:rFonts w:ascii="Palatino" w:hAnsi="Palatino"/>
          <w:b/>
          <w:noProof/>
        </w:rPr>
        <w:br w:type="page"/>
      </w:r>
    </w:p>
    <w:p w14:paraId="0FB8B85C" w14:textId="1F5372C0" w:rsidR="009268B0" w:rsidRPr="007D12CD" w:rsidRDefault="003D7399" w:rsidP="00DA02F3">
      <w:pPr>
        <w:pStyle w:val="Heading1"/>
      </w:pPr>
      <w:bookmarkStart w:id="2" w:name="_Toc462603352"/>
      <w:r w:rsidRPr="007D12CD">
        <w:lastRenderedPageBreak/>
        <w:t>1.</w:t>
      </w:r>
      <w:r w:rsidRPr="007D12CD">
        <w:tab/>
      </w:r>
      <w:r w:rsidR="00E43E37" w:rsidRPr="007D12CD">
        <w:t>Uvod</w:t>
      </w:r>
      <w:bookmarkEnd w:id="2"/>
    </w:p>
    <w:p w14:paraId="4EEC7653" w14:textId="2B11A4A6" w:rsidR="005D68E2" w:rsidRPr="007D12CD" w:rsidRDefault="005A4B2F" w:rsidP="00DA02F3">
      <w:pPr>
        <w:spacing w:after="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Crna Gora je država potpisnica Stokholmske konvencije o dugotrajnim organskim zagađujućim materijama (eng. </w:t>
      </w:r>
      <w:r w:rsidR="002D5309" w:rsidRPr="007D12CD">
        <w:rPr>
          <w:rFonts w:ascii="Palatino" w:hAnsi="Palatino"/>
          <w:noProof/>
        </w:rPr>
        <w:t>P</w:t>
      </w:r>
      <w:r w:rsidRPr="007D12CD">
        <w:rPr>
          <w:rFonts w:ascii="Palatino" w:hAnsi="Palatino"/>
          <w:noProof/>
        </w:rPr>
        <w:t xml:space="preserve">ersistant </w:t>
      </w:r>
      <w:r w:rsidR="002D5309" w:rsidRPr="007D12CD">
        <w:rPr>
          <w:rFonts w:ascii="Palatino" w:hAnsi="Palatino"/>
          <w:noProof/>
        </w:rPr>
        <w:t>O</w:t>
      </w:r>
      <w:r w:rsidRPr="007D12CD">
        <w:rPr>
          <w:rFonts w:ascii="Palatino" w:hAnsi="Palatino"/>
          <w:noProof/>
        </w:rPr>
        <w:t xml:space="preserve">rganic </w:t>
      </w:r>
      <w:r w:rsidR="002D5309" w:rsidRPr="007D12CD">
        <w:rPr>
          <w:rFonts w:ascii="Palatino" w:hAnsi="Palatino"/>
          <w:noProof/>
        </w:rPr>
        <w:t>P</w:t>
      </w:r>
      <w:r w:rsidRPr="007D12CD">
        <w:rPr>
          <w:rFonts w:ascii="Palatino" w:hAnsi="Palatino"/>
          <w:noProof/>
        </w:rPr>
        <w:t xml:space="preserve">ollutants, u daljem tekstu </w:t>
      </w:r>
      <w:r w:rsidRPr="007D12CD">
        <w:rPr>
          <w:rFonts w:ascii="Palatino" w:hAnsi="Palatino"/>
          <w:i/>
          <w:noProof/>
        </w:rPr>
        <w:t>POP</w:t>
      </w:r>
      <w:r w:rsidR="00D80E45">
        <w:rPr>
          <w:rFonts w:ascii="Palatino" w:hAnsi="Palatino"/>
          <w:i/>
          <w:noProof/>
        </w:rPr>
        <w:t>s</w:t>
      </w:r>
      <w:r w:rsidRPr="007D12CD">
        <w:rPr>
          <w:rFonts w:ascii="Palatino" w:hAnsi="Palatino"/>
          <w:noProof/>
        </w:rPr>
        <w:t xml:space="preserve">) od marta 2011. godine. Cilj Stokholmske konvencije je da zaštiti zdravlje ljudi i životnu sredinu od POPs </w:t>
      </w:r>
      <w:r w:rsidR="006E1252" w:rsidRPr="007D12CD">
        <w:rPr>
          <w:rFonts w:ascii="Palatino" w:hAnsi="Palatino"/>
          <w:noProof/>
        </w:rPr>
        <w:t>materija</w:t>
      </w:r>
      <w:r w:rsidRPr="007D12CD">
        <w:rPr>
          <w:rFonts w:ascii="Palatino" w:hAnsi="Palatino"/>
          <w:noProof/>
        </w:rPr>
        <w:t xml:space="preserve">. POPs su hemijske supstance koje </w:t>
      </w:r>
      <w:r w:rsidR="002D5309" w:rsidRPr="007D12CD">
        <w:rPr>
          <w:rFonts w:ascii="Palatino" w:hAnsi="Palatino"/>
          <w:noProof/>
        </w:rPr>
        <w:t xml:space="preserve">izuzetno dugo </w:t>
      </w:r>
      <w:r w:rsidRPr="007D12CD">
        <w:rPr>
          <w:rFonts w:ascii="Palatino" w:hAnsi="Palatino"/>
          <w:noProof/>
        </w:rPr>
        <w:t>opstaju u životnoj sredini,</w:t>
      </w:r>
      <w:r w:rsidR="005D68E2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>bioakumuliraju se i predstavljaju rizik po zdravlje ljudi</w:t>
      </w:r>
      <w:r w:rsidR="002D5309" w:rsidRPr="007D12CD">
        <w:rPr>
          <w:rFonts w:ascii="Palatino" w:hAnsi="Palatino"/>
          <w:noProof/>
        </w:rPr>
        <w:t>, životinja</w:t>
      </w:r>
      <w:r w:rsidRPr="007D12CD">
        <w:rPr>
          <w:rFonts w:ascii="Palatino" w:hAnsi="Palatino"/>
          <w:noProof/>
        </w:rPr>
        <w:t xml:space="preserve"> i/ili životnu sredinu. </w:t>
      </w:r>
    </w:p>
    <w:p w14:paraId="5A7A43FE" w14:textId="77777777" w:rsidR="005D68E2" w:rsidRPr="007D12CD" w:rsidRDefault="005D68E2" w:rsidP="00DA02F3">
      <w:pPr>
        <w:spacing w:after="0"/>
        <w:jc w:val="both"/>
        <w:rPr>
          <w:rFonts w:ascii="Palatino" w:hAnsi="Palatino"/>
          <w:noProof/>
        </w:rPr>
      </w:pPr>
    </w:p>
    <w:p w14:paraId="41B224EA" w14:textId="44215AAB" w:rsidR="005A4B2F" w:rsidRPr="007D12CD" w:rsidRDefault="00007AAC" w:rsidP="00DA02F3">
      <w:pPr>
        <w:spacing w:after="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Odgovarajući na zahtjev Stokhol</w:t>
      </w:r>
      <w:r w:rsidR="004F10F4" w:rsidRPr="007D12CD">
        <w:rPr>
          <w:rFonts w:ascii="Palatino" w:hAnsi="Palatino"/>
          <w:noProof/>
        </w:rPr>
        <w:t>m</w:t>
      </w:r>
      <w:r w:rsidRPr="007D12CD">
        <w:rPr>
          <w:rFonts w:ascii="Palatino" w:hAnsi="Palatino"/>
          <w:noProof/>
        </w:rPr>
        <w:t>sk</w:t>
      </w:r>
      <w:r w:rsidR="004F10F4" w:rsidRPr="007D12CD">
        <w:rPr>
          <w:rFonts w:ascii="Palatino" w:hAnsi="Palatino"/>
          <w:noProof/>
        </w:rPr>
        <w:t>e konvencije, Crna Gora</w:t>
      </w:r>
      <w:r w:rsidR="005A4B2F" w:rsidRPr="007D12CD">
        <w:rPr>
          <w:rFonts w:ascii="Palatino" w:hAnsi="Palatino"/>
          <w:noProof/>
        </w:rPr>
        <w:t xml:space="preserve"> je izradila svoj Nacionalni plan implementacije (NIP) u novembru 2013.</w:t>
      </w:r>
      <w:r w:rsidR="004F10F4" w:rsidRPr="007D12CD">
        <w:rPr>
          <w:rFonts w:ascii="Palatino" w:hAnsi="Palatino"/>
          <w:noProof/>
        </w:rPr>
        <w:t xml:space="preserve"> godine i </w:t>
      </w:r>
      <w:r w:rsidR="005A4B2F" w:rsidRPr="007D12CD">
        <w:rPr>
          <w:rFonts w:ascii="Palatino" w:hAnsi="Palatino"/>
          <w:noProof/>
        </w:rPr>
        <w:t xml:space="preserve">ažurirala </w:t>
      </w:r>
      <w:r w:rsidR="004F10F4" w:rsidRPr="007D12CD">
        <w:rPr>
          <w:rFonts w:ascii="Palatino" w:hAnsi="Palatino"/>
          <w:noProof/>
        </w:rPr>
        <w:t xml:space="preserve">ga </w:t>
      </w:r>
      <w:r w:rsidR="005A4B2F" w:rsidRPr="007D12CD">
        <w:rPr>
          <w:rFonts w:ascii="Palatino" w:hAnsi="Palatino"/>
          <w:noProof/>
        </w:rPr>
        <w:t>u julu 2019. Svrha Nacionaln</w:t>
      </w:r>
      <w:r w:rsidR="004F10F4" w:rsidRPr="007D12CD">
        <w:rPr>
          <w:rFonts w:ascii="Palatino" w:hAnsi="Palatino"/>
          <w:noProof/>
        </w:rPr>
        <w:t>og</w:t>
      </w:r>
      <w:r w:rsidR="005A4B2F" w:rsidRPr="007D12CD">
        <w:rPr>
          <w:rFonts w:ascii="Palatino" w:hAnsi="Palatino"/>
          <w:noProof/>
        </w:rPr>
        <w:t xml:space="preserve"> plan</w:t>
      </w:r>
      <w:r w:rsidR="004F10F4" w:rsidRPr="007D12CD">
        <w:rPr>
          <w:rFonts w:ascii="Palatino" w:hAnsi="Palatino"/>
          <w:noProof/>
        </w:rPr>
        <w:t>a</w:t>
      </w:r>
      <w:r w:rsidR="005A4B2F" w:rsidRPr="007D12CD">
        <w:rPr>
          <w:rFonts w:ascii="Palatino" w:hAnsi="Palatino"/>
          <w:noProof/>
        </w:rPr>
        <w:t xml:space="preserve"> </w:t>
      </w:r>
      <w:r w:rsidR="004F10F4" w:rsidRPr="007D12CD">
        <w:rPr>
          <w:rFonts w:ascii="Palatino" w:hAnsi="Palatino"/>
          <w:noProof/>
        </w:rPr>
        <w:t>za sprovođenje</w:t>
      </w:r>
      <w:r w:rsidR="005A4B2F" w:rsidRPr="007D12CD">
        <w:rPr>
          <w:rFonts w:ascii="Palatino" w:hAnsi="Palatino"/>
          <w:noProof/>
        </w:rPr>
        <w:t xml:space="preserve"> Stokholmske konvencije </w:t>
      </w:r>
      <w:r w:rsidR="004F10F4" w:rsidRPr="007D12CD">
        <w:rPr>
          <w:rFonts w:ascii="Palatino" w:hAnsi="Palatino"/>
          <w:noProof/>
        </w:rPr>
        <w:t>je da doprinese izvršenju</w:t>
      </w:r>
      <w:r w:rsidR="005A4B2F" w:rsidRPr="007D12CD">
        <w:rPr>
          <w:rFonts w:ascii="Palatino" w:hAnsi="Palatino"/>
          <w:noProof/>
        </w:rPr>
        <w:t xml:space="preserve"> ob</w:t>
      </w:r>
      <w:r w:rsidR="004F10F4" w:rsidRPr="007D12CD">
        <w:rPr>
          <w:rFonts w:ascii="Palatino" w:hAnsi="Palatino"/>
          <w:noProof/>
        </w:rPr>
        <w:t>a</w:t>
      </w:r>
      <w:r w:rsidR="005A4B2F" w:rsidRPr="007D12CD">
        <w:rPr>
          <w:rFonts w:ascii="Palatino" w:hAnsi="Palatino"/>
          <w:noProof/>
        </w:rPr>
        <w:t xml:space="preserve">veza koje proizlaze iz Konvencije, </w:t>
      </w:r>
      <w:r w:rsidR="004F10F4" w:rsidRPr="007D12CD">
        <w:rPr>
          <w:rFonts w:ascii="Palatino" w:hAnsi="Palatino"/>
          <w:noProof/>
        </w:rPr>
        <w:t>podizanje</w:t>
      </w:r>
      <w:r w:rsidR="005A4B2F" w:rsidRPr="007D12CD">
        <w:rPr>
          <w:rFonts w:ascii="Palatino" w:hAnsi="Palatino"/>
          <w:noProof/>
        </w:rPr>
        <w:t xml:space="preserve"> svijest</w:t>
      </w:r>
      <w:r w:rsidR="004F10F4" w:rsidRPr="007D12CD">
        <w:rPr>
          <w:rFonts w:ascii="Palatino" w:hAnsi="Palatino"/>
          <w:noProof/>
        </w:rPr>
        <w:t>i</w:t>
      </w:r>
      <w:r w:rsidR="005A4B2F" w:rsidRPr="007D12CD">
        <w:rPr>
          <w:rFonts w:ascii="Palatino" w:hAnsi="Palatino"/>
          <w:noProof/>
        </w:rPr>
        <w:t xml:space="preserve"> o POP</w:t>
      </w:r>
      <w:r w:rsidR="004F10F4" w:rsidRPr="007D12CD">
        <w:rPr>
          <w:rFonts w:ascii="Palatino" w:hAnsi="Palatino"/>
          <w:noProof/>
        </w:rPr>
        <w:t>s</w:t>
      </w:r>
      <w:r w:rsidR="005A4B2F" w:rsidRPr="007D12CD">
        <w:rPr>
          <w:rFonts w:ascii="Palatino" w:hAnsi="Palatino"/>
          <w:noProof/>
        </w:rPr>
        <w:t xml:space="preserve"> i mjerama za njihovu kontrolu, </w:t>
      </w:r>
      <w:r w:rsidR="004F10F4" w:rsidRPr="007D12CD">
        <w:rPr>
          <w:rFonts w:ascii="Palatino" w:hAnsi="Palatino"/>
          <w:noProof/>
        </w:rPr>
        <w:t>predstavljanje</w:t>
      </w:r>
      <w:r w:rsidR="005A4B2F" w:rsidRPr="007D12CD">
        <w:rPr>
          <w:rFonts w:ascii="Palatino" w:hAnsi="Palatino"/>
          <w:noProof/>
        </w:rPr>
        <w:t xml:space="preserve"> mjer</w:t>
      </w:r>
      <w:r w:rsidR="004F10F4" w:rsidRPr="007D12CD">
        <w:rPr>
          <w:rFonts w:ascii="Palatino" w:hAnsi="Palatino"/>
          <w:noProof/>
        </w:rPr>
        <w:t>a</w:t>
      </w:r>
      <w:r w:rsidR="005A4B2F" w:rsidRPr="007D12CD">
        <w:rPr>
          <w:rFonts w:ascii="Palatino" w:hAnsi="Palatino"/>
          <w:noProof/>
        </w:rPr>
        <w:t xml:space="preserve"> i uspostav</w:t>
      </w:r>
      <w:r w:rsidR="004F10F4" w:rsidRPr="007D12CD">
        <w:rPr>
          <w:rFonts w:ascii="Palatino" w:hAnsi="Palatino"/>
          <w:noProof/>
        </w:rPr>
        <w:t>ljanje</w:t>
      </w:r>
      <w:r w:rsidR="005A4B2F" w:rsidRPr="007D12CD">
        <w:rPr>
          <w:rFonts w:ascii="Palatino" w:hAnsi="Palatino"/>
          <w:noProof/>
        </w:rPr>
        <w:t xml:space="preserve"> strategij</w:t>
      </w:r>
      <w:r w:rsidR="004F10F4" w:rsidRPr="007D12CD">
        <w:rPr>
          <w:rFonts w:ascii="Palatino" w:hAnsi="Palatino"/>
          <w:noProof/>
        </w:rPr>
        <w:t>e</w:t>
      </w:r>
      <w:r w:rsidR="005A4B2F" w:rsidRPr="007D12CD">
        <w:rPr>
          <w:rFonts w:ascii="Palatino" w:hAnsi="Palatino"/>
          <w:noProof/>
        </w:rPr>
        <w:t xml:space="preserve"> i akcion</w:t>
      </w:r>
      <w:r w:rsidR="004F10F4" w:rsidRPr="007D12CD">
        <w:rPr>
          <w:rFonts w:ascii="Palatino" w:hAnsi="Palatino"/>
          <w:noProof/>
        </w:rPr>
        <w:t>og</w:t>
      </w:r>
      <w:r w:rsidR="005A4B2F" w:rsidRPr="007D12CD">
        <w:rPr>
          <w:rFonts w:ascii="Palatino" w:hAnsi="Palatino"/>
          <w:noProof/>
        </w:rPr>
        <w:t xml:space="preserve"> plan</w:t>
      </w:r>
      <w:r w:rsidR="004F10F4" w:rsidRPr="007D12CD">
        <w:rPr>
          <w:rFonts w:ascii="Palatino" w:hAnsi="Palatino"/>
          <w:noProof/>
        </w:rPr>
        <w:t>a za dalj</w:t>
      </w:r>
      <w:r w:rsidR="005A4B2F" w:rsidRPr="007D12CD">
        <w:rPr>
          <w:rFonts w:ascii="Palatino" w:hAnsi="Palatino"/>
          <w:noProof/>
        </w:rPr>
        <w:t>e korake vezano za upravljanje POPs</w:t>
      </w:r>
      <w:r w:rsidR="003E7E69" w:rsidRPr="007D12CD">
        <w:rPr>
          <w:rFonts w:ascii="Palatino" w:hAnsi="Palatino"/>
          <w:noProof/>
        </w:rPr>
        <w:t>, kao dio globalnog pokreta</w:t>
      </w:r>
      <w:r w:rsidR="005A4B2F" w:rsidRPr="007D12CD">
        <w:rPr>
          <w:rFonts w:ascii="Palatino" w:hAnsi="Palatino"/>
          <w:noProof/>
        </w:rPr>
        <w:t>.</w:t>
      </w:r>
    </w:p>
    <w:p w14:paraId="3F013A60" w14:textId="77777777" w:rsidR="009F6A21" w:rsidRPr="007D12CD" w:rsidRDefault="009F6A21" w:rsidP="00DA02F3">
      <w:pPr>
        <w:spacing w:after="0"/>
        <w:jc w:val="both"/>
        <w:rPr>
          <w:rFonts w:ascii="Palatino" w:hAnsi="Palatino"/>
          <w:noProof/>
        </w:rPr>
      </w:pPr>
    </w:p>
    <w:p w14:paraId="2D293910" w14:textId="12F49385" w:rsidR="009F6A21" w:rsidRPr="007D12CD" w:rsidRDefault="009F6A21" w:rsidP="00DA02F3">
      <w:pPr>
        <w:spacing w:after="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Polihlorovani bifenili (PCB) su izrazito toksične hlorovane industrijske hemikalije </w:t>
      </w:r>
      <w:r w:rsidR="003E7E69" w:rsidRPr="007D12CD">
        <w:rPr>
          <w:rFonts w:ascii="Palatino" w:hAnsi="Palatino"/>
          <w:noProof/>
        </w:rPr>
        <w:t xml:space="preserve">koje pripadaju grupi </w:t>
      </w:r>
      <w:r w:rsidRPr="007D12CD">
        <w:rPr>
          <w:rFonts w:ascii="Palatino" w:hAnsi="Palatino"/>
          <w:noProof/>
        </w:rPr>
        <w:t>POPs supstanc</w:t>
      </w:r>
      <w:r w:rsidR="003E7E69" w:rsidRPr="007D12CD">
        <w:rPr>
          <w:rFonts w:ascii="Palatino" w:hAnsi="Palatino"/>
          <w:noProof/>
        </w:rPr>
        <w:t>i</w:t>
      </w:r>
      <w:r w:rsidRPr="007D12CD">
        <w:rPr>
          <w:rFonts w:ascii="Palatino" w:hAnsi="Palatino"/>
          <w:noProof/>
        </w:rPr>
        <w:t xml:space="preserve">, </w:t>
      </w:r>
      <w:r w:rsidR="003E7E69" w:rsidRPr="007D12CD">
        <w:rPr>
          <w:rFonts w:ascii="Palatino" w:hAnsi="Palatino"/>
          <w:noProof/>
        </w:rPr>
        <w:t>i ujedno su među</w:t>
      </w:r>
      <w:r w:rsidRPr="007D12CD">
        <w:rPr>
          <w:rFonts w:ascii="Palatino" w:hAnsi="Palatino"/>
          <w:noProof/>
        </w:rPr>
        <w:t xml:space="preserve"> najtoksičniji</w:t>
      </w:r>
      <w:r w:rsidR="003E7E69" w:rsidRPr="007D12CD">
        <w:rPr>
          <w:rFonts w:ascii="Palatino" w:hAnsi="Palatino"/>
          <w:noProof/>
        </w:rPr>
        <w:t>m</w:t>
      </w:r>
      <w:r w:rsidRPr="007D12CD">
        <w:rPr>
          <w:rFonts w:ascii="Palatino" w:hAnsi="Palatino"/>
          <w:noProof/>
        </w:rPr>
        <w:t xml:space="preserve"> hemikalija</w:t>
      </w:r>
      <w:r w:rsidR="003E7E69" w:rsidRPr="007D12CD">
        <w:rPr>
          <w:rFonts w:ascii="Palatino" w:hAnsi="Palatino"/>
          <w:noProof/>
        </w:rPr>
        <w:t>ma</w:t>
      </w:r>
      <w:r w:rsidRPr="007D12CD">
        <w:rPr>
          <w:rFonts w:ascii="Palatino" w:hAnsi="Palatino"/>
          <w:noProof/>
        </w:rPr>
        <w:t xml:space="preserve"> koje je čovjek sintetizovao. PCB su po prvi put sintetizovani </w:t>
      </w:r>
      <w:r w:rsidR="003E7E69" w:rsidRPr="007D12CD">
        <w:rPr>
          <w:rFonts w:ascii="Palatino" w:hAnsi="Palatino"/>
          <w:noProof/>
        </w:rPr>
        <w:t>sredinom druge polovine 19. vijeka</w:t>
      </w:r>
      <w:r w:rsidRPr="007D12CD">
        <w:rPr>
          <w:rFonts w:ascii="Palatino" w:hAnsi="Palatino"/>
          <w:noProof/>
        </w:rPr>
        <w:t>, a njihova proizvodnja na industrijskom nivou počela je 1929.</w:t>
      </w:r>
      <w:r w:rsidR="003E7E69" w:rsidRPr="007D12CD">
        <w:rPr>
          <w:rFonts w:ascii="Palatino" w:hAnsi="Palatino"/>
          <w:noProof/>
        </w:rPr>
        <w:t xml:space="preserve"> godine.</w:t>
      </w:r>
      <w:r w:rsidRPr="007D12CD">
        <w:rPr>
          <w:rFonts w:ascii="Palatino" w:hAnsi="Palatino"/>
          <w:noProof/>
        </w:rPr>
        <w:t xml:space="preserve"> Uprkos prestanku proizvodnje širom svijeta od sredine sedamdesetih, u upotrebi su još uvijek značajne količine PCB. To je posljedica dugog vijeka trajanja opreme</w:t>
      </w:r>
      <w:r w:rsidR="00722D66" w:rsidRPr="007D12CD">
        <w:rPr>
          <w:rFonts w:ascii="Palatino" w:hAnsi="Palatino"/>
          <w:noProof/>
        </w:rPr>
        <w:t xml:space="preserve"> koje sadrže PCB</w:t>
      </w:r>
      <w:r w:rsidR="00255799" w:rsidRPr="007D12CD">
        <w:rPr>
          <w:rStyle w:val="FootnoteReference"/>
          <w:rFonts w:ascii="Palatino" w:hAnsi="Palatino"/>
          <w:noProof/>
        </w:rPr>
        <w:footnoteReference w:id="1"/>
      </w:r>
      <w:r w:rsidRPr="007D12CD">
        <w:rPr>
          <w:rFonts w:ascii="Palatino" w:hAnsi="Palatino"/>
          <w:noProof/>
        </w:rPr>
        <w:t xml:space="preserve">. </w:t>
      </w:r>
      <w:r w:rsidR="00722D66" w:rsidRPr="007D12CD">
        <w:rPr>
          <w:rFonts w:ascii="Palatino" w:hAnsi="Palatino"/>
          <w:noProof/>
        </w:rPr>
        <w:t xml:space="preserve">Iako su se PCB uglavnom koristili u zatvorenim sistemima (poput transformatora i kondenzatora), vrlo često se ta oprema reciklira na kraju radnog vijeka, a u njima sadržano PCB ulje može se ili direktno baciti u prirodu, reciklirati ili čak prodati kao mazut. </w:t>
      </w:r>
      <w:r w:rsidRPr="007D12CD">
        <w:rPr>
          <w:rFonts w:ascii="Palatino" w:hAnsi="Palatino"/>
          <w:noProof/>
        </w:rPr>
        <w:t>Postoje određene količine koje u skladištima čekaju na odlaganje ili su u visokim koncentracijama prisutne u zemljštu.</w:t>
      </w:r>
      <w:r w:rsidR="00D82CA4" w:rsidRPr="007D12CD">
        <w:rPr>
          <w:rFonts w:ascii="Palatino" w:hAnsi="Palatino"/>
          <w:noProof/>
        </w:rPr>
        <w:t xml:space="preserve"> </w:t>
      </w:r>
    </w:p>
    <w:p w14:paraId="14FB74E3" w14:textId="77777777" w:rsidR="004F10F4" w:rsidRPr="007D12CD" w:rsidRDefault="004F10F4" w:rsidP="00DA02F3">
      <w:pPr>
        <w:spacing w:after="0"/>
        <w:jc w:val="both"/>
        <w:rPr>
          <w:rFonts w:ascii="Palatino" w:hAnsi="Palatino"/>
          <w:noProof/>
        </w:rPr>
      </w:pPr>
    </w:p>
    <w:p w14:paraId="4C256AF0" w14:textId="323C527B" w:rsidR="00BA04CA" w:rsidRPr="007D12CD" w:rsidRDefault="00141300" w:rsidP="00DA02F3">
      <w:pPr>
        <w:spacing w:after="0"/>
        <w:jc w:val="both"/>
        <w:rPr>
          <w:rFonts w:ascii="Palatino" w:hAnsi="Palatino"/>
          <w:bCs/>
          <w:noProof/>
        </w:rPr>
      </w:pPr>
      <w:r>
        <w:rPr>
          <w:rFonts w:ascii="Palatino" w:hAnsi="Palatino"/>
          <w:noProof/>
        </w:rPr>
        <w:t xml:space="preserve">Ratifikacijom Stokholmske konvencije, </w:t>
      </w:r>
      <w:r w:rsidR="003F3DA5" w:rsidRPr="007D12CD">
        <w:rPr>
          <w:rFonts w:ascii="Palatino" w:hAnsi="Palatino"/>
          <w:noProof/>
        </w:rPr>
        <w:t xml:space="preserve">Crna Gora se </w:t>
      </w:r>
      <w:r>
        <w:rPr>
          <w:rFonts w:ascii="Palatino" w:hAnsi="Palatino"/>
          <w:noProof/>
        </w:rPr>
        <w:t xml:space="preserve">obavezala da eliminiše upotrebu PCB fluida u uređajima do 2025. godine, iako važeći Zakon o upravljanju otpadom </w:t>
      </w:r>
      <w:r w:rsidR="003D62C4">
        <w:rPr>
          <w:rFonts w:ascii="Palatino" w:hAnsi="Palatino"/>
          <w:noProof/>
        </w:rPr>
        <w:t>(</w:t>
      </w:r>
      <w:r w:rsidR="003D62C4" w:rsidRPr="003D62C4">
        <w:rPr>
          <w:rFonts w:ascii="Palatino" w:hAnsi="Palatino"/>
          <w:noProof/>
        </w:rPr>
        <w:t>"Službeni list Crne Gore", br. 064/11 od 29.12.2011, 039/16 od 29.06.2016</w:t>
      </w:r>
      <w:r w:rsidR="003D62C4">
        <w:rPr>
          <w:rFonts w:ascii="Palatino" w:hAnsi="Palatino"/>
          <w:noProof/>
        </w:rPr>
        <w:t xml:space="preserve">) </w:t>
      </w:r>
      <w:r>
        <w:rPr>
          <w:rFonts w:ascii="Palatino" w:hAnsi="Palatino"/>
          <w:noProof/>
        </w:rPr>
        <w:t>definiše rok za odlaganje PCB otpada (tečnosti sa PCB i oprema koja sadrži PCB) do kraja 2020</w:t>
      </w:r>
      <w:r w:rsidR="006E1252" w:rsidRPr="007D12CD">
        <w:rPr>
          <w:rStyle w:val="FootnoteReference"/>
          <w:rFonts w:ascii="Palatino" w:hAnsi="Palatino"/>
          <w:bCs/>
          <w:noProof/>
        </w:rPr>
        <w:footnoteReference w:id="2"/>
      </w:r>
      <w:r w:rsidR="00E62EEF" w:rsidRPr="007D12CD">
        <w:rPr>
          <w:rFonts w:ascii="Palatino" w:hAnsi="Palatino"/>
          <w:bCs/>
          <w:noProof/>
        </w:rPr>
        <w:t>.</w:t>
      </w:r>
      <w:r w:rsidR="006E1252" w:rsidRPr="007D12CD">
        <w:rPr>
          <w:rFonts w:ascii="Palatino" w:hAnsi="Palatino"/>
          <w:bCs/>
          <w:noProof/>
        </w:rPr>
        <w:t xml:space="preserve"> Značajan dio ovih aktivnosti izvršen je u okviru projekta “</w:t>
      </w:r>
      <w:r w:rsidR="005A4B2F" w:rsidRPr="007D12CD">
        <w:rPr>
          <w:rFonts w:ascii="Palatino" w:hAnsi="Palatino"/>
          <w:noProof/>
        </w:rPr>
        <w:t>Sveobuhvatno ekološki prihvatljivo upravljanje otpadom koji sadrži PCB u Crnoj Gori</w:t>
      </w:r>
      <w:r w:rsidR="006E1252" w:rsidRPr="007D12CD">
        <w:rPr>
          <w:rFonts w:ascii="Palatino" w:hAnsi="Palatino"/>
          <w:noProof/>
        </w:rPr>
        <w:t>”</w:t>
      </w:r>
      <w:r w:rsidR="001C3604" w:rsidRPr="007D12CD">
        <w:rPr>
          <w:rFonts w:ascii="Palatino" w:hAnsi="Palatino"/>
          <w:noProof/>
        </w:rPr>
        <w:t xml:space="preserve"> (u daljem tekstu </w:t>
      </w:r>
      <w:r w:rsidR="001C3604" w:rsidRPr="007D12CD">
        <w:rPr>
          <w:rFonts w:ascii="Palatino" w:hAnsi="Palatino"/>
          <w:i/>
          <w:noProof/>
        </w:rPr>
        <w:t>Projekat</w:t>
      </w:r>
      <w:r w:rsidR="001C3604" w:rsidRPr="007D12CD">
        <w:rPr>
          <w:rFonts w:ascii="Palatino" w:hAnsi="Palatino"/>
          <w:noProof/>
        </w:rPr>
        <w:t>),</w:t>
      </w:r>
      <w:r w:rsidR="006E1252" w:rsidRPr="007D12CD">
        <w:rPr>
          <w:rFonts w:ascii="Palatino" w:hAnsi="Palatino"/>
          <w:noProof/>
        </w:rPr>
        <w:t xml:space="preserve"> koji</w:t>
      </w:r>
      <w:r w:rsidR="005A4B2F" w:rsidRPr="007D12CD">
        <w:rPr>
          <w:rFonts w:ascii="Palatino" w:hAnsi="Palatino"/>
          <w:noProof/>
        </w:rPr>
        <w:t xml:space="preserve"> implementira kancelarija Programa Ujedinjenih nacija za razvoj (UNDP) </w:t>
      </w:r>
      <w:r w:rsidR="00A36101" w:rsidRPr="007D12CD">
        <w:rPr>
          <w:rFonts w:ascii="Palatino" w:hAnsi="Palatino"/>
          <w:noProof/>
        </w:rPr>
        <w:t>u saradnji sa Ministarstvom održ</w:t>
      </w:r>
      <w:r w:rsidR="005A4B2F" w:rsidRPr="007D12CD">
        <w:rPr>
          <w:rFonts w:ascii="Palatino" w:hAnsi="Palatino"/>
          <w:noProof/>
        </w:rPr>
        <w:t xml:space="preserve">ivog razvoja i turizma Crne Gore sredstvima Globalnog fonda za </w:t>
      </w:r>
      <w:r w:rsidR="00A36101" w:rsidRPr="007D12CD">
        <w:rPr>
          <w:rFonts w:ascii="Palatino" w:hAnsi="Palatino"/>
          <w:noProof/>
        </w:rPr>
        <w:t>ž</w:t>
      </w:r>
      <w:r w:rsidR="005A4B2F" w:rsidRPr="007D12CD">
        <w:rPr>
          <w:rFonts w:ascii="Palatino" w:hAnsi="Palatino"/>
          <w:noProof/>
        </w:rPr>
        <w:t xml:space="preserve">ivotnu sredinu (GEF) i projektnih partnera (Crnogorski elektrodistributivni sistem – CEDIS, UNIPOM /KAP, Luka Bar, Rudinik uglja Pljevlja, Port of Adria, </w:t>
      </w:r>
      <w:r w:rsidR="00A36101" w:rsidRPr="007D12CD">
        <w:rPr>
          <w:rFonts w:ascii="Palatino" w:hAnsi="Palatino"/>
          <w:noProof/>
        </w:rPr>
        <w:t>Ž</w:t>
      </w:r>
      <w:r w:rsidR="005A4B2F" w:rsidRPr="007D12CD">
        <w:rPr>
          <w:rFonts w:ascii="Palatino" w:hAnsi="Palatino"/>
          <w:noProof/>
        </w:rPr>
        <w:t>eljeznica Crne Gore itd.). Cilj projekta je identifikacija, zbrinjavanje i trajno odstranjivanje  opreme i otpada kontaminiranih polihlorovanim bifenilima iz životne sredine čime će biti riješen značajan ekološki problem u državi.</w:t>
      </w:r>
      <w:r w:rsidR="00BA04CA" w:rsidRPr="007D12CD">
        <w:rPr>
          <w:rFonts w:ascii="Palatino" w:hAnsi="Palatino"/>
          <w:noProof/>
        </w:rPr>
        <w:t xml:space="preserve"> </w:t>
      </w:r>
      <w:r w:rsidR="001C3604" w:rsidRPr="007D12CD">
        <w:rPr>
          <w:rFonts w:ascii="Palatino" w:hAnsi="Palatino"/>
          <w:noProof/>
        </w:rPr>
        <w:t xml:space="preserve">U okviru komponente 3 Projekta, predviđeno je da se obezbijedi tehnička i finansijska </w:t>
      </w:r>
      <w:r w:rsidR="001C3604" w:rsidRPr="007D12CD">
        <w:rPr>
          <w:rFonts w:ascii="Palatino" w:hAnsi="Palatino"/>
          <w:noProof/>
        </w:rPr>
        <w:lastRenderedPageBreak/>
        <w:t>podrška za identifikaciju i zbrinjavanje preostal</w:t>
      </w:r>
      <w:r w:rsidR="003D368B">
        <w:rPr>
          <w:rFonts w:ascii="Palatino" w:hAnsi="Palatino"/>
          <w:noProof/>
        </w:rPr>
        <w:t>ih</w:t>
      </w:r>
      <w:r w:rsidR="001C3604" w:rsidRPr="007D12CD">
        <w:rPr>
          <w:rFonts w:ascii="Palatino" w:hAnsi="Palatino"/>
          <w:noProof/>
        </w:rPr>
        <w:t xml:space="preserve"> PCB u zemlji (procjena je da je u pitanju najmanje 900t opreme i otpada </w:t>
      </w:r>
      <w:r w:rsidR="003D368B">
        <w:rPr>
          <w:rFonts w:ascii="Palatino" w:hAnsi="Palatino"/>
          <w:noProof/>
        </w:rPr>
        <w:t>koji sadrže PCB</w:t>
      </w:r>
      <w:r w:rsidR="001C3604" w:rsidRPr="007D12CD">
        <w:rPr>
          <w:rFonts w:ascii="Palatino" w:hAnsi="Palatino"/>
          <w:noProof/>
        </w:rPr>
        <w:t>).</w:t>
      </w:r>
    </w:p>
    <w:p w14:paraId="0F349437" w14:textId="77777777" w:rsidR="009268B0" w:rsidRPr="007D12CD" w:rsidRDefault="009268B0" w:rsidP="00DA02F3">
      <w:pPr>
        <w:rPr>
          <w:rFonts w:ascii="Palatino" w:hAnsi="Palatino"/>
          <w:b/>
          <w:noProof/>
        </w:rPr>
      </w:pPr>
    </w:p>
    <w:p w14:paraId="6F26ACFD" w14:textId="2A06FF08" w:rsidR="009268B0" w:rsidRPr="007D12CD" w:rsidRDefault="003D7399" w:rsidP="00DA02F3">
      <w:pPr>
        <w:pStyle w:val="Heading1"/>
      </w:pPr>
      <w:bookmarkStart w:id="3" w:name="_Toc462603353"/>
      <w:r w:rsidRPr="007D12CD">
        <w:t>2.</w:t>
      </w:r>
      <w:r w:rsidRPr="007D12CD">
        <w:tab/>
      </w:r>
      <w:r w:rsidR="00E43E37" w:rsidRPr="007D12CD">
        <w:t>Cilj Analize</w:t>
      </w:r>
      <w:bookmarkEnd w:id="3"/>
    </w:p>
    <w:p w14:paraId="680074BB" w14:textId="00F98168" w:rsidR="004D2527" w:rsidRPr="007D12CD" w:rsidRDefault="00780787" w:rsidP="00DA02F3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Iako su projekt</w:t>
      </w:r>
      <w:r w:rsidR="00177FFE" w:rsidRPr="007D12CD">
        <w:rPr>
          <w:rFonts w:ascii="Palatino" w:hAnsi="Palatino"/>
          <w:noProof/>
        </w:rPr>
        <w:t>n</w:t>
      </w:r>
      <w:r w:rsidRPr="007D12CD">
        <w:rPr>
          <w:rFonts w:ascii="Palatino" w:hAnsi="Palatino"/>
          <w:noProof/>
        </w:rPr>
        <w:t>e aktivnosti na zbrinjavanju preostal</w:t>
      </w:r>
      <w:r w:rsidR="0003035B" w:rsidRPr="007D12CD">
        <w:rPr>
          <w:rFonts w:ascii="Palatino" w:hAnsi="Palatino"/>
          <w:noProof/>
        </w:rPr>
        <w:t>og</w:t>
      </w:r>
      <w:r w:rsidRPr="007D12CD">
        <w:rPr>
          <w:rFonts w:ascii="Palatino" w:hAnsi="Palatino"/>
          <w:noProof/>
        </w:rPr>
        <w:t xml:space="preserve"> PCB u zemlji i dalje u toku</w:t>
      </w:r>
      <w:r w:rsidR="000E0FE4" w:rsidRPr="007D12CD">
        <w:rPr>
          <w:rStyle w:val="FootnoteReference"/>
          <w:rFonts w:ascii="Palatino" w:hAnsi="Palatino"/>
          <w:noProof/>
        </w:rPr>
        <w:footnoteReference w:id="3"/>
      </w:r>
      <w:r w:rsidRPr="007D12CD">
        <w:rPr>
          <w:rFonts w:ascii="Palatino" w:hAnsi="Palatino"/>
          <w:noProof/>
        </w:rPr>
        <w:t xml:space="preserve">, </w:t>
      </w:r>
      <w:r w:rsidR="00C93E70" w:rsidRPr="007D12CD">
        <w:rPr>
          <w:rFonts w:ascii="Palatino" w:hAnsi="Palatino"/>
          <w:noProof/>
        </w:rPr>
        <w:t>evidentno je da će određena količina PCB ostati u zemlji i nakon završetka projekta</w:t>
      </w:r>
      <w:r w:rsidR="00177FFE" w:rsidRPr="007D12CD">
        <w:rPr>
          <w:rFonts w:ascii="Palatino" w:hAnsi="Palatino"/>
          <w:noProof/>
        </w:rPr>
        <w:t xml:space="preserve"> (kraj 2021</w:t>
      </w:r>
      <w:r w:rsidR="0003035B" w:rsidRPr="007D12CD">
        <w:rPr>
          <w:rFonts w:ascii="Palatino" w:hAnsi="Palatino"/>
          <w:noProof/>
        </w:rPr>
        <w:t>.</w:t>
      </w:r>
      <w:r w:rsidR="00177FFE" w:rsidRPr="007D12CD">
        <w:rPr>
          <w:rFonts w:ascii="Palatino" w:hAnsi="Palatino"/>
          <w:noProof/>
        </w:rPr>
        <w:t xml:space="preserve"> godine)</w:t>
      </w:r>
      <w:r w:rsidR="00C93E70" w:rsidRPr="007D12CD">
        <w:rPr>
          <w:rFonts w:ascii="Palatino" w:hAnsi="Palatino"/>
          <w:noProof/>
        </w:rPr>
        <w:t>.</w:t>
      </w:r>
      <w:r w:rsidR="0003035B" w:rsidRPr="007D12CD">
        <w:rPr>
          <w:rFonts w:ascii="Palatino" w:hAnsi="Palatino"/>
          <w:noProof/>
        </w:rPr>
        <w:t xml:space="preserve"> </w:t>
      </w:r>
      <w:r w:rsidR="004D2527" w:rsidRPr="007D12CD">
        <w:rPr>
          <w:rFonts w:ascii="Palatino" w:hAnsi="Palatino"/>
          <w:noProof/>
        </w:rPr>
        <w:t xml:space="preserve">Kako je većina značajnijih vlasnika opreme </w:t>
      </w:r>
      <w:r w:rsidR="002212ED">
        <w:rPr>
          <w:rFonts w:ascii="Palatino" w:hAnsi="Palatino"/>
          <w:noProof/>
        </w:rPr>
        <w:t xml:space="preserve">koja sadrži </w:t>
      </w:r>
      <w:r w:rsidR="004D2527" w:rsidRPr="007D12CD">
        <w:rPr>
          <w:rFonts w:ascii="Palatino" w:hAnsi="Palatino"/>
          <w:noProof/>
        </w:rPr>
        <w:t xml:space="preserve">PCB u potpunosti ili djelimično u vlasništvu države, dok je drugi značajan udio u vlasništvu međunarodnih i nacionalnih privatnih investitora, ova Analiza ima za cilj da </w:t>
      </w:r>
      <w:r w:rsidR="007204B5" w:rsidRPr="007D12CD">
        <w:rPr>
          <w:rFonts w:ascii="Palatino" w:hAnsi="Palatino"/>
          <w:noProof/>
        </w:rPr>
        <w:t>ispita mogu</w:t>
      </w:r>
      <w:r w:rsidR="007204B5" w:rsidRPr="007D12CD">
        <w:rPr>
          <w:rFonts w:ascii="Palatino" w:hAnsi="Palatino" w:hint="eastAsia"/>
          <w:noProof/>
        </w:rPr>
        <w:t>ć</w:t>
      </w:r>
      <w:r w:rsidR="007204B5" w:rsidRPr="007D12CD">
        <w:rPr>
          <w:rFonts w:ascii="Palatino" w:hAnsi="Palatino"/>
          <w:noProof/>
        </w:rPr>
        <w:t xml:space="preserve">nosti uspostavljanja javno-privatnog partnerstva u upravljanju polihlorovanim bifenilima u Crnoj Gori. Ukoliko se potvrda njegova opravdanost, Analiza treba da </w:t>
      </w:r>
      <w:r w:rsidR="004D2527" w:rsidRPr="007D12CD">
        <w:rPr>
          <w:rFonts w:ascii="Palatino" w:hAnsi="Palatino"/>
          <w:noProof/>
        </w:rPr>
        <w:t xml:space="preserve">definiše mapu puta za uspostavljanje javno-privatnog partnerstva koje djeluje u svim fazama – od identifikacije, skladištenja i odlaganja </w:t>
      </w:r>
      <w:r w:rsidR="002212ED">
        <w:rPr>
          <w:rFonts w:ascii="Palatino" w:hAnsi="Palatino"/>
          <w:noProof/>
        </w:rPr>
        <w:t xml:space="preserve">otpada koji sadrži </w:t>
      </w:r>
      <w:r w:rsidR="004D2527" w:rsidRPr="007D12CD">
        <w:rPr>
          <w:rFonts w:ascii="Palatino" w:hAnsi="Palatino"/>
          <w:noProof/>
        </w:rPr>
        <w:t xml:space="preserve">PCB, a koje može biti održivo i operativno </w:t>
      </w:r>
      <w:r w:rsidR="00B2286A" w:rsidRPr="007D12CD">
        <w:rPr>
          <w:rFonts w:ascii="Palatino" w:hAnsi="Palatino"/>
          <w:noProof/>
        </w:rPr>
        <w:t xml:space="preserve">i </w:t>
      </w:r>
      <w:r w:rsidR="004D2527" w:rsidRPr="007D12CD">
        <w:rPr>
          <w:rFonts w:ascii="Palatino" w:hAnsi="Palatino"/>
          <w:noProof/>
        </w:rPr>
        <w:t>nakon završetka Projekta, za sprovođenje aktivnosti vezanih za preostalu opremu kontaminiranu PCB</w:t>
      </w:r>
      <w:r w:rsidR="00D16665" w:rsidRPr="007D12CD">
        <w:rPr>
          <w:rFonts w:ascii="Palatino" w:hAnsi="Palatino"/>
          <w:noProof/>
        </w:rPr>
        <w:t xml:space="preserve"> </w:t>
      </w:r>
      <w:r w:rsidR="004D2527" w:rsidRPr="007D12CD">
        <w:rPr>
          <w:rFonts w:ascii="Palatino" w:hAnsi="Palatino"/>
          <w:noProof/>
        </w:rPr>
        <w:t xml:space="preserve">ili druge aktivnosti </w:t>
      </w:r>
      <w:r w:rsidR="00D16665" w:rsidRPr="007D12CD">
        <w:rPr>
          <w:rFonts w:ascii="Palatino" w:hAnsi="Palatino"/>
          <w:noProof/>
        </w:rPr>
        <w:t>vezane za</w:t>
      </w:r>
      <w:r w:rsidR="004D2527" w:rsidRPr="007D12CD">
        <w:rPr>
          <w:rFonts w:ascii="Palatino" w:hAnsi="Palatino"/>
          <w:noProof/>
        </w:rPr>
        <w:t xml:space="preserve"> POP</w:t>
      </w:r>
      <w:r w:rsidR="00D16665" w:rsidRPr="007D12CD">
        <w:rPr>
          <w:rFonts w:ascii="Palatino" w:hAnsi="Palatino"/>
          <w:noProof/>
        </w:rPr>
        <w:t>s</w:t>
      </w:r>
      <w:r w:rsidR="004D2527" w:rsidRPr="007D12CD">
        <w:rPr>
          <w:rFonts w:ascii="Palatino" w:hAnsi="Palatino"/>
          <w:noProof/>
        </w:rPr>
        <w:t xml:space="preserve"> i sigurnost</w:t>
      </w:r>
      <w:r w:rsidR="00D16665" w:rsidRPr="007D12CD">
        <w:rPr>
          <w:rFonts w:ascii="Palatino" w:hAnsi="Palatino"/>
          <w:noProof/>
        </w:rPr>
        <w:t xml:space="preserve"> od hemikalija</w:t>
      </w:r>
      <w:r w:rsidR="004D2527" w:rsidRPr="007D12CD">
        <w:rPr>
          <w:rFonts w:ascii="Palatino" w:hAnsi="Palatino"/>
          <w:noProof/>
        </w:rPr>
        <w:t>.</w:t>
      </w:r>
    </w:p>
    <w:p w14:paraId="6FAADEFC" w14:textId="3092F033" w:rsidR="00AF1694" w:rsidRPr="007D12CD" w:rsidRDefault="00B2286A" w:rsidP="00DA02F3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Uspostavljeno j</w:t>
      </w:r>
      <w:r w:rsidR="004D2527" w:rsidRPr="007D12CD">
        <w:rPr>
          <w:rFonts w:ascii="Palatino" w:hAnsi="Palatino"/>
          <w:noProof/>
        </w:rPr>
        <w:t xml:space="preserve">avno-privatno partnerstvo bi </w:t>
      </w:r>
      <w:r w:rsidRPr="007D12CD">
        <w:rPr>
          <w:rFonts w:ascii="Palatino" w:hAnsi="Palatino"/>
          <w:noProof/>
        </w:rPr>
        <w:t>trebalo da djeluje</w:t>
      </w:r>
      <w:r w:rsidR="004D2527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>nezavisno</w:t>
      </w:r>
      <w:r w:rsidR="004D2527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 xml:space="preserve">i da </w:t>
      </w:r>
      <w:r w:rsidR="004D2527" w:rsidRPr="007D12CD">
        <w:rPr>
          <w:rFonts w:ascii="Palatino" w:hAnsi="Palatino"/>
          <w:noProof/>
        </w:rPr>
        <w:t xml:space="preserve">pruža usluge u </w:t>
      </w:r>
      <w:r w:rsidRPr="007D12CD">
        <w:rPr>
          <w:rFonts w:ascii="Palatino" w:hAnsi="Palatino"/>
          <w:noProof/>
        </w:rPr>
        <w:t>oblasti</w:t>
      </w:r>
      <w:r w:rsidR="004D2527" w:rsidRPr="007D12CD">
        <w:rPr>
          <w:rFonts w:ascii="Palatino" w:hAnsi="Palatino"/>
          <w:noProof/>
        </w:rPr>
        <w:t xml:space="preserve"> uzorkovanja ulja </w:t>
      </w:r>
      <w:r w:rsidRPr="007D12CD">
        <w:rPr>
          <w:rFonts w:ascii="Palatino" w:hAnsi="Palatino"/>
          <w:noProof/>
        </w:rPr>
        <w:t xml:space="preserve">iz kontaminirane </w:t>
      </w:r>
      <w:r w:rsidR="004D2527" w:rsidRPr="007D12CD">
        <w:rPr>
          <w:rFonts w:ascii="Palatino" w:hAnsi="Palatino"/>
          <w:noProof/>
        </w:rPr>
        <w:t>opreme</w:t>
      </w:r>
      <w:r w:rsidRPr="007D12CD">
        <w:rPr>
          <w:rFonts w:ascii="Palatino" w:hAnsi="Palatino"/>
          <w:noProof/>
        </w:rPr>
        <w:t xml:space="preserve"> i kontaminiranog zemljišta, planiranja</w:t>
      </w:r>
      <w:r w:rsidR="004D2527" w:rsidRPr="007D12CD">
        <w:rPr>
          <w:rFonts w:ascii="Palatino" w:hAnsi="Palatino"/>
          <w:noProof/>
        </w:rPr>
        <w:t>/ dizajniranja infrastrukture za upravljanje PCB otpadom, upravljanja opasnim otpadom, uvoza / uspostavljanja tehnologij</w:t>
      </w:r>
      <w:r w:rsidRPr="007D12CD">
        <w:rPr>
          <w:rFonts w:ascii="Palatino" w:hAnsi="Palatino"/>
          <w:noProof/>
        </w:rPr>
        <w:t>e</w:t>
      </w:r>
      <w:r w:rsidR="004D2527" w:rsidRPr="007D12CD">
        <w:rPr>
          <w:rFonts w:ascii="Palatino" w:hAnsi="Palatino"/>
          <w:noProof/>
        </w:rPr>
        <w:t xml:space="preserve"> dehalogenizacije PCB, u skladu sa potrebama </w:t>
      </w:r>
      <w:r w:rsidRPr="007D12CD">
        <w:rPr>
          <w:rFonts w:ascii="Palatino" w:hAnsi="Palatino"/>
          <w:noProof/>
        </w:rPr>
        <w:t xml:space="preserve">države i </w:t>
      </w:r>
      <w:r w:rsidR="002212ED">
        <w:rPr>
          <w:rFonts w:ascii="Palatino" w:hAnsi="Palatino"/>
          <w:noProof/>
        </w:rPr>
        <w:t>imaoca</w:t>
      </w:r>
      <w:r w:rsidRPr="007D12CD">
        <w:rPr>
          <w:rFonts w:ascii="Palatino" w:hAnsi="Palatino"/>
          <w:noProof/>
        </w:rPr>
        <w:t xml:space="preserve"> opreme</w:t>
      </w:r>
      <w:r w:rsidR="002212ED">
        <w:rPr>
          <w:rFonts w:ascii="Palatino" w:hAnsi="Palatino"/>
          <w:noProof/>
        </w:rPr>
        <w:t xml:space="preserve"> i otpada koji sadrži PCB</w:t>
      </w:r>
      <w:r w:rsidR="004D2527" w:rsidRPr="007D12CD">
        <w:rPr>
          <w:rFonts w:ascii="Palatino" w:hAnsi="Palatino"/>
          <w:noProof/>
        </w:rPr>
        <w:t xml:space="preserve">. </w:t>
      </w:r>
      <w:r w:rsidRPr="007D12CD">
        <w:rPr>
          <w:rFonts w:ascii="Palatino" w:hAnsi="Palatino"/>
          <w:noProof/>
        </w:rPr>
        <w:t xml:space="preserve">Analiza treba da </w:t>
      </w:r>
      <w:r w:rsidR="002212ED">
        <w:rPr>
          <w:rFonts w:ascii="Palatino" w:hAnsi="Palatino"/>
          <w:noProof/>
        </w:rPr>
        <w:t>obuhvati</w:t>
      </w:r>
      <w:r w:rsidRPr="007D12CD">
        <w:rPr>
          <w:rFonts w:ascii="Palatino" w:hAnsi="Palatino"/>
          <w:noProof/>
        </w:rPr>
        <w:t xml:space="preserve"> i petogodišnji </w:t>
      </w:r>
      <w:r w:rsidR="004D2527" w:rsidRPr="007D12CD">
        <w:rPr>
          <w:rFonts w:ascii="Palatino" w:hAnsi="Palatino"/>
          <w:noProof/>
        </w:rPr>
        <w:t xml:space="preserve">poslovni plan sa </w:t>
      </w:r>
      <w:r w:rsidRPr="007D12CD">
        <w:rPr>
          <w:rFonts w:ascii="Palatino" w:hAnsi="Palatino"/>
          <w:noProof/>
        </w:rPr>
        <w:t xml:space="preserve">osvrtom na održivost tako uspostavljenog javno-privatnog partnerstva. </w:t>
      </w:r>
    </w:p>
    <w:p w14:paraId="60D805F9" w14:textId="26121466" w:rsidR="00A61CEB" w:rsidRPr="007D12CD" w:rsidRDefault="008C6AAD" w:rsidP="005F331E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Izrada ove Analize</w:t>
      </w:r>
      <w:r w:rsidR="00DA02F3" w:rsidRPr="007D12CD">
        <w:rPr>
          <w:rFonts w:ascii="Palatino" w:hAnsi="Palatino"/>
          <w:noProof/>
        </w:rPr>
        <w:t xml:space="preserve"> predviđena je komponentom 2 Projekta, tj. “Popis PCB, planiranje i uspostavljanje javno-privatnog partnerstva”, posebno outputa 2.2 čiji je fokus “Izrada i odobravanje naci</w:t>
      </w:r>
      <w:r w:rsidR="002212ED">
        <w:rPr>
          <w:rFonts w:ascii="Palatino" w:hAnsi="Palatino"/>
          <w:noProof/>
        </w:rPr>
        <w:t>onalnog plana upravljanja PCB</w:t>
      </w:r>
      <w:r w:rsidR="00DA02F3" w:rsidRPr="007D12CD">
        <w:rPr>
          <w:rFonts w:ascii="Palatino" w:hAnsi="Palatino"/>
          <w:noProof/>
        </w:rPr>
        <w:t xml:space="preserve">”. </w:t>
      </w:r>
    </w:p>
    <w:p w14:paraId="7131FCC5" w14:textId="77777777" w:rsidR="0014184A" w:rsidRPr="007D12CD" w:rsidRDefault="0014184A" w:rsidP="005F331E">
      <w:pPr>
        <w:jc w:val="both"/>
        <w:rPr>
          <w:rFonts w:ascii="Palatino" w:hAnsi="Palatino"/>
          <w:noProof/>
        </w:rPr>
      </w:pPr>
    </w:p>
    <w:p w14:paraId="0CDE67E4" w14:textId="5F82EEA8" w:rsidR="005F331E" w:rsidRPr="007D12CD" w:rsidRDefault="005F331E" w:rsidP="005F331E">
      <w:pPr>
        <w:pStyle w:val="Heading1"/>
      </w:pPr>
      <w:bookmarkStart w:id="4" w:name="_Toc462603354"/>
      <w:r w:rsidRPr="007D12CD">
        <w:t>3.</w:t>
      </w:r>
      <w:r w:rsidRPr="007D12CD">
        <w:tab/>
      </w:r>
      <w:r w:rsidR="00713683" w:rsidRPr="007D12CD">
        <w:t>PCB i otpad koji sadrži PCB</w:t>
      </w:r>
      <w:r w:rsidR="0014184A" w:rsidRPr="007D12CD">
        <w:t xml:space="preserve"> </w:t>
      </w:r>
      <w:r w:rsidR="00713683" w:rsidRPr="007D12CD">
        <w:t>– trenutno stanje</w:t>
      </w:r>
      <w:r w:rsidR="00BA5189" w:rsidRPr="007D12CD">
        <w:t xml:space="preserve"> u Crnoj Gori</w:t>
      </w:r>
      <w:bookmarkEnd w:id="4"/>
    </w:p>
    <w:p w14:paraId="63DEDCA9" w14:textId="5F9DCE92" w:rsidR="00777BD0" w:rsidRPr="007D12CD" w:rsidRDefault="0014184A" w:rsidP="005F331E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Nacrt nacionalnog plana za upravljanje polihlorovanim bifenilima u Crnoj Gori (u daljem tekstu </w:t>
      </w:r>
      <w:r w:rsidRPr="007D12CD">
        <w:rPr>
          <w:rFonts w:ascii="Palatino" w:hAnsi="Palatino"/>
          <w:i/>
          <w:noProof/>
        </w:rPr>
        <w:t xml:space="preserve">Nacrt </w:t>
      </w:r>
      <w:r w:rsidR="00F212F4" w:rsidRPr="007D12CD">
        <w:rPr>
          <w:rFonts w:ascii="Palatino" w:hAnsi="Palatino"/>
          <w:i/>
          <w:noProof/>
        </w:rPr>
        <w:t>p</w:t>
      </w:r>
      <w:r w:rsidR="00CB36CC">
        <w:rPr>
          <w:rFonts w:ascii="Palatino" w:hAnsi="Palatino"/>
          <w:i/>
          <w:noProof/>
        </w:rPr>
        <w:t>lana za upravljanje PCB</w:t>
      </w:r>
      <w:r w:rsidRPr="007D12CD">
        <w:rPr>
          <w:rFonts w:ascii="Palatino" w:hAnsi="Palatino"/>
          <w:noProof/>
        </w:rPr>
        <w:t>)</w:t>
      </w:r>
      <w:r w:rsidRPr="007D12CD">
        <w:rPr>
          <w:rStyle w:val="FootnoteReference"/>
          <w:rFonts w:ascii="Palatino" w:hAnsi="Palatino"/>
          <w:noProof/>
        </w:rPr>
        <w:footnoteReference w:id="4"/>
      </w:r>
      <w:r w:rsidRPr="007D12CD">
        <w:rPr>
          <w:rFonts w:ascii="Palatino" w:hAnsi="Palatino"/>
          <w:noProof/>
        </w:rPr>
        <w:t xml:space="preserve"> sadrži detaljan prikaz pravnog i institucional</w:t>
      </w:r>
      <w:r w:rsidR="00CB36CC">
        <w:rPr>
          <w:rFonts w:ascii="Palatino" w:hAnsi="Palatino"/>
          <w:noProof/>
        </w:rPr>
        <w:t>nog okvira za upravljanje PCB</w:t>
      </w:r>
      <w:r w:rsidRPr="007D12CD">
        <w:rPr>
          <w:rFonts w:ascii="Palatino" w:hAnsi="Palatino"/>
          <w:noProof/>
        </w:rPr>
        <w:t xml:space="preserve"> u Crnoj Gori. Takođe, dat je prikaz </w:t>
      </w:r>
      <w:r w:rsidR="00783A2C" w:rsidRPr="007D12CD">
        <w:rPr>
          <w:rFonts w:ascii="Palatino" w:hAnsi="Palatino"/>
          <w:noProof/>
        </w:rPr>
        <w:t>raspoloživih tehničkih kapaciteta za ekološki</w:t>
      </w:r>
      <w:r w:rsidR="00CB36CC">
        <w:rPr>
          <w:rFonts w:ascii="Palatino" w:hAnsi="Palatino"/>
          <w:noProof/>
        </w:rPr>
        <w:t xml:space="preserve"> prihvatljivo upravljanje PCB</w:t>
      </w:r>
      <w:r w:rsidR="00783A2C" w:rsidRPr="007D12CD">
        <w:rPr>
          <w:rFonts w:ascii="Palatino" w:hAnsi="Palatino"/>
          <w:noProof/>
        </w:rPr>
        <w:t xml:space="preserve">, uključujući raspoložive analitičke i istraživačke kapacitete, </w:t>
      </w:r>
      <w:r w:rsidR="00B823FA" w:rsidRPr="007D12CD">
        <w:rPr>
          <w:rFonts w:ascii="Palatino" w:hAnsi="Palatino"/>
          <w:noProof/>
        </w:rPr>
        <w:t xml:space="preserve">uobičajenu </w:t>
      </w:r>
      <w:r w:rsidR="00783A2C" w:rsidRPr="007D12CD">
        <w:rPr>
          <w:rFonts w:ascii="Palatino" w:hAnsi="Palatino"/>
          <w:noProof/>
        </w:rPr>
        <w:t>praksu održavanja transformatora, privremene skladišne kapacit</w:t>
      </w:r>
      <w:r w:rsidR="00CB36CC">
        <w:rPr>
          <w:rFonts w:ascii="Palatino" w:hAnsi="Palatino"/>
          <w:noProof/>
        </w:rPr>
        <w:t>ete i mogućnosti za prevoz PCB</w:t>
      </w:r>
      <w:r w:rsidR="00783A2C" w:rsidRPr="007D12CD">
        <w:rPr>
          <w:rFonts w:ascii="Palatino" w:hAnsi="Palatino"/>
          <w:noProof/>
        </w:rPr>
        <w:t xml:space="preserve">, te osvrt na mogućnosti odlaganja PCB u Crnoj Gori. Nacrt Plana sadrži i popis </w:t>
      </w:r>
      <w:r w:rsidR="00B823FA" w:rsidRPr="007D12CD">
        <w:rPr>
          <w:rFonts w:ascii="Palatino" w:hAnsi="Palatino"/>
          <w:noProof/>
        </w:rPr>
        <w:lastRenderedPageBreak/>
        <w:t xml:space="preserve">opreme i otpada </w:t>
      </w:r>
      <w:r w:rsidR="00CB36CC">
        <w:rPr>
          <w:rFonts w:ascii="Palatino" w:hAnsi="Palatino"/>
          <w:noProof/>
        </w:rPr>
        <w:t>koji sadrži PCB</w:t>
      </w:r>
      <w:r w:rsidR="00B823FA" w:rsidRPr="007D12CD">
        <w:rPr>
          <w:rFonts w:ascii="Palatino" w:hAnsi="Palatino"/>
          <w:noProof/>
        </w:rPr>
        <w:t>, pregled tretiranih/odloženih količina, te količine otpa</w:t>
      </w:r>
      <w:r w:rsidR="00CB36CC">
        <w:rPr>
          <w:rFonts w:ascii="Palatino" w:hAnsi="Palatino"/>
          <w:noProof/>
        </w:rPr>
        <w:t>da i opreme kontaminirane PCB</w:t>
      </w:r>
      <w:r w:rsidR="00B823FA" w:rsidRPr="007D12CD">
        <w:rPr>
          <w:rFonts w:ascii="Palatino" w:hAnsi="Palatino"/>
          <w:noProof/>
        </w:rPr>
        <w:t xml:space="preserve"> koji preostaje za odlaganje/tretman. </w:t>
      </w:r>
    </w:p>
    <w:p w14:paraId="7ADBA346" w14:textId="45B7135B" w:rsidR="00F212F4" w:rsidRPr="007D12CD" w:rsidRDefault="00777BD0" w:rsidP="00777BD0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Analiza sprovedena za potrebe pripreme Nacrta </w:t>
      </w:r>
      <w:r w:rsidR="00F212F4" w:rsidRPr="007D12CD">
        <w:rPr>
          <w:rFonts w:ascii="Palatino" w:hAnsi="Palatino"/>
          <w:noProof/>
        </w:rPr>
        <w:t>p</w:t>
      </w:r>
      <w:r w:rsidR="006A3BF2">
        <w:rPr>
          <w:rFonts w:ascii="Palatino" w:hAnsi="Palatino"/>
          <w:noProof/>
        </w:rPr>
        <w:t>lana za upravljanje PCB</w:t>
      </w:r>
      <w:r w:rsidRPr="007D12CD">
        <w:rPr>
          <w:rFonts w:ascii="Palatino" w:hAnsi="Palatino"/>
          <w:noProof/>
        </w:rPr>
        <w:t xml:space="preserve"> ukazala je na nedostatke institucionalnog i pravnog okvira, kako bi se zaokužio naciona</w:t>
      </w:r>
      <w:r w:rsidR="006A3BF2">
        <w:rPr>
          <w:rFonts w:ascii="Palatino" w:hAnsi="Palatino"/>
          <w:noProof/>
        </w:rPr>
        <w:t>lni sistem za upravljanje PCB</w:t>
      </w:r>
      <w:r w:rsidRPr="007D12CD">
        <w:rPr>
          <w:rFonts w:ascii="Palatino" w:hAnsi="Palatino"/>
          <w:noProof/>
        </w:rPr>
        <w:t xml:space="preserve">. Konkretne </w:t>
      </w:r>
      <w:r w:rsidR="00F212F4" w:rsidRPr="007D12CD">
        <w:rPr>
          <w:rFonts w:ascii="Palatino" w:hAnsi="Palatino"/>
          <w:noProof/>
        </w:rPr>
        <w:t xml:space="preserve">aktivnosti koje treba sprovesti predstavljene su u akcionom planu koji je sastavni dio Nacrta Plana. </w:t>
      </w:r>
    </w:p>
    <w:p w14:paraId="5DB66B12" w14:textId="31ED979D" w:rsidR="00777BD0" w:rsidRPr="007D12CD" w:rsidRDefault="00F212F4" w:rsidP="00777BD0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Nacrtom Plana konstatovano je da Crna Gora raspolaže sa potrebnim a</w:t>
      </w:r>
      <w:r w:rsidR="00777BD0" w:rsidRPr="007D12CD">
        <w:rPr>
          <w:rFonts w:ascii="Palatino" w:hAnsi="Palatino"/>
          <w:noProof/>
        </w:rPr>
        <w:t>nalitički</w:t>
      </w:r>
      <w:r w:rsidRPr="007D12CD">
        <w:rPr>
          <w:rFonts w:ascii="Palatino" w:hAnsi="Palatino"/>
          <w:noProof/>
        </w:rPr>
        <w:t>m</w:t>
      </w:r>
      <w:r w:rsidR="00777BD0" w:rsidRPr="007D12CD">
        <w:rPr>
          <w:rFonts w:ascii="Palatino" w:hAnsi="Palatino"/>
          <w:noProof/>
        </w:rPr>
        <w:t xml:space="preserve"> kapaciteti</w:t>
      </w:r>
      <w:r w:rsidRPr="007D12CD">
        <w:rPr>
          <w:rFonts w:ascii="Palatino" w:hAnsi="Palatino"/>
          <w:noProof/>
        </w:rPr>
        <w:t>ma</w:t>
      </w:r>
      <w:r w:rsidR="00777BD0" w:rsidRPr="007D12CD">
        <w:rPr>
          <w:rFonts w:ascii="Palatino" w:hAnsi="Palatino"/>
          <w:noProof/>
        </w:rPr>
        <w:t xml:space="preserve"> (akreditovane laboratorije) za uspost</w:t>
      </w:r>
      <w:r w:rsidR="006A3BF2">
        <w:rPr>
          <w:rFonts w:ascii="Palatino" w:hAnsi="Palatino"/>
          <w:noProof/>
        </w:rPr>
        <w:t>avljanje programa praćenja PCB</w:t>
      </w:r>
      <w:r w:rsidR="00777BD0" w:rsidRPr="007D12CD">
        <w:rPr>
          <w:rFonts w:ascii="Palatino" w:hAnsi="Palatino"/>
          <w:noProof/>
        </w:rPr>
        <w:t xml:space="preserve"> u različitim </w:t>
      </w:r>
      <w:r w:rsidR="00A25C1F">
        <w:rPr>
          <w:rFonts w:ascii="Palatino" w:hAnsi="Palatino"/>
          <w:noProof/>
        </w:rPr>
        <w:t>segmentima životne sredine</w:t>
      </w:r>
      <w:r w:rsidR="00777BD0" w:rsidRPr="007D12CD">
        <w:rPr>
          <w:rFonts w:ascii="Palatino" w:hAnsi="Palatino"/>
          <w:noProof/>
        </w:rPr>
        <w:t xml:space="preserve">. Trenutno se kontinuirano </w:t>
      </w:r>
      <w:r w:rsidRPr="007D12CD">
        <w:rPr>
          <w:rFonts w:ascii="Palatino" w:hAnsi="Palatino"/>
          <w:noProof/>
        </w:rPr>
        <w:t>prate</w:t>
      </w:r>
      <w:r w:rsidR="00777BD0" w:rsidRPr="007D12CD">
        <w:rPr>
          <w:rFonts w:ascii="Palatino" w:hAnsi="Palatino"/>
          <w:noProof/>
        </w:rPr>
        <w:t xml:space="preserve"> POP</w:t>
      </w:r>
      <w:r w:rsidRPr="007D12CD">
        <w:rPr>
          <w:rFonts w:ascii="Palatino" w:hAnsi="Palatino"/>
          <w:noProof/>
        </w:rPr>
        <w:t>s</w:t>
      </w:r>
      <w:r w:rsidR="00777BD0" w:rsidRPr="007D12CD">
        <w:rPr>
          <w:rFonts w:ascii="Palatino" w:hAnsi="Palatino"/>
          <w:noProof/>
        </w:rPr>
        <w:t xml:space="preserve"> (uključujući PCB) </w:t>
      </w:r>
      <w:r w:rsidRPr="007D12CD">
        <w:rPr>
          <w:rFonts w:ascii="Palatino" w:hAnsi="Palatino"/>
          <w:noProof/>
        </w:rPr>
        <w:t xml:space="preserve">u </w:t>
      </w:r>
      <w:r w:rsidRPr="00594315">
        <w:rPr>
          <w:rFonts w:ascii="Palatino" w:hAnsi="Palatino"/>
          <w:noProof/>
        </w:rPr>
        <w:t>zemljištu</w:t>
      </w:r>
      <w:r w:rsidR="00777BD0" w:rsidRPr="00594315">
        <w:rPr>
          <w:rFonts w:ascii="Palatino" w:hAnsi="Palatino"/>
          <w:noProof/>
        </w:rPr>
        <w:t>, morsk</w:t>
      </w:r>
      <w:r w:rsidRPr="00594315">
        <w:rPr>
          <w:rFonts w:ascii="Palatino" w:hAnsi="Palatino"/>
          <w:noProof/>
        </w:rPr>
        <w:t>oj</w:t>
      </w:r>
      <w:r w:rsidR="00777BD0" w:rsidRPr="00594315">
        <w:rPr>
          <w:rFonts w:ascii="Palatino" w:hAnsi="Palatino"/>
          <w:noProof/>
        </w:rPr>
        <w:t xml:space="preserve"> vod</w:t>
      </w:r>
      <w:r w:rsidRPr="00594315">
        <w:rPr>
          <w:rFonts w:ascii="Palatino" w:hAnsi="Palatino"/>
          <w:noProof/>
        </w:rPr>
        <w:t>i</w:t>
      </w:r>
      <w:r w:rsidR="00777BD0" w:rsidRPr="00594315">
        <w:rPr>
          <w:rFonts w:ascii="Palatino" w:hAnsi="Palatino"/>
          <w:noProof/>
        </w:rPr>
        <w:t xml:space="preserve">, </w:t>
      </w:r>
      <w:r w:rsidR="008561DB" w:rsidRPr="00594315">
        <w:rPr>
          <w:rFonts w:ascii="Palatino" w:hAnsi="Palatino"/>
          <w:noProof/>
        </w:rPr>
        <w:t>sedimentu</w:t>
      </w:r>
      <w:r w:rsidR="00777BD0" w:rsidRPr="00594315">
        <w:rPr>
          <w:rFonts w:ascii="Palatino" w:hAnsi="Palatino"/>
          <w:noProof/>
        </w:rPr>
        <w:t xml:space="preserve"> i </w:t>
      </w:r>
      <w:r w:rsidR="00594315" w:rsidRPr="00594315">
        <w:rPr>
          <w:rFonts w:ascii="Palatino" w:hAnsi="Palatino"/>
          <w:noProof/>
        </w:rPr>
        <w:t>biološkim materijalima</w:t>
      </w:r>
      <w:r w:rsidR="00777BD0" w:rsidRPr="00594315">
        <w:rPr>
          <w:rFonts w:ascii="Palatino" w:hAnsi="Palatino"/>
          <w:noProof/>
        </w:rPr>
        <w:t>, ali ne postoji program praćenja POP</w:t>
      </w:r>
      <w:r w:rsidR="009E7140" w:rsidRPr="00594315">
        <w:rPr>
          <w:rFonts w:ascii="Palatino" w:hAnsi="Palatino"/>
          <w:noProof/>
        </w:rPr>
        <w:t>s</w:t>
      </w:r>
      <w:r w:rsidR="00777BD0" w:rsidRPr="00594315">
        <w:rPr>
          <w:rFonts w:ascii="Palatino" w:hAnsi="Palatino"/>
          <w:noProof/>
        </w:rPr>
        <w:t xml:space="preserve"> (uključujući</w:t>
      </w:r>
      <w:r w:rsidR="00777BD0" w:rsidRPr="007D12CD">
        <w:rPr>
          <w:rFonts w:ascii="Palatino" w:hAnsi="Palatino"/>
          <w:noProof/>
        </w:rPr>
        <w:t xml:space="preserve"> PCB) u vazduhu. </w:t>
      </w:r>
      <w:r w:rsidR="009E7140" w:rsidRPr="007D12CD">
        <w:rPr>
          <w:rFonts w:ascii="Palatino" w:hAnsi="Palatino"/>
          <w:noProof/>
        </w:rPr>
        <w:t>Takođe, u dosadašnjem periodu n</w:t>
      </w:r>
      <w:r w:rsidR="00777BD0" w:rsidRPr="007D12CD">
        <w:rPr>
          <w:rFonts w:ascii="Palatino" w:hAnsi="Palatino"/>
          <w:noProof/>
        </w:rPr>
        <w:t xml:space="preserve">ije </w:t>
      </w:r>
      <w:r w:rsidR="009E7140" w:rsidRPr="007D12CD">
        <w:rPr>
          <w:rFonts w:ascii="Palatino" w:hAnsi="Palatino"/>
          <w:noProof/>
        </w:rPr>
        <w:t>s</w:t>
      </w:r>
      <w:r w:rsidR="00777BD0" w:rsidRPr="007D12CD">
        <w:rPr>
          <w:rFonts w:ascii="Palatino" w:hAnsi="Palatino"/>
          <w:noProof/>
        </w:rPr>
        <w:t>proved</w:t>
      </w:r>
      <w:r w:rsidR="002946B1">
        <w:rPr>
          <w:rFonts w:ascii="Palatino" w:hAnsi="Palatino"/>
          <w:noProof/>
        </w:rPr>
        <w:t>eno istraživanje o uticaju PCB</w:t>
      </w:r>
      <w:r w:rsidR="00777BD0" w:rsidRPr="007D12CD">
        <w:rPr>
          <w:rFonts w:ascii="Palatino" w:hAnsi="Palatino"/>
          <w:noProof/>
        </w:rPr>
        <w:t xml:space="preserve"> na zdravlje u Crnoj Gori.</w:t>
      </w:r>
    </w:p>
    <w:p w14:paraId="3A3674F9" w14:textId="19E48D87" w:rsidR="00777BD0" w:rsidRPr="007D12CD" w:rsidRDefault="009E7140" w:rsidP="00777BD0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U Crnoj Gori</w:t>
      </w:r>
      <w:r w:rsidR="005A41AC">
        <w:rPr>
          <w:rFonts w:ascii="Palatino" w:hAnsi="Palatino"/>
          <w:noProof/>
        </w:rPr>
        <w:t xml:space="preserve"> posluje jedna kompanija sa dozvolom za preradu i odstranjivanje (dekontaminaciju) transformatora koji sadrže PCB. Dozvoljena količina prerađenog otpada je do 100 tona na godišnjem nivou</w:t>
      </w:r>
      <w:r w:rsidR="005A41AC">
        <w:rPr>
          <w:rStyle w:val="FootnoteReference"/>
          <w:rFonts w:ascii="Palatino" w:hAnsi="Palatino"/>
          <w:noProof/>
        </w:rPr>
        <w:footnoteReference w:id="5"/>
      </w:r>
      <w:r w:rsidR="005A41AC">
        <w:rPr>
          <w:rFonts w:ascii="Palatino" w:hAnsi="Palatino"/>
          <w:noProof/>
        </w:rPr>
        <w:t>.</w:t>
      </w:r>
      <w:r w:rsidR="005A41AC" w:rsidRPr="007D12CD" w:rsidDel="005A41AC">
        <w:rPr>
          <w:rFonts w:ascii="Palatino" w:hAnsi="Palatino"/>
          <w:noProof/>
        </w:rPr>
        <w:t xml:space="preserve"> </w:t>
      </w:r>
    </w:p>
    <w:p w14:paraId="6EAD32E1" w14:textId="3823A7CE" w:rsidR="00777BD0" w:rsidRPr="007D12CD" w:rsidRDefault="00262315" w:rsidP="00777BD0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Nacrt plana</w:t>
      </w:r>
      <w:r w:rsidR="00777BD0" w:rsidRPr="007D12CD">
        <w:rPr>
          <w:rFonts w:ascii="Palatino" w:hAnsi="Palatino"/>
          <w:noProof/>
        </w:rPr>
        <w:t xml:space="preserve"> takođe </w:t>
      </w:r>
      <w:r w:rsidRPr="007D12CD">
        <w:rPr>
          <w:rFonts w:ascii="Palatino" w:hAnsi="Palatino"/>
          <w:noProof/>
        </w:rPr>
        <w:t xml:space="preserve">sadrži </w:t>
      </w:r>
      <w:r w:rsidR="00777BD0" w:rsidRPr="007D12CD">
        <w:rPr>
          <w:rFonts w:ascii="Palatino" w:hAnsi="Palatino"/>
          <w:noProof/>
        </w:rPr>
        <w:t>postoje</w:t>
      </w:r>
      <w:r w:rsidRPr="007D12CD">
        <w:rPr>
          <w:rFonts w:ascii="Palatino" w:hAnsi="Palatino"/>
          <w:noProof/>
        </w:rPr>
        <w:t>ći inventar PCB opreme i otpada, na osnovu ispitivanja koje je u prethodnih nekoliko godina sproveo Centar za ekotoksikološka istraživanja (CETI), i to primarno u</w:t>
      </w:r>
      <w:r w:rsidR="00777BD0" w:rsidRPr="007D12CD">
        <w:rPr>
          <w:rFonts w:ascii="Palatino" w:hAnsi="Palatino"/>
          <w:noProof/>
        </w:rPr>
        <w:t xml:space="preserve"> energetskom sektoru i dijelu industrijskih kapaciteta. Ukupan broj identifikovane opreme i otpada koji sadrži PCB prije odlaganja </w:t>
      </w:r>
      <w:r w:rsidR="00F04996" w:rsidRPr="007D12CD">
        <w:rPr>
          <w:rFonts w:ascii="Palatino" w:hAnsi="Palatino"/>
          <w:noProof/>
        </w:rPr>
        <w:t>dijela</w:t>
      </w:r>
      <w:r w:rsidR="00DE2163">
        <w:rPr>
          <w:rFonts w:ascii="Palatino" w:hAnsi="Palatino"/>
          <w:noProof/>
        </w:rPr>
        <w:t xml:space="preserve"> količina PCB</w:t>
      </w:r>
      <w:r w:rsidR="00777BD0" w:rsidRPr="007D12CD">
        <w:rPr>
          <w:rFonts w:ascii="Palatino" w:hAnsi="Palatino"/>
          <w:noProof/>
        </w:rPr>
        <w:t xml:space="preserve"> u okviru projekta „Sveobuhvatno ekološki prihvatljivo upravljanje PCB-ima u Crnoj Gori“ iznosio je 183 </w:t>
      </w:r>
      <w:r w:rsidR="00F04996" w:rsidRPr="007D12CD">
        <w:rPr>
          <w:rFonts w:ascii="Palatino" w:hAnsi="Palatino"/>
          <w:noProof/>
        </w:rPr>
        <w:t>transformatora (</w:t>
      </w:r>
      <w:r w:rsidR="004E1E1A" w:rsidRPr="007D12CD">
        <w:rPr>
          <w:rFonts w:ascii="Palatino" w:hAnsi="Palatino"/>
          <w:noProof/>
        </w:rPr>
        <w:t>ukupne težine</w:t>
      </w:r>
      <w:r w:rsidR="00777BD0" w:rsidRPr="007D12CD">
        <w:rPr>
          <w:rFonts w:ascii="Palatino" w:hAnsi="Palatino"/>
          <w:noProof/>
        </w:rPr>
        <w:t xml:space="preserve"> </w:t>
      </w:r>
      <w:r w:rsidR="004E1E1A" w:rsidRPr="007D12CD">
        <w:rPr>
          <w:rFonts w:ascii="Palatino" w:hAnsi="Palatino"/>
          <w:noProof/>
        </w:rPr>
        <w:t xml:space="preserve">519.475 kg od čega na ulja </w:t>
      </w:r>
      <w:r w:rsidR="00F04996" w:rsidRPr="007D12CD">
        <w:rPr>
          <w:rFonts w:ascii="Palatino" w:hAnsi="Palatino"/>
          <w:noProof/>
        </w:rPr>
        <w:t xml:space="preserve">otpada </w:t>
      </w:r>
      <w:r w:rsidR="00777BD0" w:rsidRPr="007D12CD">
        <w:rPr>
          <w:rFonts w:ascii="Palatino" w:hAnsi="Palatino"/>
          <w:noProof/>
        </w:rPr>
        <w:t xml:space="preserve">140.238 kg); 1.170 kondenzatora (ukupne težine 63.377 kg) i 61.200 kg ostalih vrsta otpada koji sadrži PCB (ulje, čvrsta supstanca, </w:t>
      </w:r>
      <w:r w:rsidR="004E1E1A" w:rsidRPr="007D12CD">
        <w:rPr>
          <w:rFonts w:ascii="Palatino" w:hAnsi="Palatino"/>
          <w:noProof/>
        </w:rPr>
        <w:t>zemljište</w:t>
      </w:r>
      <w:r w:rsidR="00777BD0" w:rsidRPr="007D12CD">
        <w:rPr>
          <w:rFonts w:ascii="Palatino" w:hAnsi="Palatino"/>
          <w:noProof/>
        </w:rPr>
        <w:t xml:space="preserve">, </w:t>
      </w:r>
      <w:r w:rsidR="00CD64B0" w:rsidRPr="007D12CD">
        <w:rPr>
          <w:rFonts w:ascii="Palatino" w:hAnsi="Palatino"/>
          <w:noProof/>
        </w:rPr>
        <w:t>sedimenti</w:t>
      </w:r>
      <w:r w:rsidR="00777BD0" w:rsidRPr="007D12CD">
        <w:rPr>
          <w:rFonts w:ascii="Palatino" w:hAnsi="Palatino"/>
          <w:noProof/>
        </w:rPr>
        <w:t xml:space="preserve">, </w:t>
      </w:r>
      <w:r w:rsidR="00C10EC9" w:rsidRPr="007D12CD">
        <w:rPr>
          <w:rFonts w:ascii="Palatino" w:hAnsi="Palatino"/>
          <w:noProof/>
        </w:rPr>
        <w:t>rezervoari</w:t>
      </w:r>
      <w:r w:rsidR="00777BD0" w:rsidRPr="007D12CD">
        <w:rPr>
          <w:rFonts w:ascii="Palatino" w:hAnsi="Palatino"/>
          <w:noProof/>
        </w:rPr>
        <w:t>).</w:t>
      </w:r>
    </w:p>
    <w:p w14:paraId="0585DD60" w14:textId="20B51063" w:rsidR="00777BD0" w:rsidRPr="007D12CD" w:rsidRDefault="00777BD0" w:rsidP="00777BD0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U okviru </w:t>
      </w:r>
      <w:r w:rsidR="00F5752D" w:rsidRPr="007D12CD">
        <w:rPr>
          <w:rFonts w:ascii="Palatino" w:hAnsi="Palatino"/>
          <w:noProof/>
        </w:rPr>
        <w:t>P</w:t>
      </w:r>
      <w:r w:rsidRPr="007D12CD">
        <w:rPr>
          <w:rFonts w:ascii="Palatino" w:hAnsi="Palatino"/>
          <w:noProof/>
        </w:rPr>
        <w:t xml:space="preserve">rojekta realizovano je odlaganje 246,9 tona različitih vrsta otpada koji sadrži PCB (transformatori, kondenzatori, otpadno ulje, </w:t>
      </w:r>
      <w:r w:rsidR="00C07D18" w:rsidRPr="007D12CD">
        <w:rPr>
          <w:rFonts w:ascii="Palatino" w:hAnsi="Palatino"/>
          <w:noProof/>
        </w:rPr>
        <w:t>zemljište</w:t>
      </w:r>
      <w:r w:rsidRPr="007D12CD">
        <w:rPr>
          <w:rFonts w:ascii="Palatino" w:hAnsi="Palatino"/>
          <w:noProof/>
        </w:rPr>
        <w:t xml:space="preserve">, </w:t>
      </w:r>
      <w:r w:rsidR="00CD64B0" w:rsidRPr="007D12CD">
        <w:rPr>
          <w:rFonts w:ascii="Palatino" w:hAnsi="Palatino"/>
          <w:noProof/>
        </w:rPr>
        <w:t>sedimenti</w:t>
      </w:r>
      <w:r w:rsidRPr="007D12CD">
        <w:rPr>
          <w:rFonts w:ascii="Palatino" w:hAnsi="Palatino"/>
          <w:noProof/>
        </w:rPr>
        <w:t>, piljevina, glinica, prazni paketi) u periodu novembar-decembar 2018.</w:t>
      </w:r>
      <w:r w:rsidR="00C07D18" w:rsidRPr="007D12CD">
        <w:rPr>
          <w:rFonts w:ascii="Palatino" w:hAnsi="Palatino"/>
          <w:noProof/>
        </w:rPr>
        <w:t xml:space="preserve"> Takođe, u pripremi je nova količina </w:t>
      </w:r>
      <w:r w:rsidR="006F5968" w:rsidRPr="007D12CD">
        <w:rPr>
          <w:rFonts w:ascii="Palatino" w:hAnsi="Palatino"/>
          <w:noProof/>
        </w:rPr>
        <w:t>transformatora</w:t>
      </w:r>
      <w:r w:rsidR="00C07D18" w:rsidRPr="007D12CD">
        <w:rPr>
          <w:rFonts w:ascii="Palatino" w:hAnsi="Palatino"/>
          <w:noProof/>
        </w:rPr>
        <w:t xml:space="preserve"> za </w:t>
      </w:r>
      <w:r w:rsidR="006F5968" w:rsidRPr="007D12CD">
        <w:rPr>
          <w:rFonts w:ascii="Palatino" w:hAnsi="Palatino"/>
          <w:noProof/>
        </w:rPr>
        <w:t xml:space="preserve">dekontaminaciju i ponovnu upotrebu ukupne težine </w:t>
      </w:r>
      <w:r w:rsidR="00127483">
        <w:rPr>
          <w:rFonts w:ascii="Palatino" w:hAnsi="Palatino"/>
          <w:noProof/>
        </w:rPr>
        <w:t>191,</w:t>
      </w:r>
      <w:r w:rsidR="00127483" w:rsidRPr="00127483">
        <w:rPr>
          <w:rFonts w:ascii="Palatino" w:hAnsi="Palatino"/>
          <w:noProof/>
        </w:rPr>
        <w:t xml:space="preserve">76 </w:t>
      </w:r>
      <w:r w:rsidR="006F5968" w:rsidRPr="00B85ACF">
        <w:rPr>
          <w:rFonts w:ascii="Palatino" w:hAnsi="Palatino"/>
          <w:noProof/>
        </w:rPr>
        <w:t>tona</w:t>
      </w:r>
      <w:r w:rsidR="00973C24" w:rsidRPr="00B85ACF">
        <w:rPr>
          <w:rStyle w:val="FootnoteReference"/>
          <w:rFonts w:ascii="Palatino" w:hAnsi="Palatino"/>
          <w:noProof/>
        </w:rPr>
        <w:footnoteReference w:id="6"/>
      </w:r>
      <w:r w:rsidR="006F5968" w:rsidRPr="00B85ACF">
        <w:rPr>
          <w:rFonts w:ascii="Palatino" w:hAnsi="Palatino"/>
          <w:noProof/>
        </w:rPr>
        <w:t>.</w:t>
      </w:r>
    </w:p>
    <w:p w14:paraId="7B8A5442" w14:textId="7E79DEF0" w:rsidR="00777BD0" w:rsidRPr="007D12CD" w:rsidRDefault="00973C24" w:rsidP="00777BD0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Ne uzimajući u obzir aktuelni tender, za odlaganje je preostalo 156</w:t>
      </w:r>
      <w:r w:rsidR="00777BD0" w:rsidRPr="007D12CD">
        <w:rPr>
          <w:rFonts w:ascii="Palatino" w:hAnsi="Palatino"/>
          <w:noProof/>
        </w:rPr>
        <w:t xml:space="preserve"> transformatora koji sadrže PCB iz industrijskog i energetskog sektora (sa težinom ulja 95.440 tona i ukupnom težinom 402.775 tona)</w:t>
      </w:r>
      <w:r w:rsidRPr="007D12CD">
        <w:rPr>
          <w:rFonts w:ascii="Palatino" w:hAnsi="Palatino"/>
          <w:noProof/>
        </w:rPr>
        <w:t>.</w:t>
      </w:r>
      <w:r w:rsidR="00777BD0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>O</w:t>
      </w:r>
      <w:r w:rsidR="00777BD0" w:rsidRPr="007D12CD">
        <w:rPr>
          <w:rFonts w:ascii="Palatino" w:hAnsi="Palatino"/>
          <w:noProof/>
        </w:rPr>
        <w:t>d ostalih vrsta opreme i otpada koji sadrže PCB</w:t>
      </w:r>
      <w:r w:rsidRPr="007D12CD">
        <w:rPr>
          <w:rFonts w:ascii="Palatino" w:hAnsi="Palatino"/>
          <w:noProof/>
        </w:rPr>
        <w:t xml:space="preserve">, za odlaganje preostaju </w:t>
      </w:r>
      <w:r w:rsidR="00777BD0" w:rsidRPr="007D12CD">
        <w:rPr>
          <w:rFonts w:ascii="Palatino" w:hAnsi="Palatino"/>
          <w:noProof/>
        </w:rPr>
        <w:t>kondenzatori koji sadrže PCB</w:t>
      </w:r>
      <w:r w:rsidRPr="007D12CD">
        <w:rPr>
          <w:rFonts w:ascii="Palatino" w:hAnsi="Palatino"/>
          <w:noProof/>
        </w:rPr>
        <w:t>, i to</w:t>
      </w:r>
      <w:r w:rsidR="00777BD0" w:rsidRPr="007D12CD">
        <w:rPr>
          <w:rFonts w:ascii="Palatino" w:hAnsi="Palatino"/>
          <w:noProof/>
        </w:rPr>
        <w:t xml:space="preserve"> 257 komada ukupne težine 8.617 kg.</w:t>
      </w:r>
    </w:p>
    <w:p w14:paraId="04CF6483" w14:textId="7AB068B4" w:rsidR="00777BD0" w:rsidRPr="007D12CD" w:rsidRDefault="00F5752D" w:rsidP="00777BD0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lastRenderedPageBreak/>
        <w:t>U okviru P</w:t>
      </w:r>
      <w:r w:rsidR="00777BD0" w:rsidRPr="007D12CD">
        <w:rPr>
          <w:rFonts w:ascii="Palatino" w:hAnsi="Palatino"/>
          <w:noProof/>
        </w:rPr>
        <w:t>rojekta, u periodu novembar-decembar 2019. realizovan</w:t>
      </w:r>
      <w:r w:rsidR="0071293A" w:rsidRPr="007D12CD">
        <w:rPr>
          <w:rFonts w:ascii="Palatino" w:hAnsi="Palatino"/>
          <w:noProof/>
        </w:rPr>
        <w:t>a</w:t>
      </w:r>
      <w:r w:rsidR="00777BD0" w:rsidRPr="007D12CD">
        <w:rPr>
          <w:rFonts w:ascii="Palatino" w:hAnsi="Palatino"/>
          <w:noProof/>
        </w:rPr>
        <w:t xml:space="preserve"> </w:t>
      </w:r>
      <w:r w:rsidR="0071293A" w:rsidRPr="007D12CD">
        <w:rPr>
          <w:rFonts w:ascii="Palatino" w:hAnsi="Palatino"/>
          <w:noProof/>
        </w:rPr>
        <w:t>su</w:t>
      </w:r>
      <w:r w:rsidR="00777BD0" w:rsidRPr="007D12CD">
        <w:rPr>
          <w:rFonts w:ascii="Palatino" w:hAnsi="Palatino"/>
          <w:noProof/>
        </w:rPr>
        <w:t xml:space="preserve"> detaljn</w:t>
      </w:r>
      <w:r w:rsidR="0071293A" w:rsidRPr="007D12CD">
        <w:rPr>
          <w:rFonts w:ascii="Palatino" w:hAnsi="Palatino"/>
          <w:noProof/>
        </w:rPr>
        <w:t>a</w:t>
      </w:r>
      <w:r w:rsidR="00777BD0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>istraživanj</w:t>
      </w:r>
      <w:r w:rsidR="0071293A" w:rsidRPr="007D12CD">
        <w:rPr>
          <w:rFonts w:ascii="Palatino" w:hAnsi="Palatino"/>
          <w:noProof/>
        </w:rPr>
        <w:t>a</w:t>
      </w:r>
      <w:r w:rsidR="00777BD0" w:rsidRPr="007D12CD">
        <w:rPr>
          <w:rFonts w:ascii="Palatino" w:hAnsi="Palatino"/>
          <w:noProof/>
        </w:rPr>
        <w:t xml:space="preserve"> radi utvrđivanja stepena kontaminacije PCB različitih </w:t>
      </w:r>
      <w:r w:rsidR="002A355D">
        <w:rPr>
          <w:rFonts w:ascii="Palatino" w:hAnsi="Palatino"/>
          <w:noProof/>
        </w:rPr>
        <w:t>segmenata</w:t>
      </w:r>
      <w:r w:rsidR="00777BD0" w:rsidRPr="007D12CD">
        <w:rPr>
          <w:rFonts w:ascii="Palatino" w:hAnsi="Palatino"/>
          <w:noProof/>
        </w:rPr>
        <w:t xml:space="preserve"> životn</w:t>
      </w:r>
      <w:r w:rsidR="002A355D">
        <w:rPr>
          <w:rFonts w:ascii="Palatino" w:hAnsi="Palatino"/>
          <w:noProof/>
        </w:rPr>
        <w:t>e</w:t>
      </w:r>
      <w:r w:rsidR="00777BD0" w:rsidRPr="007D12CD">
        <w:rPr>
          <w:rFonts w:ascii="Palatino" w:hAnsi="Palatino"/>
          <w:noProof/>
        </w:rPr>
        <w:t xml:space="preserve"> sredin</w:t>
      </w:r>
      <w:r w:rsidR="002A355D">
        <w:rPr>
          <w:rFonts w:ascii="Palatino" w:hAnsi="Palatino"/>
          <w:noProof/>
        </w:rPr>
        <w:t>e</w:t>
      </w:r>
      <w:r w:rsidR="00777BD0" w:rsidRPr="007D12CD">
        <w:rPr>
          <w:rFonts w:ascii="Palatino" w:hAnsi="Palatino"/>
          <w:noProof/>
        </w:rPr>
        <w:t xml:space="preserve">: </w:t>
      </w:r>
      <w:r w:rsidR="0071293A" w:rsidRPr="007D12CD">
        <w:rPr>
          <w:rFonts w:ascii="Palatino" w:hAnsi="Palatino"/>
          <w:noProof/>
        </w:rPr>
        <w:t>zemljišta, podzemnih voda i vazduha</w:t>
      </w:r>
      <w:r w:rsidR="00777BD0" w:rsidRPr="007D12CD">
        <w:rPr>
          <w:rFonts w:ascii="Palatino" w:hAnsi="Palatino"/>
          <w:noProof/>
        </w:rPr>
        <w:t xml:space="preserve"> na području oko privremenog skladišta KAP-a za PCB. Za sada nisu identifikovane druge lokacije kontaminirane PCB-om.</w:t>
      </w:r>
      <w:r w:rsidR="005A680C">
        <w:rPr>
          <w:rFonts w:ascii="Palatino" w:hAnsi="Palatino"/>
          <w:noProof/>
        </w:rPr>
        <w:t xml:space="preserve"> Pored postojećeg privremenog skladišta za PCB u KAP-u, tokom trajanja Projekta planirano je da privremeno skladište napravi i CEDIS dok će dio neophodne opreme  biti obezbijeđen kroz Projekat. </w:t>
      </w:r>
    </w:p>
    <w:p w14:paraId="6D64164E" w14:textId="77777777" w:rsidR="007F4EE0" w:rsidRPr="007D12CD" w:rsidRDefault="007F4EE0" w:rsidP="00777BD0">
      <w:pPr>
        <w:jc w:val="both"/>
        <w:rPr>
          <w:rFonts w:ascii="Palatino" w:hAnsi="Palatino"/>
          <w:noProof/>
        </w:rPr>
      </w:pPr>
    </w:p>
    <w:p w14:paraId="2469B6BB" w14:textId="2B3BA559" w:rsidR="007F4EE0" w:rsidRPr="007D12CD" w:rsidRDefault="007F4EE0" w:rsidP="007F4EE0">
      <w:pPr>
        <w:pStyle w:val="Heading2"/>
      </w:pPr>
      <w:bookmarkStart w:id="5" w:name="_Toc462603355"/>
      <w:r w:rsidRPr="007D12CD">
        <w:t>3.1 Raspoložive tehnologije za tretman i odlaganje opreme i otpada kontaminiranog PCB-om</w:t>
      </w:r>
      <w:bookmarkEnd w:id="5"/>
    </w:p>
    <w:p w14:paraId="23DDE4D3" w14:textId="081530BD" w:rsidR="009F70DA" w:rsidRPr="007D12CD" w:rsidRDefault="005E6782" w:rsidP="005E6782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Dokument koji je pripremio UNEP pod nazivom „Pregled inovativnih tehnologija za uništavanje i dekon</w:t>
      </w:r>
      <w:r w:rsidR="00F3776D">
        <w:rPr>
          <w:rFonts w:ascii="Palatino" w:hAnsi="Palatino"/>
          <w:noProof/>
        </w:rPr>
        <w:t>taminaciju POP</w:t>
      </w:r>
      <w:r w:rsidRPr="007D12CD">
        <w:rPr>
          <w:rFonts w:ascii="Palatino" w:hAnsi="Palatino"/>
          <w:noProof/>
        </w:rPr>
        <w:t xml:space="preserve"> i identifikacija </w:t>
      </w:r>
      <w:r w:rsidR="00F35935" w:rsidRPr="007D12CD">
        <w:rPr>
          <w:rFonts w:ascii="Palatino" w:hAnsi="Palatino"/>
          <w:noProof/>
        </w:rPr>
        <w:t>mogućih</w:t>
      </w:r>
      <w:r w:rsidRPr="007D12CD">
        <w:rPr>
          <w:rFonts w:ascii="Palatino" w:hAnsi="Palatino"/>
          <w:noProof/>
        </w:rPr>
        <w:t xml:space="preserve"> tehnologija z</w:t>
      </w:r>
      <w:r w:rsidR="00851F20" w:rsidRPr="007D12CD">
        <w:rPr>
          <w:rFonts w:ascii="Palatino" w:hAnsi="Palatino"/>
          <w:noProof/>
        </w:rPr>
        <w:t>a upotrebu u zemljama u razvoju</w:t>
      </w:r>
      <w:r w:rsidR="009D1711">
        <w:rPr>
          <w:rFonts w:ascii="Palatino" w:hAnsi="Palatino"/>
          <w:noProof/>
        </w:rPr>
        <w:t xml:space="preserve">” </w:t>
      </w:r>
      <w:r w:rsidRPr="007D12CD">
        <w:rPr>
          <w:rFonts w:ascii="Palatino" w:hAnsi="Palatino"/>
          <w:noProof/>
        </w:rPr>
        <w:t>(januar 2004.) precizirao je niz principa za izbor tehnologija uništavanja POPs u zemljama u razvoju. Iako je fokus pregleda bio na POPs materijama, opšti pojmovi mogu se primijeniti na PCB kao što je prikazano u nastavku (POP</w:t>
      </w:r>
      <w:r w:rsidR="009D1711">
        <w:rPr>
          <w:rFonts w:ascii="Palatino" w:hAnsi="Palatino"/>
          <w:noProof/>
        </w:rPr>
        <w:t>s</w:t>
      </w:r>
      <w:r w:rsidRPr="007D12CD">
        <w:rPr>
          <w:rFonts w:ascii="Palatino" w:hAnsi="Palatino"/>
          <w:noProof/>
        </w:rPr>
        <w:t xml:space="preserve"> zamijenjene </w:t>
      </w:r>
      <w:r w:rsidR="009D1711">
        <w:rPr>
          <w:rFonts w:ascii="Palatino" w:hAnsi="Palatino"/>
          <w:noProof/>
        </w:rPr>
        <w:t xml:space="preserve">sa </w:t>
      </w:r>
      <w:r w:rsidRPr="007D12CD">
        <w:rPr>
          <w:rFonts w:ascii="Palatino" w:hAnsi="Palatino"/>
          <w:noProof/>
        </w:rPr>
        <w:t>PCB).</w:t>
      </w:r>
    </w:p>
    <w:p w14:paraId="3329426C" w14:textId="5CC4D053" w:rsidR="00851F20" w:rsidRPr="007D12CD" w:rsidRDefault="00851F20" w:rsidP="00851F20">
      <w:pPr>
        <w:pStyle w:val="ListParagraph"/>
        <w:numPr>
          <w:ilvl w:val="0"/>
          <w:numId w:val="6"/>
        </w:num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Kvantifiku</w:t>
      </w:r>
      <w:r w:rsidR="009D1711">
        <w:rPr>
          <w:rFonts w:ascii="Palatino" w:hAnsi="Palatino"/>
          <w:noProof/>
        </w:rPr>
        <w:t>jte i locirajte sve zalihe PCB</w:t>
      </w:r>
      <w:r w:rsidRPr="007D12CD">
        <w:rPr>
          <w:rFonts w:ascii="Palatino" w:hAnsi="Palatino"/>
          <w:noProof/>
        </w:rPr>
        <w:t>;</w:t>
      </w:r>
    </w:p>
    <w:p w14:paraId="2DDA3D35" w14:textId="0BC22F3F" w:rsidR="00851F20" w:rsidRPr="007D12CD" w:rsidRDefault="00851F20" w:rsidP="00851F20">
      <w:pPr>
        <w:pStyle w:val="ListParagraph"/>
        <w:numPr>
          <w:ilvl w:val="0"/>
          <w:numId w:val="6"/>
        </w:num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Kvantifikujte i locirajte sv</w:t>
      </w:r>
      <w:r w:rsidR="009D1711">
        <w:rPr>
          <w:rFonts w:ascii="Palatino" w:hAnsi="Palatino"/>
          <w:noProof/>
        </w:rPr>
        <w:t>o zemljište kontaminirano PCB</w:t>
      </w:r>
      <w:r w:rsidRPr="007D12CD">
        <w:rPr>
          <w:rFonts w:ascii="Palatino" w:hAnsi="Palatino"/>
          <w:noProof/>
        </w:rPr>
        <w:t xml:space="preserve"> (kontaminirana mjesta);</w:t>
      </w:r>
    </w:p>
    <w:p w14:paraId="76D5520F" w14:textId="77777777" w:rsidR="00851F20" w:rsidRPr="007D12CD" w:rsidRDefault="00851F20" w:rsidP="00851F20">
      <w:pPr>
        <w:pStyle w:val="ListParagraph"/>
        <w:numPr>
          <w:ilvl w:val="0"/>
          <w:numId w:val="6"/>
        </w:num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Razmotrite zalihe i kontaminirano zemljište nezavisno (oni se u osnovi razlikuju sa različitim ograničenjima);</w:t>
      </w:r>
    </w:p>
    <w:p w14:paraId="3FE0DBCF" w14:textId="77777777" w:rsidR="00085E9A" w:rsidRPr="007D12CD" w:rsidRDefault="00851F20" w:rsidP="00851F20">
      <w:pPr>
        <w:pStyle w:val="ListParagraph"/>
        <w:numPr>
          <w:ilvl w:val="0"/>
          <w:numId w:val="6"/>
        </w:num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Efikasnost uništavanja treba da bude veća od 99,99% (čak i veća je poželjna za PCB);</w:t>
      </w:r>
    </w:p>
    <w:p w14:paraId="67444AC1" w14:textId="77777777" w:rsidR="00085E9A" w:rsidRPr="007D12CD" w:rsidRDefault="00851F20" w:rsidP="00851F20">
      <w:pPr>
        <w:pStyle w:val="ListParagraph"/>
        <w:numPr>
          <w:ilvl w:val="0"/>
          <w:numId w:val="6"/>
        </w:num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Treba uzeti u obzir samo zatvorene procese;</w:t>
      </w:r>
    </w:p>
    <w:p w14:paraId="69487177" w14:textId="77777777" w:rsidR="00085E9A" w:rsidRPr="007D12CD" w:rsidRDefault="00851F20" w:rsidP="00851F20">
      <w:pPr>
        <w:pStyle w:val="ListParagraph"/>
        <w:numPr>
          <w:ilvl w:val="0"/>
          <w:numId w:val="6"/>
        </w:num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Tehnologija mora biti sama po sebi sigurna;</w:t>
      </w:r>
    </w:p>
    <w:p w14:paraId="3823773A" w14:textId="77777777" w:rsidR="00085E9A" w:rsidRPr="007D12CD" w:rsidRDefault="00851F20" w:rsidP="00851F20">
      <w:pPr>
        <w:pStyle w:val="ListParagraph"/>
        <w:numPr>
          <w:ilvl w:val="0"/>
          <w:numId w:val="6"/>
        </w:num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Proces mora biti u stanju da podnese poremećaje, kao što je kvar napajanja, bez </w:t>
      </w:r>
      <w:r w:rsidR="00085E9A" w:rsidRPr="007D12CD">
        <w:rPr>
          <w:rFonts w:ascii="Palatino" w:hAnsi="Palatino"/>
          <w:noProof/>
        </w:rPr>
        <w:t>ugrožavanja</w:t>
      </w:r>
      <w:r w:rsidRPr="007D12CD">
        <w:rPr>
          <w:rFonts w:ascii="Palatino" w:hAnsi="Palatino"/>
          <w:noProof/>
        </w:rPr>
        <w:t xml:space="preserve"> osoblja</w:t>
      </w:r>
      <w:r w:rsidR="00085E9A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>ili oprem</w:t>
      </w:r>
      <w:r w:rsidR="00085E9A" w:rsidRPr="007D12CD">
        <w:rPr>
          <w:rFonts w:ascii="Palatino" w:hAnsi="Palatino"/>
          <w:noProof/>
        </w:rPr>
        <w:t>e</w:t>
      </w:r>
      <w:r w:rsidRPr="007D12CD">
        <w:rPr>
          <w:rFonts w:ascii="Palatino" w:hAnsi="Palatino"/>
          <w:noProof/>
        </w:rPr>
        <w:t>;</w:t>
      </w:r>
    </w:p>
    <w:p w14:paraId="79533A28" w14:textId="77777777" w:rsidR="00085E9A" w:rsidRPr="007D12CD" w:rsidRDefault="00851F20" w:rsidP="00851F20">
      <w:pPr>
        <w:pStyle w:val="ListParagraph"/>
        <w:numPr>
          <w:ilvl w:val="0"/>
          <w:numId w:val="6"/>
        </w:num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Rukovanje i utovar otpadnog materijala mora biti </w:t>
      </w:r>
      <w:r w:rsidR="00085E9A" w:rsidRPr="007D12CD">
        <w:rPr>
          <w:rFonts w:ascii="Palatino" w:hAnsi="Palatino"/>
          <w:noProof/>
        </w:rPr>
        <w:t>sigurno, jednostavno i kontrolis</w:t>
      </w:r>
      <w:r w:rsidRPr="007D12CD">
        <w:rPr>
          <w:rFonts w:ascii="Palatino" w:hAnsi="Palatino"/>
          <w:noProof/>
        </w:rPr>
        <w:t>ano;</w:t>
      </w:r>
    </w:p>
    <w:p w14:paraId="695B1F53" w14:textId="77777777" w:rsidR="00085E9A" w:rsidRPr="007D12CD" w:rsidRDefault="00851F20" w:rsidP="00851F20">
      <w:pPr>
        <w:pStyle w:val="ListParagraph"/>
        <w:numPr>
          <w:ilvl w:val="0"/>
          <w:numId w:val="6"/>
        </w:num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Oprema i komande moraju biti jednostavni i robusni;</w:t>
      </w:r>
    </w:p>
    <w:p w14:paraId="223FC75A" w14:textId="77777777" w:rsidR="00085E9A" w:rsidRPr="007D12CD" w:rsidRDefault="00851F20" w:rsidP="00851F20">
      <w:pPr>
        <w:pStyle w:val="ListParagraph"/>
        <w:numPr>
          <w:ilvl w:val="0"/>
          <w:numId w:val="6"/>
        </w:num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Operativni postupci moraju biti jednostavni i jasni;</w:t>
      </w:r>
    </w:p>
    <w:p w14:paraId="739AD024" w14:textId="77777777" w:rsidR="0021598A" w:rsidRPr="007D12CD" w:rsidRDefault="00851F20" w:rsidP="00851F20">
      <w:pPr>
        <w:pStyle w:val="ListParagraph"/>
        <w:numPr>
          <w:ilvl w:val="0"/>
          <w:numId w:val="6"/>
        </w:num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Utovar, istovar, pokretanje i isključivanje moraju biti jednostavni;</w:t>
      </w:r>
    </w:p>
    <w:p w14:paraId="7C0A356A" w14:textId="77777777" w:rsidR="0021598A" w:rsidRPr="007D12CD" w:rsidRDefault="00851F20" w:rsidP="00851F20">
      <w:pPr>
        <w:pStyle w:val="ListParagraph"/>
        <w:numPr>
          <w:ilvl w:val="0"/>
          <w:numId w:val="6"/>
        </w:num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Proces treba da bude u mogućnosti da rukuje otpadom u raznim oblicima; i</w:t>
      </w:r>
    </w:p>
    <w:p w14:paraId="560B4036" w14:textId="335FDA52" w:rsidR="00851F20" w:rsidRPr="007D12CD" w:rsidRDefault="00851F20" w:rsidP="00851F20">
      <w:pPr>
        <w:pStyle w:val="ListParagraph"/>
        <w:numPr>
          <w:ilvl w:val="0"/>
          <w:numId w:val="6"/>
        </w:num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Proces </w:t>
      </w:r>
      <w:r w:rsidR="0021598A" w:rsidRPr="007D12CD">
        <w:rPr>
          <w:rFonts w:ascii="Palatino" w:hAnsi="Palatino"/>
          <w:noProof/>
        </w:rPr>
        <w:t>treba da bude u mogućnosti</w:t>
      </w:r>
      <w:r w:rsidRPr="007D12CD">
        <w:rPr>
          <w:rFonts w:ascii="Palatino" w:hAnsi="Palatino"/>
          <w:noProof/>
        </w:rPr>
        <w:t xml:space="preserve"> </w:t>
      </w:r>
      <w:r w:rsidR="0021598A" w:rsidRPr="007D12CD">
        <w:rPr>
          <w:rFonts w:ascii="Palatino" w:hAnsi="Palatino"/>
          <w:noProof/>
        </w:rPr>
        <w:t>da obradi</w:t>
      </w:r>
      <w:r w:rsidRPr="007D12CD">
        <w:rPr>
          <w:rFonts w:ascii="Palatino" w:hAnsi="Palatino"/>
          <w:noProof/>
        </w:rPr>
        <w:t xml:space="preserve"> razn</w:t>
      </w:r>
      <w:r w:rsidR="0021598A" w:rsidRPr="007D12CD">
        <w:rPr>
          <w:rFonts w:ascii="Palatino" w:hAnsi="Palatino"/>
          <w:noProof/>
        </w:rPr>
        <w:t>e</w:t>
      </w:r>
      <w:r w:rsidRPr="007D12CD">
        <w:rPr>
          <w:rFonts w:ascii="Palatino" w:hAnsi="Palatino"/>
          <w:noProof/>
        </w:rPr>
        <w:t xml:space="preserve"> zagađivač</w:t>
      </w:r>
      <w:r w:rsidR="0021598A" w:rsidRPr="007D12CD">
        <w:rPr>
          <w:rFonts w:ascii="Palatino" w:hAnsi="Palatino"/>
          <w:noProof/>
        </w:rPr>
        <w:t>e</w:t>
      </w:r>
      <w:r w:rsidRPr="007D12CD">
        <w:rPr>
          <w:rFonts w:ascii="Palatino" w:hAnsi="Palatino"/>
          <w:noProof/>
        </w:rPr>
        <w:t>, a PCB su samo jed</w:t>
      </w:r>
      <w:r w:rsidR="0021598A" w:rsidRPr="007D12CD">
        <w:rPr>
          <w:rFonts w:ascii="Palatino" w:hAnsi="Palatino"/>
          <w:noProof/>
        </w:rPr>
        <w:t>a</w:t>
      </w:r>
      <w:r w:rsidRPr="007D12CD">
        <w:rPr>
          <w:rFonts w:ascii="Palatino" w:hAnsi="Palatino"/>
          <w:noProof/>
        </w:rPr>
        <w:t>n</w:t>
      </w:r>
      <w:r w:rsidR="0021598A" w:rsidRPr="007D12CD">
        <w:rPr>
          <w:rFonts w:ascii="Palatino" w:hAnsi="Palatino"/>
          <w:noProof/>
        </w:rPr>
        <w:t xml:space="preserve"> od njih</w:t>
      </w:r>
      <w:r w:rsidRPr="007D12CD">
        <w:rPr>
          <w:rFonts w:ascii="Palatino" w:hAnsi="Palatino"/>
          <w:noProof/>
        </w:rPr>
        <w:t>.</w:t>
      </w:r>
    </w:p>
    <w:p w14:paraId="7B81199F" w14:textId="48EBD0A2" w:rsidR="00B823FA" w:rsidRPr="007D12CD" w:rsidRDefault="00C45ED4" w:rsidP="005A6CCA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Ovo su izuzetno zahtjevni preduslovi za izbor</w:t>
      </w:r>
      <w:r w:rsidR="0055299A">
        <w:rPr>
          <w:rFonts w:ascii="Palatino" w:hAnsi="Palatino"/>
          <w:noProof/>
        </w:rPr>
        <w:t xml:space="preserve"> odgovarajuće tehnologije</w:t>
      </w:r>
      <w:r w:rsidRPr="007D12CD">
        <w:rPr>
          <w:rFonts w:ascii="Palatino" w:hAnsi="Palatino"/>
          <w:noProof/>
        </w:rPr>
        <w:t xml:space="preserve">. Ipak, prateći UNEP preporuke, prepoznate su </w:t>
      </w:r>
      <w:r w:rsidR="00062BF0" w:rsidRPr="007D12CD">
        <w:rPr>
          <w:rFonts w:ascii="Palatino" w:hAnsi="Palatino"/>
          <w:noProof/>
        </w:rPr>
        <w:t>brojne</w:t>
      </w:r>
      <w:r w:rsidRPr="007D12CD">
        <w:rPr>
          <w:rFonts w:ascii="Palatino" w:hAnsi="Palatino"/>
          <w:noProof/>
        </w:rPr>
        <w:t xml:space="preserve"> tehnologije koje zadovoljavaju većinu navedenih zahtjeva.</w:t>
      </w:r>
      <w:r w:rsidR="00062BF0" w:rsidRPr="007D12CD">
        <w:rPr>
          <w:rFonts w:ascii="Palatino" w:hAnsi="Palatino"/>
          <w:noProof/>
        </w:rPr>
        <w:t xml:space="preserve"> Tako npr, </w:t>
      </w:r>
      <w:r w:rsidR="005A6CCA" w:rsidRPr="007D12CD">
        <w:rPr>
          <w:rFonts w:ascii="Palatino" w:hAnsi="Palatino"/>
          <w:noProof/>
        </w:rPr>
        <w:t>projekat Svjetske banke realizovan u Vijetnamu</w:t>
      </w:r>
      <w:r w:rsidR="003771FA" w:rsidRPr="007D12CD">
        <w:rPr>
          <w:rStyle w:val="FootnoteReference"/>
          <w:rFonts w:ascii="Palatino" w:hAnsi="Palatino"/>
          <w:noProof/>
        </w:rPr>
        <w:footnoteReference w:id="7"/>
      </w:r>
      <w:r w:rsidR="005A6CCA" w:rsidRPr="007D12CD">
        <w:rPr>
          <w:rFonts w:ascii="Palatino" w:hAnsi="Palatino"/>
          <w:noProof/>
        </w:rPr>
        <w:t xml:space="preserve">, prepoznao je čitav niz tehnologija </w:t>
      </w:r>
      <w:r w:rsidR="00044523" w:rsidRPr="007D12CD">
        <w:rPr>
          <w:rFonts w:ascii="Palatino" w:hAnsi="Palatino"/>
          <w:noProof/>
        </w:rPr>
        <w:t xml:space="preserve">koje se mogu koristiti i to u zavisnosti od vrste otpada: zemljište i slični materijali, kontaminirane vode, talog i </w:t>
      </w:r>
      <w:r w:rsidR="008561DB" w:rsidRPr="007D12CD">
        <w:rPr>
          <w:rFonts w:ascii="Palatino" w:hAnsi="Palatino"/>
          <w:noProof/>
        </w:rPr>
        <w:t>sedimenti</w:t>
      </w:r>
      <w:r w:rsidR="00044523" w:rsidRPr="007D12CD">
        <w:rPr>
          <w:rFonts w:ascii="Palatino" w:hAnsi="Palatino"/>
          <w:noProof/>
        </w:rPr>
        <w:t xml:space="preserve">, ulja i organske tečnosti, </w:t>
      </w:r>
      <w:r w:rsidR="00C54E7E" w:rsidRPr="007D12CD">
        <w:rPr>
          <w:rFonts w:ascii="Palatino" w:hAnsi="Palatino"/>
          <w:noProof/>
        </w:rPr>
        <w:t>čvr</w:t>
      </w:r>
      <w:r w:rsidR="00044523" w:rsidRPr="007D12CD">
        <w:rPr>
          <w:rFonts w:ascii="Palatino" w:hAnsi="Palatino"/>
          <w:noProof/>
        </w:rPr>
        <w:t>s</w:t>
      </w:r>
      <w:r w:rsidR="00C54E7E" w:rsidRPr="007D12CD">
        <w:rPr>
          <w:rFonts w:ascii="Palatino" w:hAnsi="Palatino"/>
          <w:noProof/>
        </w:rPr>
        <w:t>t</w:t>
      </w:r>
      <w:r w:rsidR="00044523" w:rsidRPr="007D12CD">
        <w:rPr>
          <w:rFonts w:ascii="Palatino" w:hAnsi="Palatino"/>
          <w:noProof/>
        </w:rPr>
        <w:t>i otpad i električn</w:t>
      </w:r>
      <w:r w:rsidR="00C54E7E" w:rsidRPr="007D12CD">
        <w:rPr>
          <w:rFonts w:ascii="Palatino" w:hAnsi="Palatino"/>
          <w:noProof/>
        </w:rPr>
        <w:t xml:space="preserve">i i elektronski proizvodi. </w:t>
      </w:r>
    </w:p>
    <w:p w14:paraId="7E93F86A" w14:textId="068FCBA7" w:rsidR="00536556" w:rsidRPr="007D12CD" w:rsidRDefault="005B4A4C" w:rsidP="00536556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lastRenderedPageBreak/>
        <w:t>Konačni izbor</w:t>
      </w:r>
      <w:r w:rsidR="00536556" w:rsidRPr="007D12CD">
        <w:rPr>
          <w:rFonts w:ascii="Palatino" w:hAnsi="Palatino"/>
          <w:noProof/>
        </w:rPr>
        <w:t xml:space="preserve"> tehnologije </w:t>
      </w:r>
      <w:r w:rsidRPr="007D12CD">
        <w:rPr>
          <w:rFonts w:ascii="Palatino" w:hAnsi="Palatino"/>
          <w:noProof/>
        </w:rPr>
        <w:t>pravi se nakon što se d</w:t>
      </w:r>
      <w:r w:rsidR="0055299A">
        <w:rPr>
          <w:rFonts w:ascii="Palatino" w:hAnsi="Palatino"/>
          <w:noProof/>
        </w:rPr>
        <w:t>e</w:t>
      </w:r>
      <w:r w:rsidRPr="007D12CD">
        <w:rPr>
          <w:rFonts w:ascii="Palatino" w:hAnsi="Palatino"/>
          <w:noProof/>
        </w:rPr>
        <w:t xml:space="preserve">finišu količina i lokacija otpada i nakon konsultacija sa akterima u procesu, uzimajući u obzir </w:t>
      </w:r>
      <w:r w:rsidR="00D61155" w:rsidRPr="007D12CD">
        <w:rPr>
          <w:rFonts w:ascii="Palatino" w:hAnsi="Palatino"/>
          <w:noProof/>
        </w:rPr>
        <w:t>društvene</w:t>
      </w:r>
      <w:r w:rsidR="00536556" w:rsidRPr="007D12CD">
        <w:rPr>
          <w:rFonts w:ascii="Palatino" w:hAnsi="Palatino"/>
          <w:noProof/>
        </w:rPr>
        <w:t>, ekonomsk</w:t>
      </w:r>
      <w:r w:rsidR="00D61155" w:rsidRPr="007D12CD">
        <w:rPr>
          <w:rFonts w:ascii="Palatino" w:hAnsi="Palatino"/>
          <w:noProof/>
        </w:rPr>
        <w:t>e</w:t>
      </w:r>
      <w:r w:rsidR="00536556" w:rsidRPr="007D12CD">
        <w:rPr>
          <w:rFonts w:ascii="Palatino" w:hAnsi="Palatino"/>
          <w:noProof/>
        </w:rPr>
        <w:t xml:space="preserve"> i političk</w:t>
      </w:r>
      <w:r w:rsidR="00D61155" w:rsidRPr="007D12CD">
        <w:rPr>
          <w:rFonts w:ascii="Palatino" w:hAnsi="Palatino"/>
          <w:noProof/>
        </w:rPr>
        <w:t>e</w:t>
      </w:r>
      <w:r w:rsidR="00536556" w:rsidRPr="007D12CD">
        <w:rPr>
          <w:rFonts w:ascii="Palatino" w:hAnsi="Palatino"/>
          <w:noProof/>
        </w:rPr>
        <w:t xml:space="preserve"> </w:t>
      </w:r>
      <w:r w:rsidR="00D61155" w:rsidRPr="007D12CD">
        <w:rPr>
          <w:rFonts w:ascii="Palatino" w:hAnsi="Palatino"/>
          <w:noProof/>
        </w:rPr>
        <w:t>okolnosti.</w:t>
      </w:r>
    </w:p>
    <w:p w14:paraId="0AA359DE" w14:textId="40015305" w:rsidR="00D61155" w:rsidRDefault="00B85ACF" w:rsidP="00536556">
      <w:pPr>
        <w:jc w:val="both"/>
        <w:rPr>
          <w:rFonts w:ascii="Palatino" w:hAnsi="Palatino"/>
          <w:noProof/>
        </w:rPr>
      </w:pPr>
      <w:r>
        <w:rPr>
          <w:rFonts w:ascii="Palatino" w:hAnsi="Palatino"/>
          <w:noProof/>
        </w:rPr>
        <w:t>U okviru P</w:t>
      </w:r>
      <w:r w:rsidRPr="002A40E0">
        <w:rPr>
          <w:rFonts w:ascii="Palatino" w:hAnsi="Palatino"/>
          <w:noProof/>
        </w:rPr>
        <w:t>rojekta</w:t>
      </w:r>
      <w:r>
        <w:rPr>
          <w:rFonts w:ascii="Palatino" w:hAnsi="Palatino"/>
          <w:noProof/>
        </w:rPr>
        <w:t>, pripremljeni su i publikovani p</w:t>
      </w:r>
      <w:r w:rsidRPr="00027477">
        <w:rPr>
          <w:rFonts w:ascii="Palatino" w:hAnsi="Palatino"/>
          <w:noProof/>
        </w:rPr>
        <w:t xml:space="preserve">riručnici za </w:t>
      </w:r>
      <w:r>
        <w:rPr>
          <w:rFonts w:ascii="Palatino" w:hAnsi="Palatino"/>
          <w:noProof/>
        </w:rPr>
        <w:t>ekološko upravljanje p</w:t>
      </w:r>
      <w:r w:rsidRPr="00027477">
        <w:rPr>
          <w:rFonts w:ascii="Palatino" w:hAnsi="Palatino"/>
          <w:noProof/>
        </w:rPr>
        <w:t>olihlorovanim bifenilima putem kojih se detaljno objašnjavaju sve faze procesa identifikacije i trajnog uklanjanja PCB iz životne sredine</w:t>
      </w:r>
      <w:r>
        <w:rPr>
          <w:rFonts w:ascii="Palatino" w:hAnsi="Palatino"/>
          <w:noProof/>
        </w:rPr>
        <w:t>.</w:t>
      </w:r>
      <w:r w:rsidRPr="00027477">
        <w:rPr>
          <w:rFonts w:ascii="Palatino" w:hAnsi="Palatino"/>
          <w:noProof/>
        </w:rPr>
        <w:t xml:space="preserve"> Sedam priručnika na</w:t>
      </w:r>
      <w:r>
        <w:rPr>
          <w:rFonts w:ascii="Palatino" w:hAnsi="Palatino"/>
          <w:noProof/>
        </w:rPr>
        <w:t>mjenjenih</w:t>
      </w:r>
      <w:r w:rsidRPr="00027477">
        <w:rPr>
          <w:rFonts w:ascii="Palatino" w:hAnsi="Palatino"/>
          <w:noProof/>
        </w:rPr>
        <w:t xml:space="preserve"> prije svega vlasnicima opasnog otpada iz industrijskog sektora, državnoj administraciji, nevladinom sektoru i zainteresovanoj javnosti, detaljno objašnjavaju postupke identifikaci</w:t>
      </w:r>
      <w:r>
        <w:rPr>
          <w:rFonts w:ascii="Palatino" w:hAnsi="Palatino"/>
          <w:noProof/>
        </w:rPr>
        <w:t>je, obilježavanja, skladištenja</w:t>
      </w:r>
      <w:r w:rsidRPr="00027477">
        <w:rPr>
          <w:rFonts w:ascii="Palatino" w:hAnsi="Palatino"/>
          <w:noProof/>
        </w:rPr>
        <w:t>, transporta i izvoza PCB otpada.</w:t>
      </w:r>
      <w:r w:rsidRPr="002A40E0">
        <w:rPr>
          <w:rFonts w:ascii="Palatino" w:hAnsi="Palatino"/>
          <w:noProof/>
        </w:rPr>
        <w:t xml:space="preserve"> </w:t>
      </w:r>
      <w:r>
        <w:rPr>
          <w:rFonts w:ascii="Palatino" w:hAnsi="Palatino"/>
          <w:noProof/>
        </w:rPr>
        <w:t>Priručnik pod nazivom “O</w:t>
      </w:r>
      <w:r w:rsidRPr="00381D9D">
        <w:rPr>
          <w:rFonts w:ascii="Palatino" w:hAnsi="Palatino"/>
          <w:noProof/>
        </w:rPr>
        <w:t xml:space="preserve">dlaganje i dekontaminacija </w:t>
      </w:r>
      <w:r>
        <w:rPr>
          <w:rFonts w:ascii="Palatino" w:hAnsi="Palatino"/>
          <w:noProof/>
        </w:rPr>
        <w:t>PCB</w:t>
      </w:r>
      <w:r w:rsidRPr="00381D9D">
        <w:rPr>
          <w:rFonts w:ascii="Palatino" w:hAnsi="Palatino"/>
          <w:noProof/>
        </w:rPr>
        <w:t xml:space="preserve"> opreme i otpada</w:t>
      </w:r>
      <w:r>
        <w:rPr>
          <w:rFonts w:ascii="Palatino" w:hAnsi="Palatino"/>
          <w:noProof/>
        </w:rPr>
        <w:t>” sadrži prikaz metoda predtretmana i odlaganja, sa detaljnijim osvrtom na tehnologije uništavanja, tehnologije za ekstrakciju i koncentraciju PCB, tehnologije za imobilizaciju PCB i ponovno punjenje transformatora.</w:t>
      </w:r>
    </w:p>
    <w:p w14:paraId="03DBC105" w14:textId="77777777" w:rsidR="00C300D4" w:rsidRPr="007D12CD" w:rsidRDefault="00C300D4" w:rsidP="00536556">
      <w:pPr>
        <w:jc w:val="both"/>
        <w:rPr>
          <w:rFonts w:ascii="Palatino" w:hAnsi="Palatino"/>
          <w:noProof/>
        </w:rPr>
      </w:pPr>
    </w:p>
    <w:p w14:paraId="45191E10" w14:textId="0B78E9FA" w:rsidR="00D61155" w:rsidRPr="007D12CD" w:rsidRDefault="00D61155" w:rsidP="00D61155">
      <w:pPr>
        <w:pStyle w:val="Heading2"/>
      </w:pPr>
      <w:bookmarkStart w:id="6" w:name="_Toc462603356"/>
      <w:r w:rsidRPr="007D12CD">
        <w:t xml:space="preserve">3.2 Izbor tehnologije za tretman i odlaganje transformatora </w:t>
      </w:r>
      <w:r w:rsidR="0084330D" w:rsidRPr="007D12CD">
        <w:t xml:space="preserve">sa PCB </w:t>
      </w:r>
      <w:r w:rsidRPr="007D12CD">
        <w:t>u Crnoj Gori</w:t>
      </w:r>
      <w:bookmarkEnd w:id="6"/>
    </w:p>
    <w:p w14:paraId="75D315DE" w14:textId="64380406" w:rsidR="00535839" w:rsidRPr="007D12CD" w:rsidRDefault="000F4A71" w:rsidP="00535839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U okviru treće komponente Projekta </w:t>
      </w:r>
      <w:r w:rsidR="00AF2CA4" w:rsidRPr="007D12CD">
        <w:rPr>
          <w:rFonts w:ascii="Palatino" w:hAnsi="Palatino"/>
          <w:noProof/>
        </w:rPr>
        <w:t>pod nazivom “Identifikacija, procjena i nabavka ekološki prihvatljivih tehnolog</w:t>
      </w:r>
      <w:r w:rsidR="00B40CA6" w:rsidRPr="007D12CD">
        <w:rPr>
          <w:rFonts w:ascii="Palatino" w:hAnsi="Palatino"/>
          <w:noProof/>
        </w:rPr>
        <w:t>ija ili usluga za odlaganje PCB</w:t>
      </w:r>
      <w:r w:rsidR="00AF2CA4" w:rsidRPr="007D12CD">
        <w:rPr>
          <w:rFonts w:ascii="Palatino" w:hAnsi="Palatino"/>
          <w:noProof/>
        </w:rPr>
        <w:t>”, izrađena je analiza</w:t>
      </w:r>
      <w:r w:rsidR="0005379C" w:rsidRPr="007D12CD">
        <w:rPr>
          <w:rFonts w:ascii="Palatino" w:hAnsi="Palatino"/>
          <w:noProof/>
        </w:rPr>
        <w:t xml:space="preserve"> troškova i </w:t>
      </w:r>
      <w:r w:rsidR="003B0B44" w:rsidRPr="007D12CD">
        <w:rPr>
          <w:rFonts w:ascii="Palatino" w:hAnsi="Palatino"/>
          <w:noProof/>
        </w:rPr>
        <w:t>koristi</w:t>
      </w:r>
      <w:r w:rsidR="0005379C" w:rsidRPr="007D12CD">
        <w:rPr>
          <w:rFonts w:ascii="Palatino" w:hAnsi="Palatino"/>
          <w:noProof/>
        </w:rPr>
        <w:t xml:space="preserve"> </w:t>
      </w:r>
      <w:r w:rsidR="003B0B44" w:rsidRPr="007D12CD">
        <w:rPr>
          <w:rFonts w:ascii="Palatino" w:hAnsi="Palatino"/>
          <w:noProof/>
        </w:rPr>
        <w:t>mogućih tehnologija za tretman i odlaganje transformatora</w:t>
      </w:r>
      <w:r w:rsidR="00B40CA6" w:rsidRPr="007D12CD">
        <w:rPr>
          <w:rFonts w:ascii="Palatino" w:hAnsi="Palatino"/>
          <w:noProof/>
        </w:rPr>
        <w:t xml:space="preserve"> sa PCB</w:t>
      </w:r>
      <w:r w:rsidR="007F2A10" w:rsidRPr="007D12CD">
        <w:rPr>
          <w:rStyle w:val="FootnoteReference"/>
          <w:rFonts w:ascii="Palatino" w:hAnsi="Palatino"/>
          <w:noProof/>
        </w:rPr>
        <w:footnoteReference w:id="8"/>
      </w:r>
      <w:r w:rsidR="003B0B44" w:rsidRPr="007D12CD">
        <w:rPr>
          <w:rFonts w:ascii="Palatino" w:hAnsi="Palatino"/>
          <w:noProof/>
        </w:rPr>
        <w:t xml:space="preserve">. Ova analiza je u funkciji </w:t>
      </w:r>
      <w:r w:rsidR="00535839" w:rsidRPr="007D12CD">
        <w:rPr>
          <w:rFonts w:ascii="Palatino" w:hAnsi="Palatino"/>
          <w:noProof/>
        </w:rPr>
        <w:t>donošenja odluk</w:t>
      </w:r>
      <w:r w:rsidR="003B0B44" w:rsidRPr="007D12CD">
        <w:rPr>
          <w:rFonts w:ascii="Palatino" w:hAnsi="Palatino"/>
          <w:noProof/>
        </w:rPr>
        <w:t>e</w:t>
      </w:r>
      <w:r w:rsidR="00535839" w:rsidRPr="007D12CD">
        <w:rPr>
          <w:rFonts w:ascii="Palatino" w:hAnsi="Palatino"/>
          <w:noProof/>
        </w:rPr>
        <w:t xml:space="preserve"> za finansiranje strategije odlaganja transformatora koji sadrže PCB. Ključni cilj analize troškova i koristi je </w:t>
      </w:r>
      <w:r w:rsidR="003B0B44" w:rsidRPr="007D12CD">
        <w:rPr>
          <w:rFonts w:ascii="Palatino" w:hAnsi="Palatino"/>
          <w:noProof/>
        </w:rPr>
        <w:t>da se kvantifikuju</w:t>
      </w:r>
      <w:r w:rsidR="00535839" w:rsidRPr="007D12CD">
        <w:rPr>
          <w:rFonts w:ascii="Palatino" w:hAnsi="Palatino"/>
          <w:noProof/>
        </w:rPr>
        <w:t xml:space="preserve"> očekivan</w:t>
      </w:r>
      <w:r w:rsidR="003B0B44" w:rsidRPr="007D12CD">
        <w:rPr>
          <w:rFonts w:ascii="Palatino" w:hAnsi="Palatino"/>
          <w:noProof/>
        </w:rPr>
        <w:t>i</w:t>
      </w:r>
      <w:r w:rsidR="00535839" w:rsidRPr="007D12CD">
        <w:rPr>
          <w:rFonts w:ascii="Palatino" w:hAnsi="Palatino"/>
          <w:noProof/>
        </w:rPr>
        <w:t xml:space="preserve"> troškov</w:t>
      </w:r>
      <w:r w:rsidR="003B0B44" w:rsidRPr="007D12CD">
        <w:rPr>
          <w:rFonts w:ascii="Palatino" w:hAnsi="Palatino"/>
          <w:noProof/>
        </w:rPr>
        <w:t xml:space="preserve">i </w:t>
      </w:r>
      <w:r w:rsidR="00535839" w:rsidRPr="007D12CD">
        <w:rPr>
          <w:rFonts w:ascii="Palatino" w:hAnsi="Palatino"/>
          <w:noProof/>
        </w:rPr>
        <w:t xml:space="preserve">za nekoliko scenarija zbrinjavanja, </w:t>
      </w:r>
      <w:r w:rsidR="00B40CA6" w:rsidRPr="007D12CD">
        <w:rPr>
          <w:rFonts w:ascii="Palatino" w:hAnsi="Palatino"/>
          <w:noProof/>
        </w:rPr>
        <w:t>te da se odabere</w:t>
      </w:r>
      <w:r w:rsidR="00535839" w:rsidRPr="007D12CD">
        <w:rPr>
          <w:rFonts w:ascii="Palatino" w:hAnsi="Palatino"/>
          <w:noProof/>
        </w:rPr>
        <w:t xml:space="preserve"> najv</w:t>
      </w:r>
      <w:r w:rsidR="0055299A">
        <w:rPr>
          <w:rFonts w:ascii="Palatino" w:hAnsi="Palatino"/>
          <w:noProof/>
        </w:rPr>
        <w:t>j</w:t>
      </w:r>
      <w:r w:rsidR="00535839" w:rsidRPr="007D12CD">
        <w:rPr>
          <w:rFonts w:ascii="Palatino" w:hAnsi="Palatino"/>
          <w:noProof/>
        </w:rPr>
        <w:t>erovatnij</w:t>
      </w:r>
      <w:r w:rsidR="00B40CA6" w:rsidRPr="007D12CD">
        <w:rPr>
          <w:rFonts w:ascii="Palatino" w:hAnsi="Palatino"/>
          <w:noProof/>
        </w:rPr>
        <w:t>a</w:t>
      </w:r>
      <w:r w:rsidR="00535839" w:rsidRPr="007D12CD">
        <w:rPr>
          <w:rFonts w:ascii="Palatino" w:hAnsi="Palatino"/>
          <w:noProof/>
        </w:rPr>
        <w:t xml:space="preserve"> opcij</w:t>
      </w:r>
      <w:r w:rsidR="0055299A">
        <w:rPr>
          <w:rFonts w:ascii="Palatino" w:hAnsi="Palatino"/>
          <w:noProof/>
        </w:rPr>
        <w:t>a</w:t>
      </w:r>
      <w:r w:rsidR="00535839" w:rsidRPr="007D12CD">
        <w:rPr>
          <w:rFonts w:ascii="Palatino" w:hAnsi="Palatino"/>
          <w:noProof/>
        </w:rPr>
        <w:t xml:space="preserve"> za odlaganje transformatora koji sadrže PCB.</w:t>
      </w:r>
    </w:p>
    <w:p w14:paraId="43CC4B7A" w14:textId="00446665" w:rsidR="003B0B44" w:rsidRPr="007D12CD" w:rsidRDefault="003B0B44" w:rsidP="00535839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A</w:t>
      </w:r>
      <w:r w:rsidR="00535839" w:rsidRPr="007D12CD">
        <w:rPr>
          <w:rFonts w:ascii="Palatino" w:hAnsi="Palatino"/>
          <w:noProof/>
        </w:rPr>
        <w:t>naliz</w:t>
      </w:r>
      <w:r w:rsidRPr="007D12CD">
        <w:rPr>
          <w:rFonts w:ascii="Palatino" w:hAnsi="Palatino"/>
          <w:noProof/>
        </w:rPr>
        <w:t>a</w:t>
      </w:r>
      <w:r w:rsidR="00535839" w:rsidRPr="007D12CD">
        <w:rPr>
          <w:rFonts w:ascii="Palatino" w:hAnsi="Palatino"/>
          <w:noProof/>
        </w:rPr>
        <w:t xml:space="preserve"> troškova i koristi </w:t>
      </w:r>
      <w:r w:rsidRPr="007D12CD">
        <w:rPr>
          <w:rFonts w:ascii="Palatino" w:hAnsi="Palatino"/>
          <w:noProof/>
        </w:rPr>
        <w:t>zasnovana je</w:t>
      </w:r>
      <w:r w:rsidR="00535839" w:rsidRPr="007D12CD">
        <w:rPr>
          <w:rFonts w:ascii="Palatino" w:hAnsi="Palatino"/>
          <w:noProof/>
        </w:rPr>
        <w:t xml:space="preserve"> na racionalizaciji rezultata popisa i razumnoj procjeni opreme i otpada koji sadrže PCB, uzimajući u obzir potrebe </w:t>
      </w:r>
      <w:r w:rsidRPr="007D12CD">
        <w:rPr>
          <w:rFonts w:ascii="Palatino" w:hAnsi="Palatino"/>
          <w:noProof/>
        </w:rPr>
        <w:t>Crne Gore</w:t>
      </w:r>
      <w:r w:rsidR="00535839" w:rsidRPr="007D12CD">
        <w:rPr>
          <w:rFonts w:ascii="Palatino" w:hAnsi="Palatino"/>
          <w:noProof/>
        </w:rPr>
        <w:t>, prirodu i količinu tokova otp</w:t>
      </w:r>
      <w:r w:rsidRPr="007D12CD">
        <w:rPr>
          <w:rFonts w:ascii="Palatino" w:hAnsi="Palatino"/>
          <w:noProof/>
        </w:rPr>
        <w:t>ada, ekonomske i tržišne uslove</w:t>
      </w:r>
      <w:r w:rsidR="00535839" w:rsidRPr="007D12CD">
        <w:rPr>
          <w:rFonts w:ascii="Palatino" w:hAnsi="Palatino"/>
          <w:noProof/>
        </w:rPr>
        <w:t>.</w:t>
      </w:r>
      <w:r w:rsidRPr="007D12CD">
        <w:rPr>
          <w:rFonts w:ascii="Palatino" w:hAnsi="Palatino"/>
          <w:noProof/>
        </w:rPr>
        <w:t xml:space="preserve"> Prikazom troškova i koristi, upoređeni su različiti scenariji za konačno odlaganje i uništavanje transformatora </w:t>
      </w:r>
      <w:r w:rsidR="00B40CA6" w:rsidRPr="007D12CD">
        <w:rPr>
          <w:rFonts w:ascii="Palatino" w:hAnsi="Palatino"/>
          <w:noProof/>
        </w:rPr>
        <w:t>sa</w:t>
      </w:r>
      <w:r w:rsidRPr="007D12CD">
        <w:rPr>
          <w:rFonts w:ascii="Palatino" w:hAnsi="Palatino"/>
          <w:noProof/>
        </w:rPr>
        <w:t xml:space="preserve"> PCB, što treba da pomogne u</w:t>
      </w:r>
      <w:r w:rsidR="00EF13D8" w:rsidRPr="007D12CD">
        <w:rPr>
          <w:rFonts w:ascii="Palatino" w:hAnsi="Palatino"/>
          <w:noProof/>
        </w:rPr>
        <w:t xml:space="preserve"> konačnom</w:t>
      </w:r>
      <w:r w:rsidRPr="007D12CD">
        <w:rPr>
          <w:rFonts w:ascii="Palatino" w:hAnsi="Palatino"/>
          <w:noProof/>
        </w:rPr>
        <w:t xml:space="preserve"> </w:t>
      </w:r>
      <w:r w:rsidR="00EF13D8" w:rsidRPr="007D12CD">
        <w:rPr>
          <w:rFonts w:ascii="Palatino" w:hAnsi="Palatino"/>
          <w:noProof/>
        </w:rPr>
        <w:t>odlučivanju</w:t>
      </w:r>
      <w:r w:rsidR="00B40CA6" w:rsidRPr="007D12CD">
        <w:rPr>
          <w:rFonts w:ascii="Palatino" w:hAnsi="Palatino"/>
          <w:noProof/>
        </w:rPr>
        <w:t>. Izbor je sljedeći:</w:t>
      </w:r>
      <w:r w:rsidRPr="007D12CD">
        <w:rPr>
          <w:rFonts w:ascii="Palatino" w:hAnsi="Palatino"/>
          <w:noProof/>
        </w:rPr>
        <w:t xml:space="preserve"> da li opremu/otpad koji sadrže PCB </w:t>
      </w:r>
      <w:r w:rsidR="009F3F14" w:rsidRPr="007D12CD">
        <w:rPr>
          <w:rFonts w:ascii="Palatino" w:hAnsi="Palatino"/>
          <w:noProof/>
        </w:rPr>
        <w:t>treba</w:t>
      </w:r>
      <w:r w:rsidRPr="007D12CD">
        <w:rPr>
          <w:rFonts w:ascii="Palatino" w:hAnsi="Palatino"/>
          <w:noProof/>
        </w:rPr>
        <w:t xml:space="preserve"> odlaga</w:t>
      </w:r>
      <w:r w:rsidR="009F3F14" w:rsidRPr="007D12CD">
        <w:rPr>
          <w:rFonts w:ascii="Palatino" w:hAnsi="Palatino"/>
          <w:noProof/>
        </w:rPr>
        <w:t>ti</w:t>
      </w:r>
      <w:r w:rsidRPr="007D12CD">
        <w:rPr>
          <w:rFonts w:ascii="Palatino" w:hAnsi="Palatino"/>
          <w:noProof/>
        </w:rPr>
        <w:t xml:space="preserve"> u inostranstv</w:t>
      </w:r>
      <w:r w:rsidR="009F3F14" w:rsidRPr="007D12CD">
        <w:rPr>
          <w:rFonts w:ascii="Palatino" w:hAnsi="Palatino"/>
          <w:noProof/>
        </w:rPr>
        <w:t>u</w:t>
      </w:r>
      <w:r w:rsidRPr="007D12CD">
        <w:rPr>
          <w:rFonts w:ascii="Palatino" w:hAnsi="Palatino"/>
          <w:noProof/>
        </w:rPr>
        <w:t xml:space="preserve">, </w:t>
      </w:r>
      <w:r w:rsidR="009F3F14" w:rsidRPr="007D12CD">
        <w:rPr>
          <w:rFonts w:ascii="Palatino" w:hAnsi="Palatino"/>
          <w:noProof/>
        </w:rPr>
        <w:t>da li treba kupiti</w:t>
      </w:r>
      <w:r w:rsidRPr="007D12CD">
        <w:rPr>
          <w:rFonts w:ascii="Palatino" w:hAnsi="Palatino"/>
          <w:noProof/>
        </w:rPr>
        <w:t xml:space="preserve"> i instalira</w:t>
      </w:r>
      <w:r w:rsidR="009F3F14" w:rsidRPr="007D12CD">
        <w:rPr>
          <w:rFonts w:ascii="Palatino" w:hAnsi="Palatino"/>
          <w:noProof/>
        </w:rPr>
        <w:t>ti jedinicu</w:t>
      </w:r>
      <w:r w:rsidRPr="007D12CD">
        <w:rPr>
          <w:rFonts w:ascii="Palatino" w:hAnsi="Palatino"/>
          <w:noProof/>
        </w:rPr>
        <w:t xml:space="preserve"> za tretman </w:t>
      </w:r>
      <w:r w:rsidR="009F3F14" w:rsidRPr="007D12CD">
        <w:rPr>
          <w:rFonts w:ascii="Palatino" w:hAnsi="Palatino"/>
          <w:noProof/>
        </w:rPr>
        <w:t>u neko</w:t>
      </w:r>
      <w:r w:rsidR="00EF13D8" w:rsidRPr="007D12CD">
        <w:rPr>
          <w:rFonts w:ascii="Palatino" w:hAnsi="Palatino"/>
          <w:noProof/>
        </w:rPr>
        <w:t>m</w:t>
      </w:r>
      <w:r w:rsidR="009F3F14" w:rsidRPr="007D12CD">
        <w:rPr>
          <w:rFonts w:ascii="Palatino" w:hAnsi="Palatino"/>
          <w:noProof/>
        </w:rPr>
        <w:t xml:space="preserve"> od postojećih operativnih</w:t>
      </w:r>
      <w:r w:rsidR="00EF13D8" w:rsidRPr="007D12CD">
        <w:rPr>
          <w:rFonts w:ascii="Palatino" w:hAnsi="Palatino"/>
          <w:noProof/>
        </w:rPr>
        <w:t xml:space="preserve"> postrojenja</w:t>
      </w:r>
      <w:r w:rsidR="009F3F14" w:rsidRPr="007D12CD">
        <w:rPr>
          <w:rFonts w:ascii="Palatino" w:hAnsi="Palatino"/>
          <w:noProof/>
        </w:rPr>
        <w:t>,</w:t>
      </w:r>
      <w:r w:rsidRPr="007D12CD">
        <w:rPr>
          <w:rFonts w:ascii="Palatino" w:hAnsi="Palatino"/>
          <w:noProof/>
        </w:rPr>
        <w:t xml:space="preserve"> ili </w:t>
      </w:r>
      <w:r w:rsidR="00EF13D8" w:rsidRPr="007D12CD">
        <w:rPr>
          <w:rFonts w:ascii="Palatino" w:hAnsi="Palatino"/>
          <w:noProof/>
        </w:rPr>
        <w:t xml:space="preserve">je </w:t>
      </w:r>
      <w:r w:rsidRPr="007D12CD">
        <w:rPr>
          <w:rFonts w:ascii="Palatino" w:hAnsi="Palatino"/>
          <w:noProof/>
        </w:rPr>
        <w:t>u</w:t>
      </w:r>
      <w:r w:rsidR="009F3F14" w:rsidRPr="007D12CD">
        <w:rPr>
          <w:rFonts w:ascii="Palatino" w:hAnsi="Palatino"/>
          <w:noProof/>
        </w:rPr>
        <w:t>zeti u</w:t>
      </w:r>
      <w:r w:rsidRPr="007D12CD">
        <w:rPr>
          <w:rFonts w:ascii="Palatino" w:hAnsi="Palatino"/>
          <w:noProof/>
        </w:rPr>
        <w:t xml:space="preserve"> zakup, </w:t>
      </w:r>
      <w:r w:rsidR="009F3F14" w:rsidRPr="007D12CD">
        <w:rPr>
          <w:rFonts w:ascii="Palatino" w:hAnsi="Palatino"/>
          <w:noProof/>
        </w:rPr>
        <w:t>zavisno</w:t>
      </w:r>
      <w:r w:rsidRPr="007D12CD">
        <w:rPr>
          <w:rFonts w:ascii="Palatino" w:hAnsi="Palatino"/>
          <w:noProof/>
        </w:rPr>
        <w:t xml:space="preserve"> o</w:t>
      </w:r>
      <w:r w:rsidR="009F3F14" w:rsidRPr="007D12CD">
        <w:rPr>
          <w:rFonts w:ascii="Palatino" w:hAnsi="Palatino"/>
          <w:noProof/>
        </w:rPr>
        <w:t>d</w:t>
      </w:r>
      <w:r w:rsidRPr="007D12CD">
        <w:rPr>
          <w:rFonts w:ascii="Palatino" w:hAnsi="Palatino"/>
          <w:noProof/>
        </w:rPr>
        <w:t xml:space="preserve"> količin</w:t>
      </w:r>
      <w:r w:rsidR="009F3F14" w:rsidRPr="007D12CD">
        <w:rPr>
          <w:rFonts w:ascii="Palatino" w:hAnsi="Palatino"/>
          <w:noProof/>
        </w:rPr>
        <w:t xml:space="preserve">a </w:t>
      </w:r>
      <w:r w:rsidRPr="007D12CD">
        <w:rPr>
          <w:rFonts w:ascii="Palatino" w:hAnsi="Palatino"/>
          <w:noProof/>
        </w:rPr>
        <w:t>i koncentracij</w:t>
      </w:r>
      <w:r w:rsidR="009F3F14" w:rsidRPr="007D12CD">
        <w:rPr>
          <w:rFonts w:ascii="Palatino" w:hAnsi="Palatino"/>
          <w:noProof/>
        </w:rPr>
        <w:t>e</w:t>
      </w:r>
      <w:r w:rsidRPr="007D12CD">
        <w:rPr>
          <w:rFonts w:ascii="Palatino" w:hAnsi="Palatino"/>
          <w:noProof/>
        </w:rPr>
        <w:t xml:space="preserve"> PCB-a.</w:t>
      </w:r>
    </w:p>
    <w:p w14:paraId="460A80B8" w14:textId="7162915D" w:rsidR="00EB1840" w:rsidRPr="007D12CD" w:rsidRDefault="00EB1840" w:rsidP="00F94599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Analizirana su tri scenarija za uklanjanje transformatora </w:t>
      </w:r>
      <w:r w:rsidR="00D32C81" w:rsidRPr="007D12CD">
        <w:rPr>
          <w:rFonts w:ascii="Palatino" w:hAnsi="Palatino"/>
          <w:noProof/>
        </w:rPr>
        <w:t>sa</w:t>
      </w:r>
      <w:r w:rsidRPr="007D12CD">
        <w:rPr>
          <w:rFonts w:ascii="Palatino" w:hAnsi="Palatino"/>
          <w:noProof/>
        </w:rPr>
        <w:t xml:space="preserve"> PCB, uzimajući u obzir nekoliko faktora,</w:t>
      </w:r>
      <w:r w:rsidR="00D32C81" w:rsidRPr="007D12CD">
        <w:rPr>
          <w:rFonts w:ascii="Palatino" w:hAnsi="Palatino"/>
          <w:noProof/>
        </w:rPr>
        <w:t xml:space="preserve"> kao što su: koncentracija PCB</w:t>
      </w:r>
      <w:r w:rsidRPr="007D12CD">
        <w:rPr>
          <w:rFonts w:ascii="Palatino" w:hAnsi="Palatino"/>
          <w:noProof/>
        </w:rPr>
        <w:t xml:space="preserve">; da li će se transformator ponovo koristiti nakon tretmana; mogućnosti izvoza transformatora koji sadrže PCB u dostupna postrojenja za </w:t>
      </w:r>
      <w:r w:rsidR="00D32C81" w:rsidRPr="007D12CD">
        <w:rPr>
          <w:rFonts w:ascii="Palatino" w:hAnsi="Palatino"/>
          <w:noProof/>
        </w:rPr>
        <w:t>tretman</w:t>
      </w:r>
      <w:r w:rsidRPr="007D12CD">
        <w:rPr>
          <w:rFonts w:ascii="Palatino" w:hAnsi="Palatino"/>
          <w:noProof/>
        </w:rPr>
        <w:t xml:space="preserve"> u regionu; mogućnosti zakupa jedinice za tretman u Crnoj Gori itd. </w:t>
      </w:r>
    </w:p>
    <w:p w14:paraId="54B56F76" w14:textId="5FFAC310" w:rsidR="00EB1840" w:rsidRPr="007D12CD" w:rsidRDefault="00EB1840" w:rsidP="00F94599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Konkretnije, razmatrani su sljedeći scenariji: I. Izvoz i konačno odlaganje transformatora </w:t>
      </w:r>
      <w:r w:rsidR="00BA200F" w:rsidRPr="007D12CD">
        <w:rPr>
          <w:rFonts w:ascii="Palatino" w:hAnsi="Palatino"/>
          <w:noProof/>
        </w:rPr>
        <w:t>sa</w:t>
      </w:r>
      <w:r w:rsidRPr="007D12CD">
        <w:rPr>
          <w:rFonts w:ascii="Palatino" w:hAnsi="Palatino"/>
          <w:noProof/>
        </w:rPr>
        <w:t xml:space="preserve"> PCB razmatra se u dvije varijante: I.1 Izvoz i spaljivanje kompletnog transformatora </w:t>
      </w:r>
      <w:r w:rsidR="00BA200F" w:rsidRPr="007D12CD">
        <w:rPr>
          <w:rFonts w:ascii="Palatino" w:hAnsi="Palatino"/>
          <w:noProof/>
        </w:rPr>
        <w:t xml:space="preserve">sa </w:t>
      </w:r>
      <w:r w:rsidRPr="007D12CD">
        <w:rPr>
          <w:rFonts w:ascii="Palatino" w:hAnsi="Palatino"/>
          <w:noProof/>
        </w:rPr>
        <w:t xml:space="preserve">PCB; i I.2 Izvoz i tretman kompletne opreme </w:t>
      </w:r>
      <w:r w:rsidR="00BA200F" w:rsidRPr="007D12CD">
        <w:rPr>
          <w:rFonts w:ascii="Palatino" w:hAnsi="Palatino"/>
          <w:noProof/>
        </w:rPr>
        <w:t>sa</w:t>
      </w:r>
      <w:r w:rsidRPr="007D12CD">
        <w:rPr>
          <w:rFonts w:ascii="Palatino" w:hAnsi="Palatino"/>
          <w:noProof/>
        </w:rPr>
        <w:t xml:space="preserve"> PCB.</w:t>
      </w:r>
      <w:r w:rsidR="00BA200F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 xml:space="preserve">II. Ponovno punjenje praćeno izvozom i spaljivanjem ulja i celuloznog materijala </w:t>
      </w:r>
      <w:r w:rsidR="00BA200F" w:rsidRPr="007D12CD">
        <w:rPr>
          <w:rFonts w:ascii="Palatino" w:hAnsi="Palatino"/>
          <w:noProof/>
        </w:rPr>
        <w:t>sa PCB</w:t>
      </w:r>
      <w:r w:rsidRPr="007D12CD">
        <w:rPr>
          <w:rFonts w:ascii="Palatino" w:hAnsi="Palatino"/>
          <w:noProof/>
        </w:rPr>
        <w:t xml:space="preserve"> iz tretiranih transformatora, dok će oprema biti vraćena u rad ili rastavljena; i III. Scenario dehalogenizacije koji je razmatran u tri varijante: III.1 Kupovina jedinice </w:t>
      </w:r>
      <w:r w:rsidRPr="007D12CD">
        <w:rPr>
          <w:rFonts w:ascii="Palatino" w:hAnsi="Palatino"/>
          <w:noProof/>
        </w:rPr>
        <w:lastRenderedPageBreak/>
        <w:t>za tretman (stacionarne) kapaciteta 1,0 tona/dan (KPEG ili CDP) u zemlji; III.2 Zakup jedinice za tretman (nepokretne) kapaciteta 1,0 tona/dan (KPEG ili CDP); III.3 Izvoz transformatora koji sadrže PCB za tretman u inostranstvu i vraćanje tretiranih transformatora natrag u ponovnu upotrebu.</w:t>
      </w:r>
    </w:p>
    <w:p w14:paraId="4762D78F" w14:textId="4DF4B695" w:rsidR="00EB1840" w:rsidRPr="007D12CD" w:rsidRDefault="00EB1840" w:rsidP="00F94599">
      <w:pPr>
        <w:jc w:val="both"/>
        <w:rPr>
          <w:rFonts w:ascii="Palatino" w:hAnsi="Palatino"/>
          <w:b/>
          <w:noProof/>
        </w:rPr>
      </w:pPr>
      <w:r w:rsidRPr="007D12CD">
        <w:rPr>
          <w:rFonts w:ascii="Palatino" w:hAnsi="Palatino"/>
          <w:b/>
          <w:noProof/>
        </w:rPr>
        <w:t xml:space="preserve">Analiza zaključuje da je scenario III.3 Izvoz transformatora koji sadrže PCB za tretman u inostranstvu, odnosno u uspostavljenim postrojenjima za prečišćavanje u regionu i vraćanje tretiranih transformatora </w:t>
      </w:r>
      <w:r w:rsidR="00FA16FE" w:rsidRPr="007D12CD">
        <w:rPr>
          <w:rFonts w:ascii="Palatino" w:hAnsi="Palatino"/>
          <w:b/>
          <w:noProof/>
        </w:rPr>
        <w:t>u</w:t>
      </w:r>
      <w:r w:rsidRPr="007D12CD">
        <w:rPr>
          <w:rFonts w:ascii="Palatino" w:hAnsi="Palatino"/>
          <w:b/>
          <w:noProof/>
        </w:rPr>
        <w:t xml:space="preserve"> ponovnu upotrebu, najisplativije rješenje za uklanjanje transformatora koji sadrže PCB u Crnoj Gori. </w:t>
      </w:r>
      <w:r w:rsidR="00351731" w:rsidRPr="00351731">
        <w:rPr>
          <w:rFonts w:ascii="Palatino" w:hAnsi="Palatino"/>
          <w:noProof/>
        </w:rPr>
        <w:t>Ovo</w:t>
      </w:r>
      <w:r w:rsidR="00351731">
        <w:rPr>
          <w:rFonts w:ascii="Palatino" w:hAnsi="Palatino"/>
          <w:noProof/>
        </w:rPr>
        <w:t xml:space="preserve"> je važan zaključak u kontekstu razmatranja mogućnosti za uspostavljanje javno-privatnog partnerstva u upravljanju PCB u Crnoj Gori. </w:t>
      </w:r>
    </w:p>
    <w:p w14:paraId="35F46470" w14:textId="4CDC8798" w:rsidR="00EB1840" w:rsidRPr="007D12CD" w:rsidRDefault="00EB1840" w:rsidP="00F94599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Sa druge strane, visoki investicioni troškovi scenarija III.1 ne mogu se opravdati očekiva</w:t>
      </w:r>
      <w:r w:rsidR="00E60ECF" w:rsidRPr="007D12CD">
        <w:rPr>
          <w:rFonts w:ascii="Palatino" w:hAnsi="Palatino"/>
          <w:noProof/>
        </w:rPr>
        <w:t>nim nivoom koristi. Scenario II</w:t>
      </w:r>
      <w:r w:rsidRPr="007D12CD">
        <w:rPr>
          <w:rFonts w:ascii="Palatino" w:hAnsi="Palatino"/>
          <w:noProof/>
        </w:rPr>
        <w:t xml:space="preserve"> </w:t>
      </w:r>
      <w:r w:rsidR="00E60ECF" w:rsidRPr="007D12CD">
        <w:rPr>
          <w:rFonts w:ascii="Palatino" w:hAnsi="Palatino"/>
          <w:noProof/>
        </w:rPr>
        <w:t>Ponovno punjenje</w:t>
      </w:r>
      <w:r w:rsidRPr="007D12CD">
        <w:rPr>
          <w:rFonts w:ascii="Palatino" w:hAnsi="Palatino"/>
          <w:noProof/>
        </w:rPr>
        <w:t xml:space="preserve"> takođe predstavlja održivo rješenje za odlaganje transformatora s niskim sadržajem PCB-a, ali identifikovani nedostaci čine ovu opciju nepovoljnom.</w:t>
      </w:r>
    </w:p>
    <w:p w14:paraId="10CECE23" w14:textId="6F8BE0B2" w:rsidR="00EB1840" w:rsidRPr="007D12CD" w:rsidRDefault="00EB1840" w:rsidP="00001DE3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Dodatno, napravljene su odvojene analize procjene troškova za posebno dizajnirane transformatore iz KAP-a sa visokim koncentracijama PCB-a. Uzeta su u obzir dva scenarija odlaganja: A. Izvoz za spaljivanje cijelog transformatora i B. Ponovno punjenje</w:t>
      </w:r>
      <w:r w:rsidR="00B677ED" w:rsidRPr="007D12CD">
        <w:rPr>
          <w:rFonts w:ascii="Palatino" w:hAnsi="Palatino"/>
          <w:noProof/>
        </w:rPr>
        <w:t>,</w:t>
      </w:r>
      <w:r w:rsidRPr="007D12CD">
        <w:rPr>
          <w:rFonts w:ascii="Palatino" w:hAnsi="Palatino"/>
          <w:noProof/>
        </w:rPr>
        <w:t xml:space="preserve"> kako bi se defini</w:t>
      </w:r>
      <w:r w:rsidR="00E60ECF" w:rsidRPr="007D12CD">
        <w:rPr>
          <w:rFonts w:ascii="Palatino" w:hAnsi="Palatino"/>
          <w:noProof/>
        </w:rPr>
        <w:t>s</w:t>
      </w:r>
      <w:r w:rsidRPr="007D12CD">
        <w:rPr>
          <w:rFonts w:ascii="Palatino" w:hAnsi="Palatino"/>
          <w:noProof/>
        </w:rPr>
        <w:t>ala ekonomski prihvatljivija opcija. Na osnovu analize, scenario odlaganja A. Izvoz za spaljivanje transformatora ocijenjen je ekonomski daleko prihvatljivijim od opcije ponovnog punjenja.</w:t>
      </w:r>
    </w:p>
    <w:p w14:paraId="68C6D65A" w14:textId="77777777" w:rsidR="00EB1840" w:rsidRPr="007D12CD" w:rsidRDefault="00EB1840" w:rsidP="00535839">
      <w:pPr>
        <w:jc w:val="both"/>
        <w:rPr>
          <w:rFonts w:ascii="Palatino" w:hAnsi="Palatino"/>
          <w:noProof/>
        </w:rPr>
      </w:pPr>
    </w:p>
    <w:p w14:paraId="4A14ADF5" w14:textId="77777777" w:rsidR="00831497" w:rsidRPr="007D12CD" w:rsidRDefault="00831497" w:rsidP="0060386C">
      <w:pPr>
        <w:pStyle w:val="Heading1"/>
      </w:pPr>
      <w:bookmarkStart w:id="7" w:name="_Toc462603357"/>
      <w:r w:rsidRPr="007D12CD">
        <w:t>4. Javno-privatno partnerstvo u upravljanju polihlorovanim bifenilima u Crnoj Gori</w:t>
      </w:r>
      <w:bookmarkEnd w:id="7"/>
      <w:r w:rsidRPr="007D12CD">
        <w:t xml:space="preserve"> </w:t>
      </w:r>
    </w:p>
    <w:p w14:paraId="515C7F78" w14:textId="40171C3E" w:rsidR="00EE7885" w:rsidRPr="007D12CD" w:rsidRDefault="00EE7885" w:rsidP="00EE7885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Kako je već navedeno, popis je pokazao da </w:t>
      </w:r>
      <w:r w:rsidR="00884319" w:rsidRPr="007D12CD">
        <w:rPr>
          <w:rFonts w:ascii="Palatino" w:hAnsi="Palatino"/>
          <w:noProof/>
        </w:rPr>
        <w:t xml:space="preserve">se </w:t>
      </w:r>
      <w:r w:rsidRPr="007D12CD">
        <w:rPr>
          <w:rFonts w:ascii="Palatino" w:hAnsi="Palatino"/>
          <w:noProof/>
        </w:rPr>
        <w:t>među značajnijim vlasnicima PCB opreme u Crnoj Gori</w:t>
      </w:r>
      <w:r w:rsidR="00884319" w:rsidRPr="007D12CD">
        <w:rPr>
          <w:rFonts w:ascii="Palatino" w:hAnsi="Palatino"/>
          <w:noProof/>
        </w:rPr>
        <w:t xml:space="preserve">, pored međunarodnih i </w:t>
      </w:r>
      <w:r w:rsidR="00E60ECF" w:rsidRPr="007D12CD">
        <w:rPr>
          <w:rFonts w:ascii="Palatino" w:hAnsi="Palatino"/>
          <w:noProof/>
        </w:rPr>
        <w:t xml:space="preserve">nacionalnih </w:t>
      </w:r>
      <w:r w:rsidR="00884319" w:rsidRPr="007D12CD">
        <w:rPr>
          <w:rFonts w:ascii="Palatino" w:hAnsi="Palatino"/>
          <w:noProof/>
        </w:rPr>
        <w:t>privatnih investitora</w:t>
      </w:r>
      <w:r w:rsidR="00A348C1" w:rsidRPr="007D12CD">
        <w:rPr>
          <w:rFonts w:ascii="Palatino" w:hAnsi="Palatino"/>
          <w:noProof/>
        </w:rPr>
        <w:t xml:space="preserve"> (Port of Adria</w:t>
      </w:r>
      <w:r w:rsidR="00E60ECF" w:rsidRPr="007D12CD">
        <w:rPr>
          <w:rFonts w:ascii="Palatino" w:hAnsi="Palatino"/>
          <w:noProof/>
        </w:rPr>
        <w:t xml:space="preserve">, UNIPROM KAP </w:t>
      </w:r>
      <w:r w:rsidR="00A348C1" w:rsidRPr="007D12CD">
        <w:rPr>
          <w:rFonts w:ascii="Palatino" w:hAnsi="Palatino"/>
          <w:noProof/>
        </w:rPr>
        <w:t xml:space="preserve"> itd)</w:t>
      </w:r>
      <w:r w:rsidR="00884319" w:rsidRPr="007D12CD">
        <w:rPr>
          <w:rFonts w:ascii="Palatino" w:hAnsi="Palatino"/>
          <w:noProof/>
        </w:rPr>
        <w:t>,</w:t>
      </w:r>
      <w:r w:rsidRPr="007D12CD">
        <w:rPr>
          <w:rFonts w:ascii="Palatino" w:hAnsi="Palatino"/>
          <w:noProof/>
        </w:rPr>
        <w:t xml:space="preserve"> nalaze i kompanije čiji je akcionar država</w:t>
      </w:r>
      <w:r w:rsidR="00001DE3">
        <w:rPr>
          <w:rFonts w:ascii="Palatino" w:hAnsi="Palatino"/>
          <w:noProof/>
        </w:rPr>
        <w:t xml:space="preserve"> (</w:t>
      </w:r>
      <w:r w:rsidR="00884319" w:rsidRPr="007D12CD">
        <w:rPr>
          <w:rFonts w:ascii="Palatino" w:hAnsi="Palatino"/>
          <w:noProof/>
        </w:rPr>
        <w:t>CEDIS</w:t>
      </w:r>
      <w:r w:rsidR="00A348C1" w:rsidRPr="007D12CD">
        <w:rPr>
          <w:rFonts w:ascii="Palatino" w:hAnsi="Palatino"/>
          <w:noProof/>
        </w:rPr>
        <w:t xml:space="preserve">, </w:t>
      </w:r>
      <w:r w:rsidR="00A03D5B" w:rsidRPr="007D12CD">
        <w:rPr>
          <w:rFonts w:ascii="Palatino" w:hAnsi="Palatino"/>
          <w:noProof/>
        </w:rPr>
        <w:t xml:space="preserve">Rudnik uglja, </w:t>
      </w:r>
      <w:r w:rsidR="00E474C5" w:rsidRPr="007D12CD">
        <w:rPr>
          <w:rFonts w:ascii="Palatino" w:hAnsi="Palatino"/>
          <w:noProof/>
        </w:rPr>
        <w:t xml:space="preserve">Plantaže 13. jul, </w:t>
      </w:r>
      <w:r w:rsidR="00A348C1" w:rsidRPr="007D12CD">
        <w:rPr>
          <w:rFonts w:ascii="Palatino" w:hAnsi="Palatino"/>
          <w:noProof/>
        </w:rPr>
        <w:t>Luka Bar i dr.</w:t>
      </w:r>
      <w:r w:rsidR="00884319" w:rsidRPr="007D12CD">
        <w:rPr>
          <w:rFonts w:ascii="Palatino" w:hAnsi="Palatino"/>
          <w:noProof/>
        </w:rPr>
        <w:t>)</w:t>
      </w:r>
      <w:r w:rsidRPr="007D12CD">
        <w:rPr>
          <w:rFonts w:ascii="Palatino" w:hAnsi="Palatino"/>
          <w:noProof/>
        </w:rPr>
        <w:t xml:space="preserve">. </w:t>
      </w:r>
      <w:r w:rsidR="00E474C5" w:rsidRPr="007D12CD">
        <w:rPr>
          <w:rFonts w:ascii="Palatino" w:hAnsi="Palatino"/>
          <w:noProof/>
        </w:rPr>
        <w:t>Sa druge strane,</w:t>
      </w:r>
      <w:r w:rsidR="00884319" w:rsidRPr="007D12CD">
        <w:rPr>
          <w:rFonts w:ascii="Palatino" w:hAnsi="Palatino"/>
          <w:noProof/>
        </w:rPr>
        <w:t xml:space="preserve"> upravljanje polihlorovanim bifenilima u cilju z</w:t>
      </w:r>
      <w:r w:rsidR="00AF5296" w:rsidRPr="007D12CD">
        <w:rPr>
          <w:rFonts w:ascii="Palatino" w:hAnsi="Palatino"/>
          <w:noProof/>
        </w:rPr>
        <w:t xml:space="preserve">aštite ljudi i životne sredine </w:t>
      </w:r>
      <w:r w:rsidR="00884319" w:rsidRPr="007D12CD">
        <w:rPr>
          <w:rFonts w:ascii="Palatino" w:hAnsi="Palatino"/>
          <w:noProof/>
        </w:rPr>
        <w:t>predstavlja međunar</w:t>
      </w:r>
      <w:r w:rsidR="00E474C5" w:rsidRPr="007D12CD">
        <w:rPr>
          <w:rFonts w:ascii="Palatino" w:hAnsi="Palatino"/>
          <w:noProof/>
        </w:rPr>
        <w:t>odnu obavezu Crne Gore. Imajući navedeno u vidu,</w:t>
      </w:r>
      <w:r w:rsidR="00884319" w:rsidRPr="007D12CD">
        <w:rPr>
          <w:rFonts w:ascii="Palatino" w:hAnsi="Palatino"/>
          <w:noProof/>
        </w:rPr>
        <w:t xml:space="preserve"> vrijedi razmotriti mogućnost uspostavljanja javno-privatnog partnerstva </w:t>
      </w:r>
      <w:r w:rsidRPr="007D12CD">
        <w:rPr>
          <w:rFonts w:ascii="Palatino" w:hAnsi="Palatino"/>
          <w:noProof/>
        </w:rPr>
        <w:t>koje</w:t>
      </w:r>
      <w:r w:rsidR="00884319" w:rsidRPr="007D12CD">
        <w:rPr>
          <w:rFonts w:ascii="Palatino" w:hAnsi="Palatino"/>
          <w:noProof/>
        </w:rPr>
        <w:t xml:space="preserve"> bi</w:t>
      </w:r>
      <w:r w:rsidRPr="007D12CD">
        <w:rPr>
          <w:rFonts w:ascii="Palatino" w:hAnsi="Palatino"/>
          <w:noProof/>
        </w:rPr>
        <w:t xml:space="preserve"> djel</w:t>
      </w:r>
      <w:r w:rsidR="00884319" w:rsidRPr="007D12CD">
        <w:rPr>
          <w:rFonts w:ascii="Palatino" w:hAnsi="Palatino"/>
          <w:noProof/>
        </w:rPr>
        <w:t>ovalo</w:t>
      </w:r>
      <w:r w:rsidRPr="007D12CD">
        <w:rPr>
          <w:rFonts w:ascii="Palatino" w:hAnsi="Palatino"/>
          <w:noProof/>
        </w:rPr>
        <w:t xml:space="preserve"> u svim fazama identifikacije, skladištenja i odlaganja PCB, a koje može ostati održivo i operativno nakon </w:t>
      </w:r>
      <w:r w:rsidR="00884319" w:rsidRPr="007D12CD">
        <w:rPr>
          <w:rFonts w:ascii="Palatino" w:hAnsi="Palatino"/>
          <w:noProof/>
        </w:rPr>
        <w:t>završetka</w:t>
      </w:r>
      <w:r w:rsidRPr="007D12CD">
        <w:rPr>
          <w:rFonts w:ascii="Palatino" w:hAnsi="Palatino"/>
          <w:noProof/>
        </w:rPr>
        <w:t xml:space="preserve"> </w:t>
      </w:r>
      <w:r w:rsidR="00884319" w:rsidRPr="007D12CD">
        <w:rPr>
          <w:rFonts w:ascii="Palatino" w:hAnsi="Palatino"/>
          <w:noProof/>
        </w:rPr>
        <w:t>P</w:t>
      </w:r>
      <w:r w:rsidRPr="007D12CD">
        <w:rPr>
          <w:rFonts w:ascii="Palatino" w:hAnsi="Palatino"/>
          <w:noProof/>
        </w:rPr>
        <w:t xml:space="preserve">rojekta za </w:t>
      </w:r>
      <w:r w:rsidR="00884319" w:rsidRPr="007D12CD">
        <w:rPr>
          <w:rFonts w:ascii="Palatino" w:hAnsi="Palatino"/>
          <w:noProof/>
        </w:rPr>
        <w:t>s</w:t>
      </w:r>
      <w:r w:rsidRPr="007D12CD">
        <w:rPr>
          <w:rFonts w:ascii="Palatino" w:hAnsi="Palatino"/>
          <w:noProof/>
        </w:rPr>
        <w:t xml:space="preserve">provođenje preostalih aktivnosti vezanih za PCB ili druge aktivnosti </w:t>
      </w:r>
      <w:r w:rsidR="00884319" w:rsidRPr="007D12CD">
        <w:rPr>
          <w:rFonts w:ascii="Palatino" w:hAnsi="Palatino"/>
          <w:noProof/>
        </w:rPr>
        <w:t>u vezi POPs</w:t>
      </w:r>
      <w:r w:rsidRPr="007D12CD">
        <w:rPr>
          <w:rFonts w:ascii="Palatino" w:hAnsi="Palatino"/>
          <w:noProof/>
        </w:rPr>
        <w:t>.</w:t>
      </w:r>
    </w:p>
    <w:p w14:paraId="1F412622" w14:textId="1167A554" w:rsidR="000901F6" w:rsidRPr="007D12CD" w:rsidRDefault="00072F2A" w:rsidP="00EE7885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Kako </w:t>
      </w:r>
      <w:r w:rsidR="00072C93" w:rsidRPr="007D12CD">
        <w:rPr>
          <w:rFonts w:ascii="Palatino" w:hAnsi="Palatino"/>
          <w:noProof/>
        </w:rPr>
        <w:t>je pretpostavljeno Projektom</w:t>
      </w:r>
      <w:r w:rsidR="00C473B5" w:rsidRPr="007D12CD">
        <w:rPr>
          <w:rFonts w:ascii="Palatino" w:hAnsi="Palatino"/>
          <w:noProof/>
        </w:rPr>
        <w:t>, j</w:t>
      </w:r>
      <w:r w:rsidR="00EE7885" w:rsidRPr="007D12CD">
        <w:rPr>
          <w:rFonts w:ascii="Palatino" w:hAnsi="Palatino"/>
          <w:noProof/>
        </w:rPr>
        <w:t xml:space="preserve">avno-privatno partnerstvo je neophodno da bi djelovalo kao </w:t>
      </w:r>
      <w:r w:rsidR="00C473B5" w:rsidRPr="007D12CD">
        <w:rPr>
          <w:rFonts w:ascii="Palatino" w:hAnsi="Palatino"/>
          <w:noProof/>
        </w:rPr>
        <w:t>nezavisno</w:t>
      </w:r>
      <w:r w:rsidR="00EE7885" w:rsidRPr="007D12CD">
        <w:rPr>
          <w:rFonts w:ascii="Palatino" w:hAnsi="Palatino"/>
          <w:noProof/>
        </w:rPr>
        <w:t xml:space="preserve"> tijelo koje pruža usluge u području uzorkovanja ulja i kontaminiranog </w:t>
      </w:r>
      <w:r w:rsidR="00C473B5" w:rsidRPr="007D12CD">
        <w:rPr>
          <w:rFonts w:ascii="Palatino" w:hAnsi="Palatino"/>
          <w:noProof/>
        </w:rPr>
        <w:t>zemljišta i opreme, planiranja</w:t>
      </w:r>
      <w:r w:rsidR="00EE7885" w:rsidRPr="007D12CD">
        <w:rPr>
          <w:rFonts w:ascii="Palatino" w:hAnsi="Palatino"/>
          <w:noProof/>
        </w:rPr>
        <w:t>/dizajniranja infrastrukture za upravljanje PCB otpadom, upr</w:t>
      </w:r>
      <w:r w:rsidR="00001DE3">
        <w:rPr>
          <w:rFonts w:ascii="Palatino" w:hAnsi="Palatino"/>
          <w:noProof/>
        </w:rPr>
        <w:t>avljanja opasnim otpadom, uvoza/</w:t>
      </w:r>
      <w:r w:rsidR="00EE7885" w:rsidRPr="007D12CD">
        <w:rPr>
          <w:rFonts w:ascii="Palatino" w:hAnsi="Palatino"/>
          <w:noProof/>
        </w:rPr>
        <w:t>uspostavljanja tehnologij</w:t>
      </w:r>
      <w:r w:rsidR="000901F6" w:rsidRPr="007D12CD">
        <w:rPr>
          <w:rFonts w:ascii="Palatino" w:hAnsi="Palatino"/>
          <w:noProof/>
        </w:rPr>
        <w:t>e</w:t>
      </w:r>
      <w:r w:rsidR="00EE7885" w:rsidRPr="007D12CD">
        <w:rPr>
          <w:rFonts w:ascii="Palatino" w:hAnsi="Palatino"/>
          <w:noProof/>
        </w:rPr>
        <w:t xml:space="preserve"> dehalogenizacije PCB, u skladu sa potrebama </w:t>
      </w:r>
      <w:r w:rsidR="000901F6" w:rsidRPr="007D12CD">
        <w:rPr>
          <w:rFonts w:ascii="Palatino" w:hAnsi="Palatino"/>
          <w:noProof/>
        </w:rPr>
        <w:t>države</w:t>
      </w:r>
      <w:r w:rsidR="00EE7885" w:rsidRPr="007D12CD">
        <w:rPr>
          <w:rFonts w:ascii="Palatino" w:hAnsi="Palatino"/>
          <w:noProof/>
        </w:rPr>
        <w:t xml:space="preserve"> i vlasnika PCB opreme i kako bi bili brži u nabavci potrebnih usluga. </w:t>
      </w:r>
    </w:p>
    <w:p w14:paraId="46E3E179" w14:textId="77777777" w:rsidR="00EF14BB" w:rsidRPr="007D12CD" w:rsidRDefault="00EF14BB" w:rsidP="00EE7885">
      <w:pPr>
        <w:jc w:val="both"/>
        <w:rPr>
          <w:rFonts w:ascii="Palatino" w:hAnsi="Palatino"/>
          <w:noProof/>
        </w:rPr>
      </w:pPr>
    </w:p>
    <w:p w14:paraId="6893C797" w14:textId="1C9F9475" w:rsidR="00343A15" w:rsidRPr="007D12CD" w:rsidRDefault="000901F6" w:rsidP="0072148D">
      <w:pPr>
        <w:pStyle w:val="Heading2"/>
      </w:pPr>
      <w:bookmarkStart w:id="8" w:name="_Toc462603358"/>
      <w:r w:rsidRPr="007D12CD">
        <w:t>4.1 Koncept javno-privatnog partnerstva</w:t>
      </w:r>
      <w:bookmarkEnd w:id="8"/>
      <w:r w:rsidRPr="007D12CD">
        <w:t xml:space="preserve"> </w:t>
      </w:r>
    </w:p>
    <w:p w14:paraId="29CE4F08" w14:textId="77777777" w:rsidR="00A22B9A" w:rsidRPr="007D12CD" w:rsidRDefault="003C03CF" w:rsidP="00A35213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U praksi Evropske Unije, javno-privatno partnerstvo (JPP) predstavlja oblik saradnje između javnih vlasti i privatnog partnera. Primarni ciljevi ove saradnje su finansiranje, izgradnja, renoviranje ili upravljanje infrastrukturom ili pružanje usluge. JPP je prisutno u sektorima kao što su: transport, javno zdravlje, obrazovanje, nacionalna sigurnost, upravljanje otpadom, vodosnabdijevanje i distribucija energije. </w:t>
      </w:r>
    </w:p>
    <w:p w14:paraId="410AF1C6" w14:textId="77777777" w:rsidR="00AC68A2" w:rsidRPr="007D12CD" w:rsidRDefault="00AC68A2" w:rsidP="00001DE3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JPP karakteriše:</w:t>
      </w:r>
    </w:p>
    <w:p w14:paraId="5BEA0CC6" w14:textId="77777777" w:rsidR="00AC68A2" w:rsidRPr="007D12CD" w:rsidRDefault="00AC68A2" w:rsidP="005F31CF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- trajanje odnosa između partnera;</w:t>
      </w:r>
    </w:p>
    <w:p w14:paraId="3CF8EB96" w14:textId="77777777" w:rsidR="00AC68A2" w:rsidRPr="007D12CD" w:rsidRDefault="00AC68A2" w:rsidP="005F31CF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- način finansiranja projekta;</w:t>
      </w:r>
    </w:p>
    <w:p w14:paraId="2CEF713A" w14:textId="1ACBE148" w:rsidR="00AC68A2" w:rsidRPr="007D12CD" w:rsidRDefault="00AC68A2" w:rsidP="005F31CF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- uloge partnera u definisanju ciljeva, dizajniranju, realizaciji, implementaciji i finansiranju;</w:t>
      </w:r>
    </w:p>
    <w:p w14:paraId="7CE82EDC" w14:textId="78D79702" w:rsidR="00AC68A2" w:rsidRPr="007D12CD" w:rsidRDefault="00AC68A2" w:rsidP="005F31CF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- raspodjela rizika.</w:t>
      </w:r>
    </w:p>
    <w:p w14:paraId="429C5667" w14:textId="77777777" w:rsidR="005A2F0E" w:rsidRPr="007D12CD" w:rsidRDefault="005A2F0E" w:rsidP="00A35213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Najćešće dvije vrste JPP su:</w:t>
      </w:r>
    </w:p>
    <w:p w14:paraId="6CBD50EF" w14:textId="632312C6" w:rsidR="005A2F0E" w:rsidRPr="007D12CD" w:rsidRDefault="005F31CF" w:rsidP="00A35213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1. JPP čisto ugovorne prirode -</w:t>
      </w:r>
      <w:r w:rsidR="005A2F0E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>u</w:t>
      </w:r>
      <w:r w:rsidR="005A2F0E" w:rsidRPr="007D12CD">
        <w:rPr>
          <w:rFonts w:ascii="Palatino" w:hAnsi="Palatino"/>
          <w:noProof/>
        </w:rPr>
        <w:t xml:space="preserve"> ovom slučaju, partnerstvo se zasniva isključivo na ugovornim vezama i može biti u okviru evropskih direktiva o javnim nabavkama;</w:t>
      </w:r>
    </w:p>
    <w:p w14:paraId="690142D6" w14:textId="1A1C73AD" w:rsidR="005A2F0E" w:rsidRPr="007D12CD" w:rsidRDefault="005A2F0E" w:rsidP="00A35213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2. JPP institucionalne prirode </w:t>
      </w:r>
      <w:r w:rsidR="00156332" w:rsidRPr="007D12CD">
        <w:rPr>
          <w:rFonts w:ascii="Palatino" w:hAnsi="Palatino"/>
          <w:noProof/>
        </w:rPr>
        <w:t>podrazumijeva</w:t>
      </w:r>
      <w:r w:rsidRPr="007D12CD">
        <w:rPr>
          <w:rFonts w:ascii="Palatino" w:hAnsi="Palatino"/>
          <w:noProof/>
        </w:rPr>
        <w:t xml:space="preserve"> saradnju u okviru </w:t>
      </w:r>
      <w:r w:rsidR="00673EDA" w:rsidRPr="007D12CD">
        <w:rPr>
          <w:rFonts w:ascii="Palatino" w:hAnsi="Palatino"/>
          <w:noProof/>
        </w:rPr>
        <w:t>zajedničkog privrednog društva privatnog i javnog partnera</w:t>
      </w:r>
      <w:r w:rsidRPr="007D12CD">
        <w:rPr>
          <w:rFonts w:ascii="Palatino" w:hAnsi="Palatino"/>
          <w:noProof/>
        </w:rPr>
        <w:t>.</w:t>
      </w:r>
    </w:p>
    <w:p w14:paraId="14BD8A47" w14:textId="2D85E954" w:rsidR="00B058CE" w:rsidRPr="007D12CD" w:rsidRDefault="005A2F0E" w:rsidP="00A35213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Najčešći model JPP-a je “dizajn-izgradnja-finansiranje-održavanje-upotreba”. Po tom modelu, privatnom partneru je povjereno izvršenje svih projektinih faza: od projektovanja za izgradnju, sama izgradnja i održavanje infrastrukture, kao i obezbjeđivanje neophodnih sredstava za realizaciju. Ova dugoročna perspektiva poznata je kao “pristup kompletnog </w:t>
      </w:r>
      <w:r w:rsidR="00B02273" w:rsidRPr="007D12CD">
        <w:rPr>
          <w:rFonts w:ascii="Palatino" w:hAnsi="Palatino"/>
          <w:noProof/>
        </w:rPr>
        <w:t xml:space="preserve">životnog ciklusa </w:t>
      </w:r>
      <w:r w:rsidRPr="007D12CD">
        <w:rPr>
          <w:rFonts w:ascii="Palatino" w:hAnsi="Palatino"/>
          <w:noProof/>
        </w:rPr>
        <w:t>(projekta)”.</w:t>
      </w:r>
    </w:p>
    <w:p w14:paraId="17405CF7" w14:textId="04F2010E" w:rsidR="00B058CE" w:rsidRPr="007D12CD" w:rsidRDefault="00B058CE" w:rsidP="00B058CE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Prednost JPP u odnosu na konvencionalne javne nabavke zasniva se na tvrdnji da optimalna podjela rizika s privatnim partnerom donosi bolju „vrijednost za novac“ za javni sektor i na kraju za krajnje korisnike. JPP mogu biti složenija od konvencionalnih javnih nabavki. Potrebna im je detaljna priprema i planiranje projekata i pravilno upravljanje fazom nabavke kako bi se podstakla konkurencija među ponuđačima. JPP zahtijeva i pažljivu izradu ugovora kako bi se postavili standardi usluga, alocirali rizici i postigla prihvatljiva ravnoteža između komercijalnih rizika i povrata</w:t>
      </w:r>
      <w:r w:rsidR="000805F7" w:rsidRPr="007D12CD">
        <w:rPr>
          <w:rFonts w:ascii="Palatino" w:hAnsi="Palatino"/>
          <w:noProof/>
        </w:rPr>
        <w:t xml:space="preserve"> uloženog kapitala</w:t>
      </w:r>
      <w:r w:rsidRPr="007D12CD">
        <w:rPr>
          <w:rFonts w:ascii="Palatino" w:hAnsi="Palatino"/>
          <w:noProof/>
        </w:rPr>
        <w:t xml:space="preserve">. Ove </w:t>
      </w:r>
      <w:r w:rsidR="00B75370" w:rsidRPr="007D12CD">
        <w:rPr>
          <w:rFonts w:ascii="Palatino" w:hAnsi="Palatino"/>
          <w:noProof/>
        </w:rPr>
        <w:t>karakteristike</w:t>
      </w:r>
      <w:r w:rsidRPr="007D12CD">
        <w:rPr>
          <w:rFonts w:ascii="Palatino" w:hAnsi="Palatino"/>
          <w:noProof/>
        </w:rPr>
        <w:t xml:space="preserve"> zahtijevaju vještine u javnom sektoru koje se obično ne traže </w:t>
      </w:r>
      <w:r w:rsidR="00B75370" w:rsidRPr="007D12CD">
        <w:rPr>
          <w:rFonts w:ascii="Palatino" w:hAnsi="Palatino"/>
          <w:noProof/>
        </w:rPr>
        <w:t>kod konvencionalnih</w:t>
      </w:r>
      <w:r w:rsidRPr="007D12CD">
        <w:rPr>
          <w:rFonts w:ascii="Palatino" w:hAnsi="Palatino"/>
          <w:noProof/>
        </w:rPr>
        <w:t xml:space="preserve"> nabavk</w:t>
      </w:r>
      <w:r w:rsidR="00B75370" w:rsidRPr="007D12CD">
        <w:rPr>
          <w:rFonts w:ascii="Palatino" w:hAnsi="Palatino"/>
          <w:noProof/>
        </w:rPr>
        <w:t>i</w:t>
      </w:r>
      <w:r w:rsidRPr="007D12CD">
        <w:rPr>
          <w:rFonts w:ascii="Palatino" w:hAnsi="Palatino"/>
          <w:noProof/>
        </w:rPr>
        <w:t>.</w:t>
      </w:r>
    </w:p>
    <w:p w14:paraId="637B647E" w14:textId="05550B05" w:rsidR="009D1286" w:rsidRPr="007D12CD" w:rsidRDefault="00231F8D" w:rsidP="002A0748">
      <w:pPr>
        <w:jc w:val="both"/>
        <w:rPr>
          <w:rFonts w:ascii="Palatino" w:hAnsi="Palatino" w:cs="‡ÌCZˇ"/>
          <w:noProof/>
        </w:rPr>
      </w:pPr>
      <w:r w:rsidRPr="007D12CD">
        <w:rPr>
          <w:rFonts w:ascii="Palatino" w:hAnsi="Palatino"/>
          <w:noProof/>
        </w:rPr>
        <w:t>Prema Evropskom centru za ekspertizu PPP (EPEC)</w:t>
      </w:r>
      <w:r w:rsidR="002A0748" w:rsidRPr="007D12CD">
        <w:rPr>
          <w:rStyle w:val="FootnoteReference"/>
          <w:rFonts w:ascii="Palatino" w:hAnsi="Palatino"/>
          <w:noProof/>
        </w:rPr>
        <w:footnoteReference w:id="9"/>
      </w:r>
      <w:r w:rsidRPr="007D12CD">
        <w:rPr>
          <w:rFonts w:ascii="Palatino" w:hAnsi="Palatino"/>
          <w:noProof/>
        </w:rPr>
        <w:t>, ukupna vrijednost</w:t>
      </w:r>
      <w:r w:rsidR="002A0748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>transakc</w:t>
      </w:r>
      <w:r w:rsidR="002A0748" w:rsidRPr="007D12CD">
        <w:rPr>
          <w:rFonts w:ascii="Palatino" w:hAnsi="Palatino"/>
          <w:noProof/>
        </w:rPr>
        <w:t>ija vezanih za sprovođenje JPP</w:t>
      </w:r>
      <w:r w:rsidRPr="007D12CD">
        <w:rPr>
          <w:rFonts w:ascii="Palatino" w:hAnsi="Palatino"/>
          <w:noProof/>
        </w:rPr>
        <w:t xml:space="preserve"> projekata na evropskom tržištu</w:t>
      </w:r>
      <w:r w:rsidR="002A0748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>u 201</w:t>
      </w:r>
      <w:r w:rsidR="002A0748" w:rsidRPr="007D12CD">
        <w:rPr>
          <w:rFonts w:ascii="Palatino" w:hAnsi="Palatino"/>
          <w:noProof/>
        </w:rPr>
        <w:t>9. godini iznosila je 9</w:t>
      </w:r>
      <w:r w:rsidRPr="007D12CD">
        <w:rPr>
          <w:rFonts w:ascii="Palatino" w:hAnsi="Palatino"/>
          <w:noProof/>
        </w:rPr>
        <w:t>,</w:t>
      </w:r>
      <w:r w:rsidR="002A0748" w:rsidRPr="007D12CD">
        <w:rPr>
          <w:rFonts w:ascii="Palatino" w:hAnsi="Palatino"/>
          <w:noProof/>
        </w:rPr>
        <w:t>8</w:t>
      </w:r>
      <w:r w:rsidRPr="007D12CD">
        <w:rPr>
          <w:rFonts w:ascii="Palatino" w:hAnsi="Palatino"/>
          <w:noProof/>
        </w:rPr>
        <w:t xml:space="preserve"> milijard</w:t>
      </w:r>
      <w:r w:rsidR="002A0748" w:rsidRPr="007D12CD">
        <w:rPr>
          <w:rFonts w:ascii="Palatino" w:hAnsi="Palatino"/>
          <w:noProof/>
        </w:rPr>
        <w:t>i</w:t>
      </w:r>
      <w:r w:rsidRPr="007D12CD">
        <w:rPr>
          <w:rFonts w:ascii="Palatino" w:hAnsi="Palatino"/>
          <w:noProof/>
        </w:rPr>
        <w:t xml:space="preserve"> eura, što je </w:t>
      </w:r>
      <w:r w:rsidR="002A0748" w:rsidRPr="007D12CD">
        <w:rPr>
          <w:rFonts w:ascii="Palatino" w:hAnsi="Palatino"/>
          <w:noProof/>
        </w:rPr>
        <w:t>smanjenje od 31</w:t>
      </w:r>
      <w:r w:rsidRPr="007D12CD">
        <w:rPr>
          <w:rFonts w:ascii="Palatino" w:hAnsi="Palatino"/>
          <w:noProof/>
        </w:rPr>
        <w:t>% u</w:t>
      </w:r>
      <w:r w:rsidR="002A0748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>odnosu na 201</w:t>
      </w:r>
      <w:r w:rsidR="002A0748" w:rsidRPr="007D12CD">
        <w:rPr>
          <w:rFonts w:ascii="Palatino" w:hAnsi="Palatino"/>
          <w:noProof/>
        </w:rPr>
        <w:t>8</w:t>
      </w:r>
      <w:r w:rsidRPr="007D12CD">
        <w:rPr>
          <w:rFonts w:ascii="Palatino" w:hAnsi="Palatino"/>
          <w:noProof/>
        </w:rPr>
        <w:t>. godinu. Prije finansijske i ekonomske</w:t>
      </w:r>
      <w:r w:rsidR="002A0748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 xml:space="preserve">krize, broj projekata </w:t>
      </w:r>
      <w:r w:rsidRPr="007D12CD">
        <w:rPr>
          <w:rFonts w:ascii="Palatino" w:hAnsi="Palatino"/>
          <w:noProof/>
        </w:rPr>
        <w:lastRenderedPageBreak/>
        <w:t xml:space="preserve">realizovanih kroz JPP kontinuirano je rastao, da bi </w:t>
      </w:r>
      <w:r w:rsidRPr="007D12CD">
        <w:rPr>
          <w:rFonts w:ascii="Palatino" w:hAnsi="Palatino" w:cs="‡ÌCZˇ"/>
          <w:noProof/>
        </w:rPr>
        <w:t xml:space="preserve">od 2008. godine broj novih projekata bio značajno smanjen. </w:t>
      </w:r>
      <w:r w:rsidR="002A0748" w:rsidRPr="007D12CD">
        <w:rPr>
          <w:rFonts w:ascii="Palatino" w:hAnsi="Palatino" w:cs="‡ÌCZˇ"/>
          <w:noProof/>
        </w:rPr>
        <w:t xml:space="preserve">JPP </w:t>
      </w:r>
      <w:r w:rsidR="00302F91" w:rsidRPr="007D12CD">
        <w:rPr>
          <w:rFonts w:ascii="Palatino" w:hAnsi="Palatino" w:cs="‡ÌCZˇ"/>
          <w:noProof/>
        </w:rPr>
        <w:t xml:space="preserve">su </w:t>
      </w:r>
      <w:r w:rsidR="002A0748" w:rsidRPr="007D12CD">
        <w:rPr>
          <w:rFonts w:ascii="Palatino" w:hAnsi="Palatino" w:cs="‡ÌCZˇ"/>
          <w:noProof/>
        </w:rPr>
        <w:t xml:space="preserve">najzastupljeniji </w:t>
      </w:r>
      <w:r w:rsidR="00302F91" w:rsidRPr="007D12CD">
        <w:rPr>
          <w:rFonts w:ascii="Palatino" w:hAnsi="Palatino" w:cs="‡ÌCZˇ"/>
          <w:noProof/>
        </w:rPr>
        <w:t>u</w:t>
      </w:r>
      <w:r w:rsidR="002A0748" w:rsidRPr="007D12CD">
        <w:rPr>
          <w:rFonts w:ascii="Palatino" w:hAnsi="Palatino" w:cs="‡ÌCZˇ"/>
          <w:noProof/>
        </w:rPr>
        <w:t xml:space="preserve"> </w:t>
      </w:r>
      <w:r w:rsidR="00302F91" w:rsidRPr="007D12CD">
        <w:rPr>
          <w:rFonts w:ascii="Palatino" w:hAnsi="Palatino" w:cs="‡ÌCZˇ"/>
          <w:noProof/>
        </w:rPr>
        <w:t xml:space="preserve">sektoru </w:t>
      </w:r>
      <w:r w:rsidR="002A0748" w:rsidRPr="007D12CD">
        <w:rPr>
          <w:rFonts w:ascii="Palatino" w:hAnsi="Palatino" w:cs="‡ÌCZˇ"/>
          <w:noProof/>
        </w:rPr>
        <w:t>transport</w:t>
      </w:r>
      <w:r w:rsidR="00302F91" w:rsidRPr="007D12CD">
        <w:rPr>
          <w:rFonts w:ascii="Palatino" w:hAnsi="Palatino" w:cs="‡ÌCZˇ"/>
          <w:noProof/>
        </w:rPr>
        <w:t>a</w:t>
      </w:r>
      <w:r w:rsidR="002A0748" w:rsidRPr="007D12CD">
        <w:rPr>
          <w:rFonts w:ascii="Palatino" w:hAnsi="Palatino" w:cs="‡ÌCZˇ"/>
          <w:noProof/>
        </w:rPr>
        <w:t>, slijede obrazovanje</w:t>
      </w:r>
      <w:r w:rsidR="00C812C7" w:rsidRPr="007D12CD">
        <w:rPr>
          <w:rFonts w:ascii="Palatino" w:hAnsi="Palatino" w:cs="‡ÌCZˇ"/>
          <w:noProof/>
        </w:rPr>
        <w:t xml:space="preserve"> i zdravstvo</w:t>
      </w:r>
      <w:r w:rsidR="00725CB5" w:rsidRPr="007D12CD">
        <w:rPr>
          <w:rStyle w:val="FootnoteReference"/>
          <w:rFonts w:ascii="Palatino" w:hAnsi="Palatino" w:cs="‡ÌCZˇ"/>
          <w:noProof/>
        </w:rPr>
        <w:footnoteReference w:id="10"/>
      </w:r>
      <w:r w:rsidR="002A0748" w:rsidRPr="007D12CD">
        <w:rPr>
          <w:rFonts w:ascii="Palatino" w:hAnsi="Palatino" w:cs="‡ÌCZˇ"/>
          <w:noProof/>
        </w:rPr>
        <w:t xml:space="preserve">. </w:t>
      </w:r>
    </w:p>
    <w:p w14:paraId="15755FF5" w14:textId="1A566B6A" w:rsidR="009D1286" w:rsidRPr="007D12CD" w:rsidRDefault="009D1286" w:rsidP="009D1286">
      <w:pPr>
        <w:jc w:val="both"/>
        <w:rPr>
          <w:rFonts w:ascii="Palatino" w:hAnsi="Palatino" w:cs="‡ÌCZˇ"/>
          <w:noProof/>
        </w:rPr>
      </w:pPr>
      <w:r w:rsidRPr="007D12CD">
        <w:rPr>
          <w:rFonts w:ascii="Palatino" w:hAnsi="Palatino" w:cs="‡ÌCZˇ"/>
          <w:noProof/>
        </w:rPr>
        <w:t xml:space="preserve">EU u svojoj pravnoj praksi nema unificirano pravno rješenje za regulisanje oblasti JPP, pa se zemlje članice </w:t>
      </w:r>
      <w:r w:rsidR="00B02273" w:rsidRPr="007D12CD">
        <w:rPr>
          <w:rFonts w:ascii="Palatino" w:hAnsi="Palatino" w:cs="‡ÌCZˇ"/>
          <w:noProof/>
        </w:rPr>
        <w:t>usklađuju sa</w:t>
      </w:r>
      <w:r w:rsidRPr="007D12CD">
        <w:rPr>
          <w:rFonts w:ascii="Palatino" w:hAnsi="Palatino" w:cs="‡ÌCZˇ"/>
          <w:noProof/>
        </w:rPr>
        <w:t xml:space="preserve"> relevatnim međunarodnim smjernicama i naboljim primjerima iz prakse.</w:t>
      </w:r>
    </w:p>
    <w:p w14:paraId="36411504" w14:textId="01D0ECC3" w:rsidR="009D1286" w:rsidRPr="007D12CD" w:rsidRDefault="009D1286" w:rsidP="009D1286">
      <w:pPr>
        <w:jc w:val="both"/>
        <w:rPr>
          <w:rFonts w:ascii="Palatino" w:hAnsi="Palatino" w:cs="‡ÌCZˇ"/>
          <w:noProof/>
        </w:rPr>
      </w:pPr>
      <w:r w:rsidRPr="007D12CD">
        <w:rPr>
          <w:rFonts w:ascii="Palatino" w:hAnsi="Palatino" w:cs="‡ÌCZˇ"/>
          <w:noProof/>
        </w:rPr>
        <w:t xml:space="preserve">Među </w:t>
      </w:r>
      <w:r w:rsidR="00001DE3">
        <w:rPr>
          <w:rFonts w:ascii="Palatino" w:hAnsi="Palatino" w:cs="‡ÌCZˇ"/>
          <w:noProof/>
        </w:rPr>
        <w:t>najznačajnijim</w:t>
      </w:r>
      <w:r w:rsidRPr="007D12CD">
        <w:rPr>
          <w:rFonts w:ascii="Palatino" w:hAnsi="Palatino" w:cs="‡ÌCZˇ"/>
          <w:noProof/>
        </w:rPr>
        <w:t xml:space="preserve"> međunarodnim aktima kojima se uspostavljaju smjernice i principi JPP spadaju:</w:t>
      </w:r>
    </w:p>
    <w:p w14:paraId="3D84FFFB" w14:textId="4203F306" w:rsidR="009D1286" w:rsidRPr="007D12CD" w:rsidRDefault="009D1286" w:rsidP="009D1286">
      <w:pPr>
        <w:pStyle w:val="ListParagraph"/>
        <w:numPr>
          <w:ilvl w:val="0"/>
          <w:numId w:val="7"/>
        </w:numPr>
        <w:jc w:val="both"/>
        <w:rPr>
          <w:rFonts w:ascii="Palatino" w:hAnsi="Palatino" w:cs="‡ÌCZˇ"/>
          <w:noProof/>
        </w:rPr>
      </w:pPr>
      <w:r w:rsidRPr="007D12CD">
        <w:rPr>
          <w:rFonts w:ascii="Palatino" w:hAnsi="Palatino" w:cs="‡ÌCZˇ"/>
          <w:noProof/>
        </w:rPr>
        <w:t>UNCITRAL Smjernice o javno-privatnom partnerstvu/koncesionim zakonima (2000),</w:t>
      </w:r>
    </w:p>
    <w:p w14:paraId="325D13E1" w14:textId="2C8EFE07" w:rsidR="009D1286" w:rsidRPr="007D12CD" w:rsidRDefault="009D1286" w:rsidP="009D1286">
      <w:pPr>
        <w:pStyle w:val="ListParagraph"/>
        <w:numPr>
          <w:ilvl w:val="0"/>
          <w:numId w:val="7"/>
        </w:numPr>
        <w:jc w:val="both"/>
        <w:rPr>
          <w:rFonts w:ascii="Palatino" w:hAnsi="Palatino" w:cs="‡ÌCZˇ"/>
          <w:noProof/>
        </w:rPr>
      </w:pPr>
      <w:r w:rsidRPr="007D12CD">
        <w:rPr>
          <w:rFonts w:ascii="Palatino" w:hAnsi="Palatino" w:cs="‡ÌCZˇ"/>
          <w:noProof/>
        </w:rPr>
        <w:t>Osnovni principi EBRD-a za savremeni zakon o koncesijama i</w:t>
      </w:r>
    </w:p>
    <w:p w14:paraId="0FCB1F5A" w14:textId="2AE8B1D1" w:rsidR="009D1286" w:rsidRPr="007D12CD" w:rsidRDefault="009D1286" w:rsidP="009D1286">
      <w:pPr>
        <w:pStyle w:val="ListParagraph"/>
        <w:numPr>
          <w:ilvl w:val="0"/>
          <w:numId w:val="7"/>
        </w:numPr>
        <w:jc w:val="both"/>
        <w:rPr>
          <w:rFonts w:ascii="Palatino" w:hAnsi="Palatino" w:cs="‡ÌCZˇ"/>
          <w:noProof/>
        </w:rPr>
      </w:pPr>
      <w:r w:rsidRPr="007D12CD">
        <w:rPr>
          <w:rFonts w:ascii="Palatino" w:hAnsi="Palatino" w:cs="‡ÌCZˇ"/>
          <w:noProof/>
        </w:rPr>
        <w:t>Principi OECD-a za javno upravljanje javno-privatnim partnerstvima</w:t>
      </w:r>
      <w:r w:rsidR="00F02AA8" w:rsidRPr="007D12CD">
        <w:rPr>
          <w:rStyle w:val="FootnoteReference"/>
          <w:rFonts w:ascii="Palatino" w:hAnsi="Palatino" w:cs="‡ÌCZˇ"/>
          <w:noProof/>
        </w:rPr>
        <w:footnoteReference w:id="11"/>
      </w:r>
      <w:r w:rsidRPr="007D12CD">
        <w:rPr>
          <w:rFonts w:ascii="Palatino" w:hAnsi="Palatino" w:cs="‡ÌCZˇ"/>
          <w:noProof/>
        </w:rPr>
        <w:t>.</w:t>
      </w:r>
    </w:p>
    <w:p w14:paraId="4FEB323E" w14:textId="77777777" w:rsidR="00DE199B" w:rsidRPr="007D12CD" w:rsidRDefault="00DE199B" w:rsidP="002A0748">
      <w:pPr>
        <w:jc w:val="both"/>
        <w:rPr>
          <w:rFonts w:ascii="Palatino" w:hAnsi="Palatino"/>
          <w:noProof/>
        </w:rPr>
      </w:pPr>
    </w:p>
    <w:p w14:paraId="27F20CAF" w14:textId="56B3EF2B" w:rsidR="0072148D" w:rsidRPr="007D12CD" w:rsidRDefault="0072148D" w:rsidP="00A35213">
      <w:pPr>
        <w:jc w:val="both"/>
        <w:rPr>
          <w:rStyle w:val="Heading2Char"/>
          <w:rFonts w:eastAsiaTheme="minorHAnsi" w:cstheme="minorBidi"/>
          <w:b w:val="0"/>
          <w:bCs w:val="0"/>
          <w:color w:val="auto"/>
          <w:sz w:val="22"/>
          <w:szCs w:val="22"/>
        </w:rPr>
      </w:pPr>
      <w:r w:rsidRPr="007D12CD">
        <w:rPr>
          <w:rStyle w:val="Heading2Char"/>
        </w:rPr>
        <w:t>4.2 Javno-privatno partnerstvo u Crnoj Gori</w:t>
      </w:r>
    </w:p>
    <w:p w14:paraId="0BDD6394" w14:textId="73477D90" w:rsidR="0072148D" w:rsidRPr="007D12CD" w:rsidRDefault="0072148D" w:rsidP="0072148D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Zakon o javno-privatnom partnerstvu ("Službeni list Crne Gore", br. 073/19 od 27.12.2019) usvojen je u crnogorskom Parlamentu krajem 2019. godine, stupio na snagu osmog dana od dana objavljivanja u "Službenom listu Crne Gore", i primjenjuje se nakon isteka šest mjeseci od dana njegovog stupanja na snagu</w:t>
      </w:r>
      <w:r w:rsidRPr="007D12CD">
        <w:rPr>
          <w:rStyle w:val="FootnoteReference"/>
          <w:rFonts w:ascii="Palatino" w:hAnsi="Palatino"/>
          <w:noProof/>
        </w:rPr>
        <w:footnoteReference w:id="12"/>
      </w:r>
      <w:r w:rsidRPr="007D12CD">
        <w:rPr>
          <w:rFonts w:ascii="Palatino" w:hAnsi="Palatino"/>
          <w:noProof/>
        </w:rPr>
        <w:t xml:space="preserve">. Ovo ističemo iz razloga što, u skladu sa Zakonom, kod institucije nadležne za sprovođenje Zakona, još uvijek nije registrovan niti jedan odobreni predlog projekta JPP, </w:t>
      </w:r>
      <w:r w:rsidR="005F31CF" w:rsidRPr="007D12CD">
        <w:rPr>
          <w:rFonts w:ascii="Palatino" w:hAnsi="Palatino"/>
          <w:noProof/>
        </w:rPr>
        <w:t>kao ni</w:t>
      </w:r>
      <w:r w:rsidRPr="007D12CD">
        <w:rPr>
          <w:rFonts w:ascii="Palatino" w:hAnsi="Palatino"/>
          <w:noProof/>
        </w:rPr>
        <w:t xml:space="preserve"> ugovor o JPP. </w:t>
      </w:r>
    </w:p>
    <w:p w14:paraId="295B6D82" w14:textId="3A55D4CB" w:rsidR="00F32DEC" w:rsidRPr="007D12CD" w:rsidRDefault="001260C5" w:rsidP="00F32DEC">
      <w:pPr>
        <w:pStyle w:val="Heading3"/>
        <w:rPr>
          <w:noProof/>
        </w:rPr>
      </w:pPr>
      <w:bookmarkStart w:id="9" w:name="_Toc462603359"/>
      <w:r w:rsidRPr="007D12CD">
        <w:rPr>
          <w:noProof/>
        </w:rPr>
        <w:t>Pojam</w:t>
      </w:r>
      <w:r w:rsidR="00F32DEC" w:rsidRPr="007D12CD">
        <w:rPr>
          <w:noProof/>
        </w:rPr>
        <w:t xml:space="preserve"> JPP</w:t>
      </w:r>
      <w:bookmarkEnd w:id="9"/>
    </w:p>
    <w:p w14:paraId="5F099167" w14:textId="60897D29" w:rsidR="00E85AC7" w:rsidRPr="007D12CD" w:rsidRDefault="00E85AC7" w:rsidP="00E85AC7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Ne postoji jedinstvena i široko prihvaćena definicija JPP. JPP Labaratorija znanja (PPP Knowledge Lab</w:t>
      </w:r>
      <w:r w:rsidR="004B2EB2" w:rsidRPr="007D12CD">
        <w:rPr>
          <w:rStyle w:val="FootnoteReference"/>
          <w:rFonts w:ascii="Palatino" w:hAnsi="Palatino"/>
          <w:noProof/>
        </w:rPr>
        <w:footnoteReference w:id="13"/>
      </w:r>
      <w:r w:rsidRPr="007D12CD">
        <w:rPr>
          <w:rFonts w:ascii="Palatino" w:hAnsi="Palatino"/>
          <w:noProof/>
        </w:rPr>
        <w:t xml:space="preserve">) pri Svjetskoj Banci definiše JPP kao </w:t>
      </w:r>
      <w:r w:rsidRPr="007D12CD">
        <w:rPr>
          <w:rFonts w:ascii="Palatino" w:hAnsi="Palatino"/>
          <w:i/>
          <w:noProof/>
        </w:rPr>
        <w:t>“dugoročni ugovor između privatne stranke i vladinog entiteta, za korišćenje javne imovine ili pružanje usluge, u kojem privatna strana snosi značajnu odgovornost za rizik i upravljanje, a naknada je povezana sa učinkom</w:t>
      </w:r>
      <w:r w:rsidR="00B02273" w:rsidRPr="007D12CD">
        <w:rPr>
          <w:rFonts w:ascii="Palatino" w:hAnsi="Palatino"/>
          <w:noProof/>
        </w:rPr>
        <w:t>”</w:t>
      </w:r>
      <w:r w:rsidRPr="007D12CD">
        <w:rPr>
          <w:rFonts w:ascii="Palatino" w:hAnsi="Palatino"/>
          <w:noProof/>
        </w:rPr>
        <w:t>.</w:t>
      </w:r>
    </w:p>
    <w:p w14:paraId="3F2C8EBE" w14:textId="5C7A0E24" w:rsidR="00E85AC7" w:rsidRPr="007D12CD" w:rsidRDefault="00E85AC7" w:rsidP="00E85AC7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Organizacija za ekonomsku saradnju i razvoj (OECD) definiše JPP kao </w:t>
      </w:r>
      <w:r w:rsidRPr="007D12CD">
        <w:rPr>
          <w:rFonts w:ascii="Palatino" w:hAnsi="Palatino"/>
          <w:i/>
          <w:noProof/>
        </w:rPr>
        <w:t>“dugoročne ugovorne aranžmane između vlade i privatnog partnera, pri čemu taj drugi pruža i finansira javne usluge koristeći kapitalnu imovinu, dijeleći povezane rizike. “</w:t>
      </w:r>
    </w:p>
    <w:p w14:paraId="66BBBEF8" w14:textId="22F92665" w:rsidR="00D6303C" w:rsidRPr="007D12CD" w:rsidRDefault="00E85AC7" w:rsidP="00D6303C">
      <w:pPr>
        <w:jc w:val="both"/>
        <w:rPr>
          <w:rFonts w:ascii="Palatino" w:hAnsi="Palatino"/>
          <w:i/>
          <w:noProof/>
        </w:rPr>
      </w:pPr>
      <w:r w:rsidRPr="007D12CD">
        <w:rPr>
          <w:rFonts w:ascii="Palatino" w:hAnsi="Palatino"/>
          <w:noProof/>
        </w:rPr>
        <w:t>Crnogorski Zakon o javno-privatnom partnerstvu u članu 2 koristi sljedeću definiciju:</w:t>
      </w:r>
      <w:r w:rsidR="005F31CF" w:rsidRPr="007D12CD">
        <w:rPr>
          <w:rFonts w:ascii="Palatino" w:hAnsi="Palatino"/>
          <w:noProof/>
        </w:rPr>
        <w:t xml:space="preserve"> </w:t>
      </w:r>
      <w:r w:rsidR="00D6303C" w:rsidRPr="007D12CD">
        <w:rPr>
          <w:rFonts w:ascii="Palatino" w:hAnsi="Palatino"/>
          <w:i/>
          <w:noProof/>
        </w:rPr>
        <w:t xml:space="preserve">“Javno-privatno partnerstvo je dugoročni ugovorni odnos između javnog i privatnog partnera, zasnovan na podjeli </w:t>
      </w:r>
      <w:r w:rsidR="00D6303C" w:rsidRPr="007D12CD">
        <w:rPr>
          <w:rFonts w:ascii="Palatino" w:hAnsi="Palatino"/>
          <w:i/>
          <w:noProof/>
        </w:rPr>
        <w:lastRenderedPageBreak/>
        <w:t xml:space="preserve">prava, obaveza i rizika radi izvođenja radova od javnog interesa na javnoj </w:t>
      </w:r>
      <w:r w:rsidR="007A1106" w:rsidRPr="007D12CD">
        <w:rPr>
          <w:rFonts w:ascii="Palatino" w:hAnsi="Palatino"/>
          <w:i/>
          <w:noProof/>
        </w:rPr>
        <w:t>infrastrukturi i objektima</w:t>
      </w:r>
      <w:r w:rsidR="00D6303C" w:rsidRPr="007D12CD">
        <w:rPr>
          <w:rFonts w:ascii="Palatino" w:hAnsi="Palatino"/>
          <w:i/>
          <w:noProof/>
        </w:rPr>
        <w:t xml:space="preserve"> i/ili pružanja usluga od javnog interesa</w:t>
      </w:r>
      <w:r w:rsidR="007A1106" w:rsidRPr="007D12CD">
        <w:rPr>
          <w:rFonts w:ascii="Palatino" w:hAnsi="Palatino"/>
          <w:i/>
          <w:noProof/>
        </w:rPr>
        <w:t>.</w:t>
      </w:r>
      <w:r w:rsidR="00D6303C" w:rsidRPr="007D12CD">
        <w:rPr>
          <w:rFonts w:ascii="Palatino" w:hAnsi="Palatino"/>
          <w:i/>
          <w:noProof/>
        </w:rPr>
        <w:t>”</w:t>
      </w:r>
    </w:p>
    <w:p w14:paraId="7A39E67B" w14:textId="34DF819A" w:rsidR="00AE1814" w:rsidRPr="007D12CD" w:rsidRDefault="00AE1814" w:rsidP="00F32DEC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Može se reći da je ovako definisan pojam javno-privatnog partnerstva usklađen sa prethodno predstavljenim definicijama. S obzirom</w:t>
      </w:r>
      <w:r w:rsidR="00F32DEC" w:rsidRPr="007D12CD">
        <w:rPr>
          <w:rFonts w:ascii="Palatino" w:hAnsi="Palatino"/>
          <w:noProof/>
        </w:rPr>
        <w:t xml:space="preserve"> da je definicija široko postavljena i odnosi se na sve javne usluge, ne uvodi ograničenja vezana za projekte na koje se ovaj </w:t>
      </w:r>
      <w:r w:rsidR="00150473">
        <w:rPr>
          <w:rFonts w:ascii="Palatino" w:hAnsi="Palatino"/>
          <w:noProof/>
        </w:rPr>
        <w:t>koncept</w:t>
      </w:r>
      <w:r w:rsidR="00F32DEC" w:rsidRPr="007D12CD">
        <w:rPr>
          <w:rFonts w:ascii="Palatino" w:hAnsi="Palatino"/>
          <w:noProof/>
        </w:rPr>
        <w:t xml:space="preserve"> može odnositi i ostavlja dovoljno prostora da se vrste projekata kao i subjekti koji ih mogu sprovoditi mogu detaljnije definisati u posebnim odredbama zakona.</w:t>
      </w:r>
    </w:p>
    <w:p w14:paraId="3036F796" w14:textId="6A916816" w:rsidR="006123C3" w:rsidRPr="007D12CD" w:rsidRDefault="006123C3" w:rsidP="006123C3">
      <w:pPr>
        <w:pStyle w:val="Heading3"/>
        <w:rPr>
          <w:noProof/>
        </w:rPr>
      </w:pPr>
      <w:bookmarkStart w:id="10" w:name="_Toc462603360"/>
      <w:r w:rsidRPr="007D12CD">
        <w:rPr>
          <w:noProof/>
        </w:rPr>
        <w:t>Predmet JPP</w:t>
      </w:r>
      <w:bookmarkEnd w:id="10"/>
    </w:p>
    <w:p w14:paraId="6B700AA2" w14:textId="23304213" w:rsidR="00D6303C" w:rsidRPr="007D12CD" w:rsidRDefault="00453FC9" w:rsidP="00453FC9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U članu 13 Zakona o JPP kojim se definiše predmet zakona, omogućen je veoma širok dijapazon oblasti u kojima se mogu sprovesti projekti prema pravilima javno-privatnog partnerstva uključujući</w:t>
      </w:r>
      <w:r w:rsidR="001722E5" w:rsidRPr="007D12CD">
        <w:rPr>
          <w:rFonts w:ascii="Palatino" w:hAnsi="Palatino"/>
          <w:noProof/>
        </w:rPr>
        <w:t xml:space="preserve"> sljedeće oblasti</w:t>
      </w:r>
      <w:r w:rsidRPr="007D12CD">
        <w:rPr>
          <w:rFonts w:ascii="Palatino" w:hAnsi="Palatino"/>
          <w:noProof/>
        </w:rPr>
        <w:t>:</w:t>
      </w:r>
    </w:p>
    <w:p w14:paraId="3FA277D7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“1) putevi, putni i prateći objekti;</w:t>
      </w:r>
    </w:p>
    <w:p w14:paraId="4937F3C3" w14:textId="56DC459A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2) željeznička infrastruktura;</w:t>
      </w:r>
    </w:p>
    <w:p w14:paraId="028F4F6B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3) aerodromi;</w:t>
      </w:r>
    </w:p>
    <w:p w14:paraId="4EE66B9A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4) objekti vodnog saobraćaja i luka, u skladu sa zakonom;</w:t>
      </w:r>
    </w:p>
    <w:p w14:paraId="78BAC178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5) elektronske komunikacione mreže i/ili elektronska komunikaciona infrastruktura i povezana oprema;</w:t>
      </w:r>
    </w:p>
    <w:p w14:paraId="2F9D1739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6) informaciono-komunikacione tehnologije;</w:t>
      </w:r>
    </w:p>
    <w:p w14:paraId="3890BEA6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7) zdravstvena zaštita i socijalna zaštita i staranje,</w:t>
      </w:r>
    </w:p>
    <w:p w14:paraId="23EEB116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8) obrazovanje i naučne djelatnosti;</w:t>
      </w:r>
    </w:p>
    <w:p w14:paraId="170C571C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9) komunalna infrastruktura i/ili komunalna oprema;</w:t>
      </w:r>
    </w:p>
    <w:p w14:paraId="4F7696E7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10) sportski i rekreativni objekti i objekti kulture;</w:t>
      </w:r>
    </w:p>
    <w:p w14:paraId="1387EB92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11) žičare;</w:t>
      </w:r>
    </w:p>
    <w:p w14:paraId="1C5A7B11" w14:textId="74C0F8CA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12) infrastruktura koja se odnosi na proizvodnju, prenos ili distribuciju energije ili energenata, u skladu sa zakonom;</w:t>
      </w:r>
    </w:p>
    <w:p w14:paraId="562FFCD0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13) socijalno stanovanje i drugi oblici stanovanja;</w:t>
      </w:r>
    </w:p>
    <w:p w14:paraId="0A0295E7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14) poštanske usluge;</w:t>
      </w:r>
    </w:p>
    <w:p w14:paraId="203D6655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15) komunalne djelatnosti;</w:t>
      </w:r>
    </w:p>
    <w:p w14:paraId="7B9A56C6" w14:textId="11215054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16) turizam i ugostiteljstvo u skladu sa zakonom kojim se uređuje obavljanje turističke i ugostiteljske djelatnosti;</w:t>
      </w:r>
    </w:p>
    <w:p w14:paraId="6AFFEEED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17) kupališta, marine, privezišta, pristaništa i drugi objekti obalne infrastrukture, u skladu sa zakonom;</w:t>
      </w:r>
    </w:p>
    <w:p w14:paraId="777DE3D2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18) slobodne ekonomske zone i industrijski parkovi;</w:t>
      </w:r>
    </w:p>
    <w:p w14:paraId="3399D485" w14:textId="77777777" w:rsidR="001722E5" w:rsidRPr="007D12CD" w:rsidRDefault="001722E5" w:rsidP="001722E5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19) energetska efikasnost;</w:t>
      </w:r>
    </w:p>
    <w:p w14:paraId="1181940A" w14:textId="3F2C384A" w:rsidR="001722E5" w:rsidRPr="007D12CD" w:rsidRDefault="001722E5" w:rsidP="00C651E3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20) druga javna infrastruktura i objekti koji se koriste, radi pružanja javnih usluga i/ili druge javne usluge u skladu sa zakonom.</w:t>
      </w:r>
      <w:r w:rsidR="00597B9F" w:rsidRPr="007D12CD">
        <w:rPr>
          <w:rFonts w:ascii="Palatino" w:hAnsi="Palatino"/>
          <w:noProof/>
        </w:rPr>
        <w:t>”</w:t>
      </w:r>
    </w:p>
    <w:p w14:paraId="18CC991C" w14:textId="1B70F1DE" w:rsidR="00C651E3" w:rsidRPr="007D12CD" w:rsidRDefault="00C651E3" w:rsidP="00C651E3">
      <w:pPr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b/>
          <w:noProof/>
        </w:rPr>
        <w:lastRenderedPageBreak/>
        <w:t xml:space="preserve">Na osnovu </w:t>
      </w:r>
      <w:r w:rsidR="003B0886" w:rsidRPr="007D12CD">
        <w:rPr>
          <w:rFonts w:ascii="Palatino" w:hAnsi="Palatino"/>
          <w:b/>
          <w:noProof/>
        </w:rPr>
        <w:t>č</w:t>
      </w:r>
      <w:r w:rsidRPr="007D12CD">
        <w:rPr>
          <w:rFonts w:ascii="Palatino" w:hAnsi="Palatino"/>
          <w:b/>
          <w:noProof/>
        </w:rPr>
        <w:t>l. 13 Zakona o JPP, zaključujemo da industrijski otpad</w:t>
      </w:r>
      <w:r w:rsidR="0072434B" w:rsidRPr="007D12CD">
        <w:rPr>
          <w:rFonts w:ascii="Palatino" w:hAnsi="Palatino"/>
          <w:b/>
          <w:noProof/>
        </w:rPr>
        <w:t>, a samim tim i PCB,</w:t>
      </w:r>
      <w:r w:rsidRPr="007D12CD">
        <w:rPr>
          <w:rFonts w:ascii="Palatino" w:hAnsi="Palatino"/>
          <w:b/>
          <w:noProof/>
        </w:rPr>
        <w:t xml:space="preserve"> ne može biti predmetom JPP u skladu sa zakonom.</w:t>
      </w:r>
      <w:r w:rsidRPr="007D12CD">
        <w:rPr>
          <w:rFonts w:ascii="Palatino" w:hAnsi="Palatino"/>
          <w:noProof/>
        </w:rPr>
        <w:t xml:space="preserve"> Naime, predmet JPP mogu biti komunalne djelatnosti, koje, u skladu sa </w:t>
      </w:r>
      <w:r w:rsidR="003B0886" w:rsidRPr="007D12CD">
        <w:rPr>
          <w:rFonts w:ascii="Palatino" w:hAnsi="Palatino"/>
          <w:noProof/>
        </w:rPr>
        <w:t>č</w:t>
      </w:r>
      <w:r w:rsidR="005A3ED9" w:rsidRPr="007D12CD">
        <w:rPr>
          <w:rFonts w:ascii="Palatino" w:hAnsi="Palatino"/>
          <w:noProof/>
        </w:rPr>
        <w:t xml:space="preserve">l. 3 Zakona o komunalnim djelatnostima </w:t>
      </w:r>
      <w:r w:rsidR="005530B2" w:rsidRPr="007D12CD">
        <w:rPr>
          <w:rFonts w:ascii="Palatino" w:hAnsi="Palatino"/>
          <w:noProof/>
        </w:rPr>
        <w:t xml:space="preserve">("Službeni list Crne Gore", br. 055/16 od 17.08.2016, 074/16 od 01.12.2016), između ostalog, obuhvataju i upravljanje komunalnim otpadom. </w:t>
      </w:r>
      <w:r w:rsidR="00F854D6" w:rsidRPr="007D12CD">
        <w:rPr>
          <w:rFonts w:ascii="Palatino" w:hAnsi="Palatino"/>
          <w:noProof/>
        </w:rPr>
        <w:t xml:space="preserve">Prema </w:t>
      </w:r>
      <w:r w:rsidR="003B0886" w:rsidRPr="007D12CD">
        <w:rPr>
          <w:rFonts w:ascii="Palatino" w:hAnsi="Palatino"/>
          <w:noProof/>
        </w:rPr>
        <w:t>č</w:t>
      </w:r>
      <w:r w:rsidR="00AF69AB" w:rsidRPr="007D12CD">
        <w:rPr>
          <w:rFonts w:ascii="Palatino" w:hAnsi="Palatino"/>
          <w:noProof/>
        </w:rPr>
        <w:t xml:space="preserve">l. 5 ovog Zakona upravljanje komunalnim otpadom </w:t>
      </w:r>
      <w:r w:rsidR="00606BD5" w:rsidRPr="007D12CD">
        <w:rPr>
          <w:rFonts w:ascii="Palatino" w:hAnsi="Palatino"/>
          <w:noProof/>
        </w:rPr>
        <w:t xml:space="preserve">je </w:t>
      </w:r>
      <w:r w:rsidR="00606BD5" w:rsidRPr="007D12CD">
        <w:rPr>
          <w:rFonts w:ascii="Palatino" w:hAnsi="Palatino"/>
          <w:i/>
          <w:noProof/>
        </w:rPr>
        <w:t>“sakupljanje, transport, priprema za ponovnu upotrebu, prerada i odlaganje ili drugi postupci zbrinjavanja komunalnog otpada, odnosno otpada nastalog u domaćinstvima i drugog otpada koji je po svojim svojstvima sličan otpadu nastalom u domaćinstvima i tretman procjednih voda sa deponija komunalnog otpada, kao i upravljanje i održavanje infrastrukturnih objekata, opreme i sredstava i održavanje deponija nakon zatvaranja.”</w:t>
      </w:r>
    </w:p>
    <w:p w14:paraId="06C04ABB" w14:textId="291D2FCB" w:rsidR="003B0886" w:rsidRPr="007D12CD" w:rsidRDefault="003B0886" w:rsidP="003B0886">
      <w:pPr>
        <w:pStyle w:val="Heading3"/>
        <w:rPr>
          <w:noProof/>
        </w:rPr>
      </w:pPr>
      <w:bookmarkStart w:id="11" w:name="_Toc462603361"/>
      <w:r w:rsidRPr="007D12CD">
        <w:rPr>
          <w:noProof/>
        </w:rPr>
        <w:t>Vrste JPP</w:t>
      </w:r>
      <w:bookmarkEnd w:id="11"/>
    </w:p>
    <w:p w14:paraId="69F93436" w14:textId="47805EFA" w:rsidR="00346254" w:rsidRPr="007D12CD" w:rsidRDefault="007C0DFE" w:rsidP="00346254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U skladu sa evropskom praksom, čl. 8 Zakona o JPP prepoznaje dvije vrste JPP i to</w:t>
      </w:r>
      <w:r w:rsidR="00625A6B" w:rsidRPr="007D12CD">
        <w:rPr>
          <w:rFonts w:ascii="Palatino" w:hAnsi="Palatino"/>
          <w:noProof/>
        </w:rPr>
        <w:t xml:space="preserve"> ugovorno i</w:t>
      </w:r>
      <w:r w:rsidR="00346254" w:rsidRPr="007D12CD">
        <w:rPr>
          <w:rFonts w:ascii="Palatino" w:hAnsi="Palatino"/>
          <w:noProof/>
        </w:rPr>
        <w:t xml:space="preserve"> institucionalno.</w:t>
      </w:r>
    </w:p>
    <w:p w14:paraId="29628904" w14:textId="40686A8B" w:rsidR="00346254" w:rsidRPr="007D12CD" w:rsidRDefault="00625A6B" w:rsidP="00346254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Osnovna razlika je u tome što se u</w:t>
      </w:r>
      <w:r w:rsidR="00346254" w:rsidRPr="007D12CD">
        <w:rPr>
          <w:rFonts w:ascii="Palatino" w:hAnsi="Palatino"/>
          <w:noProof/>
        </w:rPr>
        <w:t xml:space="preserve"> ugovornom </w:t>
      </w:r>
      <w:r w:rsidRPr="007D12CD">
        <w:rPr>
          <w:rFonts w:ascii="Palatino" w:hAnsi="Palatino"/>
          <w:noProof/>
        </w:rPr>
        <w:t>JPP</w:t>
      </w:r>
      <w:r w:rsidR="00346254" w:rsidRPr="007D12CD">
        <w:rPr>
          <w:rFonts w:ascii="Palatino" w:hAnsi="Palatino"/>
          <w:noProof/>
        </w:rPr>
        <w:t xml:space="preserve"> međusobni odnosi javnog i privatnog partnera uređuju ugovorom</w:t>
      </w:r>
      <w:r w:rsidRPr="007D12CD">
        <w:rPr>
          <w:rFonts w:ascii="Palatino" w:hAnsi="Palatino"/>
          <w:noProof/>
        </w:rPr>
        <w:t xml:space="preserve"> </w:t>
      </w:r>
      <w:r w:rsidR="00982D25" w:rsidRPr="007D12CD">
        <w:rPr>
          <w:rFonts w:ascii="Palatino" w:hAnsi="Palatino"/>
          <w:noProof/>
        </w:rPr>
        <w:t xml:space="preserve">o javno-privatnom partnerstvu, dok se institucionalno JPP </w:t>
      </w:r>
      <w:r w:rsidR="00346254" w:rsidRPr="007D12CD">
        <w:rPr>
          <w:rFonts w:ascii="Palatino" w:hAnsi="Palatino"/>
          <w:noProof/>
        </w:rPr>
        <w:t>zasniva na osnivanju zajedničkog privrednog društva privatnog i</w:t>
      </w:r>
      <w:r w:rsidRPr="007D12CD">
        <w:rPr>
          <w:rFonts w:ascii="Palatino" w:hAnsi="Palatino"/>
          <w:noProof/>
        </w:rPr>
        <w:t xml:space="preserve"> </w:t>
      </w:r>
      <w:r w:rsidR="00346254" w:rsidRPr="007D12CD">
        <w:rPr>
          <w:rFonts w:ascii="Palatino" w:hAnsi="Palatino"/>
          <w:noProof/>
        </w:rPr>
        <w:t>javnog partnera, koje pruža javne usluge, izvodi javne radove uz održavanje javnih objekata koji su predmet</w:t>
      </w:r>
      <w:r w:rsidRPr="007D12CD">
        <w:rPr>
          <w:rFonts w:ascii="Palatino" w:hAnsi="Palatino"/>
          <w:noProof/>
        </w:rPr>
        <w:t xml:space="preserve"> </w:t>
      </w:r>
      <w:r w:rsidR="00346254" w:rsidRPr="007D12CD">
        <w:rPr>
          <w:rFonts w:ascii="Palatino" w:hAnsi="Palatino"/>
          <w:noProof/>
        </w:rPr>
        <w:t>radova, odnosno vrši izgradnju, rekonstrukciju, upravljanje ili održavanje javne infrastrukture, radi realizacije</w:t>
      </w:r>
      <w:r w:rsidRPr="007D12CD">
        <w:rPr>
          <w:rFonts w:ascii="Palatino" w:hAnsi="Palatino"/>
          <w:noProof/>
        </w:rPr>
        <w:t xml:space="preserve"> </w:t>
      </w:r>
      <w:r w:rsidR="00346254" w:rsidRPr="007D12CD">
        <w:rPr>
          <w:rFonts w:ascii="Palatino" w:hAnsi="Palatino"/>
          <w:noProof/>
        </w:rPr>
        <w:t>projekta javno-privatnog partnerstva.</w:t>
      </w:r>
    </w:p>
    <w:p w14:paraId="41ECAD03" w14:textId="7FCA41E3" w:rsidR="00346254" w:rsidRPr="007D12CD" w:rsidRDefault="004B29C7" w:rsidP="00346254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Da li će JPP biti ugovornog ili institucionalnog karaktera </w:t>
      </w:r>
      <w:r w:rsidR="00346254" w:rsidRPr="007D12CD">
        <w:rPr>
          <w:rFonts w:ascii="Palatino" w:hAnsi="Palatino"/>
          <w:noProof/>
        </w:rPr>
        <w:t>određuje se u predlogu projekta i tenderskoj</w:t>
      </w:r>
      <w:r w:rsidR="00625A6B" w:rsidRPr="007D12CD">
        <w:rPr>
          <w:rFonts w:ascii="Palatino" w:hAnsi="Palatino"/>
          <w:noProof/>
        </w:rPr>
        <w:t xml:space="preserve"> </w:t>
      </w:r>
      <w:r w:rsidR="00346254" w:rsidRPr="007D12CD">
        <w:rPr>
          <w:rFonts w:ascii="Palatino" w:hAnsi="Palatino"/>
          <w:noProof/>
        </w:rPr>
        <w:t xml:space="preserve">dokumentaciji u skladu sa namjeravanom podjelom rizika i odgovornosti, radi realizacije projekta </w:t>
      </w:r>
      <w:r w:rsidRPr="007D12CD">
        <w:rPr>
          <w:rFonts w:ascii="Palatino" w:hAnsi="Palatino"/>
          <w:noProof/>
        </w:rPr>
        <w:t>JPP</w:t>
      </w:r>
      <w:r w:rsidR="00346254" w:rsidRPr="007D12CD">
        <w:rPr>
          <w:rFonts w:ascii="Palatino" w:hAnsi="Palatino"/>
          <w:noProof/>
        </w:rPr>
        <w:t>.</w:t>
      </w:r>
    </w:p>
    <w:p w14:paraId="623B8A5D" w14:textId="3160C432" w:rsidR="00375151" w:rsidRPr="007D12CD" w:rsidRDefault="00375151" w:rsidP="00346254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Čl. 9 Zakona o JPP definisano je da se ugovor o JPP, u zavisnosti od pretežnih izvora prihoda privatnog partnera i podjele riz</w:t>
      </w:r>
      <w:r w:rsidR="00270CC6">
        <w:rPr>
          <w:rFonts w:ascii="Palatino" w:hAnsi="Palatino"/>
          <w:noProof/>
        </w:rPr>
        <w:t>i</w:t>
      </w:r>
      <w:r w:rsidRPr="007D12CD">
        <w:rPr>
          <w:rFonts w:ascii="Palatino" w:hAnsi="Palatino"/>
          <w:noProof/>
        </w:rPr>
        <w:t xml:space="preserve">ka, može realizovati kao: 1) ugovor o koncesiji za javne radove, odnosno za javne usluge, i kao 2) ugovor o JPP za javne radove, odnosno javne usluge. </w:t>
      </w:r>
    </w:p>
    <w:p w14:paraId="51968582" w14:textId="77777777" w:rsidR="00CC23AC" w:rsidRPr="007D12CD" w:rsidRDefault="00CC23AC" w:rsidP="00346254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Dodatno, čl. 10 precizira da se ugovor o koncesiji za javne usluge zaključuje, radi ostvarivanja javnog i finansijskog interesa, a kojim javni partner ili više njih povjerava pružanje i upravljanje uslugama privatnom partneru uz naknadu koja se sastoji isključivo od prava na korišćenje usluga koje su predmet ugovora ili od toga prava i plaćanja. </w:t>
      </w:r>
    </w:p>
    <w:p w14:paraId="4089C34D" w14:textId="41906A7E" w:rsidR="002C045E" w:rsidRPr="007D12CD" w:rsidRDefault="00B0665C" w:rsidP="00B0665C">
      <w:pPr>
        <w:pStyle w:val="Heading4"/>
        <w:rPr>
          <w:noProof/>
        </w:rPr>
      </w:pPr>
      <w:bookmarkStart w:id="12" w:name="_Toc462603362"/>
      <w:r w:rsidRPr="007D12CD">
        <w:rPr>
          <w:noProof/>
        </w:rPr>
        <w:t>Pravni okvir za upravljanje otpadom koji sadrži PCB</w:t>
      </w:r>
      <w:bookmarkEnd w:id="12"/>
    </w:p>
    <w:p w14:paraId="66AF2831" w14:textId="48E12CF7" w:rsidR="00654648" w:rsidRPr="007D12CD" w:rsidRDefault="00654648" w:rsidP="00860882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Nacrt nacionalnog plana za upravljanje polihlorovanim bifenilima u Crnoj Gori </w:t>
      </w:r>
      <w:r w:rsidR="008D15D2" w:rsidRPr="007D12CD">
        <w:rPr>
          <w:rFonts w:ascii="Palatino" w:hAnsi="Palatino"/>
          <w:noProof/>
        </w:rPr>
        <w:t xml:space="preserve">sadrži detaljan prikaz regulative koja uređuje upravljanje polihlorovanim bifenilima. Za potrebe analize mogućnosti uspostavljanja JPP u upravljanju PCB, osvrnućemo se na ključni zakon i pravilnik, kako slijedi. </w:t>
      </w:r>
    </w:p>
    <w:p w14:paraId="10106806" w14:textId="68A5C7F3" w:rsidR="00860882" w:rsidRPr="007D12CD" w:rsidRDefault="00860882" w:rsidP="00860882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b/>
          <w:noProof/>
        </w:rPr>
        <w:t>Zakon o upravljanju otpadom</w:t>
      </w:r>
      <w:r w:rsidRPr="007D12CD">
        <w:rPr>
          <w:rFonts w:ascii="Palatino" w:hAnsi="Palatino"/>
          <w:noProof/>
        </w:rPr>
        <w:t xml:space="preserve"> (</w:t>
      </w:r>
      <w:r w:rsidR="004B3DB0" w:rsidRPr="007D12CD">
        <w:rPr>
          <w:rFonts w:ascii="Palatino" w:hAnsi="Palatino"/>
          <w:noProof/>
        </w:rPr>
        <w:t>"Službeni list Crne Gore", br. 064/11 od 29.12.2011, 039/16 od 29.06.2016</w:t>
      </w:r>
      <w:r w:rsidRPr="007D12CD">
        <w:rPr>
          <w:rFonts w:ascii="Palatino" w:hAnsi="Palatino"/>
          <w:noProof/>
        </w:rPr>
        <w:t>) uređuje vrste i klasifikaciju otpada, planiranje, zahtjeve i način upravljanja otpadom i druga pitanja od značaja za upravljanje otpadom</w:t>
      </w:r>
      <w:r w:rsidR="008D6A21" w:rsidRPr="007D12CD">
        <w:rPr>
          <w:rStyle w:val="FootnoteReference"/>
          <w:rFonts w:ascii="Palatino" w:hAnsi="Palatino"/>
          <w:noProof/>
        </w:rPr>
        <w:footnoteReference w:id="14"/>
      </w:r>
      <w:r w:rsidRPr="007D12CD">
        <w:rPr>
          <w:rFonts w:ascii="Palatino" w:hAnsi="Palatino"/>
          <w:noProof/>
        </w:rPr>
        <w:t>. Zakonom je određeno sljedeće:</w:t>
      </w:r>
    </w:p>
    <w:p w14:paraId="291F8760" w14:textId="77777777" w:rsidR="00055B25" w:rsidRPr="007D12CD" w:rsidRDefault="00860882" w:rsidP="00860882">
      <w:pPr>
        <w:pStyle w:val="ListParagraph"/>
        <w:numPr>
          <w:ilvl w:val="0"/>
          <w:numId w:val="8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PCB pripadaju posebnim vrstama otpada;</w:t>
      </w:r>
    </w:p>
    <w:p w14:paraId="7ED3D468" w14:textId="77777777" w:rsidR="00055B25" w:rsidRPr="007D12CD" w:rsidRDefault="00860882" w:rsidP="00860882">
      <w:pPr>
        <w:pStyle w:val="ListParagraph"/>
        <w:numPr>
          <w:ilvl w:val="0"/>
          <w:numId w:val="8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lastRenderedPageBreak/>
        <w:t>Zabranjeno je miješanje različitih vrsta opasnog otpada i miješanje opasnog s neopasnim otpadom;</w:t>
      </w:r>
    </w:p>
    <w:p w14:paraId="6B09D3B8" w14:textId="77777777" w:rsidR="00055B25" w:rsidRPr="007D12CD" w:rsidRDefault="00860882" w:rsidP="00860882">
      <w:pPr>
        <w:pStyle w:val="ListParagraph"/>
        <w:numPr>
          <w:ilvl w:val="0"/>
          <w:numId w:val="8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Zabranjeno je miješati otpadno ulje tokom sakupljanja ili skladištenja sa drugim opasnim otpadom, uključujući otpad koji sadrži PCB;</w:t>
      </w:r>
    </w:p>
    <w:p w14:paraId="1711A8CA" w14:textId="77777777" w:rsidR="00055B25" w:rsidRPr="007D12CD" w:rsidRDefault="00055B25" w:rsidP="00860882">
      <w:pPr>
        <w:pStyle w:val="ListParagraph"/>
        <w:numPr>
          <w:ilvl w:val="0"/>
          <w:numId w:val="8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Zabranjena je obrada PCB</w:t>
      </w:r>
      <w:r w:rsidR="00860882" w:rsidRPr="007D12CD">
        <w:rPr>
          <w:rFonts w:ascii="Palatino" w:hAnsi="Palatino"/>
          <w:noProof/>
        </w:rPr>
        <w:t xml:space="preserve"> i ambalaže koja sadrži PCB;</w:t>
      </w:r>
    </w:p>
    <w:p w14:paraId="56802850" w14:textId="77777777" w:rsidR="00055B25" w:rsidRPr="007D12CD" w:rsidRDefault="00860882" w:rsidP="00860882">
      <w:pPr>
        <w:pStyle w:val="ListParagraph"/>
        <w:numPr>
          <w:ilvl w:val="0"/>
          <w:numId w:val="8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Otpad koji sadrži PCB može se tretirati nakon što se PCB odvoje od otpada;</w:t>
      </w:r>
    </w:p>
    <w:p w14:paraId="1D4A4C22" w14:textId="044B0671" w:rsidR="00860882" w:rsidRPr="007D12CD" w:rsidRDefault="00CC5652" w:rsidP="00860882">
      <w:pPr>
        <w:pStyle w:val="ListParagraph"/>
        <w:numPr>
          <w:ilvl w:val="0"/>
          <w:numId w:val="8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Imalac</w:t>
      </w:r>
      <w:r w:rsidR="00860882" w:rsidRPr="007D12CD">
        <w:rPr>
          <w:rFonts w:ascii="Palatino" w:hAnsi="Palatino"/>
          <w:noProof/>
        </w:rPr>
        <w:t xml:space="preserve"> opreme i otpada koji sadrži PCB </w:t>
      </w:r>
      <w:r w:rsidRPr="007D12CD">
        <w:rPr>
          <w:rFonts w:ascii="Palatino" w:hAnsi="Palatino"/>
          <w:noProof/>
        </w:rPr>
        <w:t>dužan je da obezbijedi obradu otpada i dekontaminaciju opreme koji sadrži PCB</w:t>
      </w:r>
      <w:r w:rsidR="00860882" w:rsidRPr="007D12CD">
        <w:rPr>
          <w:rFonts w:ascii="Palatino" w:hAnsi="Palatino"/>
          <w:noProof/>
        </w:rPr>
        <w:t>;</w:t>
      </w:r>
    </w:p>
    <w:p w14:paraId="197A035F" w14:textId="47D711BD" w:rsidR="00CC5652" w:rsidRPr="007D12CD" w:rsidRDefault="00CC5652" w:rsidP="00860882">
      <w:pPr>
        <w:pStyle w:val="ListParagraph"/>
        <w:numPr>
          <w:ilvl w:val="0"/>
          <w:numId w:val="8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Izdvajanje PCB iz opreme, obradu PCB i dekontaminaciju opreme može da vrši privredno društvo ili preduzetnik pod uslovom da posjeduje odgovarajuću opremu, postrojenje za privremeno skladištenje PCB i potreban broj zaposlenih, na osnovu dozvole za zbrinjavanje opasnog otpada;</w:t>
      </w:r>
    </w:p>
    <w:p w14:paraId="224C1E94" w14:textId="77777777" w:rsidR="00CC5652" w:rsidRPr="007D12CD" w:rsidRDefault="00CC5652" w:rsidP="00CC5652">
      <w:pPr>
        <w:pStyle w:val="ListParagraph"/>
        <w:numPr>
          <w:ilvl w:val="0"/>
          <w:numId w:val="8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Spaljivanje PCB vrši se u postrojenjima za spaljivanje otpada koja ispunjavaju uslove utvrđene ovim zakonom.</w:t>
      </w:r>
    </w:p>
    <w:p w14:paraId="5D3DE669" w14:textId="5E2FAA7B" w:rsidR="00CC5652" w:rsidRPr="007D12CD" w:rsidRDefault="00CC5652" w:rsidP="00CC5652">
      <w:pPr>
        <w:pStyle w:val="ListParagraph"/>
        <w:numPr>
          <w:ilvl w:val="0"/>
          <w:numId w:val="8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Zabranjen je uvoz opreme koja sadrži PCB;</w:t>
      </w:r>
    </w:p>
    <w:p w14:paraId="2ABD3166" w14:textId="0F84CE51" w:rsidR="00CC5652" w:rsidRPr="007D12CD" w:rsidRDefault="00CC5652" w:rsidP="00CC5652">
      <w:pPr>
        <w:pStyle w:val="ListParagraph"/>
        <w:numPr>
          <w:ilvl w:val="0"/>
          <w:numId w:val="8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Zabranjeno je spaljivanje PCB na palubama brodova;</w:t>
      </w:r>
    </w:p>
    <w:p w14:paraId="0ACBCF29" w14:textId="74EBB3B8" w:rsidR="00CC5652" w:rsidRPr="007D12CD" w:rsidRDefault="00CC5652" w:rsidP="00CC5652">
      <w:pPr>
        <w:pStyle w:val="ListParagraph"/>
        <w:numPr>
          <w:ilvl w:val="0"/>
          <w:numId w:val="8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Zabranjeno je punjenje transformatora i drugih zatvorenih sistema (kondenzatora) sa tečnostima koje sadrže PCB.</w:t>
      </w:r>
    </w:p>
    <w:p w14:paraId="16969227" w14:textId="583203F0" w:rsidR="00860882" w:rsidRPr="007D12CD" w:rsidRDefault="0063691F" w:rsidP="00346254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Zakon o upravljanju otpadom predviđa i da je imalac opreme i otpada koji sadrži PCB dužan da sačini plan upravljanja opremom i otpadom, te da vodi evidenciju o opremi i otpadnom PCB i količinama, i da o tome izvještava nadležni državni organ</w:t>
      </w:r>
      <w:r w:rsidRPr="007D12CD">
        <w:rPr>
          <w:rStyle w:val="FootnoteReference"/>
          <w:rFonts w:ascii="Palatino" w:hAnsi="Palatino"/>
          <w:noProof/>
        </w:rPr>
        <w:footnoteReference w:id="15"/>
      </w:r>
      <w:r w:rsidRPr="007D12CD">
        <w:rPr>
          <w:rFonts w:ascii="Palatino" w:hAnsi="Palatino"/>
          <w:noProof/>
        </w:rPr>
        <w:t>.</w:t>
      </w:r>
    </w:p>
    <w:p w14:paraId="7188CA96" w14:textId="77777777" w:rsidR="009F26B2" w:rsidRPr="007D12CD" w:rsidRDefault="009F26B2" w:rsidP="00346254">
      <w:pPr>
        <w:spacing w:after="60"/>
        <w:jc w:val="both"/>
        <w:rPr>
          <w:rFonts w:ascii="Palatino" w:hAnsi="Palatino"/>
          <w:noProof/>
        </w:rPr>
      </w:pPr>
    </w:p>
    <w:p w14:paraId="3A3D5E75" w14:textId="4A8DDFF1" w:rsidR="009F26B2" w:rsidRPr="007D12CD" w:rsidRDefault="009F26B2" w:rsidP="003C38A3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b/>
          <w:noProof/>
        </w:rPr>
        <w:t>Pravilnik o postupanju sa opremom i otpadom koji sadrži PCB</w:t>
      </w:r>
      <w:r w:rsidRPr="007D12CD">
        <w:rPr>
          <w:rFonts w:ascii="Palatino" w:hAnsi="Palatino"/>
          <w:noProof/>
        </w:rPr>
        <w:t xml:space="preserve"> (</w:t>
      </w:r>
      <w:r w:rsidR="003C38A3" w:rsidRPr="007D12CD">
        <w:rPr>
          <w:rFonts w:ascii="Palatino" w:hAnsi="Palatino"/>
          <w:noProof/>
        </w:rPr>
        <w:t>"Službeni list Crne Gore", br. 048/12 od 14.09.2012, 067/18 od 17.10.2018</w:t>
      </w:r>
      <w:r w:rsidRPr="007D12CD">
        <w:rPr>
          <w:rFonts w:ascii="Palatino" w:hAnsi="Palatino"/>
          <w:noProof/>
        </w:rPr>
        <w:t xml:space="preserve">) propisuje </w:t>
      </w:r>
      <w:r w:rsidR="003C38A3" w:rsidRPr="007D12CD">
        <w:rPr>
          <w:rFonts w:ascii="Palatino" w:hAnsi="Palatino"/>
          <w:noProof/>
        </w:rPr>
        <w:t>način sačinjavanja plana upravljanja opremom i otpadom koji sadrži PCB, način i postupak vođenja evidencije, način označavanja dekontaminirane opreme, način i postupak obrade opreme i otpada koji sadrži PCB i dekontaminacije opreme i količine PCB u opremi</w:t>
      </w:r>
      <w:r w:rsidRPr="007D12CD">
        <w:rPr>
          <w:rFonts w:ascii="Palatino" w:hAnsi="Palatino"/>
          <w:noProof/>
        </w:rPr>
        <w:t>.</w:t>
      </w:r>
    </w:p>
    <w:p w14:paraId="5F5D7443" w14:textId="665D799B" w:rsidR="009F26B2" w:rsidRPr="007D12CD" w:rsidRDefault="009F26B2" w:rsidP="009F26B2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Ovaj se pravilnik </w:t>
      </w:r>
      <w:r w:rsidR="003C38A3" w:rsidRPr="007D12CD">
        <w:rPr>
          <w:rFonts w:ascii="Palatino" w:hAnsi="Palatino"/>
          <w:noProof/>
        </w:rPr>
        <w:t>primjenjuje</w:t>
      </w:r>
      <w:r w:rsidRPr="007D12CD">
        <w:rPr>
          <w:rFonts w:ascii="Palatino" w:hAnsi="Palatino"/>
          <w:noProof/>
        </w:rPr>
        <w:t xml:space="preserve"> na:</w:t>
      </w:r>
    </w:p>
    <w:p w14:paraId="31ABC03B" w14:textId="77777777" w:rsidR="003C38A3" w:rsidRPr="007D12CD" w:rsidRDefault="009F26B2" w:rsidP="003C38A3">
      <w:pPr>
        <w:pStyle w:val="ListParagraph"/>
        <w:numPr>
          <w:ilvl w:val="0"/>
          <w:numId w:val="9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PCB i otpad koji sadrži PCB;</w:t>
      </w:r>
    </w:p>
    <w:p w14:paraId="3F23C5A1" w14:textId="77777777" w:rsidR="003C38A3" w:rsidRPr="007D12CD" w:rsidRDefault="003C38A3" w:rsidP="003C38A3">
      <w:pPr>
        <w:pStyle w:val="ListParagraph"/>
        <w:numPr>
          <w:ilvl w:val="0"/>
          <w:numId w:val="9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eastAsia="Times New Roman" w:hAnsi="Palatino" w:cs="Times New Roman"/>
          <w:noProof/>
        </w:rPr>
        <w:t>opremu koja sadrži više od 5dm</w:t>
      </w:r>
      <w:r w:rsidRPr="00270CC6">
        <w:rPr>
          <w:rFonts w:ascii="Palatino" w:eastAsia="Times New Roman" w:hAnsi="Palatino" w:cs="Times New Roman"/>
          <w:noProof/>
          <w:vertAlign w:val="superscript"/>
        </w:rPr>
        <w:t>3</w:t>
      </w:r>
      <w:r w:rsidRPr="007D12CD">
        <w:rPr>
          <w:rFonts w:ascii="Palatino" w:eastAsia="Times New Roman" w:hAnsi="Palatino" w:cs="Times New Roman"/>
          <w:noProof/>
        </w:rPr>
        <w:t xml:space="preserve"> PCB, osim otpada od električnih i elektronskih proizvoda; </w:t>
      </w:r>
    </w:p>
    <w:p w14:paraId="49F9A5C4" w14:textId="664909E4" w:rsidR="003C38A3" w:rsidRPr="007D12CD" w:rsidRDefault="00270CC6" w:rsidP="003C38A3">
      <w:pPr>
        <w:pStyle w:val="ListParagraph"/>
        <w:numPr>
          <w:ilvl w:val="0"/>
          <w:numId w:val="9"/>
        </w:numPr>
        <w:spacing w:after="60"/>
        <w:jc w:val="both"/>
        <w:rPr>
          <w:rFonts w:ascii="Palatino" w:hAnsi="Palatino"/>
          <w:noProof/>
        </w:rPr>
      </w:pPr>
      <w:r>
        <w:rPr>
          <w:rFonts w:ascii="Palatino" w:eastAsia="Times New Roman" w:hAnsi="Palatino" w:cs="Times New Roman"/>
          <w:noProof/>
        </w:rPr>
        <w:t>građ</w:t>
      </w:r>
      <w:r w:rsidR="003C38A3" w:rsidRPr="007D12CD">
        <w:rPr>
          <w:rFonts w:ascii="Palatino" w:eastAsia="Times New Roman" w:hAnsi="Palatino" w:cs="Times New Roman"/>
          <w:noProof/>
        </w:rPr>
        <w:t>evinski materijal koji sadrži PCB.</w:t>
      </w:r>
    </w:p>
    <w:p w14:paraId="242A8FA7" w14:textId="313DA6C2" w:rsidR="009F26B2" w:rsidRPr="007D12CD" w:rsidRDefault="009F26B2" w:rsidP="009F26B2">
      <w:pPr>
        <w:spacing w:after="60"/>
        <w:jc w:val="both"/>
        <w:rPr>
          <w:rFonts w:ascii="Palatino" w:hAnsi="Palatino"/>
          <w:noProof/>
        </w:rPr>
      </w:pPr>
    </w:p>
    <w:p w14:paraId="0FD5C38D" w14:textId="1B0D4F24" w:rsidR="009F26B2" w:rsidRPr="007D12CD" w:rsidRDefault="009F26B2" w:rsidP="009F26B2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Pr</w:t>
      </w:r>
      <w:r w:rsidR="00FF74B5" w:rsidRPr="007D12CD">
        <w:rPr>
          <w:rFonts w:ascii="Palatino" w:hAnsi="Palatino"/>
          <w:noProof/>
        </w:rPr>
        <w:t>avilnik p</w:t>
      </w:r>
      <w:r w:rsidR="00270CC6">
        <w:rPr>
          <w:rFonts w:ascii="Palatino" w:hAnsi="Palatino"/>
          <w:noProof/>
        </w:rPr>
        <w:t>r</w:t>
      </w:r>
      <w:r w:rsidRPr="007D12CD">
        <w:rPr>
          <w:rFonts w:ascii="Palatino" w:hAnsi="Palatino"/>
          <w:noProof/>
        </w:rPr>
        <w:t>opisuje sljedeće:</w:t>
      </w:r>
    </w:p>
    <w:p w14:paraId="1AFE287B" w14:textId="77777777" w:rsidR="00F73BBA" w:rsidRPr="007D12CD" w:rsidRDefault="00687A52" w:rsidP="009F26B2">
      <w:pPr>
        <w:pStyle w:val="ListParagraph"/>
        <w:numPr>
          <w:ilvl w:val="0"/>
          <w:numId w:val="10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 w:cs="Menlo Regular"/>
          <w:noProof/>
        </w:rPr>
        <w:t>Imalac opreme i otpadnog PCB vodi evidenciju o opremi i otpadnom PCB</w:t>
      </w:r>
      <w:r w:rsidR="009F26B2" w:rsidRPr="007D12CD">
        <w:rPr>
          <w:rFonts w:ascii="Palatino" w:hAnsi="Palatino"/>
          <w:noProof/>
        </w:rPr>
        <w:t>;</w:t>
      </w:r>
    </w:p>
    <w:p w14:paraId="0BEF03FA" w14:textId="77777777" w:rsidR="00F73BBA" w:rsidRPr="007D12CD" w:rsidRDefault="009F26B2" w:rsidP="009F26B2">
      <w:pPr>
        <w:pStyle w:val="ListParagraph"/>
        <w:numPr>
          <w:ilvl w:val="0"/>
          <w:numId w:val="10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Način označavanja kontaminirane i dekontaminirane opreme;</w:t>
      </w:r>
    </w:p>
    <w:p w14:paraId="603F31F3" w14:textId="52ED6ED1" w:rsidR="009F26B2" w:rsidRPr="007D12CD" w:rsidRDefault="009F26B2" w:rsidP="009F26B2">
      <w:pPr>
        <w:pStyle w:val="ListParagraph"/>
        <w:numPr>
          <w:ilvl w:val="0"/>
          <w:numId w:val="10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Dekontaminacij</w:t>
      </w:r>
      <w:r w:rsidR="00F73BBA" w:rsidRPr="007D12CD">
        <w:rPr>
          <w:rFonts w:ascii="Palatino" w:hAnsi="Palatino"/>
          <w:noProof/>
        </w:rPr>
        <w:t>u</w:t>
      </w:r>
      <w:r w:rsidRPr="007D12CD">
        <w:rPr>
          <w:rFonts w:ascii="Palatino" w:hAnsi="Palatino"/>
          <w:noProof/>
        </w:rPr>
        <w:t xml:space="preserve"> PCB transformatora:</w:t>
      </w:r>
    </w:p>
    <w:p w14:paraId="1B4C6196" w14:textId="77777777" w:rsidR="000572D7" w:rsidRPr="007D12CD" w:rsidRDefault="000572D7" w:rsidP="0029350B">
      <w:pPr>
        <w:spacing w:after="60"/>
        <w:ind w:left="360"/>
        <w:rPr>
          <w:rFonts w:ascii="Palatino" w:eastAsia="Times New Roman" w:hAnsi="Palatino" w:cs="Times New Roman"/>
          <w:noProof/>
        </w:rPr>
      </w:pPr>
      <w:r w:rsidRPr="007D12CD">
        <w:rPr>
          <w:rFonts w:ascii="Palatino" w:eastAsia="Times New Roman" w:hAnsi="Palatino" w:cs="Times New Roman"/>
          <w:noProof/>
        </w:rPr>
        <w:t xml:space="preserve">Dekontaminacija opreme koju čine transformatori sa koncentracijom PCB iznad 0,005% mase tečnosti vrši se: </w:t>
      </w:r>
    </w:p>
    <w:p w14:paraId="6524D0C2" w14:textId="7D440A7F" w:rsidR="000572D7" w:rsidRPr="007D12CD" w:rsidRDefault="000572D7" w:rsidP="0029350B">
      <w:pPr>
        <w:pStyle w:val="ListParagraph"/>
        <w:numPr>
          <w:ilvl w:val="0"/>
          <w:numId w:val="13"/>
        </w:numPr>
        <w:spacing w:after="60"/>
        <w:ind w:left="1080"/>
        <w:rPr>
          <w:rFonts w:ascii="Palatino" w:eastAsia="Times New Roman" w:hAnsi="Palatino" w:cs="Times New Roman"/>
          <w:noProof/>
        </w:rPr>
      </w:pPr>
      <w:r w:rsidRPr="007D12CD">
        <w:rPr>
          <w:rFonts w:ascii="Palatino" w:eastAsia="Times New Roman" w:hAnsi="Palatino" w:cs="Times New Roman"/>
          <w:noProof/>
        </w:rPr>
        <w:lastRenderedPageBreak/>
        <w:t xml:space="preserve">smanjivanjem mase PCB ispod 0,005% i ukoliko je moguće do 0,0005% mase tečnosti u kome se nalazi; </w:t>
      </w:r>
    </w:p>
    <w:p w14:paraId="7D4E1901" w14:textId="68AFBBA3" w:rsidR="000572D7" w:rsidRPr="007D12CD" w:rsidRDefault="000572D7" w:rsidP="0029350B">
      <w:pPr>
        <w:pStyle w:val="ListParagraph"/>
        <w:numPr>
          <w:ilvl w:val="0"/>
          <w:numId w:val="13"/>
        </w:numPr>
        <w:spacing w:after="60"/>
        <w:ind w:left="1080"/>
        <w:rPr>
          <w:rFonts w:ascii="Palatino" w:eastAsia="Times New Roman" w:hAnsi="Palatino" w:cs="Times New Roman"/>
          <w:noProof/>
        </w:rPr>
      </w:pPr>
      <w:r w:rsidRPr="007D12CD">
        <w:rPr>
          <w:rFonts w:ascii="Palatino" w:eastAsia="Times New Roman" w:hAnsi="Palatino" w:cs="Times New Roman"/>
          <w:noProof/>
        </w:rPr>
        <w:t xml:space="preserve">zamjenom tečnosti u transformatoru sa tečnošću koja ne sadrži PCB; </w:t>
      </w:r>
    </w:p>
    <w:p w14:paraId="05335810" w14:textId="77777777" w:rsidR="0029350B" w:rsidRPr="007D12CD" w:rsidRDefault="000572D7" w:rsidP="0029350B">
      <w:pPr>
        <w:pStyle w:val="ListParagraph"/>
        <w:numPr>
          <w:ilvl w:val="0"/>
          <w:numId w:val="13"/>
        </w:numPr>
        <w:spacing w:after="60"/>
        <w:ind w:left="1080"/>
        <w:rPr>
          <w:rFonts w:ascii="Palatino" w:eastAsia="Times New Roman" w:hAnsi="Palatino" w:cs="Times New Roman"/>
          <w:noProof/>
        </w:rPr>
      </w:pPr>
      <w:r w:rsidRPr="007D12CD">
        <w:rPr>
          <w:rFonts w:ascii="Palatino" w:eastAsia="Times New Roman" w:hAnsi="Palatino" w:cs="Times New Roman"/>
          <w:noProof/>
        </w:rPr>
        <w:t>zamjenom tečnosti na način kojim se ne sprječav</w:t>
      </w:r>
      <w:r w:rsidR="0029350B" w:rsidRPr="007D12CD">
        <w:rPr>
          <w:rFonts w:ascii="Palatino" w:eastAsia="Times New Roman" w:hAnsi="Palatino" w:cs="Times New Roman"/>
          <w:noProof/>
        </w:rPr>
        <w:t>a kasnije odstranjivanje PCB; i</w:t>
      </w:r>
    </w:p>
    <w:p w14:paraId="06B758DF" w14:textId="1DC61E07" w:rsidR="000572D7" w:rsidRPr="007D12CD" w:rsidRDefault="000572D7" w:rsidP="0029350B">
      <w:pPr>
        <w:pStyle w:val="ListParagraph"/>
        <w:numPr>
          <w:ilvl w:val="0"/>
          <w:numId w:val="13"/>
        </w:numPr>
        <w:spacing w:after="60"/>
        <w:ind w:left="1080"/>
        <w:rPr>
          <w:rFonts w:ascii="Palatino" w:eastAsia="Times New Roman" w:hAnsi="Palatino" w:cs="Times New Roman"/>
          <w:noProof/>
        </w:rPr>
      </w:pPr>
      <w:r w:rsidRPr="007D12CD">
        <w:rPr>
          <w:rFonts w:ascii="Palatino" w:eastAsia="Times New Roman" w:hAnsi="Palatino" w:cs="Times New Roman"/>
          <w:noProof/>
        </w:rPr>
        <w:t>označavanjem dekontaminiranog transformatora.</w:t>
      </w:r>
    </w:p>
    <w:p w14:paraId="19194EC8" w14:textId="77777777" w:rsidR="004A00DA" w:rsidRPr="007D12CD" w:rsidRDefault="004A00DA" w:rsidP="004A00DA">
      <w:pPr>
        <w:pStyle w:val="ListParagraph"/>
        <w:numPr>
          <w:ilvl w:val="0"/>
          <w:numId w:val="13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Odstranjivanje opreme i odstranjivanje otpadnog PCB</w:t>
      </w:r>
      <w:r w:rsidR="009F26B2" w:rsidRPr="007D12CD">
        <w:rPr>
          <w:rFonts w:ascii="Palatino" w:hAnsi="Palatino"/>
          <w:noProof/>
        </w:rPr>
        <w:t xml:space="preserve"> vrši se </w:t>
      </w:r>
      <w:r w:rsidRPr="007D12CD">
        <w:rPr>
          <w:rFonts w:ascii="Palatino" w:hAnsi="Palatino"/>
          <w:noProof/>
        </w:rPr>
        <w:t>po</w:t>
      </w:r>
      <w:r w:rsidR="009F26B2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>D8, D9, D10, D12 ili D15.</w:t>
      </w:r>
    </w:p>
    <w:p w14:paraId="224FD528" w14:textId="5586A276" w:rsidR="00270CC6" w:rsidRPr="00253EBB" w:rsidRDefault="004A00DA" w:rsidP="00346254">
      <w:pPr>
        <w:pStyle w:val="ListParagraph"/>
        <w:numPr>
          <w:ilvl w:val="0"/>
          <w:numId w:val="13"/>
        </w:num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Oprema i otpad koji sadrži PCB koji se ne mogu dekontaminirati odstranjuju se u bezbjednom dubinskom, podzemnom skladištu, po postupku D12 (trajno skladištenje, npr. smještanje kontejnera u rudnik).</w:t>
      </w:r>
    </w:p>
    <w:p w14:paraId="26299329" w14:textId="77777777" w:rsidR="00F058DA" w:rsidRDefault="00253EBB" w:rsidP="00346254">
      <w:pPr>
        <w:spacing w:after="60"/>
        <w:jc w:val="both"/>
        <w:rPr>
          <w:rFonts w:ascii="Palatino" w:hAnsi="Palatino"/>
          <w:b/>
          <w:noProof/>
        </w:rPr>
      </w:pPr>
      <w:r>
        <w:rPr>
          <w:rFonts w:ascii="Palatino" w:hAnsi="Palatino"/>
          <w:b/>
          <w:noProof/>
        </w:rPr>
        <w:t>Iz navedenog zaključujemo da</w:t>
      </w:r>
      <w:r w:rsidR="00CC23AC" w:rsidRPr="00253EBB">
        <w:rPr>
          <w:rFonts w:ascii="Palatino" w:hAnsi="Palatino"/>
          <w:b/>
          <w:noProof/>
        </w:rPr>
        <w:t xml:space="preserve"> </w:t>
      </w:r>
      <w:r>
        <w:rPr>
          <w:rFonts w:ascii="Palatino" w:hAnsi="Palatino"/>
          <w:b/>
          <w:noProof/>
        </w:rPr>
        <w:t xml:space="preserve">su imaoci opreme i otpada koji sadrži PCB </w:t>
      </w:r>
      <w:r w:rsidR="000F2A96">
        <w:rPr>
          <w:rFonts w:ascii="Palatino" w:hAnsi="Palatino"/>
          <w:b/>
          <w:noProof/>
        </w:rPr>
        <w:t>primarno zaduženi da opremu i otpad koji sadrži PCB odlože</w:t>
      </w:r>
      <w:r w:rsidR="00785459">
        <w:rPr>
          <w:rFonts w:ascii="Palatino" w:hAnsi="Palatino"/>
          <w:b/>
          <w:noProof/>
        </w:rPr>
        <w:t>/tretiraju</w:t>
      </w:r>
      <w:r w:rsidR="000F2A96">
        <w:rPr>
          <w:rFonts w:ascii="Palatino" w:hAnsi="Palatino"/>
          <w:b/>
          <w:noProof/>
        </w:rPr>
        <w:t xml:space="preserve"> u skladu sa zakonom. U </w:t>
      </w:r>
      <w:r w:rsidR="00785459">
        <w:rPr>
          <w:rFonts w:ascii="Palatino" w:hAnsi="Palatino"/>
          <w:b/>
          <w:noProof/>
        </w:rPr>
        <w:t>tom procesu, prvi korak je</w:t>
      </w:r>
      <w:r>
        <w:rPr>
          <w:rFonts w:ascii="Palatino" w:hAnsi="Palatino"/>
          <w:b/>
          <w:noProof/>
        </w:rPr>
        <w:t xml:space="preserve"> izra</w:t>
      </w:r>
      <w:r w:rsidR="00785459">
        <w:rPr>
          <w:rFonts w:ascii="Palatino" w:hAnsi="Palatino"/>
          <w:b/>
          <w:noProof/>
        </w:rPr>
        <w:t>da</w:t>
      </w:r>
      <w:r>
        <w:rPr>
          <w:rFonts w:ascii="Palatino" w:hAnsi="Palatino"/>
          <w:b/>
          <w:noProof/>
        </w:rPr>
        <w:t xml:space="preserve"> planov</w:t>
      </w:r>
      <w:r w:rsidR="00785459">
        <w:rPr>
          <w:rFonts w:ascii="Palatino" w:hAnsi="Palatino"/>
          <w:b/>
          <w:noProof/>
        </w:rPr>
        <w:t>a</w:t>
      </w:r>
      <w:r>
        <w:rPr>
          <w:rFonts w:ascii="Palatino" w:hAnsi="Palatino"/>
          <w:b/>
          <w:noProof/>
        </w:rPr>
        <w:t xml:space="preserve"> upravljanja otpadom</w:t>
      </w:r>
      <w:r w:rsidR="00785459">
        <w:rPr>
          <w:rFonts w:ascii="Palatino" w:hAnsi="Palatino"/>
          <w:b/>
          <w:noProof/>
        </w:rPr>
        <w:t xml:space="preserve">. </w:t>
      </w:r>
      <w:r w:rsidR="00505775">
        <w:rPr>
          <w:rFonts w:ascii="Palatino" w:hAnsi="Palatino"/>
          <w:b/>
          <w:noProof/>
        </w:rPr>
        <w:t xml:space="preserve">Drugim riječima, </w:t>
      </w:r>
      <w:r w:rsidR="000F2A96">
        <w:rPr>
          <w:rFonts w:ascii="Palatino" w:hAnsi="Palatino"/>
          <w:b/>
          <w:noProof/>
        </w:rPr>
        <w:t xml:space="preserve">PCB otpad ne može biti predmetom koncesije. </w:t>
      </w:r>
    </w:p>
    <w:p w14:paraId="3ED38667" w14:textId="05EBCE7B" w:rsidR="009706F6" w:rsidRPr="00253EBB" w:rsidRDefault="00F058DA" w:rsidP="00346254">
      <w:pPr>
        <w:spacing w:after="60"/>
        <w:jc w:val="both"/>
        <w:rPr>
          <w:rFonts w:ascii="Palatino" w:hAnsi="Palatino"/>
          <w:b/>
          <w:noProof/>
        </w:rPr>
      </w:pPr>
      <w:r>
        <w:rPr>
          <w:rFonts w:ascii="Palatino" w:hAnsi="Palatino"/>
          <w:b/>
          <w:noProof/>
        </w:rPr>
        <w:t xml:space="preserve">Istaknimo i činjenicu da je zabranjen uvoz opreme i otpada koji sadrži PCB, što je uticalo i na određivanje najisplativije opcije za tretman PCB otpada. </w:t>
      </w:r>
    </w:p>
    <w:p w14:paraId="68A1CD5A" w14:textId="77777777" w:rsidR="00270CC6" w:rsidRPr="007D12CD" w:rsidRDefault="00270CC6" w:rsidP="00346254">
      <w:pPr>
        <w:spacing w:after="60"/>
        <w:jc w:val="both"/>
        <w:rPr>
          <w:rFonts w:ascii="Palatino" w:hAnsi="Palatino"/>
          <w:noProof/>
        </w:rPr>
      </w:pPr>
    </w:p>
    <w:p w14:paraId="119DC342" w14:textId="5B4425B2" w:rsidR="003A299F" w:rsidRPr="007D12CD" w:rsidRDefault="008E573A" w:rsidP="003A299F">
      <w:pPr>
        <w:pStyle w:val="Heading3"/>
        <w:rPr>
          <w:noProof/>
        </w:rPr>
      </w:pPr>
      <w:bookmarkStart w:id="13" w:name="_Toc462603363"/>
      <w:r w:rsidRPr="007D12CD">
        <w:rPr>
          <w:noProof/>
        </w:rPr>
        <w:t>Učesnici u JPP</w:t>
      </w:r>
      <w:bookmarkEnd w:id="13"/>
    </w:p>
    <w:p w14:paraId="6C587C76" w14:textId="7C3A89CF" w:rsidR="003A299F" w:rsidRPr="007D12CD" w:rsidRDefault="00544E24" w:rsidP="003A299F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Zakon o JPP u čl. 3 do </w:t>
      </w:r>
      <w:r w:rsidR="0002227D" w:rsidRPr="007D12CD">
        <w:rPr>
          <w:rFonts w:ascii="Palatino" w:hAnsi="Palatino"/>
          <w:noProof/>
        </w:rPr>
        <w:t>6 definiše učesnike u JPP</w:t>
      </w:r>
      <w:r w:rsidR="003A299F" w:rsidRPr="007D12CD">
        <w:rPr>
          <w:rFonts w:ascii="Palatino" w:hAnsi="Palatino"/>
          <w:noProof/>
        </w:rPr>
        <w:t>.</w:t>
      </w:r>
      <w:r w:rsidR="0002227D" w:rsidRPr="007D12CD">
        <w:rPr>
          <w:rFonts w:ascii="Palatino" w:hAnsi="Palatino"/>
          <w:noProof/>
        </w:rPr>
        <w:t xml:space="preserve"> To su: javni partner, javni naručilac, učesnik u postupku i ponuđač</w:t>
      </w:r>
      <w:r w:rsidR="00AA1BD0" w:rsidRPr="007D12CD">
        <w:rPr>
          <w:rFonts w:ascii="Palatino" w:hAnsi="Palatino"/>
          <w:noProof/>
        </w:rPr>
        <w:t>,</w:t>
      </w:r>
      <w:r w:rsidR="0002227D" w:rsidRPr="007D12CD">
        <w:rPr>
          <w:rFonts w:ascii="Palatino" w:hAnsi="Palatino"/>
          <w:noProof/>
        </w:rPr>
        <w:t xml:space="preserve"> i privatni partner. </w:t>
      </w:r>
    </w:p>
    <w:p w14:paraId="27835850" w14:textId="277B7511" w:rsidR="00BE21BF" w:rsidRPr="007D12CD" w:rsidRDefault="00BE21BF" w:rsidP="00BE21BF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i/>
          <w:noProof/>
        </w:rPr>
        <w:t>Javni partner</w:t>
      </w:r>
      <w:r w:rsidRPr="007D12CD">
        <w:rPr>
          <w:rFonts w:ascii="Palatino" w:hAnsi="Palatino"/>
          <w:noProof/>
        </w:rPr>
        <w:t>, u smislu ovog zakona, može biti: Vlada Crne Gore, nadležni organ lokalne samouprave; i/ili privredno društvo i pravno lice koje obavlja djelatnost od javnog interesa.</w:t>
      </w:r>
    </w:p>
    <w:p w14:paraId="43AABACC" w14:textId="7A7428DA" w:rsidR="00BE21BF" w:rsidRPr="007D12CD" w:rsidRDefault="00BE21BF" w:rsidP="00BE21BF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Privredna društva i pravna lica koja obavljaju djelatnost od javnog interesa iz stava 1 tačka 3 ovog člana, su</w:t>
      </w:r>
      <w:r w:rsidR="00544E24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>privredna društva ili pravna lica:</w:t>
      </w:r>
    </w:p>
    <w:p w14:paraId="07CD0E23" w14:textId="77777777" w:rsidR="00BE21BF" w:rsidRPr="007D12CD" w:rsidRDefault="00BE21BF" w:rsidP="00BE21BF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1) u kojima država, odnosno jedinica lokalne samouprave posjeduje više od 50% akcija, odnosno udjela;</w:t>
      </w:r>
    </w:p>
    <w:p w14:paraId="0FFAB00E" w14:textId="003B2888" w:rsidR="00BE21BF" w:rsidRPr="007D12CD" w:rsidRDefault="00BE21BF" w:rsidP="00BE21BF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2) u kojima više od polovine članova organa upravljanja čine predstavnici državnog kapitala koji zastupaju</w:t>
      </w:r>
      <w:r w:rsidR="00544E24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>državni organ ili nadležni organ lokalne samouprave; ili</w:t>
      </w:r>
    </w:p>
    <w:p w14:paraId="46ACB8B9" w14:textId="10BE0BF2" w:rsidR="00BE21BF" w:rsidRPr="007D12CD" w:rsidRDefault="00BE21BF" w:rsidP="00BE21BF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3) koja se finansiraju sa više od 50% iz sredstava budžeta Crne Gore, lokalne samouprave i drugih javnih</w:t>
      </w:r>
      <w:r w:rsidR="00544E24" w:rsidRPr="007D12CD">
        <w:rPr>
          <w:rFonts w:ascii="Palatino" w:hAnsi="Palatino"/>
          <w:noProof/>
        </w:rPr>
        <w:t xml:space="preserve"> </w:t>
      </w:r>
      <w:r w:rsidRPr="007D12CD">
        <w:rPr>
          <w:rFonts w:ascii="Palatino" w:hAnsi="Palatino"/>
          <w:noProof/>
        </w:rPr>
        <w:t>prihoda ili sredstava privrednog društva, odnosno pravnog lica koje obavlja djelatnost od javnog interesa.</w:t>
      </w:r>
    </w:p>
    <w:p w14:paraId="37CC4A36" w14:textId="7636EE62" w:rsidR="00AA1BD0" w:rsidRPr="007D12CD" w:rsidRDefault="00F4069B" w:rsidP="00E2544A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i/>
          <w:noProof/>
        </w:rPr>
        <w:t>Javni naručilac</w:t>
      </w:r>
      <w:r w:rsidRPr="007D12CD">
        <w:rPr>
          <w:rFonts w:ascii="Palatino" w:hAnsi="Palatino"/>
          <w:noProof/>
        </w:rPr>
        <w:t xml:space="preserve"> je državni organ, organ državne uprave, organ lokalne samouprave i privredno društvo, odnosno pravno lice koje obavlja djelatnost od javnog interesa. Javni naručilac može biti i drugi organ, javna služba, pravno lice i drugi korisnik sredstava budžeta Crne Gore, odnosno budžeta jedinice lokalne samouprave i drugih javnih prihoda.</w:t>
      </w:r>
      <w:r w:rsidR="00E2544A" w:rsidRPr="007D12CD">
        <w:rPr>
          <w:rFonts w:ascii="Palatino" w:hAnsi="Palatino"/>
          <w:noProof/>
        </w:rPr>
        <w:t xml:space="preserve"> Takođe, zakon predviđa da p</w:t>
      </w:r>
      <w:r w:rsidRPr="007D12CD">
        <w:rPr>
          <w:rFonts w:ascii="Palatino" w:hAnsi="Palatino"/>
          <w:noProof/>
        </w:rPr>
        <w:t>rojekat javno-privatnog partnerstva može da sprovodi jedan ili više javnih naručilaca.</w:t>
      </w:r>
    </w:p>
    <w:p w14:paraId="38BF94E8" w14:textId="57BCBDA4" w:rsidR="00A51A7A" w:rsidRPr="007D12CD" w:rsidRDefault="00A51A7A" w:rsidP="00A51A7A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i/>
          <w:noProof/>
        </w:rPr>
        <w:t>Učesnik u postupku</w:t>
      </w:r>
      <w:r w:rsidRPr="007D12CD">
        <w:rPr>
          <w:rFonts w:ascii="Palatino" w:hAnsi="Palatino"/>
          <w:noProof/>
        </w:rPr>
        <w:t xml:space="preserve"> je domaće ili strano pravno ili fizičko lice ili konzorcijum koji je preuzeo tendersku dokumentaciju u postupku dodjele ugovora o javno-privatnom partnerstvu, odnosno na drugi način učestvuje u postupku dodjele ugovora o javno-privatnom partnerstvu u skladu sa zakonom.</w:t>
      </w:r>
    </w:p>
    <w:p w14:paraId="6063B12F" w14:textId="474E8DFF" w:rsidR="00A51A7A" w:rsidRPr="007D12CD" w:rsidRDefault="00A51A7A" w:rsidP="00A51A7A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i/>
          <w:noProof/>
        </w:rPr>
        <w:lastRenderedPageBreak/>
        <w:t>Ponuđač</w:t>
      </w:r>
      <w:r w:rsidRPr="007D12CD">
        <w:rPr>
          <w:rFonts w:ascii="Palatino" w:hAnsi="Palatino"/>
          <w:noProof/>
        </w:rPr>
        <w:t xml:space="preserve"> je domaće ili strano pravno ili fizičko lice ili konzorcijum koji je dostavio ponudu u postupku dodjele ugovora o javno-privatnom partnerstvu.</w:t>
      </w:r>
    </w:p>
    <w:p w14:paraId="0E2E2AEB" w14:textId="54E2496D" w:rsidR="00C8339F" w:rsidRPr="007D12CD" w:rsidRDefault="00C8339F" w:rsidP="00C8339F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‡ÌCZˇ"/>
          <w:noProof/>
        </w:rPr>
      </w:pPr>
      <w:r w:rsidRPr="007D12CD">
        <w:rPr>
          <w:rFonts w:ascii="Palatino" w:hAnsi="Palatino" w:cs="‡ÌCZˇ"/>
          <w:noProof/>
        </w:rPr>
        <w:t xml:space="preserve">Na kraju, </w:t>
      </w:r>
      <w:r w:rsidRPr="007D12CD">
        <w:rPr>
          <w:rFonts w:ascii="Palatino" w:hAnsi="Palatino" w:cs="‡ÌCZˇ"/>
          <w:i/>
          <w:noProof/>
        </w:rPr>
        <w:t>privatni partner</w:t>
      </w:r>
      <w:r w:rsidRPr="007D12CD">
        <w:rPr>
          <w:rFonts w:ascii="Palatino" w:hAnsi="Palatino" w:cs="‡ÌCZˇ"/>
          <w:noProof/>
        </w:rPr>
        <w:t xml:space="preserve"> je ponuđač čija je ponuda izabrana u postupku dodjele ugovora i sa kojim je zaključen ugovor o javno-privatnom partnerstvu.</w:t>
      </w:r>
    </w:p>
    <w:p w14:paraId="0C044E21" w14:textId="77777777" w:rsidR="00AB6343" w:rsidRPr="007D12CD" w:rsidRDefault="00AB6343" w:rsidP="00C8339F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‡ÌCZˇ"/>
          <w:noProof/>
        </w:rPr>
      </w:pPr>
    </w:p>
    <w:p w14:paraId="5C398A34" w14:textId="25414A70" w:rsidR="00AB6343" w:rsidRPr="007D12CD" w:rsidRDefault="00AB6343" w:rsidP="00FA16FE">
      <w:pPr>
        <w:pStyle w:val="Heading4"/>
        <w:rPr>
          <w:noProof/>
        </w:rPr>
      </w:pPr>
      <w:bookmarkStart w:id="14" w:name="_Toc462603364"/>
      <w:r w:rsidRPr="007D12CD">
        <w:rPr>
          <w:noProof/>
        </w:rPr>
        <w:t xml:space="preserve">Učesnici u </w:t>
      </w:r>
      <w:r w:rsidR="004F5B2B" w:rsidRPr="007D12CD">
        <w:rPr>
          <w:noProof/>
        </w:rPr>
        <w:t xml:space="preserve">postupku </w:t>
      </w:r>
      <w:r w:rsidR="00A30416" w:rsidRPr="007D12CD">
        <w:rPr>
          <w:noProof/>
        </w:rPr>
        <w:t>izvoza transformatora koji sadrže PCB za tretman u inostranstvu i vraćanje tretiranih transformatora u ponovnu upotrebu</w:t>
      </w:r>
      <w:bookmarkEnd w:id="14"/>
    </w:p>
    <w:p w14:paraId="1C35EFB4" w14:textId="77777777" w:rsidR="00AB6343" w:rsidRPr="007D12CD" w:rsidRDefault="00AB6343" w:rsidP="00C8339F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‡ÌCZˇ"/>
          <w:noProof/>
        </w:rPr>
      </w:pPr>
    </w:p>
    <w:p w14:paraId="2138075A" w14:textId="79A5CE12" w:rsidR="00375151" w:rsidRPr="007D12CD" w:rsidRDefault="00BF43B6" w:rsidP="00346254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Ranije je predstavljen</w:t>
      </w:r>
      <w:r w:rsidR="00273AA6" w:rsidRPr="007D12CD">
        <w:rPr>
          <w:rFonts w:ascii="Palatino" w:hAnsi="Palatino"/>
          <w:noProof/>
        </w:rPr>
        <w:t>a</w:t>
      </w:r>
      <w:r w:rsidRPr="007D12CD">
        <w:rPr>
          <w:rFonts w:ascii="Palatino" w:hAnsi="Palatino"/>
          <w:noProof/>
        </w:rPr>
        <w:t xml:space="preserve"> </w:t>
      </w:r>
      <w:r w:rsidR="001D1845" w:rsidRPr="007D12CD">
        <w:rPr>
          <w:rFonts w:ascii="Palatino" w:hAnsi="Palatino"/>
          <w:noProof/>
        </w:rPr>
        <w:t>Analiz</w:t>
      </w:r>
      <w:r w:rsidR="007D12CD" w:rsidRPr="007D12CD">
        <w:rPr>
          <w:rFonts w:ascii="Palatino" w:hAnsi="Palatino"/>
          <w:noProof/>
        </w:rPr>
        <w:t>a</w:t>
      </w:r>
      <w:r w:rsidR="001D1845" w:rsidRPr="007D12CD">
        <w:rPr>
          <w:rFonts w:ascii="Palatino" w:hAnsi="Palatino"/>
          <w:noProof/>
        </w:rPr>
        <w:t xml:space="preserve"> troškova i koristi mogućih tehnologija za tretman i odlaganje transformatora sa PCB prema kojoj je </w:t>
      </w:r>
      <w:r w:rsidR="00A57475" w:rsidRPr="007D12CD">
        <w:rPr>
          <w:rFonts w:ascii="Palatino" w:hAnsi="Palatino"/>
          <w:noProof/>
        </w:rPr>
        <w:t>izvoz transformatora koji sadrže PCB za tretman u inostranstvu, odnosno u uspostavljenim postrojenjima za prečišćavanje u regionu i vraćanje tretiranih transformatora u ponovnu upotrebu, najisplativije rješenje za uklanjanje transformatora koji sadrže PCB u Crnoj Gori.</w:t>
      </w:r>
    </w:p>
    <w:p w14:paraId="722BC1E9" w14:textId="047EFE86" w:rsidR="004A46B7" w:rsidRPr="007D12CD" w:rsidRDefault="004A46B7" w:rsidP="00346254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>Ovaj postupak podrazumijeva izvršenje čitavog niza usluga, uključujući pakovanje, transport, dekontaminaciju transformatora koji sadrže PCB, osnovno servisiranje i vraćanje istih natrag vlasniku, uzimajući u obzir odgovarajuće važeće propise i procedure, kao i sve ostale neophodne mjere predostrožnosti sa ciljem zaštite životne sredine i obezbjeđenja zaštite na radu osoblja uključenog u postupak.</w:t>
      </w:r>
    </w:p>
    <w:p w14:paraId="085F9860" w14:textId="4D9F7035" w:rsidR="00A86965" w:rsidRPr="007D12CD" w:rsidRDefault="00A86965" w:rsidP="00346254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noProof/>
        </w:rPr>
        <w:t xml:space="preserve">Tabela koja slijedi sadrži pregled faza i aktivnosti koje treba da budu realizovane u svakoj od faza navedenog postupka. </w:t>
      </w:r>
    </w:p>
    <w:p w14:paraId="5F7C9D56" w14:textId="77777777" w:rsidR="00FC6B8F" w:rsidRPr="007D12CD" w:rsidRDefault="00FC6B8F" w:rsidP="00346254">
      <w:pPr>
        <w:spacing w:after="60"/>
        <w:jc w:val="both"/>
        <w:rPr>
          <w:rFonts w:ascii="Palatino" w:hAnsi="Palatino"/>
          <w:noProof/>
        </w:rPr>
      </w:pPr>
    </w:p>
    <w:p w14:paraId="0B6D6C36" w14:textId="0D8899F4" w:rsidR="00FC6B8F" w:rsidRPr="007D12CD" w:rsidRDefault="00FC6B8F" w:rsidP="00346254">
      <w:pPr>
        <w:spacing w:after="60"/>
        <w:jc w:val="both"/>
        <w:rPr>
          <w:rFonts w:ascii="Palatino" w:hAnsi="Palatino"/>
          <w:noProof/>
        </w:rPr>
      </w:pPr>
      <w:r w:rsidRPr="007D12CD">
        <w:rPr>
          <w:rFonts w:ascii="Palatino" w:hAnsi="Palatino"/>
          <w:b/>
          <w:noProof/>
        </w:rPr>
        <w:t>Tabela 1:</w:t>
      </w:r>
      <w:r w:rsidRPr="007D12CD">
        <w:rPr>
          <w:rFonts w:ascii="Palatino" w:hAnsi="Palatino"/>
          <w:noProof/>
        </w:rPr>
        <w:t xml:space="preserve"> Opis postupka izvoza transformatora koji sadrže PCB </w:t>
      </w:r>
      <w:r w:rsidR="00F058DA">
        <w:rPr>
          <w:rFonts w:ascii="Palatino" w:hAnsi="Palatino"/>
          <w:noProof/>
        </w:rPr>
        <w:t>radi tretmana dekontaminacije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069"/>
        <w:gridCol w:w="5915"/>
      </w:tblGrid>
      <w:tr w:rsidR="00EA4DDB" w:rsidRPr="007D12CD" w14:paraId="7B791481" w14:textId="77777777" w:rsidTr="007D12CD">
        <w:tc>
          <w:tcPr>
            <w:tcW w:w="873" w:type="dxa"/>
          </w:tcPr>
          <w:p w14:paraId="31771847" w14:textId="17CAA117" w:rsidR="00EA4DDB" w:rsidRPr="00E23C2C" w:rsidRDefault="00EA4DDB" w:rsidP="00EA4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 w:cs="Segoe UI"/>
                <w:b/>
                <w:noProof/>
              </w:rPr>
            </w:pPr>
            <w:r w:rsidRPr="00E23C2C">
              <w:rPr>
                <w:rFonts w:ascii="Palatino" w:hAnsi="Palatino" w:cs="Segoe UI"/>
                <w:b/>
                <w:noProof/>
              </w:rPr>
              <w:t>Faza</w:t>
            </w:r>
          </w:p>
        </w:tc>
        <w:tc>
          <w:tcPr>
            <w:tcW w:w="3088" w:type="dxa"/>
          </w:tcPr>
          <w:p w14:paraId="40EB3A21" w14:textId="3DBC7D30" w:rsidR="00EA4DDB" w:rsidRPr="00E23C2C" w:rsidRDefault="00EA4DDB" w:rsidP="007D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Segoe UI"/>
                <w:b/>
                <w:noProof/>
              </w:rPr>
            </w:pPr>
            <w:r w:rsidRPr="00E23C2C">
              <w:rPr>
                <w:rFonts w:ascii="Palatino" w:hAnsi="Palatino" w:cs="Segoe UI"/>
                <w:b/>
                <w:noProof/>
              </w:rPr>
              <w:t>Opis</w:t>
            </w:r>
          </w:p>
        </w:tc>
        <w:tc>
          <w:tcPr>
            <w:tcW w:w="5975" w:type="dxa"/>
          </w:tcPr>
          <w:p w14:paraId="1B21D1C4" w14:textId="4C6E7A50" w:rsidR="00EA4DDB" w:rsidRPr="00E23C2C" w:rsidRDefault="00EA4DDB" w:rsidP="007D1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" w:hAnsi="Palatino" w:cs="Segoe UI"/>
                <w:b/>
                <w:noProof/>
              </w:rPr>
            </w:pPr>
            <w:r w:rsidRPr="00E23C2C">
              <w:rPr>
                <w:rFonts w:ascii="Palatino" w:hAnsi="Palatino" w:cs="Segoe UI"/>
                <w:b/>
                <w:noProof/>
              </w:rPr>
              <w:t>Aktivnosti</w:t>
            </w:r>
          </w:p>
        </w:tc>
      </w:tr>
      <w:tr w:rsidR="00EA4DDB" w:rsidRPr="007D12CD" w14:paraId="0BBB82FA" w14:textId="77777777" w:rsidTr="007D12CD">
        <w:tc>
          <w:tcPr>
            <w:tcW w:w="873" w:type="dxa"/>
          </w:tcPr>
          <w:p w14:paraId="6F14A3ED" w14:textId="77777777" w:rsidR="00EA4DDB" w:rsidRPr="00E23C2C" w:rsidRDefault="00EA4DDB" w:rsidP="00EA4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 w:cs="Segoe UI"/>
                <w:noProof/>
              </w:rPr>
            </w:pPr>
            <w:r w:rsidRPr="00E23C2C">
              <w:rPr>
                <w:rFonts w:ascii="Palatino" w:hAnsi="Palatino" w:cs="Segoe UI"/>
                <w:noProof/>
              </w:rPr>
              <w:t>A</w:t>
            </w:r>
          </w:p>
        </w:tc>
        <w:tc>
          <w:tcPr>
            <w:tcW w:w="3088" w:type="dxa"/>
          </w:tcPr>
          <w:p w14:paraId="32EF954F" w14:textId="304F2255" w:rsidR="00CB0FEA" w:rsidRPr="00E23C2C" w:rsidRDefault="00CB0FEA" w:rsidP="00CB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Segoe UI"/>
                <w:noProof/>
              </w:rPr>
            </w:pPr>
            <w:r w:rsidRPr="00E23C2C">
              <w:rPr>
                <w:rFonts w:ascii="Palatino" w:hAnsi="Palatino" w:cs="Segoe UI"/>
                <w:noProof/>
              </w:rPr>
              <w:t>Priprema plana dekontaminacije za transformatore koji sadrže PCB</w:t>
            </w:r>
          </w:p>
          <w:p w14:paraId="40934271" w14:textId="08189A99" w:rsidR="00CB0FEA" w:rsidRPr="00E23C2C" w:rsidRDefault="00CB0FEA" w:rsidP="00CB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Segoe UI"/>
                <w:noProof/>
              </w:rPr>
            </w:pPr>
          </w:p>
        </w:tc>
        <w:tc>
          <w:tcPr>
            <w:tcW w:w="5975" w:type="dxa"/>
          </w:tcPr>
          <w:p w14:paraId="6C68CE34" w14:textId="2305E4C3" w:rsidR="00DE5F00" w:rsidRPr="00E23C2C" w:rsidRDefault="00DE5F00" w:rsidP="00866FA1">
            <w:pPr>
              <w:spacing w:after="60" w:line="240" w:lineRule="auto"/>
              <w:ind w:left="34"/>
              <w:rPr>
                <w:rFonts w:ascii="Palatino" w:eastAsia="Times New Roman" w:hAnsi="Palatino" w:cs="Segoe UI"/>
                <w:noProof/>
              </w:rPr>
            </w:pPr>
            <w:r w:rsidRPr="00E23C2C">
              <w:rPr>
                <w:rFonts w:ascii="Palatino" w:eastAsia="Times New Roman" w:hAnsi="Palatino" w:cs="Segoe UI"/>
                <w:noProof/>
              </w:rPr>
              <w:t xml:space="preserve">- </w:t>
            </w:r>
            <w:r w:rsidR="00866FA1">
              <w:rPr>
                <w:rFonts w:ascii="Palatino" w:eastAsia="Times New Roman" w:hAnsi="Palatino" w:cs="Segoe UI"/>
                <w:noProof/>
              </w:rPr>
              <w:t>Imaoc</w:t>
            </w:r>
            <w:r w:rsidRPr="00E23C2C">
              <w:rPr>
                <w:rFonts w:ascii="Palatino" w:eastAsia="Times New Roman" w:hAnsi="Palatino" w:cs="Segoe UI"/>
                <w:noProof/>
              </w:rPr>
              <w:t xml:space="preserve"> transformatora priprema plan dekontaminacije u kojem se navodi raspored tretmana, potrebna logistička oprema, postupci i planovi smanjenja rizika, plan </w:t>
            </w:r>
            <w:r w:rsidR="004110F4" w:rsidRPr="00E23C2C">
              <w:rPr>
                <w:rFonts w:ascii="Palatino" w:eastAsia="Times New Roman" w:hAnsi="Palatino" w:cs="Segoe UI"/>
                <w:noProof/>
              </w:rPr>
              <w:t>zaštite na radu,</w:t>
            </w:r>
            <w:r w:rsidRPr="00E23C2C">
              <w:rPr>
                <w:rFonts w:ascii="Palatino" w:eastAsia="Times New Roman" w:hAnsi="Palatino" w:cs="Segoe UI"/>
                <w:noProof/>
              </w:rPr>
              <w:t xml:space="preserve"> analiza operativnog rizika</w:t>
            </w:r>
            <w:r w:rsidR="004110F4" w:rsidRPr="00E23C2C">
              <w:rPr>
                <w:rFonts w:ascii="Palatino" w:eastAsia="Times New Roman" w:hAnsi="Palatino" w:cs="Segoe UI"/>
                <w:noProof/>
              </w:rPr>
              <w:t>,</w:t>
            </w:r>
            <w:r w:rsidRPr="00E23C2C">
              <w:rPr>
                <w:rFonts w:ascii="Palatino" w:eastAsia="Times New Roman" w:hAnsi="Palatino" w:cs="Segoe UI"/>
                <w:noProof/>
              </w:rPr>
              <w:t xml:space="preserve"> plan praćenja.</w:t>
            </w:r>
          </w:p>
        </w:tc>
      </w:tr>
      <w:tr w:rsidR="00EA4DDB" w:rsidRPr="007D12CD" w14:paraId="4A718B49" w14:textId="77777777" w:rsidTr="007D12CD">
        <w:tc>
          <w:tcPr>
            <w:tcW w:w="873" w:type="dxa"/>
            <w:vMerge w:val="restart"/>
          </w:tcPr>
          <w:p w14:paraId="339C5B75" w14:textId="77777777" w:rsidR="00EA4DDB" w:rsidRPr="00E23C2C" w:rsidRDefault="00EA4DDB" w:rsidP="00EA4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 w:cs="Segoe UI"/>
                <w:noProof/>
              </w:rPr>
            </w:pPr>
            <w:r w:rsidRPr="00E23C2C">
              <w:rPr>
                <w:rFonts w:ascii="Palatino" w:hAnsi="Palatino" w:cs="Segoe UI"/>
                <w:noProof/>
              </w:rPr>
              <w:t>B</w:t>
            </w:r>
          </w:p>
        </w:tc>
        <w:tc>
          <w:tcPr>
            <w:tcW w:w="3088" w:type="dxa"/>
            <w:vMerge w:val="restart"/>
          </w:tcPr>
          <w:p w14:paraId="106D588B" w14:textId="10377EE5" w:rsidR="00EA4DDB" w:rsidRPr="00E23C2C" w:rsidRDefault="00CB0FEA" w:rsidP="007D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Segoe UI"/>
                <w:noProof/>
              </w:rPr>
            </w:pPr>
            <w:r w:rsidRPr="00E23C2C">
              <w:rPr>
                <w:rFonts w:ascii="Palatino" w:hAnsi="Palatino" w:cs="Segoe UI"/>
                <w:noProof/>
              </w:rPr>
              <w:t xml:space="preserve">Pakovanje i transport transformatora koji sadrže PCB do odlagališta </w:t>
            </w:r>
          </w:p>
          <w:p w14:paraId="4DEA9972" w14:textId="77777777" w:rsidR="00EA4DDB" w:rsidRPr="00E23C2C" w:rsidRDefault="00EA4DDB" w:rsidP="007D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Segoe UI"/>
                <w:noProof/>
              </w:rPr>
            </w:pPr>
          </w:p>
        </w:tc>
        <w:tc>
          <w:tcPr>
            <w:tcW w:w="5975" w:type="dxa"/>
          </w:tcPr>
          <w:p w14:paraId="5E97ED22" w14:textId="09FA8930" w:rsidR="004110F4" w:rsidRPr="00E23C2C" w:rsidRDefault="004110F4" w:rsidP="004A7123">
            <w:pPr>
              <w:spacing w:after="60" w:line="240" w:lineRule="auto"/>
              <w:rPr>
                <w:rFonts w:ascii="Palatino" w:hAnsi="Palatino" w:cs="Segoe UI"/>
                <w:noProof/>
              </w:rPr>
            </w:pPr>
            <w:r w:rsidRPr="00E23C2C">
              <w:rPr>
                <w:rFonts w:ascii="Palatino" w:hAnsi="Palatino" w:cs="Segoe UI"/>
                <w:noProof/>
              </w:rPr>
              <w:t>- Pakovanje transformatora koji sadrže PCB (u zavisnosti od toga da li se transformatori transportuju puni ulja ili ispražnjeni).</w:t>
            </w:r>
          </w:p>
          <w:p w14:paraId="60845D68" w14:textId="4D0312F1" w:rsidR="004110F4" w:rsidRPr="00E23C2C" w:rsidRDefault="004110F4" w:rsidP="004A7123">
            <w:pPr>
              <w:spacing w:after="60" w:line="240" w:lineRule="auto"/>
              <w:rPr>
                <w:rFonts w:ascii="Palatino" w:hAnsi="Palatino" w:cs="Segoe UI"/>
                <w:noProof/>
              </w:rPr>
            </w:pPr>
            <w:r w:rsidRPr="00E23C2C">
              <w:rPr>
                <w:rFonts w:ascii="Palatino" w:hAnsi="Palatino" w:cs="Segoe UI"/>
                <w:noProof/>
              </w:rPr>
              <w:t>- U slučaju pražnjenja transformatora koji sadrže PCB, neophodna je adekvatna ambalaža za transport ulja koje sadrži PCB i isušenih transformator</w:t>
            </w:r>
            <w:r w:rsidR="00790722" w:rsidRPr="00E23C2C">
              <w:rPr>
                <w:rFonts w:ascii="Palatino" w:hAnsi="Palatino" w:cs="Segoe UI"/>
                <w:noProof/>
              </w:rPr>
              <w:t>skih sudova</w:t>
            </w:r>
            <w:r w:rsidRPr="00E23C2C">
              <w:rPr>
                <w:rFonts w:ascii="Palatino" w:hAnsi="Palatino" w:cs="Segoe UI"/>
                <w:noProof/>
              </w:rPr>
              <w:t xml:space="preserve">, etikete, zatim lična zaštitna oprema, sigurnosna oprema, oprema potrebna za pražnjenje transformatora (pumpe, </w:t>
            </w:r>
            <w:r w:rsidR="003C1E26" w:rsidRPr="00E23C2C">
              <w:rPr>
                <w:rFonts w:ascii="Palatino" w:hAnsi="Palatino" w:cs="Segoe UI"/>
                <w:noProof/>
              </w:rPr>
              <w:t xml:space="preserve">spojevi i </w:t>
            </w:r>
            <w:r w:rsidR="00120A86" w:rsidRPr="00E23C2C">
              <w:rPr>
                <w:rFonts w:ascii="Palatino" w:hAnsi="Palatino" w:cs="Segoe UI"/>
                <w:noProof/>
              </w:rPr>
              <w:t>zaptiv</w:t>
            </w:r>
            <w:r w:rsidR="003C1E26" w:rsidRPr="00E23C2C">
              <w:rPr>
                <w:rFonts w:ascii="Palatino" w:hAnsi="Palatino" w:cs="Segoe UI"/>
                <w:noProof/>
              </w:rPr>
              <w:t>ci</w:t>
            </w:r>
            <w:r w:rsidRPr="00E23C2C">
              <w:rPr>
                <w:rFonts w:ascii="Palatino" w:hAnsi="Palatino" w:cs="Segoe UI"/>
                <w:noProof/>
              </w:rPr>
              <w:t xml:space="preserve">, itd.), materijali za čišćenje, apsorbenti, jednokratni materijali, pripadajući materijal za pakovanje i odlaganje (palete, posude za kapanje, </w:t>
            </w:r>
            <w:r w:rsidR="00790722" w:rsidRPr="00E23C2C">
              <w:rPr>
                <w:rFonts w:ascii="Palatino" w:hAnsi="Palatino" w:cs="Segoe UI"/>
                <w:noProof/>
              </w:rPr>
              <w:t>prenosne</w:t>
            </w:r>
            <w:r w:rsidRPr="00E23C2C">
              <w:rPr>
                <w:rFonts w:ascii="Palatino" w:hAnsi="Palatino" w:cs="Segoe UI"/>
                <w:noProof/>
              </w:rPr>
              <w:t xml:space="preserve"> kante, drvene ploče, letvice, vazdušni jastuci) itd.</w:t>
            </w:r>
          </w:p>
          <w:p w14:paraId="11C80F15" w14:textId="4B9C211F" w:rsidR="004110F4" w:rsidRPr="00E23C2C" w:rsidRDefault="004110F4" w:rsidP="004A7123">
            <w:pPr>
              <w:spacing w:after="60" w:line="240" w:lineRule="auto"/>
              <w:rPr>
                <w:rFonts w:ascii="Palatino" w:hAnsi="Palatino" w:cs="Segoe UI"/>
                <w:noProof/>
              </w:rPr>
            </w:pPr>
            <w:r w:rsidRPr="00E23C2C">
              <w:rPr>
                <w:rFonts w:ascii="Palatino" w:hAnsi="Palatino" w:cs="Segoe UI"/>
                <w:noProof/>
              </w:rPr>
              <w:t>- Obezbijediti opremu za rukovanje i dizanje (dizalica, viljuškar, vaga itd.).</w:t>
            </w:r>
          </w:p>
          <w:p w14:paraId="29FC2DB0" w14:textId="01ED850F" w:rsidR="00EA4DDB" w:rsidRPr="00E23C2C" w:rsidRDefault="004110F4" w:rsidP="004A7123">
            <w:pPr>
              <w:spacing w:after="60" w:line="240" w:lineRule="auto"/>
              <w:rPr>
                <w:rFonts w:ascii="Palatino" w:hAnsi="Palatino" w:cs="Segoe UI"/>
                <w:noProof/>
              </w:rPr>
            </w:pPr>
            <w:r w:rsidRPr="00E23C2C">
              <w:rPr>
                <w:rFonts w:ascii="Palatino" w:hAnsi="Palatino" w:cs="Segoe UI"/>
                <w:noProof/>
              </w:rPr>
              <w:lastRenderedPageBreak/>
              <w:t xml:space="preserve">- Završiti pražnjenje transformatora koji sadrže PCB, zatvaranjem praznih </w:t>
            </w:r>
            <w:r w:rsidR="00790722" w:rsidRPr="00E23C2C">
              <w:rPr>
                <w:rFonts w:ascii="Palatino" w:hAnsi="Palatino" w:cs="Segoe UI"/>
                <w:noProof/>
              </w:rPr>
              <w:t>transformatorskih sudova</w:t>
            </w:r>
            <w:r w:rsidRPr="00E23C2C">
              <w:rPr>
                <w:rFonts w:ascii="Palatino" w:hAnsi="Palatino" w:cs="Segoe UI"/>
                <w:noProof/>
              </w:rPr>
              <w:t xml:space="preserve"> kako bi se izbjeglo eventualno isticanje preostalog ulja iz ventila, pakovanje ulja u adekvatnu ambalažu i uklanjanjem zagađenja spoljašnjeg dijela trupa transformatora kako bi se omogućilo sigurno rukovanje transformatorima;</w:t>
            </w:r>
          </w:p>
        </w:tc>
      </w:tr>
      <w:tr w:rsidR="00EA4DDB" w:rsidRPr="007D12CD" w14:paraId="66A71ECD" w14:textId="77777777" w:rsidTr="007D12CD">
        <w:tc>
          <w:tcPr>
            <w:tcW w:w="873" w:type="dxa"/>
            <w:vMerge/>
          </w:tcPr>
          <w:p w14:paraId="00F93AE7" w14:textId="77777777" w:rsidR="00EA4DDB" w:rsidRPr="00E23C2C" w:rsidRDefault="00EA4DDB" w:rsidP="00EA4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 w:cs="Segoe UI"/>
                <w:noProof/>
              </w:rPr>
            </w:pPr>
          </w:p>
        </w:tc>
        <w:tc>
          <w:tcPr>
            <w:tcW w:w="3088" w:type="dxa"/>
            <w:vMerge/>
          </w:tcPr>
          <w:p w14:paraId="7455590D" w14:textId="77777777" w:rsidR="00EA4DDB" w:rsidRPr="00E23C2C" w:rsidRDefault="00EA4DDB" w:rsidP="007D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Segoe UI"/>
                <w:noProof/>
              </w:rPr>
            </w:pPr>
          </w:p>
        </w:tc>
        <w:tc>
          <w:tcPr>
            <w:tcW w:w="5975" w:type="dxa"/>
          </w:tcPr>
          <w:p w14:paraId="09463D37" w14:textId="76528719" w:rsidR="00FE5E80" w:rsidRPr="00E23C2C" w:rsidRDefault="00FE5E80" w:rsidP="00866FA1">
            <w:pPr>
              <w:spacing w:after="60" w:line="240" w:lineRule="auto"/>
              <w:rPr>
                <w:rFonts w:ascii="Palatino" w:hAnsi="Palatino" w:cs="Segoe UI"/>
                <w:noProof/>
              </w:rPr>
            </w:pPr>
            <w:r w:rsidRPr="00E23C2C">
              <w:rPr>
                <w:rFonts w:ascii="Palatino" w:hAnsi="Palatino" w:cs="Segoe UI"/>
                <w:noProof/>
              </w:rPr>
              <w:t>- Izvoz transformatora koji sadrže PCB u inostranstvo, radi dekontaminacije u licenciranom postrojenju, uz poštovanje svih crnogorskih i međunarodnih propisa, uključujući carinske propise, Direktivu EK 1013/2006 Evropskog savjeta koja se tiče slanja otpada, zatim ADR, IMDG, RID, IATA-DGR propis</w:t>
            </w:r>
            <w:r w:rsidR="00866FA1">
              <w:rPr>
                <w:rFonts w:ascii="Palatino" w:hAnsi="Palatino" w:cs="Segoe UI"/>
                <w:noProof/>
              </w:rPr>
              <w:t>e/sporazume</w:t>
            </w:r>
            <w:r w:rsidRPr="00E23C2C">
              <w:rPr>
                <w:rFonts w:ascii="Palatino" w:hAnsi="Palatino" w:cs="Segoe UI"/>
                <w:noProof/>
              </w:rPr>
              <w:t xml:space="preserve"> o prevozu opasnih roba različitim prevoznim sredstvima, dokumentacija Baselske i Stokholmske konvencije za prekogranično kretanje transformatora koji sadrže PCB od mjesta otpreme u Crnoj Gori do zemlje odredišta, uključujući dobijanje svih potrebnih odobrenja i dozvola dotičnih zemalja za prekogranični prevoz opasnog otpada, cjelokupno rukovanje, prevoz i odlaganje u skladu sa BAT/BEP standardima, uključujući sve odredbe o osiguranju, kao i naknade za izvozne, tranzitne i/ili uvozne dozvole; mogući troškovi zakupa </w:t>
            </w:r>
            <w:r w:rsidR="00754711" w:rsidRPr="00E23C2C">
              <w:rPr>
                <w:rFonts w:ascii="Palatino" w:hAnsi="Palatino" w:cs="Segoe UI"/>
                <w:noProof/>
              </w:rPr>
              <w:t xml:space="preserve">brodskih </w:t>
            </w:r>
            <w:r w:rsidRPr="00E23C2C">
              <w:rPr>
                <w:rFonts w:ascii="Palatino" w:hAnsi="Palatino" w:cs="Segoe UI"/>
                <w:noProof/>
              </w:rPr>
              <w:t>kontejnera; moguće naknade za skladištenje opasnog otpada, garancije itd.</w:t>
            </w:r>
          </w:p>
        </w:tc>
      </w:tr>
      <w:tr w:rsidR="00EA4DDB" w:rsidRPr="007D12CD" w14:paraId="2BF6C69F" w14:textId="77777777" w:rsidTr="007D12CD">
        <w:tc>
          <w:tcPr>
            <w:tcW w:w="873" w:type="dxa"/>
            <w:vMerge/>
          </w:tcPr>
          <w:p w14:paraId="345584AD" w14:textId="77777777" w:rsidR="00EA4DDB" w:rsidRPr="00E23C2C" w:rsidRDefault="00EA4DDB" w:rsidP="00EA4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 w:cs="Segoe UI"/>
                <w:noProof/>
              </w:rPr>
            </w:pPr>
          </w:p>
        </w:tc>
        <w:tc>
          <w:tcPr>
            <w:tcW w:w="3088" w:type="dxa"/>
            <w:vMerge/>
          </w:tcPr>
          <w:p w14:paraId="4FCFB165" w14:textId="77777777" w:rsidR="00EA4DDB" w:rsidRPr="00E23C2C" w:rsidRDefault="00EA4DDB" w:rsidP="007D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Segoe UI"/>
                <w:noProof/>
              </w:rPr>
            </w:pPr>
          </w:p>
        </w:tc>
        <w:tc>
          <w:tcPr>
            <w:tcW w:w="5975" w:type="dxa"/>
          </w:tcPr>
          <w:p w14:paraId="6864B6F8" w14:textId="2D5C5E58" w:rsidR="00902986" w:rsidRPr="00E23C2C" w:rsidRDefault="00754711" w:rsidP="004A7123">
            <w:pPr>
              <w:spacing w:after="60" w:line="240" w:lineRule="auto"/>
              <w:rPr>
                <w:rFonts w:ascii="Palatino" w:eastAsia="Times New Roman" w:hAnsi="Palatino" w:cs="Segoe UI"/>
                <w:noProof/>
              </w:rPr>
            </w:pPr>
            <w:r w:rsidRPr="00E23C2C">
              <w:rPr>
                <w:rFonts w:ascii="Palatino" w:eastAsia="Times New Roman" w:hAnsi="Palatino" w:cs="Segoe UI"/>
                <w:noProof/>
              </w:rPr>
              <w:t xml:space="preserve">- Obezbijediti dovoljan broj teretnih vozila dovoljne nosivosti za međunarodni prevoz brodskih kontejnera, ambalaže, alata i opreme kako bi se izbjegli prekidi u radu zbog nedostatka vozila. </w:t>
            </w:r>
          </w:p>
          <w:p w14:paraId="36982A39" w14:textId="009D4B3F" w:rsidR="00902986" w:rsidRPr="00E23C2C" w:rsidRDefault="00902986" w:rsidP="004A7123">
            <w:pPr>
              <w:spacing w:after="60" w:line="240" w:lineRule="auto"/>
              <w:rPr>
                <w:rFonts w:ascii="Palatino" w:eastAsia="Times New Roman" w:hAnsi="Palatino" w:cs="Segoe UI"/>
                <w:noProof/>
              </w:rPr>
            </w:pPr>
            <w:r w:rsidRPr="00E23C2C">
              <w:rPr>
                <w:rFonts w:ascii="Palatino" w:eastAsia="Times New Roman" w:hAnsi="Palatino" w:cs="Segoe UI"/>
                <w:noProof/>
              </w:rPr>
              <w:t xml:space="preserve">- </w:t>
            </w:r>
            <w:r w:rsidR="00754711" w:rsidRPr="00E23C2C">
              <w:rPr>
                <w:rFonts w:ascii="Palatino" w:eastAsia="Times New Roman" w:hAnsi="Palatino" w:cs="Segoe UI"/>
                <w:noProof/>
              </w:rPr>
              <w:t>Osiguranje tereta t</w:t>
            </w:r>
            <w:r w:rsidRPr="00E23C2C">
              <w:rPr>
                <w:rFonts w:ascii="Palatino" w:eastAsia="Times New Roman" w:hAnsi="Palatino" w:cs="Segoe UI"/>
                <w:noProof/>
              </w:rPr>
              <w:t>okom prevoza</w:t>
            </w:r>
            <w:r w:rsidR="00754711" w:rsidRPr="00E23C2C">
              <w:rPr>
                <w:rFonts w:ascii="Palatino" w:eastAsia="Times New Roman" w:hAnsi="Palatino" w:cs="Segoe UI"/>
                <w:noProof/>
              </w:rPr>
              <w:t xml:space="preserve">. </w:t>
            </w:r>
          </w:p>
          <w:p w14:paraId="6DD553A5" w14:textId="127073DA" w:rsidR="00EA4DDB" w:rsidRPr="00E23C2C" w:rsidRDefault="00902986" w:rsidP="004A7123">
            <w:pPr>
              <w:spacing w:after="60" w:line="240" w:lineRule="auto"/>
              <w:rPr>
                <w:rFonts w:ascii="Palatino" w:eastAsia="Times New Roman" w:hAnsi="Palatino" w:cs="Segoe UI"/>
                <w:noProof/>
              </w:rPr>
            </w:pPr>
            <w:r w:rsidRPr="00E23C2C">
              <w:rPr>
                <w:rFonts w:ascii="Palatino" w:eastAsia="Times New Roman" w:hAnsi="Palatino" w:cs="Segoe UI"/>
                <w:noProof/>
              </w:rPr>
              <w:t xml:space="preserve">- </w:t>
            </w:r>
            <w:r w:rsidR="00754711" w:rsidRPr="00E23C2C">
              <w:rPr>
                <w:rFonts w:ascii="Palatino" w:eastAsia="Times New Roman" w:hAnsi="Palatino" w:cs="Segoe UI"/>
                <w:noProof/>
              </w:rPr>
              <w:t>Pribav</w:t>
            </w:r>
            <w:r w:rsidRPr="00E23C2C">
              <w:rPr>
                <w:rFonts w:ascii="Palatino" w:eastAsia="Times New Roman" w:hAnsi="Palatino" w:cs="Segoe UI"/>
                <w:noProof/>
              </w:rPr>
              <w:t>ljanje</w:t>
            </w:r>
            <w:r w:rsidR="00754711" w:rsidRPr="00E23C2C">
              <w:rPr>
                <w:rFonts w:ascii="Palatino" w:eastAsia="Times New Roman" w:hAnsi="Palatino" w:cs="Segoe UI"/>
                <w:noProof/>
              </w:rPr>
              <w:t xml:space="preserve"> sv</w:t>
            </w:r>
            <w:r w:rsidRPr="00E23C2C">
              <w:rPr>
                <w:rFonts w:ascii="Palatino" w:eastAsia="Times New Roman" w:hAnsi="Palatino" w:cs="Segoe UI"/>
                <w:noProof/>
              </w:rPr>
              <w:t>ih</w:t>
            </w:r>
            <w:r w:rsidR="00754711" w:rsidRPr="00E23C2C">
              <w:rPr>
                <w:rFonts w:ascii="Palatino" w:eastAsia="Times New Roman" w:hAnsi="Palatino" w:cs="Segoe UI"/>
                <w:noProof/>
              </w:rPr>
              <w:t xml:space="preserve"> potrebn</w:t>
            </w:r>
            <w:r w:rsidRPr="00E23C2C">
              <w:rPr>
                <w:rFonts w:ascii="Palatino" w:eastAsia="Times New Roman" w:hAnsi="Palatino" w:cs="Segoe UI"/>
                <w:noProof/>
              </w:rPr>
              <w:t>ih</w:t>
            </w:r>
            <w:r w:rsidR="00754711" w:rsidRPr="00E23C2C">
              <w:rPr>
                <w:rFonts w:ascii="Palatino" w:eastAsia="Times New Roman" w:hAnsi="Palatino" w:cs="Segoe UI"/>
                <w:noProof/>
              </w:rPr>
              <w:t xml:space="preserve"> odobrenja za prekogranični </w:t>
            </w:r>
            <w:r w:rsidRPr="00E23C2C">
              <w:rPr>
                <w:rFonts w:ascii="Palatino" w:eastAsia="Times New Roman" w:hAnsi="Palatino" w:cs="Segoe UI"/>
                <w:noProof/>
              </w:rPr>
              <w:t>transport</w:t>
            </w:r>
            <w:r w:rsidR="00754711" w:rsidRPr="00E23C2C">
              <w:rPr>
                <w:rFonts w:ascii="Palatino" w:eastAsia="Times New Roman" w:hAnsi="Palatino" w:cs="Segoe UI"/>
                <w:noProof/>
              </w:rPr>
              <w:t xml:space="preserve"> </w:t>
            </w:r>
            <w:r w:rsidRPr="00E23C2C">
              <w:rPr>
                <w:rFonts w:ascii="Palatino" w:eastAsia="Times New Roman" w:hAnsi="Palatino" w:cs="Segoe UI"/>
                <w:noProof/>
              </w:rPr>
              <w:t>opasne opreme</w:t>
            </w:r>
            <w:r w:rsidR="00754711" w:rsidRPr="00E23C2C">
              <w:rPr>
                <w:rFonts w:ascii="Palatino" w:eastAsia="Times New Roman" w:hAnsi="Palatino" w:cs="Segoe UI"/>
                <w:noProof/>
              </w:rPr>
              <w:t>/otpada.</w:t>
            </w:r>
          </w:p>
        </w:tc>
      </w:tr>
      <w:tr w:rsidR="00EA4DDB" w:rsidRPr="007D12CD" w14:paraId="617A807B" w14:textId="77777777" w:rsidTr="007D12CD">
        <w:tc>
          <w:tcPr>
            <w:tcW w:w="873" w:type="dxa"/>
          </w:tcPr>
          <w:p w14:paraId="352E87F8" w14:textId="77777777" w:rsidR="00EA4DDB" w:rsidRPr="00E23C2C" w:rsidRDefault="00EA4DDB" w:rsidP="00EA4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 w:cs="Segoe UI"/>
                <w:noProof/>
              </w:rPr>
            </w:pPr>
            <w:r w:rsidRPr="00E23C2C">
              <w:rPr>
                <w:rFonts w:ascii="Palatino" w:hAnsi="Palatino" w:cs="Segoe UI"/>
                <w:noProof/>
              </w:rPr>
              <w:t>C</w:t>
            </w:r>
          </w:p>
        </w:tc>
        <w:tc>
          <w:tcPr>
            <w:tcW w:w="3088" w:type="dxa"/>
          </w:tcPr>
          <w:p w14:paraId="55231680" w14:textId="2C62FE77" w:rsidR="00EA4DDB" w:rsidRPr="00E23C2C" w:rsidRDefault="00A01B62" w:rsidP="00A01B6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" w:hAnsi="Palatino" w:cs="Segoe UI"/>
                <w:noProof/>
              </w:rPr>
            </w:pPr>
            <w:r w:rsidRPr="00E23C2C">
              <w:rPr>
                <w:rFonts w:ascii="Palatino" w:hAnsi="Palatino" w:cs="Segoe UI"/>
                <w:noProof/>
              </w:rPr>
              <w:t>Dekontaminacija transformatora koji sadrže PCB, namijenjenih ponovnoj upotrebi i recikliranju</w:t>
            </w:r>
          </w:p>
        </w:tc>
        <w:tc>
          <w:tcPr>
            <w:tcW w:w="5975" w:type="dxa"/>
          </w:tcPr>
          <w:p w14:paraId="373604C3" w14:textId="6D1CC287" w:rsidR="00E23C2C" w:rsidRDefault="00E23C2C" w:rsidP="004A7123">
            <w:pPr>
              <w:spacing w:after="60" w:line="240" w:lineRule="auto"/>
              <w:rPr>
                <w:rFonts w:ascii="Palatino" w:eastAsia="Times New Roman" w:hAnsi="Palatino" w:cs="Segoe UI"/>
                <w:noProof/>
              </w:rPr>
            </w:pPr>
            <w:r>
              <w:rPr>
                <w:rFonts w:ascii="Palatino" w:eastAsia="Times New Roman" w:hAnsi="Palatino" w:cs="Segoe UI"/>
                <w:noProof/>
              </w:rPr>
              <w:t>- Za</w:t>
            </w:r>
            <w:r w:rsidRPr="00E23C2C">
              <w:rPr>
                <w:rFonts w:ascii="Palatino" w:eastAsia="Times New Roman" w:hAnsi="Palatino" w:cs="Segoe UI"/>
                <w:noProof/>
              </w:rPr>
              <w:t xml:space="preserve">vršiti dekontaminaciju transformatora </w:t>
            </w:r>
            <w:r>
              <w:rPr>
                <w:rFonts w:ascii="Palatino" w:eastAsia="Times New Roman" w:hAnsi="Palatino" w:cs="Segoe UI"/>
                <w:noProof/>
              </w:rPr>
              <w:t>koji sadrže</w:t>
            </w:r>
            <w:r w:rsidRPr="00E23C2C">
              <w:rPr>
                <w:rFonts w:ascii="Palatino" w:eastAsia="Times New Roman" w:hAnsi="Palatino" w:cs="Segoe UI"/>
                <w:noProof/>
              </w:rPr>
              <w:t xml:space="preserve"> PCB;</w:t>
            </w:r>
          </w:p>
          <w:p w14:paraId="2AA50D10" w14:textId="77777777" w:rsidR="00E23C2C" w:rsidRDefault="00E23C2C" w:rsidP="004A7123">
            <w:pPr>
              <w:spacing w:after="60" w:line="240" w:lineRule="auto"/>
              <w:rPr>
                <w:rFonts w:ascii="Palatino" w:eastAsia="Times New Roman" w:hAnsi="Palatino" w:cs="Segoe UI"/>
                <w:noProof/>
              </w:rPr>
            </w:pPr>
            <w:r w:rsidRPr="00E23C2C">
              <w:rPr>
                <w:rFonts w:ascii="Palatino" w:eastAsia="Times New Roman" w:hAnsi="Palatino" w:cs="Segoe UI"/>
                <w:noProof/>
              </w:rPr>
              <w:t xml:space="preserve"> </w:t>
            </w:r>
            <w:r>
              <w:rPr>
                <w:rFonts w:ascii="Palatino" w:eastAsia="Times New Roman" w:hAnsi="Palatino" w:cs="Segoe UI"/>
                <w:noProof/>
              </w:rPr>
              <w:t>- I</w:t>
            </w:r>
            <w:r w:rsidRPr="00E23C2C">
              <w:rPr>
                <w:rFonts w:ascii="Palatino" w:eastAsia="Times New Roman" w:hAnsi="Palatino" w:cs="Segoe UI"/>
                <w:noProof/>
              </w:rPr>
              <w:t xml:space="preserve">zvršiti osnovno servisiranje dekontaminiranih transformatora namijenjenih ponovnoj upotrebi (uklanjanje korozije, </w:t>
            </w:r>
            <w:r w:rsidR="00164398">
              <w:rPr>
                <w:rFonts w:ascii="Palatino" w:eastAsia="Times New Roman" w:hAnsi="Palatino" w:cs="Segoe UI"/>
                <w:noProof/>
              </w:rPr>
              <w:t>farbanje</w:t>
            </w:r>
            <w:r w:rsidRPr="00E23C2C">
              <w:rPr>
                <w:rFonts w:ascii="Palatino" w:eastAsia="Times New Roman" w:hAnsi="Palatino" w:cs="Segoe UI"/>
                <w:noProof/>
              </w:rPr>
              <w:t xml:space="preserve">, </w:t>
            </w:r>
            <w:r w:rsidR="00164398">
              <w:rPr>
                <w:rFonts w:ascii="Palatino" w:eastAsia="Times New Roman" w:hAnsi="Palatino" w:cs="Segoe UI"/>
                <w:noProof/>
              </w:rPr>
              <w:t>zatezanje spojnica</w:t>
            </w:r>
            <w:r w:rsidRPr="00E23C2C">
              <w:rPr>
                <w:rFonts w:ascii="Palatino" w:eastAsia="Times New Roman" w:hAnsi="Palatino" w:cs="Segoe UI"/>
                <w:noProof/>
              </w:rPr>
              <w:t xml:space="preserve">, </w:t>
            </w:r>
            <w:r w:rsidR="00164398">
              <w:rPr>
                <w:rFonts w:ascii="Palatino" w:eastAsia="Times New Roman" w:hAnsi="Palatino" w:cs="Segoe UI"/>
                <w:noProof/>
              </w:rPr>
              <w:t>itd</w:t>
            </w:r>
            <w:r w:rsidR="009D6B98">
              <w:rPr>
                <w:rFonts w:ascii="Palatino" w:eastAsia="Times New Roman" w:hAnsi="Palatino" w:cs="Segoe UI"/>
                <w:noProof/>
              </w:rPr>
              <w:t>.</w:t>
            </w:r>
            <w:r w:rsidRPr="00E23C2C">
              <w:rPr>
                <w:rFonts w:ascii="Palatino" w:eastAsia="Times New Roman" w:hAnsi="Palatino" w:cs="Segoe UI"/>
                <w:noProof/>
              </w:rPr>
              <w:t>) i vraćanje istog vlasniku u normalnom radnom stanju; i izvršiti de</w:t>
            </w:r>
            <w:r w:rsidR="009D6B98">
              <w:rPr>
                <w:rFonts w:ascii="Palatino" w:eastAsia="Times New Roman" w:hAnsi="Palatino" w:cs="Segoe UI"/>
                <w:noProof/>
              </w:rPr>
              <w:t>kontaminaciju ulja i metalnih d</w:t>
            </w:r>
            <w:r w:rsidRPr="00E23C2C">
              <w:rPr>
                <w:rFonts w:ascii="Palatino" w:eastAsia="Times New Roman" w:hAnsi="Palatino" w:cs="Segoe UI"/>
                <w:noProof/>
              </w:rPr>
              <w:t>jelova transformator</w:t>
            </w:r>
            <w:r w:rsidR="009D6B98">
              <w:rPr>
                <w:rFonts w:ascii="Palatino" w:eastAsia="Times New Roman" w:hAnsi="Palatino" w:cs="Segoe UI"/>
                <w:noProof/>
              </w:rPr>
              <w:t>a</w:t>
            </w:r>
            <w:r w:rsidRPr="00E23C2C">
              <w:rPr>
                <w:rFonts w:ascii="Palatino" w:eastAsia="Times New Roman" w:hAnsi="Palatino" w:cs="Segoe UI"/>
                <w:noProof/>
              </w:rPr>
              <w:t xml:space="preserve"> i vratiti ih vlasniku.</w:t>
            </w:r>
          </w:p>
          <w:p w14:paraId="3E230B6F" w14:textId="763FCC02" w:rsidR="005E064F" w:rsidRPr="00E23C2C" w:rsidRDefault="005E064F" w:rsidP="004A7123">
            <w:pPr>
              <w:spacing w:after="60" w:line="240" w:lineRule="auto"/>
              <w:rPr>
                <w:rFonts w:ascii="Palatino" w:eastAsia="Times New Roman" w:hAnsi="Palatino" w:cs="Segoe UI"/>
                <w:noProof/>
              </w:rPr>
            </w:pPr>
            <w:r>
              <w:rPr>
                <w:rFonts w:ascii="Palatino" w:eastAsia="Times New Roman" w:hAnsi="Palatino" w:cs="Segoe UI"/>
                <w:noProof/>
              </w:rPr>
              <w:t>- Ispravno izvršena dekontaminacija transformatora potvrđuje se laboratorijskim analizama, u skladu sa propisanim analitičkim metodama.</w:t>
            </w:r>
          </w:p>
        </w:tc>
      </w:tr>
    </w:tbl>
    <w:p w14:paraId="6F8A8E04" w14:textId="77777777" w:rsidR="00EA4DDB" w:rsidRPr="007D12CD" w:rsidRDefault="00EA4DDB" w:rsidP="00346254">
      <w:pPr>
        <w:spacing w:after="60"/>
        <w:jc w:val="both"/>
        <w:rPr>
          <w:rFonts w:ascii="Palatino" w:hAnsi="Palatino"/>
          <w:noProof/>
        </w:rPr>
      </w:pPr>
    </w:p>
    <w:p w14:paraId="551A13E5" w14:textId="4297732B" w:rsidR="00D52478" w:rsidRDefault="00F21A5C" w:rsidP="00346254">
      <w:pPr>
        <w:spacing w:after="60"/>
        <w:jc w:val="both"/>
        <w:rPr>
          <w:rFonts w:ascii="Palatino" w:hAnsi="Palatino"/>
          <w:noProof/>
        </w:rPr>
      </w:pPr>
      <w:r>
        <w:rPr>
          <w:rFonts w:ascii="Palatino" w:hAnsi="Palatino"/>
          <w:noProof/>
        </w:rPr>
        <w:t>Svemu navedenom prethod</w:t>
      </w:r>
      <w:r w:rsidR="000B3BF2">
        <w:rPr>
          <w:rFonts w:ascii="Palatino" w:hAnsi="Palatino"/>
          <w:noProof/>
        </w:rPr>
        <w:t xml:space="preserve">e ispitivanja kojima se potvrđuje zastupljenost PCB u transformatorima i kondenzatorima, a koja su u značajnoj mjeri prethodila izradi Nacionalnog </w:t>
      </w:r>
      <w:r w:rsidR="000B3BF2">
        <w:rPr>
          <w:rFonts w:ascii="Palatino" w:hAnsi="Palatino"/>
          <w:noProof/>
        </w:rPr>
        <w:lastRenderedPageBreak/>
        <w:t>plana za upravljanje PCB u Crnoj Gori i izvršio ih je Centar za ekotoksikološka istraživanja (CETI)</w:t>
      </w:r>
      <w:r w:rsidR="00594315">
        <w:rPr>
          <w:rStyle w:val="FootnoteReference"/>
          <w:rFonts w:ascii="Palatino" w:hAnsi="Palatino"/>
          <w:noProof/>
        </w:rPr>
        <w:footnoteReference w:id="16"/>
      </w:r>
      <w:r w:rsidR="000B3BF2">
        <w:rPr>
          <w:rFonts w:ascii="Palatino" w:hAnsi="Palatino"/>
          <w:noProof/>
        </w:rPr>
        <w:t xml:space="preserve"> iz Podgorice</w:t>
      </w:r>
      <w:r w:rsidR="00594315">
        <w:rPr>
          <w:rFonts w:ascii="Palatino" w:hAnsi="Palatino"/>
          <w:noProof/>
        </w:rPr>
        <w:t>.</w:t>
      </w:r>
      <w:r w:rsidR="000B3BF2">
        <w:rPr>
          <w:rFonts w:ascii="Palatino" w:hAnsi="Palatino"/>
          <w:noProof/>
        </w:rPr>
        <w:t xml:space="preserve"> </w:t>
      </w:r>
      <w:r w:rsidR="00594315">
        <w:rPr>
          <w:rFonts w:ascii="Palatino" w:hAnsi="Palatino"/>
          <w:noProof/>
        </w:rPr>
        <w:t>CETI</w:t>
      </w:r>
      <w:r w:rsidR="000B3BF2">
        <w:rPr>
          <w:rFonts w:ascii="Palatino" w:hAnsi="Palatino"/>
          <w:noProof/>
        </w:rPr>
        <w:t xml:space="preserve"> posjeduje neophodne certifikate i stručno osoblje za analizu, između ostalog, prisustv</w:t>
      </w:r>
      <w:r w:rsidR="00594315">
        <w:rPr>
          <w:rFonts w:ascii="Palatino" w:hAnsi="Palatino"/>
          <w:noProof/>
        </w:rPr>
        <w:t>a</w:t>
      </w:r>
      <w:r w:rsidR="000B3BF2">
        <w:rPr>
          <w:rFonts w:ascii="Palatino" w:hAnsi="Palatino"/>
          <w:noProof/>
        </w:rPr>
        <w:t xml:space="preserve"> PCB</w:t>
      </w:r>
      <w:r w:rsidR="000B3BF2" w:rsidRPr="000B3BF2">
        <w:rPr>
          <w:rFonts w:ascii="Palatino" w:hAnsi="Palatino"/>
          <w:noProof/>
        </w:rPr>
        <w:t xml:space="preserve"> u vodi za piće i ledu, površinskim i podzemnim vodama, otpadnim vodama, morsko</w:t>
      </w:r>
      <w:r w:rsidR="000B3BF2">
        <w:rPr>
          <w:rFonts w:ascii="Palatino" w:hAnsi="Palatino"/>
          <w:noProof/>
        </w:rPr>
        <w:t>j</w:t>
      </w:r>
      <w:r w:rsidR="000B3BF2" w:rsidRPr="000B3BF2">
        <w:rPr>
          <w:rFonts w:ascii="Palatino" w:hAnsi="Palatino"/>
          <w:noProof/>
        </w:rPr>
        <w:t xml:space="preserve"> vod</w:t>
      </w:r>
      <w:r w:rsidR="000B3BF2">
        <w:rPr>
          <w:rFonts w:ascii="Palatino" w:hAnsi="Palatino"/>
          <w:noProof/>
        </w:rPr>
        <w:t>i, ribi</w:t>
      </w:r>
      <w:r w:rsidR="000B3BF2" w:rsidRPr="000B3BF2">
        <w:rPr>
          <w:rFonts w:ascii="Palatino" w:hAnsi="Palatino"/>
          <w:noProof/>
        </w:rPr>
        <w:t>, sediment</w:t>
      </w:r>
      <w:r w:rsidR="000B3BF2">
        <w:rPr>
          <w:rFonts w:ascii="Palatino" w:hAnsi="Palatino"/>
          <w:noProof/>
        </w:rPr>
        <w:t xml:space="preserve">u/zemljištu, </w:t>
      </w:r>
      <w:r w:rsidR="000B3BF2" w:rsidRPr="000B3BF2">
        <w:rPr>
          <w:rFonts w:ascii="Palatino" w:hAnsi="Palatino"/>
          <w:noProof/>
        </w:rPr>
        <w:t>transformatorsk</w:t>
      </w:r>
      <w:r w:rsidR="000B3BF2">
        <w:rPr>
          <w:rFonts w:ascii="Palatino" w:hAnsi="Palatino"/>
          <w:noProof/>
        </w:rPr>
        <w:t>om</w:t>
      </w:r>
      <w:r w:rsidR="000B3BF2" w:rsidRPr="000B3BF2">
        <w:rPr>
          <w:rFonts w:ascii="Palatino" w:hAnsi="Palatino"/>
          <w:noProof/>
        </w:rPr>
        <w:t xml:space="preserve"> ulj</w:t>
      </w:r>
      <w:r w:rsidR="000B3BF2">
        <w:rPr>
          <w:rFonts w:ascii="Palatino" w:hAnsi="Palatino"/>
          <w:noProof/>
        </w:rPr>
        <w:t>u</w:t>
      </w:r>
      <w:r w:rsidR="000B3BF2" w:rsidRPr="000B3BF2">
        <w:rPr>
          <w:rFonts w:ascii="Palatino" w:hAnsi="Palatino"/>
          <w:noProof/>
        </w:rPr>
        <w:t xml:space="preserve">. </w:t>
      </w:r>
      <w:r w:rsidR="000B3BF2">
        <w:rPr>
          <w:rFonts w:ascii="Palatino" w:hAnsi="Palatino"/>
          <w:noProof/>
        </w:rPr>
        <w:t>Takođe</w:t>
      </w:r>
      <w:r w:rsidR="000B3BF2" w:rsidRPr="000B3BF2">
        <w:rPr>
          <w:rFonts w:ascii="Palatino" w:hAnsi="Palatino"/>
          <w:noProof/>
        </w:rPr>
        <w:t xml:space="preserve">, CETI je ovlašten za uzorkovanje </w:t>
      </w:r>
      <w:r w:rsidR="00A16870">
        <w:rPr>
          <w:rFonts w:ascii="Palatino" w:hAnsi="Palatino"/>
          <w:noProof/>
        </w:rPr>
        <w:t>zemljišta/</w:t>
      </w:r>
      <w:r w:rsidR="000B3BF2" w:rsidRPr="000B3BF2">
        <w:rPr>
          <w:rFonts w:ascii="Palatino" w:hAnsi="Palatino"/>
          <w:noProof/>
        </w:rPr>
        <w:t xml:space="preserve">sedimenta, </w:t>
      </w:r>
      <w:r w:rsidR="00A16870">
        <w:rPr>
          <w:rFonts w:ascii="Palatino" w:hAnsi="Palatino"/>
          <w:noProof/>
        </w:rPr>
        <w:t>tečnosti</w:t>
      </w:r>
      <w:r w:rsidR="000B3BF2" w:rsidRPr="000B3BF2">
        <w:rPr>
          <w:rFonts w:ascii="Palatino" w:hAnsi="Palatino"/>
          <w:noProof/>
        </w:rPr>
        <w:t xml:space="preserve">, zapaljivih </w:t>
      </w:r>
      <w:r w:rsidR="00A16870">
        <w:rPr>
          <w:rFonts w:ascii="Palatino" w:hAnsi="Palatino"/>
          <w:noProof/>
        </w:rPr>
        <w:t>materija</w:t>
      </w:r>
      <w:r w:rsidR="000B3BF2" w:rsidRPr="000B3BF2">
        <w:rPr>
          <w:rFonts w:ascii="Palatino" w:hAnsi="Palatino"/>
          <w:noProof/>
        </w:rPr>
        <w:t>, vode (pitke, površinske, morske, podzemne vode) i otpadnih voda.</w:t>
      </w:r>
      <w:r>
        <w:rPr>
          <w:rFonts w:ascii="Palatino" w:hAnsi="Palatino"/>
          <w:noProof/>
        </w:rPr>
        <w:t xml:space="preserve"> </w:t>
      </w:r>
    </w:p>
    <w:p w14:paraId="579D3C89" w14:textId="341AFBCA" w:rsidR="00BB5A4F" w:rsidRDefault="00BB5A4F" w:rsidP="00346254">
      <w:pPr>
        <w:spacing w:after="60"/>
        <w:jc w:val="both"/>
        <w:rPr>
          <w:rFonts w:ascii="Palatino" w:hAnsi="Palatino"/>
          <w:noProof/>
        </w:rPr>
      </w:pPr>
      <w:r>
        <w:rPr>
          <w:rFonts w:ascii="Palatino" w:hAnsi="Palatino"/>
          <w:noProof/>
        </w:rPr>
        <w:t xml:space="preserve">Laboratorijske analize kojima se potvrđuje ispravno izvršena dekontaminacija obavljaju se prije transporta dekontaminiranih transformatora u Crnu Goru, dakle pri postrojenju u kojem je izvršena dekontaminacija. </w:t>
      </w:r>
    </w:p>
    <w:p w14:paraId="31BDA55C" w14:textId="3C6FD247" w:rsidR="006505C9" w:rsidRDefault="006505C9" w:rsidP="00346254">
      <w:pPr>
        <w:spacing w:after="60"/>
        <w:jc w:val="both"/>
        <w:rPr>
          <w:rFonts w:ascii="Palatino" w:hAnsi="Palatino"/>
          <w:b/>
          <w:noProof/>
        </w:rPr>
      </w:pPr>
      <w:r w:rsidRPr="00117ADB">
        <w:rPr>
          <w:rFonts w:ascii="Palatino" w:hAnsi="Palatino"/>
          <w:b/>
          <w:noProof/>
        </w:rPr>
        <w:t>U kontekstu učesnika u JPP</w:t>
      </w:r>
      <w:r w:rsidR="009F6F09" w:rsidRPr="00117ADB">
        <w:rPr>
          <w:rFonts w:ascii="Palatino" w:hAnsi="Palatino"/>
          <w:b/>
          <w:noProof/>
        </w:rPr>
        <w:t xml:space="preserve"> i prethodno opisanog postupka</w:t>
      </w:r>
      <w:r w:rsidRPr="00117ADB">
        <w:rPr>
          <w:rFonts w:ascii="Palatino" w:hAnsi="Palatino"/>
          <w:b/>
          <w:noProof/>
        </w:rPr>
        <w:t xml:space="preserve">, jasno je da imalac </w:t>
      </w:r>
      <w:r w:rsidR="006C5AAF" w:rsidRPr="00117ADB">
        <w:rPr>
          <w:rFonts w:ascii="Palatino" w:hAnsi="Palatino"/>
          <w:b/>
          <w:noProof/>
        </w:rPr>
        <w:t xml:space="preserve">opreme i otpada koji sadrži PCB </w:t>
      </w:r>
      <w:r w:rsidR="009F6F09" w:rsidRPr="00117ADB">
        <w:rPr>
          <w:rFonts w:ascii="Palatino" w:hAnsi="Palatino"/>
          <w:b/>
          <w:noProof/>
        </w:rPr>
        <w:t xml:space="preserve">svoj problem odlaganja/tretmana PCB otpada prije rješava kroz sistem javnih nabavki, ukoliko se radi o kompaniji koja je </w:t>
      </w:r>
      <w:r w:rsidR="00210A9C" w:rsidRPr="00117ADB">
        <w:rPr>
          <w:rFonts w:ascii="Palatino" w:hAnsi="Palatino"/>
          <w:b/>
          <w:noProof/>
        </w:rPr>
        <w:t>obveznik</w:t>
      </w:r>
      <w:r w:rsidR="00D90FD2" w:rsidRPr="00117ADB">
        <w:rPr>
          <w:rFonts w:ascii="Palatino" w:hAnsi="Palatino"/>
          <w:b/>
          <w:noProof/>
        </w:rPr>
        <w:t xml:space="preserve"> (npr</w:t>
      </w:r>
      <w:r w:rsidR="00B47835" w:rsidRPr="00117ADB">
        <w:rPr>
          <w:rFonts w:ascii="Palatino" w:hAnsi="Palatino"/>
          <w:b/>
          <w:noProof/>
        </w:rPr>
        <w:t>.</w:t>
      </w:r>
      <w:r w:rsidR="00D90FD2" w:rsidRPr="00117ADB">
        <w:rPr>
          <w:rFonts w:ascii="Palatino" w:hAnsi="Palatino"/>
          <w:b/>
          <w:noProof/>
        </w:rPr>
        <w:t xml:space="preserve"> CEDIS </w:t>
      </w:r>
      <w:r w:rsidR="00117ADB">
        <w:rPr>
          <w:rFonts w:ascii="Palatino" w:hAnsi="Palatino"/>
          <w:b/>
          <w:noProof/>
        </w:rPr>
        <w:t>k</w:t>
      </w:r>
      <w:r w:rsidR="00B47835" w:rsidRPr="00117ADB">
        <w:rPr>
          <w:rFonts w:ascii="Palatino" w:hAnsi="Palatino"/>
          <w:b/>
          <w:noProof/>
        </w:rPr>
        <w:t>a</w:t>
      </w:r>
      <w:r w:rsidR="00117ADB">
        <w:rPr>
          <w:rFonts w:ascii="Palatino" w:hAnsi="Palatino"/>
          <w:b/>
          <w:noProof/>
        </w:rPr>
        <w:t>o</w:t>
      </w:r>
      <w:r w:rsidR="00B47835" w:rsidRPr="00117ADB">
        <w:rPr>
          <w:rFonts w:ascii="Palatino" w:hAnsi="Palatino"/>
          <w:b/>
          <w:noProof/>
        </w:rPr>
        <w:t xml:space="preserve"> privredno društvo u kojem dr</w:t>
      </w:r>
      <w:r w:rsidR="00117ADB">
        <w:rPr>
          <w:rFonts w:ascii="Palatino" w:hAnsi="Palatino"/>
          <w:b/>
          <w:noProof/>
        </w:rPr>
        <w:t>ž</w:t>
      </w:r>
      <w:r w:rsidR="00B47835" w:rsidRPr="00117ADB">
        <w:rPr>
          <w:rFonts w:ascii="Palatino" w:hAnsi="Palatino"/>
          <w:b/>
          <w:noProof/>
        </w:rPr>
        <w:t>ava i posjeduje vi</w:t>
      </w:r>
      <w:r w:rsidR="00117ADB">
        <w:rPr>
          <w:rFonts w:ascii="Palatino" w:hAnsi="Palatino"/>
          <w:b/>
          <w:noProof/>
        </w:rPr>
        <w:t>š</w:t>
      </w:r>
      <w:r w:rsidR="00B47835" w:rsidRPr="00117ADB">
        <w:rPr>
          <w:rFonts w:ascii="Palatino" w:hAnsi="Palatino"/>
          <w:b/>
          <w:noProof/>
        </w:rPr>
        <w:t>e od 50% akcija ili udjela)</w:t>
      </w:r>
      <w:r w:rsidR="00D441C6" w:rsidRPr="00117ADB">
        <w:rPr>
          <w:rFonts w:ascii="Palatino" w:hAnsi="Palatino"/>
          <w:b/>
          <w:noProof/>
        </w:rPr>
        <w:t>.</w:t>
      </w:r>
    </w:p>
    <w:p w14:paraId="78F31A3B" w14:textId="77777777" w:rsidR="00B5141E" w:rsidRDefault="00B5141E" w:rsidP="00346254">
      <w:pPr>
        <w:spacing w:after="60"/>
        <w:jc w:val="both"/>
        <w:rPr>
          <w:rFonts w:ascii="Palatino" w:hAnsi="Palatino"/>
          <w:b/>
          <w:noProof/>
        </w:rPr>
      </w:pPr>
    </w:p>
    <w:p w14:paraId="21423B40" w14:textId="2A995BE4" w:rsidR="00B5141E" w:rsidRPr="002E7AE9" w:rsidRDefault="00612BF3" w:rsidP="002E7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20"/>
        <w:jc w:val="both"/>
        <w:rPr>
          <w:rFonts w:ascii="Palatino" w:hAnsi="Palatino"/>
          <w:b/>
          <w:noProof/>
          <w:sz w:val="20"/>
          <w:szCs w:val="20"/>
        </w:rPr>
      </w:pPr>
      <w:r w:rsidRPr="002E7AE9">
        <w:rPr>
          <w:rFonts w:ascii="Palatino" w:hAnsi="Palatino"/>
          <w:b/>
          <w:noProof/>
          <w:sz w:val="20"/>
          <w:szCs w:val="20"/>
        </w:rPr>
        <w:t xml:space="preserve">Zastupljenost JPP u </w:t>
      </w:r>
      <w:r w:rsidR="0074078A" w:rsidRPr="002E7AE9">
        <w:rPr>
          <w:rFonts w:ascii="Palatino" w:hAnsi="Palatino"/>
          <w:b/>
          <w:noProof/>
          <w:sz w:val="20"/>
          <w:szCs w:val="20"/>
        </w:rPr>
        <w:t>oblasti</w:t>
      </w:r>
      <w:r w:rsidRPr="002E7AE9">
        <w:rPr>
          <w:rFonts w:ascii="Palatino" w:hAnsi="Palatino"/>
          <w:b/>
          <w:noProof/>
          <w:sz w:val="20"/>
          <w:szCs w:val="20"/>
        </w:rPr>
        <w:t xml:space="preserve"> otpad</w:t>
      </w:r>
      <w:r w:rsidR="0074078A" w:rsidRPr="002E7AE9">
        <w:rPr>
          <w:rFonts w:ascii="Palatino" w:hAnsi="Palatino"/>
          <w:b/>
          <w:noProof/>
          <w:sz w:val="20"/>
          <w:szCs w:val="20"/>
        </w:rPr>
        <w:t>a</w:t>
      </w:r>
    </w:p>
    <w:p w14:paraId="469CC759" w14:textId="37047779" w:rsidR="00634B9D" w:rsidRPr="002E7AE9" w:rsidRDefault="00634B9D" w:rsidP="002E7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20"/>
        <w:jc w:val="both"/>
        <w:rPr>
          <w:rFonts w:ascii="Palatino" w:hAnsi="Palatino"/>
          <w:noProof/>
          <w:sz w:val="20"/>
          <w:szCs w:val="20"/>
        </w:rPr>
      </w:pPr>
      <w:r w:rsidRPr="002E7AE9">
        <w:rPr>
          <w:rFonts w:ascii="Palatino" w:hAnsi="Palatino"/>
          <w:noProof/>
          <w:sz w:val="20"/>
          <w:szCs w:val="20"/>
        </w:rPr>
        <w:t xml:space="preserve">Čvrsti otpad neraskidivo je povezan s urbanizacijom i ekonomskim razvojem - kako se zemlje urbaniziraju, a životni standard povećava, potrošnja roba i usluga raste, što dovodi do više otpada. </w:t>
      </w:r>
      <w:r w:rsidR="0074078A" w:rsidRPr="002E7AE9">
        <w:rPr>
          <w:rFonts w:ascii="Palatino" w:hAnsi="Palatino"/>
          <w:noProof/>
          <w:sz w:val="20"/>
          <w:szCs w:val="20"/>
        </w:rPr>
        <w:t>Širom svijeta, godišnje se stvara</w:t>
      </w:r>
      <w:r w:rsidRPr="002E7AE9">
        <w:rPr>
          <w:rFonts w:ascii="Palatino" w:hAnsi="Palatino"/>
          <w:noProof/>
          <w:sz w:val="20"/>
          <w:szCs w:val="20"/>
        </w:rPr>
        <w:t xml:space="preserve"> gotovo 1,3 milijarde tona komunalnog čvrstog otpada, a do 2050. očekuje se da će se to udvostručiti. Loše </w:t>
      </w:r>
      <w:r w:rsidR="0074078A" w:rsidRPr="002E7AE9">
        <w:rPr>
          <w:rFonts w:ascii="Palatino" w:hAnsi="Palatino"/>
          <w:noProof/>
          <w:sz w:val="20"/>
          <w:szCs w:val="20"/>
        </w:rPr>
        <w:t>upravljanje</w:t>
      </w:r>
      <w:r w:rsidRPr="002E7AE9">
        <w:rPr>
          <w:rFonts w:ascii="Palatino" w:hAnsi="Palatino"/>
          <w:noProof/>
          <w:sz w:val="20"/>
          <w:szCs w:val="20"/>
        </w:rPr>
        <w:t xml:space="preserve"> otpadom ima ogroman </w:t>
      </w:r>
      <w:r w:rsidR="0074078A" w:rsidRPr="002E7AE9">
        <w:rPr>
          <w:rFonts w:ascii="Palatino" w:hAnsi="Palatino"/>
          <w:noProof/>
          <w:sz w:val="20"/>
          <w:szCs w:val="20"/>
        </w:rPr>
        <w:t>uticaj</w:t>
      </w:r>
      <w:r w:rsidRPr="002E7AE9">
        <w:rPr>
          <w:rFonts w:ascii="Palatino" w:hAnsi="Palatino"/>
          <w:noProof/>
          <w:sz w:val="20"/>
          <w:szCs w:val="20"/>
        </w:rPr>
        <w:t xml:space="preserve"> na zdravlje ljudi, </w:t>
      </w:r>
      <w:r w:rsidR="0074078A" w:rsidRPr="002E7AE9">
        <w:rPr>
          <w:rFonts w:ascii="Palatino" w:hAnsi="Palatino"/>
          <w:noProof/>
          <w:sz w:val="20"/>
          <w:szCs w:val="20"/>
        </w:rPr>
        <w:t>životnu sredinu</w:t>
      </w:r>
      <w:r w:rsidRPr="002E7AE9">
        <w:rPr>
          <w:rFonts w:ascii="Palatino" w:hAnsi="Palatino"/>
          <w:noProof/>
          <w:sz w:val="20"/>
          <w:szCs w:val="20"/>
        </w:rPr>
        <w:t xml:space="preserve"> i često rezultira većim troškovima za vlade nego da se otpadom uop</w:t>
      </w:r>
      <w:r w:rsidR="0074078A" w:rsidRPr="002E7AE9">
        <w:rPr>
          <w:rFonts w:ascii="Palatino" w:hAnsi="Palatino"/>
          <w:noProof/>
          <w:sz w:val="20"/>
          <w:szCs w:val="20"/>
        </w:rPr>
        <w:t>š</w:t>
      </w:r>
      <w:r w:rsidRPr="002E7AE9">
        <w:rPr>
          <w:rFonts w:ascii="Palatino" w:hAnsi="Palatino"/>
          <w:noProof/>
          <w:sz w:val="20"/>
          <w:szCs w:val="20"/>
        </w:rPr>
        <w:t>e pravilno upravlja.</w:t>
      </w:r>
    </w:p>
    <w:p w14:paraId="7F94BA55" w14:textId="31AAEEAB" w:rsidR="00634B9D" w:rsidRPr="002E7AE9" w:rsidRDefault="0074078A" w:rsidP="002E7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20"/>
        <w:jc w:val="both"/>
        <w:rPr>
          <w:rFonts w:ascii="Palatino" w:hAnsi="Palatino"/>
          <w:noProof/>
          <w:sz w:val="20"/>
          <w:szCs w:val="20"/>
        </w:rPr>
      </w:pPr>
      <w:r w:rsidRPr="002E7AE9">
        <w:rPr>
          <w:rFonts w:ascii="Palatino" w:hAnsi="Palatino"/>
          <w:noProof/>
          <w:sz w:val="20"/>
          <w:szCs w:val="20"/>
        </w:rPr>
        <w:t>Najčešće, upravljanje</w:t>
      </w:r>
      <w:r w:rsidR="00634B9D" w:rsidRPr="002E7AE9">
        <w:rPr>
          <w:rFonts w:ascii="Palatino" w:hAnsi="Palatino"/>
          <w:noProof/>
          <w:sz w:val="20"/>
          <w:szCs w:val="20"/>
        </w:rPr>
        <w:t xml:space="preserve"> čvrstim otpadom </w:t>
      </w:r>
      <w:r w:rsidRPr="002E7AE9">
        <w:rPr>
          <w:rFonts w:ascii="Palatino" w:hAnsi="Palatino"/>
          <w:noProof/>
          <w:sz w:val="20"/>
          <w:szCs w:val="20"/>
        </w:rPr>
        <w:t xml:space="preserve">je usluga koja se organizuje primarno na lokalnom nivou, odnosno spada u portfolio opštinskih vlasti. Zbog nerijetkih finansijskih i materijalnih ograničenja te usljed nedostatka radne snage, opštine se usmjeravaju </w:t>
      </w:r>
      <w:r w:rsidR="00634B9D" w:rsidRPr="002E7AE9">
        <w:rPr>
          <w:rFonts w:ascii="Palatino" w:hAnsi="Palatino"/>
          <w:noProof/>
          <w:sz w:val="20"/>
          <w:szCs w:val="20"/>
        </w:rPr>
        <w:t xml:space="preserve">samo </w:t>
      </w:r>
      <w:r w:rsidRPr="002E7AE9">
        <w:rPr>
          <w:rFonts w:ascii="Palatino" w:hAnsi="Palatino"/>
          <w:noProof/>
          <w:sz w:val="20"/>
          <w:szCs w:val="20"/>
        </w:rPr>
        <w:t xml:space="preserve">na </w:t>
      </w:r>
      <w:r w:rsidR="00634B9D" w:rsidRPr="002E7AE9">
        <w:rPr>
          <w:rFonts w:ascii="Palatino" w:hAnsi="Palatino"/>
          <w:noProof/>
          <w:sz w:val="20"/>
          <w:szCs w:val="20"/>
        </w:rPr>
        <w:t>najhitnije potrebe, poput uklanjanja otpada iz gradova kako bi održale čistoću. Mnogi usmjeravaju svoje napore na razvoj osnovnih usluga čišćenja - čišćenj</w:t>
      </w:r>
      <w:r w:rsidRPr="002E7AE9">
        <w:rPr>
          <w:rFonts w:ascii="Palatino" w:hAnsi="Palatino"/>
          <w:noProof/>
          <w:sz w:val="20"/>
          <w:szCs w:val="20"/>
        </w:rPr>
        <w:t>e</w:t>
      </w:r>
      <w:r w:rsidR="00634B9D" w:rsidRPr="002E7AE9">
        <w:rPr>
          <w:rFonts w:ascii="Palatino" w:hAnsi="Palatino"/>
          <w:noProof/>
          <w:sz w:val="20"/>
          <w:szCs w:val="20"/>
        </w:rPr>
        <w:t xml:space="preserve"> ulica, sakupljanja otpada, održavanja oluka</w:t>
      </w:r>
      <w:r w:rsidRPr="002E7AE9">
        <w:rPr>
          <w:rFonts w:ascii="Palatino" w:hAnsi="Palatino"/>
          <w:noProof/>
          <w:sz w:val="20"/>
          <w:szCs w:val="20"/>
        </w:rPr>
        <w:t xml:space="preserve"> i slivnika,</w:t>
      </w:r>
      <w:r w:rsidR="00634B9D" w:rsidRPr="002E7AE9">
        <w:rPr>
          <w:rFonts w:ascii="Palatino" w:hAnsi="Palatino"/>
          <w:noProof/>
          <w:sz w:val="20"/>
          <w:szCs w:val="20"/>
        </w:rPr>
        <w:t xml:space="preserve"> i rada odlagališta otpada - s </w:t>
      </w:r>
      <w:r w:rsidRPr="002E7AE9">
        <w:rPr>
          <w:rFonts w:ascii="Palatino" w:hAnsi="Palatino"/>
          <w:noProof/>
          <w:sz w:val="20"/>
          <w:szCs w:val="20"/>
        </w:rPr>
        <w:t>različitim</w:t>
      </w:r>
      <w:r w:rsidR="00634B9D" w:rsidRPr="002E7AE9">
        <w:rPr>
          <w:rFonts w:ascii="Palatino" w:hAnsi="Palatino"/>
          <w:noProof/>
          <w:sz w:val="20"/>
          <w:szCs w:val="20"/>
        </w:rPr>
        <w:t xml:space="preserve"> rezultatima i visokim troškovima. </w:t>
      </w:r>
    </w:p>
    <w:p w14:paraId="06C5F0D4" w14:textId="16D31A25" w:rsidR="00634B9D" w:rsidRPr="002E7AE9" w:rsidRDefault="00634B9D" w:rsidP="002E7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20"/>
        <w:jc w:val="both"/>
        <w:rPr>
          <w:rFonts w:ascii="Palatino" w:hAnsi="Palatino"/>
          <w:noProof/>
          <w:sz w:val="20"/>
          <w:szCs w:val="20"/>
        </w:rPr>
      </w:pPr>
      <w:r w:rsidRPr="002E7AE9">
        <w:rPr>
          <w:rFonts w:ascii="Palatino" w:hAnsi="Palatino"/>
          <w:noProof/>
          <w:sz w:val="20"/>
          <w:szCs w:val="20"/>
        </w:rPr>
        <w:t xml:space="preserve">Javni i privatni sektor moraju zajedno preuzeti puno veću odgovornost za stvaranje i odlaganje otpada, posebno za dizajn proizvoda i odvajanje otpada. Formalizacija ovih odgovornosti kroz dobro strukturirana javno-privatna partnerstva (JPP) može rezultirati značajnim poboljšanjima u </w:t>
      </w:r>
      <w:r w:rsidR="0074078A" w:rsidRPr="002E7AE9">
        <w:rPr>
          <w:rFonts w:ascii="Palatino" w:hAnsi="Palatino"/>
          <w:noProof/>
          <w:sz w:val="20"/>
          <w:szCs w:val="20"/>
        </w:rPr>
        <w:t>efektima</w:t>
      </w:r>
      <w:r w:rsidRPr="002E7AE9">
        <w:rPr>
          <w:rFonts w:ascii="Palatino" w:hAnsi="Palatino"/>
          <w:noProof/>
          <w:sz w:val="20"/>
          <w:szCs w:val="20"/>
        </w:rPr>
        <w:t xml:space="preserve"> i kvalitet</w:t>
      </w:r>
      <w:r w:rsidR="0074078A" w:rsidRPr="002E7AE9">
        <w:rPr>
          <w:rFonts w:ascii="Palatino" w:hAnsi="Palatino"/>
          <w:noProof/>
          <w:sz w:val="20"/>
          <w:szCs w:val="20"/>
        </w:rPr>
        <w:t xml:space="preserve">u upravljanja čvrstim </w:t>
      </w:r>
      <w:r w:rsidRPr="002E7AE9">
        <w:rPr>
          <w:rFonts w:ascii="Palatino" w:hAnsi="Palatino"/>
          <w:noProof/>
          <w:sz w:val="20"/>
          <w:szCs w:val="20"/>
        </w:rPr>
        <w:t xml:space="preserve">otpadom. Uspjeh zahtijeva da vlade razmotre sadržaj i količinu postojećeg toka otpada, odgovarajuće tehnologije, </w:t>
      </w:r>
      <w:r w:rsidR="0074078A" w:rsidRPr="002E7AE9">
        <w:rPr>
          <w:rFonts w:ascii="Palatino" w:hAnsi="Palatino"/>
          <w:noProof/>
          <w:sz w:val="20"/>
          <w:szCs w:val="20"/>
        </w:rPr>
        <w:t>strogo poštovanje</w:t>
      </w:r>
      <w:r w:rsidRPr="002E7AE9">
        <w:rPr>
          <w:rFonts w:ascii="Palatino" w:hAnsi="Palatino"/>
          <w:noProof/>
          <w:sz w:val="20"/>
          <w:szCs w:val="20"/>
        </w:rPr>
        <w:t xml:space="preserve"> ekoloških standarda i ang</w:t>
      </w:r>
      <w:r w:rsidR="0074078A" w:rsidRPr="002E7AE9">
        <w:rPr>
          <w:rFonts w:ascii="Palatino" w:hAnsi="Palatino"/>
          <w:noProof/>
          <w:sz w:val="20"/>
          <w:szCs w:val="20"/>
        </w:rPr>
        <w:t xml:space="preserve">ažman zajednice, </w:t>
      </w:r>
      <w:r w:rsidRPr="002E7AE9">
        <w:rPr>
          <w:rFonts w:ascii="Palatino" w:hAnsi="Palatino"/>
          <w:noProof/>
          <w:sz w:val="20"/>
          <w:szCs w:val="20"/>
        </w:rPr>
        <w:t>ko će št</w:t>
      </w:r>
      <w:r w:rsidR="0074078A" w:rsidRPr="002E7AE9">
        <w:rPr>
          <w:rFonts w:ascii="Palatino" w:hAnsi="Palatino"/>
          <w:noProof/>
          <w:sz w:val="20"/>
          <w:szCs w:val="20"/>
        </w:rPr>
        <w:t>a</w:t>
      </w:r>
      <w:r w:rsidRPr="002E7AE9">
        <w:rPr>
          <w:rFonts w:ascii="Palatino" w:hAnsi="Palatino"/>
          <w:noProof/>
          <w:sz w:val="20"/>
          <w:szCs w:val="20"/>
        </w:rPr>
        <w:t xml:space="preserve"> platiti i dostupnost iskusnih privatnih partnera.</w:t>
      </w:r>
    </w:p>
    <w:p w14:paraId="16B0E6F5" w14:textId="7126CA5A" w:rsidR="00634B9D" w:rsidRPr="002E7AE9" w:rsidRDefault="00634B9D" w:rsidP="002E7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20"/>
        <w:jc w:val="both"/>
        <w:rPr>
          <w:rFonts w:ascii="Palatino" w:hAnsi="Palatino"/>
          <w:noProof/>
          <w:sz w:val="20"/>
          <w:szCs w:val="20"/>
        </w:rPr>
      </w:pPr>
      <w:r w:rsidRPr="002E7AE9">
        <w:rPr>
          <w:rFonts w:ascii="Palatino" w:hAnsi="Palatino"/>
          <w:noProof/>
          <w:sz w:val="20"/>
          <w:szCs w:val="20"/>
        </w:rPr>
        <w:t>Kako JPP postaju prihvaćena praksa, ulaganja u sektor otpada rastu kako vlade privlače privatni kapital i tehničku stručnost za izgradnju, rad i upravljanje projektima otpada. Ti projekti najčešće uključuju projekte spaljivanja, obrade, recikliran</w:t>
      </w:r>
      <w:r w:rsidR="00C55372" w:rsidRPr="002E7AE9">
        <w:rPr>
          <w:rFonts w:ascii="Palatino" w:hAnsi="Palatino"/>
          <w:noProof/>
          <w:sz w:val="20"/>
          <w:szCs w:val="20"/>
        </w:rPr>
        <w:t>ja otpada i energije iz otpada</w:t>
      </w:r>
      <w:r w:rsidRPr="002E7AE9">
        <w:rPr>
          <w:rFonts w:ascii="Palatino" w:hAnsi="Palatino"/>
          <w:noProof/>
          <w:sz w:val="20"/>
          <w:szCs w:val="20"/>
        </w:rPr>
        <w:t>.</w:t>
      </w:r>
    </w:p>
    <w:p w14:paraId="1B990D9D" w14:textId="3899C99F" w:rsidR="00634B9D" w:rsidRPr="002E7AE9" w:rsidRDefault="00634B9D" w:rsidP="002E7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720"/>
        <w:jc w:val="both"/>
        <w:rPr>
          <w:rFonts w:ascii="Palatino" w:hAnsi="Palatino"/>
          <w:noProof/>
          <w:sz w:val="20"/>
          <w:szCs w:val="20"/>
        </w:rPr>
      </w:pPr>
      <w:r w:rsidRPr="002E7AE9">
        <w:rPr>
          <w:rFonts w:ascii="Palatino" w:hAnsi="Palatino"/>
          <w:noProof/>
          <w:sz w:val="20"/>
          <w:szCs w:val="20"/>
        </w:rPr>
        <w:t xml:space="preserve">Putem JPP-a, vlade </w:t>
      </w:r>
      <w:r w:rsidR="00C55372" w:rsidRPr="002E7AE9">
        <w:rPr>
          <w:rFonts w:ascii="Palatino" w:hAnsi="Palatino"/>
          <w:noProof/>
          <w:sz w:val="20"/>
          <w:szCs w:val="20"/>
        </w:rPr>
        <w:t>potpisuju</w:t>
      </w:r>
      <w:r w:rsidRPr="002E7AE9">
        <w:rPr>
          <w:rFonts w:ascii="Palatino" w:hAnsi="Palatino"/>
          <w:noProof/>
          <w:sz w:val="20"/>
          <w:szCs w:val="20"/>
        </w:rPr>
        <w:t xml:space="preserve"> ugovor s</w:t>
      </w:r>
      <w:r w:rsidR="00C55372" w:rsidRPr="002E7AE9">
        <w:rPr>
          <w:rFonts w:ascii="Palatino" w:hAnsi="Palatino"/>
          <w:noProof/>
          <w:sz w:val="20"/>
          <w:szCs w:val="20"/>
        </w:rPr>
        <w:t>a</w:t>
      </w:r>
      <w:r w:rsidRPr="002E7AE9">
        <w:rPr>
          <w:rFonts w:ascii="Palatino" w:hAnsi="Palatino"/>
          <w:noProof/>
          <w:sz w:val="20"/>
          <w:szCs w:val="20"/>
        </w:rPr>
        <w:t xml:space="preserve"> privatnim </w:t>
      </w:r>
      <w:r w:rsidR="00C55372" w:rsidRPr="002E7AE9">
        <w:rPr>
          <w:rFonts w:ascii="Palatino" w:hAnsi="Palatino"/>
          <w:noProof/>
          <w:sz w:val="20"/>
          <w:szCs w:val="20"/>
        </w:rPr>
        <w:t>kompanijama</w:t>
      </w:r>
      <w:r w:rsidRPr="002E7AE9">
        <w:rPr>
          <w:rFonts w:ascii="Palatino" w:hAnsi="Palatino"/>
          <w:noProof/>
          <w:sz w:val="20"/>
          <w:szCs w:val="20"/>
        </w:rPr>
        <w:t xml:space="preserve"> za izgradnju, rad i održavanje postrojenja za otpad. Transakcije JPP-a široko su se primjenjivale u isporuci postrojenja za obradu otpada i postrojenja za odlaganje otpada u posljednjih deset godina. Većina </w:t>
      </w:r>
      <w:r w:rsidR="00C55372" w:rsidRPr="002E7AE9">
        <w:rPr>
          <w:rFonts w:ascii="Palatino" w:hAnsi="Palatino"/>
          <w:noProof/>
          <w:sz w:val="20"/>
          <w:szCs w:val="20"/>
        </w:rPr>
        <w:t>projekata realizovanih</w:t>
      </w:r>
      <w:r w:rsidRPr="002E7AE9">
        <w:rPr>
          <w:rFonts w:ascii="Palatino" w:hAnsi="Palatino"/>
          <w:noProof/>
          <w:sz w:val="20"/>
          <w:szCs w:val="20"/>
        </w:rPr>
        <w:t xml:space="preserve"> </w:t>
      </w:r>
      <w:r w:rsidRPr="002E7AE9">
        <w:rPr>
          <w:rFonts w:ascii="Palatino" w:hAnsi="Palatino"/>
          <w:noProof/>
          <w:sz w:val="20"/>
          <w:szCs w:val="20"/>
        </w:rPr>
        <w:lastRenderedPageBreak/>
        <w:t xml:space="preserve">između 2005. i 2013. godine </w:t>
      </w:r>
      <w:r w:rsidR="00C55372" w:rsidRPr="002E7AE9">
        <w:rPr>
          <w:rFonts w:ascii="Palatino" w:hAnsi="Palatino"/>
          <w:noProof/>
          <w:sz w:val="20"/>
          <w:szCs w:val="20"/>
        </w:rPr>
        <w:t>podrazumijevala je</w:t>
      </w:r>
      <w:r w:rsidRPr="002E7AE9">
        <w:rPr>
          <w:rFonts w:ascii="Palatino" w:hAnsi="Palatino"/>
          <w:noProof/>
          <w:sz w:val="20"/>
          <w:szCs w:val="20"/>
        </w:rPr>
        <w:t xml:space="preserve"> koncesije za JPP: ukupno 68 poslova u sektoru otpada, vrijednih 17,3 milijarde </w:t>
      </w:r>
      <w:r w:rsidR="00C55372" w:rsidRPr="002E7AE9">
        <w:rPr>
          <w:rFonts w:ascii="Palatino" w:hAnsi="Palatino"/>
          <w:noProof/>
          <w:sz w:val="20"/>
          <w:szCs w:val="20"/>
        </w:rPr>
        <w:t>dolara</w:t>
      </w:r>
      <w:r w:rsidRPr="002E7AE9">
        <w:rPr>
          <w:rFonts w:ascii="Palatino" w:hAnsi="Palatino"/>
          <w:noProof/>
          <w:sz w:val="20"/>
          <w:szCs w:val="20"/>
        </w:rPr>
        <w:t xml:space="preserve">. </w:t>
      </w:r>
      <w:r w:rsidR="00C55372" w:rsidRPr="002E7AE9">
        <w:rPr>
          <w:rFonts w:ascii="Palatino" w:hAnsi="Palatino"/>
          <w:noProof/>
          <w:sz w:val="20"/>
          <w:szCs w:val="20"/>
        </w:rPr>
        <w:t>Tokom posljednje</w:t>
      </w:r>
      <w:r w:rsidRPr="002E7AE9">
        <w:rPr>
          <w:rFonts w:ascii="Palatino" w:hAnsi="Palatino"/>
          <w:noProof/>
          <w:sz w:val="20"/>
          <w:szCs w:val="20"/>
        </w:rPr>
        <w:t xml:space="preserve"> </w:t>
      </w:r>
      <w:r w:rsidR="00C55372" w:rsidRPr="002E7AE9">
        <w:rPr>
          <w:rFonts w:ascii="Palatino" w:hAnsi="Palatino"/>
          <w:noProof/>
          <w:sz w:val="20"/>
          <w:szCs w:val="20"/>
        </w:rPr>
        <w:t>decenije</w:t>
      </w:r>
      <w:r w:rsidRPr="002E7AE9">
        <w:rPr>
          <w:rFonts w:ascii="Palatino" w:hAnsi="Palatino"/>
          <w:noProof/>
          <w:sz w:val="20"/>
          <w:szCs w:val="20"/>
        </w:rPr>
        <w:t>, zemlj</w:t>
      </w:r>
      <w:r w:rsidR="00C55372" w:rsidRPr="002E7AE9">
        <w:rPr>
          <w:rFonts w:ascii="Palatino" w:hAnsi="Palatino"/>
          <w:noProof/>
          <w:sz w:val="20"/>
          <w:szCs w:val="20"/>
        </w:rPr>
        <w:t>e s najaktivnijim tržištem JPP</w:t>
      </w:r>
      <w:r w:rsidRPr="002E7AE9">
        <w:rPr>
          <w:rFonts w:ascii="Palatino" w:hAnsi="Palatino"/>
          <w:noProof/>
          <w:sz w:val="20"/>
          <w:szCs w:val="20"/>
        </w:rPr>
        <w:t xml:space="preserve"> bile su Velika Britanija, </w:t>
      </w:r>
      <w:r w:rsidR="00C55372" w:rsidRPr="002E7AE9">
        <w:rPr>
          <w:rFonts w:ascii="Palatino" w:hAnsi="Palatino"/>
          <w:noProof/>
          <w:sz w:val="20"/>
          <w:szCs w:val="20"/>
        </w:rPr>
        <w:t>Španija</w:t>
      </w:r>
      <w:r w:rsidRPr="002E7AE9">
        <w:rPr>
          <w:rFonts w:ascii="Palatino" w:hAnsi="Palatino"/>
          <w:noProof/>
          <w:sz w:val="20"/>
          <w:szCs w:val="20"/>
        </w:rPr>
        <w:t xml:space="preserve">, Singapur, Australija, Poljska, Italija i Francuska. Samo u 2013. godini Velika Britanija je zaključila devet </w:t>
      </w:r>
      <w:r w:rsidR="00C55372" w:rsidRPr="002E7AE9">
        <w:rPr>
          <w:rFonts w:ascii="Palatino" w:hAnsi="Palatino"/>
          <w:noProof/>
          <w:sz w:val="20"/>
          <w:szCs w:val="20"/>
        </w:rPr>
        <w:t>poslova kojima se finans</w:t>
      </w:r>
      <w:r w:rsidRPr="002E7AE9">
        <w:rPr>
          <w:rFonts w:ascii="Palatino" w:hAnsi="Palatino"/>
          <w:noProof/>
          <w:sz w:val="20"/>
          <w:szCs w:val="20"/>
        </w:rPr>
        <w:t>iranje zatvorilo u sektoru otpada, uključujući izgradnju postrojenja za obradu otpada i postrojenja EFW</w:t>
      </w:r>
      <w:r w:rsidR="00115CD2" w:rsidRPr="002E7AE9">
        <w:rPr>
          <w:rFonts w:ascii="Palatino" w:hAnsi="Palatino"/>
          <w:noProof/>
          <w:sz w:val="20"/>
          <w:szCs w:val="20"/>
        </w:rPr>
        <w:t xml:space="preserve"> (energija iz otpada)</w:t>
      </w:r>
      <w:r w:rsidRPr="002E7AE9">
        <w:rPr>
          <w:rFonts w:ascii="Palatino" w:hAnsi="Palatino"/>
          <w:noProof/>
          <w:sz w:val="20"/>
          <w:szCs w:val="20"/>
        </w:rPr>
        <w:t>, s ukupnim ulaganjem od 3 milijarde dolara.</w:t>
      </w:r>
    </w:p>
    <w:p w14:paraId="62E6EAA6" w14:textId="210AA783" w:rsidR="00F03BF5" w:rsidRPr="002E7AE9" w:rsidRDefault="00115CD2" w:rsidP="002E7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Palatino" w:hAnsi="Palatino"/>
          <w:noProof/>
          <w:sz w:val="20"/>
          <w:szCs w:val="20"/>
        </w:rPr>
      </w:pPr>
      <w:r w:rsidRPr="002E7AE9">
        <w:rPr>
          <w:rFonts w:ascii="Palatino" w:hAnsi="Palatino"/>
          <w:noProof/>
          <w:sz w:val="20"/>
          <w:szCs w:val="20"/>
        </w:rPr>
        <w:t>U konkretnom slučaju, najveći broj JPP zastupljen je u tretmanu komunalnog otpada (otpad iz domaćinstva), a dio troškova pokriva se direktno od domaćinstava</w:t>
      </w:r>
      <w:r w:rsidR="004122A2" w:rsidRPr="002E7AE9">
        <w:rPr>
          <w:rFonts w:ascii="Palatino" w:hAnsi="Palatino"/>
          <w:noProof/>
          <w:sz w:val="20"/>
          <w:szCs w:val="20"/>
        </w:rPr>
        <w:t xml:space="preserve"> (najčešće samo za odvoz)</w:t>
      </w:r>
      <w:r w:rsidRPr="002E7AE9">
        <w:rPr>
          <w:rFonts w:ascii="Palatino" w:hAnsi="Palatino"/>
          <w:noProof/>
          <w:sz w:val="20"/>
          <w:szCs w:val="20"/>
        </w:rPr>
        <w:t>.</w:t>
      </w:r>
      <w:r w:rsidR="00F03BF5" w:rsidRPr="002E7AE9">
        <w:rPr>
          <w:rFonts w:ascii="Palatino" w:hAnsi="Palatino"/>
          <w:noProof/>
          <w:sz w:val="20"/>
          <w:szCs w:val="20"/>
        </w:rPr>
        <w:t xml:space="preserve"> Ove naknade uglavnom ni</w:t>
      </w:r>
      <w:r w:rsidR="002E7AE9" w:rsidRPr="002E7AE9">
        <w:rPr>
          <w:rFonts w:ascii="Palatino" w:hAnsi="Palatino"/>
          <w:noProof/>
          <w:sz w:val="20"/>
          <w:szCs w:val="20"/>
        </w:rPr>
        <w:t>je</w:t>
      </w:r>
      <w:r w:rsidR="00F03BF5" w:rsidRPr="002E7AE9">
        <w:rPr>
          <w:rFonts w:ascii="Palatino" w:hAnsi="Palatino"/>
          <w:noProof/>
          <w:sz w:val="20"/>
          <w:szCs w:val="20"/>
        </w:rPr>
        <w:t>su dovoljne za pokrivanje dodatnih troškova sistema. Lokalne vlasti stoga pokušavaju da dobiju dodatno finansiranje putem poreza na sakupljanje otpada iz domaćinstva, koji se koristi za finansiranje drugih aspekata usluge.</w:t>
      </w:r>
    </w:p>
    <w:p w14:paraId="2A5CB279" w14:textId="0EC39614" w:rsidR="00AC26A9" w:rsidRPr="002E7AE9" w:rsidRDefault="00AC26A9" w:rsidP="002E7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Palatino" w:eastAsia="Times New Roman" w:hAnsi="Palatino" w:cs="Times New Roman"/>
          <w:sz w:val="20"/>
          <w:szCs w:val="20"/>
        </w:rPr>
      </w:pPr>
      <w:r w:rsidRPr="002E7AE9">
        <w:rPr>
          <w:rFonts w:ascii="Palatino" w:hAnsi="Palatino"/>
          <w:noProof/>
          <w:sz w:val="20"/>
          <w:szCs w:val="20"/>
        </w:rPr>
        <w:t xml:space="preserve">Izvor: JPP Laboratorija znanja, </w:t>
      </w:r>
      <w:hyperlink r:id="rId12" w:history="1">
        <w:r w:rsidRPr="002E7AE9">
          <w:rPr>
            <w:rStyle w:val="Hyperlink"/>
            <w:rFonts w:ascii="Palatino" w:eastAsia="Times New Roman" w:hAnsi="Palatino" w:cs="Times New Roman"/>
            <w:sz w:val="20"/>
            <w:szCs w:val="20"/>
          </w:rPr>
          <w:t>https://pppknowledgelab.org/sectors/waste</w:t>
        </w:r>
      </w:hyperlink>
    </w:p>
    <w:p w14:paraId="59ABF3E2" w14:textId="57E975FC" w:rsidR="00634B9D" w:rsidRPr="00634B9D" w:rsidRDefault="00634B9D" w:rsidP="00634B9D">
      <w:pPr>
        <w:spacing w:after="60"/>
        <w:jc w:val="both"/>
        <w:rPr>
          <w:rFonts w:ascii="Palatino" w:hAnsi="Palatino"/>
          <w:noProof/>
        </w:rPr>
      </w:pPr>
    </w:p>
    <w:p w14:paraId="5FEA3A49" w14:textId="48FDA708" w:rsidR="006343B5" w:rsidRPr="007D12CD" w:rsidRDefault="006343B5" w:rsidP="006343B5">
      <w:pPr>
        <w:pStyle w:val="Heading1"/>
      </w:pPr>
      <w:bookmarkStart w:id="15" w:name="_Toc462603365"/>
      <w:r>
        <w:t>5</w:t>
      </w:r>
      <w:r w:rsidRPr="007D12CD">
        <w:t xml:space="preserve">. </w:t>
      </w:r>
      <w:r>
        <w:t>Zaključak</w:t>
      </w:r>
      <w:bookmarkEnd w:id="15"/>
      <w:r w:rsidRPr="007D12CD">
        <w:t xml:space="preserve"> </w:t>
      </w:r>
    </w:p>
    <w:p w14:paraId="5EEE6092" w14:textId="77777777" w:rsidR="001F6383" w:rsidRDefault="008D4A5F" w:rsidP="00346254">
      <w:pPr>
        <w:spacing w:after="60"/>
        <w:jc w:val="both"/>
        <w:rPr>
          <w:rFonts w:ascii="Palatino" w:hAnsi="Palatino"/>
          <w:noProof/>
        </w:rPr>
      </w:pPr>
      <w:r w:rsidRPr="001F6383">
        <w:rPr>
          <w:rFonts w:ascii="Palatino" w:hAnsi="Palatino"/>
          <w:b/>
          <w:noProof/>
        </w:rPr>
        <w:t>Na osnovu sprovedene analize možemo zaključiti da u Crnoj Gori ne postoji opravdana mogućnost uspostavljanja javno-privatnog partnerstva u upravljanju polihlorovanim bifenilima</w:t>
      </w:r>
      <w:r w:rsidR="00D06060" w:rsidRPr="001F6383">
        <w:rPr>
          <w:rFonts w:ascii="Palatino" w:hAnsi="Palatino"/>
          <w:b/>
          <w:noProof/>
        </w:rPr>
        <w:t xml:space="preserve">. </w:t>
      </w:r>
    </w:p>
    <w:p w14:paraId="6167307C" w14:textId="44DE5838" w:rsidR="007922C0" w:rsidRDefault="00D847AA" w:rsidP="00346254">
      <w:pPr>
        <w:spacing w:after="60"/>
        <w:jc w:val="both"/>
        <w:rPr>
          <w:rFonts w:ascii="Palatino" w:hAnsi="Palatino"/>
          <w:noProof/>
        </w:rPr>
      </w:pPr>
      <w:r>
        <w:rPr>
          <w:rFonts w:ascii="Palatino" w:hAnsi="Palatino"/>
          <w:noProof/>
        </w:rPr>
        <w:t>Dva su ključna razloga za to: prvi, regulativa koja uređuje javno-privatno partnerst</w:t>
      </w:r>
      <w:r w:rsidR="0061436F">
        <w:rPr>
          <w:rFonts w:ascii="Palatino" w:hAnsi="Palatino"/>
          <w:noProof/>
        </w:rPr>
        <w:t>vo ne prepoznaje industrijski o</w:t>
      </w:r>
      <w:r>
        <w:rPr>
          <w:rFonts w:ascii="Palatino" w:hAnsi="Palatino"/>
          <w:noProof/>
        </w:rPr>
        <w:t>t</w:t>
      </w:r>
      <w:r w:rsidR="0061436F">
        <w:rPr>
          <w:rFonts w:ascii="Palatino" w:hAnsi="Palatino"/>
          <w:noProof/>
        </w:rPr>
        <w:t>p</w:t>
      </w:r>
      <w:r>
        <w:rPr>
          <w:rFonts w:ascii="Palatino" w:hAnsi="Palatino"/>
          <w:noProof/>
        </w:rPr>
        <w:t xml:space="preserve">ad, odnosno PCB kao oblast javnog djelovanja u kojem je moguće ustanoviti JPP; drugi, analiza troškova i koristi nedvosmisleno upućuje na to da je za Crnu Goru </w:t>
      </w:r>
      <w:r w:rsidR="00E64706">
        <w:rPr>
          <w:rFonts w:ascii="Palatino" w:hAnsi="Palatino"/>
          <w:noProof/>
        </w:rPr>
        <w:t>opcija</w:t>
      </w:r>
      <w:r>
        <w:rPr>
          <w:rFonts w:ascii="Palatino" w:hAnsi="Palatino"/>
          <w:noProof/>
        </w:rPr>
        <w:t xml:space="preserve"> </w:t>
      </w:r>
      <w:r w:rsidR="00E64706" w:rsidRPr="00E64706">
        <w:rPr>
          <w:rFonts w:ascii="Palatino" w:hAnsi="Palatino"/>
          <w:noProof/>
        </w:rPr>
        <w:t>izvoza transformatora koji sadrže PCB za tretman u inostranstvu, odnosno u uspostavljenim postrojenjima za prečišćavanje u regionu i vraćanje tretiranih transformatora u ponovnu upotrebu, najisplativije rješenje za uklanjanje transformatora koji sadrže PCB u Crnoj Gori</w:t>
      </w:r>
      <w:r w:rsidR="00E64706">
        <w:rPr>
          <w:rFonts w:ascii="Palatino" w:hAnsi="Palatino"/>
          <w:noProof/>
        </w:rPr>
        <w:t xml:space="preserve">, što uz zabranu uvoza PCB, isključuje opciju investiranja u jedinicu za tretman u Crnoj Gori ili njen zakup. </w:t>
      </w:r>
    </w:p>
    <w:p w14:paraId="01969839" w14:textId="77777777" w:rsidR="00803B7C" w:rsidRDefault="00803B7C" w:rsidP="00346254">
      <w:pPr>
        <w:spacing w:after="60"/>
        <w:jc w:val="both"/>
        <w:rPr>
          <w:rFonts w:ascii="Palatino" w:hAnsi="Palatino"/>
          <w:noProof/>
        </w:rPr>
      </w:pPr>
    </w:p>
    <w:p w14:paraId="095A62C8" w14:textId="77777777" w:rsidR="00803B7C" w:rsidRDefault="00803B7C" w:rsidP="00346254">
      <w:pPr>
        <w:spacing w:after="60"/>
        <w:jc w:val="both"/>
        <w:rPr>
          <w:rFonts w:ascii="Palatino" w:hAnsi="Palatino"/>
          <w:noProof/>
        </w:rPr>
      </w:pPr>
    </w:p>
    <w:p w14:paraId="1001E8EE" w14:textId="77777777" w:rsidR="002A40E0" w:rsidRDefault="002A40E0">
      <w:pPr>
        <w:rPr>
          <w:rFonts w:ascii="Palatino" w:eastAsiaTheme="majorEastAsia" w:hAnsi="Palatino" w:cstheme="majorBidi"/>
          <w:b/>
          <w:bCs/>
          <w:noProof/>
          <w:color w:val="345A8A" w:themeColor="accent1" w:themeShade="B5"/>
          <w:sz w:val="28"/>
          <w:szCs w:val="28"/>
        </w:rPr>
      </w:pPr>
      <w:r>
        <w:br w:type="page"/>
      </w:r>
    </w:p>
    <w:p w14:paraId="6B8C3C3E" w14:textId="63B0C852" w:rsidR="00803B7C" w:rsidRDefault="00803B7C" w:rsidP="00C9137B">
      <w:pPr>
        <w:pStyle w:val="Heading1"/>
      </w:pPr>
      <w:bookmarkStart w:id="16" w:name="_Toc462603366"/>
      <w:r>
        <w:lastRenderedPageBreak/>
        <w:t>Literatura</w:t>
      </w:r>
      <w:bookmarkEnd w:id="16"/>
    </w:p>
    <w:p w14:paraId="1BE469CE" w14:textId="77777777" w:rsidR="002A40E0" w:rsidRPr="002A40E0" w:rsidRDefault="002A40E0" w:rsidP="0014739C">
      <w:pPr>
        <w:rPr>
          <w:rFonts w:ascii="Palatino" w:hAnsi="Palatino"/>
          <w:noProof/>
        </w:rPr>
      </w:pPr>
      <w:r w:rsidRPr="002A40E0">
        <w:rPr>
          <w:rFonts w:ascii="Palatino" w:hAnsi="Palatino"/>
          <w:noProof/>
        </w:rPr>
        <w:t>Analiza predloga zakona o javno-privatnom partnerstvu, Institut za preduzetništvo i ekonomski razvoj, 2019</w:t>
      </w:r>
    </w:p>
    <w:p w14:paraId="24BBC3D4" w14:textId="77777777" w:rsidR="002A40E0" w:rsidRPr="002A40E0" w:rsidRDefault="002A40E0" w:rsidP="00A966E0">
      <w:pPr>
        <w:rPr>
          <w:rFonts w:ascii="Palatino" w:hAnsi="Palatino"/>
          <w:noProof/>
        </w:rPr>
      </w:pPr>
      <w:r w:rsidRPr="002A40E0">
        <w:rPr>
          <w:rFonts w:ascii="Palatino" w:hAnsi="Palatino"/>
          <w:noProof/>
        </w:rPr>
        <w:t>Cost-benefit analysis for the disposal of the PCB-containing transformers, maj 2020</w:t>
      </w:r>
    </w:p>
    <w:p w14:paraId="52545423" w14:textId="77777777" w:rsidR="002A40E0" w:rsidRPr="002A40E0" w:rsidRDefault="002A40E0" w:rsidP="0014739C">
      <w:pPr>
        <w:rPr>
          <w:rFonts w:ascii="Palatino" w:hAnsi="Palatino"/>
          <w:noProof/>
        </w:rPr>
      </w:pPr>
      <w:r w:rsidRPr="002A40E0">
        <w:rPr>
          <w:rFonts w:ascii="Palatino" w:hAnsi="Palatino"/>
          <w:noProof/>
        </w:rPr>
        <w:t>Nacionalni plan za implementaciju Stokholmske konvencije za period 2014-2021. godine, Ministarstvo održivog razvoja i turizma, oktobar 2013</w:t>
      </w:r>
    </w:p>
    <w:p w14:paraId="082C9E6E" w14:textId="77777777" w:rsidR="002A40E0" w:rsidRPr="002A40E0" w:rsidRDefault="002A40E0" w:rsidP="00896C2B">
      <w:pPr>
        <w:rPr>
          <w:rFonts w:ascii="Palatino" w:hAnsi="Palatino"/>
          <w:noProof/>
        </w:rPr>
      </w:pPr>
      <w:r w:rsidRPr="002A40E0">
        <w:rPr>
          <w:rFonts w:ascii="Palatino" w:hAnsi="Palatino"/>
          <w:noProof/>
        </w:rPr>
        <w:t>National plan on Polychlorinated biphenyls management of Montenegro, nacrt iz marta 2020</w:t>
      </w:r>
    </w:p>
    <w:p w14:paraId="32C6A207" w14:textId="77777777" w:rsidR="002A40E0" w:rsidRPr="002A40E0" w:rsidRDefault="002A40E0" w:rsidP="00CC674E">
      <w:pPr>
        <w:rPr>
          <w:rFonts w:ascii="Palatino" w:hAnsi="Palatino"/>
          <w:noProof/>
        </w:rPr>
      </w:pPr>
      <w:r w:rsidRPr="002A40E0">
        <w:rPr>
          <w:rFonts w:ascii="Palatino" w:hAnsi="Palatino"/>
          <w:noProof/>
        </w:rPr>
        <w:t>PCB Management and Disposal Demonstration Project - Analysis of PCB Treatment &amp; Disposal Options for the Socialist Republic of Vietnam, World Bank, 2008</w:t>
      </w:r>
    </w:p>
    <w:p w14:paraId="0942A5A3" w14:textId="77777777" w:rsidR="002A40E0" w:rsidRPr="002A40E0" w:rsidRDefault="002A40E0" w:rsidP="00CC674E">
      <w:pPr>
        <w:rPr>
          <w:rFonts w:ascii="Palatino" w:hAnsi="Palatino"/>
          <w:noProof/>
        </w:rPr>
      </w:pPr>
      <w:r w:rsidRPr="002A40E0">
        <w:rPr>
          <w:rFonts w:ascii="Palatino" w:hAnsi="Palatino"/>
          <w:noProof/>
        </w:rPr>
        <w:t>PCB Transformers and Capacitors from Management to Reclassification and Disposal, UNEP, 2004</w:t>
      </w:r>
    </w:p>
    <w:p w14:paraId="5CD90F71" w14:textId="77777777" w:rsidR="002A40E0" w:rsidRPr="002A40E0" w:rsidRDefault="002A40E0" w:rsidP="0014739C">
      <w:pPr>
        <w:rPr>
          <w:rFonts w:ascii="Palatino" w:hAnsi="Palatino"/>
          <w:noProof/>
        </w:rPr>
      </w:pPr>
      <w:r w:rsidRPr="002A40E0">
        <w:rPr>
          <w:rFonts w:ascii="Palatino" w:hAnsi="Palatino"/>
          <w:noProof/>
        </w:rPr>
        <w:t>Pravilnik o postupanju sa opremom i otpadom koji sadrži PCB ("Službeni list Crne Gore", br. 048/12 od 14.09.2012, 067/18 od 17.10.2018)</w:t>
      </w:r>
    </w:p>
    <w:p w14:paraId="0E3248DB" w14:textId="77777777" w:rsidR="002A40E0" w:rsidRPr="002A40E0" w:rsidRDefault="002A40E0" w:rsidP="0014739C">
      <w:pPr>
        <w:rPr>
          <w:rFonts w:ascii="Palatino" w:hAnsi="Palatino"/>
          <w:noProof/>
        </w:rPr>
      </w:pPr>
      <w:r w:rsidRPr="002A40E0">
        <w:rPr>
          <w:rFonts w:ascii="Palatino" w:hAnsi="Palatino"/>
          <w:noProof/>
        </w:rPr>
        <w:t>Zakon o javno-privatnom partnerstvu ("Službeni list Crne Gore", br. 073/19 od 27.12.2019)</w:t>
      </w:r>
    </w:p>
    <w:p w14:paraId="3A21B521" w14:textId="77777777" w:rsidR="002A40E0" w:rsidRPr="002A40E0" w:rsidRDefault="002A40E0" w:rsidP="0014739C">
      <w:pPr>
        <w:rPr>
          <w:rFonts w:ascii="Palatino" w:hAnsi="Palatino"/>
          <w:noProof/>
        </w:rPr>
      </w:pPr>
      <w:r w:rsidRPr="002A40E0">
        <w:rPr>
          <w:rFonts w:ascii="Palatino" w:hAnsi="Palatino"/>
          <w:noProof/>
        </w:rPr>
        <w:t>Zakon o komunalnim djelatnostima ("Službeni list Crne Gore", br. 055/16 od 17.08.2016, 074/16 od 01.12.2016)</w:t>
      </w:r>
    </w:p>
    <w:p w14:paraId="3A2E75FA" w14:textId="77777777" w:rsidR="002A40E0" w:rsidRPr="002A40E0" w:rsidRDefault="002A40E0" w:rsidP="0014739C">
      <w:pPr>
        <w:rPr>
          <w:rFonts w:ascii="Palatino" w:hAnsi="Palatino"/>
          <w:noProof/>
        </w:rPr>
      </w:pPr>
      <w:r w:rsidRPr="002A40E0">
        <w:rPr>
          <w:rFonts w:ascii="Palatino" w:hAnsi="Palatino"/>
          <w:noProof/>
        </w:rPr>
        <w:t>Zakon o upravljanju otpadom ("Službeni list Crne Gore", br. 064/11 od 29.12.2011, 039/16 od 29.06.2016)</w:t>
      </w:r>
    </w:p>
    <w:p w14:paraId="68BA26D3" w14:textId="54E07E54" w:rsidR="00C9137B" w:rsidRPr="002A40E0" w:rsidRDefault="00C9137B" w:rsidP="00C9137B">
      <w:pPr>
        <w:rPr>
          <w:rFonts w:ascii="Palatino" w:hAnsi="Palatino"/>
          <w:b/>
          <w:noProof/>
        </w:rPr>
      </w:pPr>
      <w:r w:rsidRPr="002A40E0">
        <w:rPr>
          <w:rFonts w:ascii="Palatino" w:hAnsi="Palatino"/>
          <w:b/>
          <w:noProof/>
        </w:rPr>
        <w:t>Internet izvori</w:t>
      </w:r>
    </w:p>
    <w:p w14:paraId="542F51C6" w14:textId="77777777" w:rsidR="002A40E0" w:rsidRPr="002A40E0" w:rsidRDefault="00806E29" w:rsidP="00C9137B">
      <w:pPr>
        <w:rPr>
          <w:rFonts w:ascii="Palatino" w:hAnsi="Palatino"/>
          <w:noProof/>
        </w:rPr>
      </w:pPr>
      <w:hyperlink r:id="rId13" w:history="1">
        <w:r w:rsidR="002A40E0" w:rsidRPr="002A40E0">
          <w:rPr>
            <w:rStyle w:val="Hyperlink"/>
            <w:rFonts w:ascii="Palatino" w:hAnsi="Palatino"/>
            <w:noProof/>
          </w:rPr>
          <w:t>https://pppknowledgelab.org</w:t>
        </w:r>
      </w:hyperlink>
    </w:p>
    <w:p w14:paraId="3660EF66" w14:textId="77777777" w:rsidR="002A40E0" w:rsidRPr="002A40E0" w:rsidRDefault="00806E29" w:rsidP="00C9137B">
      <w:pPr>
        <w:rPr>
          <w:rFonts w:ascii="Palatino" w:hAnsi="Palatino"/>
          <w:noProof/>
        </w:rPr>
      </w:pPr>
      <w:hyperlink r:id="rId14" w:history="1">
        <w:r w:rsidR="002A40E0" w:rsidRPr="002A40E0">
          <w:rPr>
            <w:rStyle w:val="Hyperlink"/>
            <w:rFonts w:ascii="Palatino" w:hAnsi="Palatino"/>
            <w:noProof/>
          </w:rPr>
          <w:t>www.basel.int</w:t>
        </w:r>
      </w:hyperlink>
      <w:r w:rsidR="002A40E0" w:rsidRPr="002A40E0">
        <w:rPr>
          <w:rFonts w:ascii="Palatino" w:hAnsi="Palatino"/>
          <w:noProof/>
        </w:rPr>
        <w:t xml:space="preserve"> </w:t>
      </w:r>
    </w:p>
    <w:p w14:paraId="3FCCE70F" w14:textId="77777777" w:rsidR="002A40E0" w:rsidRPr="002A40E0" w:rsidRDefault="00806E29" w:rsidP="00C9137B">
      <w:pPr>
        <w:rPr>
          <w:rFonts w:ascii="Palatino" w:hAnsi="Palatino"/>
          <w:noProof/>
        </w:rPr>
      </w:pPr>
      <w:hyperlink r:id="rId15" w:history="1">
        <w:r w:rsidR="002A40E0" w:rsidRPr="002A40E0">
          <w:rPr>
            <w:rStyle w:val="Hyperlink"/>
            <w:rFonts w:ascii="Palatino" w:hAnsi="Palatino"/>
            <w:noProof/>
          </w:rPr>
          <w:t>www.me.undp.org</w:t>
        </w:r>
      </w:hyperlink>
    </w:p>
    <w:p w14:paraId="32C8FD79" w14:textId="77777777" w:rsidR="002A40E0" w:rsidRPr="002A40E0" w:rsidRDefault="00806E29" w:rsidP="00C9137B">
      <w:pPr>
        <w:rPr>
          <w:rFonts w:ascii="Palatino" w:hAnsi="Palatino"/>
          <w:noProof/>
        </w:rPr>
      </w:pPr>
      <w:hyperlink r:id="rId16" w:history="1">
        <w:r w:rsidR="002A40E0" w:rsidRPr="002A40E0">
          <w:rPr>
            <w:rStyle w:val="Hyperlink"/>
            <w:rFonts w:ascii="Palatino" w:hAnsi="Palatino"/>
            <w:noProof/>
          </w:rPr>
          <w:t>www.pcbmontenegro.me</w:t>
        </w:r>
      </w:hyperlink>
    </w:p>
    <w:p w14:paraId="766ED743" w14:textId="0045CDB8" w:rsidR="009737F9" w:rsidRPr="002A40E0" w:rsidRDefault="00806E29" w:rsidP="00C9137B">
      <w:pPr>
        <w:rPr>
          <w:rFonts w:ascii="Palatino" w:hAnsi="Palatino"/>
          <w:noProof/>
        </w:rPr>
      </w:pPr>
      <w:hyperlink r:id="rId17" w:history="1">
        <w:r w:rsidR="009737F9" w:rsidRPr="002A40E0">
          <w:rPr>
            <w:rStyle w:val="Hyperlink"/>
            <w:rFonts w:ascii="Palatino" w:hAnsi="Palatino"/>
            <w:noProof/>
          </w:rPr>
          <w:t>https://www.eib.org/epec/</w:t>
        </w:r>
      </w:hyperlink>
    </w:p>
    <w:p w14:paraId="48706849" w14:textId="77777777" w:rsidR="00C9137B" w:rsidRPr="002A40E0" w:rsidRDefault="00C9137B" w:rsidP="00C9137B">
      <w:pPr>
        <w:rPr>
          <w:rFonts w:ascii="Palatino" w:hAnsi="Palatino"/>
          <w:noProof/>
        </w:rPr>
      </w:pPr>
    </w:p>
    <w:p w14:paraId="6E3F3167" w14:textId="77777777" w:rsidR="00463B48" w:rsidRDefault="00463B48" w:rsidP="00346254">
      <w:pPr>
        <w:spacing w:after="60"/>
        <w:jc w:val="both"/>
        <w:rPr>
          <w:rFonts w:ascii="Palatino" w:hAnsi="Palatino"/>
          <w:noProof/>
        </w:rPr>
      </w:pPr>
    </w:p>
    <w:p w14:paraId="373A24AC" w14:textId="5A0A3B17" w:rsidR="00972C24" w:rsidRPr="007D12CD" w:rsidRDefault="00972C24" w:rsidP="00346254">
      <w:pPr>
        <w:spacing w:after="60"/>
        <w:jc w:val="both"/>
        <w:rPr>
          <w:rFonts w:ascii="Palatino" w:hAnsi="Palatino"/>
          <w:noProof/>
        </w:rPr>
      </w:pPr>
    </w:p>
    <w:sectPr w:rsidR="00972C24" w:rsidRPr="007D12CD" w:rsidSect="00686711">
      <w:headerReference w:type="default" r:id="rId18"/>
      <w:footerReference w:type="even" r:id="rId19"/>
      <w:footerReference w:type="default" r:id="rId20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00A9" w14:textId="77777777" w:rsidR="00806E29" w:rsidRDefault="00806E29" w:rsidP="00110ADC">
      <w:pPr>
        <w:spacing w:after="0" w:line="240" w:lineRule="auto"/>
      </w:pPr>
      <w:r>
        <w:separator/>
      </w:r>
    </w:p>
  </w:endnote>
  <w:endnote w:type="continuationSeparator" w:id="0">
    <w:p w14:paraId="05F4DEF5" w14:textId="77777777" w:rsidR="00806E29" w:rsidRDefault="00806E29" w:rsidP="0011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‡ÌCZ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4441" w14:textId="77777777" w:rsidR="00192212" w:rsidRDefault="00192212" w:rsidP="00CF7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1757F" w14:textId="77777777" w:rsidR="00192212" w:rsidRDefault="00192212" w:rsidP="00686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5784" w14:textId="77777777" w:rsidR="00192212" w:rsidRPr="00686711" w:rsidRDefault="00192212" w:rsidP="00CF72AD">
    <w:pPr>
      <w:pStyle w:val="Footer"/>
      <w:framePr w:wrap="around" w:vAnchor="text" w:hAnchor="margin" w:xAlign="right" w:y="1"/>
      <w:rPr>
        <w:rStyle w:val="PageNumber"/>
        <w:rFonts w:ascii="Palatino" w:hAnsi="Palatino"/>
        <w:sz w:val="18"/>
        <w:szCs w:val="18"/>
      </w:rPr>
    </w:pPr>
    <w:r w:rsidRPr="00686711">
      <w:rPr>
        <w:rStyle w:val="PageNumber"/>
        <w:rFonts w:ascii="Palatino" w:hAnsi="Palatino"/>
        <w:sz w:val="18"/>
        <w:szCs w:val="18"/>
      </w:rPr>
      <w:fldChar w:fldCharType="begin"/>
    </w:r>
    <w:r w:rsidRPr="00686711">
      <w:rPr>
        <w:rStyle w:val="PageNumber"/>
        <w:rFonts w:ascii="Palatino" w:hAnsi="Palatino"/>
        <w:sz w:val="18"/>
        <w:szCs w:val="18"/>
      </w:rPr>
      <w:instrText xml:space="preserve">PAGE  </w:instrText>
    </w:r>
    <w:r w:rsidRPr="00686711">
      <w:rPr>
        <w:rStyle w:val="PageNumber"/>
        <w:rFonts w:ascii="Palatino" w:hAnsi="Palatino"/>
        <w:sz w:val="18"/>
        <w:szCs w:val="18"/>
      </w:rPr>
      <w:fldChar w:fldCharType="separate"/>
    </w:r>
    <w:r w:rsidR="001014F7">
      <w:rPr>
        <w:rStyle w:val="PageNumber"/>
        <w:rFonts w:ascii="Palatino" w:hAnsi="Palatino"/>
        <w:noProof/>
        <w:sz w:val="18"/>
        <w:szCs w:val="18"/>
      </w:rPr>
      <w:t>18</w:t>
    </w:r>
    <w:r w:rsidRPr="00686711">
      <w:rPr>
        <w:rStyle w:val="PageNumber"/>
        <w:rFonts w:ascii="Palatino" w:hAnsi="Palatino"/>
        <w:sz w:val="18"/>
        <w:szCs w:val="18"/>
      </w:rPr>
      <w:fldChar w:fldCharType="end"/>
    </w:r>
  </w:p>
  <w:p w14:paraId="359C9145" w14:textId="46EC4F6F" w:rsidR="00192212" w:rsidRDefault="00192212" w:rsidP="00686711">
    <w:pPr>
      <w:pStyle w:val="Footer"/>
      <w:ind w:right="360"/>
      <w:jc w:val="right"/>
    </w:pPr>
  </w:p>
  <w:p w14:paraId="527DD2BE" w14:textId="77777777" w:rsidR="00192212" w:rsidRDefault="00192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C3C63" w14:textId="77777777" w:rsidR="00806E29" w:rsidRDefault="00806E29" w:rsidP="00110ADC">
      <w:pPr>
        <w:spacing w:after="0" w:line="240" w:lineRule="auto"/>
      </w:pPr>
      <w:r>
        <w:separator/>
      </w:r>
    </w:p>
  </w:footnote>
  <w:footnote w:type="continuationSeparator" w:id="0">
    <w:p w14:paraId="62040DD9" w14:textId="77777777" w:rsidR="00806E29" w:rsidRDefault="00806E29" w:rsidP="00110ADC">
      <w:pPr>
        <w:spacing w:after="0" w:line="240" w:lineRule="auto"/>
      </w:pPr>
      <w:r>
        <w:continuationSeparator/>
      </w:r>
    </w:p>
  </w:footnote>
  <w:footnote w:id="1">
    <w:p w14:paraId="4BCC141B" w14:textId="77777777" w:rsidR="00192212" w:rsidRPr="007F2A10" w:rsidRDefault="00192212" w:rsidP="007F2A10">
      <w:pPr>
        <w:pStyle w:val="FootnoteText"/>
        <w:spacing w:line="276" w:lineRule="auto"/>
        <w:rPr>
          <w:rFonts w:ascii="Palatino" w:hAnsi="Palatino"/>
          <w:noProof/>
        </w:rPr>
      </w:pPr>
      <w:r w:rsidRPr="007F2A10">
        <w:rPr>
          <w:rStyle w:val="FootnoteReference"/>
          <w:rFonts w:ascii="Palatino" w:hAnsi="Palatino"/>
          <w:noProof/>
        </w:rPr>
        <w:footnoteRef/>
      </w:r>
      <w:r w:rsidRPr="007F2A10">
        <w:rPr>
          <w:rFonts w:ascii="Palatino" w:hAnsi="Palatino"/>
          <w:noProof/>
        </w:rPr>
        <w:t xml:space="preserve"> www.pcbmontenegro.me</w:t>
      </w:r>
    </w:p>
  </w:footnote>
  <w:footnote w:id="2">
    <w:p w14:paraId="4698B1FF" w14:textId="595388D8" w:rsidR="00192212" w:rsidRPr="007F2A10" w:rsidRDefault="00192212" w:rsidP="007F2A10">
      <w:pPr>
        <w:pStyle w:val="FootnoteText"/>
        <w:spacing w:line="276" w:lineRule="auto"/>
        <w:rPr>
          <w:rFonts w:ascii="Palatino" w:hAnsi="Palatino"/>
          <w:noProof/>
        </w:rPr>
      </w:pPr>
      <w:r w:rsidRPr="007F2A10">
        <w:rPr>
          <w:rStyle w:val="FootnoteReference"/>
          <w:rFonts w:ascii="Palatino" w:hAnsi="Palatino"/>
          <w:noProof/>
        </w:rPr>
        <w:footnoteRef/>
      </w:r>
      <w:r w:rsidRPr="007F2A10">
        <w:rPr>
          <w:rFonts w:ascii="Palatino" w:hAnsi="Palatino"/>
          <w:noProof/>
        </w:rPr>
        <w:t xml:space="preserve"> </w:t>
      </w:r>
      <w:r>
        <w:rPr>
          <w:rFonts w:ascii="Palatino" w:hAnsi="Palatino"/>
          <w:noProof/>
        </w:rPr>
        <w:t xml:space="preserve">Izrada novog zakonskog rješenja za upravljanje otpadom u Crnoj Gori je u toku. </w:t>
      </w:r>
    </w:p>
  </w:footnote>
  <w:footnote w:id="3">
    <w:p w14:paraId="7D2A2137" w14:textId="74B5BBA7" w:rsidR="00192212" w:rsidRPr="007F2A10" w:rsidRDefault="00192212" w:rsidP="007F2A10">
      <w:pPr>
        <w:pStyle w:val="FootnoteText"/>
        <w:spacing w:line="276" w:lineRule="auto"/>
        <w:rPr>
          <w:rFonts w:ascii="Palatino" w:hAnsi="Palatino"/>
          <w:noProof/>
        </w:rPr>
      </w:pPr>
      <w:r w:rsidRPr="007F2A10">
        <w:rPr>
          <w:rStyle w:val="FootnoteReference"/>
          <w:rFonts w:ascii="Palatino" w:hAnsi="Palatino"/>
          <w:noProof/>
        </w:rPr>
        <w:footnoteRef/>
      </w:r>
      <w:r w:rsidRPr="007F2A10">
        <w:rPr>
          <w:rFonts w:ascii="Palatino" w:hAnsi="Palatino"/>
          <w:noProof/>
        </w:rPr>
        <w:t xml:space="preserve"> U trenutku pripreme ove Analize, aktuelan je tender za dekontaminaciju transformatora sa ciljem ponovne upotrebe ukupne težine od oko </w:t>
      </w:r>
      <w:r>
        <w:rPr>
          <w:rFonts w:ascii="Palatino" w:hAnsi="Palatino"/>
          <w:noProof/>
        </w:rPr>
        <w:t>191,76</w:t>
      </w:r>
      <w:r w:rsidRPr="007F2A10">
        <w:rPr>
          <w:rFonts w:ascii="Palatino" w:hAnsi="Palatino"/>
          <w:noProof/>
        </w:rPr>
        <w:t>tona.</w:t>
      </w:r>
    </w:p>
  </w:footnote>
  <w:footnote w:id="4">
    <w:p w14:paraId="4F074D6C" w14:textId="5BE166CF" w:rsidR="00192212" w:rsidRPr="007F2A10" w:rsidRDefault="00192212" w:rsidP="007F2A10">
      <w:pPr>
        <w:pStyle w:val="FootnoteText"/>
        <w:spacing w:line="276" w:lineRule="auto"/>
        <w:rPr>
          <w:rFonts w:ascii="Palatino" w:hAnsi="Palatino"/>
          <w:noProof/>
        </w:rPr>
      </w:pPr>
      <w:r w:rsidRPr="007F2A10">
        <w:rPr>
          <w:rStyle w:val="FootnoteReference"/>
          <w:rFonts w:ascii="Palatino" w:hAnsi="Palatino"/>
          <w:noProof/>
        </w:rPr>
        <w:footnoteRef/>
      </w:r>
      <w:r w:rsidRPr="007F2A10">
        <w:rPr>
          <w:rFonts w:ascii="Palatino" w:hAnsi="Palatino"/>
          <w:noProof/>
        </w:rPr>
        <w:t xml:space="preserve"> Verzija iz marta 2020. godine</w:t>
      </w:r>
    </w:p>
  </w:footnote>
  <w:footnote w:id="5">
    <w:p w14:paraId="30E4BEFA" w14:textId="381E7490" w:rsidR="00192212" w:rsidRPr="00501474" w:rsidRDefault="00192212" w:rsidP="00501474">
      <w:pPr>
        <w:pStyle w:val="FootnoteText"/>
        <w:jc w:val="both"/>
        <w:rPr>
          <w:rFonts w:ascii="Palatino" w:hAnsi="Palatino"/>
        </w:rPr>
      </w:pPr>
      <w:r w:rsidRPr="00501474">
        <w:rPr>
          <w:rStyle w:val="FootnoteReference"/>
          <w:rFonts w:ascii="Palatino" w:hAnsi="Palatino"/>
        </w:rPr>
        <w:footnoteRef/>
      </w:r>
      <w:r w:rsidRPr="00501474">
        <w:rPr>
          <w:rFonts w:ascii="Palatino" w:hAnsi="Palatino"/>
        </w:rPr>
        <w:t xml:space="preserve"> U </w:t>
      </w:r>
      <w:r w:rsidRPr="00501474">
        <w:rPr>
          <w:rFonts w:ascii="Palatino" w:hAnsi="Palatino"/>
        </w:rPr>
        <w:t xml:space="preserve">pitanju je DOO Hemosan iz Bara, koje ima rješenje za preradu i odstranjivanje transformatora koji sadrže PCB </w:t>
      </w:r>
      <w:r w:rsidRPr="00501474">
        <w:rPr>
          <w:rFonts w:ascii="Palatino" w:hAnsi="Palatino"/>
        </w:rPr>
        <w:t xml:space="preserve">na lokaciji Luke Bar u opštini Bar. </w:t>
      </w:r>
      <w:r>
        <w:rPr>
          <w:rFonts w:ascii="Palatino" w:hAnsi="Palatino"/>
        </w:rPr>
        <w:t xml:space="preserve">Rješenjem Agencije za zaštitu životne sredine (sadašnja </w:t>
      </w:r>
      <w:r w:rsidRPr="007F2A10">
        <w:rPr>
          <w:rFonts w:ascii="Palatino" w:hAnsi="Palatino"/>
          <w:noProof/>
        </w:rPr>
        <w:t>Agencija za zaštitu prirode i životne sredine Crne Gore, www.epa.org.me</w:t>
      </w:r>
      <w:r>
        <w:rPr>
          <w:rFonts w:ascii="Palatino" w:hAnsi="Palatino"/>
          <w:noProof/>
        </w:rPr>
        <w:t>)</w:t>
      </w:r>
      <w:r>
        <w:rPr>
          <w:rFonts w:ascii="Palatino" w:hAnsi="Palatino"/>
        </w:rPr>
        <w:t xml:space="preserve"> dozvoljava se odstranjivanje otpadnog PCB po postupku D15, u skladu sa Pravilnikom o klasifikaciji otpada i katalogu otpada. Dozvola je izdata u novembru 2015. godine sa periodom važenja do 5 godina. </w:t>
      </w:r>
    </w:p>
  </w:footnote>
  <w:footnote w:id="6">
    <w:p w14:paraId="3F555A48" w14:textId="2FB4F7F8" w:rsidR="00192212" w:rsidRPr="007F2A10" w:rsidRDefault="00192212" w:rsidP="007F2A10">
      <w:pPr>
        <w:pStyle w:val="FootnoteText"/>
        <w:spacing w:line="276" w:lineRule="auto"/>
        <w:rPr>
          <w:rFonts w:ascii="Palatino" w:hAnsi="Palatino"/>
          <w:noProof/>
        </w:rPr>
      </w:pPr>
      <w:r w:rsidRPr="007F2A10">
        <w:rPr>
          <w:rStyle w:val="FootnoteReference"/>
          <w:rFonts w:ascii="Palatino" w:hAnsi="Palatino"/>
          <w:noProof/>
        </w:rPr>
        <w:footnoteRef/>
      </w:r>
      <w:r w:rsidRPr="007F2A10">
        <w:rPr>
          <w:rFonts w:ascii="Palatino" w:hAnsi="Palatino"/>
          <w:noProof/>
        </w:rPr>
        <w:t xml:space="preserve"> Tender raspisan u okviru Projekta.</w:t>
      </w:r>
    </w:p>
  </w:footnote>
  <w:footnote w:id="7">
    <w:p w14:paraId="298A9A3F" w14:textId="02869DF4" w:rsidR="00192212" w:rsidRPr="007F2A10" w:rsidRDefault="00192212" w:rsidP="007F2A10">
      <w:pPr>
        <w:spacing w:after="0"/>
        <w:jc w:val="both"/>
        <w:rPr>
          <w:rFonts w:ascii="Palatino" w:hAnsi="Palatino"/>
          <w:noProof/>
          <w:sz w:val="20"/>
          <w:szCs w:val="20"/>
        </w:rPr>
      </w:pPr>
      <w:r w:rsidRPr="007F2A10">
        <w:rPr>
          <w:rStyle w:val="FootnoteReference"/>
          <w:rFonts w:ascii="Palatino" w:hAnsi="Palatino"/>
          <w:noProof/>
          <w:sz w:val="20"/>
          <w:szCs w:val="20"/>
        </w:rPr>
        <w:footnoteRef/>
      </w:r>
      <w:r w:rsidRPr="007F2A10">
        <w:rPr>
          <w:rFonts w:ascii="Palatino" w:hAnsi="Palatino"/>
          <w:noProof/>
          <w:sz w:val="20"/>
          <w:szCs w:val="20"/>
        </w:rPr>
        <w:t xml:space="preserve"> Izvor: PCB Management and Disposal Demonstration Project - Analysis of PCB Treatment &amp; Disposal Options for the Socialist Republic of Vietnam, World Bank (2008)</w:t>
      </w:r>
    </w:p>
  </w:footnote>
  <w:footnote w:id="8">
    <w:p w14:paraId="53FF41A8" w14:textId="77777777" w:rsidR="00192212" w:rsidRPr="007F2A10" w:rsidRDefault="00192212" w:rsidP="007F2A10">
      <w:pPr>
        <w:pStyle w:val="FootnoteText"/>
        <w:spacing w:line="276" w:lineRule="auto"/>
        <w:rPr>
          <w:rFonts w:ascii="Palatino" w:hAnsi="Palatino"/>
          <w:noProof/>
        </w:rPr>
      </w:pPr>
      <w:r w:rsidRPr="007F2A10">
        <w:rPr>
          <w:rStyle w:val="FootnoteReference"/>
          <w:rFonts w:ascii="Palatino" w:hAnsi="Palatino"/>
          <w:noProof/>
        </w:rPr>
        <w:footnoteRef/>
      </w:r>
      <w:r w:rsidRPr="007F2A10">
        <w:rPr>
          <w:rFonts w:ascii="Palatino" w:hAnsi="Palatino"/>
          <w:noProof/>
        </w:rPr>
        <w:t xml:space="preserve"> Izvor: Cost-benefit analysis for the disposal of the PCB containing transformers, maj 2020</w:t>
      </w:r>
    </w:p>
  </w:footnote>
  <w:footnote w:id="9">
    <w:p w14:paraId="7816F63A" w14:textId="5D3CAA73" w:rsidR="00192212" w:rsidRPr="007F2A10" w:rsidRDefault="00192212" w:rsidP="007F2A10">
      <w:pPr>
        <w:pStyle w:val="FootnoteText"/>
        <w:spacing w:line="276" w:lineRule="auto"/>
        <w:rPr>
          <w:rFonts w:ascii="Palatino" w:hAnsi="Palatino"/>
          <w:noProof/>
        </w:rPr>
      </w:pPr>
      <w:r w:rsidRPr="007F2A10">
        <w:rPr>
          <w:rStyle w:val="FootnoteReference"/>
          <w:rFonts w:ascii="Palatino" w:hAnsi="Palatino"/>
          <w:noProof/>
        </w:rPr>
        <w:footnoteRef/>
      </w:r>
      <w:r w:rsidRPr="007F2A10">
        <w:rPr>
          <w:rFonts w:ascii="Palatino" w:hAnsi="Palatino"/>
          <w:noProof/>
        </w:rPr>
        <w:t xml:space="preserve"> </w:t>
      </w:r>
      <w:hyperlink r:id="rId1" w:history="1">
        <w:r w:rsidRPr="007F2A10">
          <w:rPr>
            <w:rStyle w:val="Hyperlink"/>
            <w:rFonts w:ascii="Palatino" w:hAnsi="Palatino"/>
            <w:noProof/>
          </w:rPr>
          <w:t>https://www.eib.org/epec/</w:t>
        </w:r>
      </w:hyperlink>
      <w:r w:rsidRPr="007F2A10">
        <w:rPr>
          <w:rFonts w:ascii="Palatino" w:hAnsi="Palatino"/>
          <w:noProof/>
        </w:rPr>
        <w:t xml:space="preserve"> </w:t>
      </w:r>
    </w:p>
  </w:footnote>
  <w:footnote w:id="10">
    <w:p w14:paraId="68CFA3E3" w14:textId="2AF82EAF" w:rsidR="00192212" w:rsidRPr="007F2A10" w:rsidRDefault="00192212" w:rsidP="007F2A10">
      <w:pPr>
        <w:pStyle w:val="FootnoteText"/>
        <w:spacing w:line="276" w:lineRule="auto"/>
        <w:rPr>
          <w:rFonts w:ascii="Palatino" w:hAnsi="Palatino"/>
          <w:noProof/>
        </w:rPr>
      </w:pPr>
      <w:r w:rsidRPr="007F2A10">
        <w:rPr>
          <w:rStyle w:val="FootnoteReference"/>
          <w:rFonts w:ascii="Palatino" w:hAnsi="Palatino"/>
          <w:noProof/>
        </w:rPr>
        <w:footnoteRef/>
      </w:r>
      <w:r w:rsidRPr="007F2A10">
        <w:rPr>
          <w:rFonts w:ascii="Palatino" w:hAnsi="Palatino"/>
          <w:noProof/>
        </w:rPr>
        <w:t xml:space="preserve"> Izvor: Market Update Review of the European PPP Market in 2019, dostupno na </w:t>
      </w:r>
      <w:hyperlink r:id="rId2" w:history="1">
        <w:r w:rsidRPr="007F2A10">
          <w:rPr>
            <w:rStyle w:val="Hyperlink"/>
            <w:rFonts w:ascii="Palatino" w:hAnsi="Palatino"/>
            <w:noProof/>
          </w:rPr>
          <w:t>https://www.eib.org/attachments/epec/epec_market_update_2019_en.pdf</w:t>
        </w:r>
      </w:hyperlink>
      <w:r w:rsidRPr="007F2A10">
        <w:rPr>
          <w:rFonts w:ascii="Palatino" w:hAnsi="Palatino"/>
          <w:noProof/>
        </w:rPr>
        <w:t>, pristupljeno 7.8.2020.</w:t>
      </w:r>
    </w:p>
  </w:footnote>
  <w:footnote w:id="11">
    <w:p w14:paraId="3BFA6A9B" w14:textId="2968B521" w:rsidR="00192212" w:rsidRPr="007F2A10" w:rsidRDefault="00192212" w:rsidP="007F2A10">
      <w:pPr>
        <w:pStyle w:val="FootnoteText"/>
        <w:spacing w:line="276" w:lineRule="auto"/>
        <w:rPr>
          <w:rFonts w:ascii="Palatino" w:hAnsi="Palatino"/>
          <w:noProof/>
        </w:rPr>
      </w:pPr>
      <w:r w:rsidRPr="007F2A10">
        <w:rPr>
          <w:rStyle w:val="FootnoteReference"/>
          <w:rFonts w:ascii="Palatino" w:hAnsi="Palatino"/>
          <w:noProof/>
        </w:rPr>
        <w:footnoteRef/>
      </w:r>
      <w:r w:rsidRPr="007F2A10">
        <w:rPr>
          <w:rFonts w:ascii="Palatino" w:hAnsi="Palatino"/>
          <w:noProof/>
        </w:rPr>
        <w:t xml:space="preserve"> Izvor: Analiza predloga zakona o javno-privatnom partnerstvu, Institut za preduzetništvo i ekonomski razvoj, 2019</w:t>
      </w:r>
    </w:p>
  </w:footnote>
  <w:footnote w:id="12">
    <w:p w14:paraId="4492EE60" w14:textId="77777777" w:rsidR="00192212" w:rsidRPr="007F2A10" w:rsidRDefault="00192212" w:rsidP="007F2A10">
      <w:pPr>
        <w:pStyle w:val="FootnoteText"/>
        <w:spacing w:line="276" w:lineRule="auto"/>
        <w:jc w:val="both"/>
        <w:rPr>
          <w:rFonts w:ascii="Palatino" w:hAnsi="Palatino"/>
          <w:noProof/>
        </w:rPr>
      </w:pPr>
      <w:r w:rsidRPr="007F2A10">
        <w:rPr>
          <w:rStyle w:val="FootnoteReference"/>
          <w:rFonts w:ascii="Palatino" w:hAnsi="Palatino"/>
          <w:noProof/>
        </w:rPr>
        <w:footnoteRef/>
      </w:r>
      <w:r w:rsidRPr="007F2A10">
        <w:rPr>
          <w:rFonts w:ascii="Palatino" w:hAnsi="Palatino"/>
          <w:noProof/>
        </w:rPr>
        <w:t xml:space="preserve"> Ovim propisom uspostavljen je novi zakonodavni okvir za sprovođenje projekata javno-privatnog partnerstva s obrzirom da je donošenjem novog Zakona stavljen van snage krovni propis iz ove oblasti Zakon o učešću privatnog sektora u vršenju javnih usluga („Službeni list RCG“, broj 30/02).</w:t>
      </w:r>
    </w:p>
  </w:footnote>
  <w:footnote w:id="13">
    <w:p w14:paraId="3816C92E" w14:textId="503AF212" w:rsidR="00192212" w:rsidRPr="007F2A10" w:rsidRDefault="00192212" w:rsidP="007F2A10">
      <w:pPr>
        <w:pStyle w:val="FootnoteText"/>
        <w:spacing w:line="276" w:lineRule="auto"/>
        <w:rPr>
          <w:rFonts w:ascii="Palatino" w:hAnsi="Palatino"/>
          <w:noProof/>
        </w:rPr>
      </w:pPr>
      <w:r w:rsidRPr="007F2A10">
        <w:rPr>
          <w:rStyle w:val="FootnoteReference"/>
          <w:rFonts w:ascii="Palatino" w:hAnsi="Palatino"/>
          <w:noProof/>
        </w:rPr>
        <w:footnoteRef/>
      </w:r>
      <w:r w:rsidRPr="007F2A10">
        <w:rPr>
          <w:rFonts w:ascii="Palatino" w:hAnsi="Palatino"/>
          <w:noProof/>
        </w:rPr>
        <w:t xml:space="preserve"> </w:t>
      </w:r>
      <w:hyperlink r:id="rId3" w:history="1">
        <w:r w:rsidRPr="007F2A10">
          <w:rPr>
            <w:rStyle w:val="Hyperlink"/>
            <w:rFonts w:ascii="Palatino" w:hAnsi="Palatino"/>
            <w:noProof/>
          </w:rPr>
          <w:t>https://pppknowledgelab.org</w:t>
        </w:r>
      </w:hyperlink>
      <w:r w:rsidRPr="007F2A10">
        <w:rPr>
          <w:rFonts w:ascii="Palatino" w:hAnsi="Palatino"/>
          <w:noProof/>
        </w:rPr>
        <w:t xml:space="preserve"> </w:t>
      </w:r>
    </w:p>
  </w:footnote>
  <w:footnote w:id="14">
    <w:p w14:paraId="671B77E5" w14:textId="68D42115" w:rsidR="00192212" w:rsidRPr="007F2A10" w:rsidRDefault="00192212" w:rsidP="007F2A10">
      <w:pPr>
        <w:pStyle w:val="FootnoteText"/>
        <w:spacing w:line="276" w:lineRule="auto"/>
        <w:rPr>
          <w:rFonts w:ascii="Palatino" w:hAnsi="Palatino"/>
        </w:rPr>
      </w:pPr>
      <w:r w:rsidRPr="007F2A10">
        <w:rPr>
          <w:rStyle w:val="FootnoteReference"/>
          <w:rFonts w:ascii="Palatino" w:hAnsi="Palatino"/>
        </w:rPr>
        <w:footnoteRef/>
      </w:r>
      <w:r w:rsidRPr="007F2A10">
        <w:rPr>
          <w:rFonts w:ascii="Palatino" w:hAnsi="Palatino"/>
        </w:rPr>
        <w:t xml:space="preserve"> </w:t>
      </w:r>
      <w:r w:rsidRPr="007F2A10">
        <w:rPr>
          <w:rFonts w:ascii="Palatino" w:hAnsi="Palatino"/>
          <w:noProof/>
        </w:rPr>
        <w:t>Ovim zakonom postignut je visok stepen usklađenosti sa Direktivom 96/59/EC o odlaganju PCB i PCT, koja je ključni zakonodavni dokument o upravljanju PCB otpadom na nivou EU.</w:t>
      </w:r>
    </w:p>
  </w:footnote>
  <w:footnote w:id="15">
    <w:p w14:paraId="11CDFA16" w14:textId="733196DE" w:rsidR="00192212" w:rsidRPr="007F2A10" w:rsidRDefault="00192212" w:rsidP="007F2A10">
      <w:pPr>
        <w:pStyle w:val="FootnoteText"/>
        <w:spacing w:line="276" w:lineRule="auto"/>
        <w:rPr>
          <w:rFonts w:ascii="Palatino" w:hAnsi="Palatino"/>
        </w:rPr>
      </w:pPr>
      <w:r w:rsidRPr="007F2A10">
        <w:rPr>
          <w:rStyle w:val="FootnoteReference"/>
          <w:rFonts w:ascii="Palatino" w:hAnsi="Palatino"/>
        </w:rPr>
        <w:footnoteRef/>
      </w:r>
      <w:r w:rsidRPr="007F2A10">
        <w:rPr>
          <w:rFonts w:ascii="Palatino" w:hAnsi="Palatino"/>
        </w:rPr>
        <w:t xml:space="preserve"> </w:t>
      </w:r>
      <w:r w:rsidRPr="007F2A10">
        <w:rPr>
          <w:rFonts w:ascii="Palatino" w:hAnsi="Palatino"/>
        </w:rPr>
        <w:t>Agencija za zaštitu prirode i životne sredine Crne Gore</w:t>
      </w:r>
    </w:p>
  </w:footnote>
  <w:footnote w:id="16">
    <w:p w14:paraId="472A09EB" w14:textId="6987E8E9" w:rsidR="00192212" w:rsidRPr="007F2A10" w:rsidRDefault="00192212" w:rsidP="007F2A10">
      <w:pPr>
        <w:pStyle w:val="FootnoteText"/>
        <w:spacing w:line="276" w:lineRule="auto"/>
        <w:rPr>
          <w:rFonts w:ascii="Palatino" w:hAnsi="Palatino"/>
        </w:rPr>
      </w:pPr>
      <w:r w:rsidRPr="007F2A10">
        <w:rPr>
          <w:rStyle w:val="FootnoteReference"/>
          <w:rFonts w:ascii="Palatino" w:hAnsi="Palatino"/>
        </w:rPr>
        <w:footnoteRef/>
      </w:r>
      <w:r w:rsidRPr="007F2A10">
        <w:rPr>
          <w:rFonts w:ascii="Palatino" w:hAnsi="Palatino"/>
        </w:rPr>
        <w:t xml:space="preserve"> </w:t>
      </w:r>
      <w:r w:rsidRPr="007F2A10">
        <w:rPr>
          <w:rFonts w:ascii="Palatino" w:hAnsi="Palatino"/>
        </w:rPr>
        <w:t xml:space="preserve">Osnivač CETI-ija je Vlada Crne Gore, a od 2012. godine, CETI ima licencu za obavljanje naučno-istraživačke djelatnosti.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83C3" w14:textId="77777777" w:rsidR="00192212" w:rsidRDefault="00192212" w:rsidP="00686711">
    <w:pPr>
      <w:pStyle w:val="Header"/>
    </w:pPr>
  </w:p>
  <w:p w14:paraId="32DB7C67" w14:textId="77777777" w:rsidR="00192212" w:rsidRPr="00686711" w:rsidRDefault="00192212" w:rsidP="00686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8E7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75E07"/>
    <w:multiLevelType w:val="hybridMultilevel"/>
    <w:tmpl w:val="0F4AF7EA"/>
    <w:lvl w:ilvl="0" w:tplc="6D9A22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60BC"/>
    <w:multiLevelType w:val="hybridMultilevel"/>
    <w:tmpl w:val="B1BA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7BF"/>
    <w:multiLevelType w:val="hybridMultilevel"/>
    <w:tmpl w:val="A70E445C"/>
    <w:lvl w:ilvl="0" w:tplc="6D9A22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77E65"/>
    <w:multiLevelType w:val="hybridMultilevel"/>
    <w:tmpl w:val="7CAC5678"/>
    <w:lvl w:ilvl="0" w:tplc="6D9A22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A375A"/>
    <w:multiLevelType w:val="hybridMultilevel"/>
    <w:tmpl w:val="515EF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B5B8D"/>
    <w:multiLevelType w:val="hybridMultilevel"/>
    <w:tmpl w:val="8A160140"/>
    <w:lvl w:ilvl="0" w:tplc="94180A3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344D9"/>
    <w:multiLevelType w:val="hybridMultilevel"/>
    <w:tmpl w:val="92622B32"/>
    <w:lvl w:ilvl="0" w:tplc="4E94D716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9A729836">
      <w:numFmt w:val="bullet"/>
      <w:lvlText w:val="–"/>
      <w:lvlJc w:val="left"/>
      <w:pPr>
        <w:ind w:left="1440" w:hanging="360"/>
      </w:pPr>
      <w:rPr>
        <w:rFonts w:ascii="Palatino" w:eastAsia="Times New Roman" w:hAnsi="Palatin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1D0F"/>
    <w:multiLevelType w:val="hybridMultilevel"/>
    <w:tmpl w:val="176253FE"/>
    <w:lvl w:ilvl="0" w:tplc="D2140A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2140A8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3274E"/>
    <w:multiLevelType w:val="hybridMultilevel"/>
    <w:tmpl w:val="17301460"/>
    <w:lvl w:ilvl="0" w:tplc="6D9A22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B2B75"/>
    <w:multiLevelType w:val="hybridMultilevel"/>
    <w:tmpl w:val="D4FC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6639A"/>
    <w:multiLevelType w:val="hybridMultilevel"/>
    <w:tmpl w:val="8A185844"/>
    <w:lvl w:ilvl="0" w:tplc="6D9A22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B0D31"/>
    <w:multiLevelType w:val="hybridMultilevel"/>
    <w:tmpl w:val="7E1A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92C0C"/>
    <w:multiLevelType w:val="hybridMultilevel"/>
    <w:tmpl w:val="E4900DF4"/>
    <w:lvl w:ilvl="0" w:tplc="6D9A22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A4F"/>
    <w:rsid w:val="00001DE3"/>
    <w:rsid w:val="00005702"/>
    <w:rsid w:val="00007AAC"/>
    <w:rsid w:val="00015E21"/>
    <w:rsid w:val="0002227D"/>
    <w:rsid w:val="00027477"/>
    <w:rsid w:val="0003035B"/>
    <w:rsid w:val="00030A59"/>
    <w:rsid w:val="00035B28"/>
    <w:rsid w:val="00044523"/>
    <w:rsid w:val="00047905"/>
    <w:rsid w:val="0005379C"/>
    <w:rsid w:val="00055B25"/>
    <w:rsid w:val="000572D7"/>
    <w:rsid w:val="00062BF0"/>
    <w:rsid w:val="00065E3A"/>
    <w:rsid w:val="00072C93"/>
    <w:rsid w:val="00072F2A"/>
    <w:rsid w:val="000805F7"/>
    <w:rsid w:val="00083813"/>
    <w:rsid w:val="000856FC"/>
    <w:rsid w:val="00085E9A"/>
    <w:rsid w:val="000901F6"/>
    <w:rsid w:val="000A059B"/>
    <w:rsid w:val="000A29A3"/>
    <w:rsid w:val="000B3BF2"/>
    <w:rsid w:val="000C3FA3"/>
    <w:rsid w:val="000C593E"/>
    <w:rsid w:val="000D5A38"/>
    <w:rsid w:val="000E0FE4"/>
    <w:rsid w:val="000E704B"/>
    <w:rsid w:val="000F2A96"/>
    <w:rsid w:val="000F4A71"/>
    <w:rsid w:val="001014F7"/>
    <w:rsid w:val="00105D0F"/>
    <w:rsid w:val="00110ADC"/>
    <w:rsid w:val="00110FA5"/>
    <w:rsid w:val="00112856"/>
    <w:rsid w:val="00115CD2"/>
    <w:rsid w:val="00117ADB"/>
    <w:rsid w:val="00120A86"/>
    <w:rsid w:val="00125242"/>
    <w:rsid w:val="00125865"/>
    <w:rsid w:val="001260C5"/>
    <w:rsid w:val="00127483"/>
    <w:rsid w:val="00136632"/>
    <w:rsid w:val="00141300"/>
    <w:rsid w:val="0014184A"/>
    <w:rsid w:val="0014241C"/>
    <w:rsid w:val="0014253D"/>
    <w:rsid w:val="0014739C"/>
    <w:rsid w:val="00150473"/>
    <w:rsid w:val="001519C8"/>
    <w:rsid w:val="00151CFE"/>
    <w:rsid w:val="00156332"/>
    <w:rsid w:val="00161F9E"/>
    <w:rsid w:val="00164398"/>
    <w:rsid w:val="001722E5"/>
    <w:rsid w:val="00177FFE"/>
    <w:rsid w:val="00182607"/>
    <w:rsid w:val="00190D85"/>
    <w:rsid w:val="00192212"/>
    <w:rsid w:val="001A4DC4"/>
    <w:rsid w:val="001A63B6"/>
    <w:rsid w:val="001B41E5"/>
    <w:rsid w:val="001B6C1C"/>
    <w:rsid w:val="001C34D9"/>
    <w:rsid w:val="001C3604"/>
    <w:rsid w:val="001D1845"/>
    <w:rsid w:val="001D3817"/>
    <w:rsid w:val="001E5E1C"/>
    <w:rsid w:val="001F6383"/>
    <w:rsid w:val="001F76FB"/>
    <w:rsid w:val="00201A71"/>
    <w:rsid w:val="00210A9C"/>
    <w:rsid w:val="00211BC5"/>
    <w:rsid w:val="00212F75"/>
    <w:rsid w:val="0021598A"/>
    <w:rsid w:val="002212ED"/>
    <w:rsid w:val="002226BD"/>
    <w:rsid w:val="002258D2"/>
    <w:rsid w:val="00225D8B"/>
    <w:rsid w:val="0022616A"/>
    <w:rsid w:val="00231F8D"/>
    <w:rsid w:val="00240120"/>
    <w:rsid w:val="0024740D"/>
    <w:rsid w:val="00253EBB"/>
    <w:rsid w:val="00255799"/>
    <w:rsid w:val="00262315"/>
    <w:rsid w:val="00265CBE"/>
    <w:rsid w:val="00270CC6"/>
    <w:rsid w:val="00273AA6"/>
    <w:rsid w:val="00284727"/>
    <w:rsid w:val="0029350B"/>
    <w:rsid w:val="002946B1"/>
    <w:rsid w:val="00295EAA"/>
    <w:rsid w:val="002A0748"/>
    <w:rsid w:val="002A2F83"/>
    <w:rsid w:val="002A355D"/>
    <w:rsid w:val="002A40E0"/>
    <w:rsid w:val="002C045E"/>
    <w:rsid w:val="002D2096"/>
    <w:rsid w:val="002D34B2"/>
    <w:rsid w:val="002D5309"/>
    <w:rsid w:val="002E7AE9"/>
    <w:rsid w:val="002F163E"/>
    <w:rsid w:val="002F3CAC"/>
    <w:rsid w:val="00302F91"/>
    <w:rsid w:val="00303499"/>
    <w:rsid w:val="00311911"/>
    <w:rsid w:val="00311B9A"/>
    <w:rsid w:val="00343A15"/>
    <w:rsid w:val="003448A6"/>
    <w:rsid w:val="00344C21"/>
    <w:rsid w:val="0034500F"/>
    <w:rsid w:val="00346254"/>
    <w:rsid w:val="00351731"/>
    <w:rsid w:val="00351C89"/>
    <w:rsid w:val="00361DDC"/>
    <w:rsid w:val="00375151"/>
    <w:rsid w:val="003771FA"/>
    <w:rsid w:val="00380A03"/>
    <w:rsid w:val="00381D9D"/>
    <w:rsid w:val="0039753F"/>
    <w:rsid w:val="003A299F"/>
    <w:rsid w:val="003B0886"/>
    <w:rsid w:val="003B0B44"/>
    <w:rsid w:val="003B1D4E"/>
    <w:rsid w:val="003B4BCD"/>
    <w:rsid w:val="003C03CF"/>
    <w:rsid w:val="003C1771"/>
    <w:rsid w:val="003C1E26"/>
    <w:rsid w:val="003C38A3"/>
    <w:rsid w:val="003D368B"/>
    <w:rsid w:val="003D62C4"/>
    <w:rsid w:val="003D7399"/>
    <w:rsid w:val="003E369F"/>
    <w:rsid w:val="003E3C6F"/>
    <w:rsid w:val="003E59D5"/>
    <w:rsid w:val="003E7E69"/>
    <w:rsid w:val="003F3DA5"/>
    <w:rsid w:val="00404639"/>
    <w:rsid w:val="00404961"/>
    <w:rsid w:val="004110F4"/>
    <w:rsid w:val="004122A2"/>
    <w:rsid w:val="004133A2"/>
    <w:rsid w:val="00422103"/>
    <w:rsid w:val="00441BE0"/>
    <w:rsid w:val="004428E5"/>
    <w:rsid w:val="00453FC9"/>
    <w:rsid w:val="00463B48"/>
    <w:rsid w:val="0049602F"/>
    <w:rsid w:val="004A00DA"/>
    <w:rsid w:val="004A2FCD"/>
    <w:rsid w:val="004A46B7"/>
    <w:rsid w:val="004A4F1B"/>
    <w:rsid w:val="004A7123"/>
    <w:rsid w:val="004B29C7"/>
    <w:rsid w:val="004B2EB2"/>
    <w:rsid w:val="004B3DB0"/>
    <w:rsid w:val="004B744B"/>
    <w:rsid w:val="004D2527"/>
    <w:rsid w:val="004E1E1A"/>
    <w:rsid w:val="004F10F4"/>
    <w:rsid w:val="004F2C92"/>
    <w:rsid w:val="004F5B2B"/>
    <w:rsid w:val="004F60A5"/>
    <w:rsid w:val="00501474"/>
    <w:rsid w:val="00505775"/>
    <w:rsid w:val="00506EE2"/>
    <w:rsid w:val="00534DA8"/>
    <w:rsid w:val="00535839"/>
    <w:rsid w:val="00536556"/>
    <w:rsid w:val="00544E24"/>
    <w:rsid w:val="005459D7"/>
    <w:rsid w:val="00551327"/>
    <w:rsid w:val="00551E9C"/>
    <w:rsid w:val="0055299A"/>
    <w:rsid w:val="00552F34"/>
    <w:rsid w:val="005530B2"/>
    <w:rsid w:val="005711C9"/>
    <w:rsid w:val="0057412D"/>
    <w:rsid w:val="005757B6"/>
    <w:rsid w:val="005923C5"/>
    <w:rsid w:val="00594315"/>
    <w:rsid w:val="00597B9F"/>
    <w:rsid w:val="005A1088"/>
    <w:rsid w:val="005A2F0E"/>
    <w:rsid w:val="005A3ED9"/>
    <w:rsid w:val="005A41AC"/>
    <w:rsid w:val="005A4B2F"/>
    <w:rsid w:val="005A680C"/>
    <w:rsid w:val="005A6CCA"/>
    <w:rsid w:val="005B0930"/>
    <w:rsid w:val="005B4A4C"/>
    <w:rsid w:val="005D5ECF"/>
    <w:rsid w:val="005D68E2"/>
    <w:rsid w:val="005E064F"/>
    <w:rsid w:val="005E2B2C"/>
    <w:rsid w:val="005E6782"/>
    <w:rsid w:val="005F31CF"/>
    <w:rsid w:val="005F331E"/>
    <w:rsid w:val="006007CB"/>
    <w:rsid w:val="00603343"/>
    <w:rsid w:val="0060386C"/>
    <w:rsid w:val="00605AC3"/>
    <w:rsid w:val="00606BD5"/>
    <w:rsid w:val="006123C3"/>
    <w:rsid w:val="006125EF"/>
    <w:rsid w:val="00612BF3"/>
    <w:rsid w:val="0061436F"/>
    <w:rsid w:val="00625A6B"/>
    <w:rsid w:val="0063326E"/>
    <w:rsid w:val="006343B5"/>
    <w:rsid w:val="00634423"/>
    <w:rsid w:val="00634B9D"/>
    <w:rsid w:val="0063545E"/>
    <w:rsid w:val="0063691F"/>
    <w:rsid w:val="006505C9"/>
    <w:rsid w:val="00651D39"/>
    <w:rsid w:val="00654648"/>
    <w:rsid w:val="00665228"/>
    <w:rsid w:val="00673EDA"/>
    <w:rsid w:val="006770D5"/>
    <w:rsid w:val="00686711"/>
    <w:rsid w:val="00687A52"/>
    <w:rsid w:val="0069179E"/>
    <w:rsid w:val="006A3BF2"/>
    <w:rsid w:val="006B5616"/>
    <w:rsid w:val="006B6D7C"/>
    <w:rsid w:val="006C42BC"/>
    <w:rsid w:val="006C5421"/>
    <w:rsid w:val="006C5AAF"/>
    <w:rsid w:val="006D4913"/>
    <w:rsid w:val="006D50F7"/>
    <w:rsid w:val="006E1252"/>
    <w:rsid w:val="006F2996"/>
    <w:rsid w:val="006F5968"/>
    <w:rsid w:val="00706413"/>
    <w:rsid w:val="0071293A"/>
    <w:rsid w:val="00713683"/>
    <w:rsid w:val="007204B5"/>
    <w:rsid w:val="0072148D"/>
    <w:rsid w:val="00722D66"/>
    <w:rsid w:val="0072434B"/>
    <w:rsid w:val="00725CB5"/>
    <w:rsid w:val="0073300A"/>
    <w:rsid w:val="007406AE"/>
    <w:rsid w:val="0074078A"/>
    <w:rsid w:val="00740A9A"/>
    <w:rsid w:val="007435C4"/>
    <w:rsid w:val="00743BDB"/>
    <w:rsid w:val="0074706E"/>
    <w:rsid w:val="00754711"/>
    <w:rsid w:val="00760E17"/>
    <w:rsid w:val="007663B9"/>
    <w:rsid w:val="00774130"/>
    <w:rsid w:val="00777BD0"/>
    <w:rsid w:val="00780787"/>
    <w:rsid w:val="00783A2C"/>
    <w:rsid w:val="00785459"/>
    <w:rsid w:val="00790722"/>
    <w:rsid w:val="00791220"/>
    <w:rsid w:val="007922C0"/>
    <w:rsid w:val="007A1106"/>
    <w:rsid w:val="007A3936"/>
    <w:rsid w:val="007A6979"/>
    <w:rsid w:val="007B52A4"/>
    <w:rsid w:val="007C0DFE"/>
    <w:rsid w:val="007C514A"/>
    <w:rsid w:val="007D12CD"/>
    <w:rsid w:val="007D4B21"/>
    <w:rsid w:val="007D5D7F"/>
    <w:rsid w:val="007E38CD"/>
    <w:rsid w:val="007E46A1"/>
    <w:rsid w:val="007F2A10"/>
    <w:rsid w:val="007F4EE0"/>
    <w:rsid w:val="00803B7C"/>
    <w:rsid w:val="00806E29"/>
    <w:rsid w:val="00810CE7"/>
    <w:rsid w:val="00812FED"/>
    <w:rsid w:val="00821AD5"/>
    <w:rsid w:val="00823FDA"/>
    <w:rsid w:val="00831497"/>
    <w:rsid w:val="00837808"/>
    <w:rsid w:val="0084330D"/>
    <w:rsid w:val="00847AC5"/>
    <w:rsid w:val="00851F20"/>
    <w:rsid w:val="00853059"/>
    <w:rsid w:val="00854B1E"/>
    <w:rsid w:val="00855D25"/>
    <w:rsid w:val="008561DB"/>
    <w:rsid w:val="00856826"/>
    <w:rsid w:val="00860882"/>
    <w:rsid w:val="00866FA1"/>
    <w:rsid w:val="00884319"/>
    <w:rsid w:val="00895CDB"/>
    <w:rsid w:val="00896C2B"/>
    <w:rsid w:val="00897A35"/>
    <w:rsid w:val="008A266E"/>
    <w:rsid w:val="008C189B"/>
    <w:rsid w:val="008C6AAD"/>
    <w:rsid w:val="008D1040"/>
    <w:rsid w:val="008D15D2"/>
    <w:rsid w:val="008D4A5F"/>
    <w:rsid w:val="008D5057"/>
    <w:rsid w:val="008D6A21"/>
    <w:rsid w:val="008D7C77"/>
    <w:rsid w:val="008E0570"/>
    <w:rsid w:val="008E0FA4"/>
    <w:rsid w:val="008E2F0A"/>
    <w:rsid w:val="008E573A"/>
    <w:rsid w:val="008F326A"/>
    <w:rsid w:val="00902986"/>
    <w:rsid w:val="009073AF"/>
    <w:rsid w:val="0092109A"/>
    <w:rsid w:val="00922F45"/>
    <w:rsid w:val="009268B0"/>
    <w:rsid w:val="00937FC0"/>
    <w:rsid w:val="00941CA3"/>
    <w:rsid w:val="00946A04"/>
    <w:rsid w:val="00950212"/>
    <w:rsid w:val="009706F6"/>
    <w:rsid w:val="00971516"/>
    <w:rsid w:val="00972C24"/>
    <w:rsid w:val="009737F9"/>
    <w:rsid w:val="00973C24"/>
    <w:rsid w:val="00982D25"/>
    <w:rsid w:val="009960B0"/>
    <w:rsid w:val="009B3736"/>
    <w:rsid w:val="009B5084"/>
    <w:rsid w:val="009B5871"/>
    <w:rsid w:val="009C65EC"/>
    <w:rsid w:val="009C6A7B"/>
    <w:rsid w:val="009D1286"/>
    <w:rsid w:val="009D1711"/>
    <w:rsid w:val="009D4CCD"/>
    <w:rsid w:val="009D6B98"/>
    <w:rsid w:val="009E2C85"/>
    <w:rsid w:val="009E458E"/>
    <w:rsid w:val="009E7140"/>
    <w:rsid w:val="009F26B2"/>
    <w:rsid w:val="009F395E"/>
    <w:rsid w:val="009F3F14"/>
    <w:rsid w:val="009F6A21"/>
    <w:rsid w:val="009F6F09"/>
    <w:rsid w:val="009F70DA"/>
    <w:rsid w:val="00A00796"/>
    <w:rsid w:val="00A01B62"/>
    <w:rsid w:val="00A03C47"/>
    <w:rsid w:val="00A03D5B"/>
    <w:rsid w:val="00A108FA"/>
    <w:rsid w:val="00A16870"/>
    <w:rsid w:val="00A22B9A"/>
    <w:rsid w:val="00A25C1F"/>
    <w:rsid w:val="00A30416"/>
    <w:rsid w:val="00A348C1"/>
    <w:rsid w:val="00A34C5F"/>
    <w:rsid w:val="00A35213"/>
    <w:rsid w:val="00A36101"/>
    <w:rsid w:val="00A372BE"/>
    <w:rsid w:val="00A431D0"/>
    <w:rsid w:val="00A443F5"/>
    <w:rsid w:val="00A4606F"/>
    <w:rsid w:val="00A51A7A"/>
    <w:rsid w:val="00A5417D"/>
    <w:rsid w:val="00A54489"/>
    <w:rsid w:val="00A56BDA"/>
    <w:rsid w:val="00A57475"/>
    <w:rsid w:val="00A61CEB"/>
    <w:rsid w:val="00A633D7"/>
    <w:rsid w:val="00A86965"/>
    <w:rsid w:val="00A966E0"/>
    <w:rsid w:val="00AA1BD0"/>
    <w:rsid w:val="00AA3B10"/>
    <w:rsid w:val="00AB6343"/>
    <w:rsid w:val="00AC26A9"/>
    <w:rsid w:val="00AC68A2"/>
    <w:rsid w:val="00AD5ACE"/>
    <w:rsid w:val="00AE0436"/>
    <w:rsid w:val="00AE1814"/>
    <w:rsid w:val="00AE3B7A"/>
    <w:rsid w:val="00AF1694"/>
    <w:rsid w:val="00AF2CA4"/>
    <w:rsid w:val="00AF5296"/>
    <w:rsid w:val="00AF69AB"/>
    <w:rsid w:val="00B02273"/>
    <w:rsid w:val="00B03680"/>
    <w:rsid w:val="00B058CE"/>
    <w:rsid w:val="00B0665C"/>
    <w:rsid w:val="00B178F5"/>
    <w:rsid w:val="00B21EAE"/>
    <w:rsid w:val="00B2286A"/>
    <w:rsid w:val="00B27070"/>
    <w:rsid w:val="00B30276"/>
    <w:rsid w:val="00B40CA6"/>
    <w:rsid w:val="00B46084"/>
    <w:rsid w:val="00B47835"/>
    <w:rsid w:val="00B5141E"/>
    <w:rsid w:val="00B53A37"/>
    <w:rsid w:val="00B56125"/>
    <w:rsid w:val="00B6125F"/>
    <w:rsid w:val="00B677ED"/>
    <w:rsid w:val="00B75370"/>
    <w:rsid w:val="00B823FA"/>
    <w:rsid w:val="00B85ACF"/>
    <w:rsid w:val="00B92C50"/>
    <w:rsid w:val="00BA04CA"/>
    <w:rsid w:val="00BA1119"/>
    <w:rsid w:val="00BA200F"/>
    <w:rsid w:val="00BA5189"/>
    <w:rsid w:val="00BA6F07"/>
    <w:rsid w:val="00BB17B7"/>
    <w:rsid w:val="00BB2BFF"/>
    <w:rsid w:val="00BB44D9"/>
    <w:rsid w:val="00BB5A4F"/>
    <w:rsid w:val="00BE21BF"/>
    <w:rsid w:val="00BF43B6"/>
    <w:rsid w:val="00C07D18"/>
    <w:rsid w:val="00C10EC9"/>
    <w:rsid w:val="00C300D4"/>
    <w:rsid w:val="00C45ED4"/>
    <w:rsid w:val="00C473B5"/>
    <w:rsid w:val="00C53332"/>
    <w:rsid w:val="00C538A0"/>
    <w:rsid w:val="00C54E7E"/>
    <w:rsid w:val="00C55372"/>
    <w:rsid w:val="00C62CAA"/>
    <w:rsid w:val="00C651E3"/>
    <w:rsid w:val="00C66AF4"/>
    <w:rsid w:val="00C812C7"/>
    <w:rsid w:val="00C8339F"/>
    <w:rsid w:val="00C9137B"/>
    <w:rsid w:val="00C93E70"/>
    <w:rsid w:val="00C94424"/>
    <w:rsid w:val="00C96FCE"/>
    <w:rsid w:val="00CA1D94"/>
    <w:rsid w:val="00CA5A4F"/>
    <w:rsid w:val="00CB0FEA"/>
    <w:rsid w:val="00CB36CC"/>
    <w:rsid w:val="00CC23AC"/>
    <w:rsid w:val="00CC2B65"/>
    <w:rsid w:val="00CC5652"/>
    <w:rsid w:val="00CC674E"/>
    <w:rsid w:val="00CD64B0"/>
    <w:rsid w:val="00CE02A6"/>
    <w:rsid w:val="00CF72AD"/>
    <w:rsid w:val="00D016D4"/>
    <w:rsid w:val="00D06060"/>
    <w:rsid w:val="00D12F82"/>
    <w:rsid w:val="00D16665"/>
    <w:rsid w:val="00D32C81"/>
    <w:rsid w:val="00D41496"/>
    <w:rsid w:val="00D441C6"/>
    <w:rsid w:val="00D44F26"/>
    <w:rsid w:val="00D52478"/>
    <w:rsid w:val="00D5282B"/>
    <w:rsid w:val="00D57199"/>
    <w:rsid w:val="00D61155"/>
    <w:rsid w:val="00D6303C"/>
    <w:rsid w:val="00D6664A"/>
    <w:rsid w:val="00D71FB3"/>
    <w:rsid w:val="00D80E45"/>
    <w:rsid w:val="00D82CA4"/>
    <w:rsid w:val="00D847AA"/>
    <w:rsid w:val="00D907A6"/>
    <w:rsid w:val="00D90FD2"/>
    <w:rsid w:val="00D96DC3"/>
    <w:rsid w:val="00DA02F3"/>
    <w:rsid w:val="00DA6BA9"/>
    <w:rsid w:val="00DB7B3E"/>
    <w:rsid w:val="00DD3B47"/>
    <w:rsid w:val="00DE199B"/>
    <w:rsid w:val="00DE2163"/>
    <w:rsid w:val="00DE57F8"/>
    <w:rsid w:val="00DE5F00"/>
    <w:rsid w:val="00DE7A78"/>
    <w:rsid w:val="00E05E5C"/>
    <w:rsid w:val="00E10989"/>
    <w:rsid w:val="00E13485"/>
    <w:rsid w:val="00E23C2C"/>
    <w:rsid w:val="00E2544A"/>
    <w:rsid w:val="00E35D6E"/>
    <w:rsid w:val="00E4053D"/>
    <w:rsid w:val="00E41DF8"/>
    <w:rsid w:val="00E43E37"/>
    <w:rsid w:val="00E4692D"/>
    <w:rsid w:val="00E474C5"/>
    <w:rsid w:val="00E53BFB"/>
    <w:rsid w:val="00E55DFA"/>
    <w:rsid w:val="00E60ECF"/>
    <w:rsid w:val="00E62EEF"/>
    <w:rsid w:val="00E64706"/>
    <w:rsid w:val="00E67A9E"/>
    <w:rsid w:val="00E70F20"/>
    <w:rsid w:val="00E83FC4"/>
    <w:rsid w:val="00E84292"/>
    <w:rsid w:val="00E853FB"/>
    <w:rsid w:val="00E85AC7"/>
    <w:rsid w:val="00E86574"/>
    <w:rsid w:val="00EA36B4"/>
    <w:rsid w:val="00EA4DDB"/>
    <w:rsid w:val="00EB1840"/>
    <w:rsid w:val="00EB6461"/>
    <w:rsid w:val="00ED0CB6"/>
    <w:rsid w:val="00EE7885"/>
    <w:rsid w:val="00EF13D8"/>
    <w:rsid w:val="00EF14BB"/>
    <w:rsid w:val="00F02AA8"/>
    <w:rsid w:val="00F03BF5"/>
    <w:rsid w:val="00F04996"/>
    <w:rsid w:val="00F058DA"/>
    <w:rsid w:val="00F212F4"/>
    <w:rsid w:val="00F21A5C"/>
    <w:rsid w:val="00F2331D"/>
    <w:rsid w:val="00F246C2"/>
    <w:rsid w:val="00F25128"/>
    <w:rsid w:val="00F3160C"/>
    <w:rsid w:val="00F32DEC"/>
    <w:rsid w:val="00F35935"/>
    <w:rsid w:val="00F3776D"/>
    <w:rsid w:val="00F402AC"/>
    <w:rsid w:val="00F4069B"/>
    <w:rsid w:val="00F41050"/>
    <w:rsid w:val="00F56D1B"/>
    <w:rsid w:val="00F5752D"/>
    <w:rsid w:val="00F70DFF"/>
    <w:rsid w:val="00F73BBA"/>
    <w:rsid w:val="00F77D36"/>
    <w:rsid w:val="00F84CEC"/>
    <w:rsid w:val="00F854D6"/>
    <w:rsid w:val="00F93029"/>
    <w:rsid w:val="00F94599"/>
    <w:rsid w:val="00FA11C8"/>
    <w:rsid w:val="00FA16FE"/>
    <w:rsid w:val="00FA3F06"/>
    <w:rsid w:val="00FB422C"/>
    <w:rsid w:val="00FB61E5"/>
    <w:rsid w:val="00FC073A"/>
    <w:rsid w:val="00FC2459"/>
    <w:rsid w:val="00FC66AE"/>
    <w:rsid w:val="00FC6B8F"/>
    <w:rsid w:val="00FE0D71"/>
    <w:rsid w:val="00FE44B9"/>
    <w:rsid w:val="00FE5E80"/>
    <w:rsid w:val="00FF1545"/>
    <w:rsid w:val="00FF58E4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17733"/>
  <w15:docId w15:val="{CE2EFAFA-3742-4275-8D46-597CA899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34"/>
  </w:style>
  <w:style w:type="paragraph" w:styleId="Heading1">
    <w:name w:val="heading 1"/>
    <w:basedOn w:val="Normal"/>
    <w:next w:val="Normal"/>
    <w:link w:val="Heading1Char"/>
    <w:uiPriority w:val="9"/>
    <w:qFormat/>
    <w:rsid w:val="002D5309"/>
    <w:pPr>
      <w:keepNext/>
      <w:keepLines/>
      <w:spacing w:before="480"/>
      <w:outlineLvl w:val="0"/>
    </w:pPr>
    <w:rPr>
      <w:rFonts w:ascii="Palatino" w:eastAsiaTheme="majorEastAsia" w:hAnsi="Palatino" w:cstheme="majorBidi"/>
      <w:b/>
      <w:bCs/>
      <w:noProof/>
      <w:color w:val="345A8A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EE0"/>
    <w:pPr>
      <w:keepNext/>
      <w:keepLines/>
      <w:spacing w:before="240" w:after="120"/>
      <w:outlineLvl w:val="1"/>
    </w:pPr>
    <w:rPr>
      <w:rFonts w:ascii="Palatino" w:eastAsiaTheme="majorEastAsia" w:hAnsi="Palatino" w:cstheme="majorBidi"/>
      <w:b/>
      <w:bCs/>
      <w:noProof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8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0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0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0ADC"/>
    <w:rPr>
      <w:vertAlign w:val="superscript"/>
    </w:rPr>
  </w:style>
  <w:style w:type="paragraph" w:styleId="ListParagraph">
    <w:name w:val="List Paragraph"/>
    <w:aliases w:val="Bullets,List Paragraph1,List Paragraph (numbered (a)),Akapit z listą BS,WB Para,List Square,Lapis Bulleted List"/>
    <w:basedOn w:val="Normal"/>
    <w:link w:val="ListParagraphChar"/>
    <w:uiPriority w:val="34"/>
    <w:qFormat/>
    <w:rsid w:val="007D4B21"/>
    <w:pPr>
      <w:ind w:left="720"/>
      <w:contextualSpacing/>
    </w:pPr>
  </w:style>
  <w:style w:type="table" w:styleId="TableGrid">
    <w:name w:val="Table Grid"/>
    <w:basedOn w:val="TableNormal"/>
    <w:uiPriority w:val="59"/>
    <w:rsid w:val="00D1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70"/>
  </w:style>
  <w:style w:type="paragraph" w:styleId="Footer">
    <w:name w:val="footer"/>
    <w:basedOn w:val="Normal"/>
    <w:link w:val="FooterChar"/>
    <w:uiPriority w:val="99"/>
    <w:unhideWhenUsed/>
    <w:rsid w:val="008E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70"/>
  </w:style>
  <w:style w:type="paragraph" w:styleId="BalloonText">
    <w:name w:val="Balloon Text"/>
    <w:basedOn w:val="Normal"/>
    <w:link w:val="BalloonTextChar"/>
    <w:uiPriority w:val="99"/>
    <w:semiHidden/>
    <w:unhideWhenUsed/>
    <w:rsid w:val="003D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9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86711"/>
  </w:style>
  <w:style w:type="character" w:styleId="CommentReference">
    <w:name w:val="annotation reference"/>
    <w:basedOn w:val="DefaultParagraphFont"/>
    <w:uiPriority w:val="99"/>
    <w:semiHidden/>
    <w:unhideWhenUsed/>
    <w:rsid w:val="00DE7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A78"/>
    <w:rPr>
      <w:b/>
      <w:bCs/>
      <w:sz w:val="20"/>
      <w:szCs w:val="20"/>
    </w:rPr>
  </w:style>
  <w:style w:type="character" w:customStyle="1" w:styleId="ListParagraphChar">
    <w:name w:val="List Paragraph Char"/>
    <w:aliases w:val="Bullets Char,List Paragraph1 Char,List Paragraph (numbered (a)) Char,Akapit z listą BS Char,WB Para Char,List Square Char,Lapis Bulleted List Char"/>
    <w:link w:val="ListParagraph"/>
    <w:uiPriority w:val="34"/>
    <w:rsid w:val="00895CDB"/>
  </w:style>
  <w:style w:type="paragraph" w:styleId="PlainText">
    <w:name w:val="Plain Text"/>
    <w:basedOn w:val="Normal"/>
    <w:link w:val="PlainTextChar"/>
    <w:uiPriority w:val="99"/>
    <w:unhideWhenUsed/>
    <w:rsid w:val="00895CDB"/>
    <w:pPr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95CDB"/>
    <w:rPr>
      <w:rFonts w:ascii="Calibri" w:hAnsi="Calibri" w:cs="Consolas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D5309"/>
    <w:rPr>
      <w:rFonts w:ascii="Palatino" w:eastAsiaTheme="majorEastAsia" w:hAnsi="Palatino" w:cstheme="majorBidi"/>
      <w:b/>
      <w:bCs/>
      <w:noProof/>
      <w:color w:val="345A8A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EE0"/>
    <w:rPr>
      <w:rFonts w:ascii="Palatino" w:eastAsiaTheme="majorEastAsia" w:hAnsi="Palatino" w:cstheme="majorBidi"/>
      <w:b/>
      <w:bCs/>
      <w:noProof/>
      <w:color w:val="4F81BD" w:themeColor="accent1"/>
      <w:sz w:val="26"/>
      <w:szCs w:val="26"/>
    </w:rPr>
  </w:style>
  <w:style w:type="paragraph" w:customStyle="1" w:styleId="nor">
    <w:name w:val="nor"/>
    <w:basedOn w:val="Heading2"/>
    <w:rsid w:val="003C03CF"/>
  </w:style>
  <w:style w:type="character" w:customStyle="1" w:styleId="Heading3Char">
    <w:name w:val="Heading 3 Char"/>
    <w:basedOn w:val="DefaultParagraphFont"/>
    <w:link w:val="Heading3"/>
    <w:uiPriority w:val="9"/>
    <w:rsid w:val="00F32D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D3817"/>
  </w:style>
  <w:style w:type="paragraph" w:styleId="TOC2">
    <w:name w:val="toc 2"/>
    <w:basedOn w:val="Normal"/>
    <w:next w:val="Normal"/>
    <w:autoRedefine/>
    <w:uiPriority w:val="39"/>
    <w:unhideWhenUsed/>
    <w:rsid w:val="001D3817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381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D381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D381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D381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D381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D381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D3817"/>
    <w:pPr>
      <w:ind w:left="1760"/>
    </w:pPr>
  </w:style>
  <w:style w:type="character" w:customStyle="1" w:styleId="Heading4Char">
    <w:name w:val="Heading 4 Char"/>
    <w:basedOn w:val="DefaultParagraphFont"/>
    <w:link w:val="Heading4"/>
    <w:uiPriority w:val="9"/>
    <w:rsid w:val="00B06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478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ppknowledgelab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ppknowledgelab.org/sectors/waste" TargetMode="External"/><Relationship Id="rId17" Type="http://schemas.openxmlformats.org/officeDocument/2006/relationships/hyperlink" Target="https://www.eib.org/epe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cbmontenegro.m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me.undp.org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thumb/2/23/Coat_of_arms_of_Montenegro.svg/537px-Coat_of_arms_of_Montenegro.svg.png" TargetMode="External"/><Relationship Id="rId14" Type="http://schemas.openxmlformats.org/officeDocument/2006/relationships/hyperlink" Target="http://www.basel.int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ppknowledgelab.org" TargetMode="External"/><Relationship Id="rId2" Type="http://schemas.openxmlformats.org/officeDocument/2006/relationships/hyperlink" Target="https://www.eib.org/attachments/epec/epec_market_update_2019_en.pdf" TargetMode="External"/><Relationship Id="rId1" Type="http://schemas.openxmlformats.org/officeDocument/2006/relationships/hyperlink" Target="https://www.eib.org/ep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A13D5-41CA-4C2D-B28A-58811ADC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6660</Words>
  <Characters>37966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Maja Kustudic</cp:lastModifiedBy>
  <cp:revision>2</cp:revision>
  <dcterms:created xsi:type="dcterms:W3CDTF">2020-11-24T07:24:00Z</dcterms:created>
  <dcterms:modified xsi:type="dcterms:W3CDTF">2020-11-24T07:24:00Z</dcterms:modified>
</cp:coreProperties>
</file>