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1917AE" w14:textId="77777777" w:rsidR="00821612" w:rsidRPr="00D713EB" w:rsidRDefault="00821612" w:rsidP="00821612">
      <w:pPr>
        <w:pStyle w:val="Title"/>
      </w:pPr>
    </w:p>
    <w:p w14:paraId="1A690BE2" w14:textId="2C73289C" w:rsidR="0084603A" w:rsidRPr="00D713EB" w:rsidRDefault="009A74DC" w:rsidP="00821612">
      <w:pPr>
        <w:pStyle w:val="Title"/>
      </w:pPr>
      <w:r w:rsidRPr="00D713EB">
        <w:rPr>
          <w:noProof/>
        </w:rPr>
        <w:drawing>
          <wp:inline distT="0" distB="0" distL="0" distR="0" wp14:anchorId="58E9B805" wp14:editId="4A6D2A05">
            <wp:extent cx="3247989" cy="1334124"/>
            <wp:effectExtent l="0" t="0" r="3810" b="0"/>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raw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0280" cy="1343280"/>
                    </a:xfrm>
                    <a:prstGeom prst="rect">
                      <a:avLst/>
                    </a:prstGeom>
                  </pic:spPr>
                </pic:pic>
              </a:graphicData>
            </a:graphic>
          </wp:inline>
        </w:drawing>
      </w:r>
    </w:p>
    <w:p w14:paraId="4AF99140" w14:textId="7DC49A71" w:rsidR="0084603A" w:rsidRPr="00D713EB" w:rsidRDefault="0084603A" w:rsidP="00821612">
      <w:pPr>
        <w:pStyle w:val="Title"/>
      </w:pPr>
    </w:p>
    <w:p w14:paraId="0C9EAE58" w14:textId="77777777" w:rsidR="002400D2" w:rsidRPr="00D713EB" w:rsidRDefault="002400D2" w:rsidP="002400D2"/>
    <w:p w14:paraId="63462E46" w14:textId="4DDE16ED" w:rsidR="0084603A" w:rsidRPr="00D713EB" w:rsidRDefault="0084603A" w:rsidP="00821612">
      <w:pPr>
        <w:pStyle w:val="Title"/>
      </w:pPr>
    </w:p>
    <w:p w14:paraId="5C226347" w14:textId="2E478B30" w:rsidR="002400D2" w:rsidRPr="00D713EB" w:rsidRDefault="002400D2" w:rsidP="002400D2"/>
    <w:p w14:paraId="09B3759A" w14:textId="44B33B29" w:rsidR="002400D2" w:rsidRPr="00D713EB" w:rsidRDefault="002400D2" w:rsidP="002400D2"/>
    <w:p w14:paraId="2AF15FCC" w14:textId="08F4EF07" w:rsidR="002400D2" w:rsidRPr="00D713EB" w:rsidRDefault="002400D2" w:rsidP="002400D2"/>
    <w:p w14:paraId="378291D2" w14:textId="2720FA8F" w:rsidR="002400D2" w:rsidRPr="00D713EB" w:rsidRDefault="002400D2" w:rsidP="002400D2"/>
    <w:p w14:paraId="37390E8D" w14:textId="77777777" w:rsidR="002400D2" w:rsidRPr="00D713EB" w:rsidRDefault="002400D2" w:rsidP="002400D2"/>
    <w:p w14:paraId="59821C7D" w14:textId="60795D76" w:rsidR="00560B8E" w:rsidRPr="00D713EB" w:rsidRDefault="00560B8E" w:rsidP="00560B8E">
      <w:pPr>
        <w:pStyle w:val="Title"/>
      </w:pPr>
      <w:r w:rsidRPr="00D713EB">
        <w:t xml:space="preserve">Standard Operating Procedures (SOPs) for the operation of the Safeguard Information System (SIS) and preparation of </w:t>
      </w:r>
      <w:r w:rsidR="0004703D">
        <w:t>S</w:t>
      </w:r>
      <w:r w:rsidR="0004703D" w:rsidRPr="00D713EB">
        <w:t>ummaries</w:t>
      </w:r>
      <w:r w:rsidRPr="00D713EB">
        <w:t xml:space="preserve"> of </w:t>
      </w:r>
      <w:r w:rsidR="0004703D">
        <w:t>I</w:t>
      </w:r>
      <w:r w:rsidR="0004703D" w:rsidRPr="00D713EB">
        <w:t>nformation</w:t>
      </w:r>
      <w:r w:rsidRPr="00D713EB">
        <w:t xml:space="preserve"> (SOIs)</w:t>
      </w:r>
    </w:p>
    <w:p w14:paraId="515DF606" w14:textId="77777777" w:rsidR="00821612" w:rsidRPr="00D713EB" w:rsidRDefault="00821612" w:rsidP="00821612">
      <w:pPr>
        <w:pStyle w:val="Title"/>
      </w:pPr>
    </w:p>
    <w:p w14:paraId="44359FE5" w14:textId="77777777" w:rsidR="00821612" w:rsidRPr="00D713EB" w:rsidRDefault="00821612" w:rsidP="00821612"/>
    <w:p w14:paraId="5843ECE8" w14:textId="77777777" w:rsidR="00821612" w:rsidRPr="00D713EB" w:rsidRDefault="00821612" w:rsidP="00821612"/>
    <w:p w14:paraId="40E45C85" w14:textId="77777777" w:rsidR="00821612" w:rsidRPr="00D713EB" w:rsidRDefault="00821612" w:rsidP="00821612"/>
    <w:p w14:paraId="747454BD" w14:textId="77777777" w:rsidR="00821612" w:rsidRPr="00D713EB" w:rsidRDefault="00821612" w:rsidP="00821612">
      <w:pPr>
        <w:pStyle w:val="Heading1"/>
        <w:sectPr w:rsidR="00821612" w:rsidRPr="00D713EB" w:rsidSect="007F1A14">
          <w:headerReference w:type="even" r:id="rId12"/>
          <w:headerReference w:type="default" r:id="rId13"/>
          <w:footerReference w:type="even" r:id="rId14"/>
          <w:footerReference w:type="default" r:id="rId15"/>
          <w:headerReference w:type="first" r:id="rId16"/>
          <w:footerReference w:type="first" r:id="rId17"/>
          <w:pgSz w:w="11900" w:h="16840"/>
          <w:pgMar w:top="1440" w:right="1440" w:bottom="1440" w:left="1440" w:header="720" w:footer="720" w:gutter="0"/>
          <w:cols w:space="720"/>
          <w:docGrid w:linePitch="360"/>
        </w:sectPr>
      </w:pPr>
    </w:p>
    <w:sdt>
      <w:sdtPr>
        <w:rPr>
          <w:rFonts w:asciiTheme="minorHAnsi" w:eastAsia="Times New Roman" w:hAnsiTheme="minorHAnsi" w:cs="Times New Roman"/>
          <w:b w:val="0"/>
          <w:bCs w:val="0"/>
          <w:color w:val="auto"/>
          <w:sz w:val="22"/>
          <w:szCs w:val="24"/>
          <w:lang w:eastAsia="en-GB"/>
        </w:rPr>
        <w:id w:val="897936762"/>
        <w:docPartObj>
          <w:docPartGallery w:val="Table of Contents"/>
          <w:docPartUnique/>
        </w:docPartObj>
      </w:sdtPr>
      <w:sdtEndPr>
        <w:rPr>
          <w:noProof/>
        </w:rPr>
      </w:sdtEndPr>
      <w:sdtContent>
        <w:p w14:paraId="1AC66289" w14:textId="2376AC74" w:rsidR="00D3180E" w:rsidRPr="00D713EB" w:rsidRDefault="00D3180E">
          <w:pPr>
            <w:pStyle w:val="TOCHeading"/>
          </w:pPr>
          <w:r w:rsidRPr="00D713EB">
            <w:t>Table of Contents</w:t>
          </w:r>
        </w:p>
        <w:p w14:paraId="2B5EAD7C" w14:textId="434E946F" w:rsidR="007E7D06" w:rsidRDefault="00D3180E">
          <w:pPr>
            <w:pStyle w:val="TOC1"/>
            <w:tabs>
              <w:tab w:val="right" w:leader="dot" w:pos="9010"/>
            </w:tabs>
            <w:rPr>
              <w:rFonts w:eastAsiaTheme="minorEastAsia" w:cstheme="minorBidi"/>
              <w:b w:val="0"/>
              <w:bCs w:val="0"/>
              <w:i w:val="0"/>
              <w:iCs w:val="0"/>
              <w:noProof/>
              <w:lang w:val="en-US" w:eastAsia="en-US"/>
            </w:rPr>
          </w:pPr>
          <w:r w:rsidRPr="00D713EB">
            <w:rPr>
              <w:b w:val="0"/>
              <w:bCs w:val="0"/>
            </w:rPr>
            <w:fldChar w:fldCharType="begin"/>
          </w:r>
          <w:r w:rsidRPr="00D713EB">
            <w:instrText xml:space="preserve"> TOC \o "1-3" \h \z \u </w:instrText>
          </w:r>
          <w:r w:rsidRPr="00D713EB">
            <w:rPr>
              <w:b w:val="0"/>
              <w:bCs w:val="0"/>
            </w:rPr>
            <w:fldChar w:fldCharType="separate"/>
          </w:r>
          <w:hyperlink w:anchor="_Toc59493611" w:history="1">
            <w:r w:rsidR="007E7D06" w:rsidRPr="00205302">
              <w:rPr>
                <w:rStyle w:val="Hyperlink"/>
                <w:noProof/>
              </w:rPr>
              <w:t>Objectives and Structure of this Document</w:t>
            </w:r>
            <w:r w:rsidR="007E7D06">
              <w:rPr>
                <w:noProof/>
                <w:webHidden/>
              </w:rPr>
              <w:tab/>
            </w:r>
            <w:r w:rsidR="007E7D06">
              <w:rPr>
                <w:noProof/>
                <w:webHidden/>
              </w:rPr>
              <w:fldChar w:fldCharType="begin"/>
            </w:r>
            <w:r w:rsidR="007E7D06">
              <w:rPr>
                <w:noProof/>
                <w:webHidden/>
              </w:rPr>
              <w:instrText xml:space="preserve"> PAGEREF _Toc59493611 \h </w:instrText>
            </w:r>
            <w:r w:rsidR="007E7D06">
              <w:rPr>
                <w:noProof/>
                <w:webHidden/>
              </w:rPr>
            </w:r>
            <w:r w:rsidR="007E7D06">
              <w:rPr>
                <w:noProof/>
                <w:webHidden/>
              </w:rPr>
              <w:fldChar w:fldCharType="separate"/>
            </w:r>
            <w:r w:rsidR="007E7D06">
              <w:rPr>
                <w:noProof/>
                <w:webHidden/>
              </w:rPr>
              <w:t>3</w:t>
            </w:r>
            <w:r w:rsidR="007E7D06">
              <w:rPr>
                <w:noProof/>
                <w:webHidden/>
              </w:rPr>
              <w:fldChar w:fldCharType="end"/>
            </w:r>
          </w:hyperlink>
        </w:p>
        <w:p w14:paraId="6A3229C3" w14:textId="4C7D012B"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12" w:history="1">
            <w:r w:rsidR="007E7D06" w:rsidRPr="00205302">
              <w:rPr>
                <w:rStyle w:val="Hyperlink"/>
                <w:noProof/>
              </w:rPr>
              <w:t>Section I: Context</w:t>
            </w:r>
            <w:r w:rsidR="007E7D06">
              <w:rPr>
                <w:noProof/>
                <w:webHidden/>
              </w:rPr>
              <w:tab/>
            </w:r>
            <w:r w:rsidR="007E7D06">
              <w:rPr>
                <w:noProof/>
                <w:webHidden/>
              </w:rPr>
              <w:fldChar w:fldCharType="begin"/>
            </w:r>
            <w:r w:rsidR="007E7D06">
              <w:rPr>
                <w:noProof/>
                <w:webHidden/>
              </w:rPr>
              <w:instrText xml:space="preserve"> PAGEREF _Toc59493612 \h </w:instrText>
            </w:r>
            <w:r w:rsidR="007E7D06">
              <w:rPr>
                <w:noProof/>
                <w:webHidden/>
              </w:rPr>
            </w:r>
            <w:r w:rsidR="007E7D06">
              <w:rPr>
                <w:noProof/>
                <w:webHidden/>
              </w:rPr>
              <w:fldChar w:fldCharType="separate"/>
            </w:r>
            <w:r w:rsidR="007E7D06">
              <w:rPr>
                <w:noProof/>
                <w:webHidden/>
              </w:rPr>
              <w:t>4</w:t>
            </w:r>
            <w:r w:rsidR="007E7D06">
              <w:rPr>
                <w:noProof/>
                <w:webHidden/>
              </w:rPr>
              <w:fldChar w:fldCharType="end"/>
            </w:r>
          </w:hyperlink>
        </w:p>
        <w:p w14:paraId="21791521" w14:textId="494CA3BB"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13" w:history="1">
            <w:r w:rsidR="007E7D06" w:rsidRPr="00205302">
              <w:rPr>
                <w:rStyle w:val="Hyperlink"/>
                <w:noProof/>
              </w:rPr>
              <w:t>What are the UNFCCC REDD+ safeguards and what to report?</w:t>
            </w:r>
            <w:r w:rsidR="007E7D06">
              <w:rPr>
                <w:noProof/>
                <w:webHidden/>
              </w:rPr>
              <w:tab/>
            </w:r>
            <w:r w:rsidR="007E7D06">
              <w:rPr>
                <w:noProof/>
                <w:webHidden/>
              </w:rPr>
              <w:fldChar w:fldCharType="begin"/>
            </w:r>
            <w:r w:rsidR="007E7D06">
              <w:rPr>
                <w:noProof/>
                <w:webHidden/>
              </w:rPr>
              <w:instrText xml:space="preserve"> PAGEREF _Toc59493613 \h </w:instrText>
            </w:r>
            <w:r w:rsidR="007E7D06">
              <w:rPr>
                <w:noProof/>
                <w:webHidden/>
              </w:rPr>
            </w:r>
            <w:r w:rsidR="007E7D06">
              <w:rPr>
                <w:noProof/>
                <w:webHidden/>
              </w:rPr>
              <w:fldChar w:fldCharType="separate"/>
            </w:r>
            <w:r w:rsidR="007E7D06">
              <w:rPr>
                <w:noProof/>
                <w:webHidden/>
              </w:rPr>
              <w:t>4</w:t>
            </w:r>
            <w:r w:rsidR="007E7D06">
              <w:rPr>
                <w:noProof/>
                <w:webHidden/>
              </w:rPr>
              <w:fldChar w:fldCharType="end"/>
            </w:r>
          </w:hyperlink>
        </w:p>
        <w:p w14:paraId="3D2C4D0F" w14:textId="59FA2EA2"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14" w:history="1">
            <w:r w:rsidR="007E7D06" w:rsidRPr="00205302">
              <w:rPr>
                <w:rStyle w:val="Hyperlink"/>
                <w:noProof/>
              </w:rPr>
              <w:t>A Safeguard Information System for REDD+ in PNG</w:t>
            </w:r>
            <w:r w:rsidR="007E7D06">
              <w:rPr>
                <w:noProof/>
                <w:webHidden/>
              </w:rPr>
              <w:tab/>
            </w:r>
            <w:r w:rsidR="007E7D06">
              <w:rPr>
                <w:noProof/>
                <w:webHidden/>
              </w:rPr>
              <w:fldChar w:fldCharType="begin"/>
            </w:r>
            <w:r w:rsidR="007E7D06">
              <w:rPr>
                <w:noProof/>
                <w:webHidden/>
              </w:rPr>
              <w:instrText xml:space="preserve"> PAGEREF _Toc59493614 \h </w:instrText>
            </w:r>
            <w:r w:rsidR="007E7D06">
              <w:rPr>
                <w:noProof/>
                <w:webHidden/>
              </w:rPr>
            </w:r>
            <w:r w:rsidR="007E7D06">
              <w:rPr>
                <w:noProof/>
                <w:webHidden/>
              </w:rPr>
              <w:fldChar w:fldCharType="separate"/>
            </w:r>
            <w:r w:rsidR="007E7D06">
              <w:rPr>
                <w:noProof/>
                <w:webHidden/>
              </w:rPr>
              <w:t>4</w:t>
            </w:r>
            <w:r w:rsidR="007E7D06">
              <w:rPr>
                <w:noProof/>
                <w:webHidden/>
              </w:rPr>
              <w:fldChar w:fldCharType="end"/>
            </w:r>
          </w:hyperlink>
        </w:p>
        <w:p w14:paraId="67950985" w14:textId="7F1257AF"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15" w:history="1">
            <w:r w:rsidR="007E7D06" w:rsidRPr="00205302">
              <w:rPr>
                <w:rStyle w:val="Hyperlink"/>
                <w:noProof/>
              </w:rPr>
              <w:t>Operational Considerations for the operation of the SIS and preparation of SOIs</w:t>
            </w:r>
            <w:r w:rsidR="007E7D06">
              <w:rPr>
                <w:noProof/>
                <w:webHidden/>
              </w:rPr>
              <w:tab/>
            </w:r>
            <w:r w:rsidR="007E7D06">
              <w:rPr>
                <w:noProof/>
                <w:webHidden/>
              </w:rPr>
              <w:fldChar w:fldCharType="begin"/>
            </w:r>
            <w:r w:rsidR="007E7D06">
              <w:rPr>
                <w:noProof/>
                <w:webHidden/>
              </w:rPr>
              <w:instrText xml:space="preserve"> PAGEREF _Toc59493615 \h </w:instrText>
            </w:r>
            <w:r w:rsidR="007E7D06">
              <w:rPr>
                <w:noProof/>
                <w:webHidden/>
              </w:rPr>
            </w:r>
            <w:r w:rsidR="007E7D06">
              <w:rPr>
                <w:noProof/>
                <w:webHidden/>
              </w:rPr>
              <w:fldChar w:fldCharType="separate"/>
            </w:r>
            <w:r w:rsidR="007E7D06">
              <w:rPr>
                <w:noProof/>
                <w:webHidden/>
              </w:rPr>
              <w:t>6</w:t>
            </w:r>
            <w:r w:rsidR="007E7D06">
              <w:rPr>
                <w:noProof/>
                <w:webHidden/>
              </w:rPr>
              <w:fldChar w:fldCharType="end"/>
            </w:r>
          </w:hyperlink>
        </w:p>
        <w:p w14:paraId="5B9B21AF" w14:textId="472496FE"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16" w:history="1">
            <w:r w:rsidR="007E7D06" w:rsidRPr="00205302">
              <w:rPr>
                <w:rStyle w:val="Hyperlink"/>
                <w:noProof/>
              </w:rPr>
              <w:t>Section II: Guidance for the Collection of Information</w:t>
            </w:r>
            <w:r w:rsidR="007E7D06">
              <w:rPr>
                <w:noProof/>
                <w:webHidden/>
              </w:rPr>
              <w:tab/>
            </w:r>
            <w:r w:rsidR="007E7D06">
              <w:rPr>
                <w:noProof/>
                <w:webHidden/>
              </w:rPr>
              <w:fldChar w:fldCharType="begin"/>
            </w:r>
            <w:r w:rsidR="007E7D06">
              <w:rPr>
                <w:noProof/>
                <w:webHidden/>
              </w:rPr>
              <w:instrText xml:space="preserve"> PAGEREF _Toc59493616 \h </w:instrText>
            </w:r>
            <w:r w:rsidR="007E7D06">
              <w:rPr>
                <w:noProof/>
                <w:webHidden/>
              </w:rPr>
            </w:r>
            <w:r w:rsidR="007E7D06">
              <w:rPr>
                <w:noProof/>
                <w:webHidden/>
              </w:rPr>
              <w:fldChar w:fldCharType="separate"/>
            </w:r>
            <w:r w:rsidR="007E7D06">
              <w:rPr>
                <w:noProof/>
                <w:webHidden/>
              </w:rPr>
              <w:t>8</w:t>
            </w:r>
            <w:r w:rsidR="007E7D06">
              <w:rPr>
                <w:noProof/>
                <w:webHidden/>
              </w:rPr>
              <w:fldChar w:fldCharType="end"/>
            </w:r>
          </w:hyperlink>
        </w:p>
        <w:p w14:paraId="696825C4" w14:textId="7789E073"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17" w:history="1">
            <w:r w:rsidR="007E7D06" w:rsidRPr="00205302">
              <w:rPr>
                <w:rStyle w:val="Hyperlink"/>
                <w:noProof/>
              </w:rPr>
              <w:t>2.1. Who is responsible for collecting information?</w:t>
            </w:r>
            <w:r w:rsidR="007E7D06">
              <w:rPr>
                <w:noProof/>
                <w:webHidden/>
              </w:rPr>
              <w:tab/>
            </w:r>
            <w:r w:rsidR="007E7D06">
              <w:rPr>
                <w:noProof/>
                <w:webHidden/>
              </w:rPr>
              <w:fldChar w:fldCharType="begin"/>
            </w:r>
            <w:r w:rsidR="007E7D06">
              <w:rPr>
                <w:noProof/>
                <w:webHidden/>
              </w:rPr>
              <w:instrText xml:space="preserve"> PAGEREF _Toc59493617 \h </w:instrText>
            </w:r>
            <w:r w:rsidR="007E7D06">
              <w:rPr>
                <w:noProof/>
                <w:webHidden/>
              </w:rPr>
            </w:r>
            <w:r w:rsidR="007E7D06">
              <w:rPr>
                <w:noProof/>
                <w:webHidden/>
              </w:rPr>
              <w:fldChar w:fldCharType="separate"/>
            </w:r>
            <w:r w:rsidR="007E7D06">
              <w:rPr>
                <w:noProof/>
                <w:webHidden/>
              </w:rPr>
              <w:t>9</w:t>
            </w:r>
            <w:r w:rsidR="007E7D06">
              <w:rPr>
                <w:noProof/>
                <w:webHidden/>
              </w:rPr>
              <w:fldChar w:fldCharType="end"/>
            </w:r>
          </w:hyperlink>
        </w:p>
        <w:p w14:paraId="5B7DBF52" w14:textId="5D28931E"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18" w:history="1">
            <w:r w:rsidR="007E7D06" w:rsidRPr="00205302">
              <w:rPr>
                <w:rStyle w:val="Hyperlink"/>
                <w:noProof/>
              </w:rPr>
              <w:t>2.2. What is the frequency and process for the collection of information?</w:t>
            </w:r>
            <w:r w:rsidR="007E7D06">
              <w:rPr>
                <w:noProof/>
                <w:webHidden/>
              </w:rPr>
              <w:tab/>
            </w:r>
            <w:r w:rsidR="007E7D06">
              <w:rPr>
                <w:noProof/>
                <w:webHidden/>
              </w:rPr>
              <w:fldChar w:fldCharType="begin"/>
            </w:r>
            <w:r w:rsidR="007E7D06">
              <w:rPr>
                <w:noProof/>
                <w:webHidden/>
              </w:rPr>
              <w:instrText xml:space="preserve"> PAGEREF _Toc59493618 \h </w:instrText>
            </w:r>
            <w:r w:rsidR="007E7D06">
              <w:rPr>
                <w:noProof/>
                <w:webHidden/>
              </w:rPr>
            </w:r>
            <w:r w:rsidR="007E7D06">
              <w:rPr>
                <w:noProof/>
                <w:webHidden/>
              </w:rPr>
              <w:fldChar w:fldCharType="separate"/>
            </w:r>
            <w:r w:rsidR="007E7D06">
              <w:rPr>
                <w:noProof/>
                <w:webHidden/>
              </w:rPr>
              <w:t>10</w:t>
            </w:r>
            <w:r w:rsidR="007E7D06">
              <w:rPr>
                <w:noProof/>
                <w:webHidden/>
              </w:rPr>
              <w:fldChar w:fldCharType="end"/>
            </w:r>
          </w:hyperlink>
        </w:p>
        <w:p w14:paraId="022194F2" w14:textId="386F5E93" w:rsidR="007E7D06" w:rsidRDefault="00F722A4">
          <w:pPr>
            <w:pStyle w:val="TOC3"/>
            <w:tabs>
              <w:tab w:val="right" w:leader="dot" w:pos="9010"/>
            </w:tabs>
            <w:rPr>
              <w:rFonts w:eastAsiaTheme="minorEastAsia" w:cstheme="minorBidi"/>
              <w:noProof/>
              <w:sz w:val="24"/>
              <w:szCs w:val="24"/>
              <w:lang w:val="en-US" w:eastAsia="en-US"/>
            </w:rPr>
          </w:pPr>
          <w:hyperlink w:anchor="_Toc59493619" w:history="1">
            <w:r w:rsidR="007E7D06" w:rsidRPr="00205302">
              <w:rPr>
                <w:rStyle w:val="Hyperlink"/>
                <w:noProof/>
              </w:rPr>
              <w:t>2.2.1 In relation to the role of the REDD+ Safeguards TWC and the National Safeguards Specialist</w:t>
            </w:r>
            <w:r w:rsidR="007E7D06">
              <w:rPr>
                <w:noProof/>
                <w:webHidden/>
              </w:rPr>
              <w:tab/>
            </w:r>
            <w:r w:rsidR="007E7D06">
              <w:rPr>
                <w:noProof/>
                <w:webHidden/>
              </w:rPr>
              <w:fldChar w:fldCharType="begin"/>
            </w:r>
            <w:r w:rsidR="007E7D06">
              <w:rPr>
                <w:noProof/>
                <w:webHidden/>
              </w:rPr>
              <w:instrText xml:space="preserve"> PAGEREF _Toc59493619 \h </w:instrText>
            </w:r>
            <w:r w:rsidR="007E7D06">
              <w:rPr>
                <w:noProof/>
                <w:webHidden/>
              </w:rPr>
            </w:r>
            <w:r w:rsidR="007E7D06">
              <w:rPr>
                <w:noProof/>
                <w:webHidden/>
              </w:rPr>
              <w:fldChar w:fldCharType="separate"/>
            </w:r>
            <w:r w:rsidR="007E7D06">
              <w:rPr>
                <w:noProof/>
                <w:webHidden/>
              </w:rPr>
              <w:t>10</w:t>
            </w:r>
            <w:r w:rsidR="007E7D06">
              <w:rPr>
                <w:noProof/>
                <w:webHidden/>
              </w:rPr>
              <w:fldChar w:fldCharType="end"/>
            </w:r>
          </w:hyperlink>
        </w:p>
        <w:p w14:paraId="5D5BA775" w14:textId="11C56269" w:rsidR="007E7D06" w:rsidRDefault="00F722A4">
          <w:pPr>
            <w:pStyle w:val="TOC3"/>
            <w:tabs>
              <w:tab w:val="right" w:leader="dot" w:pos="9010"/>
            </w:tabs>
            <w:rPr>
              <w:rFonts w:eastAsiaTheme="minorEastAsia" w:cstheme="minorBidi"/>
              <w:noProof/>
              <w:sz w:val="24"/>
              <w:szCs w:val="24"/>
              <w:lang w:val="en-US" w:eastAsia="en-US"/>
            </w:rPr>
          </w:pPr>
          <w:hyperlink w:anchor="_Toc59493620" w:history="1">
            <w:r w:rsidR="007E7D06" w:rsidRPr="00205302">
              <w:rPr>
                <w:rStyle w:val="Hyperlink"/>
                <w:noProof/>
              </w:rPr>
              <w:t>2.2.2 In relation to the role of the REDD+ Implementers</w:t>
            </w:r>
            <w:r w:rsidR="007E7D06">
              <w:rPr>
                <w:noProof/>
                <w:webHidden/>
              </w:rPr>
              <w:tab/>
            </w:r>
            <w:r w:rsidR="007E7D06">
              <w:rPr>
                <w:noProof/>
                <w:webHidden/>
              </w:rPr>
              <w:fldChar w:fldCharType="begin"/>
            </w:r>
            <w:r w:rsidR="007E7D06">
              <w:rPr>
                <w:noProof/>
                <w:webHidden/>
              </w:rPr>
              <w:instrText xml:space="preserve"> PAGEREF _Toc59493620 \h </w:instrText>
            </w:r>
            <w:r w:rsidR="007E7D06">
              <w:rPr>
                <w:noProof/>
                <w:webHidden/>
              </w:rPr>
            </w:r>
            <w:r w:rsidR="007E7D06">
              <w:rPr>
                <w:noProof/>
                <w:webHidden/>
              </w:rPr>
              <w:fldChar w:fldCharType="separate"/>
            </w:r>
            <w:r w:rsidR="007E7D06">
              <w:rPr>
                <w:noProof/>
                <w:webHidden/>
              </w:rPr>
              <w:t>13</w:t>
            </w:r>
            <w:r w:rsidR="007E7D06">
              <w:rPr>
                <w:noProof/>
                <w:webHidden/>
              </w:rPr>
              <w:fldChar w:fldCharType="end"/>
            </w:r>
          </w:hyperlink>
        </w:p>
        <w:p w14:paraId="20341F68" w14:textId="4AAC6950"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21" w:history="1">
            <w:r w:rsidR="007E7D06" w:rsidRPr="00205302">
              <w:rPr>
                <w:rStyle w:val="Hyperlink"/>
                <w:noProof/>
              </w:rPr>
              <w:t>Section III. Guidance for the Aggregation and Analysis of the Information</w:t>
            </w:r>
            <w:r w:rsidR="007E7D06">
              <w:rPr>
                <w:noProof/>
                <w:webHidden/>
              </w:rPr>
              <w:tab/>
            </w:r>
            <w:r w:rsidR="007E7D06">
              <w:rPr>
                <w:noProof/>
                <w:webHidden/>
              </w:rPr>
              <w:fldChar w:fldCharType="begin"/>
            </w:r>
            <w:r w:rsidR="007E7D06">
              <w:rPr>
                <w:noProof/>
                <w:webHidden/>
              </w:rPr>
              <w:instrText xml:space="preserve"> PAGEREF _Toc59493621 \h </w:instrText>
            </w:r>
            <w:r w:rsidR="007E7D06">
              <w:rPr>
                <w:noProof/>
                <w:webHidden/>
              </w:rPr>
            </w:r>
            <w:r w:rsidR="007E7D06">
              <w:rPr>
                <w:noProof/>
                <w:webHidden/>
              </w:rPr>
              <w:fldChar w:fldCharType="separate"/>
            </w:r>
            <w:r w:rsidR="007E7D06">
              <w:rPr>
                <w:noProof/>
                <w:webHidden/>
              </w:rPr>
              <w:t>16</w:t>
            </w:r>
            <w:r w:rsidR="007E7D06">
              <w:rPr>
                <w:noProof/>
                <w:webHidden/>
              </w:rPr>
              <w:fldChar w:fldCharType="end"/>
            </w:r>
          </w:hyperlink>
        </w:p>
        <w:p w14:paraId="0AA5927B" w14:textId="2AA9394B"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22" w:history="1">
            <w:r w:rsidR="007E7D06" w:rsidRPr="00205302">
              <w:rPr>
                <w:rStyle w:val="Hyperlink"/>
                <w:noProof/>
              </w:rPr>
              <w:t>3.1. Who is responsible for aggregating information and how?</w:t>
            </w:r>
            <w:r w:rsidR="007E7D06">
              <w:rPr>
                <w:noProof/>
                <w:webHidden/>
              </w:rPr>
              <w:tab/>
            </w:r>
            <w:r w:rsidR="007E7D06">
              <w:rPr>
                <w:noProof/>
                <w:webHidden/>
              </w:rPr>
              <w:fldChar w:fldCharType="begin"/>
            </w:r>
            <w:r w:rsidR="007E7D06">
              <w:rPr>
                <w:noProof/>
                <w:webHidden/>
              </w:rPr>
              <w:instrText xml:space="preserve"> PAGEREF _Toc59493622 \h </w:instrText>
            </w:r>
            <w:r w:rsidR="007E7D06">
              <w:rPr>
                <w:noProof/>
                <w:webHidden/>
              </w:rPr>
            </w:r>
            <w:r w:rsidR="007E7D06">
              <w:rPr>
                <w:noProof/>
                <w:webHidden/>
              </w:rPr>
              <w:fldChar w:fldCharType="separate"/>
            </w:r>
            <w:r w:rsidR="007E7D06">
              <w:rPr>
                <w:noProof/>
                <w:webHidden/>
              </w:rPr>
              <w:t>16</w:t>
            </w:r>
            <w:r w:rsidR="007E7D06">
              <w:rPr>
                <w:noProof/>
                <w:webHidden/>
              </w:rPr>
              <w:fldChar w:fldCharType="end"/>
            </w:r>
          </w:hyperlink>
        </w:p>
        <w:p w14:paraId="0CF126EB" w14:textId="52F8B951"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23" w:history="1">
            <w:r w:rsidR="007E7D06" w:rsidRPr="00205302">
              <w:rPr>
                <w:rStyle w:val="Hyperlink"/>
                <w:noProof/>
              </w:rPr>
              <w:t>3.2. Who is responsible for analysing the information and how?</w:t>
            </w:r>
            <w:r w:rsidR="007E7D06">
              <w:rPr>
                <w:noProof/>
                <w:webHidden/>
              </w:rPr>
              <w:tab/>
            </w:r>
            <w:r w:rsidR="007E7D06">
              <w:rPr>
                <w:noProof/>
                <w:webHidden/>
              </w:rPr>
              <w:fldChar w:fldCharType="begin"/>
            </w:r>
            <w:r w:rsidR="007E7D06">
              <w:rPr>
                <w:noProof/>
                <w:webHidden/>
              </w:rPr>
              <w:instrText xml:space="preserve"> PAGEREF _Toc59493623 \h </w:instrText>
            </w:r>
            <w:r w:rsidR="007E7D06">
              <w:rPr>
                <w:noProof/>
                <w:webHidden/>
              </w:rPr>
            </w:r>
            <w:r w:rsidR="007E7D06">
              <w:rPr>
                <w:noProof/>
                <w:webHidden/>
              </w:rPr>
              <w:fldChar w:fldCharType="separate"/>
            </w:r>
            <w:r w:rsidR="007E7D06">
              <w:rPr>
                <w:noProof/>
                <w:webHidden/>
              </w:rPr>
              <w:t>17</w:t>
            </w:r>
            <w:r w:rsidR="007E7D06">
              <w:rPr>
                <w:noProof/>
                <w:webHidden/>
              </w:rPr>
              <w:fldChar w:fldCharType="end"/>
            </w:r>
          </w:hyperlink>
        </w:p>
        <w:p w14:paraId="1A6EBB9F" w14:textId="31A06275" w:rsidR="007E7D06" w:rsidRDefault="00F722A4">
          <w:pPr>
            <w:pStyle w:val="TOC2"/>
            <w:tabs>
              <w:tab w:val="right" w:leader="dot" w:pos="9010"/>
            </w:tabs>
            <w:rPr>
              <w:rFonts w:eastAsiaTheme="minorEastAsia" w:cstheme="minorBidi"/>
              <w:b w:val="0"/>
              <w:bCs w:val="0"/>
              <w:noProof/>
              <w:sz w:val="24"/>
              <w:szCs w:val="24"/>
              <w:lang w:val="en-US" w:eastAsia="en-US"/>
            </w:rPr>
          </w:pPr>
          <w:hyperlink w:anchor="_Toc59493624" w:history="1">
            <w:r w:rsidR="007E7D06" w:rsidRPr="00205302">
              <w:rPr>
                <w:rStyle w:val="Hyperlink"/>
                <w:noProof/>
              </w:rPr>
              <w:t>3.3. Who drafts and validates subsequent SOIs and how?</w:t>
            </w:r>
            <w:r w:rsidR="007E7D06">
              <w:rPr>
                <w:noProof/>
                <w:webHidden/>
              </w:rPr>
              <w:tab/>
            </w:r>
            <w:r w:rsidR="007E7D06">
              <w:rPr>
                <w:noProof/>
                <w:webHidden/>
              </w:rPr>
              <w:fldChar w:fldCharType="begin"/>
            </w:r>
            <w:r w:rsidR="007E7D06">
              <w:rPr>
                <w:noProof/>
                <w:webHidden/>
              </w:rPr>
              <w:instrText xml:space="preserve"> PAGEREF _Toc59493624 \h </w:instrText>
            </w:r>
            <w:r w:rsidR="007E7D06">
              <w:rPr>
                <w:noProof/>
                <w:webHidden/>
              </w:rPr>
            </w:r>
            <w:r w:rsidR="007E7D06">
              <w:rPr>
                <w:noProof/>
                <w:webHidden/>
              </w:rPr>
              <w:fldChar w:fldCharType="separate"/>
            </w:r>
            <w:r w:rsidR="007E7D06">
              <w:rPr>
                <w:noProof/>
                <w:webHidden/>
              </w:rPr>
              <w:t>19</w:t>
            </w:r>
            <w:r w:rsidR="007E7D06">
              <w:rPr>
                <w:noProof/>
                <w:webHidden/>
              </w:rPr>
              <w:fldChar w:fldCharType="end"/>
            </w:r>
          </w:hyperlink>
        </w:p>
        <w:p w14:paraId="252089B9" w14:textId="68A27D29"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25" w:history="1">
            <w:r w:rsidR="007E7D06" w:rsidRPr="00205302">
              <w:rPr>
                <w:rStyle w:val="Hyperlink"/>
                <w:noProof/>
              </w:rPr>
              <w:t>Section IV: Guidance for public consultations, endorsement and dissemination of final SOI</w:t>
            </w:r>
            <w:r w:rsidR="007E7D06">
              <w:rPr>
                <w:noProof/>
                <w:webHidden/>
              </w:rPr>
              <w:tab/>
            </w:r>
            <w:r w:rsidR="007E7D06">
              <w:rPr>
                <w:noProof/>
                <w:webHidden/>
              </w:rPr>
              <w:fldChar w:fldCharType="begin"/>
            </w:r>
            <w:r w:rsidR="007E7D06">
              <w:rPr>
                <w:noProof/>
                <w:webHidden/>
              </w:rPr>
              <w:instrText xml:space="preserve"> PAGEREF _Toc59493625 \h </w:instrText>
            </w:r>
            <w:r w:rsidR="007E7D06">
              <w:rPr>
                <w:noProof/>
                <w:webHidden/>
              </w:rPr>
            </w:r>
            <w:r w:rsidR="007E7D06">
              <w:rPr>
                <w:noProof/>
                <w:webHidden/>
              </w:rPr>
              <w:fldChar w:fldCharType="separate"/>
            </w:r>
            <w:r w:rsidR="007E7D06">
              <w:rPr>
                <w:noProof/>
                <w:webHidden/>
              </w:rPr>
              <w:t>21</w:t>
            </w:r>
            <w:r w:rsidR="007E7D06">
              <w:rPr>
                <w:noProof/>
                <w:webHidden/>
              </w:rPr>
              <w:fldChar w:fldCharType="end"/>
            </w:r>
          </w:hyperlink>
        </w:p>
        <w:p w14:paraId="6C503234" w14:textId="7184E9B5"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26" w:history="1">
            <w:r w:rsidR="007E7D06" w:rsidRPr="00205302">
              <w:rPr>
                <w:rStyle w:val="Hyperlink"/>
                <w:noProof/>
              </w:rPr>
              <w:t>Annex I: PNG’s description of the UNFCCC REDD+ safeguards</w:t>
            </w:r>
            <w:r w:rsidR="007E7D06">
              <w:rPr>
                <w:noProof/>
                <w:webHidden/>
              </w:rPr>
              <w:tab/>
            </w:r>
            <w:r w:rsidR="007E7D06">
              <w:rPr>
                <w:noProof/>
                <w:webHidden/>
              </w:rPr>
              <w:fldChar w:fldCharType="begin"/>
            </w:r>
            <w:r w:rsidR="007E7D06">
              <w:rPr>
                <w:noProof/>
                <w:webHidden/>
              </w:rPr>
              <w:instrText xml:space="preserve"> PAGEREF _Toc59493626 \h </w:instrText>
            </w:r>
            <w:r w:rsidR="007E7D06">
              <w:rPr>
                <w:noProof/>
                <w:webHidden/>
              </w:rPr>
            </w:r>
            <w:r w:rsidR="007E7D06">
              <w:rPr>
                <w:noProof/>
                <w:webHidden/>
              </w:rPr>
              <w:fldChar w:fldCharType="separate"/>
            </w:r>
            <w:r w:rsidR="007E7D06">
              <w:rPr>
                <w:noProof/>
                <w:webHidden/>
              </w:rPr>
              <w:t>22</w:t>
            </w:r>
            <w:r w:rsidR="007E7D06">
              <w:rPr>
                <w:noProof/>
                <w:webHidden/>
              </w:rPr>
              <w:fldChar w:fldCharType="end"/>
            </w:r>
          </w:hyperlink>
        </w:p>
        <w:p w14:paraId="5BA2F757" w14:textId="3BB22360" w:rsidR="007E7D06" w:rsidRDefault="00F722A4">
          <w:pPr>
            <w:pStyle w:val="TOC3"/>
            <w:tabs>
              <w:tab w:val="right" w:leader="dot" w:pos="9010"/>
            </w:tabs>
            <w:rPr>
              <w:rFonts w:eastAsiaTheme="minorEastAsia" w:cstheme="minorBidi"/>
              <w:noProof/>
              <w:sz w:val="24"/>
              <w:szCs w:val="24"/>
              <w:lang w:val="en-US" w:eastAsia="en-US"/>
            </w:rPr>
          </w:pPr>
          <w:hyperlink w:anchor="_Toc59493627" w:history="1">
            <w:r w:rsidR="007E7D06" w:rsidRPr="00205302">
              <w:rPr>
                <w:rStyle w:val="Hyperlink"/>
                <w:noProof/>
              </w:rPr>
              <w:t>Description of Safeguard A</w:t>
            </w:r>
            <w:r w:rsidR="007E7D06">
              <w:rPr>
                <w:noProof/>
                <w:webHidden/>
              </w:rPr>
              <w:tab/>
            </w:r>
            <w:r w:rsidR="007E7D06">
              <w:rPr>
                <w:noProof/>
                <w:webHidden/>
              </w:rPr>
              <w:fldChar w:fldCharType="begin"/>
            </w:r>
            <w:r w:rsidR="007E7D06">
              <w:rPr>
                <w:noProof/>
                <w:webHidden/>
              </w:rPr>
              <w:instrText xml:space="preserve"> PAGEREF _Toc59493627 \h </w:instrText>
            </w:r>
            <w:r w:rsidR="007E7D06">
              <w:rPr>
                <w:noProof/>
                <w:webHidden/>
              </w:rPr>
            </w:r>
            <w:r w:rsidR="007E7D06">
              <w:rPr>
                <w:noProof/>
                <w:webHidden/>
              </w:rPr>
              <w:fldChar w:fldCharType="separate"/>
            </w:r>
            <w:r w:rsidR="007E7D06">
              <w:rPr>
                <w:noProof/>
                <w:webHidden/>
              </w:rPr>
              <w:t>22</w:t>
            </w:r>
            <w:r w:rsidR="007E7D06">
              <w:rPr>
                <w:noProof/>
                <w:webHidden/>
              </w:rPr>
              <w:fldChar w:fldCharType="end"/>
            </w:r>
          </w:hyperlink>
        </w:p>
        <w:p w14:paraId="15F7A797" w14:textId="234D4DE8" w:rsidR="007E7D06" w:rsidRDefault="00F722A4">
          <w:pPr>
            <w:pStyle w:val="TOC3"/>
            <w:tabs>
              <w:tab w:val="right" w:leader="dot" w:pos="9010"/>
            </w:tabs>
            <w:rPr>
              <w:rFonts w:eastAsiaTheme="minorEastAsia" w:cstheme="minorBidi"/>
              <w:noProof/>
              <w:sz w:val="24"/>
              <w:szCs w:val="24"/>
              <w:lang w:val="en-US" w:eastAsia="en-US"/>
            </w:rPr>
          </w:pPr>
          <w:hyperlink w:anchor="_Toc59493628" w:history="1">
            <w:r w:rsidR="007E7D06" w:rsidRPr="00205302">
              <w:rPr>
                <w:rStyle w:val="Hyperlink"/>
                <w:noProof/>
              </w:rPr>
              <w:t>Description of Safeguard B</w:t>
            </w:r>
            <w:r w:rsidR="007E7D06">
              <w:rPr>
                <w:noProof/>
                <w:webHidden/>
              </w:rPr>
              <w:tab/>
            </w:r>
            <w:r w:rsidR="007E7D06">
              <w:rPr>
                <w:noProof/>
                <w:webHidden/>
              </w:rPr>
              <w:fldChar w:fldCharType="begin"/>
            </w:r>
            <w:r w:rsidR="007E7D06">
              <w:rPr>
                <w:noProof/>
                <w:webHidden/>
              </w:rPr>
              <w:instrText xml:space="preserve"> PAGEREF _Toc59493628 \h </w:instrText>
            </w:r>
            <w:r w:rsidR="007E7D06">
              <w:rPr>
                <w:noProof/>
                <w:webHidden/>
              </w:rPr>
            </w:r>
            <w:r w:rsidR="007E7D06">
              <w:rPr>
                <w:noProof/>
                <w:webHidden/>
              </w:rPr>
              <w:fldChar w:fldCharType="separate"/>
            </w:r>
            <w:r w:rsidR="007E7D06">
              <w:rPr>
                <w:noProof/>
                <w:webHidden/>
              </w:rPr>
              <w:t>22</w:t>
            </w:r>
            <w:r w:rsidR="007E7D06">
              <w:rPr>
                <w:noProof/>
                <w:webHidden/>
              </w:rPr>
              <w:fldChar w:fldCharType="end"/>
            </w:r>
          </w:hyperlink>
        </w:p>
        <w:p w14:paraId="58E4FD4F" w14:textId="31D51392" w:rsidR="007E7D06" w:rsidRDefault="00F722A4">
          <w:pPr>
            <w:pStyle w:val="TOC3"/>
            <w:tabs>
              <w:tab w:val="right" w:leader="dot" w:pos="9010"/>
            </w:tabs>
            <w:rPr>
              <w:rFonts w:eastAsiaTheme="minorEastAsia" w:cstheme="minorBidi"/>
              <w:noProof/>
              <w:sz w:val="24"/>
              <w:szCs w:val="24"/>
              <w:lang w:val="en-US" w:eastAsia="en-US"/>
            </w:rPr>
          </w:pPr>
          <w:hyperlink w:anchor="_Toc59493629" w:history="1">
            <w:r w:rsidR="007E7D06" w:rsidRPr="00205302">
              <w:rPr>
                <w:rStyle w:val="Hyperlink"/>
                <w:noProof/>
              </w:rPr>
              <w:t>Description of Safeguard C</w:t>
            </w:r>
            <w:r w:rsidR="007E7D06">
              <w:rPr>
                <w:noProof/>
                <w:webHidden/>
              </w:rPr>
              <w:tab/>
            </w:r>
            <w:r w:rsidR="007E7D06">
              <w:rPr>
                <w:noProof/>
                <w:webHidden/>
              </w:rPr>
              <w:fldChar w:fldCharType="begin"/>
            </w:r>
            <w:r w:rsidR="007E7D06">
              <w:rPr>
                <w:noProof/>
                <w:webHidden/>
              </w:rPr>
              <w:instrText xml:space="preserve"> PAGEREF _Toc59493629 \h </w:instrText>
            </w:r>
            <w:r w:rsidR="007E7D06">
              <w:rPr>
                <w:noProof/>
                <w:webHidden/>
              </w:rPr>
            </w:r>
            <w:r w:rsidR="007E7D06">
              <w:rPr>
                <w:noProof/>
                <w:webHidden/>
              </w:rPr>
              <w:fldChar w:fldCharType="separate"/>
            </w:r>
            <w:r w:rsidR="007E7D06">
              <w:rPr>
                <w:noProof/>
                <w:webHidden/>
              </w:rPr>
              <w:t>22</w:t>
            </w:r>
            <w:r w:rsidR="007E7D06">
              <w:rPr>
                <w:noProof/>
                <w:webHidden/>
              </w:rPr>
              <w:fldChar w:fldCharType="end"/>
            </w:r>
          </w:hyperlink>
        </w:p>
        <w:p w14:paraId="63D6950A" w14:textId="3F03C413" w:rsidR="007E7D06" w:rsidRDefault="00F722A4">
          <w:pPr>
            <w:pStyle w:val="TOC3"/>
            <w:tabs>
              <w:tab w:val="right" w:leader="dot" w:pos="9010"/>
            </w:tabs>
            <w:rPr>
              <w:rFonts w:eastAsiaTheme="minorEastAsia" w:cstheme="minorBidi"/>
              <w:noProof/>
              <w:sz w:val="24"/>
              <w:szCs w:val="24"/>
              <w:lang w:val="en-US" w:eastAsia="en-US"/>
            </w:rPr>
          </w:pPr>
          <w:hyperlink w:anchor="_Toc59493630" w:history="1">
            <w:r w:rsidR="007E7D06" w:rsidRPr="00205302">
              <w:rPr>
                <w:rStyle w:val="Hyperlink"/>
                <w:noProof/>
              </w:rPr>
              <w:t>Description of Safeguard D</w:t>
            </w:r>
            <w:r w:rsidR="007E7D06">
              <w:rPr>
                <w:noProof/>
                <w:webHidden/>
              </w:rPr>
              <w:tab/>
            </w:r>
            <w:r w:rsidR="007E7D06">
              <w:rPr>
                <w:noProof/>
                <w:webHidden/>
              </w:rPr>
              <w:fldChar w:fldCharType="begin"/>
            </w:r>
            <w:r w:rsidR="007E7D06">
              <w:rPr>
                <w:noProof/>
                <w:webHidden/>
              </w:rPr>
              <w:instrText xml:space="preserve"> PAGEREF _Toc59493630 \h </w:instrText>
            </w:r>
            <w:r w:rsidR="007E7D06">
              <w:rPr>
                <w:noProof/>
                <w:webHidden/>
              </w:rPr>
            </w:r>
            <w:r w:rsidR="007E7D06">
              <w:rPr>
                <w:noProof/>
                <w:webHidden/>
              </w:rPr>
              <w:fldChar w:fldCharType="separate"/>
            </w:r>
            <w:r w:rsidR="007E7D06">
              <w:rPr>
                <w:noProof/>
                <w:webHidden/>
              </w:rPr>
              <w:t>23</w:t>
            </w:r>
            <w:r w:rsidR="007E7D06">
              <w:rPr>
                <w:noProof/>
                <w:webHidden/>
              </w:rPr>
              <w:fldChar w:fldCharType="end"/>
            </w:r>
          </w:hyperlink>
        </w:p>
        <w:p w14:paraId="3A209C91" w14:textId="535B3A7D" w:rsidR="007E7D06" w:rsidRDefault="00F722A4">
          <w:pPr>
            <w:pStyle w:val="TOC3"/>
            <w:tabs>
              <w:tab w:val="right" w:leader="dot" w:pos="9010"/>
            </w:tabs>
            <w:rPr>
              <w:rFonts w:eastAsiaTheme="minorEastAsia" w:cstheme="minorBidi"/>
              <w:noProof/>
              <w:sz w:val="24"/>
              <w:szCs w:val="24"/>
              <w:lang w:val="en-US" w:eastAsia="en-US"/>
            </w:rPr>
          </w:pPr>
          <w:hyperlink w:anchor="_Toc59493631" w:history="1">
            <w:r w:rsidR="007E7D06" w:rsidRPr="00205302">
              <w:rPr>
                <w:rStyle w:val="Hyperlink"/>
                <w:noProof/>
              </w:rPr>
              <w:t>Description of Safeguard E</w:t>
            </w:r>
            <w:r w:rsidR="007E7D06">
              <w:rPr>
                <w:noProof/>
                <w:webHidden/>
              </w:rPr>
              <w:tab/>
            </w:r>
            <w:r w:rsidR="007E7D06">
              <w:rPr>
                <w:noProof/>
                <w:webHidden/>
              </w:rPr>
              <w:fldChar w:fldCharType="begin"/>
            </w:r>
            <w:r w:rsidR="007E7D06">
              <w:rPr>
                <w:noProof/>
                <w:webHidden/>
              </w:rPr>
              <w:instrText xml:space="preserve"> PAGEREF _Toc59493631 \h </w:instrText>
            </w:r>
            <w:r w:rsidR="007E7D06">
              <w:rPr>
                <w:noProof/>
                <w:webHidden/>
              </w:rPr>
            </w:r>
            <w:r w:rsidR="007E7D06">
              <w:rPr>
                <w:noProof/>
                <w:webHidden/>
              </w:rPr>
              <w:fldChar w:fldCharType="separate"/>
            </w:r>
            <w:r w:rsidR="007E7D06">
              <w:rPr>
                <w:noProof/>
                <w:webHidden/>
              </w:rPr>
              <w:t>23</w:t>
            </w:r>
            <w:r w:rsidR="007E7D06">
              <w:rPr>
                <w:noProof/>
                <w:webHidden/>
              </w:rPr>
              <w:fldChar w:fldCharType="end"/>
            </w:r>
          </w:hyperlink>
        </w:p>
        <w:p w14:paraId="10232ACA" w14:textId="0E8FB71C" w:rsidR="007E7D06" w:rsidRDefault="00F722A4">
          <w:pPr>
            <w:pStyle w:val="TOC3"/>
            <w:tabs>
              <w:tab w:val="right" w:leader="dot" w:pos="9010"/>
            </w:tabs>
            <w:rPr>
              <w:rFonts w:eastAsiaTheme="minorEastAsia" w:cstheme="minorBidi"/>
              <w:noProof/>
              <w:sz w:val="24"/>
              <w:szCs w:val="24"/>
              <w:lang w:val="en-US" w:eastAsia="en-US"/>
            </w:rPr>
          </w:pPr>
          <w:hyperlink w:anchor="_Toc59493632" w:history="1">
            <w:r w:rsidR="007E7D06" w:rsidRPr="00205302">
              <w:rPr>
                <w:rStyle w:val="Hyperlink"/>
                <w:noProof/>
              </w:rPr>
              <w:t>Description of Safeguard F and G</w:t>
            </w:r>
            <w:r w:rsidR="007E7D06">
              <w:rPr>
                <w:noProof/>
                <w:webHidden/>
              </w:rPr>
              <w:tab/>
            </w:r>
            <w:r w:rsidR="007E7D06">
              <w:rPr>
                <w:noProof/>
                <w:webHidden/>
              </w:rPr>
              <w:fldChar w:fldCharType="begin"/>
            </w:r>
            <w:r w:rsidR="007E7D06">
              <w:rPr>
                <w:noProof/>
                <w:webHidden/>
              </w:rPr>
              <w:instrText xml:space="preserve"> PAGEREF _Toc59493632 \h </w:instrText>
            </w:r>
            <w:r w:rsidR="007E7D06">
              <w:rPr>
                <w:noProof/>
                <w:webHidden/>
              </w:rPr>
            </w:r>
            <w:r w:rsidR="007E7D06">
              <w:rPr>
                <w:noProof/>
                <w:webHidden/>
              </w:rPr>
              <w:fldChar w:fldCharType="separate"/>
            </w:r>
            <w:r w:rsidR="007E7D06">
              <w:rPr>
                <w:noProof/>
                <w:webHidden/>
              </w:rPr>
              <w:t>23</w:t>
            </w:r>
            <w:r w:rsidR="007E7D06">
              <w:rPr>
                <w:noProof/>
                <w:webHidden/>
              </w:rPr>
              <w:fldChar w:fldCharType="end"/>
            </w:r>
          </w:hyperlink>
        </w:p>
        <w:p w14:paraId="302D3F21" w14:textId="7DA45D72"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3" w:history="1">
            <w:r w:rsidR="007E7D06" w:rsidRPr="00205302">
              <w:rPr>
                <w:rStyle w:val="Hyperlink"/>
                <w:noProof/>
              </w:rPr>
              <w:t>Annex II: Hard Copy of Template for Collecting Information in relation to indicators for ‘Addressing’</w:t>
            </w:r>
            <w:r w:rsidR="007E7D06">
              <w:rPr>
                <w:noProof/>
                <w:webHidden/>
              </w:rPr>
              <w:tab/>
            </w:r>
            <w:r w:rsidR="007E7D06">
              <w:rPr>
                <w:noProof/>
                <w:webHidden/>
              </w:rPr>
              <w:fldChar w:fldCharType="begin"/>
            </w:r>
            <w:r w:rsidR="007E7D06">
              <w:rPr>
                <w:noProof/>
                <w:webHidden/>
              </w:rPr>
              <w:instrText xml:space="preserve"> PAGEREF _Toc59493633 \h </w:instrText>
            </w:r>
            <w:r w:rsidR="007E7D06">
              <w:rPr>
                <w:noProof/>
                <w:webHidden/>
              </w:rPr>
            </w:r>
            <w:r w:rsidR="007E7D06">
              <w:rPr>
                <w:noProof/>
                <w:webHidden/>
              </w:rPr>
              <w:fldChar w:fldCharType="separate"/>
            </w:r>
            <w:r w:rsidR="007E7D06">
              <w:rPr>
                <w:noProof/>
                <w:webHidden/>
              </w:rPr>
              <w:t>24</w:t>
            </w:r>
            <w:r w:rsidR="007E7D06">
              <w:rPr>
                <w:noProof/>
                <w:webHidden/>
              </w:rPr>
              <w:fldChar w:fldCharType="end"/>
            </w:r>
          </w:hyperlink>
        </w:p>
        <w:p w14:paraId="52DBB439" w14:textId="49A645F5"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4" w:history="1">
            <w:r w:rsidR="007E7D06" w:rsidRPr="00205302">
              <w:rPr>
                <w:rStyle w:val="Hyperlink"/>
                <w:noProof/>
              </w:rPr>
              <w:t>Annex III: Hard Copy of Template for Collecting Information in relation to indicators for ‘Respecting’</w:t>
            </w:r>
            <w:r w:rsidR="007E7D06">
              <w:rPr>
                <w:noProof/>
                <w:webHidden/>
              </w:rPr>
              <w:tab/>
            </w:r>
            <w:r w:rsidR="007E7D06">
              <w:rPr>
                <w:noProof/>
                <w:webHidden/>
              </w:rPr>
              <w:fldChar w:fldCharType="begin"/>
            </w:r>
            <w:r w:rsidR="007E7D06">
              <w:rPr>
                <w:noProof/>
                <w:webHidden/>
              </w:rPr>
              <w:instrText xml:space="preserve"> PAGEREF _Toc59493634 \h </w:instrText>
            </w:r>
            <w:r w:rsidR="007E7D06">
              <w:rPr>
                <w:noProof/>
                <w:webHidden/>
              </w:rPr>
            </w:r>
            <w:r w:rsidR="007E7D06">
              <w:rPr>
                <w:noProof/>
                <w:webHidden/>
              </w:rPr>
              <w:fldChar w:fldCharType="separate"/>
            </w:r>
            <w:r w:rsidR="007E7D06">
              <w:rPr>
                <w:noProof/>
                <w:webHidden/>
              </w:rPr>
              <w:t>40</w:t>
            </w:r>
            <w:r w:rsidR="007E7D06">
              <w:rPr>
                <w:noProof/>
                <w:webHidden/>
              </w:rPr>
              <w:fldChar w:fldCharType="end"/>
            </w:r>
          </w:hyperlink>
        </w:p>
        <w:p w14:paraId="519DC360" w14:textId="48A13066"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5" w:history="1">
            <w:r w:rsidR="007E7D06" w:rsidRPr="00205302">
              <w:rPr>
                <w:rStyle w:val="Hyperlink"/>
                <w:noProof/>
              </w:rPr>
              <w:t>Annex IV: Template for the SOI</w:t>
            </w:r>
            <w:r w:rsidR="007E7D06">
              <w:rPr>
                <w:noProof/>
                <w:webHidden/>
              </w:rPr>
              <w:tab/>
            </w:r>
            <w:r w:rsidR="007E7D06">
              <w:rPr>
                <w:noProof/>
                <w:webHidden/>
              </w:rPr>
              <w:fldChar w:fldCharType="begin"/>
            </w:r>
            <w:r w:rsidR="007E7D06">
              <w:rPr>
                <w:noProof/>
                <w:webHidden/>
              </w:rPr>
              <w:instrText xml:space="preserve"> PAGEREF _Toc59493635 \h </w:instrText>
            </w:r>
            <w:r w:rsidR="007E7D06">
              <w:rPr>
                <w:noProof/>
                <w:webHidden/>
              </w:rPr>
            </w:r>
            <w:r w:rsidR="007E7D06">
              <w:rPr>
                <w:noProof/>
                <w:webHidden/>
              </w:rPr>
              <w:fldChar w:fldCharType="separate"/>
            </w:r>
            <w:r w:rsidR="007E7D06">
              <w:rPr>
                <w:noProof/>
                <w:webHidden/>
              </w:rPr>
              <w:t>46</w:t>
            </w:r>
            <w:r w:rsidR="007E7D06">
              <w:rPr>
                <w:noProof/>
                <w:webHidden/>
              </w:rPr>
              <w:fldChar w:fldCharType="end"/>
            </w:r>
          </w:hyperlink>
        </w:p>
        <w:p w14:paraId="2C5D1D75" w14:textId="2A522770"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6" w:history="1">
            <w:r w:rsidR="007E7D06" w:rsidRPr="00205302">
              <w:rPr>
                <w:rStyle w:val="Hyperlink"/>
                <w:noProof/>
              </w:rPr>
              <w:t>Annex V: Hard Copy Budgetary Template</w:t>
            </w:r>
            <w:r w:rsidR="007E7D06">
              <w:rPr>
                <w:noProof/>
                <w:webHidden/>
              </w:rPr>
              <w:tab/>
            </w:r>
            <w:r w:rsidR="007E7D06">
              <w:rPr>
                <w:noProof/>
                <w:webHidden/>
              </w:rPr>
              <w:fldChar w:fldCharType="begin"/>
            </w:r>
            <w:r w:rsidR="007E7D06">
              <w:rPr>
                <w:noProof/>
                <w:webHidden/>
              </w:rPr>
              <w:instrText xml:space="preserve"> PAGEREF _Toc59493636 \h </w:instrText>
            </w:r>
            <w:r w:rsidR="007E7D06">
              <w:rPr>
                <w:noProof/>
                <w:webHidden/>
              </w:rPr>
            </w:r>
            <w:r w:rsidR="007E7D06">
              <w:rPr>
                <w:noProof/>
                <w:webHidden/>
              </w:rPr>
              <w:fldChar w:fldCharType="separate"/>
            </w:r>
            <w:r w:rsidR="007E7D06">
              <w:rPr>
                <w:noProof/>
                <w:webHidden/>
              </w:rPr>
              <w:t>50</w:t>
            </w:r>
            <w:r w:rsidR="007E7D06">
              <w:rPr>
                <w:noProof/>
                <w:webHidden/>
              </w:rPr>
              <w:fldChar w:fldCharType="end"/>
            </w:r>
          </w:hyperlink>
        </w:p>
        <w:p w14:paraId="0B3FD458" w14:textId="227CCAA7"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7" w:history="1">
            <w:r w:rsidR="007E7D06" w:rsidRPr="00205302">
              <w:rPr>
                <w:rStyle w:val="Hyperlink"/>
                <w:noProof/>
              </w:rPr>
              <w:t>Annex VI: Hard Copy ‘SIS information management and reporting cycle workplan’ template</w:t>
            </w:r>
            <w:r w:rsidR="007E7D06">
              <w:rPr>
                <w:noProof/>
                <w:webHidden/>
              </w:rPr>
              <w:tab/>
            </w:r>
            <w:r w:rsidR="007E7D06">
              <w:rPr>
                <w:noProof/>
                <w:webHidden/>
              </w:rPr>
              <w:fldChar w:fldCharType="begin"/>
            </w:r>
            <w:r w:rsidR="007E7D06">
              <w:rPr>
                <w:noProof/>
                <w:webHidden/>
              </w:rPr>
              <w:instrText xml:space="preserve"> PAGEREF _Toc59493637 \h </w:instrText>
            </w:r>
            <w:r w:rsidR="007E7D06">
              <w:rPr>
                <w:noProof/>
                <w:webHidden/>
              </w:rPr>
            </w:r>
            <w:r w:rsidR="007E7D06">
              <w:rPr>
                <w:noProof/>
                <w:webHidden/>
              </w:rPr>
              <w:fldChar w:fldCharType="separate"/>
            </w:r>
            <w:r w:rsidR="007E7D06">
              <w:rPr>
                <w:noProof/>
                <w:webHidden/>
              </w:rPr>
              <w:t>52</w:t>
            </w:r>
            <w:r w:rsidR="007E7D06">
              <w:rPr>
                <w:noProof/>
                <w:webHidden/>
              </w:rPr>
              <w:fldChar w:fldCharType="end"/>
            </w:r>
          </w:hyperlink>
        </w:p>
        <w:p w14:paraId="2AC1E858" w14:textId="13569ECF" w:rsidR="007E7D06" w:rsidRDefault="00F722A4">
          <w:pPr>
            <w:pStyle w:val="TOC1"/>
            <w:tabs>
              <w:tab w:val="right" w:leader="dot" w:pos="9010"/>
            </w:tabs>
            <w:rPr>
              <w:rFonts w:eastAsiaTheme="minorEastAsia" w:cstheme="minorBidi"/>
              <w:b w:val="0"/>
              <w:bCs w:val="0"/>
              <w:i w:val="0"/>
              <w:iCs w:val="0"/>
              <w:noProof/>
              <w:lang w:val="en-US" w:eastAsia="en-US"/>
            </w:rPr>
          </w:pPr>
          <w:hyperlink w:anchor="_Toc59493638" w:history="1">
            <w:r w:rsidR="007E7D06" w:rsidRPr="00205302">
              <w:rPr>
                <w:rStyle w:val="Hyperlink"/>
                <w:noProof/>
              </w:rPr>
              <w:t>Annex VII: Overview on PNG’s Cancun Safeguards description, core elements, indicators and relevant sources, systems, conventions and treaties.</w:t>
            </w:r>
            <w:r w:rsidR="007E7D06">
              <w:rPr>
                <w:noProof/>
                <w:webHidden/>
              </w:rPr>
              <w:tab/>
            </w:r>
            <w:r w:rsidR="007E7D06">
              <w:rPr>
                <w:noProof/>
                <w:webHidden/>
              </w:rPr>
              <w:fldChar w:fldCharType="begin"/>
            </w:r>
            <w:r w:rsidR="007E7D06">
              <w:rPr>
                <w:noProof/>
                <w:webHidden/>
              </w:rPr>
              <w:instrText xml:space="preserve"> PAGEREF _Toc59493638 \h </w:instrText>
            </w:r>
            <w:r w:rsidR="007E7D06">
              <w:rPr>
                <w:noProof/>
                <w:webHidden/>
              </w:rPr>
            </w:r>
            <w:r w:rsidR="007E7D06">
              <w:rPr>
                <w:noProof/>
                <w:webHidden/>
              </w:rPr>
              <w:fldChar w:fldCharType="separate"/>
            </w:r>
            <w:r w:rsidR="007E7D06">
              <w:rPr>
                <w:noProof/>
                <w:webHidden/>
              </w:rPr>
              <w:t>53</w:t>
            </w:r>
            <w:r w:rsidR="007E7D06">
              <w:rPr>
                <w:noProof/>
                <w:webHidden/>
              </w:rPr>
              <w:fldChar w:fldCharType="end"/>
            </w:r>
          </w:hyperlink>
        </w:p>
        <w:p w14:paraId="47BED8FE" w14:textId="6BFB5088" w:rsidR="00D3180E" w:rsidRPr="00D713EB" w:rsidRDefault="00D3180E">
          <w:r w:rsidRPr="00D713EB">
            <w:rPr>
              <w:b/>
              <w:bCs/>
              <w:noProof/>
            </w:rPr>
            <w:fldChar w:fldCharType="end"/>
          </w:r>
        </w:p>
      </w:sdtContent>
    </w:sdt>
    <w:p w14:paraId="35BAB01E" w14:textId="77777777" w:rsidR="0084603A" w:rsidRPr="00D713EB" w:rsidRDefault="0084603A" w:rsidP="0084603A">
      <w:pPr>
        <w:pStyle w:val="Heading1"/>
        <w:sectPr w:rsidR="0084603A" w:rsidRPr="00D713EB" w:rsidSect="007F1A14">
          <w:pgSz w:w="11900" w:h="16840"/>
          <w:pgMar w:top="1440" w:right="1440" w:bottom="1440" w:left="1440" w:header="720" w:footer="720" w:gutter="0"/>
          <w:cols w:space="720"/>
          <w:docGrid w:linePitch="360"/>
        </w:sectPr>
      </w:pPr>
    </w:p>
    <w:p w14:paraId="64DEAC2B" w14:textId="558C0640" w:rsidR="00CE1A85" w:rsidRPr="00D713EB" w:rsidRDefault="00CE1A85" w:rsidP="00D3180E">
      <w:pPr>
        <w:pStyle w:val="Heading1"/>
      </w:pPr>
      <w:bookmarkStart w:id="0" w:name="_Toc59493611"/>
      <w:r w:rsidRPr="00D713EB">
        <w:lastRenderedPageBreak/>
        <w:t>Objective</w:t>
      </w:r>
      <w:r w:rsidR="00D3180E" w:rsidRPr="00D713EB">
        <w:t>s</w:t>
      </w:r>
      <w:r w:rsidRPr="00D713EB">
        <w:t xml:space="preserve"> </w:t>
      </w:r>
      <w:r w:rsidR="00D3180E" w:rsidRPr="00D713EB">
        <w:t xml:space="preserve">and Structure </w:t>
      </w:r>
      <w:r w:rsidRPr="00D713EB">
        <w:t xml:space="preserve">of this </w:t>
      </w:r>
      <w:r w:rsidR="00D3180E" w:rsidRPr="00D713EB">
        <w:t>D</w:t>
      </w:r>
      <w:r w:rsidRPr="00D713EB">
        <w:t>ocument</w:t>
      </w:r>
      <w:bookmarkEnd w:id="0"/>
    </w:p>
    <w:p w14:paraId="3C1742D7" w14:textId="77777777" w:rsidR="00CE1A85" w:rsidRPr="00D713EB" w:rsidRDefault="00CE1A85" w:rsidP="00CE1A85">
      <w:pPr>
        <w:pStyle w:val="ListParagraph"/>
      </w:pPr>
    </w:p>
    <w:p w14:paraId="78E3F00B" w14:textId="56DEFDFD" w:rsidR="004A00DF" w:rsidRPr="00D713EB" w:rsidRDefault="00CE1A85" w:rsidP="004A00DF">
      <w:pPr>
        <w:rPr>
          <w:rFonts w:eastAsiaTheme="minorEastAsia" w:cstheme="minorBidi"/>
        </w:rPr>
      </w:pPr>
      <w:r w:rsidRPr="00D713EB">
        <w:t xml:space="preserve">The objective of this document is to </w:t>
      </w:r>
      <w:r w:rsidR="00D3180E" w:rsidRPr="00D713EB">
        <w:t>provide step by step instructions for the execution of the functions of the</w:t>
      </w:r>
      <w:r w:rsidR="002E01A1" w:rsidRPr="00D713EB">
        <w:t xml:space="preserve"> </w:t>
      </w:r>
      <w:r w:rsidR="002E01A1" w:rsidRPr="00D713EB">
        <w:rPr>
          <w:rFonts w:cstheme="minorHAnsi"/>
          <w:iCs/>
          <w:szCs w:val="22"/>
        </w:rPr>
        <w:t xml:space="preserve">Government of PNG (GoPNG)’s </w:t>
      </w:r>
      <w:r w:rsidR="00D3180E" w:rsidRPr="00D713EB">
        <w:t>Safeguard Information System (SIS) and preparation of subsequent Summaries of Information (SOIs)</w:t>
      </w:r>
      <w:r w:rsidR="00D35103">
        <w:t xml:space="preserve"> towards managing and reporting information on how all Cancun Safeguards have been addressed and respected </w:t>
      </w:r>
      <w:r w:rsidR="00EB6BAE">
        <w:t xml:space="preserve">in the context of REDD+ implementation </w:t>
      </w:r>
      <w:r w:rsidR="00D3180E" w:rsidRPr="00D713EB">
        <w:t>.</w:t>
      </w:r>
      <w:r w:rsidR="004A00DF" w:rsidRPr="00D713EB">
        <w:t xml:space="preserve"> This document should be read alongside report titled </w:t>
      </w:r>
      <w:r w:rsidR="00056204" w:rsidRPr="00D713EB">
        <w:t>‘</w:t>
      </w:r>
      <w:r w:rsidR="004A00DF" w:rsidRPr="00D713EB">
        <w:rPr>
          <w:rFonts w:eastAsiaTheme="minorEastAsia" w:cstheme="minorBidi"/>
          <w:i/>
          <w:iCs/>
        </w:rPr>
        <w:t>Safeguard Information System Framework Document for PNG</w:t>
      </w:r>
      <w:r w:rsidR="00056204" w:rsidRPr="00D713EB">
        <w:t>’</w:t>
      </w:r>
      <w:r w:rsidR="004A00DF" w:rsidRPr="00D713EB">
        <w:t xml:space="preserve">, which details </w:t>
      </w:r>
      <w:r w:rsidR="002E01A1" w:rsidRPr="00D713EB">
        <w:t xml:space="preserve">the </w:t>
      </w:r>
      <w:proofErr w:type="spellStart"/>
      <w:r w:rsidR="002E01A1" w:rsidRPr="00D713EB">
        <w:rPr>
          <w:rFonts w:cstheme="minorHAnsi"/>
          <w:iCs/>
          <w:szCs w:val="22"/>
        </w:rPr>
        <w:t>GoPNG</w:t>
      </w:r>
      <w:r w:rsidR="004A00DF" w:rsidRPr="00D713EB">
        <w:t>’s</w:t>
      </w:r>
      <w:proofErr w:type="spellEnd"/>
      <w:r w:rsidR="004A00DF" w:rsidRPr="00D713EB">
        <w:t xml:space="preserve"> SIS </w:t>
      </w:r>
      <w:r w:rsidR="00011F42">
        <w:t>set up</w:t>
      </w:r>
      <w:r w:rsidR="00056204" w:rsidRPr="00D713EB">
        <w:t>; and alongside the ‘</w:t>
      </w:r>
      <w:r w:rsidR="00056204" w:rsidRPr="00D713EB">
        <w:rPr>
          <w:i/>
          <w:iCs/>
        </w:rPr>
        <w:t>Safeguards Information System: User Guide’</w:t>
      </w:r>
      <w:r w:rsidR="00056204" w:rsidRPr="00D713EB">
        <w:t xml:space="preserve"> for guidance as to how to access and use the database.</w:t>
      </w:r>
    </w:p>
    <w:p w14:paraId="0D719F17" w14:textId="77777777" w:rsidR="00D3180E" w:rsidRPr="00D713EB" w:rsidRDefault="00D3180E" w:rsidP="00D3180E"/>
    <w:p w14:paraId="35256168" w14:textId="43C2B5F7" w:rsidR="00D3180E" w:rsidRPr="00D713EB" w:rsidRDefault="00D3180E" w:rsidP="003B657B">
      <w:r w:rsidRPr="00D713EB">
        <w:t xml:space="preserve">The document is structured </w:t>
      </w:r>
      <w:r w:rsidR="006C7634" w:rsidRPr="00D713EB">
        <w:t xml:space="preserve">in </w:t>
      </w:r>
      <w:r w:rsidR="00DC09C5">
        <w:t>four</w:t>
      </w:r>
      <w:r w:rsidR="00DC09C5" w:rsidRPr="00D713EB">
        <w:t xml:space="preserve"> </w:t>
      </w:r>
      <w:r w:rsidR="006C7634" w:rsidRPr="00D713EB">
        <w:t>sections</w:t>
      </w:r>
      <w:r w:rsidR="005B3420" w:rsidRPr="00D713EB">
        <w:t xml:space="preserve">. The table below identifies </w:t>
      </w:r>
      <w:r w:rsidR="00DA7207" w:rsidRPr="00D713EB">
        <w:t xml:space="preserve">the </w:t>
      </w:r>
      <w:r w:rsidR="005B3420" w:rsidRPr="00D713EB">
        <w:t xml:space="preserve">applicability of certain sections </w:t>
      </w:r>
      <w:r w:rsidR="006C7634" w:rsidRPr="00D713EB">
        <w:t xml:space="preserve">in </w:t>
      </w:r>
      <w:r w:rsidR="005B3420" w:rsidRPr="00D713EB">
        <w:t>cor</w:t>
      </w:r>
      <w:r w:rsidR="006C7634" w:rsidRPr="00D713EB">
        <w:t xml:space="preserve">relation to the roles and responsibilities allocated for the operation of the </w:t>
      </w:r>
      <w:r w:rsidR="005C31A8">
        <w:t xml:space="preserve">functions to manage information under </w:t>
      </w:r>
      <w:proofErr w:type="spellStart"/>
      <w:r w:rsidR="0095590C">
        <w:t>GoPNG’s</w:t>
      </w:r>
      <w:proofErr w:type="spellEnd"/>
      <w:r w:rsidR="005C31A8">
        <w:t xml:space="preserve"> </w:t>
      </w:r>
      <w:r w:rsidR="006C7634" w:rsidRPr="00D713EB">
        <w:t>SIS</w:t>
      </w:r>
      <w:r w:rsidR="0095590C">
        <w:t xml:space="preserve"> and the preparation and submission of subsequent SOIs</w:t>
      </w:r>
      <w:r w:rsidRPr="00D713EB">
        <w:t>:</w:t>
      </w:r>
    </w:p>
    <w:p w14:paraId="719DBC9E" w14:textId="4B59E778" w:rsidR="006C7634" w:rsidRPr="00D713EB" w:rsidRDefault="006C7634" w:rsidP="003B657B"/>
    <w:tbl>
      <w:tblPr>
        <w:tblStyle w:val="GridTable1Light-Accent1"/>
        <w:tblW w:w="0" w:type="auto"/>
        <w:tblLook w:val="04A0" w:firstRow="1" w:lastRow="0" w:firstColumn="1" w:lastColumn="0" w:noHBand="0" w:noVBand="1"/>
      </w:tblPr>
      <w:tblGrid>
        <w:gridCol w:w="4815"/>
        <w:gridCol w:w="4195"/>
      </w:tblGrid>
      <w:tr w:rsidR="006C7634" w:rsidRPr="00CB624C" w14:paraId="763425CF" w14:textId="77777777" w:rsidTr="00CB6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07B6C455" w14:textId="64DB4890" w:rsidR="006C7634" w:rsidRPr="00CB624C" w:rsidRDefault="006C7634" w:rsidP="003B657B">
            <w:pPr>
              <w:rPr>
                <w:sz w:val="21"/>
                <w:szCs w:val="22"/>
              </w:rPr>
            </w:pPr>
            <w:r w:rsidRPr="00CB624C">
              <w:rPr>
                <w:sz w:val="21"/>
                <w:szCs w:val="22"/>
              </w:rPr>
              <w:t>Section</w:t>
            </w:r>
          </w:p>
        </w:tc>
        <w:tc>
          <w:tcPr>
            <w:tcW w:w="4195" w:type="dxa"/>
          </w:tcPr>
          <w:p w14:paraId="0996B897" w14:textId="534D2792" w:rsidR="006C7634" w:rsidRPr="00CB624C" w:rsidRDefault="005B3420" w:rsidP="003B657B">
            <w:pPr>
              <w:cnfStyle w:val="100000000000" w:firstRow="1" w:lastRow="0" w:firstColumn="0" w:lastColumn="0" w:oddVBand="0" w:evenVBand="0" w:oddHBand="0" w:evenHBand="0" w:firstRowFirstColumn="0" w:firstRowLastColumn="0" w:lastRowFirstColumn="0" w:lastRowLastColumn="0"/>
              <w:rPr>
                <w:sz w:val="21"/>
                <w:szCs w:val="22"/>
              </w:rPr>
            </w:pPr>
            <w:r w:rsidRPr="00CB624C">
              <w:rPr>
                <w:sz w:val="21"/>
                <w:szCs w:val="22"/>
              </w:rPr>
              <w:t>Specifically a</w:t>
            </w:r>
            <w:r w:rsidR="006C7634" w:rsidRPr="00CB624C">
              <w:rPr>
                <w:sz w:val="21"/>
                <w:szCs w:val="22"/>
              </w:rPr>
              <w:t>pplicable</w:t>
            </w:r>
            <w:r w:rsidRPr="00CB624C">
              <w:rPr>
                <w:sz w:val="21"/>
                <w:szCs w:val="22"/>
              </w:rPr>
              <w:t xml:space="preserve"> to</w:t>
            </w:r>
          </w:p>
        </w:tc>
      </w:tr>
      <w:tr w:rsidR="006C7634" w:rsidRPr="00CB624C" w14:paraId="4EF71F7D"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3B3A7F15" w14:textId="32AC99E8" w:rsidR="006C7634" w:rsidRPr="00CB624C" w:rsidRDefault="006C7634" w:rsidP="006C7634">
            <w:pPr>
              <w:rPr>
                <w:sz w:val="21"/>
                <w:szCs w:val="22"/>
              </w:rPr>
            </w:pPr>
            <w:r w:rsidRPr="00CB624C">
              <w:rPr>
                <w:sz w:val="21"/>
                <w:szCs w:val="22"/>
              </w:rPr>
              <w:t xml:space="preserve">Section I: provides the context, </w:t>
            </w:r>
            <w:r w:rsidR="005B3420" w:rsidRPr="00CB624C">
              <w:rPr>
                <w:sz w:val="21"/>
                <w:szCs w:val="22"/>
              </w:rPr>
              <w:t>which informs the use of th</w:t>
            </w:r>
            <w:r w:rsidR="00AE0213" w:rsidRPr="00CB624C">
              <w:rPr>
                <w:sz w:val="21"/>
                <w:szCs w:val="22"/>
              </w:rPr>
              <w:t>is</w:t>
            </w:r>
            <w:r w:rsidR="005B3420" w:rsidRPr="00CB624C">
              <w:rPr>
                <w:sz w:val="21"/>
                <w:szCs w:val="22"/>
              </w:rPr>
              <w:t xml:space="preserve"> SOPs</w:t>
            </w:r>
          </w:p>
          <w:p w14:paraId="499B75CD" w14:textId="77777777" w:rsidR="006C7634" w:rsidRPr="00CB624C" w:rsidRDefault="006C7634" w:rsidP="003B657B">
            <w:pPr>
              <w:rPr>
                <w:sz w:val="21"/>
                <w:szCs w:val="22"/>
              </w:rPr>
            </w:pPr>
          </w:p>
        </w:tc>
        <w:tc>
          <w:tcPr>
            <w:tcW w:w="4195" w:type="dxa"/>
          </w:tcPr>
          <w:p w14:paraId="6C032032" w14:textId="6BE99BE8" w:rsidR="006C7634" w:rsidRPr="00CB624C" w:rsidRDefault="005B3420" w:rsidP="003B657B">
            <w:pPr>
              <w:cnfStyle w:val="000000000000" w:firstRow="0" w:lastRow="0" w:firstColumn="0" w:lastColumn="0" w:oddVBand="0" w:evenVBand="0" w:oddHBand="0" w:evenHBand="0" w:firstRowFirstColumn="0" w:firstRowLastColumn="0" w:lastRowFirstColumn="0" w:lastRowLastColumn="0"/>
              <w:rPr>
                <w:sz w:val="21"/>
                <w:szCs w:val="22"/>
              </w:rPr>
            </w:pPr>
            <w:r w:rsidRPr="00CB624C">
              <w:rPr>
                <w:sz w:val="21"/>
                <w:szCs w:val="22"/>
              </w:rPr>
              <w:t>A</w:t>
            </w:r>
            <w:r w:rsidR="006C7634" w:rsidRPr="00CB624C">
              <w:rPr>
                <w:sz w:val="21"/>
                <w:szCs w:val="22"/>
              </w:rPr>
              <w:t>ll</w:t>
            </w:r>
          </w:p>
        </w:tc>
      </w:tr>
      <w:tr w:rsidR="006C7634" w:rsidRPr="00CB624C" w14:paraId="6E39CA68"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50750E98" w14:textId="77777777" w:rsidR="006C7634" w:rsidRPr="00CB624C" w:rsidRDefault="006C7634" w:rsidP="006C7634">
            <w:pPr>
              <w:rPr>
                <w:sz w:val="21"/>
                <w:szCs w:val="22"/>
              </w:rPr>
            </w:pPr>
            <w:r w:rsidRPr="00CB624C">
              <w:rPr>
                <w:sz w:val="21"/>
                <w:szCs w:val="22"/>
              </w:rPr>
              <w:t xml:space="preserve">Section II: provides instructions for the </w:t>
            </w:r>
            <w:r w:rsidRPr="00CB624C">
              <w:rPr>
                <w:i/>
                <w:iCs/>
                <w:sz w:val="21"/>
                <w:szCs w:val="22"/>
              </w:rPr>
              <w:t>collection</w:t>
            </w:r>
            <w:r w:rsidRPr="00CB624C">
              <w:rPr>
                <w:sz w:val="21"/>
                <w:szCs w:val="22"/>
              </w:rPr>
              <w:t xml:space="preserve"> of information using the SIS’s indicators and the template report/database</w:t>
            </w:r>
          </w:p>
          <w:p w14:paraId="797FEC07" w14:textId="77777777" w:rsidR="006C7634" w:rsidRPr="00CB624C" w:rsidRDefault="006C7634" w:rsidP="003B657B">
            <w:pPr>
              <w:rPr>
                <w:sz w:val="21"/>
                <w:szCs w:val="22"/>
              </w:rPr>
            </w:pPr>
          </w:p>
        </w:tc>
        <w:tc>
          <w:tcPr>
            <w:tcW w:w="4195" w:type="dxa"/>
          </w:tcPr>
          <w:p w14:paraId="0FF0CE90" w14:textId="1DCBC317" w:rsidR="00145F58" w:rsidRPr="00CB624C" w:rsidRDefault="005B3420" w:rsidP="003B657B">
            <w:pPr>
              <w:cnfStyle w:val="000000000000" w:firstRow="0" w:lastRow="0" w:firstColumn="0" w:lastColumn="0" w:oddVBand="0" w:evenVBand="0" w:oddHBand="0" w:evenHBand="0" w:firstRowFirstColumn="0" w:firstRowLastColumn="0" w:lastRowFirstColumn="0" w:lastRowLastColumn="0"/>
              <w:rPr>
                <w:sz w:val="21"/>
                <w:szCs w:val="22"/>
              </w:rPr>
            </w:pPr>
            <w:r w:rsidRPr="00CB624C">
              <w:rPr>
                <w:sz w:val="21"/>
                <w:szCs w:val="22"/>
              </w:rPr>
              <w:t>REDD+ implementers</w:t>
            </w:r>
            <w:r w:rsidR="00004ADE" w:rsidRPr="00CB624C">
              <w:rPr>
                <w:rStyle w:val="FootnoteReference"/>
                <w:sz w:val="21"/>
                <w:szCs w:val="22"/>
              </w:rPr>
              <w:footnoteReference w:id="2"/>
            </w:r>
            <w:r w:rsidR="00145F58" w:rsidRPr="00CB624C">
              <w:rPr>
                <w:sz w:val="21"/>
                <w:szCs w:val="22"/>
              </w:rPr>
              <w:t>, and</w:t>
            </w:r>
          </w:p>
          <w:p w14:paraId="6A8E6FF4" w14:textId="77777777" w:rsidR="00145F58" w:rsidRPr="00CB624C" w:rsidRDefault="00145F58" w:rsidP="003B657B">
            <w:pPr>
              <w:cnfStyle w:val="000000000000" w:firstRow="0" w:lastRow="0" w:firstColumn="0" w:lastColumn="0" w:oddVBand="0" w:evenVBand="0" w:oddHBand="0" w:evenHBand="0" w:firstRowFirstColumn="0" w:firstRowLastColumn="0" w:lastRowFirstColumn="0" w:lastRowLastColumn="0"/>
              <w:rPr>
                <w:sz w:val="21"/>
                <w:szCs w:val="22"/>
              </w:rPr>
            </w:pPr>
          </w:p>
          <w:p w14:paraId="3B8EBEC8" w14:textId="37DB244B" w:rsidR="00145F58" w:rsidRPr="00CB624C" w:rsidRDefault="00145F58" w:rsidP="003B657B">
            <w:pPr>
              <w:cnfStyle w:val="000000000000" w:firstRow="0" w:lastRow="0" w:firstColumn="0" w:lastColumn="0" w:oddVBand="0" w:evenVBand="0" w:oddHBand="0" w:evenHBand="0" w:firstRowFirstColumn="0" w:firstRowLastColumn="0" w:lastRowFirstColumn="0" w:lastRowLastColumn="0"/>
              <w:rPr>
                <w:sz w:val="21"/>
                <w:szCs w:val="22"/>
              </w:rPr>
            </w:pPr>
            <w:r w:rsidRPr="00CB624C">
              <w:rPr>
                <w:iCs/>
                <w:sz w:val="21"/>
                <w:szCs w:val="22"/>
              </w:rPr>
              <w:t xml:space="preserve">REDD+ Safeguards TWC </w:t>
            </w:r>
            <w:r w:rsidR="00E607E0" w:rsidRPr="00CB624C">
              <w:rPr>
                <w:iCs/>
                <w:sz w:val="21"/>
                <w:szCs w:val="22"/>
              </w:rPr>
              <w:t>and</w:t>
            </w:r>
            <w:r w:rsidR="00F75469" w:rsidRPr="00CB624C">
              <w:rPr>
                <w:iCs/>
                <w:sz w:val="21"/>
                <w:szCs w:val="22"/>
              </w:rPr>
              <w:t xml:space="preserve"> </w:t>
            </w:r>
            <w:r w:rsidRPr="00CB624C">
              <w:rPr>
                <w:iCs/>
                <w:sz w:val="21"/>
                <w:szCs w:val="22"/>
              </w:rPr>
              <w:t>National Safeguard Specialist</w:t>
            </w:r>
          </w:p>
        </w:tc>
      </w:tr>
      <w:tr w:rsidR="006C7634" w:rsidRPr="00CB624C" w14:paraId="271987B4"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1A3A6430" w14:textId="59E782BA" w:rsidR="006C7634" w:rsidRPr="00CB624C" w:rsidRDefault="006C7634" w:rsidP="006C7634">
            <w:pPr>
              <w:rPr>
                <w:sz w:val="21"/>
                <w:szCs w:val="22"/>
              </w:rPr>
            </w:pPr>
            <w:r w:rsidRPr="00CB624C">
              <w:rPr>
                <w:sz w:val="21"/>
                <w:szCs w:val="22"/>
              </w:rPr>
              <w:t xml:space="preserve">Section III: provides instructions for how to </w:t>
            </w:r>
            <w:r w:rsidR="00F75469" w:rsidRPr="00F97017">
              <w:rPr>
                <w:sz w:val="21"/>
                <w:szCs w:val="22"/>
              </w:rPr>
              <w:t>aggregate</w:t>
            </w:r>
            <w:r w:rsidR="00F75469" w:rsidRPr="00CB624C">
              <w:rPr>
                <w:sz w:val="21"/>
                <w:szCs w:val="22"/>
              </w:rPr>
              <w:t xml:space="preserve"> and </w:t>
            </w:r>
            <w:r w:rsidR="00E04070" w:rsidRPr="00CB624C">
              <w:rPr>
                <w:sz w:val="21"/>
                <w:szCs w:val="22"/>
              </w:rPr>
              <w:t>analyse</w:t>
            </w:r>
            <w:r w:rsidRPr="00CB624C">
              <w:rPr>
                <w:sz w:val="21"/>
                <w:szCs w:val="22"/>
              </w:rPr>
              <w:t xml:space="preserve"> the information </w:t>
            </w:r>
            <w:r w:rsidR="006A4604" w:rsidRPr="00CB624C">
              <w:rPr>
                <w:sz w:val="21"/>
                <w:szCs w:val="22"/>
              </w:rPr>
              <w:t>towards determining</w:t>
            </w:r>
            <w:r w:rsidRPr="00CB624C">
              <w:rPr>
                <w:iCs/>
                <w:sz w:val="21"/>
                <w:szCs w:val="22"/>
              </w:rPr>
              <w:t xml:space="preserve"> to what extent the safeguards are being “addressed” and “respected”</w:t>
            </w:r>
            <w:r w:rsidR="004E3BF3" w:rsidRPr="00CB624C">
              <w:rPr>
                <w:iCs/>
                <w:sz w:val="21"/>
                <w:szCs w:val="22"/>
              </w:rPr>
              <w:t xml:space="preserve">, including the </w:t>
            </w:r>
            <w:r w:rsidR="002D4D67" w:rsidRPr="00CB624C">
              <w:rPr>
                <w:iCs/>
                <w:sz w:val="21"/>
                <w:szCs w:val="22"/>
              </w:rPr>
              <w:t>prepar</w:t>
            </w:r>
            <w:r w:rsidR="004E3BF3" w:rsidRPr="00CB624C">
              <w:rPr>
                <w:iCs/>
                <w:sz w:val="21"/>
                <w:szCs w:val="22"/>
              </w:rPr>
              <w:t>ation of</w:t>
            </w:r>
            <w:r w:rsidR="002D4D67" w:rsidRPr="00CB624C">
              <w:rPr>
                <w:iCs/>
                <w:sz w:val="21"/>
                <w:szCs w:val="22"/>
              </w:rPr>
              <w:t xml:space="preserve"> subsequent SOIs</w:t>
            </w:r>
          </w:p>
          <w:p w14:paraId="3A16EA1F" w14:textId="77777777" w:rsidR="006C7634" w:rsidRPr="00CB624C" w:rsidRDefault="006C7634" w:rsidP="003B657B">
            <w:pPr>
              <w:rPr>
                <w:sz w:val="21"/>
                <w:szCs w:val="22"/>
              </w:rPr>
            </w:pPr>
          </w:p>
        </w:tc>
        <w:tc>
          <w:tcPr>
            <w:tcW w:w="4195" w:type="dxa"/>
          </w:tcPr>
          <w:p w14:paraId="1C20884C" w14:textId="58EA3A11" w:rsidR="006C7634" w:rsidRPr="00CB624C" w:rsidRDefault="006C7634" w:rsidP="003B657B">
            <w:pPr>
              <w:cnfStyle w:val="000000000000" w:firstRow="0" w:lastRow="0" w:firstColumn="0" w:lastColumn="0" w:oddVBand="0" w:evenVBand="0" w:oddHBand="0" w:evenHBand="0" w:firstRowFirstColumn="0" w:firstRowLastColumn="0" w:lastRowFirstColumn="0" w:lastRowLastColumn="0"/>
              <w:rPr>
                <w:sz w:val="21"/>
                <w:szCs w:val="22"/>
              </w:rPr>
            </w:pPr>
            <w:r w:rsidRPr="00CB624C">
              <w:rPr>
                <w:iCs/>
                <w:sz w:val="21"/>
                <w:szCs w:val="22"/>
              </w:rPr>
              <w:t xml:space="preserve">REDD+ Safeguards TWC </w:t>
            </w:r>
            <w:r w:rsidR="00E607E0" w:rsidRPr="00CB624C">
              <w:rPr>
                <w:iCs/>
                <w:sz w:val="21"/>
                <w:szCs w:val="22"/>
              </w:rPr>
              <w:t>and</w:t>
            </w:r>
            <w:r w:rsidRPr="00CB624C">
              <w:rPr>
                <w:iCs/>
                <w:sz w:val="21"/>
                <w:szCs w:val="22"/>
              </w:rPr>
              <w:t xml:space="preserve"> National Safeguard Specialist</w:t>
            </w:r>
          </w:p>
        </w:tc>
      </w:tr>
      <w:tr w:rsidR="006C7634" w:rsidRPr="00CB624C" w14:paraId="3F5FCE5F"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3839286C" w14:textId="1A35C01D" w:rsidR="006C7634" w:rsidRPr="00CB624C" w:rsidRDefault="006C7634" w:rsidP="006C7634">
            <w:pPr>
              <w:rPr>
                <w:sz w:val="21"/>
                <w:szCs w:val="22"/>
              </w:rPr>
            </w:pPr>
            <w:r w:rsidRPr="00CB624C">
              <w:rPr>
                <w:sz w:val="21"/>
                <w:szCs w:val="22"/>
              </w:rPr>
              <w:t xml:space="preserve">Section </w:t>
            </w:r>
            <w:r w:rsidR="002D4D67" w:rsidRPr="00CB624C">
              <w:rPr>
                <w:sz w:val="21"/>
                <w:szCs w:val="22"/>
              </w:rPr>
              <w:t>I</w:t>
            </w:r>
            <w:r w:rsidRPr="00CB624C">
              <w:rPr>
                <w:sz w:val="21"/>
                <w:szCs w:val="22"/>
              </w:rPr>
              <w:t>V:</w:t>
            </w:r>
            <w:r w:rsidRPr="00CB624C">
              <w:rPr>
                <w:iCs/>
                <w:sz w:val="21"/>
                <w:szCs w:val="22"/>
              </w:rPr>
              <w:t xml:space="preserve"> </w:t>
            </w:r>
            <w:r w:rsidRPr="00CB624C">
              <w:rPr>
                <w:sz w:val="21"/>
                <w:szCs w:val="22"/>
              </w:rPr>
              <w:t>provides instructions for how to</w:t>
            </w:r>
            <w:r w:rsidR="00C2567C" w:rsidRPr="00CB624C">
              <w:rPr>
                <w:sz w:val="21"/>
                <w:szCs w:val="22"/>
              </w:rPr>
              <w:t xml:space="preserve"> </w:t>
            </w:r>
            <w:r w:rsidR="00C2567C" w:rsidRPr="00CB624C">
              <w:rPr>
                <w:i/>
                <w:iCs/>
                <w:sz w:val="21"/>
                <w:szCs w:val="22"/>
              </w:rPr>
              <w:t>disseminate</w:t>
            </w:r>
            <w:r w:rsidR="00C2567C" w:rsidRPr="00CB624C">
              <w:rPr>
                <w:sz w:val="21"/>
                <w:szCs w:val="22"/>
              </w:rPr>
              <w:t xml:space="preserve"> information, including</w:t>
            </w:r>
            <w:r w:rsidRPr="00CB624C">
              <w:rPr>
                <w:sz w:val="21"/>
                <w:szCs w:val="22"/>
              </w:rPr>
              <w:t xml:space="preserve"> consult</w:t>
            </w:r>
            <w:r w:rsidR="00C2567C" w:rsidRPr="00CB624C">
              <w:rPr>
                <w:sz w:val="21"/>
                <w:szCs w:val="22"/>
              </w:rPr>
              <w:t>ing</w:t>
            </w:r>
            <w:r w:rsidRPr="00CB624C">
              <w:rPr>
                <w:sz w:val="21"/>
                <w:szCs w:val="22"/>
              </w:rPr>
              <w:t xml:space="preserve"> with stakeholders/civil society</w:t>
            </w:r>
          </w:p>
          <w:p w14:paraId="0327CE96" w14:textId="77777777" w:rsidR="006C7634" w:rsidRPr="00CB624C" w:rsidRDefault="006C7634" w:rsidP="003B657B">
            <w:pPr>
              <w:rPr>
                <w:sz w:val="21"/>
                <w:szCs w:val="22"/>
              </w:rPr>
            </w:pPr>
          </w:p>
        </w:tc>
        <w:tc>
          <w:tcPr>
            <w:tcW w:w="4195" w:type="dxa"/>
          </w:tcPr>
          <w:p w14:paraId="1052DE25" w14:textId="08062F7C" w:rsidR="006C7634" w:rsidRPr="00CB624C" w:rsidRDefault="006C7634" w:rsidP="003B657B">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iCs/>
                <w:sz w:val="21"/>
                <w:szCs w:val="22"/>
              </w:rPr>
              <w:t xml:space="preserve">REDD+ Safeguards TWC </w:t>
            </w:r>
            <w:r w:rsidR="00E607E0" w:rsidRPr="00CB624C">
              <w:rPr>
                <w:iCs/>
                <w:sz w:val="21"/>
                <w:szCs w:val="22"/>
              </w:rPr>
              <w:t>and</w:t>
            </w:r>
            <w:r w:rsidRPr="00CB624C">
              <w:rPr>
                <w:iCs/>
                <w:sz w:val="21"/>
                <w:szCs w:val="22"/>
              </w:rPr>
              <w:t xml:space="preserve"> National Safeguard Specialist</w:t>
            </w:r>
          </w:p>
          <w:p w14:paraId="01EFB2C7" w14:textId="77777777" w:rsidR="00A668A1" w:rsidRPr="00CB624C" w:rsidRDefault="00A668A1" w:rsidP="003B657B">
            <w:pPr>
              <w:cnfStyle w:val="000000000000" w:firstRow="0" w:lastRow="0" w:firstColumn="0" w:lastColumn="0" w:oddVBand="0" w:evenVBand="0" w:oddHBand="0" w:evenHBand="0" w:firstRowFirstColumn="0" w:firstRowLastColumn="0" w:lastRowFirstColumn="0" w:lastRowLastColumn="0"/>
              <w:rPr>
                <w:sz w:val="21"/>
                <w:szCs w:val="22"/>
              </w:rPr>
            </w:pPr>
          </w:p>
          <w:p w14:paraId="292D0684" w14:textId="318FA52B" w:rsidR="00A668A1" w:rsidRPr="00CB624C" w:rsidRDefault="00A668A1" w:rsidP="003B657B">
            <w:pPr>
              <w:cnfStyle w:val="000000000000" w:firstRow="0" w:lastRow="0" w:firstColumn="0" w:lastColumn="0" w:oddVBand="0" w:evenVBand="0" w:oddHBand="0" w:evenHBand="0" w:firstRowFirstColumn="0" w:firstRowLastColumn="0" w:lastRowFirstColumn="0" w:lastRowLastColumn="0"/>
              <w:rPr>
                <w:sz w:val="21"/>
                <w:szCs w:val="22"/>
              </w:rPr>
            </w:pPr>
            <w:r w:rsidRPr="00CB624C">
              <w:rPr>
                <w:sz w:val="21"/>
                <w:szCs w:val="22"/>
              </w:rPr>
              <w:t>National Climate Change Board / National REDD+ Steering Committee</w:t>
            </w:r>
          </w:p>
        </w:tc>
      </w:tr>
      <w:tr w:rsidR="00A668A1" w:rsidRPr="00CB624C" w14:paraId="3D7D4244" w14:textId="77777777" w:rsidTr="000D0153">
        <w:tc>
          <w:tcPr>
            <w:cnfStyle w:val="001000000000" w:firstRow="0" w:lastRow="0" w:firstColumn="1" w:lastColumn="0" w:oddVBand="0" w:evenVBand="0" w:oddHBand="0" w:evenHBand="0" w:firstRowFirstColumn="0" w:firstRowLastColumn="0" w:lastRowFirstColumn="0" w:lastRowLastColumn="0"/>
            <w:tcW w:w="4815" w:type="dxa"/>
          </w:tcPr>
          <w:p w14:paraId="0E81E739" w14:textId="5AF89846" w:rsidR="00A668A1" w:rsidRPr="00CB624C" w:rsidRDefault="00A668A1" w:rsidP="006C7634">
            <w:pPr>
              <w:rPr>
                <w:sz w:val="21"/>
                <w:szCs w:val="22"/>
              </w:rPr>
            </w:pPr>
            <w:r w:rsidRPr="00CB624C">
              <w:rPr>
                <w:sz w:val="21"/>
                <w:szCs w:val="22"/>
              </w:rPr>
              <w:t>Annex I: PNG’s description of the UNFCCC REDD+ safeguards</w:t>
            </w:r>
          </w:p>
        </w:tc>
        <w:tc>
          <w:tcPr>
            <w:tcW w:w="4195" w:type="dxa"/>
          </w:tcPr>
          <w:p w14:paraId="289028E3" w14:textId="6937659A" w:rsidR="00A668A1" w:rsidRPr="00CB624C" w:rsidRDefault="00A668A1" w:rsidP="003B657B">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sz w:val="21"/>
                <w:szCs w:val="22"/>
              </w:rPr>
              <w:t>All</w:t>
            </w:r>
          </w:p>
        </w:tc>
      </w:tr>
      <w:tr w:rsidR="00062770" w:rsidRPr="00CB624C" w14:paraId="224ECE1C"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51DA9C64" w14:textId="4A157E14" w:rsidR="00062770" w:rsidRPr="00CB624C" w:rsidRDefault="00062770" w:rsidP="006C7634">
            <w:pPr>
              <w:rPr>
                <w:sz w:val="21"/>
                <w:szCs w:val="22"/>
              </w:rPr>
            </w:pPr>
            <w:r w:rsidRPr="00CB624C">
              <w:rPr>
                <w:sz w:val="21"/>
                <w:szCs w:val="22"/>
              </w:rPr>
              <w:t>Annex</w:t>
            </w:r>
            <w:r w:rsidR="006E539D" w:rsidRPr="00CB624C">
              <w:rPr>
                <w:sz w:val="21"/>
                <w:szCs w:val="22"/>
              </w:rPr>
              <w:t xml:space="preserve"> II</w:t>
            </w:r>
            <w:r w:rsidR="00B96FAC" w:rsidRPr="00CB624C">
              <w:rPr>
                <w:sz w:val="21"/>
                <w:szCs w:val="22"/>
              </w:rPr>
              <w:t xml:space="preserve">: </w:t>
            </w:r>
            <w:r w:rsidR="00344579" w:rsidRPr="00CB624C">
              <w:rPr>
                <w:sz w:val="21"/>
                <w:szCs w:val="22"/>
              </w:rPr>
              <w:t>Hard Copy of Template for Collecting Information in relation to indicators for ‘Addressing’</w:t>
            </w:r>
          </w:p>
        </w:tc>
        <w:tc>
          <w:tcPr>
            <w:tcW w:w="4195" w:type="dxa"/>
          </w:tcPr>
          <w:p w14:paraId="4AAE786D" w14:textId="35929A76" w:rsidR="00062770" w:rsidRPr="00CB624C" w:rsidRDefault="00344579" w:rsidP="003B657B">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iCs/>
                <w:sz w:val="21"/>
                <w:szCs w:val="22"/>
              </w:rPr>
              <w:t xml:space="preserve">REDD+ Safeguards TWC </w:t>
            </w:r>
            <w:r w:rsidR="00E607E0" w:rsidRPr="00CB624C">
              <w:rPr>
                <w:iCs/>
                <w:sz w:val="21"/>
                <w:szCs w:val="22"/>
              </w:rPr>
              <w:t>and</w:t>
            </w:r>
            <w:r w:rsidRPr="00CB624C">
              <w:rPr>
                <w:iCs/>
                <w:sz w:val="21"/>
                <w:szCs w:val="22"/>
              </w:rPr>
              <w:t xml:space="preserve"> National Safeguard Specialist</w:t>
            </w:r>
            <w:r w:rsidRPr="00CB624C" w:rsidDel="00A668A1">
              <w:rPr>
                <w:sz w:val="21"/>
                <w:szCs w:val="22"/>
              </w:rPr>
              <w:t xml:space="preserve"> </w:t>
            </w:r>
          </w:p>
        </w:tc>
      </w:tr>
      <w:tr w:rsidR="006E539D" w:rsidRPr="00CB624C" w14:paraId="5C7CBD20"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4F07000D" w14:textId="543C687F" w:rsidR="006E539D" w:rsidRPr="00CB624C" w:rsidRDefault="006E539D" w:rsidP="006E539D">
            <w:pPr>
              <w:rPr>
                <w:sz w:val="21"/>
                <w:szCs w:val="22"/>
              </w:rPr>
            </w:pPr>
            <w:r w:rsidRPr="00CB624C">
              <w:rPr>
                <w:sz w:val="21"/>
                <w:szCs w:val="22"/>
              </w:rPr>
              <w:t>Annex III</w:t>
            </w:r>
            <w:r w:rsidR="00B96FAC" w:rsidRPr="00CB624C">
              <w:rPr>
                <w:sz w:val="21"/>
                <w:szCs w:val="22"/>
              </w:rPr>
              <w:t xml:space="preserve">: </w:t>
            </w:r>
            <w:r w:rsidR="00344579" w:rsidRPr="00CB624C">
              <w:rPr>
                <w:sz w:val="21"/>
                <w:szCs w:val="22"/>
              </w:rPr>
              <w:t>Hard Copy of Template for Collecting Information in relation to indicators for ‘Respecting’</w:t>
            </w:r>
          </w:p>
        </w:tc>
        <w:tc>
          <w:tcPr>
            <w:tcW w:w="4195" w:type="dxa"/>
          </w:tcPr>
          <w:p w14:paraId="07257152" w14:textId="77777777" w:rsidR="00344579" w:rsidRPr="00CB624C" w:rsidRDefault="00344579" w:rsidP="00344579">
            <w:pPr>
              <w:cnfStyle w:val="000000000000" w:firstRow="0" w:lastRow="0" w:firstColumn="0" w:lastColumn="0" w:oddVBand="0" w:evenVBand="0" w:oddHBand="0" w:evenHBand="0" w:firstRowFirstColumn="0" w:firstRowLastColumn="0" w:lastRowFirstColumn="0" w:lastRowLastColumn="0"/>
              <w:rPr>
                <w:sz w:val="21"/>
                <w:szCs w:val="22"/>
              </w:rPr>
            </w:pPr>
            <w:r w:rsidRPr="00CB624C">
              <w:rPr>
                <w:sz w:val="21"/>
                <w:szCs w:val="22"/>
              </w:rPr>
              <w:t>REDD+ implementers, and</w:t>
            </w:r>
          </w:p>
          <w:p w14:paraId="42791C66" w14:textId="77777777" w:rsidR="00344579" w:rsidRPr="00CB624C" w:rsidRDefault="00344579" w:rsidP="00344579">
            <w:pPr>
              <w:cnfStyle w:val="000000000000" w:firstRow="0" w:lastRow="0" w:firstColumn="0" w:lastColumn="0" w:oddVBand="0" w:evenVBand="0" w:oddHBand="0" w:evenHBand="0" w:firstRowFirstColumn="0" w:firstRowLastColumn="0" w:lastRowFirstColumn="0" w:lastRowLastColumn="0"/>
              <w:rPr>
                <w:sz w:val="21"/>
                <w:szCs w:val="22"/>
              </w:rPr>
            </w:pPr>
          </w:p>
          <w:p w14:paraId="5A99E1EA" w14:textId="2C81C2DA" w:rsidR="006E539D" w:rsidRPr="00CB624C" w:rsidRDefault="00344579" w:rsidP="00344579">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iCs/>
                <w:sz w:val="21"/>
                <w:szCs w:val="22"/>
              </w:rPr>
              <w:t xml:space="preserve">REDD+ Safeguards TWC </w:t>
            </w:r>
            <w:r w:rsidR="00E607E0" w:rsidRPr="00CB624C">
              <w:rPr>
                <w:iCs/>
                <w:sz w:val="21"/>
                <w:szCs w:val="22"/>
              </w:rPr>
              <w:t>and</w:t>
            </w:r>
            <w:r w:rsidRPr="00CB624C">
              <w:rPr>
                <w:iCs/>
                <w:sz w:val="21"/>
                <w:szCs w:val="22"/>
              </w:rPr>
              <w:t xml:space="preserve"> National Safeguard Specialist</w:t>
            </w:r>
            <w:r w:rsidRPr="00CB624C" w:rsidDel="00344579">
              <w:rPr>
                <w:iCs/>
                <w:sz w:val="21"/>
                <w:szCs w:val="22"/>
              </w:rPr>
              <w:t xml:space="preserve"> </w:t>
            </w:r>
          </w:p>
        </w:tc>
      </w:tr>
      <w:tr w:rsidR="006E539D" w:rsidRPr="00CB624C" w14:paraId="07F6EE55" w14:textId="77777777" w:rsidTr="00CB624C">
        <w:tc>
          <w:tcPr>
            <w:cnfStyle w:val="001000000000" w:firstRow="0" w:lastRow="0" w:firstColumn="1" w:lastColumn="0" w:oddVBand="0" w:evenVBand="0" w:oddHBand="0" w:evenHBand="0" w:firstRowFirstColumn="0" w:firstRowLastColumn="0" w:lastRowFirstColumn="0" w:lastRowLastColumn="0"/>
            <w:tcW w:w="4815" w:type="dxa"/>
          </w:tcPr>
          <w:p w14:paraId="3442046D" w14:textId="38F7E7DD" w:rsidR="006E539D" w:rsidRPr="00CB624C" w:rsidRDefault="006E539D" w:rsidP="006E539D">
            <w:pPr>
              <w:rPr>
                <w:sz w:val="21"/>
                <w:szCs w:val="22"/>
              </w:rPr>
            </w:pPr>
            <w:r w:rsidRPr="00CB624C">
              <w:rPr>
                <w:sz w:val="21"/>
                <w:szCs w:val="22"/>
              </w:rPr>
              <w:t>Annex IV</w:t>
            </w:r>
            <w:r w:rsidR="00B96FAC" w:rsidRPr="00CB624C">
              <w:rPr>
                <w:sz w:val="21"/>
                <w:szCs w:val="22"/>
              </w:rPr>
              <w:t xml:space="preserve">: </w:t>
            </w:r>
            <w:r w:rsidR="00344579" w:rsidRPr="00CB624C">
              <w:rPr>
                <w:sz w:val="21"/>
                <w:szCs w:val="22"/>
              </w:rPr>
              <w:t>Template for preparation of the SOI</w:t>
            </w:r>
            <w:r w:rsidR="00344579" w:rsidRPr="00CB624C" w:rsidDel="00344579">
              <w:rPr>
                <w:sz w:val="21"/>
                <w:szCs w:val="22"/>
              </w:rPr>
              <w:t xml:space="preserve"> </w:t>
            </w:r>
          </w:p>
        </w:tc>
        <w:tc>
          <w:tcPr>
            <w:tcW w:w="4195" w:type="dxa"/>
          </w:tcPr>
          <w:p w14:paraId="63B092A7" w14:textId="6E881E49" w:rsidR="006E539D" w:rsidRPr="00CB624C" w:rsidRDefault="00344579" w:rsidP="00B96FAC">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iCs/>
                <w:sz w:val="21"/>
                <w:szCs w:val="22"/>
              </w:rPr>
              <w:t xml:space="preserve">REDD+ Safeguards TWC </w:t>
            </w:r>
            <w:r w:rsidR="00E607E0" w:rsidRPr="00CB624C">
              <w:rPr>
                <w:iCs/>
                <w:sz w:val="21"/>
                <w:szCs w:val="22"/>
              </w:rPr>
              <w:t xml:space="preserve">and </w:t>
            </w:r>
            <w:r w:rsidRPr="00CB624C">
              <w:rPr>
                <w:iCs/>
                <w:sz w:val="21"/>
                <w:szCs w:val="22"/>
              </w:rPr>
              <w:t>National Safeguard Specialist</w:t>
            </w:r>
            <w:r w:rsidRPr="00CB624C" w:rsidDel="00344579">
              <w:rPr>
                <w:sz w:val="21"/>
                <w:szCs w:val="22"/>
              </w:rPr>
              <w:t xml:space="preserve"> </w:t>
            </w:r>
          </w:p>
        </w:tc>
      </w:tr>
      <w:tr w:rsidR="000D0153" w:rsidRPr="00CB624C" w14:paraId="693A9FAA" w14:textId="77777777" w:rsidTr="000D0153">
        <w:tc>
          <w:tcPr>
            <w:cnfStyle w:val="001000000000" w:firstRow="0" w:lastRow="0" w:firstColumn="1" w:lastColumn="0" w:oddVBand="0" w:evenVBand="0" w:oddHBand="0" w:evenHBand="0" w:firstRowFirstColumn="0" w:firstRowLastColumn="0" w:lastRowFirstColumn="0" w:lastRowLastColumn="0"/>
            <w:tcW w:w="4815" w:type="dxa"/>
          </w:tcPr>
          <w:p w14:paraId="63214E14" w14:textId="03CBF04D" w:rsidR="000D0153" w:rsidRPr="00CB624C" w:rsidRDefault="000D0153" w:rsidP="006E539D">
            <w:pPr>
              <w:rPr>
                <w:sz w:val="21"/>
                <w:szCs w:val="22"/>
              </w:rPr>
            </w:pPr>
            <w:r w:rsidRPr="00CB624C">
              <w:rPr>
                <w:sz w:val="21"/>
                <w:szCs w:val="22"/>
              </w:rPr>
              <w:t xml:space="preserve">Annex V: Hard Copy Budgetary template </w:t>
            </w:r>
          </w:p>
        </w:tc>
        <w:tc>
          <w:tcPr>
            <w:tcW w:w="4195" w:type="dxa"/>
          </w:tcPr>
          <w:p w14:paraId="0FBD38D9" w14:textId="1095F24F" w:rsidR="000D0153" w:rsidRPr="00CB624C" w:rsidRDefault="000D0153" w:rsidP="00B96FAC">
            <w:pPr>
              <w:cnfStyle w:val="000000000000" w:firstRow="0" w:lastRow="0" w:firstColumn="0" w:lastColumn="0" w:oddVBand="0" w:evenVBand="0" w:oddHBand="0" w:evenHBand="0" w:firstRowFirstColumn="0" w:firstRowLastColumn="0" w:lastRowFirstColumn="0" w:lastRowLastColumn="0"/>
              <w:rPr>
                <w:sz w:val="21"/>
                <w:szCs w:val="22"/>
              </w:rPr>
            </w:pPr>
            <w:r w:rsidRPr="00CB624C">
              <w:rPr>
                <w:iCs/>
                <w:sz w:val="21"/>
                <w:szCs w:val="22"/>
              </w:rPr>
              <w:t>National Safeguard Specialist</w:t>
            </w:r>
          </w:p>
        </w:tc>
      </w:tr>
      <w:tr w:rsidR="00E607E0" w:rsidRPr="00CB624C" w14:paraId="556F2775" w14:textId="77777777" w:rsidTr="000D0153">
        <w:tc>
          <w:tcPr>
            <w:cnfStyle w:val="001000000000" w:firstRow="0" w:lastRow="0" w:firstColumn="1" w:lastColumn="0" w:oddVBand="0" w:evenVBand="0" w:oddHBand="0" w:evenHBand="0" w:firstRowFirstColumn="0" w:firstRowLastColumn="0" w:lastRowFirstColumn="0" w:lastRowLastColumn="0"/>
            <w:tcW w:w="4815" w:type="dxa"/>
          </w:tcPr>
          <w:p w14:paraId="28B55AB2" w14:textId="5DD3D8AA" w:rsidR="00E607E0" w:rsidRPr="00CB624C" w:rsidRDefault="00E607E0" w:rsidP="00E607E0">
            <w:pPr>
              <w:rPr>
                <w:sz w:val="21"/>
                <w:szCs w:val="22"/>
              </w:rPr>
            </w:pPr>
            <w:r w:rsidRPr="00CB624C">
              <w:rPr>
                <w:sz w:val="21"/>
                <w:szCs w:val="22"/>
              </w:rPr>
              <w:t>Annex VI: Hard Copy ‘SIS information management and reporting cycle workplan’ template</w:t>
            </w:r>
          </w:p>
        </w:tc>
        <w:tc>
          <w:tcPr>
            <w:tcW w:w="4195" w:type="dxa"/>
          </w:tcPr>
          <w:p w14:paraId="50653355" w14:textId="465C3D47" w:rsidR="00E607E0" w:rsidRPr="00CB624C" w:rsidRDefault="00E607E0" w:rsidP="00E607E0">
            <w:pPr>
              <w:cnfStyle w:val="000000000000" w:firstRow="0" w:lastRow="0" w:firstColumn="0" w:lastColumn="0" w:oddVBand="0" w:evenVBand="0" w:oddHBand="0" w:evenHBand="0" w:firstRowFirstColumn="0" w:firstRowLastColumn="0" w:lastRowFirstColumn="0" w:lastRowLastColumn="0"/>
              <w:rPr>
                <w:iCs/>
                <w:sz w:val="21"/>
                <w:szCs w:val="22"/>
              </w:rPr>
            </w:pPr>
            <w:r w:rsidRPr="00CB624C">
              <w:rPr>
                <w:iCs/>
                <w:sz w:val="21"/>
                <w:szCs w:val="22"/>
              </w:rPr>
              <w:t>National Safeguard Specialist</w:t>
            </w:r>
          </w:p>
        </w:tc>
      </w:tr>
    </w:tbl>
    <w:p w14:paraId="63EE5CD4" w14:textId="77777777" w:rsidR="00D3180E" w:rsidRPr="00D713EB" w:rsidRDefault="00D3180E" w:rsidP="00F403CD">
      <w:pPr>
        <w:pStyle w:val="Heading2"/>
        <w:sectPr w:rsidR="00D3180E" w:rsidRPr="00D713EB" w:rsidSect="007F1A14">
          <w:pgSz w:w="11900" w:h="16840"/>
          <w:pgMar w:top="1440" w:right="1440" w:bottom="1440" w:left="1440" w:header="720" w:footer="720" w:gutter="0"/>
          <w:cols w:space="720"/>
          <w:docGrid w:linePitch="360"/>
        </w:sectPr>
      </w:pPr>
    </w:p>
    <w:p w14:paraId="34D82878" w14:textId="726508C9" w:rsidR="00A25E93" w:rsidRPr="00D713EB" w:rsidRDefault="00A25E93" w:rsidP="00A25E93">
      <w:pPr>
        <w:pStyle w:val="Heading1"/>
      </w:pPr>
      <w:bookmarkStart w:id="1" w:name="_Toc59493612"/>
      <w:r w:rsidRPr="00D713EB">
        <w:t>Section I: Context</w:t>
      </w:r>
      <w:bookmarkEnd w:id="1"/>
      <w:r w:rsidRPr="00D713EB">
        <w:t xml:space="preserve"> </w:t>
      </w:r>
    </w:p>
    <w:p w14:paraId="70852727" w14:textId="1F61B393" w:rsidR="00A25E93" w:rsidRPr="00D713EB" w:rsidRDefault="00A25E93" w:rsidP="00F403CD">
      <w:pPr>
        <w:pStyle w:val="Heading2"/>
      </w:pPr>
    </w:p>
    <w:p w14:paraId="126E610E" w14:textId="76FEC4F6" w:rsidR="004A00DF" w:rsidRPr="00D713EB" w:rsidRDefault="004A00DF" w:rsidP="004A00DF">
      <w:r w:rsidRPr="00D713EB">
        <w:t xml:space="preserve">This section provides a brief overview of the </w:t>
      </w:r>
      <w:r w:rsidR="002E01A1" w:rsidRPr="00D713EB">
        <w:t xml:space="preserve">main design elements of </w:t>
      </w:r>
      <w:r w:rsidR="00B505DD" w:rsidRPr="00D713EB">
        <w:t xml:space="preserve">the </w:t>
      </w:r>
      <w:proofErr w:type="spellStart"/>
      <w:r w:rsidR="00B505DD" w:rsidRPr="00D713EB">
        <w:t>Go</w:t>
      </w:r>
      <w:r w:rsidR="002E01A1" w:rsidRPr="00D713EB">
        <w:t>PNG’s</w:t>
      </w:r>
      <w:proofErr w:type="spellEnd"/>
      <w:r w:rsidR="002E01A1" w:rsidRPr="00D713EB">
        <w:t xml:space="preserve"> SIS</w:t>
      </w:r>
      <w:r w:rsidRPr="00D713EB">
        <w:t>, which inform</w:t>
      </w:r>
      <w:r w:rsidR="00B505DD" w:rsidRPr="00D713EB">
        <w:t>s</w:t>
      </w:r>
      <w:r w:rsidRPr="00D713EB">
        <w:t xml:space="preserve"> the use of th</w:t>
      </w:r>
      <w:r w:rsidR="00AE0213">
        <w:t>is</w:t>
      </w:r>
      <w:r w:rsidRPr="00D713EB">
        <w:t xml:space="preserve"> SOPs</w:t>
      </w:r>
      <w:r w:rsidR="00CB6FBC">
        <w:t xml:space="preserve"> towards managing and reporting information on how all Cancun Safeguards have been addressed and respected, including for the preparation of subsequent SOIs and dissemination of information with national and international stakeholders</w:t>
      </w:r>
      <w:r w:rsidRPr="00D713EB">
        <w:t xml:space="preserve">. For </w:t>
      </w:r>
      <w:r w:rsidR="00CB6FBC">
        <w:t>more</w:t>
      </w:r>
      <w:r w:rsidR="00CB6FBC" w:rsidRPr="00D713EB">
        <w:t xml:space="preserve"> </w:t>
      </w:r>
      <w:r w:rsidRPr="00D713EB">
        <w:t>details</w:t>
      </w:r>
      <w:r w:rsidR="00CB6FBC">
        <w:t xml:space="preserve"> on the SIS </w:t>
      </w:r>
      <w:r w:rsidR="00B5063B">
        <w:t>set-up</w:t>
      </w:r>
      <w:r w:rsidRPr="00D713EB">
        <w:t xml:space="preserve">, please refer to </w:t>
      </w:r>
      <w:r w:rsidR="00D713EB">
        <w:t>document</w:t>
      </w:r>
      <w:r w:rsidRPr="00D713EB">
        <w:t xml:space="preserve"> titled “</w:t>
      </w:r>
      <w:r w:rsidRPr="00D713EB">
        <w:rPr>
          <w:rFonts w:eastAsiaTheme="minorEastAsia" w:cstheme="minorBidi"/>
        </w:rPr>
        <w:t>Safeguard Information System Framework Document for PNG</w:t>
      </w:r>
      <w:r w:rsidRPr="00D713EB">
        <w:t>”.</w:t>
      </w:r>
    </w:p>
    <w:p w14:paraId="0232C434" w14:textId="2F8E1AB9" w:rsidR="004A00DF" w:rsidRPr="00D713EB" w:rsidRDefault="004A00DF" w:rsidP="004A00DF"/>
    <w:p w14:paraId="7078E9BC" w14:textId="12DA68A8" w:rsidR="0080268D" w:rsidRDefault="0080268D" w:rsidP="0080268D"/>
    <w:p w14:paraId="1A7EB4E0" w14:textId="57C192DA" w:rsidR="0080268D" w:rsidRPr="00D713EB" w:rsidRDefault="0080268D" w:rsidP="0080268D">
      <w:pPr>
        <w:pStyle w:val="Heading2"/>
      </w:pPr>
      <w:bookmarkStart w:id="2" w:name="_Toc59493613"/>
      <w:r w:rsidRPr="00D713EB">
        <w:t>What are the UNFCCC REDD+ safeguards</w:t>
      </w:r>
      <w:r w:rsidRPr="00D713EB">
        <w:rPr>
          <w:rStyle w:val="FootnoteReference"/>
        </w:rPr>
        <w:footnoteReference w:id="3"/>
      </w:r>
      <w:r w:rsidR="00FC3B25">
        <w:t xml:space="preserve"> and what to report</w:t>
      </w:r>
      <w:r w:rsidRPr="00D713EB">
        <w:t>?</w:t>
      </w:r>
      <w:bookmarkEnd w:id="2"/>
    </w:p>
    <w:p w14:paraId="09EDC0D5" w14:textId="77777777" w:rsidR="0080268D" w:rsidRPr="00D713EB" w:rsidRDefault="0080268D" w:rsidP="0080268D"/>
    <w:p w14:paraId="010B5B7D" w14:textId="0F7696B2" w:rsidR="0080268D" w:rsidRPr="00D713EB" w:rsidRDefault="0080268D" w:rsidP="0080268D">
      <w:r w:rsidRPr="00D713EB">
        <w:t xml:space="preserve">Parties to the UNFCCC agreed to a set of seven safeguards </w:t>
      </w:r>
      <w:r w:rsidR="00E1685B">
        <w:t>that</w:t>
      </w:r>
      <w:r w:rsidR="00C550AD">
        <w:t xml:space="preserve"> encompass </w:t>
      </w:r>
      <w:r w:rsidRPr="00D713EB">
        <w:t xml:space="preserve">broad </w:t>
      </w:r>
      <w:r w:rsidR="00C550AD">
        <w:t>social</w:t>
      </w:r>
      <w:r w:rsidR="00E1685B">
        <w:t xml:space="preserve">, environmental and governance </w:t>
      </w:r>
      <w:r w:rsidRPr="00D713EB">
        <w:t>principles</w:t>
      </w:r>
      <w:r w:rsidR="00E1685B">
        <w:t>, which</w:t>
      </w:r>
      <w:r w:rsidRPr="00D713EB">
        <w:t xml:space="preserve"> are expected to be applied in accordance with national context and circumstances when undertaking REDD+ activities. The</w:t>
      </w:r>
      <w:r w:rsidRPr="00D713EB">
        <w:rPr>
          <w:rFonts w:ascii="Calibri" w:hAnsi="Calibri" w:cs="Calibri"/>
          <w:color w:val="000000"/>
          <w:szCs w:val="22"/>
        </w:rPr>
        <w:t xml:space="preserve"> </w:t>
      </w:r>
      <w:r w:rsidRPr="00D713EB">
        <w:t xml:space="preserve">REDD+ activities (and actions) are articulated in the </w:t>
      </w:r>
      <w:proofErr w:type="spellStart"/>
      <w:r w:rsidRPr="00D713EB">
        <w:t>GoPNG’s</w:t>
      </w:r>
      <w:proofErr w:type="spellEnd"/>
      <w:r w:rsidRPr="00D713EB">
        <w:t xml:space="preserve"> National REDD+ Strategy</w:t>
      </w:r>
      <w:r w:rsidRPr="00D713EB">
        <w:rPr>
          <w:rStyle w:val="FootnoteReference"/>
        </w:rPr>
        <w:footnoteReference w:id="4"/>
      </w:r>
      <w:r w:rsidRPr="00D713EB">
        <w:t>.</w:t>
      </w:r>
    </w:p>
    <w:p w14:paraId="2BC16F0D" w14:textId="77777777" w:rsidR="0080268D" w:rsidRPr="00D713EB" w:rsidRDefault="0080268D" w:rsidP="0080268D"/>
    <w:p w14:paraId="36CE18BF" w14:textId="4EE41DF0" w:rsidR="0080268D" w:rsidRPr="00D713EB" w:rsidRDefault="002D4C8B" w:rsidP="00CB624C">
      <w:r>
        <w:t>T</w:t>
      </w:r>
      <w:r w:rsidR="0080268D" w:rsidRPr="00D713EB">
        <w:t xml:space="preserve">he </w:t>
      </w:r>
      <w:r w:rsidR="0080268D" w:rsidRPr="00D713EB">
        <w:rPr>
          <w:rFonts w:cstheme="minorHAnsi"/>
          <w:iCs/>
          <w:szCs w:val="22"/>
        </w:rPr>
        <w:t>GoPNG</w:t>
      </w:r>
      <w:r>
        <w:rPr>
          <w:rFonts w:cstheme="minorHAnsi"/>
          <w:iCs/>
          <w:szCs w:val="22"/>
        </w:rPr>
        <w:t xml:space="preserve"> has adopted a</w:t>
      </w:r>
      <w:r w:rsidR="0080268D" w:rsidRPr="00D713EB">
        <w:t xml:space="preserve"> description of the UNFCCC REDD+ Safeguards to respond to UNFCCC guidance and requirements</w:t>
      </w:r>
      <w:r w:rsidR="00FC3B25">
        <w:t xml:space="preserve"> to inform and report on said safeguards</w:t>
      </w:r>
      <w:r w:rsidR="0080268D" w:rsidRPr="00D713EB">
        <w:t>. The description of each Cancun safeguard to PNG’s context</w:t>
      </w:r>
      <w:r w:rsidR="00FC3B25">
        <w:t>, presented in Annex I,</w:t>
      </w:r>
      <w:r w:rsidR="0080268D" w:rsidRPr="00D713EB">
        <w:t xml:space="preserve"> serves to specify how the objectives encompassed in the UNFCCC REDD+ safeguards translate into concrete principles and objectives that are to be followed in the context of the implementation of REDD+ activities in PNG, and which are anchored in the PNG’s Policies Laws and Regulations (PLRs).</w:t>
      </w:r>
    </w:p>
    <w:p w14:paraId="361A3D13" w14:textId="77777777" w:rsidR="0080268D" w:rsidRPr="00D713EB" w:rsidRDefault="0080268D" w:rsidP="0080268D">
      <w:pPr>
        <w:rPr>
          <w:rFonts w:cstheme="minorHAnsi"/>
          <w:iCs/>
        </w:rPr>
      </w:pPr>
    </w:p>
    <w:p w14:paraId="27A5C51D" w14:textId="1704D68C" w:rsidR="0080268D" w:rsidRPr="00D713EB" w:rsidRDefault="0080268D" w:rsidP="0080268D">
      <w:pPr>
        <w:rPr>
          <w:rFonts w:cstheme="minorHAnsi"/>
          <w:iCs/>
          <w:szCs w:val="22"/>
        </w:rPr>
      </w:pPr>
      <w:r w:rsidRPr="00D713EB">
        <w:rPr>
          <w:rFonts w:cstheme="minorHAnsi"/>
          <w:iCs/>
          <w:szCs w:val="22"/>
        </w:rPr>
        <w:t xml:space="preserve">The GoPNG will </w:t>
      </w:r>
      <w:r w:rsidR="00F8759F">
        <w:rPr>
          <w:rFonts w:cstheme="minorHAnsi"/>
          <w:iCs/>
          <w:szCs w:val="22"/>
        </w:rPr>
        <w:t xml:space="preserve">therefore </w:t>
      </w:r>
      <w:r w:rsidRPr="00D713EB">
        <w:rPr>
          <w:rFonts w:cstheme="minorHAnsi"/>
          <w:iCs/>
          <w:szCs w:val="22"/>
        </w:rPr>
        <w:t xml:space="preserve">provide information on </w:t>
      </w:r>
      <w:r w:rsidRPr="00D713EB">
        <w:rPr>
          <w:rFonts w:cstheme="minorHAnsi"/>
          <w:i/>
          <w:iCs/>
          <w:szCs w:val="22"/>
        </w:rPr>
        <w:t>how</w:t>
      </w:r>
      <w:r w:rsidRPr="00D713EB">
        <w:rPr>
          <w:rFonts w:cstheme="minorHAnsi"/>
          <w:b/>
          <w:iCs/>
          <w:szCs w:val="22"/>
        </w:rPr>
        <w:t xml:space="preserve"> </w:t>
      </w:r>
      <w:r w:rsidRPr="00D713EB">
        <w:rPr>
          <w:rFonts w:cstheme="minorHAnsi"/>
          <w:iCs/>
          <w:szCs w:val="22"/>
        </w:rPr>
        <w:t xml:space="preserve">the seven UNFCCC REDD+ safeguards have been </w:t>
      </w:r>
      <w:r w:rsidR="00802B40">
        <w:rPr>
          <w:rFonts w:cstheme="minorHAnsi"/>
          <w:iCs/>
          <w:szCs w:val="22"/>
        </w:rPr>
        <w:t>‘</w:t>
      </w:r>
      <w:r w:rsidRPr="00D713EB">
        <w:rPr>
          <w:rFonts w:cstheme="minorHAnsi"/>
          <w:iCs/>
          <w:szCs w:val="22"/>
        </w:rPr>
        <w:t>addressed</w:t>
      </w:r>
      <w:r w:rsidR="00802B40">
        <w:rPr>
          <w:rFonts w:cstheme="minorHAnsi"/>
          <w:iCs/>
          <w:szCs w:val="22"/>
        </w:rPr>
        <w:t>’</w:t>
      </w:r>
      <w:r w:rsidRPr="00D713EB">
        <w:rPr>
          <w:rFonts w:cstheme="minorHAnsi"/>
          <w:iCs/>
          <w:szCs w:val="22"/>
        </w:rPr>
        <w:t xml:space="preserve"> and </w:t>
      </w:r>
      <w:r w:rsidR="00802B40">
        <w:rPr>
          <w:rFonts w:cstheme="minorHAnsi"/>
          <w:iCs/>
          <w:szCs w:val="22"/>
        </w:rPr>
        <w:t>‘</w:t>
      </w:r>
      <w:r w:rsidRPr="00D713EB">
        <w:rPr>
          <w:rFonts w:cstheme="minorHAnsi"/>
          <w:iCs/>
          <w:szCs w:val="22"/>
        </w:rPr>
        <w:t>respected</w:t>
      </w:r>
      <w:r w:rsidR="00802B40">
        <w:rPr>
          <w:rFonts w:cstheme="minorHAnsi"/>
          <w:iCs/>
          <w:szCs w:val="22"/>
        </w:rPr>
        <w:t>’</w:t>
      </w:r>
      <w:r w:rsidRPr="00D713EB">
        <w:rPr>
          <w:rFonts w:cstheme="minorHAnsi"/>
          <w:iCs/>
          <w:szCs w:val="22"/>
        </w:rPr>
        <w:t xml:space="preserve"> throughout the implementation of the REDD+ activities</w:t>
      </w:r>
      <w:r w:rsidRPr="00D713EB">
        <w:rPr>
          <w:rFonts w:cstheme="minorHAnsi"/>
          <w:iCs/>
          <w:szCs w:val="22"/>
          <w:vertAlign w:val="superscript"/>
        </w:rPr>
        <w:footnoteReference w:id="5"/>
      </w:r>
      <w:r w:rsidRPr="00D713EB">
        <w:rPr>
          <w:rFonts w:cstheme="minorHAnsi"/>
          <w:iCs/>
          <w:szCs w:val="22"/>
        </w:rPr>
        <w:t xml:space="preserve">, in accordance with the </w:t>
      </w:r>
      <w:proofErr w:type="spellStart"/>
      <w:r w:rsidRPr="00D713EB">
        <w:rPr>
          <w:rFonts w:cstheme="minorHAnsi"/>
          <w:iCs/>
          <w:szCs w:val="22"/>
        </w:rPr>
        <w:t>GoPNG’s</w:t>
      </w:r>
      <w:proofErr w:type="spellEnd"/>
      <w:r w:rsidRPr="00D713EB">
        <w:rPr>
          <w:rFonts w:cstheme="minorHAnsi"/>
          <w:iCs/>
          <w:szCs w:val="22"/>
        </w:rPr>
        <w:t xml:space="preserve"> description of the Cancun safeguards</w:t>
      </w:r>
      <w:r w:rsidR="00011D41">
        <w:rPr>
          <w:rFonts w:cstheme="minorHAnsi"/>
          <w:iCs/>
          <w:szCs w:val="22"/>
        </w:rPr>
        <w:t xml:space="preserve"> and the set of indicators established for this purpose</w:t>
      </w:r>
      <w:r w:rsidRPr="00D713EB">
        <w:rPr>
          <w:rFonts w:cstheme="minorHAnsi"/>
          <w:iCs/>
          <w:szCs w:val="22"/>
        </w:rPr>
        <w:t>.</w:t>
      </w:r>
      <w:r w:rsidR="00011D41">
        <w:rPr>
          <w:rFonts w:cstheme="minorHAnsi"/>
          <w:iCs/>
          <w:szCs w:val="22"/>
        </w:rPr>
        <w:t xml:space="preserve"> </w:t>
      </w:r>
      <w:r w:rsidRPr="00D713EB">
        <w:rPr>
          <w:rFonts w:cstheme="minorHAnsi"/>
          <w:iCs/>
          <w:szCs w:val="22"/>
        </w:rPr>
        <w:t xml:space="preserve"> </w:t>
      </w:r>
    </w:p>
    <w:p w14:paraId="1D87C0C1" w14:textId="77777777" w:rsidR="0080268D" w:rsidRPr="00D713EB" w:rsidRDefault="0080268D" w:rsidP="0080268D">
      <w:pPr>
        <w:rPr>
          <w:rFonts w:cstheme="minorHAnsi"/>
          <w:iCs/>
        </w:rPr>
      </w:pPr>
    </w:p>
    <w:p w14:paraId="25975088" w14:textId="079D735A" w:rsidR="0080268D" w:rsidRPr="0080268D" w:rsidRDefault="0080268D" w:rsidP="00CB624C">
      <w:r w:rsidRPr="00D713EB">
        <w:rPr>
          <w:rFonts w:cstheme="minorHAnsi"/>
          <w:iCs/>
        </w:rPr>
        <w:t>Section II below presents</w:t>
      </w:r>
      <w:r w:rsidR="00011D41">
        <w:rPr>
          <w:rFonts w:cstheme="minorHAnsi"/>
          <w:iCs/>
        </w:rPr>
        <w:t xml:space="preserve"> in more detail the process to </w:t>
      </w:r>
      <w:r w:rsidR="00326139">
        <w:rPr>
          <w:rFonts w:cstheme="minorHAnsi"/>
          <w:iCs/>
        </w:rPr>
        <w:t xml:space="preserve">collect information </w:t>
      </w:r>
      <w:r w:rsidRPr="00D713EB">
        <w:rPr>
          <w:rFonts w:cstheme="minorHAnsi"/>
          <w:iCs/>
        </w:rPr>
        <w:t>in relation to said indicators.</w:t>
      </w:r>
    </w:p>
    <w:p w14:paraId="29A8D01F" w14:textId="77777777" w:rsidR="0015128B" w:rsidRPr="00D713EB" w:rsidRDefault="0015128B" w:rsidP="0015128B">
      <w:pPr>
        <w:widowControl w:val="0"/>
        <w:autoSpaceDE w:val="0"/>
        <w:autoSpaceDN w:val="0"/>
        <w:adjustRightInd w:val="0"/>
        <w:rPr>
          <w:rFonts w:cstheme="minorHAnsi"/>
          <w:iCs/>
        </w:rPr>
      </w:pPr>
    </w:p>
    <w:p w14:paraId="751C6D20" w14:textId="77777777" w:rsidR="00C550AD" w:rsidRDefault="00C550AD" w:rsidP="00C550AD">
      <w:pPr>
        <w:pStyle w:val="Heading2"/>
      </w:pPr>
    </w:p>
    <w:p w14:paraId="1CEDA1A4" w14:textId="2B774F3F" w:rsidR="00C550AD" w:rsidRDefault="00C550AD" w:rsidP="00CB624C">
      <w:pPr>
        <w:pStyle w:val="Heading2"/>
      </w:pPr>
      <w:bookmarkStart w:id="3" w:name="_Toc59493614"/>
      <w:r>
        <w:t>A</w:t>
      </w:r>
      <w:r w:rsidRPr="00D713EB">
        <w:t xml:space="preserve"> Safeguard Information System</w:t>
      </w:r>
      <w:r>
        <w:t xml:space="preserve"> for REDD+ in PNG</w:t>
      </w:r>
      <w:bookmarkEnd w:id="3"/>
    </w:p>
    <w:p w14:paraId="54AC5740" w14:textId="77777777" w:rsidR="00C550AD" w:rsidRDefault="00C550AD" w:rsidP="009A74DC">
      <w:pPr>
        <w:rPr>
          <w:rFonts w:cstheme="minorHAnsi"/>
          <w:iCs/>
          <w:szCs w:val="22"/>
        </w:rPr>
      </w:pPr>
    </w:p>
    <w:p w14:paraId="66C4A969" w14:textId="69A2C803" w:rsidR="00D54BEE" w:rsidRDefault="001428BE" w:rsidP="009A74DC">
      <w:pPr>
        <w:rPr>
          <w:rFonts w:cstheme="minorHAnsi"/>
          <w:iCs/>
        </w:rPr>
      </w:pPr>
      <w:r>
        <w:rPr>
          <w:rFonts w:cstheme="minorHAnsi"/>
          <w:iCs/>
          <w:szCs w:val="22"/>
        </w:rPr>
        <w:t xml:space="preserve">One of the key requirements expected from countries that have chosen to participate in REDD+ implementation is </w:t>
      </w:r>
      <w:r w:rsidR="00B5063B">
        <w:rPr>
          <w:rFonts w:cstheme="minorHAnsi"/>
          <w:iCs/>
          <w:szCs w:val="22"/>
        </w:rPr>
        <w:t xml:space="preserve">having in place a </w:t>
      </w:r>
      <w:r w:rsidR="007069E9" w:rsidRPr="007069E9">
        <w:rPr>
          <w:rFonts w:cstheme="minorHAnsi"/>
          <w:i/>
          <w:iCs/>
          <w:szCs w:val="22"/>
        </w:rPr>
        <w:t>transparent, consistent, accessible and country-driven</w:t>
      </w:r>
      <w:r w:rsidR="007069E9">
        <w:rPr>
          <w:rFonts w:cstheme="minorHAnsi"/>
          <w:i/>
          <w:iCs/>
          <w:szCs w:val="22"/>
        </w:rPr>
        <w:t xml:space="preserve"> </w:t>
      </w:r>
      <w:r w:rsidR="00B5063B">
        <w:rPr>
          <w:rFonts w:cstheme="minorHAnsi"/>
          <w:iCs/>
          <w:szCs w:val="22"/>
        </w:rPr>
        <w:t xml:space="preserve">system to provide </w:t>
      </w:r>
      <w:r w:rsidR="007069E9">
        <w:rPr>
          <w:rFonts w:cstheme="minorHAnsi"/>
          <w:iCs/>
          <w:szCs w:val="22"/>
        </w:rPr>
        <w:t>information on how all Cancun Safeguards have been addressed and respected</w:t>
      </w:r>
      <w:r w:rsidR="00037C50">
        <w:rPr>
          <w:rFonts w:cstheme="minorHAnsi"/>
          <w:iCs/>
          <w:szCs w:val="22"/>
        </w:rPr>
        <w:t xml:space="preserve">, as well as to prepare </w:t>
      </w:r>
      <w:r w:rsidR="00A0207C">
        <w:rPr>
          <w:rFonts w:cstheme="minorHAnsi"/>
          <w:iCs/>
          <w:szCs w:val="22"/>
        </w:rPr>
        <w:t xml:space="preserve">periodically summaries of information </w:t>
      </w:r>
      <w:r w:rsidR="003C04D6">
        <w:rPr>
          <w:rFonts w:cstheme="minorHAnsi"/>
          <w:iCs/>
          <w:szCs w:val="22"/>
        </w:rPr>
        <w:t xml:space="preserve">(SOIs) </w:t>
      </w:r>
      <w:r w:rsidR="00A0207C">
        <w:rPr>
          <w:rFonts w:cstheme="minorHAnsi"/>
          <w:iCs/>
          <w:szCs w:val="22"/>
        </w:rPr>
        <w:t>on said safeguards, in the context of</w:t>
      </w:r>
      <w:r w:rsidR="003C04D6">
        <w:rPr>
          <w:rFonts w:cstheme="minorHAnsi"/>
          <w:iCs/>
          <w:szCs w:val="22"/>
        </w:rPr>
        <w:t xml:space="preserve"> REDD+ results-based payments</w:t>
      </w:r>
      <w:r>
        <w:rPr>
          <w:rFonts w:cstheme="minorHAnsi"/>
          <w:iCs/>
          <w:szCs w:val="22"/>
        </w:rPr>
        <w:t xml:space="preserve">. </w:t>
      </w:r>
      <w:r w:rsidR="002E01A1" w:rsidRPr="00D713EB">
        <w:rPr>
          <w:rFonts w:cstheme="minorHAnsi"/>
          <w:iCs/>
          <w:szCs w:val="22"/>
        </w:rPr>
        <w:t>The</w:t>
      </w:r>
      <w:r>
        <w:rPr>
          <w:rFonts w:cstheme="minorHAnsi"/>
          <w:iCs/>
          <w:szCs w:val="22"/>
        </w:rPr>
        <w:t>refore, the</w:t>
      </w:r>
      <w:r w:rsidR="002E01A1" w:rsidRPr="00D713EB">
        <w:rPr>
          <w:rFonts w:cstheme="minorHAnsi"/>
          <w:iCs/>
          <w:szCs w:val="22"/>
        </w:rPr>
        <w:t xml:space="preserve"> GoPNG </w:t>
      </w:r>
      <w:r w:rsidR="0015128B" w:rsidRPr="00D713EB">
        <w:t xml:space="preserve">has </w:t>
      </w:r>
      <w:r w:rsidR="00B943EA">
        <w:t xml:space="preserve">designed and </w:t>
      </w:r>
      <w:r w:rsidR="0015128B" w:rsidRPr="00D713EB">
        <w:t xml:space="preserve">put in place a SIS </w:t>
      </w:r>
      <w:r w:rsidR="00B505DD" w:rsidRPr="00D713EB">
        <w:rPr>
          <w:rFonts w:cstheme="minorHAnsi"/>
          <w:iCs/>
        </w:rPr>
        <w:t>to</w:t>
      </w:r>
      <w:r w:rsidR="00D54BEE">
        <w:rPr>
          <w:rFonts w:cstheme="minorHAnsi"/>
          <w:iCs/>
        </w:rPr>
        <w:t>:</w:t>
      </w:r>
    </w:p>
    <w:p w14:paraId="67BF0EBC" w14:textId="77777777" w:rsidR="00D54BEE" w:rsidRDefault="00D54BEE" w:rsidP="009A74DC">
      <w:pPr>
        <w:rPr>
          <w:rFonts w:cstheme="minorHAnsi"/>
          <w:iCs/>
        </w:rPr>
      </w:pPr>
    </w:p>
    <w:p w14:paraId="58E4B557" w14:textId="77777777" w:rsidR="00D54BEE" w:rsidRPr="00C37AD1" w:rsidRDefault="00D54BEE" w:rsidP="00D54BEE">
      <w:pPr>
        <w:pStyle w:val="ListParagraph"/>
        <w:numPr>
          <w:ilvl w:val="0"/>
          <w:numId w:val="30"/>
        </w:numPr>
        <w:rPr>
          <w:rFonts w:cstheme="minorHAnsi"/>
          <w:iCs/>
          <w:szCs w:val="22"/>
        </w:rPr>
      </w:pPr>
      <w:r w:rsidRPr="00C37AD1">
        <w:rPr>
          <w:rFonts w:cstheme="minorHAnsi"/>
          <w:iCs/>
          <w:szCs w:val="22"/>
        </w:rPr>
        <w:t>provide information that is accessible by all domestic stakeholders to demonstrate that the seven Cancun safeguards are being addressed and respected throughout REDD+ implementation</w:t>
      </w:r>
      <w:r>
        <w:rPr>
          <w:rFonts w:cstheme="minorHAnsi"/>
          <w:iCs/>
          <w:szCs w:val="22"/>
        </w:rPr>
        <w:t>; and</w:t>
      </w:r>
    </w:p>
    <w:p w14:paraId="590DAB69" w14:textId="2B69D71F" w:rsidR="00D54BEE" w:rsidRPr="00C37AD1" w:rsidRDefault="00D54BEE" w:rsidP="00D54BEE">
      <w:pPr>
        <w:pStyle w:val="ListParagraph"/>
        <w:numPr>
          <w:ilvl w:val="0"/>
          <w:numId w:val="30"/>
        </w:numPr>
        <w:rPr>
          <w:rFonts w:cstheme="minorHAnsi"/>
          <w:iCs/>
          <w:szCs w:val="22"/>
        </w:rPr>
      </w:pPr>
      <w:r>
        <w:rPr>
          <w:rFonts w:cstheme="minorHAnsi"/>
          <w:iCs/>
          <w:szCs w:val="22"/>
        </w:rPr>
        <w:t xml:space="preserve">to prepare </w:t>
      </w:r>
      <w:r w:rsidRPr="00C37AD1">
        <w:rPr>
          <w:rFonts w:cstheme="minorHAnsi"/>
          <w:iCs/>
          <w:szCs w:val="22"/>
        </w:rPr>
        <w:t>the most recent summary of information on how all the Cancun safeguards are being addressed and respected</w:t>
      </w:r>
      <w:r w:rsidRPr="001C0918">
        <w:rPr>
          <w:vertAlign w:val="superscript"/>
        </w:rPr>
        <w:footnoteReference w:id="6"/>
      </w:r>
      <w:r>
        <w:rPr>
          <w:rFonts w:cstheme="minorHAnsi"/>
          <w:iCs/>
          <w:szCs w:val="22"/>
        </w:rPr>
        <w:t xml:space="preserve">. </w:t>
      </w:r>
    </w:p>
    <w:p w14:paraId="08728A34" w14:textId="684A8234" w:rsidR="001E1250" w:rsidRDefault="001E1250" w:rsidP="009A74DC">
      <w:pPr>
        <w:rPr>
          <w:rFonts w:cstheme="minorHAnsi"/>
          <w:iCs/>
        </w:rPr>
      </w:pPr>
    </w:p>
    <w:p w14:paraId="6AB78AC9" w14:textId="1E542A85" w:rsidR="00B505DD" w:rsidRPr="00D713EB" w:rsidRDefault="00B505DD" w:rsidP="009A74DC"/>
    <w:p w14:paraId="1DF00091" w14:textId="218F0E3C" w:rsidR="00B505DD" w:rsidRPr="00D713EB" w:rsidRDefault="00B505DD" w:rsidP="009A74DC">
      <w:r w:rsidRPr="00D713EB">
        <w:t xml:space="preserve">The main functions and institutional arrangements </w:t>
      </w:r>
      <w:r w:rsidR="00D846A8">
        <w:t xml:space="preserve">that constitute </w:t>
      </w:r>
      <w:proofErr w:type="spellStart"/>
      <w:r w:rsidR="00D846A8">
        <w:t>GoPNG’s</w:t>
      </w:r>
      <w:proofErr w:type="spellEnd"/>
      <w:r w:rsidRPr="00D713EB">
        <w:t xml:space="preserve"> SIS are outlined in </w:t>
      </w:r>
      <w:r w:rsidR="00C126A9">
        <w:t>F</w:t>
      </w:r>
      <w:r w:rsidRPr="00D713EB">
        <w:t>igure 1. Figure 2 provides an overview of the SIS’s process for the execution of its functions</w:t>
      </w:r>
      <w:r w:rsidR="00671D48">
        <w:t xml:space="preserve"> and identifies relevant stakeholders with a role and/or responsibility in the operation of the SIS</w:t>
      </w:r>
      <w:r w:rsidRPr="00D713EB">
        <w:t xml:space="preserve">. </w:t>
      </w:r>
    </w:p>
    <w:p w14:paraId="3932CDB2" w14:textId="6D0A00D9" w:rsidR="00B505DD" w:rsidRPr="00D713EB" w:rsidRDefault="00B505DD" w:rsidP="009A74DC"/>
    <w:p w14:paraId="3B82D831" w14:textId="1532253E" w:rsidR="00B505DD" w:rsidRPr="00D713EB" w:rsidRDefault="00B505DD" w:rsidP="00B505DD">
      <w:pPr>
        <w:pStyle w:val="Caption"/>
        <w:rPr>
          <w:rFonts w:ascii="Calibri" w:hAnsi="Calibri" w:cs="Calibri"/>
          <w:i w:val="0"/>
          <w:iCs w:val="0"/>
          <w:sz w:val="16"/>
          <w:szCs w:val="16"/>
        </w:rPr>
      </w:pPr>
      <w:bookmarkStart w:id="4" w:name="_Toc45879923"/>
      <w:r w:rsidRPr="00D713EB">
        <w:t xml:space="preserve">Figure </w:t>
      </w:r>
      <w:r w:rsidRPr="00D713EB">
        <w:fldChar w:fldCharType="begin"/>
      </w:r>
      <w:r w:rsidRPr="00D713EB">
        <w:instrText xml:space="preserve"> SEQ Figure \* ARABIC </w:instrText>
      </w:r>
      <w:r w:rsidRPr="00D713EB">
        <w:fldChar w:fldCharType="separate"/>
      </w:r>
      <w:r w:rsidR="00A36915">
        <w:rPr>
          <w:noProof/>
        </w:rPr>
        <w:t>1</w:t>
      </w:r>
      <w:r w:rsidRPr="00D713EB">
        <w:fldChar w:fldCharType="end"/>
      </w:r>
      <w:r w:rsidRPr="00D713EB">
        <w:rPr>
          <w:rFonts w:ascii="Calibri" w:hAnsi="Calibri" w:cs="Calibri"/>
          <w:sz w:val="16"/>
          <w:szCs w:val="16"/>
        </w:rPr>
        <w:t xml:space="preserve">: Overview of the functions and institutional arrangements of </w:t>
      </w:r>
      <w:proofErr w:type="spellStart"/>
      <w:r w:rsidRPr="00D713EB">
        <w:rPr>
          <w:rFonts w:ascii="Calibri" w:hAnsi="Calibri" w:cs="Calibri"/>
          <w:sz w:val="16"/>
          <w:szCs w:val="16"/>
        </w:rPr>
        <w:t>GoPNG’s</w:t>
      </w:r>
      <w:proofErr w:type="spellEnd"/>
      <w:r w:rsidRPr="00D713EB">
        <w:rPr>
          <w:rFonts w:ascii="Calibri" w:hAnsi="Calibri" w:cs="Calibri"/>
          <w:sz w:val="16"/>
          <w:szCs w:val="16"/>
        </w:rPr>
        <w:t xml:space="preserve"> SIS</w:t>
      </w:r>
      <w:bookmarkEnd w:id="4"/>
    </w:p>
    <w:p w14:paraId="25ACA4C5" w14:textId="77777777" w:rsidR="00B505DD" w:rsidRPr="00D713EB" w:rsidRDefault="00B505DD" w:rsidP="00B505DD">
      <w:pPr>
        <w:rPr>
          <w:rFonts w:ascii="Calibri" w:hAnsi="Calibri" w:cs="Calibri"/>
          <w:iCs/>
          <w:szCs w:val="22"/>
        </w:rPr>
      </w:pPr>
      <w:r w:rsidRPr="00D713EB">
        <w:rPr>
          <w:rFonts w:cstheme="minorHAnsi"/>
          <w:noProof/>
        </w:rPr>
        <w:drawing>
          <wp:inline distT="0" distB="0" distL="0" distR="0" wp14:anchorId="22E04EA0" wp14:editId="12351A9B">
            <wp:extent cx="4501662" cy="3141182"/>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5308B5-58CC-462B-8F41-F44C18F5FE0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29028" cy="3160278"/>
                    </a:xfrm>
                    <a:prstGeom prst="rect">
                      <a:avLst/>
                    </a:prstGeom>
                  </pic:spPr>
                </pic:pic>
              </a:graphicData>
            </a:graphic>
          </wp:inline>
        </w:drawing>
      </w:r>
    </w:p>
    <w:p w14:paraId="183ADFBF" w14:textId="0B31B0C7" w:rsidR="00537B3E" w:rsidRDefault="00537B3E" w:rsidP="00B505DD">
      <w:pPr>
        <w:rPr>
          <w:rFonts w:ascii="Calibri" w:hAnsi="Calibri" w:cs="Calibri"/>
          <w:i/>
          <w:iCs/>
          <w:sz w:val="16"/>
          <w:szCs w:val="16"/>
        </w:rPr>
      </w:pPr>
      <w:bookmarkStart w:id="5" w:name="_Toc45879924"/>
    </w:p>
    <w:p w14:paraId="0C57856F" w14:textId="77777777" w:rsidR="000633F5" w:rsidRPr="00D713EB" w:rsidRDefault="000633F5" w:rsidP="00B505DD">
      <w:pPr>
        <w:rPr>
          <w:rFonts w:ascii="Calibri" w:hAnsi="Calibri" w:cs="Calibri"/>
          <w:i/>
          <w:iCs/>
          <w:sz w:val="16"/>
          <w:szCs w:val="16"/>
        </w:rPr>
      </w:pPr>
    </w:p>
    <w:p w14:paraId="6B39F2A7" w14:textId="3B456104" w:rsidR="00B505DD" w:rsidRDefault="00B505DD" w:rsidP="00B505DD">
      <w:pPr>
        <w:rPr>
          <w:rFonts w:ascii="Calibri" w:hAnsi="Calibri" w:cs="Calibri"/>
          <w:i/>
          <w:iCs/>
          <w:sz w:val="16"/>
          <w:szCs w:val="16"/>
        </w:rPr>
      </w:pPr>
      <w:r w:rsidRPr="00D713EB">
        <w:rPr>
          <w:rFonts w:ascii="Calibri" w:hAnsi="Calibri" w:cs="Calibri"/>
          <w:i/>
          <w:iCs/>
          <w:sz w:val="16"/>
          <w:szCs w:val="16"/>
        </w:rPr>
        <w:t xml:space="preserve">Figure </w:t>
      </w:r>
      <w:r w:rsidRPr="00D713EB">
        <w:rPr>
          <w:rFonts w:ascii="Calibri" w:hAnsi="Calibri" w:cs="Calibri"/>
          <w:i/>
          <w:iCs/>
          <w:sz w:val="16"/>
          <w:szCs w:val="16"/>
        </w:rPr>
        <w:fldChar w:fldCharType="begin"/>
      </w:r>
      <w:r w:rsidRPr="00D713EB">
        <w:rPr>
          <w:rFonts w:ascii="Calibri" w:hAnsi="Calibri" w:cs="Calibri"/>
          <w:i/>
          <w:iCs/>
          <w:sz w:val="16"/>
          <w:szCs w:val="16"/>
        </w:rPr>
        <w:instrText xml:space="preserve"> SEQ Figure \* ARABIC </w:instrText>
      </w:r>
      <w:r w:rsidRPr="00D713EB">
        <w:rPr>
          <w:rFonts w:ascii="Calibri" w:hAnsi="Calibri" w:cs="Calibri"/>
          <w:i/>
          <w:iCs/>
          <w:sz w:val="16"/>
          <w:szCs w:val="16"/>
        </w:rPr>
        <w:fldChar w:fldCharType="separate"/>
      </w:r>
      <w:r w:rsidR="00A36915">
        <w:rPr>
          <w:rFonts w:ascii="Calibri" w:hAnsi="Calibri" w:cs="Calibri"/>
          <w:i/>
          <w:iCs/>
          <w:noProof/>
          <w:sz w:val="16"/>
          <w:szCs w:val="16"/>
        </w:rPr>
        <w:t>2</w:t>
      </w:r>
      <w:r w:rsidRPr="00D713EB">
        <w:rPr>
          <w:rFonts w:ascii="Calibri" w:hAnsi="Calibri" w:cs="Calibri"/>
          <w:iCs/>
          <w:sz w:val="16"/>
          <w:szCs w:val="16"/>
        </w:rPr>
        <w:fldChar w:fldCharType="end"/>
      </w:r>
      <w:r w:rsidRPr="00D713EB">
        <w:rPr>
          <w:rFonts w:ascii="Calibri" w:hAnsi="Calibri" w:cs="Calibri"/>
          <w:i/>
          <w:iCs/>
          <w:sz w:val="16"/>
          <w:szCs w:val="16"/>
        </w:rPr>
        <w:t xml:space="preserve">: Overview of the </w:t>
      </w:r>
      <w:proofErr w:type="spellStart"/>
      <w:r w:rsidRPr="00D713EB">
        <w:rPr>
          <w:rFonts w:ascii="Calibri" w:hAnsi="Calibri" w:cs="Calibri"/>
          <w:i/>
          <w:iCs/>
          <w:sz w:val="16"/>
          <w:szCs w:val="16"/>
        </w:rPr>
        <w:t>GoPNG’s</w:t>
      </w:r>
      <w:proofErr w:type="spellEnd"/>
      <w:r w:rsidRPr="00D713EB">
        <w:rPr>
          <w:rFonts w:ascii="Calibri" w:hAnsi="Calibri" w:cs="Calibri"/>
          <w:i/>
          <w:iCs/>
          <w:sz w:val="16"/>
          <w:szCs w:val="16"/>
        </w:rPr>
        <w:t xml:space="preserve"> SIS process</w:t>
      </w:r>
      <w:bookmarkEnd w:id="5"/>
      <w:r w:rsidR="002337E3">
        <w:rPr>
          <w:rFonts w:ascii="Calibri" w:hAnsi="Calibri" w:cs="Calibri"/>
          <w:i/>
          <w:iCs/>
          <w:sz w:val="16"/>
          <w:szCs w:val="16"/>
        </w:rPr>
        <w:t xml:space="preserve"> and relevant stakeholders</w:t>
      </w:r>
    </w:p>
    <w:p w14:paraId="5A895A1D" w14:textId="745C8EB3" w:rsidR="00C950A8" w:rsidRDefault="00C950A8" w:rsidP="00B505DD">
      <w:pPr>
        <w:rPr>
          <w:rFonts w:ascii="Calibri" w:hAnsi="Calibri" w:cs="Calibri"/>
          <w:i/>
          <w:iCs/>
          <w:sz w:val="16"/>
          <w:szCs w:val="16"/>
        </w:rPr>
      </w:pPr>
    </w:p>
    <w:p w14:paraId="291EEFC0" w14:textId="5D413E5C" w:rsidR="00B505DD" w:rsidRPr="00D713EB" w:rsidRDefault="00C950A8" w:rsidP="00486385">
      <w:pPr>
        <w:rPr>
          <w:rFonts w:ascii="Calibri" w:hAnsi="Calibri" w:cs="Calibri"/>
          <w:iCs/>
          <w:szCs w:val="22"/>
        </w:rPr>
      </w:pPr>
      <w:r w:rsidRPr="00C950A8">
        <w:rPr>
          <w:rFonts w:ascii="Calibri" w:hAnsi="Calibri" w:cs="Calibri"/>
          <w:i/>
          <w:iCs/>
          <w:noProof/>
          <w:sz w:val="16"/>
          <w:szCs w:val="16"/>
        </w:rPr>
        <w:drawing>
          <wp:inline distT="0" distB="0" distL="0" distR="0" wp14:anchorId="5B07D59E" wp14:editId="11F1DDAC">
            <wp:extent cx="4942205" cy="3066881"/>
            <wp:effectExtent l="0" t="0" r="0" b="0"/>
            <wp:docPr id="6" name="Picture 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imeline&#10;&#10;Description automatically generated"/>
                    <pic:cNvPicPr/>
                  </pic:nvPicPr>
                  <pic:blipFill rotWithShape="1">
                    <a:blip r:embed="rId19"/>
                    <a:srcRect b="2229"/>
                    <a:stretch/>
                  </pic:blipFill>
                  <pic:spPr bwMode="auto">
                    <a:xfrm>
                      <a:off x="0" y="0"/>
                      <a:ext cx="4954518" cy="3074522"/>
                    </a:xfrm>
                    <a:prstGeom prst="rect">
                      <a:avLst/>
                    </a:prstGeom>
                    <a:ln>
                      <a:noFill/>
                    </a:ln>
                    <a:extLst>
                      <a:ext uri="{53640926-AAD7-44D8-BBD7-CCE9431645EC}">
                        <a14:shadowObscured xmlns:a14="http://schemas.microsoft.com/office/drawing/2010/main"/>
                      </a:ext>
                    </a:extLst>
                  </pic:spPr>
                </pic:pic>
              </a:graphicData>
            </a:graphic>
          </wp:inline>
        </w:drawing>
      </w:r>
    </w:p>
    <w:p w14:paraId="33CF8735" w14:textId="77777777" w:rsidR="00B505DD" w:rsidRPr="00D713EB" w:rsidRDefault="00B505DD" w:rsidP="009A74DC"/>
    <w:p w14:paraId="4C44FFAA" w14:textId="491225EB" w:rsidR="0015128B" w:rsidRPr="00D713EB" w:rsidRDefault="0015128B" w:rsidP="00F201DC">
      <w:pPr>
        <w:rPr>
          <w:sz w:val="24"/>
        </w:rPr>
      </w:pPr>
    </w:p>
    <w:p w14:paraId="3A1C7485" w14:textId="44A22EFD" w:rsidR="00F31DA0" w:rsidRPr="00D713EB" w:rsidRDefault="000245B7" w:rsidP="00F31DA0">
      <w:r w:rsidRPr="00D713EB">
        <w:rPr>
          <w:rFonts w:cstheme="minorHAnsi"/>
          <w:iCs/>
        </w:rPr>
        <w:t xml:space="preserve"> </w:t>
      </w:r>
      <w:r w:rsidR="00F31DA0" w:rsidRPr="00D713EB">
        <w:rPr>
          <w:rFonts w:ascii="Calibri" w:hAnsi="Calibri" w:cs="Calibri"/>
          <w:szCs w:val="22"/>
        </w:rPr>
        <w:t xml:space="preserve">The SIS website and database can be accessed here: </w:t>
      </w:r>
      <w:r w:rsidR="00F31DA0" w:rsidRPr="00D713EB">
        <w:rPr>
          <w:rFonts w:ascii="Calibri" w:hAnsi="Calibri" w:cs="Calibri"/>
          <w:color w:val="000000"/>
          <w:szCs w:val="22"/>
        </w:rPr>
        <w:t> </w:t>
      </w:r>
      <w:r w:rsidR="00F31DA0" w:rsidRPr="00D713EB">
        <w:rPr>
          <w:sz w:val="24"/>
        </w:rPr>
        <w:t xml:space="preserve"> </w:t>
      </w:r>
      <w:hyperlink r:id="rId20" w:history="1">
        <w:r w:rsidR="00F31DA0" w:rsidRPr="00D713EB">
          <w:rPr>
            <w:color w:val="0000FF"/>
            <w:u w:val="single"/>
          </w:rPr>
          <w:t>https://pngsis.org/sis/</w:t>
        </w:r>
      </w:hyperlink>
    </w:p>
    <w:p w14:paraId="50773713" w14:textId="70AEF7FE" w:rsidR="00061BB5" w:rsidRDefault="00061BB5" w:rsidP="00061BB5">
      <w:pPr>
        <w:rPr>
          <w:rFonts w:cstheme="minorHAnsi"/>
          <w:iCs/>
        </w:rPr>
      </w:pPr>
    </w:p>
    <w:p w14:paraId="6431FE52" w14:textId="6CF68A25" w:rsidR="00D713EB" w:rsidRDefault="00D713EB" w:rsidP="00061BB5">
      <w:pPr>
        <w:rPr>
          <w:rFonts w:cstheme="minorHAnsi"/>
          <w:iCs/>
        </w:rPr>
      </w:pPr>
    </w:p>
    <w:p w14:paraId="491E9F08" w14:textId="3D97D182" w:rsidR="00D713EB" w:rsidRDefault="00D713EB" w:rsidP="00D713EB">
      <w:pPr>
        <w:pStyle w:val="Heading2"/>
      </w:pPr>
      <w:bookmarkStart w:id="6" w:name="_Toc59493615"/>
      <w:r>
        <w:t xml:space="preserve">Operational </w:t>
      </w:r>
      <w:r w:rsidR="00892BF5">
        <w:t xml:space="preserve">Considerations </w:t>
      </w:r>
      <w:r>
        <w:t xml:space="preserve">for the </w:t>
      </w:r>
      <w:r w:rsidR="00892BF5">
        <w:t xml:space="preserve">operation of the </w:t>
      </w:r>
      <w:r>
        <w:t>SIS</w:t>
      </w:r>
      <w:r w:rsidR="00CE515C">
        <w:t xml:space="preserve"> and preparation of SOIs</w:t>
      </w:r>
      <w:bookmarkEnd w:id="6"/>
    </w:p>
    <w:p w14:paraId="0231475A" w14:textId="378AF0AF" w:rsidR="00D713EB" w:rsidRDefault="00D713EB" w:rsidP="00061BB5">
      <w:pPr>
        <w:rPr>
          <w:rFonts w:cstheme="minorHAnsi"/>
          <w:iCs/>
        </w:rPr>
      </w:pPr>
    </w:p>
    <w:p w14:paraId="1337E935" w14:textId="20151C3E" w:rsidR="00D713EB" w:rsidRPr="00D713EB" w:rsidRDefault="006231D5" w:rsidP="00D713EB">
      <w:pPr>
        <w:rPr>
          <w:bCs/>
          <w:iCs/>
        </w:rPr>
      </w:pPr>
      <w:r>
        <w:t xml:space="preserve">General operational costs for the SIS </w:t>
      </w:r>
      <w:r w:rsidR="00CE515C">
        <w:t xml:space="preserve">information management and reporting cycle </w:t>
      </w:r>
      <w:r>
        <w:t xml:space="preserve">are </w:t>
      </w:r>
      <w:r w:rsidR="008A0E6F">
        <w:t xml:space="preserve">set out in </w:t>
      </w:r>
      <w:r w:rsidR="00D713EB">
        <w:t>Annex III of t</w:t>
      </w:r>
      <w:r w:rsidR="00D713EB">
        <w:rPr>
          <w:rFonts w:cstheme="minorHAnsi"/>
          <w:iCs/>
        </w:rPr>
        <w:t xml:space="preserve">he </w:t>
      </w:r>
      <w:r w:rsidR="00D713EB" w:rsidRPr="00D713EB">
        <w:t>“</w:t>
      </w:r>
      <w:r w:rsidR="00D713EB" w:rsidRPr="00D713EB">
        <w:rPr>
          <w:rFonts w:eastAsiaTheme="minorEastAsia" w:cstheme="minorBidi"/>
        </w:rPr>
        <w:t>Safeguard Information System Framework Document for PNG</w:t>
      </w:r>
      <w:r w:rsidR="00D713EB" w:rsidRPr="00D713EB">
        <w:t>”</w:t>
      </w:r>
      <w:r w:rsidR="00D713EB">
        <w:t xml:space="preserve">. </w:t>
      </w:r>
      <w:r w:rsidR="00D713EB" w:rsidRPr="00D713EB">
        <w:rPr>
          <w:bCs/>
          <w:iCs/>
        </w:rPr>
        <w:t>As</w:t>
      </w:r>
      <w:r w:rsidR="00D713EB">
        <w:rPr>
          <w:bCs/>
          <w:iCs/>
        </w:rPr>
        <w:t xml:space="preserve"> noted in </w:t>
      </w:r>
      <w:r w:rsidR="008A0E6F">
        <w:rPr>
          <w:bCs/>
          <w:iCs/>
        </w:rPr>
        <w:t>said document</w:t>
      </w:r>
      <w:r w:rsidR="00D713EB">
        <w:rPr>
          <w:bCs/>
          <w:iCs/>
        </w:rPr>
        <w:t>,</w:t>
      </w:r>
      <w:r w:rsidR="00D713EB" w:rsidRPr="00D713EB">
        <w:rPr>
          <w:bCs/>
          <w:iCs/>
        </w:rPr>
        <w:t xml:space="preserve"> </w:t>
      </w:r>
      <w:r w:rsidR="00D713EB">
        <w:rPr>
          <w:bCs/>
          <w:iCs/>
        </w:rPr>
        <w:t xml:space="preserve">as </w:t>
      </w:r>
      <w:r w:rsidR="00AE0213">
        <w:rPr>
          <w:bCs/>
          <w:iCs/>
        </w:rPr>
        <w:t xml:space="preserve">a </w:t>
      </w:r>
      <w:r w:rsidR="00D713EB" w:rsidRPr="00D713EB">
        <w:rPr>
          <w:bCs/>
          <w:iCs/>
        </w:rPr>
        <w:t>minimum</w:t>
      </w:r>
      <w:r w:rsidR="00AE0213">
        <w:rPr>
          <w:bCs/>
          <w:iCs/>
        </w:rPr>
        <w:t>,</w:t>
      </w:r>
      <w:r w:rsidR="00D713EB" w:rsidRPr="00D713EB">
        <w:rPr>
          <w:bCs/>
          <w:iCs/>
        </w:rPr>
        <w:t xml:space="preserve"> a National Safeguards Specialist needs to be considered to </w:t>
      </w:r>
      <w:r w:rsidR="009C2810">
        <w:rPr>
          <w:bCs/>
          <w:iCs/>
        </w:rPr>
        <w:t xml:space="preserve">operate the SIS </w:t>
      </w:r>
      <w:r w:rsidR="00CE515C">
        <w:rPr>
          <w:bCs/>
          <w:iCs/>
        </w:rPr>
        <w:t xml:space="preserve">day-to-day </w:t>
      </w:r>
      <w:r w:rsidR="009C2810">
        <w:rPr>
          <w:bCs/>
          <w:iCs/>
        </w:rPr>
        <w:t>functions</w:t>
      </w:r>
      <w:r w:rsidR="00F87188">
        <w:rPr>
          <w:bCs/>
          <w:iCs/>
        </w:rPr>
        <w:t xml:space="preserve">, and </w:t>
      </w:r>
      <w:r w:rsidR="00C05773">
        <w:rPr>
          <w:bCs/>
          <w:iCs/>
        </w:rPr>
        <w:t>to</w:t>
      </w:r>
      <w:r w:rsidR="00F87188">
        <w:rPr>
          <w:bCs/>
          <w:iCs/>
        </w:rPr>
        <w:t xml:space="preserve"> </w:t>
      </w:r>
      <w:r w:rsidR="00D713EB" w:rsidRPr="00D713EB">
        <w:rPr>
          <w:bCs/>
          <w:iCs/>
        </w:rPr>
        <w:t>support the REDD+ Safeguards TWC with</w:t>
      </w:r>
      <w:r w:rsidR="00F87188">
        <w:rPr>
          <w:bCs/>
          <w:iCs/>
        </w:rPr>
        <w:t xml:space="preserve"> regards </w:t>
      </w:r>
      <w:r w:rsidR="00C05773">
        <w:rPr>
          <w:bCs/>
          <w:iCs/>
        </w:rPr>
        <w:t>its strategic and technical direction role in</w:t>
      </w:r>
      <w:r w:rsidR="00D713EB" w:rsidRPr="00D713EB">
        <w:rPr>
          <w:bCs/>
          <w:iCs/>
        </w:rPr>
        <w:t xml:space="preserve"> the </w:t>
      </w:r>
      <w:r w:rsidR="00F87188">
        <w:rPr>
          <w:bCs/>
          <w:iCs/>
        </w:rPr>
        <w:t xml:space="preserve">operation of the </w:t>
      </w:r>
      <w:r w:rsidR="00D713EB" w:rsidRPr="00D713EB">
        <w:rPr>
          <w:bCs/>
          <w:iCs/>
        </w:rPr>
        <w:t xml:space="preserve">SIS </w:t>
      </w:r>
      <w:r w:rsidR="000B1B9A">
        <w:rPr>
          <w:bCs/>
          <w:iCs/>
        </w:rPr>
        <w:t xml:space="preserve">and preparation of subsequent SOIs. Thus, the National Safeguards Specialist hosted under the CCDA will have a key role in fulfilling at a technical level all </w:t>
      </w:r>
      <w:r w:rsidR="0012743E">
        <w:rPr>
          <w:bCs/>
          <w:iCs/>
        </w:rPr>
        <w:t>functions and tasks defined in</w:t>
      </w:r>
      <w:r w:rsidR="00324558">
        <w:rPr>
          <w:bCs/>
          <w:iCs/>
        </w:rPr>
        <w:t xml:space="preserve"> </w:t>
      </w:r>
      <w:r w:rsidR="00392859">
        <w:rPr>
          <w:bCs/>
          <w:iCs/>
        </w:rPr>
        <w:t>t</w:t>
      </w:r>
      <w:r w:rsidR="00533977">
        <w:rPr>
          <w:bCs/>
          <w:iCs/>
        </w:rPr>
        <w:t>hese</w:t>
      </w:r>
      <w:r w:rsidR="00392859">
        <w:rPr>
          <w:bCs/>
          <w:iCs/>
        </w:rPr>
        <w:t xml:space="preserve"> </w:t>
      </w:r>
      <w:r w:rsidR="00324558">
        <w:rPr>
          <w:bCs/>
          <w:iCs/>
        </w:rPr>
        <w:t>SOPs</w:t>
      </w:r>
      <w:r w:rsidR="00D713EB" w:rsidRPr="00D713EB">
        <w:rPr>
          <w:bCs/>
          <w:iCs/>
        </w:rPr>
        <w:t>. In particular, the National Safeguards Specialist would be responsible for:</w:t>
      </w:r>
    </w:p>
    <w:p w14:paraId="62FA472E" w14:textId="77777777" w:rsidR="00D713EB" w:rsidRPr="00D713EB" w:rsidRDefault="00D713EB" w:rsidP="00D713EB">
      <w:pPr>
        <w:rPr>
          <w:bCs/>
          <w:iCs/>
        </w:rPr>
      </w:pPr>
    </w:p>
    <w:p w14:paraId="3689A101" w14:textId="23BFD94D" w:rsidR="00D713EB" w:rsidRPr="00D713EB" w:rsidRDefault="00D713EB" w:rsidP="00D713EB">
      <w:pPr>
        <w:rPr>
          <w:bCs/>
          <w:iCs/>
        </w:rPr>
      </w:pPr>
      <w:r w:rsidRPr="00D713EB">
        <w:rPr>
          <w:bCs/>
          <w:iCs/>
        </w:rPr>
        <w:t xml:space="preserve"> Overall Coordination </w:t>
      </w:r>
      <w:r w:rsidR="000C3B44">
        <w:rPr>
          <w:bCs/>
          <w:iCs/>
        </w:rPr>
        <w:t xml:space="preserve">and Technical Operation of </w:t>
      </w:r>
      <w:proofErr w:type="spellStart"/>
      <w:r w:rsidR="000C3B44">
        <w:rPr>
          <w:bCs/>
          <w:iCs/>
        </w:rPr>
        <w:t>GoPNG’s</w:t>
      </w:r>
      <w:proofErr w:type="spellEnd"/>
      <w:r w:rsidR="000C3B44">
        <w:rPr>
          <w:bCs/>
          <w:iCs/>
        </w:rPr>
        <w:t xml:space="preserve"> SIS </w:t>
      </w:r>
    </w:p>
    <w:p w14:paraId="58F26F6A" w14:textId="6CAB4661" w:rsidR="00D713EB" w:rsidRDefault="00D713EB" w:rsidP="00D713EB">
      <w:pPr>
        <w:numPr>
          <w:ilvl w:val="0"/>
          <w:numId w:val="20"/>
        </w:numPr>
        <w:rPr>
          <w:bCs/>
          <w:iCs/>
        </w:rPr>
      </w:pPr>
      <w:r w:rsidRPr="00D713EB">
        <w:rPr>
          <w:bCs/>
          <w:iCs/>
        </w:rPr>
        <w:t>Lead and update SIS website and database</w:t>
      </w:r>
      <w:r w:rsidR="002C2398">
        <w:rPr>
          <w:bCs/>
          <w:iCs/>
        </w:rPr>
        <w:t xml:space="preserve"> (see Sections II on Collection of Information and III on Aggregation and Analysis)</w:t>
      </w:r>
      <w:r w:rsidR="004F7DF4">
        <w:rPr>
          <w:bCs/>
          <w:iCs/>
        </w:rPr>
        <w:t>;</w:t>
      </w:r>
    </w:p>
    <w:p w14:paraId="25EF1725" w14:textId="0FA18ADD" w:rsidR="004F7DF4" w:rsidRPr="00D713EB" w:rsidRDefault="004F7DF4" w:rsidP="00D713EB">
      <w:pPr>
        <w:numPr>
          <w:ilvl w:val="0"/>
          <w:numId w:val="20"/>
        </w:numPr>
        <w:rPr>
          <w:bCs/>
          <w:iCs/>
        </w:rPr>
      </w:pPr>
      <w:r>
        <w:rPr>
          <w:bCs/>
          <w:iCs/>
        </w:rPr>
        <w:t>L</w:t>
      </w:r>
      <w:r w:rsidR="00013A56">
        <w:rPr>
          <w:bCs/>
          <w:iCs/>
        </w:rPr>
        <w:t xml:space="preserve">iaise </w:t>
      </w:r>
      <w:r w:rsidR="002D0CB7">
        <w:rPr>
          <w:bCs/>
          <w:iCs/>
        </w:rPr>
        <w:t xml:space="preserve">with </w:t>
      </w:r>
      <w:r w:rsidR="00013A56">
        <w:rPr>
          <w:bCs/>
          <w:iCs/>
        </w:rPr>
        <w:t>and support REDD+ implementers in the collection of information against relevant SIS templates and indicators (see Section II on Collection of Information)</w:t>
      </w:r>
      <w:r>
        <w:rPr>
          <w:bCs/>
          <w:iCs/>
        </w:rPr>
        <w:t>;</w:t>
      </w:r>
    </w:p>
    <w:p w14:paraId="67A91D5B" w14:textId="70D68A6D" w:rsidR="00D713EB" w:rsidRPr="00D713EB" w:rsidRDefault="00D713EB" w:rsidP="00D713EB">
      <w:pPr>
        <w:numPr>
          <w:ilvl w:val="0"/>
          <w:numId w:val="20"/>
        </w:numPr>
        <w:rPr>
          <w:b/>
          <w:bCs/>
          <w:iCs/>
        </w:rPr>
      </w:pPr>
      <w:r w:rsidRPr="00D713EB">
        <w:rPr>
          <w:bCs/>
          <w:iCs/>
        </w:rPr>
        <w:t xml:space="preserve">Lead and coordinate the aggregation of information in </w:t>
      </w:r>
      <w:r w:rsidR="006B6EB2">
        <w:rPr>
          <w:bCs/>
          <w:iCs/>
        </w:rPr>
        <w:t xml:space="preserve">the </w:t>
      </w:r>
      <w:r w:rsidRPr="00D713EB">
        <w:rPr>
          <w:iCs/>
        </w:rPr>
        <w:t>SIS data management system</w:t>
      </w:r>
      <w:r w:rsidR="004F7DF4">
        <w:rPr>
          <w:iCs/>
        </w:rPr>
        <w:t>;</w:t>
      </w:r>
    </w:p>
    <w:p w14:paraId="5DD822D2" w14:textId="64E93456" w:rsidR="00D713EB" w:rsidRPr="00D713EB" w:rsidRDefault="00D713EB" w:rsidP="00D713EB">
      <w:pPr>
        <w:numPr>
          <w:ilvl w:val="0"/>
          <w:numId w:val="20"/>
        </w:numPr>
        <w:rPr>
          <w:bCs/>
          <w:iCs/>
        </w:rPr>
      </w:pPr>
      <w:r w:rsidRPr="00D713EB">
        <w:rPr>
          <w:bCs/>
          <w:iCs/>
        </w:rPr>
        <w:t xml:space="preserve">Lead </w:t>
      </w:r>
      <w:r w:rsidR="006B6EB2">
        <w:rPr>
          <w:bCs/>
          <w:iCs/>
        </w:rPr>
        <w:t xml:space="preserve">preliminary </w:t>
      </w:r>
      <w:r w:rsidRPr="00D713EB">
        <w:rPr>
          <w:bCs/>
          <w:iCs/>
        </w:rPr>
        <w:t xml:space="preserve">analysis of information and prepare </w:t>
      </w:r>
      <w:r w:rsidR="006B6EB2">
        <w:rPr>
          <w:bCs/>
          <w:iCs/>
        </w:rPr>
        <w:t xml:space="preserve">draft and final </w:t>
      </w:r>
      <w:r w:rsidRPr="00D713EB">
        <w:rPr>
          <w:bCs/>
          <w:iCs/>
        </w:rPr>
        <w:t>reports</w:t>
      </w:r>
      <w:r w:rsidR="006B6EB2">
        <w:rPr>
          <w:bCs/>
          <w:iCs/>
        </w:rPr>
        <w:t xml:space="preserve"> for consideration of</w:t>
      </w:r>
      <w:r w:rsidR="00B51189">
        <w:rPr>
          <w:bCs/>
          <w:iCs/>
        </w:rPr>
        <w:t xml:space="preserve"> -and validation by- the Safeguards TWC</w:t>
      </w:r>
      <w:r w:rsidR="004F7DF4">
        <w:rPr>
          <w:bCs/>
          <w:iCs/>
        </w:rPr>
        <w:t xml:space="preserve">; </w:t>
      </w:r>
    </w:p>
    <w:p w14:paraId="503D9975" w14:textId="77777777" w:rsidR="00094103" w:rsidRDefault="00B51189" w:rsidP="00D713EB">
      <w:pPr>
        <w:numPr>
          <w:ilvl w:val="0"/>
          <w:numId w:val="20"/>
        </w:numPr>
        <w:rPr>
          <w:bCs/>
          <w:iCs/>
        </w:rPr>
      </w:pPr>
      <w:r>
        <w:rPr>
          <w:bCs/>
          <w:iCs/>
        </w:rPr>
        <w:t>L</w:t>
      </w:r>
      <w:r w:rsidR="00D713EB" w:rsidRPr="00D713EB">
        <w:rPr>
          <w:bCs/>
          <w:iCs/>
        </w:rPr>
        <w:t>iais</w:t>
      </w:r>
      <w:r>
        <w:rPr>
          <w:bCs/>
          <w:iCs/>
        </w:rPr>
        <w:t>e</w:t>
      </w:r>
      <w:r w:rsidR="00D713EB" w:rsidRPr="00D713EB">
        <w:rPr>
          <w:bCs/>
          <w:iCs/>
        </w:rPr>
        <w:t xml:space="preserve"> and </w:t>
      </w:r>
      <w:r w:rsidR="000C3B44">
        <w:rPr>
          <w:bCs/>
          <w:iCs/>
        </w:rPr>
        <w:t>coordinate with relevant information systems and sources for the collection and aggregation of information as required, including with</w:t>
      </w:r>
      <w:r w:rsidR="00D713EB" w:rsidRPr="00D713EB">
        <w:rPr>
          <w:bCs/>
          <w:iCs/>
        </w:rPr>
        <w:t xml:space="preserve"> non-government organizations (NGOs)</w:t>
      </w:r>
      <w:r w:rsidR="000C3B44">
        <w:rPr>
          <w:bCs/>
          <w:iCs/>
        </w:rPr>
        <w:t xml:space="preserve"> regarding</w:t>
      </w:r>
      <w:r w:rsidR="00D713EB" w:rsidRPr="00D713EB">
        <w:rPr>
          <w:bCs/>
          <w:iCs/>
        </w:rPr>
        <w:t xml:space="preserve"> feedback</w:t>
      </w:r>
      <w:r w:rsidR="000C3B44">
        <w:rPr>
          <w:bCs/>
          <w:iCs/>
        </w:rPr>
        <w:t xml:space="preserve"> received during the public consultation process, as appropriate</w:t>
      </w:r>
      <w:r w:rsidR="00094103">
        <w:rPr>
          <w:bCs/>
          <w:iCs/>
        </w:rPr>
        <w:t>; and</w:t>
      </w:r>
    </w:p>
    <w:p w14:paraId="47BCA84E" w14:textId="56B56B22" w:rsidR="00D713EB" w:rsidRPr="00D713EB" w:rsidRDefault="00094103" w:rsidP="00D713EB">
      <w:pPr>
        <w:numPr>
          <w:ilvl w:val="0"/>
          <w:numId w:val="20"/>
        </w:numPr>
        <w:rPr>
          <w:bCs/>
          <w:iCs/>
        </w:rPr>
      </w:pPr>
      <w:r w:rsidRPr="00094103">
        <w:rPr>
          <w:bCs/>
          <w:iCs/>
        </w:rPr>
        <w:t>Facilitate the final validation, endorsement and dissemination of reports</w:t>
      </w:r>
      <w:r w:rsidR="00D713EB" w:rsidRPr="00D713EB">
        <w:rPr>
          <w:bCs/>
          <w:iCs/>
        </w:rPr>
        <w:t>.</w:t>
      </w:r>
    </w:p>
    <w:p w14:paraId="2B91A642" w14:textId="77777777" w:rsidR="00D713EB" w:rsidRPr="00D713EB" w:rsidRDefault="00D713EB" w:rsidP="00D713EB">
      <w:pPr>
        <w:rPr>
          <w:bCs/>
          <w:iCs/>
        </w:rPr>
      </w:pPr>
    </w:p>
    <w:p w14:paraId="0DA3F75D" w14:textId="77777777" w:rsidR="00D713EB" w:rsidRPr="00D713EB" w:rsidRDefault="00D713EB" w:rsidP="00D713EB">
      <w:pPr>
        <w:rPr>
          <w:bCs/>
          <w:iCs/>
        </w:rPr>
      </w:pPr>
      <w:r w:rsidRPr="00D713EB">
        <w:rPr>
          <w:bCs/>
          <w:iCs/>
        </w:rPr>
        <w:t xml:space="preserve">Capacity Building </w:t>
      </w:r>
    </w:p>
    <w:p w14:paraId="665565E7" w14:textId="11A7D10F" w:rsidR="00D713EB" w:rsidRPr="00D713EB" w:rsidRDefault="00D713EB" w:rsidP="00D713EB">
      <w:pPr>
        <w:numPr>
          <w:ilvl w:val="0"/>
          <w:numId w:val="21"/>
        </w:numPr>
        <w:rPr>
          <w:bCs/>
          <w:iCs/>
        </w:rPr>
      </w:pPr>
      <w:r w:rsidRPr="00D713EB">
        <w:rPr>
          <w:bCs/>
          <w:iCs/>
        </w:rPr>
        <w:t>Lead, identify, assess, and monitor overall capacity building needs within the relevant government agencies and</w:t>
      </w:r>
      <w:r w:rsidR="000C3B44">
        <w:rPr>
          <w:bCs/>
          <w:iCs/>
        </w:rPr>
        <w:t>/or</w:t>
      </w:r>
      <w:r w:rsidRPr="00D713EB">
        <w:rPr>
          <w:bCs/>
          <w:iCs/>
        </w:rPr>
        <w:t xml:space="preserve"> REDD+ implementers</w:t>
      </w:r>
      <w:r w:rsidR="000C3B44">
        <w:rPr>
          <w:bCs/>
          <w:iCs/>
        </w:rPr>
        <w:t xml:space="preserve"> as appropriate;</w:t>
      </w:r>
    </w:p>
    <w:p w14:paraId="66661153" w14:textId="6E0BEB89" w:rsidR="00D713EB" w:rsidRDefault="00D713EB" w:rsidP="00D713EB">
      <w:pPr>
        <w:numPr>
          <w:ilvl w:val="0"/>
          <w:numId w:val="21"/>
        </w:numPr>
        <w:rPr>
          <w:bCs/>
          <w:iCs/>
        </w:rPr>
      </w:pPr>
      <w:r w:rsidRPr="00D713EB">
        <w:rPr>
          <w:bCs/>
          <w:iCs/>
        </w:rPr>
        <w:t>Lead, develop and administer</w:t>
      </w:r>
      <w:r w:rsidR="000C3B44">
        <w:rPr>
          <w:bCs/>
          <w:iCs/>
        </w:rPr>
        <w:t>,</w:t>
      </w:r>
      <w:r w:rsidRPr="00D713EB">
        <w:rPr>
          <w:bCs/>
          <w:iCs/>
        </w:rPr>
        <w:t xml:space="preserve"> as needed</w:t>
      </w:r>
      <w:r w:rsidR="00AE0213">
        <w:rPr>
          <w:bCs/>
          <w:iCs/>
        </w:rPr>
        <w:t>,</w:t>
      </w:r>
      <w:r w:rsidRPr="00D713EB">
        <w:rPr>
          <w:bCs/>
          <w:iCs/>
        </w:rPr>
        <w:t xml:space="preserve"> technical assistance and other training programs for capacity building</w:t>
      </w:r>
      <w:r w:rsidR="000C3B44">
        <w:rPr>
          <w:bCs/>
          <w:iCs/>
        </w:rPr>
        <w:t>;</w:t>
      </w:r>
      <w:r w:rsidR="000C3B44" w:rsidRPr="00D713EB">
        <w:rPr>
          <w:bCs/>
          <w:iCs/>
        </w:rPr>
        <w:t xml:space="preserve"> </w:t>
      </w:r>
    </w:p>
    <w:p w14:paraId="7002A868" w14:textId="5208CE0E" w:rsidR="00D713EB" w:rsidRPr="00D713EB" w:rsidRDefault="00D713EB" w:rsidP="00D713EB">
      <w:pPr>
        <w:numPr>
          <w:ilvl w:val="0"/>
          <w:numId w:val="21"/>
        </w:numPr>
        <w:rPr>
          <w:bCs/>
          <w:iCs/>
        </w:rPr>
      </w:pPr>
      <w:r w:rsidRPr="00D713EB">
        <w:rPr>
          <w:bCs/>
          <w:iCs/>
        </w:rPr>
        <w:t>Lead in providing safeguard training and prepare and administer relevant capacity development programs</w:t>
      </w:r>
      <w:r w:rsidR="00AE0213">
        <w:rPr>
          <w:bCs/>
          <w:iCs/>
        </w:rPr>
        <w:t>.</w:t>
      </w:r>
    </w:p>
    <w:p w14:paraId="68402AC3" w14:textId="31039D16" w:rsidR="00D713EB" w:rsidRPr="00D713EB" w:rsidRDefault="00D713EB" w:rsidP="00061BB5">
      <w:pPr>
        <w:rPr>
          <w:rFonts w:cstheme="minorHAnsi"/>
          <w:iCs/>
        </w:rPr>
      </w:pPr>
    </w:p>
    <w:p w14:paraId="10AC7282" w14:textId="6EE83287" w:rsidR="005A168C" w:rsidRDefault="00D713EB" w:rsidP="00D713EB">
      <w:r>
        <w:t xml:space="preserve">In executing his/her responsibilities under this SOPs, the National Safeguard Specialist will be responsible for preparing, </w:t>
      </w:r>
      <w:r>
        <w:rPr>
          <w:iCs/>
        </w:rPr>
        <w:t>w</w:t>
      </w:r>
      <w:r w:rsidRPr="00D713EB">
        <w:rPr>
          <w:iCs/>
        </w:rPr>
        <w:t xml:space="preserve">ithin </w:t>
      </w:r>
      <w:r>
        <w:rPr>
          <w:iCs/>
        </w:rPr>
        <w:t xml:space="preserve">the </w:t>
      </w:r>
      <w:r w:rsidRPr="00D713EB">
        <w:rPr>
          <w:iCs/>
        </w:rPr>
        <w:t xml:space="preserve">first quarter </w:t>
      </w:r>
      <w:r w:rsidRPr="00D713EB">
        <w:rPr>
          <w:rFonts w:cstheme="minorHAnsi"/>
        </w:rPr>
        <w:t>of the 24</w:t>
      </w:r>
      <w:r w:rsidR="000C3B44">
        <w:rPr>
          <w:rFonts w:cstheme="minorHAnsi"/>
        </w:rPr>
        <w:t>-</w:t>
      </w:r>
      <w:r w:rsidRPr="00D713EB">
        <w:rPr>
          <w:rFonts w:cstheme="minorHAnsi"/>
        </w:rPr>
        <w:t xml:space="preserve">month </w:t>
      </w:r>
      <w:r w:rsidR="000C3B44">
        <w:rPr>
          <w:rFonts w:cstheme="minorHAnsi"/>
        </w:rPr>
        <w:t xml:space="preserve">SIS information management and </w:t>
      </w:r>
      <w:r w:rsidRPr="00D713EB">
        <w:rPr>
          <w:rFonts w:cstheme="minorHAnsi"/>
        </w:rPr>
        <w:t>reporting cycle</w:t>
      </w:r>
      <w:r>
        <w:rPr>
          <w:rFonts w:cstheme="minorHAnsi"/>
        </w:rPr>
        <w:t>,</w:t>
      </w:r>
      <w:r>
        <w:t xml:space="preserve"> a</w:t>
      </w:r>
      <w:r w:rsidR="00791A2D">
        <w:t xml:space="preserve"> two</w:t>
      </w:r>
      <w:r w:rsidR="00DC2B0D">
        <w:t>-</w:t>
      </w:r>
      <w:r w:rsidR="00791A2D">
        <w:t xml:space="preserve">year </w:t>
      </w:r>
      <w:r>
        <w:t>budget for the operation of the SIS</w:t>
      </w:r>
      <w:r w:rsidR="00362DF6">
        <w:t xml:space="preserve"> </w:t>
      </w:r>
      <w:r w:rsidR="00182777">
        <w:t>that must be</w:t>
      </w:r>
      <w:r w:rsidR="00362DF6">
        <w:t xml:space="preserve"> submit</w:t>
      </w:r>
      <w:r w:rsidR="00182777">
        <w:t>ted</w:t>
      </w:r>
      <w:r w:rsidR="00362DF6">
        <w:t xml:space="preserve"> to the </w:t>
      </w:r>
      <w:r w:rsidR="000E7E1E">
        <w:t>National Climate Change Board</w:t>
      </w:r>
      <w:r w:rsidR="00D50290">
        <w:t xml:space="preserve"> </w:t>
      </w:r>
      <w:r w:rsidR="00D50290">
        <w:rPr>
          <w:rFonts w:ascii="Calibri" w:hAnsi="Calibri" w:cs="Calibri"/>
          <w:iCs/>
          <w:szCs w:val="22"/>
        </w:rPr>
        <w:t>(</w:t>
      </w:r>
      <w:r w:rsidR="00D50290" w:rsidRPr="00D713EB">
        <w:rPr>
          <w:rFonts w:ascii="Calibri" w:hAnsi="Calibri" w:cs="Calibri"/>
          <w:iCs/>
          <w:szCs w:val="22"/>
        </w:rPr>
        <w:t>NCCB)</w:t>
      </w:r>
      <w:r w:rsidR="00341F47">
        <w:rPr>
          <w:rFonts w:ascii="Calibri" w:hAnsi="Calibri" w:cs="Calibri"/>
          <w:iCs/>
          <w:szCs w:val="22"/>
        </w:rPr>
        <w:t xml:space="preserve"> for approval</w:t>
      </w:r>
      <w:r>
        <w:t>. In particular, th</w:t>
      </w:r>
      <w:r w:rsidR="00130111">
        <w:t>is</w:t>
      </w:r>
      <w:r>
        <w:t xml:space="preserve"> budget must </w:t>
      </w:r>
      <w:r w:rsidR="00150329">
        <w:t>include</w:t>
      </w:r>
      <w:r w:rsidR="00130111">
        <w:t xml:space="preserve"> the costs</w:t>
      </w:r>
      <w:r>
        <w:t>:</w:t>
      </w:r>
    </w:p>
    <w:p w14:paraId="2AC610A6" w14:textId="5EE09FF5" w:rsidR="00993ED1" w:rsidRDefault="00BC46D6" w:rsidP="00993ED1">
      <w:pPr>
        <w:pStyle w:val="ListParagraph"/>
        <w:numPr>
          <w:ilvl w:val="0"/>
          <w:numId w:val="22"/>
        </w:numPr>
        <w:rPr>
          <w:bCs/>
          <w:iCs/>
        </w:rPr>
      </w:pPr>
      <w:r>
        <w:rPr>
          <w:bCs/>
          <w:iCs/>
        </w:rPr>
        <w:t xml:space="preserve">for </w:t>
      </w:r>
      <w:r w:rsidR="00993ED1" w:rsidRPr="00993ED1">
        <w:rPr>
          <w:bCs/>
          <w:iCs/>
        </w:rPr>
        <w:t>staffing a dedicated National Safeguards Specialist in the CCDA</w:t>
      </w:r>
      <w:r w:rsidR="00341F47">
        <w:rPr>
          <w:bCs/>
          <w:iCs/>
        </w:rPr>
        <w:t xml:space="preserve"> for subsequent SIS information management and reporting cycles</w:t>
      </w:r>
      <w:r w:rsidR="00E06BF5">
        <w:rPr>
          <w:bCs/>
          <w:iCs/>
        </w:rPr>
        <w:t>;</w:t>
      </w:r>
    </w:p>
    <w:p w14:paraId="19707982" w14:textId="30192231" w:rsidR="00274132" w:rsidRDefault="00D368B9" w:rsidP="00993ED1">
      <w:pPr>
        <w:pStyle w:val="ListParagraph"/>
        <w:numPr>
          <w:ilvl w:val="0"/>
          <w:numId w:val="22"/>
        </w:numPr>
        <w:rPr>
          <w:bCs/>
          <w:iCs/>
        </w:rPr>
      </w:pPr>
      <w:r w:rsidRPr="008702A5">
        <w:rPr>
          <w:bCs/>
          <w:iCs/>
        </w:rPr>
        <w:t xml:space="preserve">associated with </w:t>
      </w:r>
      <w:r w:rsidR="002101E3">
        <w:rPr>
          <w:bCs/>
          <w:iCs/>
        </w:rPr>
        <w:t>holding</w:t>
      </w:r>
      <w:r w:rsidR="00130111">
        <w:rPr>
          <w:bCs/>
          <w:iCs/>
        </w:rPr>
        <w:t xml:space="preserve"> </w:t>
      </w:r>
      <w:r w:rsidR="00112822">
        <w:rPr>
          <w:bCs/>
          <w:iCs/>
        </w:rPr>
        <w:t xml:space="preserve">dedicated </w:t>
      </w:r>
      <w:r>
        <w:rPr>
          <w:bCs/>
          <w:iCs/>
        </w:rPr>
        <w:t xml:space="preserve">meetings </w:t>
      </w:r>
      <w:r w:rsidR="00112822">
        <w:rPr>
          <w:bCs/>
          <w:iCs/>
        </w:rPr>
        <w:t>for the collection</w:t>
      </w:r>
      <w:r w:rsidR="00F40586">
        <w:rPr>
          <w:bCs/>
          <w:iCs/>
        </w:rPr>
        <w:t>, aggregation and</w:t>
      </w:r>
      <w:r w:rsidR="00112822">
        <w:rPr>
          <w:bCs/>
          <w:iCs/>
        </w:rPr>
        <w:t xml:space="preserve"> analysis </w:t>
      </w:r>
      <w:r w:rsidR="00E06BF5">
        <w:rPr>
          <w:bCs/>
          <w:iCs/>
        </w:rPr>
        <w:t xml:space="preserve">of information, </w:t>
      </w:r>
      <w:r w:rsidR="003F3C82">
        <w:rPr>
          <w:bCs/>
          <w:iCs/>
        </w:rPr>
        <w:t>and preparation of reports</w:t>
      </w:r>
      <w:r w:rsidR="000A058C">
        <w:rPr>
          <w:bCs/>
          <w:iCs/>
        </w:rPr>
        <w:t>, including those in support to REDD+ implementers</w:t>
      </w:r>
      <w:r w:rsidR="00210CBB">
        <w:rPr>
          <w:bCs/>
          <w:iCs/>
        </w:rPr>
        <w:t xml:space="preserve"> efforts to collect information</w:t>
      </w:r>
      <w:r w:rsidR="003F3C82">
        <w:rPr>
          <w:bCs/>
          <w:iCs/>
        </w:rPr>
        <w:t xml:space="preserve"> (see sections II and III below)</w:t>
      </w:r>
      <w:r w:rsidR="00E06BF5">
        <w:rPr>
          <w:bCs/>
          <w:iCs/>
        </w:rPr>
        <w:t>;</w:t>
      </w:r>
    </w:p>
    <w:p w14:paraId="5514736D" w14:textId="4F418592" w:rsidR="00D368B9" w:rsidRDefault="00E06BF5" w:rsidP="00993ED1">
      <w:pPr>
        <w:pStyle w:val="ListParagraph"/>
        <w:numPr>
          <w:ilvl w:val="0"/>
          <w:numId w:val="22"/>
        </w:numPr>
        <w:rPr>
          <w:bCs/>
          <w:iCs/>
        </w:rPr>
      </w:pPr>
      <w:r>
        <w:rPr>
          <w:bCs/>
          <w:iCs/>
        </w:rPr>
        <w:t xml:space="preserve">associated with any </w:t>
      </w:r>
      <w:r w:rsidR="00D368B9" w:rsidRPr="008702A5">
        <w:rPr>
          <w:bCs/>
          <w:iCs/>
        </w:rPr>
        <w:t>capacity building activities and training</w:t>
      </w:r>
      <w:r>
        <w:rPr>
          <w:bCs/>
          <w:iCs/>
        </w:rPr>
        <w:t xml:space="preserve"> that the </w:t>
      </w:r>
      <w:r w:rsidRPr="00993ED1">
        <w:rPr>
          <w:bCs/>
          <w:iCs/>
        </w:rPr>
        <w:t>National Safeguards Specialist</w:t>
      </w:r>
      <w:r>
        <w:rPr>
          <w:bCs/>
          <w:iCs/>
        </w:rPr>
        <w:t xml:space="preserve"> deems necessary</w:t>
      </w:r>
      <w:r w:rsidR="002101E3">
        <w:rPr>
          <w:bCs/>
          <w:iCs/>
        </w:rPr>
        <w:t xml:space="preserve"> for </w:t>
      </w:r>
      <w:r w:rsidR="00F40586">
        <w:rPr>
          <w:bCs/>
          <w:iCs/>
        </w:rPr>
        <w:t>information management and reporting cycle</w:t>
      </w:r>
      <w:r>
        <w:rPr>
          <w:bCs/>
          <w:iCs/>
        </w:rPr>
        <w:t>;</w:t>
      </w:r>
    </w:p>
    <w:p w14:paraId="040A2840" w14:textId="2B2A6BDC" w:rsidR="00C0638C" w:rsidRPr="00993ED1" w:rsidRDefault="00C0638C" w:rsidP="00993ED1">
      <w:pPr>
        <w:pStyle w:val="ListParagraph"/>
        <w:numPr>
          <w:ilvl w:val="0"/>
          <w:numId w:val="22"/>
        </w:numPr>
        <w:rPr>
          <w:bCs/>
          <w:iCs/>
        </w:rPr>
      </w:pPr>
      <w:r>
        <w:rPr>
          <w:bCs/>
          <w:iCs/>
        </w:rPr>
        <w:t>associated with running the SIS website and database;</w:t>
      </w:r>
    </w:p>
    <w:p w14:paraId="1C9619E1" w14:textId="12127734" w:rsidR="00D713EB" w:rsidRDefault="00E06BF5" w:rsidP="00883F8E">
      <w:pPr>
        <w:pStyle w:val="ListParagraph"/>
        <w:numPr>
          <w:ilvl w:val="0"/>
          <w:numId w:val="22"/>
        </w:numPr>
      </w:pPr>
      <w:r>
        <w:t>associated with the</w:t>
      </w:r>
      <w:r w:rsidR="00D713EB" w:rsidRPr="00D713EB">
        <w:t xml:space="preserve"> transport and per diems for the National Safeguards Specialist to travel to provinces in </w:t>
      </w:r>
      <w:r w:rsidR="00210CBB">
        <w:t>relation to support required by REDD+ implementers</w:t>
      </w:r>
      <w:r w:rsidR="00883F8E">
        <w:t xml:space="preserve"> </w:t>
      </w:r>
      <w:r w:rsidR="00210CBB">
        <w:t>to collect and report information (</w:t>
      </w:r>
      <w:r w:rsidR="00EC7AB9">
        <w:t>see Section II)</w:t>
      </w:r>
      <w:r w:rsidR="00D713EB" w:rsidRPr="00D713EB">
        <w:t>.</w:t>
      </w:r>
    </w:p>
    <w:p w14:paraId="335B7622" w14:textId="4F5DFE13" w:rsidR="00D713EB" w:rsidRDefault="00D713EB" w:rsidP="00D713EB"/>
    <w:p w14:paraId="63E9101E" w14:textId="1830A199" w:rsidR="0053784F" w:rsidRDefault="0053784F" w:rsidP="00D713EB">
      <w:r>
        <w:t xml:space="preserve">Please refer to </w:t>
      </w:r>
      <w:r w:rsidR="00C126A9">
        <w:t>A</w:t>
      </w:r>
      <w:r>
        <w:t xml:space="preserve">nnex V for a </w:t>
      </w:r>
      <w:r w:rsidR="00225E0D" w:rsidRPr="00C05097">
        <w:t>hardcopy of a budgetary template</w:t>
      </w:r>
      <w:r w:rsidR="00225E0D" w:rsidRPr="00225E0D">
        <w:t xml:space="preserve"> </w:t>
      </w:r>
      <w:r w:rsidR="00494105">
        <w:t>for the preparation of this annual budget.</w:t>
      </w:r>
      <w:r w:rsidR="00E31794">
        <w:t xml:space="preserve"> Annex VI presents a hardcopy </w:t>
      </w:r>
      <w:r w:rsidR="007D6619">
        <w:t xml:space="preserve">of a workplan for </w:t>
      </w:r>
      <w:r w:rsidR="00584544">
        <w:t>24-month cycle in relation to the roles and responsibilities of the National Safeguards Specialist</w:t>
      </w:r>
      <w:r w:rsidR="007D6619">
        <w:rPr>
          <w:sz w:val="21"/>
          <w:szCs w:val="22"/>
        </w:rPr>
        <w:t>.</w:t>
      </w:r>
    </w:p>
    <w:p w14:paraId="791D2B64" w14:textId="77777777" w:rsidR="00D713EB" w:rsidRDefault="00D713EB" w:rsidP="00D713EB"/>
    <w:p w14:paraId="20C22907" w14:textId="6F16868C" w:rsidR="00D713EB" w:rsidRPr="00D713EB" w:rsidRDefault="00D713EB" w:rsidP="00D713EB">
      <w:pPr>
        <w:sectPr w:rsidR="00D713EB" w:rsidRPr="00D713EB" w:rsidSect="007F1A14">
          <w:pgSz w:w="11900" w:h="16840"/>
          <w:pgMar w:top="1440" w:right="1440" w:bottom="1440" w:left="1440" w:header="720" w:footer="720" w:gutter="0"/>
          <w:cols w:space="720"/>
          <w:docGrid w:linePitch="360"/>
        </w:sectPr>
      </w:pPr>
    </w:p>
    <w:p w14:paraId="1C73D2AB" w14:textId="5493B561" w:rsidR="009A74DC" w:rsidRPr="00D713EB" w:rsidRDefault="009A74DC" w:rsidP="009A74DC">
      <w:pPr>
        <w:pStyle w:val="Heading1"/>
      </w:pPr>
      <w:bookmarkStart w:id="7" w:name="_Toc59493616"/>
      <w:r w:rsidRPr="00D713EB">
        <w:t xml:space="preserve">Section II: </w:t>
      </w:r>
      <w:r w:rsidR="003B7B06">
        <w:t>Guidance</w:t>
      </w:r>
      <w:r w:rsidR="003B7B06" w:rsidRPr="00D713EB">
        <w:t xml:space="preserve"> </w:t>
      </w:r>
      <w:r w:rsidRPr="00D713EB">
        <w:t xml:space="preserve">for the </w:t>
      </w:r>
      <w:r w:rsidR="00DA7207" w:rsidRPr="00D713EB">
        <w:t>C</w:t>
      </w:r>
      <w:r w:rsidRPr="00D713EB">
        <w:t xml:space="preserve">ollection of </w:t>
      </w:r>
      <w:r w:rsidR="00DA7207" w:rsidRPr="00D713EB">
        <w:t>I</w:t>
      </w:r>
      <w:r w:rsidRPr="00D713EB">
        <w:t>nformation</w:t>
      </w:r>
      <w:bookmarkEnd w:id="7"/>
      <w:r w:rsidRPr="00D713EB">
        <w:t xml:space="preserve"> </w:t>
      </w:r>
    </w:p>
    <w:p w14:paraId="1F0C7BF1" w14:textId="18467762" w:rsidR="00393710" w:rsidRPr="00D713EB" w:rsidRDefault="00393710" w:rsidP="00393710"/>
    <w:p w14:paraId="25C94F4B" w14:textId="03580B9F" w:rsidR="00771819" w:rsidRPr="00D713EB" w:rsidRDefault="00771819" w:rsidP="00E64F7A">
      <w:r w:rsidRPr="00D713EB">
        <w:t xml:space="preserve">As noted above, the </w:t>
      </w:r>
      <w:r w:rsidR="00E64F7A" w:rsidRPr="00D713EB">
        <w:t xml:space="preserve">GoPNG </w:t>
      </w:r>
      <w:r w:rsidRPr="00D713EB">
        <w:t>has adopted two sets of indicators that allow for demonstrating</w:t>
      </w:r>
      <w:r w:rsidR="00E64F7A" w:rsidRPr="00D713EB">
        <w:t xml:space="preserve"> </w:t>
      </w:r>
      <w:r w:rsidR="00E64F7A" w:rsidRPr="00D713EB">
        <w:rPr>
          <w:i/>
        </w:rPr>
        <w:t>how</w:t>
      </w:r>
      <w:r w:rsidR="00E64F7A" w:rsidRPr="00D713EB">
        <w:rPr>
          <w:b/>
        </w:rPr>
        <w:t xml:space="preserve"> </w:t>
      </w:r>
      <w:r w:rsidR="00E64F7A" w:rsidRPr="00D713EB">
        <w:t>the seven UNFCCC REDD+ safeguards have been “addressed” and “respected” throughout the implementation of the REDD+ activities</w:t>
      </w:r>
      <w:r w:rsidRPr="00D713EB">
        <w:t xml:space="preserve">. </w:t>
      </w:r>
    </w:p>
    <w:p w14:paraId="3C5B3C30" w14:textId="77777777" w:rsidR="00771819" w:rsidRPr="00D713EB" w:rsidRDefault="00771819" w:rsidP="00E64F7A"/>
    <w:p w14:paraId="7C95FED1" w14:textId="78A71130" w:rsidR="00E64F7A" w:rsidRPr="00D713EB" w:rsidRDefault="001417EC" w:rsidP="00E64F7A">
      <w:r>
        <w:t>It i</w:t>
      </w:r>
      <w:r w:rsidR="00771819" w:rsidRPr="00D713EB">
        <w:t>s important to consider the scope of each of these set of indicators for purposes of</w:t>
      </w:r>
      <w:r w:rsidR="00313883" w:rsidRPr="00D713EB">
        <w:t xml:space="preserve"> the collection of information</w:t>
      </w:r>
      <w:r w:rsidR="00127DC2" w:rsidRPr="00D713EB">
        <w:t xml:space="preserve"> (see also </w:t>
      </w:r>
      <w:r w:rsidR="00C126A9">
        <w:t>F</w:t>
      </w:r>
      <w:r w:rsidR="00127DC2" w:rsidRPr="00D713EB">
        <w:t>igure 3)</w:t>
      </w:r>
      <w:r w:rsidR="00313883" w:rsidRPr="00D713EB">
        <w:t xml:space="preserve">: </w:t>
      </w:r>
    </w:p>
    <w:p w14:paraId="5AC15548" w14:textId="77777777" w:rsidR="00313883" w:rsidRPr="00D713EB" w:rsidRDefault="00313883" w:rsidP="00E64F7A"/>
    <w:p w14:paraId="64BFEE37" w14:textId="7389DCBD" w:rsidR="00313883" w:rsidRPr="00D713EB" w:rsidRDefault="00771819" w:rsidP="00F05573">
      <w:pPr>
        <w:pStyle w:val="ListParagraph"/>
        <w:numPr>
          <w:ilvl w:val="0"/>
          <w:numId w:val="10"/>
        </w:numPr>
        <w:rPr>
          <w:iCs/>
        </w:rPr>
      </w:pPr>
      <w:r w:rsidRPr="00D713EB">
        <w:rPr>
          <w:b/>
          <w:bCs/>
          <w:iCs/>
        </w:rPr>
        <w:t>Indicators linked to ‘addressing’</w:t>
      </w:r>
      <w:r w:rsidR="00313883" w:rsidRPr="00D713EB">
        <w:rPr>
          <w:iCs/>
        </w:rPr>
        <w:t>: these</w:t>
      </w:r>
      <w:r w:rsidRPr="00D713EB">
        <w:rPr>
          <w:iCs/>
        </w:rPr>
        <w:t xml:space="preserve"> </w:t>
      </w:r>
      <w:r w:rsidR="00313883" w:rsidRPr="00D713EB">
        <w:rPr>
          <w:iCs/>
        </w:rPr>
        <w:t xml:space="preserve">are indicators </w:t>
      </w:r>
      <w:r w:rsidR="00127DC2" w:rsidRPr="00D713EB">
        <w:rPr>
          <w:iCs/>
        </w:rPr>
        <w:t>aimed at</w:t>
      </w:r>
      <w:r w:rsidR="00313883" w:rsidRPr="00D713EB">
        <w:rPr>
          <w:iCs/>
        </w:rPr>
        <w:t xml:space="preserve"> demonstrating what </w:t>
      </w:r>
      <w:r w:rsidR="00E937F8" w:rsidRPr="00D713EB">
        <w:rPr>
          <w:iCs/>
        </w:rPr>
        <w:t>policies, laws, regulations, institutional arrangements</w:t>
      </w:r>
      <w:r w:rsidR="00E937F8">
        <w:rPr>
          <w:iCs/>
        </w:rPr>
        <w:t xml:space="preserve"> and other mechanisms the</w:t>
      </w:r>
      <w:r w:rsidR="00E937F8" w:rsidRPr="00D713EB">
        <w:rPr>
          <w:iCs/>
        </w:rPr>
        <w:t xml:space="preserve"> </w:t>
      </w:r>
      <w:r w:rsidR="00313883" w:rsidRPr="00D713EB">
        <w:rPr>
          <w:iCs/>
        </w:rPr>
        <w:t>GoPNG</w:t>
      </w:r>
      <w:r w:rsidRPr="00D713EB">
        <w:rPr>
          <w:iCs/>
        </w:rPr>
        <w:t xml:space="preserve"> ha</w:t>
      </w:r>
      <w:r w:rsidR="00313883" w:rsidRPr="00D713EB">
        <w:rPr>
          <w:iCs/>
        </w:rPr>
        <w:t>s</w:t>
      </w:r>
      <w:r w:rsidRPr="00D713EB">
        <w:rPr>
          <w:iCs/>
        </w:rPr>
        <w:t>, and</w:t>
      </w:r>
      <w:r w:rsidR="00E937F8">
        <w:rPr>
          <w:iCs/>
        </w:rPr>
        <w:t>/or</w:t>
      </w:r>
      <w:r w:rsidRPr="00D713EB">
        <w:rPr>
          <w:iCs/>
        </w:rPr>
        <w:t xml:space="preserve"> plan</w:t>
      </w:r>
      <w:r w:rsidR="00313883" w:rsidRPr="00D713EB">
        <w:rPr>
          <w:iCs/>
        </w:rPr>
        <w:t>s</w:t>
      </w:r>
      <w:r w:rsidRPr="00D713EB">
        <w:rPr>
          <w:iCs/>
        </w:rPr>
        <w:t xml:space="preserve"> to have, in place to guarantee </w:t>
      </w:r>
      <w:r w:rsidR="00030C09">
        <w:rPr>
          <w:iCs/>
        </w:rPr>
        <w:t>conformance with the</w:t>
      </w:r>
      <w:r w:rsidRPr="00D713EB">
        <w:rPr>
          <w:iCs/>
        </w:rPr>
        <w:t xml:space="preserve"> safeguards</w:t>
      </w:r>
      <w:r w:rsidR="00030C09">
        <w:rPr>
          <w:iCs/>
        </w:rPr>
        <w:t xml:space="preserve"> in the context of the implementation of REDD+ activities (and actions) as defined in the </w:t>
      </w:r>
      <w:proofErr w:type="spellStart"/>
      <w:r w:rsidR="00854668" w:rsidRPr="00D713EB">
        <w:t>GoPNG’s</w:t>
      </w:r>
      <w:proofErr w:type="spellEnd"/>
      <w:r w:rsidR="00854668" w:rsidRPr="00D713EB">
        <w:t xml:space="preserve"> National REDD+ Strategy</w:t>
      </w:r>
      <w:r w:rsidRPr="00D713EB">
        <w:rPr>
          <w:iCs/>
        </w:rPr>
        <w:t xml:space="preserve">. Consequently, information </w:t>
      </w:r>
      <w:r w:rsidR="00313883" w:rsidRPr="00D713EB">
        <w:rPr>
          <w:iCs/>
        </w:rPr>
        <w:t>to be provided in relation to these indicators</w:t>
      </w:r>
      <w:r w:rsidRPr="00D713EB">
        <w:rPr>
          <w:iCs/>
        </w:rPr>
        <w:t xml:space="preserve"> generally pertain</w:t>
      </w:r>
      <w:r w:rsidR="00313883" w:rsidRPr="00D713EB">
        <w:rPr>
          <w:iCs/>
        </w:rPr>
        <w:t>s</w:t>
      </w:r>
      <w:r w:rsidRPr="00D713EB">
        <w:rPr>
          <w:iCs/>
        </w:rPr>
        <w:t xml:space="preserve"> </w:t>
      </w:r>
      <w:r w:rsidR="00854668">
        <w:rPr>
          <w:iCs/>
        </w:rPr>
        <w:t>an</w:t>
      </w:r>
      <w:r w:rsidR="00854668" w:rsidRPr="00D713EB">
        <w:rPr>
          <w:iCs/>
        </w:rPr>
        <w:t xml:space="preserve"> </w:t>
      </w:r>
      <w:r w:rsidR="00127DC2" w:rsidRPr="00D713EB">
        <w:rPr>
          <w:iCs/>
        </w:rPr>
        <w:t>explan</w:t>
      </w:r>
      <w:r w:rsidR="00854668">
        <w:rPr>
          <w:iCs/>
        </w:rPr>
        <w:t>ation</w:t>
      </w:r>
      <w:r w:rsidR="00127DC2" w:rsidRPr="00D713EB">
        <w:rPr>
          <w:iCs/>
        </w:rPr>
        <w:t>/descri</w:t>
      </w:r>
      <w:r w:rsidR="00854668">
        <w:rPr>
          <w:iCs/>
        </w:rPr>
        <w:t>ption</w:t>
      </w:r>
      <w:r w:rsidR="00127DC2" w:rsidRPr="00D713EB">
        <w:rPr>
          <w:iCs/>
        </w:rPr>
        <w:t xml:space="preserve"> </w:t>
      </w:r>
      <w:r w:rsidR="00854668">
        <w:rPr>
          <w:iCs/>
        </w:rPr>
        <w:t>of those</w:t>
      </w:r>
      <w:r w:rsidR="00127DC2" w:rsidRPr="00D713EB">
        <w:rPr>
          <w:iCs/>
        </w:rPr>
        <w:t xml:space="preserve"> </w:t>
      </w:r>
      <w:r w:rsidR="00313883" w:rsidRPr="00D713EB">
        <w:rPr>
          <w:iCs/>
        </w:rPr>
        <w:t xml:space="preserve">policies, laws, regulations, institutional arrangements, etc., </w:t>
      </w:r>
      <w:r w:rsidRPr="00D713EB">
        <w:rPr>
          <w:iCs/>
        </w:rPr>
        <w:t xml:space="preserve">which would seek to guarantee the implementation of the safeguards. </w:t>
      </w:r>
      <w:r w:rsidR="00A14609">
        <w:rPr>
          <w:iCs/>
        </w:rPr>
        <w:t xml:space="preserve">This includes any relevant information from existing relevant </w:t>
      </w:r>
      <w:r w:rsidR="00B904E5">
        <w:rPr>
          <w:iCs/>
        </w:rPr>
        <w:t xml:space="preserve">information sources or systems in relation to the application to said </w:t>
      </w:r>
      <w:r w:rsidR="00B904E5" w:rsidRPr="00D713EB">
        <w:rPr>
          <w:iCs/>
        </w:rPr>
        <w:t>policies, laws, regulations, institutional arrangements</w:t>
      </w:r>
      <w:r w:rsidR="00B904E5">
        <w:rPr>
          <w:iCs/>
        </w:rPr>
        <w:t xml:space="preserve"> and other mechanisms.</w:t>
      </w:r>
    </w:p>
    <w:p w14:paraId="13962B30" w14:textId="52809B91" w:rsidR="00771819" w:rsidRPr="00D713EB" w:rsidRDefault="00B904E5" w:rsidP="00F05573">
      <w:pPr>
        <w:pStyle w:val="ListParagraph"/>
        <w:numPr>
          <w:ilvl w:val="0"/>
          <w:numId w:val="10"/>
        </w:numPr>
        <w:rPr>
          <w:iCs/>
        </w:rPr>
      </w:pPr>
      <w:r>
        <w:rPr>
          <w:b/>
          <w:bCs/>
          <w:iCs/>
        </w:rPr>
        <w:t>I</w:t>
      </w:r>
      <w:r w:rsidR="00313883" w:rsidRPr="00D713EB">
        <w:rPr>
          <w:b/>
          <w:bCs/>
          <w:iCs/>
        </w:rPr>
        <w:t xml:space="preserve">ndicators linked to </w:t>
      </w:r>
      <w:r w:rsidR="00771819" w:rsidRPr="00D713EB">
        <w:rPr>
          <w:b/>
          <w:bCs/>
          <w:iCs/>
        </w:rPr>
        <w:t>‘respect</w:t>
      </w:r>
      <w:r w:rsidR="00313883" w:rsidRPr="00D713EB">
        <w:rPr>
          <w:b/>
          <w:bCs/>
          <w:iCs/>
        </w:rPr>
        <w:t>ing</w:t>
      </w:r>
      <w:r w:rsidR="00771819" w:rsidRPr="00D713EB">
        <w:rPr>
          <w:b/>
          <w:bCs/>
          <w:iCs/>
        </w:rPr>
        <w:t>’</w:t>
      </w:r>
      <w:r w:rsidR="00313883" w:rsidRPr="00D713EB">
        <w:rPr>
          <w:iCs/>
        </w:rPr>
        <w:t xml:space="preserve">: these are indicators </w:t>
      </w:r>
      <w:r w:rsidR="00127DC2" w:rsidRPr="00D713EB">
        <w:rPr>
          <w:iCs/>
        </w:rPr>
        <w:t>aimed at</w:t>
      </w:r>
      <w:r w:rsidR="00313883" w:rsidRPr="00D713EB">
        <w:rPr>
          <w:iCs/>
        </w:rPr>
        <w:t xml:space="preserve"> demonstrating </w:t>
      </w:r>
      <w:r w:rsidR="00552AF0">
        <w:rPr>
          <w:iCs/>
        </w:rPr>
        <w:t xml:space="preserve">the extent to which </w:t>
      </w:r>
      <w:r w:rsidR="00B26654" w:rsidRPr="00D713EB">
        <w:rPr>
          <w:iCs/>
        </w:rPr>
        <w:t xml:space="preserve">each of the Cancun </w:t>
      </w:r>
      <w:r w:rsidR="005C457E">
        <w:rPr>
          <w:iCs/>
        </w:rPr>
        <w:t>S</w:t>
      </w:r>
      <w:r w:rsidR="00B26654" w:rsidRPr="00D713EB">
        <w:rPr>
          <w:iCs/>
        </w:rPr>
        <w:t>afeguard has been achieved when implementing REDD+ actions, including any actions, taken or planned, to improve implementation measures over time</w:t>
      </w:r>
      <w:r w:rsidR="00B26654">
        <w:rPr>
          <w:iCs/>
        </w:rPr>
        <w:t>, in accordance with those</w:t>
      </w:r>
      <w:r w:rsidR="00313883" w:rsidRPr="00D713EB">
        <w:rPr>
          <w:iCs/>
        </w:rPr>
        <w:t xml:space="preserve"> policies, laws, regulations, institutional arrangements, etc. in place</w:t>
      </w:r>
      <w:r w:rsidR="00771819" w:rsidRPr="00D713EB">
        <w:rPr>
          <w:iCs/>
        </w:rPr>
        <w:t xml:space="preserve"> </w:t>
      </w:r>
      <w:r w:rsidR="00642CA9" w:rsidRPr="00D713EB">
        <w:rPr>
          <w:iCs/>
        </w:rPr>
        <w:t xml:space="preserve">(i.e. those outlined in response to the ‘addressing’ indicators) </w:t>
      </w:r>
      <w:r w:rsidR="00B26654">
        <w:rPr>
          <w:iCs/>
        </w:rPr>
        <w:t xml:space="preserve">and identified as relevant for </w:t>
      </w:r>
      <w:r w:rsidR="00771819" w:rsidRPr="00D713EB">
        <w:rPr>
          <w:iCs/>
        </w:rPr>
        <w:t xml:space="preserve">safeguarding the implementation of REDD+ actions. </w:t>
      </w:r>
      <w:r w:rsidR="00F84433">
        <w:rPr>
          <w:iCs/>
        </w:rPr>
        <w:t xml:space="preserve">Accordingly, </w:t>
      </w:r>
      <w:r w:rsidR="0070516F">
        <w:rPr>
          <w:iCs/>
        </w:rPr>
        <w:t xml:space="preserve">indicators aimed at demonstrating the respect of Cancun Safeguards will allow to </w:t>
      </w:r>
      <w:r w:rsidR="00771819" w:rsidRPr="00D713EB">
        <w:rPr>
          <w:iCs/>
        </w:rPr>
        <w:t xml:space="preserve">demonstrate the </w:t>
      </w:r>
      <w:r w:rsidR="0070516F">
        <w:rPr>
          <w:iCs/>
        </w:rPr>
        <w:t xml:space="preserve">effectiveness of said </w:t>
      </w:r>
      <w:r w:rsidR="0070516F" w:rsidRPr="00D713EB">
        <w:rPr>
          <w:iCs/>
        </w:rPr>
        <w:t>policies, laws, regulations, institutional arrangements</w:t>
      </w:r>
      <w:r w:rsidR="0070516F">
        <w:rPr>
          <w:iCs/>
        </w:rPr>
        <w:t xml:space="preserve"> and other mechanisms in guaranteeing REDD+ implementation in consistency </w:t>
      </w:r>
      <w:r w:rsidR="00211605">
        <w:rPr>
          <w:iCs/>
        </w:rPr>
        <w:t>with the safeguards</w:t>
      </w:r>
      <w:r w:rsidR="00771819" w:rsidRPr="00D713EB">
        <w:rPr>
          <w:iCs/>
        </w:rPr>
        <w:t>.</w:t>
      </w:r>
    </w:p>
    <w:p w14:paraId="1F2355D8" w14:textId="45606747" w:rsidR="00E64F7A" w:rsidRPr="00D713EB" w:rsidRDefault="00E64F7A" w:rsidP="00E64F7A"/>
    <w:p w14:paraId="1E66D84D" w14:textId="6A84BCB7" w:rsidR="00127DC2" w:rsidRPr="00D713EB" w:rsidRDefault="00127DC2" w:rsidP="00E64F7A"/>
    <w:p w14:paraId="5B928993" w14:textId="785D0F0D" w:rsidR="00127DC2" w:rsidRPr="00D713EB" w:rsidRDefault="00127DC2" w:rsidP="00CB624C">
      <w:pPr>
        <w:pStyle w:val="Caption"/>
      </w:pPr>
      <w:r w:rsidRPr="00D713EB">
        <w:t xml:space="preserve">Figure </w:t>
      </w:r>
      <w:r w:rsidRPr="00D713EB">
        <w:fldChar w:fldCharType="begin"/>
      </w:r>
      <w:r w:rsidRPr="00D713EB">
        <w:instrText xml:space="preserve"> SEQ Figure \* ARABIC </w:instrText>
      </w:r>
      <w:r w:rsidRPr="00D713EB">
        <w:fldChar w:fldCharType="separate"/>
      </w:r>
      <w:r w:rsidR="00A36915">
        <w:rPr>
          <w:noProof/>
        </w:rPr>
        <w:t>3</w:t>
      </w:r>
      <w:r w:rsidRPr="00D713EB">
        <w:fldChar w:fldCharType="end"/>
      </w:r>
      <w:r w:rsidRPr="00D713EB">
        <w:t>: Role of each set of indicators</w:t>
      </w:r>
    </w:p>
    <w:p w14:paraId="7276D1E1" w14:textId="736D979C" w:rsidR="00127DC2" w:rsidRPr="00D713EB" w:rsidRDefault="003B6141" w:rsidP="00CB624C">
      <w:pPr>
        <w:jc w:val="center"/>
      </w:pPr>
      <w:r w:rsidRPr="003B6141">
        <w:rPr>
          <w:noProof/>
        </w:rPr>
        <w:drawing>
          <wp:inline distT="0" distB="0" distL="0" distR="0" wp14:anchorId="2E673073" wp14:editId="3F55131B">
            <wp:extent cx="4112022" cy="2558845"/>
            <wp:effectExtent l="0" t="0" r="3175" b="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a:blip r:embed="rId21"/>
                    <a:stretch>
                      <a:fillRect/>
                    </a:stretch>
                  </pic:blipFill>
                  <pic:spPr>
                    <a:xfrm>
                      <a:off x="0" y="0"/>
                      <a:ext cx="4117770" cy="2562422"/>
                    </a:xfrm>
                    <a:prstGeom prst="rect">
                      <a:avLst/>
                    </a:prstGeom>
                  </pic:spPr>
                </pic:pic>
              </a:graphicData>
            </a:graphic>
          </wp:inline>
        </w:drawing>
      </w:r>
    </w:p>
    <w:p w14:paraId="4A3A0284" w14:textId="2E7F5CD8" w:rsidR="00127DC2" w:rsidRPr="00D713EB" w:rsidRDefault="00127DC2" w:rsidP="00E64F7A"/>
    <w:p w14:paraId="67198A9B" w14:textId="77777777" w:rsidR="00127DC2" w:rsidRPr="00D713EB" w:rsidRDefault="00127DC2" w:rsidP="00E64F7A"/>
    <w:p w14:paraId="43887F24" w14:textId="206B428F" w:rsidR="00A45E8B" w:rsidRPr="00D713EB" w:rsidRDefault="00A45E8B" w:rsidP="00E64F7A">
      <w:r w:rsidRPr="00D713EB">
        <w:t xml:space="preserve">The subsections below provide clear </w:t>
      </w:r>
      <w:r w:rsidR="00F176CD">
        <w:t>guidance, roles and responsibilities</w:t>
      </w:r>
      <w:r w:rsidRPr="00D713EB">
        <w:t xml:space="preserve"> in relation to </w:t>
      </w:r>
      <w:r w:rsidR="00F176CD">
        <w:t xml:space="preserve">the collection of information </w:t>
      </w:r>
      <w:r w:rsidR="00943EF3">
        <w:t xml:space="preserve">for </w:t>
      </w:r>
      <w:r w:rsidRPr="00D713EB">
        <w:t>each of these set of indicators.</w:t>
      </w:r>
      <w:r w:rsidR="00190A18">
        <w:t xml:space="preserve"> </w:t>
      </w:r>
    </w:p>
    <w:p w14:paraId="0E77F13B" w14:textId="1B707014" w:rsidR="00A45E8B" w:rsidRPr="00D713EB" w:rsidRDefault="00A45E8B" w:rsidP="00E64F7A">
      <w:r w:rsidRPr="00D713EB">
        <w:t xml:space="preserve"> </w:t>
      </w:r>
    </w:p>
    <w:p w14:paraId="24403E9D" w14:textId="2A68EEB7" w:rsidR="000245B7" w:rsidRPr="00D713EB" w:rsidRDefault="000245B7" w:rsidP="000245B7">
      <w:pPr>
        <w:pStyle w:val="Heading2"/>
      </w:pPr>
      <w:bookmarkStart w:id="8" w:name="_Toc59493617"/>
      <w:r w:rsidRPr="00D713EB">
        <w:t>2.1. Who is responsible</w:t>
      </w:r>
      <w:r w:rsidR="00A45E8B" w:rsidRPr="00D713EB">
        <w:t xml:space="preserve"> for collecting information</w:t>
      </w:r>
      <w:r w:rsidRPr="00D713EB">
        <w:t>?</w:t>
      </w:r>
      <w:bookmarkEnd w:id="8"/>
    </w:p>
    <w:p w14:paraId="1599481E" w14:textId="77777777" w:rsidR="00821BE0" w:rsidRPr="00D713EB" w:rsidRDefault="00821BE0" w:rsidP="00CB624C">
      <w:pPr>
        <w:pStyle w:val="Heading3"/>
      </w:pPr>
    </w:p>
    <w:p w14:paraId="0AB5DB5E" w14:textId="1CB43C1B" w:rsidR="00A45E8B" w:rsidRPr="00D713EB" w:rsidRDefault="005A2D15" w:rsidP="00787463">
      <w:pPr>
        <w:rPr>
          <w:iCs/>
        </w:rPr>
      </w:pPr>
      <w:r w:rsidRPr="00D713EB">
        <w:rPr>
          <w:iCs/>
        </w:rPr>
        <w:t>T</w:t>
      </w:r>
      <w:r w:rsidR="00A45E8B" w:rsidRPr="00D713EB">
        <w:rPr>
          <w:iCs/>
        </w:rPr>
        <w:t xml:space="preserve">he </w:t>
      </w:r>
      <w:r w:rsidR="00A45E8B" w:rsidRPr="00D713EB">
        <w:rPr>
          <w:b/>
          <w:bCs/>
          <w:iCs/>
        </w:rPr>
        <w:t>REDD+ Safeguards TWC</w:t>
      </w:r>
      <w:r w:rsidR="00FB03CC">
        <w:rPr>
          <w:b/>
          <w:bCs/>
          <w:iCs/>
        </w:rPr>
        <w:t>,</w:t>
      </w:r>
      <w:r w:rsidR="00A45E8B" w:rsidRPr="00D713EB">
        <w:rPr>
          <w:b/>
          <w:bCs/>
          <w:iCs/>
        </w:rPr>
        <w:t xml:space="preserve"> with the </w:t>
      </w:r>
      <w:r w:rsidR="00FB03CC">
        <w:rPr>
          <w:b/>
          <w:bCs/>
          <w:iCs/>
        </w:rPr>
        <w:t xml:space="preserve">technical and operational </w:t>
      </w:r>
      <w:r w:rsidR="00A45E8B" w:rsidRPr="00D713EB">
        <w:rPr>
          <w:b/>
          <w:bCs/>
          <w:iCs/>
        </w:rPr>
        <w:t>support of the National Safeguard Specialist</w:t>
      </w:r>
      <w:r w:rsidR="00FB03CC">
        <w:rPr>
          <w:b/>
          <w:bCs/>
          <w:iCs/>
        </w:rPr>
        <w:t>,</w:t>
      </w:r>
      <w:r w:rsidR="00A45E8B" w:rsidRPr="00D713EB">
        <w:t xml:space="preserve"> will be responsible for collecting</w:t>
      </w:r>
      <w:r w:rsidR="00FB03CC">
        <w:t xml:space="preserve"> and/or aggregating</w:t>
      </w:r>
      <w:r w:rsidR="00A051FE">
        <w:t xml:space="preserve"> relevant</w:t>
      </w:r>
      <w:r w:rsidR="00A45E8B" w:rsidRPr="00D713EB">
        <w:t xml:space="preserve"> information </w:t>
      </w:r>
      <w:r w:rsidR="00262F8E" w:rsidRPr="00D713EB">
        <w:t xml:space="preserve">for demonstrating </w:t>
      </w:r>
      <w:r w:rsidR="00B841EE">
        <w:t xml:space="preserve">how safeguards have been </w:t>
      </w:r>
      <w:r w:rsidR="00B841EE" w:rsidRPr="00CB624C">
        <w:rPr>
          <w:b/>
          <w:bCs/>
          <w:i/>
          <w:iCs/>
        </w:rPr>
        <w:t>addressed</w:t>
      </w:r>
      <w:r w:rsidR="00B841EE">
        <w:t xml:space="preserve"> in the context of the implementation of </w:t>
      </w:r>
      <w:proofErr w:type="spellStart"/>
      <w:r w:rsidR="00026164">
        <w:t>GoPNG’s</w:t>
      </w:r>
      <w:proofErr w:type="spellEnd"/>
      <w:r w:rsidR="00026164">
        <w:t xml:space="preserve"> National REDD+ Strategy. </w:t>
      </w:r>
      <w:r w:rsidR="00821C65" w:rsidRPr="00D713EB">
        <w:rPr>
          <w:iCs/>
        </w:rPr>
        <w:t xml:space="preserve">The </w:t>
      </w:r>
      <w:r w:rsidR="00821C65" w:rsidRPr="00D713EB">
        <w:rPr>
          <w:b/>
          <w:bCs/>
          <w:iCs/>
        </w:rPr>
        <w:t>REDD+ Safeguards TWC</w:t>
      </w:r>
      <w:r w:rsidR="00821C65">
        <w:rPr>
          <w:b/>
          <w:bCs/>
          <w:iCs/>
        </w:rPr>
        <w:t>,</w:t>
      </w:r>
      <w:r w:rsidR="00821C65" w:rsidRPr="00D713EB">
        <w:rPr>
          <w:b/>
          <w:bCs/>
          <w:iCs/>
        </w:rPr>
        <w:t xml:space="preserve"> support</w:t>
      </w:r>
      <w:r w:rsidR="00821C65">
        <w:rPr>
          <w:b/>
          <w:bCs/>
          <w:iCs/>
        </w:rPr>
        <w:t>ed by</w:t>
      </w:r>
      <w:r w:rsidR="00821C65" w:rsidRPr="00D713EB">
        <w:rPr>
          <w:b/>
          <w:bCs/>
          <w:iCs/>
        </w:rPr>
        <w:t xml:space="preserve"> the National Safeguard Specialist</w:t>
      </w:r>
      <w:r w:rsidR="00821C65">
        <w:rPr>
          <w:b/>
          <w:bCs/>
          <w:iCs/>
        </w:rPr>
        <w:t xml:space="preserve"> </w:t>
      </w:r>
      <w:r w:rsidR="009D7306">
        <w:rPr>
          <w:iCs/>
        </w:rPr>
        <w:t>will</w:t>
      </w:r>
      <w:r w:rsidR="00821C65">
        <w:rPr>
          <w:iCs/>
        </w:rPr>
        <w:t xml:space="preserve"> </w:t>
      </w:r>
      <w:r w:rsidR="009F1598">
        <w:rPr>
          <w:iCs/>
        </w:rPr>
        <w:t xml:space="preserve">also </w:t>
      </w:r>
      <w:r w:rsidR="00821C65">
        <w:rPr>
          <w:iCs/>
        </w:rPr>
        <w:t xml:space="preserve">collect information </w:t>
      </w:r>
      <w:r w:rsidR="009D7306">
        <w:rPr>
          <w:iCs/>
        </w:rPr>
        <w:t>with regards to actions that enhance the implementation</w:t>
      </w:r>
      <w:r w:rsidR="006B0467">
        <w:rPr>
          <w:iCs/>
        </w:rPr>
        <w:t xml:space="preserve"> of the safeguards</w:t>
      </w:r>
      <w:r w:rsidR="009F1598">
        <w:rPr>
          <w:iCs/>
        </w:rPr>
        <w:t>,</w:t>
      </w:r>
      <w:r w:rsidR="00821C65">
        <w:rPr>
          <w:iCs/>
        </w:rPr>
        <w:t xml:space="preserve"> for instance in cases where the GoPNG or the CCDA implement actions to improve the improve the effectiveness of the </w:t>
      </w:r>
      <w:r w:rsidR="00821C65" w:rsidRPr="00D713EB">
        <w:rPr>
          <w:iCs/>
        </w:rPr>
        <w:t>policies, laws, regulations, institutional arrangements</w:t>
      </w:r>
      <w:r w:rsidR="00821C65">
        <w:rPr>
          <w:iCs/>
        </w:rPr>
        <w:t xml:space="preserve"> and other mechanisms in guaranteeing REDD+ implementation in consistency with the safeguards.</w:t>
      </w:r>
      <w:r w:rsidR="00CD7411">
        <w:rPr>
          <w:iCs/>
        </w:rPr>
        <w:t xml:space="preserve"> </w:t>
      </w:r>
    </w:p>
    <w:p w14:paraId="4C60C2B4" w14:textId="77777777" w:rsidR="00787463" w:rsidRDefault="00787463" w:rsidP="00787463">
      <w:pPr>
        <w:rPr>
          <w:iCs/>
        </w:rPr>
      </w:pPr>
    </w:p>
    <w:p w14:paraId="1E8713A2" w14:textId="57900D72" w:rsidR="00787463" w:rsidRPr="00D713EB" w:rsidRDefault="005A2D15" w:rsidP="00787463">
      <w:pPr>
        <w:rPr>
          <w:iCs/>
        </w:rPr>
      </w:pPr>
      <w:r w:rsidRPr="00D713EB">
        <w:rPr>
          <w:iCs/>
        </w:rPr>
        <w:t>T</w:t>
      </w:r>
      <w:r w:rsidR="001D4A4F" w:rsidRPr="00D713EB">
        <w:rPr>
          <w:rFonts w:cstheme="minorHAnsi"/>
          <w:bCs/>
          <w:szCs w:val="21"/>
        </w:rPr>
        <w:t>he</w:t>
      </w:r>
      <w:r w:rsidR="001D4A4F" w:rsidRPr="00D713EB">
        <w:rPr>
          <w:rFonts w:cstheme="minorHAnsi"/>
          <w:b/>
        </w:rPr>
        <w:t xml:space="preserve"> REDD+ Implement</w:t>
      </w:r>
      <w:r w:rsidR="00821BE0" w:rsidRPr="00D713EB">
        <w:rPr>
          <w:rFonts w:cstheme="minorHAnsi"/>
          <w:b/>
        </w:rPr>
        <w:t>e</w:t>
      </w:r>
      <w:r w:rsidR="001D4A4F" w:rsidRPr="00D713EB">
        <w:rPr>
          <w:rFonts w:cstheme="minorHAnsi"/>
          <w:b/>
        </w:rPr>
        <w:t>rs</w:t>
      </w:r>
      <w:r w:rsidR="00366008">
        <w:rPr>
          <w:rFonts w:cstheme="minorHAnsi"/>
          <w:b/>
        </w:rPr>
        <w:t xml:space="preserve"> </w:t>
      </w:r>
      <w:r w:rsidR="00366008">
        <w:rPr>
          <w:rFonts w:cstheme="minorHAnsi"/>
          <w:bCs/>
        </w:rPr>
        <w:t xml:space="preserve">have a key role in collecting information on how safeguards have been </w:t>
      </w:r>
      <w:r w:rsidR="00366008">
        <w:rPr>
          <w:rFonts w:cstheme="minorHAnsi"/>
          <w:b/>
          <w:i/>
          <w:iCs/>
        </w:rPr>
        <w:t>respected</w:t>
      </w:r>
      <w:r w:rsidR="003261C7">
        <w:rPr>
          <w:rFonts w:cstheme="minorHAnsi"/>
          <w:b/>
          <w:i/>
          <w:iCs/>
        </w:rPr>
        <w:t xml:space="preserve"> </w:t>
      </w:r>
      <w:r w:rsidR="003261C7">
        <w:rPr>
          <w:rFonts w:cstheme="minorHAnsi"/>
          <w:bCs/>
        </w:rPr>
        <w:t>in the context of on-the-ground implementation</w:t>
      </w:r>
      <w:r w:rsidR="00366008">
        <w:rPr>
          <w:rFonts w:cstheme="minorHAnsi"/>
          <w:b/>
          <w:i/>
          <w:iCs/>
        </w:rPr>
        <w:t xml:space="preserve">, </w:t>
      </w:r>
      <w:r w:rsidR="001D4A4F" w:rsidRPr="00D713EB">
        <w:rPr>
          <w:rFonts w:cstheme="minorHAnsi"/>
          <w:bCs/>
        </w:rPr>
        <w:t xml:space="preserve">as </w:t>
      </w:r>
      <w:r w:rsidR="00366008">
        <w:rPr>
          <w:rFonts w:cstheme="minorHAnsi"/>
          <w:bCs/>
        </w:rPr>
        <w:t xml:space="preserve">part of </w:t>
      </w:r>
      <w:r w:rsidR="001D4A4F" w:rsidRPr="00D713EB">
        <w:rPr>
          <w:rFonts w:cstheme="minorHAnsi"/>
          <w:bCs/>
        </w:rPr>
        <w:t xml:space="preserve">their </w:t>
      </w:r>
      <w:r w:rsidR="001D4A4F" w:rsidRPr="00D713EB">
        <w:rPr>
          <w:rFonts w:cstheme="minorHAnsi"/>
          <w:szCs w:val="21"/>
        </w:rPr>
        <w:t xml:space="preserve">monitoring and reporting </w:t>
      </w:r>
      <w:r w:rsidR="001D4A4F" w:rsidRPr="00D713EB">
        <w:rPr>
          <w:rFonts w:cstheme="minorHAnsi"/>
          <w:bCs/>
          <w:szCs w:val="21"/>
        </w:rPr>
        <w:t xml:space="preserve">responsibilities </w:t>
      </w:r>
      <w:r w:rsidR="00F65525">
        <w:rPr>
          <w:rFonts w:cstheme="minorHAnsi"/>
          <w:bCs/>
          <w:szCs w:val="21"/>
        </w:rPr>
        <w:t>with regards to</w:t>
      </w:r>
      <w:r w:rsidR="00F65525" w:rsidRPr="00D713EB">
        <w:rPr>
          <w:rFonts w:cstheme="minorHAnsi"/>
          <w:bCs/>
          <w:szCs w:val="21"/>
        </w:rPr>
        <w:t xml:space="preserve"> </w:t>
      </w:r>
      <w:r w:rsidR="001D4A4F" w:rsidRPr="00D713EB">
        <w:rPr>
          <w:rFonts w:cstheme="minorHAnsi"/>
          <w:bCs/>
          <w:szCs w:val="21"/>
        </w:rPr>
        <w:t xml:space="preserve">the implementation of REDD+ </w:t>
      </w:r>
      <w:r w:rsidR="000245B7" w:rsidRPr="00D713EB">
        <w:rPr>
          <w:rFonts w:cstheme="minorHAnsi"/>
          <w:bCs/>
          <w:szCs w:val="21"/>
        </w:rPr>
        <w:t>actions</w:t>
      </w:r>
      <w:r w:rsidR="00E64F7A" w:rsidRPr="00D713EB">
        <w:rPr>
          <w:rFonts w:cstheme="minorHAnsi"/>
          <w:bCs/>
        </w:rPr>
        <w:t xml:space="preserve">. </w:t>
      </w:r>
      <w:r w:rsidR="00787463">
        <w:t xml:space="preserve">In the case of PNG, REDD+ actions identified under the National REDD+ Strategy are expected to be implemented by governmental agencies, who may have a direct role in the revision and/or enactment of </w:t>
      </w:r>
      <w:r w:rsidR="00787463" w:rsidRPr="00D713EB">
        <w:rPr>
          <w:iCs/>
        </w:rPr>
        <w:t>policies, laws, regulations, institutional arrangements</w:t>
      </w:r>
      <w:r w:rsidR="00787463">
        <w:rPr>
          <w:iCs/>
        </w:rPr>
        <w:t xml:space="preserve"> and other mechanisms relevant in guaranteeing REDD+ implementation in consistency with the safeguards. As such, </w:t>
      </w:r>
      <w:r w:rsidR="00787463" w:rsidRPr="00F97017">
        <w:rPr>
          <w:iCs/>
        </w:rPr>
        <w:t>REDD+ Implementers</w:t>
      </w:r>
      <w:r w:rsidR="00787463" w:rsidRPr="00787463">
        <w:rPr>
          <w:iCs/>
        </w:rPr>
        <w:t xml:space="preserve"> </w:t>
      </w:r>
      <w:r w:rsidR="00787463">
        <w:rPr>
          <w:iCs/>
        </w:rPr>
        <w:t>may also play a role in reporting information on how safeguards have been addressed (</w:t>
      </w:r>
      <w:r w:rsidR="00787463">
        <w:rPr>
          <w:rFonts w:cstheme="minorHAnsi"/>
          <w:bCs/>
          <w:szCs w:val="21"/>
        </w:rPr>
        <w:t>see Table 1 below)</w:t>
      </w:r>
      <w:r w:rsidR="00787463">
        <w:rPr>
          <w:iCs/>
        </w:rPr>
        <w:t xml:space="preserve">. In this case, the National Safeguards Specialist will liaise with implementers during the aggregation and analysis functions of the cycle (see Section III). </w:t>
      </w:r>
      <w:r w:rsidR="00787463" w:rsidRPr="00D713EB" w:rsidDel="00003EDF">
        <w:t xml:space="preserve"> </w:t>
      </w:r>
    </w:p>
    <w:p w14:paraId="20AF4101" w14:textId="51076CBD" w:rsidR="001D4A4F" w:rsidRDefault="001D4A4F" w:rsidP="001D4A4F">
      <w:pPr>
        <w:rPr>
          <w:iCs/>
        </w:rPr>
      </w:pPr>
    </w:p>
    <w:p w14:paraId="48F132D9" w14:textId="6D1EE4F6" w:rsidR="00C126A9" w:rsidRDefault="00C126A9" w:rsidP="001D4A4F">
      <w:pPr>
        <w:rPr>
          <w:iCs/>
        </w:rPr>
      </w:pPr>
    </w:p>
    <w:p w14:paraId="55429A6A" w14:textId="7062D90A" w:rsidR="00C126A9" w:rsidRPr="004C6947" w:rsidRDefault="00991BC7" w:rsidP="00CB624C">
      <w:pPr>
        <w:pStyle w:val="Caption"/>
        <w:rPr>
          <w:i w:val="0"/>
        </w:rPr>
      </w:pPr>
      <w:r>
        <w:t xml:space="preserve">Table </w:t>
      </w:r>
      <w:r>
        <w:fldChar w:fldCharType="begin"/>
      </w:r>
      <w:r>
        <w:instrText xml:space="preserve"> SEQ Table \* ARABIC </w:instrText>
      </w:r>
      <w:r>
        <w:fldChar w:fldCharType="separate"/>
      </w:r>
      <w:r>
        <w:rPr>
          <w:noProof/>
        </w:rPr>
        <w:t>1</w:t>
      </w:r>
      <w:r>
        <w:fldChar w:fldCharType="end"/>
      </w:r>
      <w:r>
        <w:t xml:space="preserve"> REDD+ Implementer Agencies according to PNG's National REDD+ Strategy</w:t>
      </w:r>
    </w:p>
    <w:tbl>
      <w:tblPr>
        <w:tblStyle w:val="TableGrid"/>
        <w:tblW w:w="9355" w:type="dxa"/>
        <w:tblLook w:val="04A0" w:firstRow="1" w:lastRow="0" w:firstColumn="1" w:lastColumn="0" w:noHBand="0" w:noVBand="1"/>
      </w:tblPr>
      <w:tblGrid>
        <w:gridCol w:w="5395"/>
        <w:gridCol w:w="3960"/>
      </w:tblGrid>
      <w:tr w:rsidR="00D27987" w:rsidRPr="00D27987" w14:paraId="34D7B749" w14:textId="77777777" w:rsidTr="00CB624C">
        <w:tc>
          <w:tcPr>
            <w:tcW w:w="5395" w:type="dxa"/>
            <w:shd w:val="clear" w:color="auto" w:fill="8EAADB" w:themeFill="accent1" w:themeFillTint="99"/>
          </w:tcPr>
          <w:p w14:paraId="77C33A29" w14:textId="7FCF97E7" w:rsidR="00813071" w:rsidRPr="004D27DD" w:rsidRDefault="00813071" w:rsidP="001D4A4F">
            <w:pPr>
              <w:rPr>
                <w:rFonts w:cstheme="minorHAnsi"/>
                <w:b/>
                <w:bCs/>
                <w:sz w:val="19"/>
                <w:szCs w:val="19"/>
              </w:rPr>
            </w:pPr>
            <w:r w:rsidRPr="00D27987">
              <w:rPr>
                <w:rFonts w:cstheme="minorHAnsi"/>
                <w:b/>
                <w:bCs/>
                <w:sz w:val="19"/>
                <w:szCs w:val="19"/>
              </w:rPr>
              <w:t>Policies and measures</w:t>
            </w:r>
          </w:p>
        </w:tc>
        <w:tc>
          <w:tcPr>
            <w:tcW w:w="3960" w:type="dxa"/>
            <w:shd w:val="clear" w:color="auto" w:fill="8EAADB" w:themeFill="accent1" w:themeFillTint="99"/>
          </w:tcPr>
          <w:p w14:paraId="179B1DEC" w14:textId="3902A56F" w:rsidR="00813071" w:rsidRPr="00D27987" w:rsidRDefault="00813071" w:rsidP="001D4A4F">
            <w:pPr>
              <w:rPr>
                <w:rFonts w:cstheme="minorHAnsi"/>
                <w:b/>
                <w:bCs/>
                <w:sz w:val="19"/>
                <w:szCs w:val="19"/>
              </w:rPr>
            </w:pPr>
            <w:r w:rsidRPr="004753D3">
              <w:rPr>
                <w:rFonts w:cstheme="minorHAnsi"/>
                <w:b/>
                <w:bCs/>
                <w:sz w:val="19"/>
                <w:szCs w:val="19"/>
              </w:rPr>
              <w:t>REDD+ Implementer / Responsible Agencies</w:t>
            </w:r>
          </w:p>
        </w:tc>
      </w:tr>
      <w:tr w:rsidR="00D27987" w:rsidRPr="00D27987" w14:paraId="39895632" w14:textId="77777777" w:rsidTr="00CB624C">
        <w:tc>
          <w:tcPr>
            <w:tcW w:w="9355" w:type="dxa"/>
            <w:gridSpan w:val="2"/>
            <w:shd w:val="clear" w:color="auto" w:fill="B4C6E7" w:themeFill="accent1" w:themeFillTint="66"/>
          </w:tcPr>
          <w:p w14:paraId="2C6854C8" w14:textId="32D5BD87" w:rsidR="00813071" w:rsidRPr="00D27987" w:rsidRDefault="00813071" w:rsidP="001D4A4F">
            <w:pPr>
              <w:rPr>
                <w:rFonts w:cstheme="minorHAnsi"/>
                <w:b/>
                <w:bCs/>
                <w:sz w:val="19"/>
                <w:szCs w:val="19"/>
              </w:rPr>
            </w:pPr>
            <w:r w:rsidRPr="00D27987">
              <w:rPr>
                <w:rFonts w:cstheme="minorHAnsi"/>
                <w:b/>
                <w:bCs/>
                <w:sz w:val="19"/>
                <w:szCs w:val="19"/>
              </w:rPr>
              <w:t>REDD+ Action Area:</w:t>
            </w:r>
            <w:r w:rsidRPr="00F97017">
              <w:rPr>
                <w:b/>
                <w:bCs/>
                <w:sz w:val="19"/>
                <w:szCs w:val="19"/>
              </w:rPr>
              <w:t xml:space="preserve"> Strengthened Land-Use and Development Planning</w:t>
            </w:r>
          </w:p>
        </w:tc>
      </w:tr>
      <w:tr w:rsidR="00D27987" w:rsidRPr="00D27987" w14:paraId="00EB59F5" w14:textId="77777777" w:rsidTr="00CB624C">
        <w:tc>
          <w:tcPr>
            <w:tcW w:w="5395" w:type="dxa"/>
          </w:tcPr>
          <w:p w14:paraId="4D8983D4" w14:textId="77777777" w:rsidR="00451D97" w:rsidRPr="00D27987" w:rsidRDefault="00813071" w:rsidP="005E59D6">
            <w:pPr>
              <w:rPr>
                <w:i/>
                <w:iCs/>
                <w:sz w:val="19"/>
                <w:szCs w:val="19"/>
              </w:rPr>
            </w:pPr>
            <w:r w:rsidRPr="00D27987">
              <w:rPr>
                <w:i/>
                <w:iCs/>
                <w:sz w:val="19"/>
                <w:szCs w:val="19"/>
              </w:rPr>
              <w:t>Strengthened and Coordinated National Level Development and Land Use Planning through</w:t>
            </w:r>
            <w:r w:rsidRPr="00D27987">
              <w:rPr>
                <w:sz w:val="19"/>
                <w:szCs w:val="19"/>
              </w:rPr>
              <w:t xml:space="preserve"> </w:t>
            </w:r>
          </w:p>
          <w:p w14:paraId="3EF8FCDA" w14:textId="7783AFF1" w:rsidR="00813071" w:rsidRPr="00D27987" w:rsidRDefault="00451D97" w:rsidP="00CB624C">
            <w:pPr>
              <w:pStyle w:val="ListParagraph"/>
              <w:numPr>
                <w:ilvl w:val="0"/>
                <w:numId w:val="39"/>
              </w:numPr>
              <w:rPr>
                <w:sz w:val="19"/>
                <w:szCs w:val="19"/>
              </w:rPr>
            </w:pPr>
            <w:r w:rsidRPr="00D27987">
              <w:rPr>
                <w:sz w:val="19"/>
                <w:szCs w:val="19"/>
              </w:rPr>
              <w:t>D</w:t>
            </w:r>
            <w:r w:rsidR="00813071" w:rsidRPr="00D27987">
              <w:rPr>
                <w:sz w:val="19"/>
                <w:szCs w:val="19"/>
              </w:rPr>
              <w:t>evelopment of Climate and REDD+ relevant development indicators within the national development framework</w:t>
            </w:r>
          </w:p>
        </w:tc>
        <w:tc>
          <w:tcPr>
            <w:tcW w:w="3960" w:type="dxa"/>
          </w:tcPr>
          <w:p w14:paraId="7108FD53" w14:textId="6F874592" w:rsidR="00813071" w:rsidRPr="00D27987" w:rsidRDefault="00813071" w:rsidP="005E59D6">
            <w:pPr>
              <w:rPr>
                <w:rFonts w:cstheme="minorHAnsi"/>
                <w:sz w:val="19"/>
                <w:szCs w:val="19"/>
              </w:rPr>
            </w:pPr>
            <w:r w:rsidRPr="00D27987">
              <w:rPr>
                <w:sz w:val="19"/>
                <w:szCs w:val="19"/>
              </w:rPr>
              <w:t>Department of National Planning and Monitoring (DNPM)</w:t>
            </w:r>
          </w:p>
        </w:tc>
      </w:tr>
      <w:tr w:rsidR="00D27987" w:rsidRPr="00D27987" w14:paraId="2C56B65C" w14:textId="77777777" w:rsidTr="00CB624C">
        <w:tc>
          <w:tcPr>
            <w:tcW w:w="5395" w:type="dxa"/>
          </w:tcPr>
          <w:p w14:paraId="0DF6703D" w14:textId="77777777" w:rsidR="00451D97" w:rsidRPr="00D27987" w:rsidRDefault="00813071" w:rsidP="005E59D6">
            <w:pPr>
              <w:rPr>
                <w:i/>
                <w:iCs/>
                <w:sz w:val="19"/>
                <w:szCs w:val="19"/>
              </w:rPr>
            </w:pPr>
            <w:r w:rsidRPr="00D27987">
              <w:rPr>
                <w:i/>
                <w:iCs/>
                <w:sz w:val="19"/>
                <w:szCs w:val="19"/>
              </w:rPr>
              <w:t xml:space="preserve">Strengthened and Coordinated National Level Development and Land Use Planning through </w:t>
            </w:r>
          </w:p>
          <w:p w14:paraId="33B11352" w14:textId="532001EB" w:rsidR="00813071" w:rsidRPr="00D27987" w:rsidRDefault="00451D97" w:rsidP="00CB624C">
            <w:pPr>
              <w:pStyle w:val="ListParagraph"/>
              <w:numPr>
                <w:ilvl w:val="0"/>
                <w:numId w:val="38"/>
              </w:numPr>
              <w:rPr>
                <w:sz w:val="19"/>
                <w:szCs w:val="19"/>
              </w:rPr>
            </w:pPr>
            <w:r w:rsidRPr="00D27987">
              <w:rPr>
                <w:sz w:val="19"/>
                <w:szCs w:val="19"/>
              </w:rPr>
              <w:t>S</w:t>
            </w:r>
            <w:r w:rsidR="00813071" w:rsidRPr="00D27987">
              <w:rPr>
                <w:sz w:val="19"/>
                <w:szCs w:val="19"/>
              </w:rPr>
              <w:t>trengthening development of National Land Use Policy, planning and legislation</w:t>
            </w:r>
          </w:p>
        </w:tc>
        <w:tc>
          <w:tcPr>
            <w:tcW w:w="3960" w:type="dxa"/>
          </w:tcPr>
          <w:p w14:paraId="2B3F095B" w14:textId="64458CD1" w:rsidR="00813071" w:rsidRPr="00D27987" w:rsidRDefault="00813071" w:rsidP="005E59D6">
            <w:pPr>
              <w:rPr>
                <w:rFonts w:cstheme="minorHAnsi"/>
                <w:sz w:val="19"/>
                <w:szCs w:val="19"/>
              </w:rPr>
            </w:pPr>
            <w:r w:rsidRPr="00D27987">
              <w:rPr>
                <w:sz w:val="19"/>
                <w:szCs w:val="19"/>
              </w:rPr>
              <w:t>Department of Lands and Physical Planning (DLPP)</w:t>
            </w:r>
          </w:p>
        </w:tc>
      </w:tr>
      <w:tr w:rsidR="00D27987" w:rsidRPr="00D27987" w14:paraId="7E2A96A4" w14:textId="77777777" w:rsidTr="00CB624C">
        <w:tc>
          <w:tcPr>
            <w:tcW w:w="5395" w:type="dxa"/>
          </w:tcPr>
          <w:p w14:paraId="7AA3BE47" w14:textId="77777777" w:rsidR="00451D97" w:rsidRPr="00D27987" w:rsidRDefault="00813071" w:rsidP="00A84C15">
            <w:pPr>
              <w:rPr>
                <w:sz w:val="19"/>
                <w:szCs w:val="19"/>
              </w:rPr>
            </w:pPr>
            <w:r w:rsidRPr="00D27987">
              <w:rPr>
                <w:i/>
                <w:iCs/>
                <w:sz w:val="19"/>
                <w:szCs w:val="19"/>
              </w:rPr>
              <w:t>Integrated Subnational Planning through</w:t>
            </w:r>
            <w:r w:rsidRPr="00D27987">
              <w:rPr>
                <w:sz w:val="19"/>
                <w:szCs w:val="19"/>
              </w:rPr>
              <w:t xml:space="preserve"> </w:t>
            </w:r>
          </w:p>
          <w:p w14:paraId="0557E54D" w14:textId="46FD7B62" w:rsidR="00813071" w:rsidRPr="00D27987" w:rsidRDefault="00451D97" w:rsidP="00CB624C">
            <w:pPr>
              <w:pStyle w:val="ListParagraph"/>
              <w:numPr>
                <w:ilvl w:val="0"/>
                <w:numId w:val="37"/>
              </w:numPr>
              <w:rPr>
                <w:sz w:val="19"/>
                <w:szCs w:val="19"/>
              </w:rPr>
            </w:pPr>
            <w:r w:rsidRPr="00D27987">
              <w:rPr>
                <w:sz w:val="19"/>
                <w:szCs w:val="19"/>
              </w:rPr>
              <w:t>S</w:t>
            </w:r>
            <w:r w:rsidR="00813071" w:rsidRPr="00D27987">
              <w:rPr>
                <w:sz w:val="19"/>
                <w:szCs w:val="19"/>
              </w:rPr>
              <w:t>trengthening Ward and LLG level planning at provincial and district level</w:t>
            </w:r>
          </w:p>
        </w:tc>
        <w:tc>
          <w:tcPr>
            <w:tcW w:w="3960" w:type="dxa"/>
          </w:tcPr>
          <w:p w14:paraId="180475DE" w14:textId="0EAAA5FF" w:rsidR="00813071" w:rsidRPr="00D27987" w:rsidRDefault="00813071" w:rsidP="005E59D6">
            <w:pPr>
              <w:rPr>
                <w:rFonts w:cstheme="minorHAnsi"/>
                <w:sz w:val="19"/>
                <w:szCs w:val="19"/>
              </w:rPr>
            </w:pPr>
            <w:r w:rsidRPr="00D27987">
              <w:rPr>
                <w:sz w:val="19"/>
                <w:szCs w:val="19"/>
              </w:rPr>
              <w:t>Department of Provincial and Local Level Government Affairs (DPLGA) / Department of National Planning and Monitoring (DNPM)</w:t>
            </w:r>
          </w:p>
        </w:tc>
      </w:tr>
      <w:tr w:rsidR="00D27987" w:rsidRPr="00D27987" w14:paraId="5047C930" w14:textId="77777777" w:rsidTr="00CB624C">
        <w:tc>
          <w:tcPr>
            <w:tcW w:w="9355" w:type="dxa"/>
            <w:gridSpan w:val="2"/>
            <w:shd w:val="clear" w:color="auto" w:fill="B4C6E7" w:themeFill="accent1" w:themeFillTint="66"/>
          </w:tcPr>
          <w:p w14:paraId="3E0B3D9F" w14:textId="5C7B1288" w:rsidR="00813071" w:rsidRPr="00D27987" w:rsidRDefault="00813071" w:rsidP="005E59D6">
            <w:pPr>
              <w:rPr>
                <w:b/>
                <w:bCs/>
                <w:sz w:val="19"/>
                <w:szCs w:val="19"/>
              </w:rPr>
            </w:pPr>
            <w:r w:rsidRPr="00D27987">
              <w:rPr>
                <w:b/>
                <w:bCs/>
                <w:sz w:val="19"/>
                <w:szCs w:val="19"/>
              </w:rPr>
              <w:t xml:space="preserve">REDD+ Action Area: </w:t>
            </w:r>
            <w:r w:rsidRPr="00F97017">
              <w:rPr>
                <w:b/>
                <w:bCs/>
                <w:sz w:val="19"/>
                <w:szCs w:val="19"/>
              </w:rPr>
              <w:t>Strengthened environmental management, protection and enforcement</w:t>
            </w:r>
          </w:p>
        </w:tc>
      </w:tr>
      <w:tr w:rsidR="00D27987" w:rsidRPr="00D27987" w14:paraId="1F48895C" w14:textId="77777777" w:rsidTr="00CB624C">
        <w:tc>
          <w:tcPr>
            <w:tcW w:w="5395" w:type="dxa"/>
          </w:tcPr>
          <w:p w14:paraId="2EA9A2C2" w14:textId="242DACA3" w:rsidR="00813071" w:rsidRPr="00D27987" w:rsidRDefault="00BC6165" w:rsidP="00153E70">
            <w:pPr>
              <w:rPr>
                <w:i/>
                <w:iCs/>
                <w:sz w:val="19"/>
                <w:szCs w:val="19"/>
              </w:rPr>
            </w:pPr>
            <w:r w:rsidRPr="00D27987">
              <w:rPr>
                <w:i/>
                <w:iCs/>
                <w:sz w:val="19"/>
                <w:szCs w:val="19"/>
              </w:rPr>
              <w:t>Strengthening climate change legislation, financing and management</w:t>
            </w:r>
            <w:r w:rsidR="00813071" w:rsidRPr="00D27987">
              <w:rPr>
                <w:i/>
                <w:iCs/>
                <w:sz w:val="19"/>
                <w:szCs w:val="19"/>
              </w:rPr>
              <w:t xml:space="preserve"> through</w:t>
            </w:r>
          </w:p>
          <w:p w14:paraId="3CD5CB1D" w14:textId="77777777" w:rsidR="00813071" w:rsidRPr="00D27987" w:rsidRDefault="00813071" w:rsidP="00153E70">
            <w:pPr>
              <w:pStyle w:val="ListParagraph"/>
              <w:numPr>
                <w:ilvl w:val="0"/>
                <w:numId w:val="31"/>
              </w:numPr>
              <w:jc w:val="left"/>
              <w:rPr>
                <w:sz w:val="19"/>
                <w:szCs w:val="19"/>
              </w:rPr>
            </w:pPr>
            <w:r w:rsidRPr="00D27987">
              <w:rPr>
                <w:sz w:val="19"/>
                <w:szCs w:val="19"/>
              </w:rPr>
              <w:t>Reviewing and updating of Climate Change legislation to link with changing domestic and international legislation</w:t>
            </w:r>
          </w:p>
          <w:p w14:paraId="7CDB15D7" w14:textId="77777777" w:rsidR="00451D97" w:rsidRPr="00D27987" w:rsidRDefault="00813071" w:rsidP="00153E70">
            <w:pPr>
              <w:pStyle w:val="ListParagraph"/>
              <w:numPr>
                <w:ilvl w:val="0"/>
                <w:numId w:val="31"/>
              </w:numPr>
              <w:jc w:val="left"/>
              <w:rPr>
                <w:sz w:val="19"/>
                <w:szCs w:val="19"/>
              </w:rPr>
            </w:pPr>
            <w:r w:rsidRPr="00D27987">
              <w:rPr>
                <w:sz w:val="19"/>
                <w:szCs w:val="19"/>
              </w:rPr>
              <w:t>Development of robust financial management systems to integrate climate finance the work of key sectors</w:t>
            </w:r>
          </w:p>
          <w:p w14:paraId="77D93FEB" w14:textId="681EB38D" w:rsidR="00813071" w:rsidRPr="00D27987" w:rsidRDefault="00813071" w:rsidP="00CB624C">
            <w:pPr>
              <w:pStyle w:val="ListParagraph"/>
              <w:numPr>
                <w:ilvl w:val="0"/>
                <w:numId w:val="31"/>
              </w:numPr>
              <w:jc w:val="left"/>
              <w:rPr>
                <w:sz w:val="19"/>
                <w:szCs w:val="19"/>
              </w:rPr>
            </w:pPr>
            <w:r w:rsidRPr="00D27987">
              <w:rPr>
                <w:sz w:val="19"/>
                <w:szCs w:val="19"/>
              </w:rPr>
              <w:t>Support to development of capacity within climate change institutions to effectively support and coordinate action across, levels of government and stakeholder groups</w:t>
            </w:r>
          </w:p>
        </w:tc>
        <w:tc>
          <w:tcPr>
            <w:tcW w:w="3960" w:type="dxa"/>
          </w:tcPr>
          <w:p w14:paraId="6476091D" w14:textId="6F03D605" w:rsidR="00813071" w:rsidRPr="00D27987" w:rsidRDefault="00813071" w:rsidP="005E59D6">
            <w:pPr>
              <w:rPr>
                <w:rFonts w:cstheme="minorHAnsi"/>
                <w:sz w:val="19"/>
                <w:szCs w:val="19"/>
              </w:rPr>
            </w:pPr>
            <w:r w:rsidRPr="00D27987">
              <w:rPr>
                <w:rFonts w:cstheme="minorHAnsi"/>
                <w:sz w:val="19"/>
                <w:szCs w:val="19"/>
              </w:rPr>
              <w:t>Climate Change Development Authority (CCDA)</w:t>
            </w:r>
          </w:p>
        </w:tc>
      </w:tr>
      <w:tr w:rsidR="00D27987" w:rsidRPr="00D27987" w14:paraId="254F4CA2" w14:textId="77777777" w:rsidTr="00CB624C">
        <w:tc>
          <w:tcPr>
            <w:tcW w:w="5395" w:type="dxa"/>
          </w:tcPr>
          <w:p w14:paraId="6E31A891" w14:textId="77777777" w:rsidR="00813071" w:rsidRPr="00D27987" w:rsidRDefault="00813071" w:rsidP="00044CE4">
            <w:pPr>
              <w:rPr>
                <w:i/>
                <w:iCs/>
                <w:sz w:val="19"/>
                <w:szCs w:val="19"/>
              </w:rPr>
            </w:pPr>
            <w:r w:rsidRPr="00D27987">
              <w:rPr>
                <w:i/>
                <w:iCs/>
                <w:sz w:val="19"/>
                <w:szCs w:val="19"/>
              </w:rPr>
              <w:t>Strengthen forest management and enforcement practices through</w:t>
            </w:r>
          </w:p>
          <w:p w14:paraId="021CB4CC" w14:textId="77777777" w:rsidR="00813071" w:rsidRPr="00D27987" w:rsidRDefault="00813071" w:rsidP="00044CE4">
            <w:pPr>
              <w:pStyle w:val="ListParagraph"/>
              <w:numPr>
                <w:ilvl w:val="0"/>
                <w:numId w:val="32"/>
              </w:numPr>
              <w:jc w:val="left"/>
              <w:rPr>
                <w:sz w:val="19"/>
                <w:szCs w:val="19"/>
              </w:rPr>
            </w:pPr>
            <w:r w:rsidRPr="00D27987">
              <w:rPr>
                <w:sz w:val="19"/>
                <w:szCs w:val="19"/>
              </w:rPr>
              <w:t>Updating of forest policy to consolidate amendments and incorporation of legality standards</w:t>
            </w:r>
          </w:p>
          <w:p w14:paraId="22509BCD" w14:textId="77777777" w:rsidR="00813071" w:rsidRPr="00D27987" w:rsidRDefault="00813071" w:rsidP="00044CE4">
            <w:pPr>
              <w:pStyle w:val="ListParagraph"/>
              <w:numPr>
                <w:ilvl w:val="0"/>
                <w:numId w:val="32"/>
              </w:numPr>
              <w:jc w:val="left"/>
              <w:rPr>
                <w:sz w:val="19"/>
                <w:szCs w:val="19"/>
              </w:rPr>
            </w:pPr>
            <w:r w:rsidRPr="00D27987">
              <w:rPr>
                <w:sz w:val="19"/>
                <w:szCs w:val="19"/>
              </w:rPr>
              <w:t>Strengthening capacity of PNGFA to enforce legislation through review of resources and support to development of management systems</w:t>
            </w:r>
          </w:p>
          <w:p w14:paraId="7A1A743C" w14:textId="77777777" w:rsidR="006C3134" w:rsidRPr="00D27987" w:rsidRDefault="00813071" w:rsidP="00044CE4">
            <w:pPr>
              <w:pStyle w:val="ListParagraph"/>
              <w:numPr>
                <w:ilvl w:val="0"/>
                <w:numId w:val="32"/>
              </w:numPr>
              <w:jc w:val="left"/>
              <w:rPr>
                <w:sz w:val="19"/>
                <w:szCs w:val="19"/>
              </w:rPr>
            </w:pPr>
            <w:r w:rsidRPr="00D27987">
              <w:rPr>
                <w:sz w:val="19"/>
                <w:szCs w:val="19"/>
              </w:rPr>
              <w:t>Strengthening alternative approaches to timber production and processing through the expansion of plantations and small-scale timber producers</w:t>
            </w:r>
          </w:p>
          <w:p w14:paraId="387F6D02" w14:textId="35A0EFC0" w:rsidR="00813071" w:rsidRPr="00D27987" w:rsidRDefault="00813071" w:rsidP="00CB624C">
            <w:pPr>
              <w:pStyle w:val="ListParagraph"/>
              <w:numPr>
                <w:ilvl w:val="0"/>
                <w:numId w:val="32"/>
              </w:numPr>
              <w:jc w:val="left"/>
              <w:rPr>
                <w:sz w:val="19"/>
                <w:szCs w:val="19"/>
              </w:rPr>
            </w:pPr>
            <w:r w:rsidRPr="00D27987">
              <w:rPr>
                <w:sz w:val="19"/>
                <w:szCs w:val="19"/>
              </w:rPr>
              <w:t>Increase capacity of PNGFA and training and research institutions to raise awareness if ad operationalize improved approaches to timber operations including legislation through support to universities, training colleges, government staff, communities and timber operators</w:t>
            </w:r>
          </w:p>
        </w:tc>
        <w:tc>
          <w:tcPr>
            <w:tcW w:w="3960" w:type="dxa"/>
          </w:tcPr>
          <w:p w14:paraId="0B85C125" w14:textId="0359D7DE" w:rsidR="00813071" w:rsidRPr="00D27987" w:rsidRDefault="00813071" w:rsidP="005E59D6">
            <w:pPr>
              <w:rPr>
                <w:rFonts w:cstheme="minorHAnsi"/>
                <w:sz w:val="19"/>
                <w:szCs w:val="19"/>
              </w:rPr>
            </w:pPr>
            <w:r w:rsidRPr="00D27987">
              <w:rPr>
                <w:sz w:val="19"/>
                <w:szCs w:val="19"/>
              </w:rPr>
              <w:t>Papua New Guinea Forest Authority (PNGFA)</w:t>
            </w:r>
          </w:p>
        </w:tc>
      </w:tr>
      <w:tr w:rsidR="00D27987" w:rsidRPr="00D27987" w14:paraId="36D12727" w14:textId="77777777" w:rsidTr="00CB624C">
        <w:tc>
          <w:tcPr>
            <w:tcW w:w="5395" w:type="dxa"/>
          </w:tcPr>
          <w:p w14:paraId="5F70CA23" w14:textId="77777777" w:rsidR="00813071" w:rsidRPr="00D27987" w:rsidRDefault="00813071" w:rsidP="007D6E75">
            <w:pPr>
              <w:rPr>
                <w:i/>
                <w:iCs/>
                <w:sz w:val="19"/>
                <w:szCs w:val="19"/>
              </w:rPr>
            </w:pPr>
            <w:r w:rsidRPr="00D27987">
              <w:rPr>
                <w:i/>
                <w:iCs/>
                <w:sz w:val="19"/>
                <w:szCs w:val="19"/>
              </w:rPr>
              <w:t>Strengthening environmental management, enforcement and protection through</w:t>
            </w:r>
          </w:p>
          <w:p w14:paraId="0507795C" w14:textId="77777777" w:rsidR="00813071" w:rsidRPr="00D27987" w:rsidRDefault="00813071" w:rsidP="007D6E75">
            <w:pPr>
              <w:pStyle w:val="ListParagraph"/>
              <w:numPr>
                <w:ilvl w:val="0"/>
                <w:numId w:val="33"/>
              </w:numPr>
              <w:jc w:val="left"/>
              <w:rPr>
                <w:sz w:val="19"/>
                <w:szCs w:val="19"/>
              </w:rPr>
            </w:pPr>
            <w:r w:rsidRPr="00D27987">
              <w:rPr>
                <w:sz w:val="19"/>
                <w:szCs w:val="19"/>
              </w:rPr>
              <w:t>Strengthening of environmental policies, regulations and guidelines</w:t>
            </w:r>
          </w:p>
          <w:p w14:paraId="0AC76D55" w14:textId="77777777" w:rsidR="00813071" w:rsidRPr="00D27987" w:rsidRDefault="00813071" w:rsidP="007D6E75">
            <w:pPr>
              <w:pStyle w:val="ListParagraph"/>
              <w:numPr>
                <w:ilvl w:val="0"/>
                <w:numId w:val="33"/>
              </w:numPr>
              <w:jc w:val="left"/>
              <w:rPr>
                <w:sz w:val="19"/>
                <w:szCs w:val="19"/>
              </w:rPr>
            </w:pPr>
            <w:r w:rsidRPr="00D27987">
              <w:rPr>
                <w:sz w:val="19"/>
                <w:szCs w:val="19"/>
              </w:rPr>
              <w:t>Strengthening enforcement capacity of CEPA</w:t>
            </w:r>
          </w:p>
          <w:p w14:paraId="3AA7EEEC" w14:textId="77777777" w:rsidR="006C3134" w:rsidRPr="00D27987" w:rsidRDefault="00813071" w:rsidP="007D6E75">
            <w:pPr>
              <w:pStyle w:val="ListParagraph"/>
              <w:numPr>
                <w:ilvl w:val="0"/>
                <w:numId w:val="33"/>
              </w:numPr>
              <w:jc w:val="left"/>
              <w:rPr>
                <w:sz w:val="19"/>
                <w:szCs w:val="19"/>
              </w:rPr>
            </w:pPr>
            <w:r w:rsidRPr="00D27987">
              <w:rPr>
                <w:sz w:val="19"/>
                <w:szCs w:val="19"/>
              </w:rPr>
              <w:t>Strengthening the capacity of Provincial governments for the environmental management</w:t>
            </w:r>
          </w:p>
          <w:p w14:paraId="0338D5B2" w14:textId="16C264F6" w:rsidR="00813071" w:rsidRPr="00D27987" w:rsidRDefault="00813071" w:rsidP="00CB624C">
            <w:pPr>
              <w:pStyle w:val="ListParagraph"/>
              <w:numPr>
                <w:ilvl w:val="0"/>
                <w:numId w:val="33"/>
              </w:numPr>
              <w:jc w:val="left"/>
              <w:rPr>
                <w:sz w:val="19"/>
                <w:szCs w:val="19"/>
              </w:rPr>
            </w:pPr>
            <w:r w:rsidRPr="00D27987">
              <w:rPr>
                <w:sz w:val="19"/>
                <w:szCs w:val="19"/>
              </w:rPr>
              <w:t>Strengthening conservation planning, financing and management</w:t>
            </w:r>
          </w:p>
        </w:tc>
        <w:tc>
          <w:tcPr>
            <w:tcW w:w="3960" w:type="dxa"/>
          </w:tcPr>
          <w:p w14:paraId="366AB5E7" w14:textId="4DDC3B4F" w:rsidR="00813071" w:rsidRPr="00D27987" w:rsidRDefault="00813071" w:rsidP="005E59D6">
            <w:pPr>
              <w:rPr>
                <w:rFonts w:cstheme="minorHAnsi"/>
                <w:sz w:val="19"/>
                <w:szCs w:val="19"/>
              </w:rPr>
            </w:pPr>
            <w:r w:rsidRPr="00D27987">
              <w:rPr>
                <w:rFonts w:cstheme="minorHAnsi"/>
                <w:sz w:val="19"/>
                <w:szCs w:val="19"/>
              </w:rPr>
              <w:t>Conservation Environment Protection Authority (CEPA)</w:t>
            </w:r>
          </w:p>
        </w:tc>
      </w:tr>
      <w:tr w:rsidR="00D27987" w:rsidRPr="00D27987" w14:paraId="17182D9E" w14:textId="77777777" w:rsidTr="00CB624C">
        <w:tc>
          <w:tcPr>
            <w:tcW w:w="5395" w:type="dxa"/>
          </w:tcPr>
          <w:p w14:paraId="4B088910" w14:textId="77777777" w:rsidR="00813071" w:rsidRPr="00D27987" w:rsidRDefault="00813071" w:rsidP="0011796C">
            <w:pPr>
              <w:rPr>
                <w:i/>
                <w:iCs/>
                <w:sz w:val="19"/>
                <w:szCs w:val="19"/>
              </w:rPr>
            </w:pPr>
            <w:r w:rsidRPr="00D27987">
              <w:rPr>
                <w:i/>
                <w:iCs/>
                <w:sz w:val="19"/>
                <w:szCs w:val="19"/>
              </w:rPr>
              <w:t>Strengthen access to information and recourse mechanism through</w:t>
            </w:r>
          </w:p>
          <w:p w14:paraId="335B1081" w14:textId="77777777" w:rsidR="006C3134" w:rsidRPr="00D27987" w:rsidRDefault="00813071" w:rsidP="0011796C">
            <w:pPr>
              <w:pStyle w:val="ListParagraph"/>
              <w:numPr>
                <w:ilvl w:val="0"/>
                <w:numId w:val="34"/>
              </w:numPr>
              <w:jc w:val="left"/>
              <w:rPr>
                <w:sz w:val="19"/>
                <w:szCs w:val="19"/>
              </w:rPr>
            </w:pPr>
            <w:r w:rsidRPr="00D27987">
              <w:rPr>
                <w:sz w:val="19"/>
                <w:szCs w:val="19"/>
              </w:rPr>
              <w:t>Support to civil society groups to increase community and landowner awareness of their legal rights and requirements for environmental management and development planning</w:t>
            </w:r>
          </w:p>
          <w:p w14:paraId="428E9B2F" w14:textId="0EECF40B" w:rsidR="00813071" w:rsidRPr="00D27987" w:rsidRDefault="00813071" w:rsidP="00CB624C">
            <w:pPr>
              <w:pStyle w:val="ListParagraph"/>
              <w:numPr>
                <w:ilvl w:val="0"/>
                <w:numId w:val="34"/>
              </w:numPr>
              <w:jc w:val="left"/>
              <w:rPr>
                <w:sz w:val="19"/>
                <w:szCs w:val="19"/>
              </w:rPr>
            </w:pPr>
            <w:r w:rsidRPr="00D27987">
              <w:rPr>
                <w:sz w:val="19"/>
                <w:szCs w:val="19"/>
              </w:rPr>
              <w:t>Access to legal support to address breaches in those rights and management systems</w:t>
            </w:r>
          </w:p>
        </w:tc>
        <w:tc>
          <w:tcPr>
            <w:tcW w:w="3960" w:type="dxa"/>
          </w:tcPr>
          <w:p w14:paraId="73E4442B" w14:textId="577AA2D1" w:rsidR="00813071" w:rsidRPr="00D27987" w:rsidRDefault="00813071" w:rsidP="005E59D6">
            <w:pPr>
              <w:rPr>
                <w:rFonts w:cstheme="minorHAnsi"/>
                <w:sz w:val="19"/>
                <w:szCs w:val="19"/>
              </w:rPr>
            </w:pPr>
            <w:r w:rsidRPr="00D27987">
              <w:rPr>
                <w:sz w:val="19"/>
                <w:szCs w:val="19"/>
              </w:rPr>
              <w:t>Multi-stakeholder (To be clarified through TWC’s)</w:t>
            </w:r>
          </w:p>
        </w:tc>
      </w:tr>
      <w:tr w:rsidR="00D27987" w:rsidRPr="00D27987" w14:paraId="437B4C61" w14:textId="77777777" w:rsidTr="00CB624C">
        <w:tc>
          <w:tcPr>
            <w:tcW w:w="9355" w:type="dxa"/>
            <w:gridSpan w:val="2"/>
            <w:shd w:val="clear" w:color="auto" w:fill="B4C6E7" w:themeFill="accent1" w:themeFillTint="66"/>
          </w:tcPr>
          <w:p w14:paraId="1C5D5464" w14:textId="5805C76F" w:rsidR="00813071" w:rsidRPr="00D27987" w:rsidRDefault="00813071" w:rsidP="005E59D6">
            <w:pPr>
              <w:rPr>
                <w:b/>
                <w:bCs/>
                <w:sz w:val="19"/>
                <w:szCs w:val="19"/>
              </w:rPr>
            </w:pPr>
            <w:r w:rsidRPr="00D27987">
              <w:rPr>
                <w:b/>
                <w:bCs/>
                <w:sz w:val="19"/>
                <w:szCs w:val="19"/>
              </w:rPr>
              <w:t xml:space="preserve">REDD+ Action Area: </w:t>
            </w:r>
            <w:r w:rsidRPr="00F97017">
              <w:rPr>
                <w:b/>
                <w:bCs/>
                <w:sz w:val="19"/>
                <w:szCs w:val="19"/>
              </w:rPr>
              <w:t>Enhanced economic productivity and sustainable livelihoods</w:t>
            </w:r>
          </w:p>
        </w:tc>
      </w:tr>
      <w:tr w:rsidR="00D27987" w:rsidRPr="00D27987" w14:paraId="1F518B95" w14:textId="77777777" w:rsidTr="00CB624C">
        <w:tc>
          <w:tcPr>
            <w:tcW w:w="5395" w:type="dxa"/>
          </w:tcPr>
          <w:p w14:paraId="01DB9DC2" w14:textId="77777777" w:rsidR="00813071" w:rsidRPr="00D27987" w:rsidRDefault="00813071" w:rsidP="00C666FE">
            <w:pPr>
              <w:rPr>
                <w:i/>
                <w:iCs/>
                <w:sz w:val="19"/>
                <w:szCs w:val="19"/>
              </w:rPr>
            </w:pPr>
            <w:r w:rsidRPr="00D27987">
              <w:rPr>
                <w:i/>
                <w:iCs/>
                <w:sz w:val="19"/>
                <w:szCs w:val="19"/>
              </w:rPr>
              <w:t>Development of a sustainable commercial agriculture sector through</w:t>
            </w:r>
          </w:p>
          <w:p w14:paraId="613FD3AC" w14:textId="77777777" w:rsidR="00813071" w:rsidRPr="00D27987" w:rsidRDefault="00813071" w:rsidP="00C666FE">
            <w:pPr>
              <w:pStyle w:val="ListParagraph"/>
              <w:numPr>
                <w:ilvl w:val="0"/>
                <w:numId w:val="35"/>
              </w:numPr>
              <w:jc w:val="left"/>
              <w:rPr>
                <w:sz w:val="19"/>
                <w:szCs w:val="19"/>
              </w:rPr>
            </w:pPr>
            <w:r w:rsidRPr="00D27987">
              <w:rPr>
                <w:sz w:val="19"/>
                <w:szCs w:val="19"/>
              </w:rPr>
              <w:t>Improvements in guidelines and regulations for sustainable production of commercial products</w:t>
            </w:r>
          </w:p>
          <w:p w14:paraId="7CD330F6" w14:textId="5BFF5372" w:rsidR="00813071" w:rsidRPr="00D27987" w:rsidRDefault="00813071" w:rsidP="00C666FE">
            <w:pPr>
              <w:rPr>
                <w:sz w:val="19"/>
                <w:szCs w:val="19"/>
              </w:rPr>
            </w:pPr>
          </w:p>
        </w:tc>
        <w:tc>
          <w:tcPr>
            <w:tcW w:w="3960" w:type="dxa"/>
          </w:tcPr>
          <w:p w14:paraId="2004AB0F" w14:textId="5705505B" w:rsidR="00813071" w:rsidRPr="00D27987" w:rsidRDefault="00813071" w:rsidP="004416D0">
            <w:pPr>
              <w:rPr>
                <w:sz w:val="19"/>
                <w:szCs w:val="19"/>
              </w:rPr>
            </w:pPr>
            <w:r w:rsidRPr="00D27987">
              <w:rPr>
                <w:sz w:val="19"/>
                <w:szCs w:val="19"/>
              </w:rPr>
              <w:t>Department of Agriculture and Livestock (DAL) / Department of National Planning and Monitoring (DNPM)</w:t>
            </w:r>
          </w:p>
          <w:p w14:paraId="4D0A4DA5" w14:textId="77777777" w:rsidR="00813071" w:rsidRPr="00D27987" w:rsidRDefault="00813071" w:rsidP="005E59D6">
            <w:pPr>
              <w:rPr>
                <w:sz w:val="19"/>
                <w:szCs w:val="19"/>
              </w:rPr>
            </w:pPr>
          </w:p>
        </w:tc>
      </w:tr>
      <w:tr w:rsidR="00D27987" w:rsidRPr="00D27987" w14:paraId="002ABC93" w14:textId="77777777" w:rsidTr="00CB624C">
        <w:tc>
          <w:tcPr>
            <w:tcW w:w="5395" w:type="dxa"/>
          </w:tcPr>
          <w:p w14:paraId="6D312A2E" w14:textId="77777777" w:rsidR="00813071" w:rsidRPr="00D27987" w:rsidRDefault="00813071" w:rsidP="00C666FE">
            <w:pPr>
              <w:rPr>
                <w:i/>
                <w:iCs/>
                <w:sz w:val="19"/>
                <w:szCs w:val="19"/>
              </w:rPr>
            </w:pPr>
            <w:r w:rsidRPr="00D27987">
              <w:rPr>
                <w:i/>
                <w:iCs/>
                <w:sz w:val="19"/>
                <w:szCs w:val="19"/>
              </w:rPr>
              <w:t>Strengthened food security an increased productivity of family agriculture through</w:t>
            </w:r>
          </w:p>
          <w:p w14:paraId="5C7CDD9A" w14:textId="122C2AE3" w:rsidR="00813071" w:rsidRPr="00D27987" w:rsidRDefault="00813071" w:rsidP="00CB624C">
            <w:pPr>
              <w:pStyle w:val="ListParagraph"/>
              <w:numPr>
                <w:ilvl w:val="0"/>
                <w:numId w:val="36"/>
              </w:numPr>
              <w:rPr>
                <w:sz w:val="19"/>
                <w:szCs w:val="19"/>
              </w:rPr>
            </w:pPr>
            <w:r w:rsidRPr="00D27987">
              <w:rPr>
                <w:sz w:val="19"/>
                <w:szCs w:val="19"/>
              </w:rPr>
              <w:t>Strengthening expansion of extension services and support to rural communities</w:t>
            </w:r>
          </w:p>
        </w:tc>
        <w:tc>
          <w:tcPr>
            <w:tcW w:w="3960" w:type="dxa"/>
          </w:tcPr>
          <w:p w14:paraId="3D4E4E9D" w14:textId="76C0E9A7" w:rsidR="00813071" w:rsidRPr="00D27987" w:rsidRDefault="00813071" w:rsidP="005E59D6">
            <w:pPr>
              <w:rPr>
                <w:sz w:val="19"/>
                <w:szCs w:val="19"/>
              </w:rPr>
            </w:pPr>
            <w:r w:rsidRPr="00D27987">
              <w:rPr>
                <w:sz w:val="19"/>
                <w:szCs w:val="19"/>
              </w:rPr>
              <w:t>Department of Agriculture and Livestock (DAL) / Fresh Produce Development Agency (FPDA)</w:t>
            </w:r>
          </w:p>
        </w:tc>
      </w:tr>
    </w:tbl>
    <w:p w14:paraId="7E5D7629" w14:textId="330717FB" w:rsidR="001D4A4F" w:rsidRDefault="001D4A4F" w:rsidP="001D4A4F">
      <w:pPr>
        <w:rPr>
          <w:rFonts w:cstheme="minorHAnsi"/>
        </w:rPr>
      </w:pPr>
    </w:p>
    <w:p w14:paraId="322FB6E7" w14:textId="77777777" w:rsidR="005F0353" w:rsidRPr="00D713EB" w:rsidRDefault="005F0353" w:rsidP="001D4A4F">
      <w:pPr>
        <w:rPr>
          <w:rFonts w:cstheme="minorHAnsi"/>
        </w:rPr>
      </w:pPr>
    </w:p>
    <w:p w14:paraId="52418C9E" w14:textId="1145FCDF" w:rsidR="005A2D15" w:rsidRPr="00D713EB" w:rsidRDefault="000245B7" w:rsidP="00CB624C">
      <w:pPr>
        <w:pStyle w:val="Heading2"/>
      </w:pPr>
      <w:bookmarkStart w:id="9" w:name="_Toc59493618"/>
      <w:r w:rsidRPr="00D713EB">
        <w:t xml:space="preserve">2.2. What is the frequency </w:t>
      </w:r>
      <w:r w:rsidR="00B823BB">
        <w:t xml:space="preserve">and process </w:t>
      </w:r>
      <w:r w:rsidRPr="00D713EB">
        <w:t>for the collection of information?</w:t>
      </w:r>
      <w:bookmarkEnd w:id="9"/>
    </w:p>
    <w:p w14:paraId="5A39A692" w14:textId="77777777" w:rsidR="007E5A2E" w:rsidRDefault="007E5A2E" w:rsidP="001D4A4F">
      <w:pPr>
        <w:rPr>
          <w:iCs/>
        </w:rPr>
      </w:pPr>
    </w:p>
    <w:p w14:paraId="21D3B1F3" w14:textId="1035EB89" w:rsidR="00BC19E9" w:rsidRDefault="00B10412" w:rsidP="00CB624C">
      <w:pPr>
        <w:pStyle w:val="Heading3"/>
        <w:rPr>
          <w:iCs/>
        </w:rPr>
      </w:pPr>
      <w:bookmarkStart w:id="10" w:name="_Toc59493619"/>
      <w:r>
        <w:t xml:space="preserve">2.2.1 </w:t>
      </w:r>
      <w:r w:rsidR="00BC19E9" w:rsidRPr="00D713EB">
        <w:t xml:space="preserve">In relation to the </w:t>
      </w:r>
      <w:r w:rsidR="00AF1442">
        <w:t>role of the REDD+ Safeguards TWC and the National Safeguards Specialist</w:t>
      </w:r>
      <w:bookmarkEnd w:id="10"/>
    </w:p>
    <w:p w14:paraId="295AC321" w14:textId="77777777" w:rsidR="00BC19E9" w:rsidRDefault="00BC19E9" w:rsidP="001D4A4F">
      <w:pPr>
        <w:rPr>
          <w:iCs/>
        </w:rPr>
      </w:pPr>
    </w:p>
    <w:p w14:paraId="66CA4E5F" w14:textId="72B33C0C" w:rsidR="00A45E8B" w:rsidRPr="00D713EB" w:rsidRDefault="00821BE0" w:rsidP="001D4A4F">
      <w:pPr>
        <w:rPr>
          <w:b/>
          <w:bCs/>
          <w:iCs/>
        </w:rPr>
      </w:pPr>
      <w:r w:rsidRPr="00D713EB">
        <w:rPr>
          <w:iCs/>
        </w:rPr>
        <w:t xml:space="preserve">Within </w:t>
      </w:r>
      <w:r w:rsidR="000921D6">
        <w:rPr>
          <w:iCs/>
        </w:rPr>
        <w:t xml:space="preserve">the </w:t>
      </w:r>
      <w:r w:rsidRPr="00D713EB">
        <w:rPr>
          <w:iCs/>
        </w:rPr>
        <w:t xml:space="preserve">first quarter </w:t>
      </w:r>
      <w:r w:rsidRPr="00D713EB">
        <w:rPr>
          <w:rFonts w:cstheme="minorHAnsi"/>
        </w:rPr>
        <w:t>of the 24</w:t>
      </w:r>
      <w:r w:rsidR="00AF1EFB">
        <w:rPr>
          <w:rFonts w:cstheme="minorHAnsi"/>
        </w:rPr>
        <w:t>-</w:t>
      </w:r>
      <w:r w:rsidRPr="00D713EB">
        <w:rPr>
          <w:rFonts w:cstheme="minorHAnsi"/>
        </w:rPr>
        <w:t xml:space="preserve">month </w:t>
      </w:r>
      <w:r w:rsidR="00AF1EFB">
        <w:rPr>
          <w:rFonts w:cstheme="minorHAnsi"/>
        </w:rPr>
        <w:t xml:space="preserve">information management and </w:t>
      </w:r>
      <w:r w:rsidRPr="00D713EB">
        <w:rPr>
          <w:rFonts w:cstheme="minorHAnsi"/>
        </w:rPr>
        <w:t>reporting cycle of the SIS</w:t>
      </w:r>
      <w:r w:rsidR="003700B6" w:rsidRPr="00D713EB">
        <w:rPr>
          <w:iCs/>
        </w:rPr>
        <w:t>,</w:t>
      </w:r>
      <w:r w:rsidR="003700B6" w:rsidRPr="00D713EB">
        <w:rPr>
          <w:b/>
          <w:bCs/>
          <w:iCs/>
        </w:rPr>
        <w:t xml:space="preserve"> </w:t>
      </w:r>
      <w:r w:rsidR="003700B6" w:rsidRPr="00D713EB">
        <w:rPr>
          <w:iCs/>
        </w:rPr>
        <w:t xml:space="preserve">the </w:t>
      </w:r>
      <w:r w:rsidR="003700B6" w:rsidRPr="00D713EB">
        <w:rPr>
          <w:b/>
          <w:bCs/>
          <w:iCs/>
        </w:rPr>
        <w:t xml:space="preserve">REDD+ Safeguards TWC with the support of the National Safeguard Specialist </w:t>
      </w:r>
      <w:r w:rsidR="003700B6" w:rsidRPr="00D713EB">
        <w:rPr>
          <w:iCs/>
        </w:rPr>
        <w:t xml:space="preserve">should </w:t>
      </w:r>
      <w:r w:rsidR="00AF1EFB">
        <w:rPr>
          <w:iCs/>
        </w:rPr>
        <w:t xml:space="preserve">start the </w:t>
      </w:r>
      <w:r w:rsidR="003700B6" w:rsidRPr="00D713EB">
        <w:rPr>
          <w:iCs/>
        </w:rPr>
        <w:t>collect</w:t>
      </w:r>
      <w:r w:rsidR="00AF1EFB">
        <w:rPr>
          <w:iCs/>
        </w:rPr>
        <w:t>ion of</w:t>
      </w:r>
      <w:r w:rsidR="003700B6" w:rsidRPr="00D713EB">
        <w:rPr>
          <w:iCs/>
        </w:rPr>
        <w:t xml:space="preserve"> information in relation to each of the </w:t>
      </w:r>
      <w:r w:rsidR="003700B6" w:rsidRPr="00D713EB">
        <w:t xml:space="preserve">indicators for demonstrating </w:t>
      </w:r>
      <w:r w:rsidR="00AF1EFB">
        <w:t xml:space="preserve">safeguards have been </w:t>
      </w:r>
      <w:r w:rsidR="003700B6" w:rsidRPr="00D713EB">
        <w:t>‘</w:t>
      </w:r>
      <w:r w:rsidR="00AF1EFB" w:rsidRPr="00D713EB">
        <w:t>address</w:t>
      </w:r>
      <w:r w:rsidR="00AF1EFB">
        <w:t>ed</w:t>
      </w:r>
      <w:r w:rsidR="00AF1EFB" w:rsidRPr="00D713EB">
        <w:t>’</w:t>
      </w:r>
      <w:r w:rsidR="00AF1EFB">
        <w:t>, towards aggregation and analysis (see Section</w:t>
      </w:r>
      <w:r w:rsidR="004214AA">
        <w:t xml:space="preserve"> III)</w:t>
      </w:r>
      <w:r w:rsidR="003700B6" w:rsidRPr="00D713EB">
        <w:t xml:space="preserve">. </w:t>
      </w:r>
    </w:p>
    <w:p w14:paraId="6196BC41" w14:textId="6EC0FDD3" w:rsidR="00262F8E" w:rsidRPr="00D713EB" w:rsidRDefault="00262F8E" w:rsidP="001D4A4F">
      <w:pPr>
        <w:rPr>
          <w:b/>
          <w:bCs/>
          <w:iCs/>
        </w:rPr>
      </w:pPr>
    </w:p>
    <w:p w14:paraId="29C89687" w14:textId="21BB2301" w:rsidR="007E5A2E" w:rsidRPr="00D713EB" w:rsidRDefault="007E5A2E" w:rsidP="007E5A2E">
      <w:pPr>
        <w:rPr>
          <w:rFonts w:cstheme="minorHAnsi"/>
        </w:rPr>
      </w:pPr>
      <w:r w:rsidRPr="00D713EB">
        <w:rPr>
          <w:rFonts w:cstheme="minorHAnsi"/>
        </w:rPr>
        <w:t xml:space="preserve">As noted above, the </w:t>
      </w:r>
      <w:r w:rsidRPr="00D713EB">
        <w:rPr>
          <w:iCs/>
        </w:rPr>
        <w:t xml:space="preserve">REDD+ Safeguards TWC </w:t>
      </w:r>
      <w:r w:rsidR="008C47CA">
        <w:rPr>
          <w:iCs/>
        </w:rPr>
        <w:t>has a key role in providing strategic and technical direction</w:t>
      </w:r>
      <w:r w:rsidR="0085795A">
        <w:rPr>
          <w:iCs/>
        </w:rPr>
        <w:t xml:space="preserve"> for the collection of information, and </w:t>
      </w:r>
      <w:r w:rsidRPr="00D713EB">
        <w:rPr>
          <w:iCs/>
        </w:rPr>
        <w:t xml:space="preserve">the National Safeguard Specialist will be responsible for </w:t>
      </w:r>
      <w:r w:rsidR="0085795A">
        <w:rPr>
          <w:iCs/>
        </w:rPr>
        <w:t xml:space="preserve">the day-to-day technical work of </w:t>
      </w:r>
      <w:r w:rsidRPr="00D713EB">
        <w:rPr>
          <w:iCs/>
        </w:rPr>
        <w:t>collecting this information</w:t>
      </w:r>
      <w:r w:rsidR="00FA7055">
        <w:rPr>
          <w:iCs/>
        </w:rPr>
        <w:t xml:space="preserve"> for consideration, inputs and validation by the REDD+ Safeguards TWC</w:t>
      </w:r>
      <w:r w:rsidRPr="00D713EB">
        <w:rPr>
          <w:iCs/>
        </w:rPr>
        <w:t>.</w:t>
      </w:r>
      <w:r w:rsidRPr="00D713EB">
        <w:rPr>
          <w:rFonts w:cstheme="minorHAnsi"/>
        </w:rPr>
        <w:t xml:space="preserve"> To be able to collect this information a hard copy of the specific template report is provided in </w:t>
      </w:r>
      <w:r w:rsidRPr="003A7F9A">
        <w:rPr>
          <w:rFonts w:cstheme="minorHAnsi"/>
        </w:rPr>
        <w:t>Annex II</w:t>
      </w:r>
      <w:r w:rsidRPr="00D713EB">
        <w:rPr>
          <w:rFonts w:cstheme="minorHAnsi"/>
        </w:rPr>
        <w:t xml:space="preserve"> and should be followed</w:t>
      </w:r>
      <w:r w:rsidR="001774D3">
        <w:rPr>
          <w:rFonts w:cstheme="minorHAnsi"/>
        </w:rPr>
        <w:t xml:space="preserve"> by the National Safeguards Specialist</w:t>
      </w:r>
      <w:r w:rsidRPr="00D713EB">
        <w:rPr>
          <w:rFonts w:cstheme="minorHAnsi"/>
        </w:rPr>
        <w:t>. This template is also available directly on the SIS database and can be downloaded. Information collected and documented using hard copies of the template should ultimately be inputted into the SIS database.</w:t>
      </w:r>
      <w:r w:rsidR="007A1112" w:rsidRPr="007A1112">
        <w:t xml:space="preserve"> </w:t>
      </w:r>
      <w:r w:rsidR="007A1112" w:rsidRPr="00D713EB">
        <w:t>This information should be updated every two years-linked to the preparation of national/international reports</w:t>
      </w:r>
      <w:r w:rsidR="003A7F9A">
        <w:t xml:space="preserve"> towards </w:t>
      </w:r>
      <w:r w:rsidR="007A1112">
        <w:t>dissemination (</w:t>
      </w:r>
      <w:r w:rsidR="00A12450" w:rsidRPr="00765863">
        <w:t xml:space="preserve">see Section </w:t>
      </w:r>
      <w:r w:rsidR="000C0F70">
        <w:t>IV</w:t>
      </w:r>
      <w:r w:rsidR="00A12450">
        <w:t>)</w:t>
      </w:r>
      <w:r w:rsidR="007A1112" w:rsidRPr="00D713EB">
        <w:t>.</w:t>
      </w:r>
    </w:p>
    <w:p w14:paraId="0F437956" w14:textId="77777777" w:rsidR="007E5A2E" w:rsidRPr="00D713EB" w:rsidRDefault="007E5A2E" w:rsidP="007E5A2E">
      <w:pPr>
        <w:rPr>
          <w:b/>
          <w:bCs/>
          <w:iCs/>
        </w:rPr>
      </w:pPr>
    </w:p>
    <w:p w14:paraId="2A9285E0" w14:textId="77777777" w:rsidR="007E5A2E" w:rsidRPr="00D713EB" w:rsidRDefault="007E5A2E" w:rsidP="007E5A2E">
      <w:pPr>
        <w:rPr>
          <w:rFonts w:cstheme="minorHAnsi"/>
        </w:rPr>
      </w:pPr>
      <w:r w:rsidRPr="00D713EB">
        <w:rPr>
          <w:rFonts w:cstheme="minorHAnsi"/>
        </w:rPr>
        <w:t xml:space="preserve">In terms of the process and methods for the collection of information, the following steps should be carried out (Figure </w:t>
      </w:r>
      <w:r>
        <w:rPr>
          <w:rFonts w:cstheme="minorHAnsi"/>
        </w:rPr>
        <w:t>4</w:t>
      </w:r>
      <w:r w:rsidRPr="00D713EB">
        <w:rPr>
          <w:rFonts w:cstheme="minorHAnsi"/>
        </w:rPr>
        <w:t xml:space="preserve"> illustrates the overall process):</w:t>
      </w:r>
    </w:p>
    <w:p w14:paraId="5226AD9A" w14:textId="77777777" w:rsidR="007E5A2E" w:rsidRPr="00D713EB" w:rsidRDefault="007E5A2E" w:rsidP="007E5A2E">
      <w:pPr>
        <w:rPr>
          <w:rFonts w:cstheme="minorHAnsi"/>
        </w:rPr>
      </w:pPr>
    </w:p>
    <w:p w14:paraId="66439BA1" w14:textId="6ED244D4" w:rsidR="001C4669" w:rsidRPr="00CB624C" w:rsidRDefault="001C4669" w:rsidP="007E5A2E">
      <w:pPr>
        <w:pStyle w:val="ListParagraph"/>
        <w:numPr>
          <w:ilvl w:val="0"/>
          <w:numId w:val="9"/>
        </w:numPr>
      </w:pPr>
      <w:r w:rsidRPr="00CB624C">
        <w:rPr>
          <w:b/>
          <w:bCs/>
        </w:rPr>
        <w:t xml:space="preserve">Prepare baseline information and identify </w:t>
      </w:r>
      <w:r w:rsidR="003D48E9" w:rsidRPr="00CB624C">
        <w:rPr>
          <w:b/>
          <w:bCs/>
        </w:rPr>
        <w:t>information update needs:</w:t>
      </w:r>
      <w:r w:rsidR="003D48E9">
        <w:t xml:space="preserve"> </w:t>
      </w:r>
      <w:r w:rsidR="00950EC7">
        <w:t xml:space="preserve">In preparation for </w:t>
      </w:r>
      <w:r w:rsidR="00C13B31">
        <w:t xml:space="preserve">the first meeting of the REDD+ Safeguards TWC during the 24-month information management and reporting cycle, the National Safeguards Specialist will </w:t>
      </w:r>
      <w:r w:rsidR="000D6879">
        <w:t>complete the collection information template based on the most recent SOI and conduct a preliminary</w:t>
      </w:r>
      <w:r w:rsidR="00601C4D">
        <w:t xml:space="preserve"> assessment of needs for information updates and improvements with regards to indicators on how safeguards have been addressed.</w:t>
      </w:r>
    </w:p>
    <w:p w14:paraId="20D9BB9F" w14:textId="3007348D" w:rsidR="00610F33" w:rsidRPr="009B2004" w:rsidRDefault="007E5A2E" w:rsidP="00CB624C">
      <w:pPr>
        <w:pStyle w:val="ListParagraph"/>
        <w:numPr>
          <w:ilvl w:val="0"/>
          <w:numId w:val="9"/>
        </w:numPr>
      </w:pPr>
      <w:r w:rsidRPr="00D713EB">
        <w:rPr>
          <w:rFonts w:cstheme="minorHAnsi"/>
          <w:b/>
          <w:bCs/>
        </w:rPr>
        <w:t xml:space="preserve">Plan and carry out </w:t>
      </w:r>
      <w:r w:rsidR="00E67688">
        <w:rPr>
          <w:rFonts w:cstheme="minorHAnsi"/>
          <w:b/>
          <w:bCs/>
        </w:rPr>
        <w:t xml:space="preserve">the first </w:t>
      </w:r>
      <w:r w:rsidRPr="00D713EB">
        <w:rPr>
          <w:rFonts w:cstheme="minorHAnsi"/>
          <w:b/>
          <w:bCs/>
        </w:rPr>
        <w:t xml:space="preserve">meeting of the </w:t>
      </w:r>
      <w:r w:rsidRPr="00D713EB">
        <w:rPr>
          <w:b/>
          <w:bCs/>
          <w:iCs/>
        </w:rPr>
        <w:t>REDD+ Safeguards TWC</w:t>
      </w:r>
      <w:r w:rsidRPr="00D713EB">
        <w:rPr>
          <w:rFonts w:cstheme="minorHAnsi"/>
        </w:rPr>
        <w:t xml:space="preserve">: As soon as the SIS database is operational, a meeting of the </w:t>
      </w:r>
      <w:r w:rsidRPr="00D713EB">
        <w:rPr>
          <w:iCs/>
        </w:rPr>
        <w:t xml:space="preserve">REDD+ Safeguards TWC should be convened to </w:t>
      </w:r>
      <w:r w:rsidRPr="00D713EB">
        <w:rPr>
          <w:rFonts w:cstheme="minorHAnsi"/>
        </w:rPr>
        <w:t xml:space="preserve">identify and </w:t>
      </w:r>
      <w:r w:rsidR="00E67688">
        <w:rPr>
          <w:rFonts w:cstheme="minorHAnsi"/>
        </w:rPr>
        <w:t xml:space="preserve">initiate the </w:t>
      </w:r>
      <w:r w:rsidRPr="00D713EB">
        <w:rPr>
          <w:rFonts w:cstheme="minorHAnsi"/>
        </w:rPr>
        <w:t>collect</w:t>
      </w:r>
      <w:r w:rsidR="00E67688">
        <w:rPr>
          <w:rFonts w:cstheme="minorHAnsi"/>
        </w:rPr>
        <w:t>ion of</w:t>
      </w:r>
      <w:r w:rsidRPr="00D713EB">
        <w:rPr>
          <w:rFonts w:cstheme="minorHAnsi"/>
        </w:rPr>
        <w:t xml:space="preserve"> information in relation to the set of indicators</w:t>
      </w:r>
      <w:r w:rsidR="00E67688">
        <w:rPr>
          <w:rFonts w:cstheme="minorHAnsi"/>
        </w:rPr>
        <w:t xml:space="preserve"> on </w:t>
      </w:r>
      <w:r w:rsidR="009B2004">
        <w:rPr>
          <w:rFonts w:cstheme="minorHAnsi"/>
        </w:rPr>
        <w:t>‘</w:t>
      </w:r>
      <w:r w:rsidR="00E67688">
        <w:rPr>
          <w:rFonts w:cstheme="minorHAnsi"/>
        </w:rPr>
        <w:t>addressing</w:t>
      </w:r>
      <w:r w:rsidR="009B2004">
        <w:rPr>
          <w:rFonts w:cstheme="minorHAnsi"/>
        </w:rPr>
        <w:t>’</w:t>
      </w:r>
      <w:r w:rsidRPr="00D713EB">
        <w:rPr>
          <w:rFonts w:cstheme="minorHAnsi"/>
        </w:rPr>
        <w:t>. This meeting should take place within the first quarter of the 24</w:t>
      </w:r>
      <w:r w:rsidR="00E67688">
        <w:rPr>
          <w:rFonts w:cstheme="minorHAnsi"/>
        </w:rPr>
        <w:t>-</w:t>
      </w:r>
      <w:r w:rsidRPr="00D713EB">
        <w:rPr>
          <w:rFonts w:cstheme="minorHAnsi"/>
        </w:rPr>
        <w:t xml:space="preserve">month </w:t>
      </w:r>
      <w:r w:rsidR="009866F6">
        <w:rPr>
          <w:rFonts w:cstheme="minorHAnsi"/>
        </w:rPr>
        <w:t xml:space="preserve">information management and </w:t>
      </w:r>
      <w:r w:rsidRPr="00D713EB">
        <w:rPr>
          <w:rFonts w:cstheme="minorHAnsi"/>
        </w:rPr>
        <w:t>reporting cycle of the SIS</w:t>
      </w:r>
      <w:r w:rsidR="00E67688">
        <w:rPr>
          <w:rFonts w:cstheme="minorHAnsi"/>
        </w:rPr>
        <w:t xml:space="preserve">, this is </w:t>
      </w:r>
      <w:r w:rsidR="009866F6">
        <w:rPr>
          <w:rFonts w:cstheme="minorHAnsi"/>
        </w:rPr>
        <w:t>during the first semester of year 1</w:t>
      </w:r>
      <w:r w:rsidRPr="00D713EB">
        <w:rPr>
          <w:rFonts w:cstheme="minorHAnsi"/>
        </w:rPr>
        <w:t>.</w:t>
      </w:r>
      <w:r w:rsidR="00A67F90">
        <w:rPr>
          <w:rFonts w:cstheme="minorHAnsi"/>
        </w:rPr>
        <w:t xml:space="preserve"> </w:t>
      </w:r>
    </w:p>
    <w:p w14:paraId="45A52A26" w14:textId="5C5F4D3B" w:rsidR="00262E27" w:rsidRPr="00CB624C" w:rsidRDefault="00262E27" w:rsidP="009B2004">
      <w:pPr>
        <w:pStyle w:val="ListParagraph"/>
        <w:numPr>
          <w:ilvl w:val="0"/>
          <w:numId w:val="9"/>
        </w:numPr>
      </w:pPr>
      <w:r w:rsidRPr="00D713EB">
        <w:rPr>
          <w:rFonts w:cstheme="minorHAnsi"/>
          <w:b/>
          <w:bCs/>
        </w:rPr>
        <w:t xml:space="preserve">Plan and carry out </w:t>
      </w:r>
      <w:r>
        <w:rPr>
          <w:rFonts w:cstheme="minorHAnsi"/>
          <w:b/>
          <w:bCs/>
        </w:rPr>
        <w:t xml:space="preserve">the </w:t>
      </w:r>
      <w:r w:rsidR="00A0019B">
        <w:rPr>
          <w:rFonts w:cstheme="minorHAnsi"/>
          <w:b/>
          <w:bCs/>
        </w:rPr>
        <w:t>second</w:t>
      </w:r>
      <w:r>
        <w:rPr>
          <w:rFonts w:cstheme="minorHAnsi"/>
          <w:b/>
          <w:bCs/>
        </w:rPr>
        <w:t xml:space="preserve"> </w:t>
      </w:r>
      <w:r w:rsidRPr="00D713EB">
        <w:rPr>
          <w:rFonts w:cstheme="minorHAnsi"/>
          <w:b/>
          <w:bCs/>
        </w:rPr>
        <w:t xml:space="preserve">meeting of the </w:t>
      </w:r>
      <w:r w:rsidRPr="00D713EB">
        <w:rPr>
          <w:b/>
          <w:bCs/>
          <w:iCs/>
        </w:rPr>
        <w:t>REDD+ Safeguards TWC</w:t>
      </w:r>
      <w:r w:rsidRPr="00D713EB">
        <w:rPr>
          <w:rFonts w:cstheme="minorHAnsi"/>
        </w:rPr>
        <w:t>:</w:t>
      </w:r>
      <w:r w:rsidR="00A0019B">
        <w:rPr>
          <w:rFonts w:cstheme="minorHAnsi"/>
        </w:rPr>
        <w:t xml:space="preserve"> </w:t>
      </w:r>
      <w:r w:rsidR="00A0019B" w:rsidRPr="00D713EB">
        <w:rPr>
          <w:rFonts w:cstheme="minorHAnsi"/>
        </w:rPr>
        <w:t>A second meeting should be convened in the final quarter of the 24</w:t>
      </w:r>
      <w:r w:rsidR="00A0019B">
        <w:rPr>
          <w:rFonts w:cstheme="minorHAnsi"/>
        </w:rPr>
        <w:t>-</w:t>
      </w:r>
      <w:r w:rsidR="00A0019B" w:rsidRPr="00D713EB">
        <w:rPr>
          <w:rFonts w:cstheme="minorHAnsi"/>
        </w:rPr>
        <w:t xml:space="preserve">month </w:t>
      </w:r>
      <w:r w:rsidR="00A0019B">
        <w:rPr>
          <w:rFonts w:cstheme="minorHAnsi"/>
        </w:rPr>
        <w:t xml:space="preserve">information management and </w:t>
      </w:r>
      <w:r w:rsidR="00A0019B" w:rsidRPr="00D713EB">
        <w:rPr>
          <w:rFonts w:cstheme="minorHAnsi"/>
        </w:rPr>
        <w:t>reporting cycle of the SIS</w:t>
      </w:r>
      <w:r w:rsidR="00A0019B">
        <w:rPr>
          <w:rFonts w:cstheme="minorHAnsi"/>
        </w:rPr>
        <w:t xml:space="preserve">. The second meeting </w:t>
      </w:r>
      <w:r w:rsidR="00A0019B" w:rsidRPr="00D713EB">
        <w:t>should aim to be used for further completing information on the template</w:t>
      </w:r>
      <w:r w:rsidR="00A0019B">
        <w:t>, and will serve</w:t>
      </w:r>
      <w:r w:rsidR="00A0019B" w:rsidRPr="00D713EB">
        <w:rPr>
          <w:rFonts w:cstheme="minorHAnsi"/>
        </w:rPr>
        <w:t xml:space="preserve"> for </w:t>
      </w:r>
      <w:r w:rsidR="00A0019B">
        <w:rPr>
          <w:rFonts w:cstheme="minorHAnsi"/>
        </w:rPr>
        <w:t xml:space="preserve">the </w:t>
      </w:r>
      <w:r w:rsidR="00A0019B" w:rsidRPr="00D713EB">
        <w:rPr>
          <w:rFonts w:cstheme="minorHAnsi"/>
        </w:rPr>
        <w:t>analysis of information</w:t>
      </w:r>
      <w:r w:rsidR="00A0019B">
        <w:rPr>
          <w:rFonts w:cstheme="minorHAnsi"/>
        </w:rPr>
        <w:t xml:space="preserve"> and preparation of reports (</w:t>
      </w:r>
      <w:r w:rsidR="00A0019B" w:rsidRPr="00D713EB">
        <w:rPr>
          <w:rFonts w:cstheme="minorHAnsi"/>
        </w:rPr>
        <w:t xml:space="preserve">see </w:t>
      </w:r>
      <w:r w:rsidR="00A0019B">
        <w:rPr>
          <w:rFonts w:cstheme="minorHAnsi"/>
        </w:rPr>
        <w:t>Section III)</w:t>
      </w:r>
      <w:r w:rsidR="00FB1487">
        <w:rPr>
          <w:rFonts w:cstheme="minorHAnsi"/>
        </w:rPr>
        <w:t>.</w:t>
      </w:r>
    </w:p>
    <w:p w14:paraId="61EC8BAD" w14:textId="1EA88D78" w:rsidR="009B2004" w:rsidRDefault="007E5A2E" w:rsidP="009B2004">
      <w:pPr>
        <w:pStyle w:val="ListParagraph"/>
        <w:numPr>
          <w:ilvl w:val="0"/>
          <w:numId w:val="9"/>
        </w:numPr>
      </w:pPr>
      <w:r w:rsidRPr="00D713EB">
        <w:rPr>
          <w:b/>
          <w:bCs/>
        </w:rPr>
        <w:t>Upload completed template report and associated files to SIS database</w:t>
      </w:r>
      <w:r w:rsidRPr="00D713EB">
        <w:rPr>
          <w:b/>
          <w:bCs/>
          <w:iCs/>
        </w:rPr>
        <w:t xml:space="preserve">: </w:t>
      </w:r>
      <w:r w:rsidRPr="00D713EB">
        <w:t>Once the second meeting has taken place within the 24</w:t>
      </w:r>
      <w:r w:rsidR="00765863">
        <w:t>-</w:t>
      </w:r>
      <w:r w:rsidRPr="00D713EB">
        <w:t xml:space="preserve">month </w:t>
      </w:r>
      <w:r w:rsidRPr="00D713EB">
        <w:rPr>
          <w:rFonts w:cstheme="minorHAnsi"/>
        </w:rPr>
        <w:t>collection/reporting period the</w:t>
      </w:r>
      <w:r w:rsidRPr="00D713EB">
        <w:rPr>
          <w:iCs/>
        </w:rPr>
        <w:t xml:space="preserve"> National Safeguard Specialist will upload the completed report and associated files to the SIS database. </w:t>
      </w:r>
      <w:r w:rsidRPr="00D713EB">
        <w:t>Please refer to the ‘</w:t>
      </w:r>
      <w:r w:rsidRPr="00D713EB">
        <w:rPr>
          <w:i/>
          <w:iCs/>
        </w:rPr>
        <w:t>Safeguards Information System: User Guide’</w:t>
      </w:r>
      <w:r w:rsidRPr="00D713EB">
        <w:t xml:space="preserve"> for guidance as to how to access and use the database. </w:t>
      </w:r>
    </w:p>
    <w:p w14:paraId="742675BD" w14:textId="2E18F241" w:rsidR="009B2004" w:rsidRDefault="009B2004" w:rsidP="009B2004"/>
    <w:p w14:paraId="14FD7E3C" w14:textId="207EDE96" w:rsidR="00B410DD" w:rsidRPr="00D713EB" w:rsidRDefault="00B410DD" w:rsidP="00B410DD">
      <w:pPr>
        <w:pStyle w:val="Caption"/>
        <w:rPr>
          <w:b/>
          <w:bCs/>
        </w:rPr>
      </w:pPr>
      <w:r w:rsidRPr="00D713EB">
        <w:t xml:space="preserve">Figure </w:t>
      </w:r>
      <w:r w:rsidRPr="00D713EB">
        <w:fldChar w:fldCharType="begin"/>
      </w:r>
      <w:r w:rsidRPr="00D713EB">
        <w:instrText xml:space="preserve"> SEQ Figure \* ARABIC </w:instrText>
      </w:r>
      <w:r w:rsidRPr="00D713EB">
        <w:fldChar w:fldCharType="separate"/>
      </w:r>
      <w:r w:rsidR="00A36915">
        <w:rPr>
          <w:noProof/>
        </w:rPr>
        <w:t>4</w:t>
      </w:r>
      <w:r w:rsidRPr="00D713EB">
        <w:fldChar w:fldCharType="end"/>
      </w:r>
      <w:r w:rsidRPr="00D713EB">
        <w:t>: Overview Process for collection information by REDD+ Safeguards TWC</w:t>
      </w:r>
      <w:r>
        <w:t xml:space="preserve"> supported by the National Safeguards Specialist</w:t>
      </w:r>
    </w:p>
    <w:p w14:paraId="5BE06D61" w14:textId="77777777" w:rsidR="00B410DD" w:rsidRPr="00D713EB" w:rsidRDefault="00B410DD" w:rsidP="00B410DD">
      <w:pPr>
        <w:rPr>
          <w:b/>
          <w:bCs/>
        </w:rPr>
      </w:pPr>
      <w:r w:rsidRPr="00D713EB">
        <w:rPr>
          <w:b/>
          <w:bCs/>
          <w:noProof/>
        </w:rPr>
        <mc:AlternateContent>
          <mc:Choice Requires="wps">
            <w:drawing>
              <wp:anchor distT="0" distB="0" distL="114300" distR="114300" simplePos="0" relativeHeight="251674624" behindDoc="0" locked="0" layoutInCell="1" allowOverlap="1" wp14:anchorId="2363CC24" wp14:editId="469B4929">
                <wp:simplePos x="0" y="0"/>
                <wp:positionH relativeFrom="column">
                  <wp:posOffset>238836</wp:posOffset>
                </wp:positionH>
                <wp:positionV relativeFrom="paragraph">
                  <wp:posOffset>2137040</wp:posOffset>
                </wp:positionV>
                <wp:extent cx="4626534" cy="353060"/>
                <wp:effectExtent l="0" t="0" r="9525" b="15240"/>
                <wp:wrapNone/>
                <wp:docPr id="13" name="Text Box 13"/>
                <wp:cNvGraphicFramePr/>
                <a:graphic xmlns:a="http://schemas.openxmlformats.org/drawingml/2006/main">
                  <a:graphicData uri="http://schemas.microsoft.com/office/word/2010/wordprocessingShape">
                    <wps:wsp>
                      <wps:cNvSpPr txBox="1"/>
                      <wps:spPr>
                        <a:xfrm>
                          <a:off x="0" y="0"/>
                          <a:ext cx="4626534" cy="353060"/>
                        </a:xfrm>
                        <a:prstGeom prst="rect">
                          <a:avLst/>
                        </a:prstGeom>
                        <a:ln/>
                      </wps:spPr>
                      <wps:style>
                        <a:lnRef idx="2">
                          <a:schemeClr val="dk1"/>
                        </a:lnRef>
                        <a:fillRef idx="1">
                          <a:schemeClr val="lt1"/>
                        </a:fillRef>
                        <a:effectRef idx="0">
                          <a:schemeClr val="dk1"/>
                        </a:effectRef>
                        <a:fontRef idx="minor">
                          <a:schemeClr val="dk1"/>
                        </a:fontRef>
                      </wps:style>
                      <wps:txbx>
                        <w:txbxContent>
                          <w:p w14:paraId="33DA1A9B" w14:textId="77777777" w:rsidR="00B410DD" w:rsidRDefault="00B410DD" w:rsidP="00B410DD">
                            <w:pPr>
                              <w:jc w:val="center"/>
                            </w:pPr>
                            <w:r>
                              <w:t>Overall Timeline- 24-month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63CC24" id="_x0000_t202" coordsize="21600,21600" o:spt="202" path="m,l,21600r21600,l21600,xe">
                <v:stroke joinstyle="miter"/>
                <v:path gradientshapeok="t" o:connecttype="rect"/>
              </v:shapetype>
              <v:shape id="Text Box 13" o:spid="_x0000_s1026" type="#_x0000_t202" style="position:absolute;left:0;text-align:left;margin-left:18.8pt;margin-top:168.25pt;width:364.3pt;height:27.8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" fillcolor="white [3201]" strokecolor="black [3200]" strokeweight="1pt">
                <v:textbox>
                  <w:txbxContent>
                    <w:p w14:paraId="33DA1A9B" w14:textId="77777777" w:rsidR="00B410DD" w:rsidRDefault="00B410DD" w:rsidP="00B410DD">
                      <w:pPr>
                        <w:jc w:val="center"/>
                      </w:pPr>
                      <w:r>
                        <w:t>Overall Timeline- 24-month cycle</w:t>
                      </w:r>
                    </w:p>
                  </w:txbxContent>
                </v:textbox>
              </v:shape>
            </w:pict>
          </mc:Fallback>
        </mc:AlternateContent>
      </w:r>
      <w:r w:rsidRPr="00D713EB">
        <w:rPr>
          <w:b/>
          <w:bCs/>
          <w:noProof/>
        </w:rPr>
        <mc:AlternateContent>
          <mc:Choice Requires="wps">
            <w:drawing>
              <wp:anchor distT="0" distB="0" distL="114300" distR="114300" simplePos="0" relativeHeight="251672576" behindDoc="0" locked="0" layoutInCell="1" allowOverlap="1" wp14:anchorId="4E5279B1" wp14:editId="4D13664C">
                <wp:simplePos x="0" y="0"/>
                <wp:positionH relativeFrom="column">
                  <wp:posOffset>238836</wp:posOffset>
                </wp:positionH>
                <wp:positionV relativeFrom="paragraph">
                  <wp:posOffset>1536540</wp:posOffset>
                </wp:positionV>
                <wp:extent cx="2176780" cy="523060"/>
                <wp:effectExtent l="0" t="0" r="7620" b="10795"/>
                <wp:wrapNone/>
                <wp:docPr id="14" name="Text Box 14"/>
                <wp:cNvGraphicFramePr/>
                <a:graphic xmlns:a="http://schemas.openxmlformats.org/drawingml/2006/main">
                  <a:graphicData uri="http://schemas.microsoft.com/office/word/2010/wordprocessingShape">
                    <wps:wsp>
                      <wps:cNvSpPr txBox="1"/>
                      <wps:spPr>
                        <a:xfrm>
                          <a:off x="0" y="0"/>
                          <a:ext cx="2176780" cy="523060"/>
                        </a:xfrm>
                        <a:prstGeom prst="rect">
                          <a:avLst/>
                        </a:prstGeom>
                        <a:ln/>
                      </wps:spPr>
                      <wps:style>
                        <a:lnRef idx="2">
                          <a:schemeClr val="dk1"/>
                        </a:lnRef>
                        <a:fillRef idx="1">
                          <a:schemeClr val="lt1"/>
                        </a:fillRef>
                        <a:effectRef idx="0">
                          <a:schemeClr val="dk1"/>
                        </a:effectRef>
                        <a:fontRef idx="minor">
                          <a:schemeClr val="dk1"/>
                        </a:fontRef>
                      </wps:style>
                      <wps:txbx>
                        <w:txbxContent>
                          <w:p w14:paraId="513B6B79" w14:textId="77777777" w:rsidR="00B410DD" w:rsidRDefault="00B410DD" w:rsidP="00B410DD">
                            <w:pPr>
                              <w:jc w:val="center"/>
                            </w:pPr>
                            <w:r>
                              <w:t>Within first quarter of the cycle</w:t>
                            </w:r>
                          </w:p>
                          <w:p w14:paraId="6F96DF84" w14:textId="77777777" w:rsidR="00B410DD" w:rsidRDefault="00B410DD" w:rsidP="00B410DD">
                            <w:pPr>
                              <w:jc w:val="center"/>
                            </w:pPr>
                            <w:r>
                              <w:t>(First semester of year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279B1" id="Text Box 14" o:spid="_x0000_s1027" type="#_x0000_t202" style="position:absolute;left:0;text-align:left;margin-left:18.8pt;margin-top:121pt;width:171.4pt;height:4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" fillcolor="white [3201]" strokecolor="black [3200]" strokeweight="1pt">
                <v:textbox>
                  <w:txbxContent>
                    <w:p w14:paraId="513B6B79" w14:textId="77777777" w:rsidR="00B410DD" w:rsidRDefault="00B410DD" w:rsidP="00B410DD">
                      <w:pPr>
                        <w:jc w:val="center"/>
                      </w:pPr>
                      <w:r>
                        <w:t>Within first quarter of the cycle</w:t>
                      </w:r>
                    </w:p>
                    <w:p w14:paraId="6F96DF84" w14:textId="77777777" w:rsidR="00B410DD" w:rsidRDefault="00B410DD" w:rsidP="00B410DD">
                      <w:pPr>
                        <w:jc w:val="center"/>
                      </w:pPr>
                      <w:r>
                        <w:t>(First semester of year 1)</w:t>
                      </w:r>
                    </w:p>
                  </w:txbxContent>
                </v:textbox>
              </v:shape>
            </w:pict>
          </mc:Fallback>
        </mc:AlternateContent>
      </w:r>
      <w:r w:rsidRPr="00D713EB">
        <w:rPr>
          <w:b/>
          <w:bCs/>
          <w:noProof/>
        </w:rPr>
        <mc:AlternateContent>
          <mc:Choice Requires="wps">
            <w:drawing>
              <wp:anchor distT="0" distB="0" distL="114300" distR="114300" simplePos="0" relativeHeight="251673600" behindDoc="0" locked="0" layoutInCell="1" allowOverlap="1" wp14:anchorId="7C485A22" wp14:editId="7EB6B319">
                <wp:simplePos x="0" y="0"/>
                <wp:positionH relativeFrom="column">
                  <wp:posOffset>2688609</wp:posOffset>
                </wp:positionH>
                <wp:positionV relativeFrom="paragraph">
                  <wp:posOffset>1536539</wp:posOffset>
                </wp:positionV>
                <wp:extent cx="2176780" cy="503185"/>
                <wp:effectExtent l="0" t="0" r="7620" b="17780"/>
                <wp:wrapNone/>
                <wp:docPr id="15" name="Text Box 15"/>
                <wp:cNvGraphicFramePr/>
                <a:graphic xmlns:a="http://schemas.openxmlformats.org/drawingml/2006/main">
                  <a:graphicData uri="http://schemas.microsoft.com/office/word/2010/wordprocessingShape">
                    <wps:wsp>
                      <wps:cNvSpPr txBox="1"/>
                      <wps:spPr>
                        <a:xfrm>
                          <a:off x="0" y="0"/>
                          <a:ext cx="2176780" cy="503185"/>
                        </a:xfrm>
                        <a:prstGeom prst="rect">
                          <a:avLst/>
                        </a:prstGeom>
                        <a:ln/>
                      </wps:spPr>
                      <wps:style>
                        <a:lnRef idx="2">
                          <a:schemeClr val="dk1"/>
                        </a:lnRef>
                        <a:fillRef idx="1">
                          <a:schemeClr val="lt1"/>
                        </a:fillRef>
                        <a:effectRef idx="0">
                          <a:schemeClr val="dk1"/>
                        </a:effectRef>
                        <a:fontRef idx="minor">
                          <a:schemeClr val="dk1"/>
                        </a:fontRef>
                      </wps:style>
                      <wps:txbx>
                        <w:txbxContent>
                          <w:p w14:paraId="0A09ADA3" w14:textId="77777777" w:rsidR="00B410DD" w:rsidRDefault="00B410DD" w:rsidP="00B410DD">
                            <w:pPr>
                              <w:jc w:val="center"/>
                            </w:pPr>
                            <w:r>
                              <w:t>Within fourth quarter of the cycle</w:t>
                            </w:r>
                          </w:p>
                          <w:p w14:paraId="3057023C" w14:textId="77777777" w:rsidR="00B410DD" w:rsidRDefault="00B410DD" w:rsidP="00B410DD">
                            <w:pPr>
                              <w:jc w:val="center"/>
                            </w:pPr>
                            <w:r>
                              <w:t>(Second semester of year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85A22" id="Text Box 15" o:spid="_x0000_s1028" type="#_x0000_t202" style="position:absolute;left:0;text-align:left;margin-left:211.7pt;margin-top:121pt;width:171.4pt;height:39.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" fillcolor="white [3201]" strokecolor="black [3200]" strokeweight="1pt">
                <v:textbox>
                  <w:txbxContent>
                    <w:p w14:paraId="0A09ADA3" w14:textId="77777777" w:rsidR="00B410DD" w:rsidRDefault="00B410DD" w:rsidP="00B410DD">
                      <w:pPr>
                        <w:jc w:val="center"/>
                      </w:pPr>
                      <w:r>
                        <w:t>Within fourth quarter of the cycle</w:t>
                      </w:r>
                    </w:p>
                    <w:p w14:paraId="3057023C" w14:textId="77777777" w:rsidR="00B410DD" w:rsidRDefault="00B410DD" w:rsidP="00B410DD">
                      <w:pPr>
                        <w:jc w:val="center"/>
                      </w:pPr>
                      <w:r>
                        <w:t>(Second semester of year 2)</w:t>
                      </w:r>
                    </w:p>
                  </w:txbxContent>
                </v:textbox>
              </v:shape>
            </w:pict>
          </mc:Fallback>
        </mc:AlternateContent>
      </w:r>
      <w:r w:rsidRPr="00D713EB">
        <w:rPr>
          <w:b/>
          <w:bCs/>
          <w:noProof/>
        </w:rPr>
        <w:drawing>
          <wp:inline distT="0" distB="0" distL="0" distR="0" wp14:anchorId="4201C3E3" wp14:editId="58C4B467">
            <wp:extent cx="5486400" cy="2216728"/>
            <wp:effectExtent l="0" t="0" r="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BD11B2C" w14:textId="77777777" w:rsidR="00B410DD" w:rsidRPr="00D713EB" w:rsidRDefault="00B410DD" w:rsidP="00B410DD"/>
    <w:p w14:paraId="300C4745" w14:textId="77777777" w:rsidR="00B410DD" w:rsidRPr="00D713EB" w:rsidRDefault="00B410DD" w:rsidP="00B410DD">
      <w:pPr>
        <w:rPr>
          <w:b/>
          <w:bCs/>
          <w:iCs/>
        </w:rPr>
      </w:pPr>
    </w:p>
    <w:p w14:paraId="296ADF92" w14:textId="77777777" w:rsidR="00B410DD" w:rsidRDefault="00B410DD" w:rsidP="009B2004"/>
    <w:p w14:paraId="2E270BC3" w14:textId="77777777" w:rsidR="00B410DD" w:rsidRDefault="00B410DD" w:rsidP="009B2004"/>
    <w:p w14:paraId="0D2C1814" w14:textId="2AAC46DB" w:rsidR="009B2004" w:rsidRPr="00D713EB" w:rsidRDefault="009B2004" w:rsidP="00CB624C">
      <w:r w:rsidRPr="00D713EB">
        <w:t>General applicable guidelines for th</w:t>
      </w:r>
      <w:r>
        <w:t>ese</w:t>
      </w:r>
      <w:r w:rsidRPr="00D713EB">
        <w:t xml:space="preserve"> meeting</w:t>
      </w:r>
      <w:r>
        <w:t>s</w:t>
      </w:r>
      <w:r w:rsidRPr="00D713EB">
        <w:t xml:space="preserve"> </w:t>
      </w:r>
      <w:r>
        <w:t>include</w:t>
      </w:r>
      <w:r w:rsidRPr="00D713EB">
        <w:t>:</w:t>
      </w:r>
    </w:p>
    <w:p w14:paraId="6FA47681" w14:textId="2639F525" w:rsidR="009B2004" w:rsidRPr="00D713EB" w:rsidRDefault="009B2004" w:rsidP="009B2004">
      <w:pPr>
        <w:pStyle w:val="ListParagraph"/>
        <w:numPr>
          <w:ilvl w:val="1"/>
          <w:numId w:val="9"/>
        </w:numPr>
        <w:rPr>
          <w:b/>
          <w:bCs/>
          <w:iCs/>
        </w:rPr>
      </w:pPr>
      <w:r w:rsidRPr="00D713EB">
        <w:t xml:space="preserve">Information </w:t>
      </w:r>
      <w:r>
        <w:t>will</w:t>
      </w:r>
      <w:r w:rsidRPr="00D713EB">
        <w:t xml:space="preserve"> be primarily drawn from the information outlined in the </w:t>
      </w:r>
      <w:proofErr w:type="spellStart"/>
      <w:r w:rsidRPr="00D713EB">
        <w:t>GoPNG’s</w:t>
      </w:r>
      <w:proofErr w:type="spellEnd"/>
      <w:r w:rsidRPr="00D713EB">
        <w:t xml:space="preserve"> first Summary of Information and complemented with any new/additional relevant information in relation to each indicator for ‘addressing’</w:t>
      </w:r>
      <w:r>
        <w:t xml:space="preserve">, including from existing relevant sources and systems (see </w:t>
      </w:r>
      <w:r w:rsidRPr="0041318D">
        <w:t>Table</w:t>
      </w:r>
      <w:r w:rsidR="0041318D" w:rsidRPr="00CB624C">
        <w:t>s 2 and 3</w:t>
      </w:r>
      <w:r w:rsidRPr="0041318D">
        <w:t xml:space="preserve"> below)</w:t>
      </w:r>
      <w:r w:rsidRPr="00D713EB">
        <w:t xml:space="preserve">. </w:t>
      </w:r>
      <w:r>
        <w:t>Information in relation to ‘respecting’ indicators should be collected as appropriate.</w:t>
      </w:r>
    </w:p>
    <w:p w14:paraId="13631865" w14:textId="77777777" w:rsidR="009B2004" w:rsidRPr="00D713EB" w:rsidRDefault="009B2004" w:rsidP="009B2004">
      <w:pPr>
        <w:pStyle w:val="ListParagraph"/>
        <w:numPr>
          <w:ilvl w:val="1"/>
          <w:numId w:val="9"/>
        </w:numPr>
      </w:pPr>
      <w:r>
        <w:t>During the</w:t>
      </w:r>
      <w:r w:rsidRPr="00D713EB">
        <w:t xml:space="preserve"> meeting, participants should discuss and go through the template report, and insert relevant </w:t>
      </w:r>
      <w:r w:rsidRPr="002E105A">
        <w:rPr>
          <w:i/>
          <w:iCs/>
        </w:rPr>
        <w:t>baseline</w:t>
      </w:r>
      <w:r>
        <w:t xml:space="preserve"> </w:t>
      </w:r>
      <w:r w:rsidRPr="00D713EB">
        <w:t>information in relation to each indicator</w:t>
      </w:r>
      <w:r>
        <w:t xml:space="preserve"> or identify information that should be further collected in preparation for the second meeting and aggregation and analysis stages</w:t>
      </w:r>
      <w:r w:rsidRPr="00D713EB">
        <w:t xml:space="preserve">, noting this information will be applicable to all REDD+ actions. </w:t>
      </w:r>
    </w:p>
    <w:p w14:paraId="5BAB92F6" w14:textId="77777777" w:rsidR="009B2004" w:rsidRPr="00D713EB" w:rsidRDefault="009B2004" w:rsidP="009B2004">
      <w:pPr>
        <w:pStyle w:val="ListParagraph"/>
        <w:numPr>
          <w:ilvl w:val="1"/>
          <w:numId w:val="9"/>
        </w:numPr>
      </w:pPr>
      <w:r w:rsidRPr="00D713EB">
        <w:t xml:space="preserve">If information is not available for some indicators, this should be noted in the relation to the respective indicators and subsequent meetings should seek to address these gaps in information and further complete the report. </w:t>
      </w:r>
      <w:r>
        <w:t>It i</w:t>
      </w:r>
      <w:r w:rsidRPr="00D713EB">
        <w:t xml:space="preserve">s important the meetings cover all indicators, and clear justifications are identified when information is not available. </w:t>
      </w:r>
    </w:p>
    <w:p w14:paraId="6031D104" w14:textId="77777777" w:rsidR="009B2004" w:rsidRPr="00D713EB" w:rsidRDefault="009B2004" w:rsidP="009B2004">
      <w:pPr>
        <w:pStyle w:val="ListParagraph"/>
        <w:numPr>
          <w:ilvl w:val="1"/>
          <w:numId w:val="9"/>
        </w:numPr>
      </w:pPr>
      <w:r w:rsidRPr="00D713EB">
        <w:t xml:space="preserve"> For each meeting, meeting notes should be taken and documented, including the list of participants. </w:t>
      </w:r>
    </w:p>
    <w:p w14:paraId="722C64A3" w14:textId="77777777" w:rsidR="009B2004" w:rsidRPr="00D713EB" w:rsidRDefault="009B2004" w:rsidP="009B2004"/>
    <w:p w14:paraId="02D9311B" w14:textId="6C6E2B98" w:rsidR="00D72E4A" w:rsidRDefault="00D72E4A" w:rsidP="00D72E4A">
      <w:pPr>
        <w:rPr>
          <w:rFonts w:ascii="Calibri" w:hAnsi="Calibri" w:cs="Calibri"/>
          <w:bCs/>
          <w:i/>
          <w:iCs/>
          <w:sz w:val="16"/>
          <w:szCs w:val="16"/>
        </w:rPr>
      </w:pPr>
      <w:r w:rsidRPr="00D713EB">
        <w:rPr>
          <w:rFonts w:ascii="Calibri" w:hAnsi="Calibri" w:cs="Calibri"/>
          <w:i/>
          <w:iCs/>
          <w:sz w:val="16"/>
          <w:szCs w:val="16"/>
        </w:rPr>
        <w:t xml:space="preserve">Table </w:t>
      </w:r>
      <w:r w:rsidRPr="00D713EB">
        <w:rPr>
          <w:rFonts w:ascii="Calibri" w:hAnsi="Calibri" w:cs="Calibri"/>
          <w:i/>
          <w:iCs/>
          <w:sz w:val="16"/>
          <w:szCs w:val="16"/>
        </w:rPr>
        <w:fldChar w:fldCharType="begin"/>
      </w:r>
      <w:r w:rsidRPr="00D713EB">
        <w:rPr>
          <w:rFonts w:ascii="Calibri" w:hAnsi="Calibri" w:cs="Calibri"/>
          <w:i/>
          <w:iCs/>
          <w:sz w:val="16"/>
          <w:szCs w:val="16"/>
        </w:rPr>
        <w:instrText xml:space="preserve"> SEQ Table \* ARABIC </w:instrText>
      </w:r>
      <w:r w:rsidRPr="00D713EB">
        <w:rPr>
          <w:rFonts w:ascii="Calibri" w:hAnsi="Calibri" w:cs="Calibri"/>
          <w:i/>
          <w:iCs/>
          <w:sz w:val="16"/>
          <w:szCs w:val="16"/>
        </w:rPr>
        <w:fldChar w:fldCharType="separate"/>
      </w:r>
      <w:r w:rsidR="00991BC7">
        <w:rPr>
          <w:rFonts w:ascii="Calibri" w:hAnsi="Calibri" w:cs="Calibri"/>
          <w:i/>
          <w:iCs/>
          <w:noProof/>
          <w:sz w:val="16"/>
          <w:szCs w:val="16"/>
        </w:rPr>
        <w:t>2</w:t>
      </w:r>
      <w:r w:rsidRPr="00D713EB">
        <w:rPr>
          <w:rFonts w:ascii="Calibri" w:hAnsi="Calibri" w:cs="Calibri"/>
          <w:iCs/>
          <w:sz w:val="16"/>
          <w:szCs w:val="16"/>
        </w:rPr>
        <w:fldChar w:fldCharType="end"/>
      </w:r>
      <w:r w:rsidRPr="00D713EB">
        <w:rPr>
          <w:rFonts w:ascii="Calibri" w:hAnsi="Calibri" w:cs="Calibri"/>
          <w:iCs/>
          <w:sz w:val="16"/>
          <w:szCs w:val="16"/>
        </w:rPr>
        <w:t>.</w:t>
      </w:r>
      <w:r w:rsidRPr="00D713EB">
        <w:rPr>
          <w:rFonts w:ascii="Calibri" w:hAnsi="Calibri" w:cs="Calibri"/>
          <w:i/>
          <w:iCs/>
          <w:sz w:val="16"/>
          <w:szCs w:val="16"/>
        </w:rPr>
        <w:t xml:space="preserve"> </w:t>
      </w:r>
      <w:r w:rsidRPr="00D713EB">
        <w:rPr>
          <w:rFonts w:ascii="Calibri" w:hAnsi="Calibri" w:cs="Calibri"/>
          <w:bCs/>
          <w:i/>
          <w:iCs/>
          <w:sz w:val="16"/>
          <w:szCs w:val="16"/>
        </w:rPr>
        <w:t>List of existing and relevant national information systems and sources</w:t>
      </w:r>
    </w:p>
    <w:p w14:paraId="00FB9958" w14:textId="180C4ED7" w:rsidR="009208C3" w:rsidRDefault="009208C3" w:rsidP="00D72E4A">
      <w:pPr>
        <w:rPr>
          <w:rFonts w:ascii="Calibri" w:hAnsi="Calibri" w:cs="Calibri"/>
          <w:i/>
          <w:iCs/>
          <w:sz w:val="16"/>
          <w:szCs w:val="16"/>
        </w:rPr>
      </w:pPr>
    </w:p>
    <w:tbl>
      <w:tblPr>
        <w:tblStyle w:val="TableGrid"/>
        <w:tblW w:w="8815" w:type="dxa"/>
        <w:tblLook w:val="04A0" w:firstRow="1" w:lastRow="0" w:firstColumn="1" w:lastColumn="0" w:noHBand="0" w:noVBand="1"/>
      </w:tblPr>
      <w:tblGrid>
        <w:gridCol w:w="3412"/>
        <w:gridCol w:w="3414"/>
        <w:gridCol w:w="332"/>
        <w:gridCol w:w="323"/>
        <w:gridCol w:w="317"/>
        <w:gridCol w:w="338"/>
        <w:gridCol w:w="315"/>
        <w:gridCol w:w="559"/>
      </w:tblGrid>
      <w:tr w:rsidR="00BB4F5E" w:rsidRPr="00230288" w14:paraId="29390D8C" w14:textId="77777777" w:rsidTr="00BB4F5E">
        <w:trPr>
          <w:trHeight w:val="320"/>
        </w:trPr>
        <w:tc>
          <w:tcPr>
            <w:tcW w:w="3413" w:type="dxa"/>
            <w:vMerge w:val="restart"/>
            <w:shd w:val="clear" w:color="auto" w:fill="B4C6E7" w:themeFill="accent1" w:themeFillTint="66"/>
            <w:noWrap/>
            <w:vAlign w:val="center"/>
            <w:hideMark/>
          </w:tcPr>
          <w:p w14:paraId="45482BBC"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Information System / Source</w:t>
            </w:r>
          </w:p>
        </w:tc>
        <w:tc>
          <w:tcPr>
            <w:tcW w:w="3414" w:type="dxa"/>
            <w:vMerge w:val="restart"/>
            <w:shd w:val="clear" w:color="auto" w:fill="B4C6E7" w:themeFill="accent1" w:themeFillTint="66"/>
            <w:noWrap/>
            <w:vAlign w:val="center"/>
            <w:hideMark/>
          </w:tcPr>
          <w:p w14:paraId="7CC2B372"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Responsible Institution</w:t>
            </w:r>
          </w:p>
        </w:tc>
        <w:tc>
          <w:tcPr>
            <w:tcW w:w="1988" w:type="dxa"/>
            <w:gridSpan w:val="6"/>
            <w:shd w:val="clear" w:color="auto" w:fill="B4C6E7" w:themeFill="accent1" w:themeFillTint="66"/>
            <w:noWrap/>
            <w:vAlign w:val="center"/>
            <w:hideMark/>
          </w:tcPr>
          <w:p w14:paraId="546B08AF"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Relevant Cancun Safeguard</w:t>
            </w:r>
          </w:p>
        </w:tc>
      </w:tr>
      <w:tr w:rsidR="00230288" w:rsidRPr="00230288" w14:paraId="07B109BA" w14:textId="77777777" w:rsidTr="00CB624C">
        <w:trPr>
          <w:trHeight w:val="320"/>
        </w:trPr>
        <w:tc>
          <w:tcPr>
            <w:tcW w:w="3413" w:type="dxa"/>
            <w:vMerge/>
            <w:shd w:val="clear" w:color="auto" w:fill="B4C6E7" w:themeFill="accent1" w:themeFillTint="66"/>
            <w:vAlign w:val="center"/>
            <w:hideMark/>
          </w:tcPr>
          <w:p w14:paraId="0CC983E3" w14:textId="77777777" w:rsidR="00230288" w:rsidRPr="00230288" w:rsidRDefault="00230288" w:rsidP="00CB624C">
            <w:pPr>
              <w:jc w:val="center"/>
              <w:rPr>
                <w:rFonts w:ascii="Calibri" w:hAnsi="Calibri" w:cs="Calibri"/>
                <w:b/>
                <w:bCs/>
                <w:color w:val="000000"/>
                <w:sz w:val="19"/>
                <w:szCs w:val="19"/>
                <w:lang w:val="en-US" w:eastAsia="en-US"/>
              </w:rPr>
            </w:pPr>
          </w:p>
        </w:tc>
        <w:tc>
          <w:tcPr>
            <w:tcW w:w="3414" w:type="dxa"/>
            <w:vMerge/>
            <w:shd w:val="clear" w:color="auto" w:fill="B4C6E7" w:themeFill="accent1" w:themeFillTint="66"/>
            <w:vAlign w:val="center"/>
            <w:hideMark/>
          </w:tcPr>
          <w:p w14:paraId="29D54EA4" w14:textId="77777777" w:rsidR="00230288" w:rsidRPr="00230288" w:rsidRDefault="00230288" w:rsidP="00CB624C">
            <w:pPr>
              <w:jc w:val="center"/>
              <w:rPr>
                <w:rFonts w:ascii="Calibri" w:hAnsi="Calibri" w:cs="Calibri"/>
                <w:b/>
                <w:bCs/>
                <w:color w:val="000000"/>
                <w:sz w:val="19"/>
                <w:szCs w:val="19"/>
                <w:lang w:val="en-US" w:eastAsia="en-US"/>
              </w:rPr>
            </w:pPr>
          </w:p>
        </w:tc>
        <w:tc>
          <w:tcPr>
            <w:tcW w:w="332" w:type="dxa"/>
            <w:shd w:val="clear" w:color="auto" w:fill="B4C6E7" w:themeFill="accent1" w:themeFillTint="66"/>
            <w:noWrap/>
            <w:vAlign w:val="center"/>
            <w:hideMark/>
          </w:tcPr>
          <w:p w14:paraId="7736C5BD"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A</w:t>
            </w:r>
          </w:p>
        </w:tc>
        <w:tc>
          <w:tcPr>
            <w:tcW w:w="323" w:type="dxa"/>
            <w:shd w:val="clear" w:color="auto" w:fill="B4C6E7" w:themeFill="accent1" w:themeFillTint="66"/>
            <w:noWrap/>
            <w:vAlign w:val="center"/>
            <w:hideMark/>
          </w:tcPr>
          <w:p w14:paraId="0B4CCD8A"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B</w:t>
            </w:r>
          </w:p>
        </w:tc>
        <w:tc>
          <w:tcPr>
            <w:tcW w:w="317" w:type="dxa"/>
            <w:shd w:val="clear" w:color="auto" w:fill="B4C6E7" w:themeFill="accent1" w:themeFillTint="66"/>
            <w:noWrap/>
            <w:vAlign w:val="center"/>
            <w:hideMark/>
          </w:tcPr>
          <w:p w14:paraId="1C75CD93"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C</w:t>
            </w:r>
          </w:p>
        </w:tc>
        <w:tc>
          <w:tcPr>
            <w:tcW w:w="338" w:type="dxa"/>
            <w:shd w:val="clear" w:color="auto" w:fill="B4C6E7" w:themeFill="accent1" w:themeFillTint="66"/>
            <w:noWrap/>
            <w:vAlign w:val="center"/>
            <w:hideMark/>
          </w:tcPr>
          <w:p w14:paraId="6E5C3AD8"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D</w:t>
            </w:r>
          </w:p>
        </w:tc>
        <w:tc>
          <w:tcPr>
            <w:tcW w:w="315" w:type="dxa"/>
            <w:shd w:val="clear" w:color="auto" w:fill="B4C6E7" w:themeFill="accent1" w:themeFillTint="66"/>
            <w:noWrap/>
            <w:vAlign w:val="center"/>
            <w:hideMark/>
          </w:tcPr>
          <w:p w14:paraId="634A6462"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E</w:t>
            </w:r>
          </w:p>
        </w:tc>
        <w:tc>
          <w:tcPr>
            <w:tcW w:w="363" w:type="dxa"/>
            <w:shd w:val="clear" w:color="auto" w:fill="B4C6E7" w:themeFill="accent1" w:themeFillTint="66"/>
            <w:noWrap/>
            <w:vAlign w:val="center"/>
            <w:hideMark/>
          </w:tcPr>
          <w:p w14:paraId="37F9DD71" w14:textId="77777777" w:rsidR="00230288" w:rsidRPr="00230288" w:rsidRDefault="00230288" w:rsidP="00BC19E9">
            <w:pPr>
              <w:jc w:val="center"/>
              <w:rPr>
                <w:rFonts w:ascii="Calibri" w:hAnsi="Calibri" w:cs="Calibri"/>
                <w:b/>
                <w:bCs/>
                <w:color w:val="000000"/>
                <w:sz w:val="19"/>
                <w:szCs w:val="19"/>
                <w:lang w:val="en-US" w:eastAsia="en-US"/>
              </w:rPr>
            </w:pPr>
            <w:r w:rsidRPr="00230288">
              <w:rPr>
                <w:rFonts w:ascii="Calibri" w:hAnsi="Calibri" w:cs="Calibri"/>
                <w:b/>
                <w:bCs/>
                <w:color w:val="000000"/>
                <w:sz w:val="19"/>
                <w:szCs w:val="19"/>
                <w:lang w:val="en-US" w:eastAsia="en-US"/>
              </w:rPr>
              <w:t>F&amp;G</w:t>
            </w:r>
          </w:p>
        </w:tc>
      </w:tr>
      <w:tr w:rsidR="00BB4F5E" w:rsidRPr="00230288" w14:paraId="09CFA418" w14:textId="77777777" w:rsidTr="00CB624C">
        <w:trPr>
          <w:trHeight w:val="600"/>
        </w:trPr>
        <w:tc>
          <w:tcPr>
            <w:tcW w:w="3413" w:type="dxa"/>
            <w:hideMark/>
          </w:tcPr>
          <w:p w14:paraId="2DCED799"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Satellite Land Monitoring System (part of National Forest Monitoring System)</w:t>
            </w:r>
          </w:p>
        </w:tc>
        <w:tc>
          <w:tcPr>
            <w:tcW w:w="3414" w:type="dxa"/>
            <w:hideMark/>
          </w:tcPr>
          <w:p w14:paraId="7331D6CE"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Climate Change and Development Authority</w:t>
            </w:r>
          </w:p>
        </w:tc>
        <w:tc>
          <w:tcPr>
            <w:tcW w:w="332" w:type="dxa"/>
            <w:noWrap/>
            <w:hideMark/>
          </w:tcPr>
          <w:p w14:paraId="5A0A8EF3"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621AF2B1" w14:textId="77777777" w:rsidR="00230288" w:rsidRPr="00230288" w:rsidRDefault="00230288" w:rsidP="00230288">
            <w:pPr>
              <w:jc w:val="center"/>
              <w:rPr>
                <w:rFonts w:ascii="Times New Roman" w:hAnsi="Times New Roman"/>
                <w:sz w:val="20"/>
                <w:szCs w:val="20"/>
                <w:lang w:val="en-US" w:eastAsia="en-US"/>
              </w:rPr>
            </w:pPr>
          </w:p>
        </w:tc>
        <w:tc>
          <w:tcPr>
            <w:tcW w:w="317" w:type="dxa"/>
            <w:noWrap/>
            <w:hideMark/>
          </w:tcPr>
          <w:p w14:paraId="3EDD5827"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38" w:type="dxa"/>
            <w:noWrap/>
            <w:hideMark/>
          </w:tcPr>
          <w:p w14:paraId="4C8BA091"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15" w:type="dxa"/>
            <w:noWrap/>
            <w:hideMark/>
          </w:tcPr>
          <w:p w14:paraId="239BB0B2"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63" w:type="dxa"/>
            <w:noWrap/>
            <w:hideMark/>
          </w:tcPr>
          <w:p w14:paraId="26D66439"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r>
      <w:tr w:rsidR="00BB4F5E" w:rsidRPr="00230288" w14:paraId="20FF31FD" w14:textId="77777777" w:rsidTr="00CB624C">
        <w:trPr>
          <w:trHeight w:val="600"/>
        </w:trPr>
        <w:tc>
          <w:tcPr>
            <w:tcW w:w="3413" w:type="dxa"/>
            <w:hideMark/>
          </w:tcPr>
          <w:p w14:paraId="7DD6E7D5"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Forest Resource Information System (FRIMS)</w:t>
            </w:r>
          </w:p>
        </w:tc>
        <w:tc>
          <w:tcPr>
            <w:tcW w:w="3414" w:type="dxa"/>
            <w:hideMark/>
          </w:tcPr>
          <w:p w14:paraId="3888E2A5"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PNG Forest Authority</w:t>
            </w:r>
          </w:p>
        </w:tc>
        <w:tc>
          <w:tcPr>
            <w:tcW w:w="332" w:type="dxa"/>
            <w:noWrap/>
            <w:hideMark/>
          </w:tcPr>
          <w:p w14:paraId="766BAEFA"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1C24A143"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17" w:type="dxa"/>
            <w:noWrap/>
            <w:hideMark/>
          </w:tcPr>
          <w:p w14:paraId="444B454E" w14:textId="77777777" w:rsidR="00230288" w:rsidRPr="00230288" w:rsidRDefault="00230288" w:rsidP="00230288">
            <w:pPr>
              <w:jc w:val="center"/>
              <w:rPr>
                <w:rFonts w:ascii="Calibri" w:hAnsi="Calibri" w:cs="Calibri"/>
                <w:color w:val="000000"/>
                <w:sz w:val="19"/>
                <w:szCs w:val="19"/>
                <w:lang w:val="en-US" w:eastAsia="en-US"/>
              </w:rPr>
            </w:pPr>
          </w:p>
        </w:tc>
        <w:tc>
          <w:tcPr>
            <w:tcW w:w="338" w:type="dxa"/>
            <w:noWrap/>
            <w:hideMark/>
          </w:tcPr>
          <w:p w14:paraId="16AEA37F" w14:textId="77777777" w:rsidR="00230288" w:rsidRPr="00230288" w:rsidRDefault="00230288" w:rsidP="00230288">
            <w:pPr>
              <w:jc w:val="center"/>
              <w:rPr>
                <w:rFonts w:ascii="Times New Roman" w:hAnsi="Times New Roman"/>
                <w:sz w:val="20"/>
                <w:szCs w:val="20"/>
                <w:lang w:val="en-US" w:eastAsia="en-US"/>
              </w:rPr>
            </w:pPr>
          </w:p>
        </w:tc>
        <w:tc>
          <w:tcPr>
            <w:tcW w:w="315" w:type="dxa"/>
            <w:noWrap/>
            <w:hideMark/>
          </w:tcPr>
          <w:p w14:paraId="44C2F0AA"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63" w:type="dxa"/>
            <w:noWrap/>
            <w:hideMark/>
          </w:tcPr>
          <w:p w14:paraId="05978613"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r>
      <w:tr w:rsidR="00BB4F5E" w:rsidRPr="00230288" w14:paraId="078A0927" w14:textId="77777777" w:rsidTr="00CB624C">
        <w:trPr>
          <w:trHeight w:val="600"/>
        </w:trPr>
        <w:tc>
          <w:tcPr>
            <w:tcW w:w="3413" w:type="dxa"/>
            <w:hideMark/>
          </w:tcPr>
          <w:p w14:paraId="792D7B64"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 xml:space="preserve">Environmental Management Information System </w:t>
            </w:r>
          </w:p>
        </w:tc>
        <w:tc>
          <w:tcPr>
            <w:tcW w:w="3414" w:type="dxa"/>
            <w:hideMark/>
          </w:tcPr>
          <w:p w14:paraId="60E3AC47"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Conservation and Environment Protection Authority </w:t>
            </w:r>
          </w:p>
        </w:tc>
        <w:tc>
          <w:tcPr>
            <w:tcW w:w="332" w:type="dxa"/>
            <w:noWrap/>
            <w:hideMark/>
          </w:tcPr>
          <w:p w14:paraId="195510DD"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6F74A56E" w14:textId="77777777" w:rsidR="00230288" w:rsidRPr="00230288" w:rsidRDefault="00230288" w:rsidP="00230288">
            <w:pPr>
              <w:jc w:val="center"/>
              <w:rPr>
                <w:rFonts w:ascii="Times New Roman" w:hAnsi="Times New Roman"/>
                <w:sz w:val="20"/>
                <w:szCs w:val="20"/>
                <w:lang w:val="en-US" w:eastAsia="en-US"/>
              </w:rPr>
            </w:pPr>
          </w:p>
        </w:tc>
        <w:tc>
          <w:tcPr>
            <w:tcW w:w="317" w:type="dxa"/>
            <w:noWrap/>
            <w:hideMark/>
          </w:tcPr>
          <w:p w14:paraId="68FB612C" w14:textId="77777777" w:rsidR="00230288" w:rsidRPr="00230288" w:rsidRDefault="00230288" w:rsidP="00230288">
            <w:pPr>
              <w:jc w:val="center"/>
              <w:rPr>
                <w:rFonts w:ascii="Times New Roman" w:hAnsi="Times New Roman"/>
                <w:sz w:val="20"/>
                <w:szCs w:val="20"/>
                <w:lang w:val="en-US" w:eastAsia="en-US"/>
              </w:rPr>
            </w:pPr>
          </w:p>
        </w:tc>
        <w:tc>
          <w:tcPr>
            <w:tcW w:w="338" w:type="dxa"/>
            <w:noWrap/>
            <w:hideMark/>
          </w:tcPr>
          <w:p w14:paraId="0ECBCAB3" w14:textId="77777777" w:rsidR="00230288" w:rsidRPr="00230288" w:rsidRDefault="00230288" w:rsidP="00230288">
            <w:pPr>
              <w:jc w:val="center"/>
              <w:rPr>
                <w:rFonts w:ascii="Times New Roman" w:hAnsi="Times New Roman"/>
                <w:sz w:val="20"/>
                <w:szCs w:val="20"/>
                <w:lang w:val="en-US" w:eastAsia="en-US"/>
              </w:rPr>
            </w:pPr>
          </w:p>
        </w:tc>
        <w:tc>
          <w:tcPr>
            <w:tcW w:w="315" w:type="dxa"/>
            <w:noWrap/>
            <w:hideMark/>
          </w:tcPr>
          <w:p w14:paraId="3B2BF637"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63" w:type="dxa"/>
            <w:noWrap/>
            <w:hideMark/>
          </w:tcPr>
          <w:p w14:paraId="209176DF" w14:textId="77777777" w:rsidR="00230288" w:rsidRPr="00230288" w:rsidRDefault="00230288" w:rsidP="00230288">
            <w:pPr>
              <w:jc w:val="center"/>
              <w:rPr>
                <w:rFonts w:ascii="Calibri" w:hAnsi="Calibri" w:cs="Calibri"/>
                <w:color w:val="000000"/>
                <w:sz w:val="19"/>
                <w:szCs w:val="19"/>
                <w:lang w:val="en-US" w:eastAsia="en-US"/>
              </w:rPr>
            </w:pPr>
          </w:p>
        </w:tc>
      </w:tr>
      <w:tr w:rsidR="00BB4F5E" w:rsidRPr="00230288" w14:paraId="02A1D20F" w14:textId="77777777" w:rsidTr="00CB624C">
        <w:trPr>
          <w:trHeight w:val="600"/>
        </w:trPr>
        <w:tc>
          <w:tcPr>
            <w:tcW w:w="3413" w:type="dxa"/>
            <w:hideMark/>
          </w:tcPr>
          <w:p w14:paraId="558DE33A"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PNG Resource Information System</w:t>
            </w:r>
          </w:p>
        </w:tc>
        <w:tc>
          <w:tcPr>
            <w:tcW w:w="3414" w:type="dxa"/>
            <w:hideMark/>
          </w:tcPr>
          <w:p w14:paraId="3F52FB8A"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Department of Agriculture and Livestock </w:t>
            </w:r>
          </w:p>
        </w:tc>
        <w:tc>
          <w:tcPr>
            <w:tcW w:w="332" w:type="dxa"/>
            <w:noWrap/>
            <w:hideMark/>
          </w:tcPr>
          <w:p w14:paraId="6D88C44E"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32DFE91C" w14:textId="77777777" w:rsidR="00230288" w:rsidRPr="00230288" w:rsidRDefault="00230288" w:rsidP="00230288">
            <w:pPr>
              <w:jc w:val="center"/>
              <w:rPr>
                <w:rFonts w:ascii="Times New Roman" w:hAnsi="Times New Roman"/>
                <w:sz w:val="20"/>
                <w:szCs w:val="20"/>
                <w:lang w:val="en-US" w:eastAsia="en-US"/>
              </w:rPr>
            </w:pPr>
          </w:p>
        </w:tc>
        <w:tc>
          <w:tcPr>
            <w:tcW w:w="317" w:type="dxa"/>
            <w:noWrap/>
            <w:hideMark/>
          </w:tcPr>
          <w:p w14:paraId="52FEABEA"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38" w:type="dxa"/>
            <w:noWrap/>
            <w:hideMark/>
          </w:tcPr>
          <w:p w14:paraId="0F161A8F" w14:textId="77777777" w:rsidR="00230288" w:rsidRPr="00230288" w:rsidRDefault="00230288" w:rsidP="00230288">
            <w:pPr>
              <w:jc w:val="center"/>
              <w:rPr>
                <w:rFonts w:ascii="Calibri" w:hAnsi="Calibri" w:cs="Calibri"/>
                <w:color w:val="000000"/>
                <w:sz w:val="19"/>
                <w:szCs w:val="19"/>
                <w:lang w:val="en-US" w:eastAsia="en-US"/>
              </w:rPr>
            </w:pPr>
          </w:p>
        </w:tc>
        <w:tc>
          <w:tcPr>
            <w:tcW w:w="315" w:type="dxa"/>
            <w:noWrap/>
            <w:hideMark/>
          </w:tcPr>
          <w:p w14:paraId="5E059EAA" w14:textId="77777777" w:rsidR="00230288" w:rsidRPr="00230288" w:rsidRDefault="00230288" w:rsidP="00230288">
            <w:pPr>
              <w:jc w:val="center"/>
              <w:rPr>
                <w:rFonts w:ascii="Times New Roman" w:hAnsi="Times New Roman"/>
                <w:sz w:val="20"/>
                <w:szCs w:val="20"/>
                <w:lang w:val="en-US" w:eastAsia="en-US"/>
              </w:rPr>
            </w:pPr>
          </w:p>
        </w:tc>
        <w:tc>
          <w:tcPr>
            <w:tcW w:w="363" w:type="dxa"/>
            <w:noWrap/>
            <w:hideMark/>
          </w:tcPr>
          <w:p w14:paraId="18A4BAE0"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r>
      <w:tr w:rsidR="00BB4F5E" w:rsidRPr="00230288" w14:paraId="1DCF4E51" w14:textId="77777777" w:rsidTr="00CB624C">
        <w:trPr>
          <w:trHeight w:val="600"/>
        </w:trPr>
        <w:tc>
          <w:tcPr>
            <w:tcW w:w="3413" w:type="dxa"/>
            <w:hideMark/>
          </w:tcPr>
          <w:p w14:paraId="15044326"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Mineral Tenement Database, </w:t>
            </w:r>
            <w:proofErr w:type="spellStart"/>
            <w:r w:rsidRPr="00230288">
              <w:rPr>
                <w:rFonts w:ascii="Calibri" w:hAnsi="Calibri" w:cs="Calibri"/>
                <w:color w:val="000000"/>
                <w:sz w:val="19"/>
                <w:szCs w:val="19"/>
                <w:lang w:eastAsia="en-US"/>
              </w:rPr>
              <w:t>FlexiCadastre</w:t>
            </w:r>
            <w:proofErr w:type="spellEnd"/>
          </w:p>
        </w:tc>
        <w:tc>
          <w:tcPr>
            <w:tcW w:w="3414" w:type="dxa"/>
            <w:hideMark/>
          </w:tcPr>
          <w:p w14:paraId="5F90B709"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Mineral Resources Authority </w:t>
            </w:r>
          </w:p>
        </w:tc>
        <w:tc>
          <w:tcPr>
            <w:tcW w:w="332" w:type="dxa"/>
            <w:noWrap/>
            <w:hideMark/>
          </w:tcPr>
          <w:p w14:paraId="4DCAC7E2"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77630D5A" w14:textId="77777777" w:rsidR="00230288" w:rsidRPr="00230288" w:rsidRDefault="00230288" w:rsidP="00230288">
            <w:pPr>
              <w:jc w:val="center"/>
              <w:rPr>
                <w:rFonts w:ascii="Times New Roman" w:hAnsi="Times New Roman"/>
                <w:sz w:val="20"/>
                <w:szCs w:val="20"/>
                <w:lang w:val="en-US" w:eastAsia="en-US"/>
              </w:rPr>
            </w:pPr>
          </w:p>
        </w:tc>
        <w:tc>
          <w:tcPr>
            <w:tcW w:w="317" w:type="dxa"/>
            <w:noWrap/>
            <w:hideMark/>
          </w:tcPr>
          <w:p w14:paraId="2E04373F" w14:textId="77777777" w:rsidR="00230288" w:rsidRPr="00230288" w:rsidRDefault="00230288" w:rsidP="00230288">
            <w:pPr>
              <w:jc w:val="center"/>
              <w:rPr>
                <w:rFonts w:ascii="Times New Roman" w:hAnsi="Times New Roman"/>
                <w:sz w:val="20"/>
                <w:szCs w:val="20"/>
                <w:lang w:val="en-US" w:eastAsia="en-US"/>
              </w:rPr>
            </w:pPr>
          </w:p>
        </w:tc>
        <w:tc>
          <w:tcPr>
            <w:tcW w:w="338" w:type="dxa"/>
            <w:noWrap/>
            <w:hideMark/>
          </w:tcPr>
          <w:p w14:paraId="72C847F9" w14:textId="77777777" w:rsidR="00230288" w:rsidRPr="00230288" w:rsidRDefault="00230288" w:rsidP="00230288">
            <w:pPr>
              <w:jc w:val="center"/>
              <w:rPr>
                <w:rFonts w:ascii="Times New Roman" w:hAnsi="Times New Roman"/>
                <w:sz w:val="20"/>
                <w:szCs w:val="20"/>
                <w:lang w:val="en-US" w:eastAsia="en-US"/>
              </w:rPr>
            </w:pPr>
          </w:p>
        </w:tc>
        <w:tc>
          <w:tcPr>
            <w:tcW w:w="315" w:type="dxa"/>
            <w:noWrap/>
            <w:hideMark/>
          </w:tcPr>
          <w:p w14:paraId="087DFE5E" w14:textId="77777777" w:rsidR="00230288" w:rsidRPr="00230288" w:rsidRDefault="00230288" w:rsidP="00230288">
            <w:pPr>
              <w:jc w:val="center"/>
              <w:rPr>
                <w:rFonts w:ascii="Times New Roman" w:hAnsi="Times New Roman"/>
                <w:sz w:val="20"/>
                <w:szCs w:val="20"/>
                <w:lang w:val="en-US" w:eastAsia="en-US"/>
              </w:rPr>
            </w:pPr>
          </w:p>
        </w:tc>
        <w:tc>
          <w:tcPr>
            <w:tcW w:w="363" w:type="dxa"/>
            <w:noWrap/>
            <w:hideMark/>
          </w:tcPr>
          <w:p w14:paraId="649406A2"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r>
      <w:tr w:rsidR="00BB4F5E" w:rsidRPr="00230288" w14:paraId="7C628976" w14:textId="77777777" w:rsidTr="00CB624C">
        <w:trPr>
          <w:trHeight w:val="900"/>
        </w:trPr>
        <w:tc>
          <w:tcPr>
            <w:tcW w:w="3413" w:type="dxa"/>
            <w:hideMark/>
          </w:tcPr>
          <w:p w14:paraId="34FC4E9F"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Pacific Islands Legal Information Institute</w:t>
            </w:r>
          </w:p>
        </w:tc>
        <w:tc>
          <w:tcPr>
            <w:tcW w:w="3414" w:type="dxa"/>
            <w:hideMark/>
          </w:tcPr>
          <w:p w14:paraId="4E60F165"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Office of Legislative Council within the Dept. of Prime Minister &amp; National Executive Council </w:t>
            </w:r>
          </w:p>
        </w:tc>
        <w:tc>
          <w:tcPr>
            <w:tcW w:w="332" w:type="dxa"/>
            <w:noWrap/>
            <w:hideMark/>
          </w:tcPr>
          <w:p w14:paraId="78197C0A"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23" w:type="dxa"/>
            <w:noWrap/>
            <w:hideMark/>
          </w:tcPr>
          <w:p w14:paraId="04B88F5C"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17" w:type="dxa"/>
            <w:noWrap/>
            <w:hideMark/>
          </w:tcPr>
          <w:p w14:paraId="37607C7D"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38" w:type="dxa"/>
            <w:noWrap/>
            <w:hideMark/>
          </w:tcPr>
          <w:p w14:paraId="0B948681"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15" w:type="dxa"/>
            <w:noWrap/>
            <w:hideMark/>
          </w:tcPr>
          <w:p w14:paraId="5BF8B417"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63" w:type="dxa"/>
            <w:noWrap/>
            <w:hideMark/>
          </w:tcPr>
          <w:p w14:paraId="6F21BD28"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r>
      <w:tr w:rsidR="00BB4F5E" w:rsidRPr="00230288" w14:paraId="23987E49" w14:textId="77777777" w:rsidTr="00CB624C">
        <w:trPr>
          <w:trHeight w:val="600"/>
        </w:trPr>
        <w:tc>
          <w:tcPr>
            <w:tcW w:w="3413" w:type="dxa"/>
            <w:hideMark/>
          </w:tcPr>
          <w:p w14:paraId="6B405D4A"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International Household Survey Network</w:t>
            </w:r>
          </w:p>
        </w:tc>
        <w:tc>
          <w:tcPr>
            <w:tcW w:w="3414" w:type="dxa"/>
            <w:hideMark/>
          </w:tcPr>
          <w:p w14:paraId="1F47CF9A"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 xml:space="preserve">National Statistics Office </w:t>
            </w:r>
          </w:p>
        </w:tc>
        <w:tc>
          <w:tcPr>
            <w:tcW w:w="332" w:type="dxa"/>
            <w:noWrap/>
            <w:hideMark/>
          </w:tcPr>
          <w:p w14:paraId="20F41A31"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4F9D9C12" w14:textId="77777777" w:rsidR="00230288" w:rsidRPr="00230288" w:rsidRDefault="00230288" w:rsidP="00230288">
            <w:pPr>
              <w:jc w:val="center"/>
              <w:rPr>
                <w:rFonts w:ascii="Times New Roman" w:hAnsi="Times New Roman"/>
                <w:sz w:val="20"/>
                <w:szCs w:val="20"/>
                <w:lang w:val="en-US" w:eastAsia="en-US"/>
              </w:rPr>
            </w:pPr>
          </w:p>
        </w:tc>
        <w:tc>
          <w:tcPr>
            <w:tcW w:w="317" w:type="dxa"/>
            <w:noWrap/>
            <w:hideMark/>
          </w:tcPr>
          <w:p w14:paraId="6C79494F"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38" w:type="dxa"/>
            <w:noWrap/>
            <w:hideMark/>
          </w:tcPr>
          <w:p w14:paraId="03FE55B0" w14:textId="77777777" w:rsidR="00230288" w:rsidRPr="00230288" w:rsidRDefault="00230288" w:rsidP="00230288">
            <w:pPr>
              <w:jc w:val="center"/>
              <w:rPr>
                <w:rFonts w:ascii="Calibri" w:hAnsi="Calibri" w:cs="Calibri"/>
                <w:color w:val="000000"/>
                <w:sz w:val="19"/>
                <w:szCs w:val="19"/>
                <w:lang w:val="en-US" w:eastAsia="en-US"/>
              </w:rPr>
            </w:pPr>
          </w:p>
        </w:tc>
        <w:tc>
          <w:tcPr>
            <w:tcW w:w="315" w:type="dxa"/>
            <w:noWrap/>
            <w:hideMark/>
          </w:tcPr>
          <w:p w14:paraId="4F29E953" w14:textId="77777777" w:rsidR="00230288" w:rsidRPr="00230288" w:rsidRDefault="00230288" w:rsidP="00230288">
            <w:pPr>
              <w:jc w:val="center"/>
              <w:rPr>
                <w:rFonts w:ascii="Times New Roman" w:hAnsi="Times New Roman"/>
                <w:sz w:val="20"/>
                <w:szCs w:val="20"/>
                <w:lang w:val="en-US" w:eastAsia="en-US"/>
              </w:rPr>
            </w:pPr>
          </w:p>
        </w:tc>
        <w:tc>
          <w:tcPr>
            <w:tcW w:w="363" w:type="dxa"/>
            <w:noWrap/>
            <w:hideMark/>
          </w:tcPr>
          <w:p w14:paraId="15E8EB53" w14:textId="77777777" w:rsidR="00230288" w:rsidRPr="00230288" w:rsidRDefault="00230288" w:rsidP="00230288">
            <w:pPr>
              <w:jc w:val="center"/>
              <w:rPr>
                <w:rFonts w:ascii="Times New Roman" w:hAnsi="Times New Roman"/>
                <w:sz w:val="20"/>
                <w:szCs w:val="20"/>
                <w:lang w:val="en-US" w:eastAsia="en-US"/>
              </w:rPr>
            </w:pPr>
          </w:p>
        </w:tc>
      </w:tr>
      <w:tr w:rsidR="00BB4F5E" w:rsidRPr="00230288" w14:paraId="64A5E88F" w14:textId="77777777" w:rsidTr="00CB624C">
        <w:trPr>
          <w:trHeight w:val="320"/>
        </w:trPr>
        <w:tc>
          <w:tcPr>
            <w:tcW w:w="3413" w:type="dxa"/>
            <w:hideMark/>
          </w:tcPr>
          <w:p w14:paraId="2C3173AA"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Incorporated Land Groups Registry</w:t>
            </w:r>
          </w:p>
        </w:tc>
        <w:tc>
          <w:tcPr>
            <w:tcW w:w="3414" w:type="dxa"/>
            <w:hideMark/>
          </w:tcPr>
          <w:p w14:paraId="002EFCA1" w14:textId="77777777" w:rsidR="00230288" w:rsidRPr="00230288" w:rsidRDefault="00230288" w:rsidP="00230288">
            <w:pPr>
              <w:jc w:val="left"/>
              <w:rPr>
                <w:rFonts w:ascii="Calibri" w:hAnsi="Calibri" w:cs="Calibri"/>
                <w:color w:val="000000"/>
                <w:sz w:val="19"/>
                <w:szCs w:val="19"/>
                <w:lang w:val="en-US" w:eastAsia="en-US"/>
              </w:rPr>
            </w:pPr>
            <w:r w:rsidRPr="00230288">
              <w:rPr>
                <w:rFonts w:ascii="Calibri" w:hAnsi="Calibri" w:cs="Calibri"/>
                <w:color w:val="000000"/>
                <w:sz w:val="19"/>
                <w:szCs w:val="19"/>
                <w:lang w:eastAsia="en-US"/>
              </w:rPr>
              <w:t>Dept. of Lands &amp; Physical Planning</w:t>
            </w:r>
          </w:p>
        </w:tc>
        <w:tc>
          <w:tcPr>
            <w:tcW w:w="332" w:type="dxa"/>
            <w:noWrap/>
            <w:hideMark/>
          </w:tcPr>
          <w:p w14:paraId="259E64FC" w14:textId="77777777" w:rsidR="00230288" w:rsidRPr="00230288" w:rsidRDefault="00230288" w:rsidP="00230288">
            <w:pPr>
              <w:jc w:val="left"/>
              <w:rPr>
                <w:rFonts w:ascii="Calibri" w:hAnsi="Calibri" w:cs="Calibri"/>
                <w:color w:val="000000"/>
                <w:sz w:val="19"/>
                <w:szCs w:val="19"/>
                <w:lang w:val="en-US" w:eastAsia="en-US"/>
              </w:rPr>
            </w:pPr>
          </w:p>
        </w:tc>
        <w:tc>
          <w:tcPr>
            <w:tcW w:w="323" w:type="dxa"/>
            <w:noWrap/>
            <w:hideMark/>
          </w:tcPr>
          <w:p w14:paraId="4894EFBD"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17" w:type="dxa"/>
            <w:noWrap/>
            <w:hideMark/>
          </w:tcPr>
          <w:p w14:paraId="14BE05DF" w14:textId="77777777" w:rsidR="00230288" w:rsidRPr="00230288" w:rsidRDefault="00230288" w:rsidP="00230288">
            <w:pPr>
              <w:jc w:val="center"/>
              <w:rPr>
                <w:rFonts w:ascii="Calibri" w:hAnsi="Calibri" w:cs="Calibri"/>
                <w:color w:val="000000"/>
                <w:sz w:val="19"/>
                <w:szCs w:val="19"/>
                <w:lang w:val="en-US" w:eastAsia="en-US"/>
              </w:rPr>
            </w:pPr>
            <w:r w:rsidRPr="00230288">
              <w:rPr>
                <w:rFonts w:ascii="Calibri" w:hAnsi="Calibri" w:cs="Calibri"/>
                <w:color w:val="000000"/>
                <w:sz w:val="19"/>
                <w:szCs w:val="19"/>
                <w:lang w:val="en-US" w:eastAsia="en-US"/>
              </w:rPr>
              <w:t>X</w:t>
            </w:r>
          </w:p>
        </w:tc>
        <w:tc>
          <w:tcPr>
            <w:tcW w:w="338" w:type="dxa"/>
            <w:noWrap/>
            <w:hideMark/>
          </w:tcPr>
          <w:p w14:paraId="58F3F82E" w14:textId="77777777" w:rsidR="00230288" w:rsidRPr="00230288" w:rsidRDefault="00230288" w:rsidP="00230288">
            <w:pPr>
              <w:jc w:val="center"/>
              <w:rPr>
                <w:rFonts w:ascii="Calibri" w:hAnsi="Calibri" w:cs="Calibri"/>
                <w:color w:val="000000"/>
                <w:sz w:val="19"/>
                <w:szCs w:val="19"/>
                <w:lang w:val="en-US" w:eastAsia="en-US"/>
              </w:rPr>
            </w:pPr>
          </w:p>
        </w:tc>
        <w:tc>
          <w:tcPr>
            <w:tcW w:w="315" w:type="dxa"/>
            <w:noWrap/>
            <w:hideMark/>
          </w:tcPr>
          <w:p w14:paraId="2284D115" w14:textId="77777777" w:rsidR="00230288" w:rsidRPr="00230288" w:rsidRDefault="00230288" w:rsidP="00230288">
            <w:pPr>
              <w:jc w:val="center"/>
              <w:rPr>
                <w:rFonts w:ascii="Times New Roman" w:hAnsi="Times New Roman"/>
                <w:sz w:val="20"/>
                <w:szCs w:val="20"/>
                <w:lang w:val="en-US" w:eastAsia="en-US"/>
              </w:rPr>
            </w:pPr>
          </w:p>
        </w:tc>
        <w:tc>
          <w:tcPr>
            <w:tcW w:w="363" w:type="dxa"/>
            <w:noWrap/>
            <w:hideMark/>
          </w:tcPr>
          <w:p w14:paraId="5C55DA55" w14:textId="77777777" w:rsidR="00230288" w:rsidRPr="00230288" w:rsidRDefault="00230288" w:rsidP="00230288">
            <w:pPr>
              <w:jc w:val="center"/>
              <w:rPr>
                <w:rFonts w:ascii="Times New Roman" w:hAnsi="Times New Roman"/>
                <w:sz w:val="20"/>
                <w:szCs w:val="20"/>
                <w:lang w:val="en-US" w:eastAsia="en-US"/>
              </w:rPr>
            </w:pPr>
          </w:p>
        </w:tc>
      </w:tr>
    </w:tbl>
    <w:p w14:paraId="2B394BFF" w14:textId="502550D3" w:rsidR="00837973" w:rsidRDefault="00837973" w:rsidP="00D72E4A">
      <w:pPr>
        <w:rPr>
          <w:rFonts w:ascii="Calibri" w:hAnsi="Calibri" w:cs="Calibri"/>
          <w:i/>
          <w:iCs/>
          <w:sz w:val="16"/>
          <w:szCs w:val="16"/>
        </w:rPr>
      </w:pPr>
    </w:p>
    <w:p w14:paraId="429A8AAA" w14:textId="77777777" w:rsidR="00837973" w:rsidRPr="00D713EB" w:rsidRDefault="00837973" w:rsidP="00D72E4A">
      <w:pPr>
        <w:rPr>
          <w:rFonts w:ascii="Calibri" w:hAnsi="Calibri" w:cs="Calibri"/>
          <w:i/>
          <w:iCs/>
          <w:sz w:val="16"/>
          <w:szCs w:val="16"/>
        </w:rPr>
      </w:pPr>
    </w:p>
    <w:p w14:paraId="40957E58" w14:textId="14D72128" w:rsidR="00D72E4A" w:rsidRPr="00D713EB" w:rsidRDefault="00D72E4A" w:rsidP="00D72E4A">
      <w:pPr>
        <w:rPr>
          <w:rFonts w:ascii="Calibri" w:hAnsi="Calibri" w:cs="Calibri"/>
          <w:b/>
          <w:bCs/>
          <w:i/>
          <w:iCs/>
          <w:sz w:val="16"/>
          <w:szCs w:val="16"/>
        </w:rPr>
      </w:pPr>
      <w:r w:rsidRPr="00D713EB">
        <w:rPr>
          <w:rFonts w:ascii="Calibri" w:hAnsi="Calibri" w:cs="Calibri"/>
          <w:i/>
          <w:iCs/>
          <w:sz w:val="16"/>
          <w:szCs w:val="16"/>
        </w:rPr>
        <w:t xml:space="preserve">Table </w:t>
      </w:r>
      <w:r w:rsidRPr="00D713EB">
        <w:rPr>
          <w:rFonts w:ascii="Calibri" w:hAnsi="Calibri" w:cs="Calibri"/>
          <w:i/>
          <w:iCs/>
          <w:sz w:val="16"/>
          <w:szCs w:val="16"/>
        </w:rPr>
        <w:fldChar w:fldCharType="begin"/>
      </w:r>
      <w:r w:rsidRPr="00D713EB">
        <w:rPr>
          <w:rFonts w:ascii="Calibri" w:hAnsi="Calibri" w:cs="Calibri"/>
          <w:i/>
          <w:iCs/>
          <w:sz w:val="16"/>
          <w:szCs w:val="16"/>
        </w:rPr>
        <w:instrText xml:space="preserve"> SEQ Table \* ARABIC </w:instrText>
      </w:r>
      <w:r w:rsidRPr="00D713EB">
        <w:rPr>
          <w:rFonts w:ascii="Calibri" w:hAnsi="Calibri" w:cs="Calibri"/>
          <w:i/>
          <w:iCs/>
          <w:sz w:val="16"/>
          <w:szCs w:val="16"/>
        </w:rPr>
        <w:fldChar w:fldCharType="separate"/>
      </w:r>
      <w:r w:rsidR="00991BC7">
        <w:rPr>
          <w:rFonts w:ascii="Calibri" w:hAnsi="Calibri" w:cs="Calibri"/>
          <w:i/>
          <w:iCs/>
          <w:noProof/>
          <w:sz w:val="16"/>
          <w:szCs w:val="16"/>
        </w:rPr>
        <w:t>3</w:t>
      </w:r>
      <w:r w:rsidRPr="00D713EB">
        <w:rPr>
          <w:rFonts w:ascii="Calibri" w:hAnsi="Calibri" w:cs="Calibri"/>
          <w:iCs/>
          <w:sz w:val="16"/>
          <w:szCs w:val="16"/>
        </w:rPr>
        <w:fldChar w:fldCharType="end"/>
      </w:r>
      <w:r w:rsidRPr="00D713EB">
        <w:rPr>
          <w:rFonts w:ascii="Calibri" w:hAnsi="Calibri" w:cs="Calibri"/>
          <w:bCs/>
          <w:i/>
          <w:iCs/>
          <w:sz w:val="16"/>
          <w:szCs w:val="16"/>
        </w:rPr>
        <w:t>. List of reporting mechanisms to international treaties and agreements considered relevant for providing information on REDD + safeguards</w:t>
      </w:r>
    </w:p>
    <w:p w14:paraId="152818B6" w14:textId="77777777" w:rsidR="00D72E4A" w:rsidRPr="00D713EB" w:rsidRDefault="00D72E4A" w:rsidP="00D72E4A"/>
    <w:tbl>
      <w:tblPr>
        <w:tblStyle w:val="TableGrid"/>
        <w:tblW w:w="8725" w:type="dxa"/>
        <w:tblLook w:val="04A0" w:firstRow="1" w:lastRow="0" w:firstColumn="1" w:lastColumn="0" w:noHBand="0" w:noVBand="1"/>
      </w:tblPr>
      <w:tblGrid>
        <w:gridCol w:w="3412"/>
        <w:gridCol w:w="3414"/>
        <w:gridCol w:w="332"/>
        <w:gridCol w:w="323"/>
        <w:gridCol w:w="317"/>
        <w:gridCol w:w="338"/>
        <w:gridCol w:w="315"/>
        <w:gridCol w:w="559"/>
      </w:tblGrid>
      <w:tr w:rsidR="00BB4F5E" w:rsidRPr="00AA022C" w14:paraId="3E088166" w14:textId="77777777" w:rsidTr="00BB4F5E">
        <w:trPr>
          <w:trHeight w:val="320"/>
        </w:trPr>
        <w:tc>
          <w:tcPr>
            <w:tcW w:w="3413" w:type="dxa"/>
            <w:vMerge w:val="restart"/>
            <w:shd w:val="clear" w:color="auto" w:fill="B4C6E7" w:themeFill="accent1" w:themeFillTint="66"/>
            <w:noWrap/>
            <w:vAlign w:val="center"/>
            <w:hideMark/>
          </w:tcPr>
          <w:p w14:paraId="7058FEBF"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Treaty or Convention</w:t>
            </w:r>
          </w:p>
        </w:tc>
        <w:tc>
          <w:tcPr>
            <w:tcW w:w="3414" w:type="dxa"/>
            <w:vMerge w:val="restart"/>
            <w:shd w:val="clear" w:color="auto" w:fill="B4C6E7" w:themeFill="accent1" w:themeFillTint="66"/>
            <w:noWrap/>
            <w:vAlign w:val="center"/>
            <w:hideMark/>
          </w:tcPr>
          <w:p w14:paraId="2131E9A3"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Responsible Institution</w:t>
            </w:r>
          </w:p>
        </w:tc>
        <w:tc>
          <w:tcPr>
            <w:tcW w:w="1898" w:type="dxa"/>
            <w:gridSpan w:val="6"/>
            <w:shd w:val="clear" w:color="auto" w:fill="B4C6E7" w:themeFill="accent1" w:themeFillTint="66"/>
            <w:noWrap/>
            <w:vAlign w:val="center"/>
            <w:hideMark/>
          </w:tcPr>
          <w:p w14:paraId="12DCDC9F"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Relevant Cancun Safeguard</w:t>
            </w:r>
          </w:p>
        </w:tc>
      </w:tr>
      <w:tr w:rsidR="00AA022C" w:rsidRPr="00AA022C" w14:paraId="6C52A72F" w14:textId="77777777" w:rsidTr="00CB624C">
        <w:trPr>
          <w:trHeight w:val="320"/>
        </w:trPr>
        <w:tc>
          <w:tcPr>
            <w:tcW w:w="3413" w:type="dxa"/>
            <w:vMerge/>
            <w:shd w:val="clear" w:color="auto" w:fill="B4C6E7" w:themeFill="accent1" w:themeFillTint="66"/>
            <w:vAlign w:val="center"/>
            <w:hideMark/>
          </w:tcPr>
          <w:p w14:paraId="67590463" w14:textId="77777777" w:rsidR="00AA022C" w:rsidRPr="00AA022C" w:rsidRDefault="00AA022C" w:rsidP="00CB624C">
            <w:pPr>
              <w:jc w:val="center"/>
              <w:rPr>
                <w:rFonts w:ascii="Calibri" w:hAnsi="Calibri" w:cs="Calibri"/>
                <w:b/>
                <w:bCs/>
                <w:color w:val="000000"/>
                <w:sz w:val="19"/>
                <w:szCs w:val="19"/>
                <w:lang w:val="en-US" w:eastAsia="en-US"/>
              </w:rPr>
            </w:pPr>
          </w:p>
        </w:tc>
        <w:tc>
          <w:tcPr>
            <w:tcW w:w="3414" w:type="dxa"/>
            <w:vMerge/>
            <w:shd w:val="clear" w:color="auto" w:fill="B4C6E7" w:themeFill="accent1" w:themeFillTint="66"/>
            <w:vAlign w:val="center"/>
            <w:hideMark/>
          </w:tcPr>
          <w:p w14:paraId="5D0A3E1A" w14:textId="77777777" w:rsidR="00AA022C" w:rsidRPr="00AA022C" w:rsidRDefault="00AA022C" w:rsidP="00CB624C">
            <w:pPr>
              <w:jc w:val="center"/>
              <w:rPr>
                <w:rFonts w:ascii="Calibri" w:hAnsi="Calibri" w:cs="Calibri"/>
                <w:b/>
                <w:bCs/>
                <w:color w:val="000000"/>
                <w:sz w:val="19"/>
                <w:szCs w:val="19"/>
                <w:lang w:val="en-US" w:eastAsia="en-US"/>
              </w:rPr>
            </w:pPr>
          </w:p>
        </w:tc>
        <w:tc>
          <w:tcPr>
            <w:tcW w:w="332" w:type="dxa"/>
            <w:shd w:val="clear" w:color="auto" w:fill="B4C6E7" w:themeFill="accent1" w:themeFillTint="66"/>
            <w:noWrap/>
            <w:vAlign w:val="center"/>
            <w:hideMark/>
          </w:tcPr>
          <w:p w14:paraId="6CFD5A1D"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A</w:t>
            </w:r>
          </w:p>
        </w:tc>
        <w:tc>
          <w:tcPr>
            <w:tcW w:w="323" w:type="dxa"/>
            <w:shd w:val="clear" w:color="auto" w:fill="B4C6E7" w:themeFill="accent1" w:themeFillTint="66"/>
            <w:noWrap/>
            <w:vAlign w:val="center"/>
            <w:hideMark/>
          </w:tcPr>
          <w:p w14:paraId="4E76EF3D"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B</w:t>
            </w:r>
          </w:p>
        </w:tc>
        <w:tc>
          <w:tcPr>
            <w:tcW w:w="317" w:type="dxa"/>
            <w:shd w:val="clear" w:color="auto" w:fill="B4C6E7" w:themeFill="accent1" w:themeFillTint="66"/>
            <w:noWrap/>
            <w:vAlign w:val="center"/>
            <w:hideMark/>
          </w:tcPr>
          <w:p w14:paraId="43C4D5CB"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C</w:t>
            </w:r>
          </w:p>
        </w:tc>
        <w:tc>
          <w:tcPr>
            <w:tcW w:w="338" w:type="dxa"/>
            <w:shd w:val="clear" w:color="auto" w:fill="B4C6E7" w:themeFill="accent1" w:themeFillTint="66"/>
            <w:noWrap/>
            <w:vAlign w:val="center"/>
            <w:hideMark/>
          </w:tcPr>
          <w:p w14:paraId="714AB664"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D</w:t>
            </w:r>
          </w:p>
        </w:tc>
        <w:tc>
          <w:tcPr>
            <w:tcW w:w="315" w:type="dxa"/>
            <w:shd w:val="clear" w:color="auto" w:fill="B4C6E7" w:themeFill="accent1" w:themeFillTint="66"/>
            <w:noWrap/>
            <w:vAlign w:val="center"/>
            <w:hideMark/>
          </w:tcPr>
          <w:p w14:paraId="5A441EE0"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E</w:t>
            </w:r>
          </w:p>
        </w:tc>
        <w:tc>
          <w:tcPr>
            <w:tcW w:w="273" w:type="dxa"/>
            <w:shd w:val="clear" w:color="auto" w:fill="B4C6E7" w:themeFill="accent1" w:themeFillTint="66"/>
            <w:noWrap/>
            <w:vAlign w:val="center"/>
            <w:hideMark/>
          </w:tcPr>
          <w:p w14:paraId="02615DA8" w14:textId="77777777" w:rsidR="00AA022C" w:rsidRPr="00AA022C" w:rsidRDefault="00AA022C" w:rsidP="00AA022C">
            <w:pPr>
              <w:jc w:val="center"/>
              <w:rPr>
                <w:rFonts w:ascii="Calibri" w:hAnsi="Calibri" w:cs="Calibri"/>
                <w:b/>
                <w:bCs/>
                <w:color w:val="000000"/>
                <w:sz w:val="19"/>
                <w:szCs w:val="19"/>
                <w:lang w:val="en-US" w:eastAsia="en-US"/>
              </w:rPr>
            </w:pPr>
            <w:r w:rsidRPr="00AA022C">
              <w:rPr>
                <w:rFonts w:ascii="Calibri" w:hAnsi="Calibri" w:cs="Calibri"/>
                <w:b/>
                <w:bCs/>
                <w:color w:val="000000"/>
                <w:sz w:val="19"/>
                <w:szCs w:val="19"/>
                <w:lang w:val="en-US" w:eastAsia="en-US"/>
              </w:rPr>
              <w:t>F&amp;G</w:t>
            </w:r>
          </w:p>
        </w:tc>
      </w:tr>
      <w:tr w:rsidR="00BB4F5E" w:rsidRPr="00AA022C" w14:paraId="3605BD2D" w14:textId="77777777" w:rsidTr="00CB624C">
        <w:trPr>
          <w:trHeight w:val="600"/>
        </w:trPr>
        <w:tc>
          <w:tcPr>
            <w:tcW w:w="3413" w:type="dxa"/>
            <w:hideMark/>
          </w:tcPr>
          <w:p w14:paraId="39E495E9"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Convention on Biological Diversity </w:t>
            </w:r>
          </w:p>
        </w:tc>
        <w:tc>
          <w:tcPr>
            <w:tcW w:w="3414" w:type="dxa"/>
            <w:hideMark/>
          </w:tcPr>
          <w:p w14:paraId="1157E257"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Conservation and Environmental Protection Authority </w:t>
            </w:r>
          </w:p>
        </w:tc>
        <w:tc>
          <w:tcPr>
            <w:tcW w:w="332" w:type="dxa"/>
            <w:noWrap/>
            <w:hideMark/>
          </w:tcPr>
          <w:p w14:paraId="7392DD26"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643AE7D3" w14:textId="77777777" w:rsidR="00AA022C" w:rsidRPr="00AA022C" w:rsidRDefault="00AA022C" w:rsidP="00AA022C">
            <w:pPr>
              <w:jc w:val="center"/>
              <w:rPr>
                <w:rFonts w:ascii="Times New Roman" w:hAnsi="Times New Roman"/>
                <w:sz w:val="20"/>
                <w:szCs w:val="20"/>
                <w:lang w:val="en-US" w:eastAsia="en-US"/>
              </w:rPr>
            </w:pPr>
          </w:p>
        </w:tc>
        <w:tc>
          <w:tcPr>
            <w:tcW w:w="317" w:type="dxa"/>
            <w:noWrap/>
            <w:hideMark/>
          </w:tcPr>
          <w:p w14:paraId="42DC6E95" w14:textId="77777777" w:rsidR="00AA022C" w:rsidRPr="00AA022C" w:rsidRDefault="00AA022C" w:rsidP="00AA022C">
            <w:pPr>
              <w:jc w:val="center"/>
              <w:rPr>
                <w:rFonts w:ascii="Times New Roman" w:hAnsi="Times New Roman"/>
                <w:sz w:val="20"/>
                <w:szCs w:val="20"/>
                <w:lang w:val="en-US" w:eastAsia="en-US"/>
              </w:rPr>
            </w:pPr>
          </w:p>
        </w:tc>
        <w:tc>
          <w:tcPr>
            <w:tcW w:w="338" w:type="dxa"/>
            <w:noWrap/>
            <w:hideMark/>
          </w:tcPr>
          <w:p w14:paraId="1D8B174F"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7C09E89E"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273" w:type="dxa"/>
            <w:noWrap/>
            <w:hideMark/>
          </w:tcPr>
          <w:p w14:paraId="232DFB13" w14:textId="77777777" w:rsidR="00AA022C" w:rsidRPr="00AA022C" w:rsidRDefault="00AA022C" w:rsidP="00AA022C">
            <w:pPr>
              <w:jc w:val="center"/>
              <w:rPr>
                <w:rFonts w:ascii="Calibri" w:hAnsi="Calibri" w:cs="Calibri"/>
                <w:color w:val="000000"/>
                <w:sz w:val="19"/>
                <w:szCs w:val="19"/>
                <w:lang w:val="en-US" w:eastAsia="en-US"/>
              </w:rPr>
            </w:pPr>
          </w:p>
        </w:tc>
      </w:tr>
      <w:tr w:rsidR="00BB4F5E" w:rsidRPr="00AA022C" w14:paraId="01B29674" w14:textId="77777777" w:rsidTr="00CB624C">
        <w:trPr>
          <w:trHeight w:val="600"/>
        </w:trPr>
        <w:tc>
          <w:tcPr>
            <w:tcW w:w="3413" w:type="dxa"/>
            <w:hideMark/>
          </w:tcPr>
          <w:p w14:paraId="153746CF"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UN Convention on Climate Change and Desertification </w:t>
            </w:r>
          </w:p>
        </w:tc>
        <w:tc>
          <w:tcPr>
            <w:tcW w:w="3414" w:type="dxa"/>
            <w:hideMark/>
          </w:tcPr>
          <w:p w14:paraId="04A4366A"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 xml:space="preserve">Conservation and Environmental Protection Authority </w:t>
            </w:r>
          </w:p>
        </w:tc>
        <w:tc>
          <w:tcPr>
            <w:tcW w:w="332" w:type="dxa"/>
            <w:noWrap/>
            <w:hideMark/>
          </w:tcPr>
          <w:p w14:paraId="2AC8315D"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23" w:type="dxa"/>
            <w:noWrap/>
            <w:hideMark/>
          </w:tcPr>
          <w:p w14:paraId="5D1A80BE" w14:textId="77777777" w:rsidR="00AA022C" w:rsidRPr="00AA022C" w:rsidRDefault="00AA022C" w:rsidP="00AA022C">
            <w:pPr>
              <w:jc w:val="center"/>
              <w:rPr>
                <w:rFonts w:ascii="Calibri" w:hAnsi="Calibri" w:cs="Calibri"/>
                <w:color w:val="000000"/>
                <w:sz w:val="19"/>
                <w:szCs w:val="19"/>
                <w:lang w:val="en-US" w:eastAsia="en-US"/>
              </w:rPr>
            </w:pPr>
          </w:p>
        </w:tc>
        <w:tc>
          <w:tcPr>
            <w:tcW w:w="317" w:type="dxa"/>
            <w:noWrap/>
            <w:hideMark/>
          </w:tcPr>
          <w:p w14:paraId="5CC9EF8F" w14:textId="77777777" w:rsidR="00AA022C" w:rsidRPr="00AA022C" w:rsidRDefault="00AA022C" w:rsidP="00AA022C">
            <w:pPr>
              <w:jc w:val="center"/>
              <w:rPr>
                <w:rFonts w:ascii="Times New Roman" w:hAnsi="Times New Roman"/>
                <w:sz w:val="20"/>
                <w:szCs w:val="20"/>
                <w:lang w:val="en-US" w:eastAsia="en-US"/>
              </w:rPr>
            </w:pPr>
          </w:p>
        </w:tc>
        <w:tc>
          <w:tcPr>
            <w:tcW w:w="338" w:type="dxa"/>
            <w:noWrap/>
            <w:hideMark/>
          </w:tcPr>
          <w:p w14:paraId="49F8286D"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5033B184"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6A2DFF93"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4F7D3DE4" w14:textId="77777777" w:rsidTr="00CB624C">
        <w:trPr>
          <w:trHeight w:val="600"/>
        </w:trPr>
        <w:tc>
          <w:tcPr>
            <w:tcW w:w="3413" w:type="dxa"/>
            <w:hideMark/>
          </w:tcPr>
          <w:p w14:paraId="3B4290C5"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Convention on International Trade of Endangered Species </w:t>
            </w:r>
          </w:p>
        </w:tc>
        <w:tc>
          <w:tcPr>
            <w:tcW w:w="3414" w:type="dxa"/>
            <w:hideMark/>
          </w:tcPr>
          <w:p w14:paraId="03B8AAFE"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 xml:space="preserve">Conservation and Environmental Protection Authority </w:t>
            </w:r>
          </w:p>
        </w:tc>
        <w:tc>
          <w:tcPr>
            <w:tcW w:w="332" w:type="dxa"/>
            <w:noWrap/>
            <w:hideMark/>
          </w:tcPr>
          <w:p w14:paraId="5E847916"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1B261E48" w14:textId="77777777" w:rsidR="00AA022C" w:rsidRPr="00AA022C" w:rsidRDefault="00AA022C" w:rsidP="00AA022C">
            <w:pPr>
              <w:jc w:val="center"/>
              <w:rPr>
                <w:rFonts w:ascii="Times New Roman" w:hAnsi="Times New Roman"/>
                <w:sz w:val="20"/>
                <w:szCs w:val="20"/>
                <w:lang w:val="en-US" w:eastAsia="en-US"/>
              </w:rPr>
            </w:pPr>
          </w:p>
        </w:tc>
        <w:tc>
          <w:tcPr>
            <w:tcW w:w="317" w:type="dxa"/>
            <w:noWrap/>
            <w:hideMark/>
          </w:tcPr>
          <w:p w14:paraId="2064691B" w14:textId="77777777" w:rsidR="00AA022C" w:rsidRPr="00AA022C" w:rsidRDefault="00AA022C" w:rsidP="00AA022C">
            <w:pPr>
              <w:jc w:val="center"/>
              <w:rPr>
                <w:rFonts w:ascii="Times New Roman" w:hAnsi="Times New Roman"/>
                <w:sz w:val="20"/>
                <w:szCs w:val="20"/>
                <w:lang w:val="en-US" w:eastAsia="en-US"/>
              </w:rPr>
            </w:pPr>
          </w:p>
        </w:tc>
        <w:tc>
          <w:tcPr>
            <w:tcW w:w="338" w:type="dxa"/>
            <w:noWrap/>
            <w:hideMark/>
          </w:tcPr>
          <w:p w14:paraId="4720E615"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54279316"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273" w:type="dxa"/>
            <w:noWrap/>
            <w:hideMark/>
          </w:tcPr>
          <w:p w14:paraId="0D429C92" w14:textId="77777777" w:rsidR="00AA022C" w:rsidRPr="00AA022C" w:rsidRDefault="00AA022C" w:rsidP="00AA022C">
            <w:pPr>
              <w:jc w:val="center"/>
              <w:rPr>
                <w:rFonts w:ascii="Calibri" w:hAnsi="Calibri" w:cs="Calibri"/>
                <w:color w:val="000000"/>
                <w:sz w:val="19"/>
                <w:szCs w:val="19"/>
                <w:lang w:val="en-US" w:eastAsia="en-US"/>
              </w:rPr>
            </w:pPr>
          </w:p>
        </w:tc>
      </w:tr>
      <w:tr w:rsidR="00BB4F5E" w:rsidRPr="00AA022C" w14:paraId="0234407E" w14:textId="77777777" w:rsidTr="00CB624C">
        <w:trPr>
          <w:trHeight w:val="600"/>
        </w:trPr>
        <w:tc>
          <w:tcPr>
            <w:tcW w:w="3413" w:type="dxa"/>
            <w:hideMark/>
          </w:tcPr>
          <w:p w14:paraId="12BC3E28"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RAMSAR Convention on Wetlands</w:t>
            </w:r>
          </w:p>
        </w:tc>
        <w:tc>
          <w:tcPr>
            <w:tcW w:w="3414" w:type="dxa"/>
            <w:hideMark/>
          </w:tcPr>
          <w:p w14:paraId="5AA92E57"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 xml:space="preserve">Conservation and Environmental Protection Authority </w:t>
            </w:r>
          </w:p>
        </w:tc>
        <w:tc>
          <w:tcPr>
            <w:tcW w:w="332" w:type="dxa"/>
            <w:noWrap/>
            <w:hideMark/>
          </w:tcPr>
          <w:p w14:paraId="2763A715"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23" w:type="dxa"/>
            <w:noWrap/>
            <w:hideMark/>
          </w:tcPr>
          <w:p w14:paraId="350DA48D" w14:textId="77777777" w:rsidR="00AA022C" w:rsidRPr="00AA022C" w:rsidRDefault="00AA022C" w:rsidP="00AA022C">
            <w:pPr>
              <w:jc w:val="center"/>
              <w:rPr>
                <w:rFonts w:ascii="Calibri" w:hAnsi="Calibri" w:cs="Calibri"/>
                <w:color w:val="000000"/>
                <w:sz w:val="19"/>
                <w:szCs w:val="19"/>
                <w:lang w:val="en-US" w:eastAsia="en-US"/>
              </w:rPr>
            </w:pPr>
          </w:p>
        </w:tc>
        <w:tc>
          <w:tcPr>
            <w:tcW w:w="317" w:type="dxa"/>
            <w:noWrap/>
            <w:hideMark/>
          </w:tcPr>
          <w:p w14:paraId="676E797B" w14:textId="77777777" w:rsidR="00AA022C" w:rsidRPr="00AA022C" w:rsidRDefault="00AA022C" w:rsidP="00AA022C">
            <w:pPr>
              <w:jc w:val="center"/>
              <w:rPr>
                <w:rFonts w:ascii="Times New Roman" w:hAnsi="Times New Roman"/>
                <w:sz w:val="20"/>
                <w:szCs w:val="20"/>
                <w:lang w:val="en-US" w:eastAsia="en-US"/>
              </w:rPr>
            </w:pPr>
          </w:p>
        </w:tc>
        <w:tc>
          <w:tcPr>
            <w:tcW w:w="338" w:type="dxa"/>
            <w:noWrap/>
            <w:hideMark/>
          </w:tcPr>
          <w:p w14:paraId="14374FBC"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28FA8FED"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2F704C84"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1E181934" w14:textId="77777777" w:rsidTr="00CB624C">
        <w:trPr>
          <w:trHeight w:val="900"/>
        </w:trPr>
        <w:tc>
          <w:tcPr>
            <w:tcW w:w="3413" w:type="dxa"/>
            <w:hideMark/>
          </w:tcPr>
          <w:p w14:paraId="299AE1C4"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Convention on the Protection and Promotion of The Diversity of Cultural Expressions </w:t>
            </w:r>
          </w:p>
        </w:tc>
        <w:tc>
          <w:tcPr>
            <w:tcW w:w="3414" w:type="dxa"/>
            <w:hideMark/>
          </w:tcPr>
          <w:p w14:paraId="35D3D454"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Tourism Promotion Authority </w:t>
            </w:r>
          </w:p>
        </w:tc>
        <w:tc>
          <w:tcPr>
            <w:tcW w:w="332" w:type="dxa"/>
            <w:noWrap/>
            <w:hideMark/>
          </w:tcPr>
          <w:p w14:paraId="1A8566DF"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0AC83003" w14:textId="77777777" w:rsidR="00AA022C" w:rsidRPr="00AA022C" w:rsidRDefault="00AA022C" w:rsidP="00AA022C">
            <w:pPr>
              <w:jc w:val="center"/>
              <w:rPr>
                <w:rFonts w:ascii="Times New Roman" w:hAnsi="Times New Roman"/>
                <w:sz w:val="20"/>
                <w:szCs w:val="20"/>
                <w:lang w:val="en-US" w:eastAsia="en-US"/>
              </w:rPr>
            </w:pPr>
          </w:p>
        </w:tc>
        <w:tc>
          <w:tcPr>
            <w:tcW w:w="317" w:type="dxa"/>
            <w:noWrap/>
            <w:hideMark/>
          </w:tcPr>
          <w:p w14:paraId="3CE6A301"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38" w:type="dxa"/>
            <w:noWrap/>
            <w:hideMark/>
          </w:tcPr>
          <w:p w14:paraId="770834E0" w14:textId="77777777" w:rsidR="00AA022C" w:rsidRPr="00AA022C" w:rsidRDefault="00AA022C" w:rsidP="00AA022C">
            <w:pPr>
              <w:jc w:val="center"/>
              <w:rPr>
                <w:rFonts w:ascii="Calibri" w:hAnsi="Calibri" w:cs="Calibri"/>
                <w:color w:val="000000"/>
                <w:sz w:val="19"/>
                <w:szCs w:val="19"/>
                <w:lang w:val="en-US" w:eastAsia="en-US"/>
              </w:rPr>
            </w:pPr>
          </w:p>
        </w:tc>
        <w:tc>
          <w:tcPr>
            <w:tcW w:w="315" w:type="dxa"/>
            <w:noWrap/>
            <w:hideMark/>
          </w:tcPr>
          <w:p w14:paraId="10E17B93"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354E762B"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79CD2FFF" w14:textId="77777777" w:rsidTr="00CB624C">
        <w:trPr>
          <w:trHeight w:val="600"/>
        </w:trPr>
        <w:tc>
          <w:tcPr>
            <w:tcW w:w="3413" w:type="dxa"/>
            <w:hideMark/>
          </w:tcPr>
          <w:p w14:paraId="1D8BA19B"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United Nations Convention Against Corruption</w:t>
            </w:r>
          </w:p>
        </w:tc>
        <w:tc>
          <w:tcPr>
            <w:tcW w:w="3414" w:type="dxa"/>
            <w:hideMark/>
          </w:tcPr>
          <w:p w14:paraId="10C37640"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Dept. of Justice &amp; Attorney General (DJAG) - Public Prosecutor’s Office</w:t>
            </w:r>
          </w:p>
        </w:tc>
        <w:tc>
          <w:tcPr>
            <w:tcW w:w="332" w:type="dxa"/>
            <w:noWrap/>
            <w:hideMark/>
          </w:tcPr>
          <w:p w14:paraId="359C3EE8"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462612F6"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17" w:type="dxa"/>
            <w:noWrap/>
            <w:hideMark/>
          </w:tcPr>
          <w:p w14:paraId="3DB2488D" w14:textId="77777777" w:rsidR="00AA022C" w:rsidRPr="00AA022C" w:rsidRDefault="00AA022C" w:rsidP="00AA022C">
            <w:pPr>
              <w:jc w:val="center"/>
              <w:rPr>
                <w:rFonts w:ascii="Calibri" w:hAnsi="Calibri" w:cs="Calibri"/>
                <w:color w:val="000000"/>
                <w:sz w:val="19"/>
                <w:szCs w:val="19"/>
                <w:lang w:val="en-US" w:eastAsia="en-US"/>
              </w:rPr>
            </w:pPr>
          </w:p>
        </w:tc>
        <w:tc>
          <w:tcPr>
            <w:tcW w:w="338" w:type="dxa"/>
            <w:noWrap/>
            <w:hideMark/>
          </w:tcPr>
          <w:p w14:paraId="7B961340"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476D69C6"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4B7F9D95"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12D3D07C" w14:textId="77777777" w:rsidTr="00CB624C">
        <w:trPr>
          <w:trHeight w:val="600"/>
        </w:trPr>
        <w:tc>
          <w:tcPr>
            <w:tcW w:w="3413" w:type="dxa"/>
            <w:hideMark/>
          </w:tcPr>
          <w:p w14:paraId="4FB745CB"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International Covenant on Economic, Social and Cultural Rights</w:t>
            </w:r>
          </w:p>
        </w:tc>
        <w:tc>
          <w:tcPr>
            <w:tcW w:w="3414" w:type="dxa"/>
            <w:hideMark/>
          </w:tcPr>
          <w:p w14:paraId="44FD55D6"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Tourism Promotion Authority </w:t>
            </w:r>
          </w:p>
        </w:tc>
        <w:tc>
          <w:tcPr>
            <w:tcW w:w="332" w:type="dxa"/>
            <w:noWrap/>
            <w:hideMark/>
          </w:tcPr>
          <w:p w14:paraId="45D2CB75"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42D423BE"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17" w:type="dxa"/>
            <w:noWrap/>
            <w:hideMark/>
          </w:tcPr>
          <w:p w14:paraId="5F6BFA80"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38" w:type="dxa"/>
            <w:noWrap/>
            <w:hideMark/>
          </w:tcPr>
          <w:p w14:paraId="4C75EF78" w14:textId="77777777" w:rsidR="00AA022C" w:rsidRPr="00AA022C" w:rsidRDefault="00AA022C" w:rsidP="00AA022C">
            <w:pPr>
              <w:jc w:val="center"/>
              <w:rPr>
                <w:rFonts w:ascii="Calibri" w:hAnsi="Calibri" w:cs="Calibri"/>
                <w:color w:val="000000"/>
                <w:sz w:val="19"/>
                <w:szCs w:val="19"/>
                <w:lang w:val="en-US" w:eastAsia="en-US"/>
              </w:rPr>
            </w:pPr>
          </w:p>
        </w:tc>
        <w:tc>
          <w:tcPr>
            <w:tcW w:w="315" w:type="dxa"/>
            <w:noWrap/>
            <w:hideMark/>
          </w:tcPr>
          <w:p w14:paraId="6370A8CE"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273" w:type="dxa"/>
            <w:noWrap/>
            <w:hideMark/>
          </w:tcPr>
          <w:p w14:paraId="7408DB59" w14:textId="77777777" w:rsidR="00AA022C" w:rsidRPr="00AA022C" w:rsidRDefault="00AA022C" w:rsidP="00AA022C">
            <w:pPr>
              <w:jc w:val="center"/>
              <w:rPr>
                <w:rFonts w:ascii="Calibri" w:hAnsi="Calibri" w:cs="Calibri"/>
                <w:color w:val="000000"/>
                <w:sz w:val="19"/>
                <w:szCs w:val="19"/>
                <w:lang w:val="en-US" w:eastAsia="en-US"/>
              </w:rPr>
            </w:pPr>
          </w:p>
        </w:tc>
      </w:tr>
      <w:tr w:rsidR="00BB4F5E" w:rsidRPr="00AA022C" w14:paraId="51641D39" w14:textId="77777777" w:rsidTr="00CB624C">
        <w:trPr>
          <w:trHeight w:val="600"/>
        </w:trPr>
        <w:tc>
          <w:tcPr>
            <w:tcW w:w="3413" w:type="dxa"/>
            <w:hideMark/>
          </w:tcPr>
          <w:p w14:paraId="62F1CEEE"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International Covenant on Civil and Political Rights</w:t>
            </w:r>
          </w:p>
        </w:tc>
        <w:tc>
          <w:tcPr>
            <w:tcW w:w="3414" w:type="dxa"/>
            <w:hideMark/>
          </w:tcPr>
          <w:p w14:paraId="719C6EE7"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Department of Justice &amp; Attorney General</w:t>
            </w:r>
          </w:p>
        </w:tc>
        <w:tc>
          <w:tcPr>
            <w:tcW w:w="332" w:type="dxa"/>
            <w:noWrap/>
            <w:hideMark/>
          </w:tcPr>
          <w:p w14:paraId="19578A15"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4E590C56"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17" w:type="dxa"/>
            <w:noWrap/>
            <w:hideMark/>
          </w:tcPr>
          <w:p w14:paraId="493B2EBC"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38" w:type="dxa"/>
            <w:noWrap/>
            <w:hideMark/>
          </w:tcPr>
          <w:p w14:paraId="7E7CC6EC" w14:textId="77777777" w:rsidR="00AA022C" w:rsidRPr="00AA022C" w:rsidRDefault="00AA022C" w:rsidP="00AA022C">
            <w:pPr>
              <w:jc w:val="center"/>
              <w:rPr>
                <w:rFonts w:ascii="Calibri" w:hAnsi="Calibri" w:cs="Calibri"/>
                <w:color w:val="000000"/>
                <w:sz w:val="19"/>
                <w:szCs w:val="19"/>
                <w:lang w:val="en-US" w:eastAsia="en-US"/>
              </w:rPr>
            </w:pPr>
          </w:p>
        </w:tc>
        <w:tc>
          <w:tcPr>
            <w:tcW w:w="315" w:type="dxa"/>
            <w:noWrap/>
            <w:hideMark/>
          </w:tcPr>
          <w:p w14:paraId="13E849C4"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5162ABC2"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4F1ED8D9" w14:textId="77777777" w:rsidTr="00CB624C">
        <w:trPr>
          <w:trHeight w:val="600"/>
        </w:trPr>
        <w:tc>
          <w:tcPr>
            <w:tcW w:w="3413" w:type="dxa"/>
            <w:hideMark/>
          </w:tcPr>
          <w:p w14:paraId="08C1F531"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Convention on The Elimination of All Forms of Racial Discrimination </w:t>
            </w:r>
          </w:p>
        </w:tc>
        <w:tc>
          <w:tcPr>
            <w:tcW w:w="3414" w:type="dxa"/>
            <w:hideMark/>
          </w:tcPr>
          <w:p w14:paraId="13E81858"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Department of Justice &amp; Attorney General – Public Solicitor’s Office</w:t>
            </w:r>
          </w:p>
        </w:tc>
        <w:tc>
          <w:tcPr>
            <w:tcW w:w="332" w:type="dxa"/>
            <w:noWrap/>
            <w:hideMark/>
          </w:tcPr>
          <w:p w14:paraId="49FA9CA5"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2E583405"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17" w:type="dxa"/>
            <w:noWrap/>
            <w:hideMark/>
          </w:tcPr>
          <w:p w14:paraId="08D061A3"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38" w:type="dxa"/>
            <w:noWrap/>
            <w:hideMark/>
          </w:tcPr>
          <w:p w14:paraId="3D3E5812" w14:textId="77777777" w:rsidR="00AA022C" w:rsidRPr="00AA022C" w:rsidRDefault="00AA022C" w:rsidP="00AA022C">
            <w:pPr>
              <w:jc w:val="center"/>
              <w:rPr>
                <w:rFonts w:ascii="Calibri" w:hAnsi="Calibri" w:cs="Calibri"/>
                <w:color w:val="000000"/>
                <w:sz w:val="19"/>
                <w:szCs w:val="19"/>
                <w:lang w:val="en-US" w:eastAsia="en-US"/>
              </w:rPr>
            </w:pPr>
          </w:p>
        </w:tc>
        <w:tc>
          <w:tcPr>
            <w:tcW w:w="315" w:type="dxa"/>
            <w:noWrap/>
            <w:hideMark/>
          </w:tcPr>
          <w:p w14:paraId="1BC58AAD"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0465C40D" w14:textId="77777777" w:rsidR="00AA022C" w:rsidRPr="00AA022C" w:rsidRDefault="00AA022C" w:rsidP="00AA022C">
            <w:pPr>
              <w:jc w:val="center"/>
              <w:rPr>
                <w:rFonts w:ascii="Times New Roman" w:hAnsi="Times New Roman"/>
                <w:sz w:val="20"/>
                <w:szCs w:val="20"/>
                <w:lang w:val="en-US" w:eastAsia="en-US"/>
              </w:rPr>
            </w:pPr>
          </w:p>
        </w:tc>
      </w:tr>
      <w:tr w:rsidR="00BB4F5E" w:rsidRPr="00AA022C" w14:paraId="061035EB" w14:textId="77777777" w:rsidTr="00CB624C">
        <w:trPr>
          <w:trHeight w:val="600"/>
        </w:trPr>
        <w:tc>
          <w:tcPr>
            <w:tcW w:w="3413" w:type="dxa"/>
            <w:hideMark/>
          </w:tcPr>
          <w:p w14:paraId="6D71EA86"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Convention on The Elimination of All Forms of Discrimination Against Women </w:t>
            </w:r>
          </w:p>
        </w:tc>
        <w:tc>
          <w:tcPr>
            <w:tcW w:w="3414" w:type="dxa"/>
            <w:hideMark/>
          </w:tcPr>
          <w:p w14:paraId="463F13E3" w14:textId="77777777" w:rsidR="00AA022C" w:rsidRPr="00AA022C" w:rsidRDefault="00AA022C" w:rsidP="00AA022C">
            <w:pPr>
              <w:jc w:val="left"/>
              <w:rPr>
                <w:rFonts w:ascii="Calibri" w:hAnsi="Calibri" w:cs="Calibri"/>
                <w:color w:val="000000"/>
                <w:sz w:val="19"/>
                <w:szCs w:val="19"/>
                <w:lang w:val="en-US" w:eastAsia="en-US"/>
              </w:rPr>
            </w:pPr>
            <w:r w:rsidRPr="00AA022C">
              <w:rPr>
                <w:rFonts w:ascii="Calibri" w:hAnsi="Calibri" w:cs="Calibri"/>
                <w:color w:val="000000"/>
                <w:sz w:val="19"/>
                <w:szCs w:val="19"/>
                <w:lang w:eastAsia="en-US"/>
              </w:rPr>
              <w:t xml:space="preserve">Dept. of Community Development </w:t>
            </w:r>
          </w:p>
        </w:tc>
        <w:tc>
          <w:tcPr>
            <w:tcW w:w="332" w:type="dxa"/>
            <w:noWrap/>
            <w:hideMark/>
          </w:tcPr>
          <w:p w14:paraId="7CEAB305" w14:textId="77777777" w:rsidR="00AA022C" w:rsidRPr="00AA022C" w:rsidRDefault="00AA022C" w:rsidP="00AA022C">
            <w:pPr>
              <w:jc w:val="left"/>
              <w:rPr>
                <w:rFonts w:ascii="Calibri" w:hAnsi="Calibri" w:cs="Calibri"/>
                <w:color w:val="000000"/>
                <w:sz w:val="19"/>
                <w:szCs w:val="19"/>
                <w:lang w:val="en-US" w:eastAsia="en-US"/>
              </w:rPr>
            </w:pPr>
          </w:p>
        </w:tc>
        <w:tc>
          <w:tcPr>
            <w:tcW w:w="323" w:type="dxa"/>
            <w:noWrap/>
            <w:hideMark/>
          </w:tcPr>
          <w:p w14:paraId="52E2B290" w14:textId="77777777" w:rsidR="00AA022C" w:rsidRPr="00AA022C" w:rsidRDefault="00AA022C" w:rsidP="00AA022C">
            <w:pPr>
              <w:jc w:val="center"/>
              <w:rPr>
                <w:rFonts w:ascii="Calibri" w:hAnsi="Calibri" w:cs="Calibri"/>
                <w:color w:val="000000"/>
                <w:sz w:val="19"/>
                <w:szCs w:val="19"/>
                <w:lang w:val="en-US" w:eastAsia="en-US"/>
              </w:rPr>
            </w:pPr>
            <w:r w:rsidRPr="00AA022C">
              <w:rPr>
                <w:rFonts w:ascii="Calibri" w:hAnsi="Calibri" w:cs="Calibri"/>
                <w:color w:val="000000"/>
                <w:sz w:val="19"/>
                <w:szCs w:val="19"/>
                <w:lang w:val="en-US" w:eastAsia="en-US"/>
              </w:rPr>
              <w:t>X</w:t>
            </w:r>
          </w:p>
        </w:tc>
        <w:tc>
          <w:tcPr>
            <w:tcW w:w="317" w:type="dxa"/>
            <w:noWrap/>
            <w:hideMark/>
          </w:tcPr>
          <w:p w14:paraId="5DE91FF1" w14:textId="77777777" w:rsidR="00AA022C" w:rsidRPr="00AA022C" w:rsidRDefault="00AA022C" w:rsidP="00AA022C">
            <w:pPr>
              <w:jc w:val="center"/>
              <w:rPr>
                <w:rFonts w:ascii="Calibri" w:hAnsi="Calibri" w:cs="Calibri"/>
                <w:color w:val="000000"/>
                <w:sz w:val="19"/>
                <w:szCs w:val="19"/>
                <w:lang w:val="en-US" w:eastAsia="en-US"/>
              </w:rPr>
            </w:pPr>
          </w:p>
        </w:tc>
        <w:tc>
          <w:tcPr>
            <w:tcW w:w="338" w:type="dxa"/>
            <w:noWrap/>
            <w:hideMark/>
          </w:tcPr>
          <w:p w14:paraId="537B5464" w14:textId="77777777" w:rsidR="00AA022C" w:rsidRPr="00AA022C" w:rsidRDefault="00AA022C" w:rsidP="00AA022C">
            <w:pPr>
              <w:jc w:val="center"/>
              <w:rPr>
                <w:rFonts w:ascii="Times New Roman" w:hAnsi="Times New Roman"/>
                <w:sz w:val="20"/>
                <w:szCs w:val="20"/>
                <w:lang w:val="en-US" w:eastAsia="en-US"/>
              </w:rPr>
            </w:pPr>
          </w:p>
        </w:tc>
        <w:tc>
          <w:tcPr>
            <w:tcW w:w="315" w:type="dxa"/>
            <w:noWrap/>
            <w:hideMark/>
          </w:tcPr>
          <w:p w14:paraId="3D615320" w14:textId="77777777" w:rsidR="00AA022C" w:rsidRPr="00AA022C" w:rsidRDefault="00AA022C" w:rsidP="00AA022C">
            <w:pPr>
              <w:jc w:val="center"/>
              <w:rPr>
                <w:rFonts w:ascii="Times New Roman" w:hAnsi="Times New Roman"/>
                <w:sz w:val="20"/>
                <w:szCs w:val="20"/>
                <w:lang w:val="en-US" w:eastAsia="en-US"/>
              </w:rPr>
            </w:pPr>
          </w:p>
        </w:tc>
        <w:tc>
          <w:tcPr>
            <w:tcW w:w="273" w:type="dxa"/>
            <w:noWrap/>
            <w:hideMark/>
          </w:tcPr>
          <w:p w14:paraId="59BEC173" w14:textId="77777777" w:rsidR="00AA022C" w:rsidRPr="00AA022C" w:rsidRDefault="00AA022C" w:rsidP="00AA022C">
            <w:pPr>
              <w:jc w:val="center"/>
              <w:rPr>
                <w:rFonts w:ascii="Times New Roman" w:hAnsi="Times New Roman"/>
                <w:sz w:val="20"/>
                <w:szCs w:val="20"/>
                <w:lang w:val="en-US" w:eastAsia="en-US"/>
              </w:rPr>
            </w:pPr>
          </w:p>
        </w:tc>
      </w:tr>
    </w:tbl>
    <w:p w14:paraId="70A8A420" w14:textId="77777777" w:rsidR="00D13B59" w:rsidRDefault="00D13B59" w:rsidP="005A2D15">
      <w:pPr>
        <w:pStyle w:val="Heading3"/>
      </w:pPr>
    </w:p>
    <w:p w14:paraId="40BC773B" w14:textId="0C5BCA29" w:rsidR="005A2D15" w:rsidRPr="00D713EB" w:rsidRDefault="00B10412" w:rsidP="005A2D15">
      <w:pPr>
        <w:pStyle w:val="Heading3"/>
      </w:pPr>
      <w:bookmarkStart w:id="11" w:name="_Toc59493620"/>
      <w:r>
        <w:t xml:space="preserve">2.2.2 </w:t>
      </w:r>
      <w:r w:rsidR="00262F8E" w:rsidRPr="00D713EB">
        <w:t xml:space="preserve">In relation to the </w:t>
      </w:r>
      <w:r w:rsidR="001458C4">
        <w:t>role of the</w:t>
      </w:r>
      <w:r w:rsidR="001458C4" w:rsidRPr="00D713EB">
        <w:t xml:space="preserve"> </w:t>
      </w:r>
      <w:r w:rsidR="001458C4">
        <w:t>REDD+ Implementers</w:t>
      </w:r>
      <w:bookmarkEnd w:id="11"/>
    </w:p>
    <w:p w14:paraId="075EE270" w14:textId="77777777" w:rsidR="00821BE0" w:rsidRPr="00D713EB" w:rsidRDefault="00821BE0" w:rsidP="001D4A4F">
      <w:pPr>
        <w:rPr>
          <w:rFonts w:cstheme="minorHAnsi"/>
        </w:rPr>
      </w:pPr>
    </w:p>
    <w:p w14:paraId="2F156D03" w14:textId="02D80FCC" w:rsidR="000C6BCE" w:rsidRDefault="00905801" w:rsidP="009436B1">
      <w:r w:rsidRPr="00D713EB">
        <w:rPr>
          <w:rFonts w:cstheme="minorHAnsi"/>
        </w:rPr>
        <w:t xml:space="preserve">Once the implementation of the REDD+ actions have commenced, information </w:t>
      </w:r>
      <w:r w:rsidR="00045ED0">
        <w:rPr>
          <w:rFonts w:cstheme="minorHAnsi"/>
        </w:rPr>
        <w:t xml:space="preserve">on how safeguards have been respected in the context of said actions </w:t>
      </w:r>
      <w:r w:rsidRPr="00D713EB">
        <w:rPr>
          <w:rFonts w:cstheme="minorHAnsi"/>
        </w:rPr>
        <w:t xml:space="preserve">should be collected </w:t>
      </w:r>
      <w:r w:rsidR="006612D0" w:rsidRPr="00D713EB">
        <w:rPr>
          <w:rFonts w:cstheme="minorHAnsi"/>
        </w:rPr>
        <w:t>every six months</w:t>
      </w:r>
      <w:r w:rsidR="00045ED0">
        <w:rPr>
          <w:rFonts w:cstheme="minorHAnsi"/>
        </w:rPr>
        <w:t xml:space="preserve">, including on how safeguards have been addressed if applicable. Reporting </w:t>
      </w:r>
      <w:r w:rsidR="009B5FF8">
        <w:rPr>
          <w:rFonts w:cstheme="minorHAnsi"/>
        </w:rPr>
        <w:t>on all safeguard</w:t>
      </w:r>
      <w:r w:rsidR="00177A9C">
        <w:rPr>
          <w:rFonts w:cstheme="minorHAnsi"/>
        </w:rPr>
        <w:t>s</w:t>
      </w:r>
      <w:r w:rsidR="008E3FD1">
        <w:rPr>
          <w:rFonts w:cstheme="minorHAnsi"/>
        </w:rPr>
        <w:t xml:space="preserve"> should be done</w:t>
      </w:r>
      <w:r w:rsidR="005A02F0" w:rsidRPr="00D713EB">
        <w:rPr>
          <w:rFonts w:cstheme="minorHAnsi"/>
        </w:rPr>
        <w:t xml:space="preserve"> </w:t>
      </w:r>
      <w:r w:rsidR="000C6BCE">
        <w:rPr>
          <w:rFonts w:cstheme="minorHAnsi"/>
        </w:rPr>
        <w:t>for</w:t>
      </w:r>
      <w:r w:rsidR="000C6BCE" w:rsidRPr="00D713EB">
        <w:rPr>
          <w:rFonts w:cstheme="minorHAnsi"/>
        </w:rPr>
        <w:t xml:space="preserve"> </w:t>
      </w:r>
      <w:r w:rsidR="005A02F0" w:rsidRPr="00D713EB">
        <w:rPr>
          <w:rFonts w:cstheme="minorHAnsi"/>
        </w:rPr>
        <w:t>an overall 18</w:t>
      </w:r>
      <w:r w:rsidR="008E3FD1">
        <w:rPr>
          <w:rFonts w:cstheme="minorHAnsi"/>
        </w:rPr>
        <w:t>-</w:t>
      </w:r>
      <w:r w:rsidR="005A02F0" w:rsidRPr="00D713EB">
        <w:rPr>
          <w:rFonts w:cstheme="minorHAnsi"/>
        </w:rPr>
        <w:t>month reporting period</w:t>
      </w:r>
      <w:r w:rsidR="00C06644">
        <w:rPr>
          <w:rFonts w:cstheme="minorHAnsi"/>
        </w:rPr>
        <w:t>,</w:t>
      </w:r>
      <w:r w:rsidR="008E3FD1">
        <w:rPr>
          <w:rFonts w:cstheme="minorHAnsi"/>
        </w:rPr>
        <w:t xml:space="preserve"> </w:t>
      </w:r>
      <w:r w:rsidR="009436B1">
        <w:rPr>
          <w:rFonts w:cstheme="minorHAnsi"/>
        </w:rPr>
        <w:t>a</w:t>
      </w:r>
      <w:r w:rsidR="000C6BCE" w:rsidRPr="00D713EB">
        <w:rPr>
          <w:rFonts w:cstheme="minorHAnsi"/>
        </w:rPr>
        <w:t>s soon as the SIS database is operational</w:t>
      </w:r>
      <w:r w:rsidR="000F612A">
        <w:rPr>
          <w:rFonts w:cstheme="minorHAnsi"/>
        </w:rPr>
        <w:t xml:space="preserve">, which will allow the aggregation and analysis of </w:t>
      </w:r>
      <w:r w:rsidR="002E01CE">
        <w:rPr>
          <w:rFonts w:cstheme="minorHAnsi"/>
        </w:rPr>
        <w:t xml:space="preserve">complete reporting templates </w:t>
      </w:r>
      <w:r w:rsidR="006B4A19">
        <w:rPr>
          <w:rFonts w:cstheme="minorHAnsi"/>
        </w:rPr>
        <w:t xml:space="preserve">-and associated files- </w:t>
      </w:r>
      <w:r w:rsidR="002E01CE">
        <w:rPr>
          <w:rFonts w:cstheme="minorHAnsi"/>
        </w:rPr>
        <w:t>submitted to the SIS during the last qu</w:t>
      </w:r>
      <w:r w:rsidR="006B4A19">
        <w:rPr>
          <w:rFonts w:cstheme="minorHAnsi"/>
        </w:rPr>
        <w:t>a</w:t>
      </w:r>
      <w:r w:rsidR="002E01CE">
        <w:rPr>
          <w:rFonts w:cstheme="minorHAnsi"/>
        </w:rPr>
        <w:t>rter of the SIS information management and reporting cycle. This said, s</w:t>
      </w:r>
      <w:r w:rsidR="009F41FB" w:rsidRPr="009F41FB">
        <w:rPr>
          <w:rFonts w:cstheme="minorHAnsi"/>
        </w:rPr>
        <w:t>tarting from the second year of operation</w:t>
      </w:r>
      <w:r w:rsidR="009F41FB">
        <w:rPr>
          <w:rFonts w:cstheme="minorHAnsi"/>
        </w:rPr>
        <w:t xml:space="preserve"> of the SIS</w:t>
      </w:r>
      <w:r w:rsidR="009F41FB" w:rsidRPr="009F41FB">
        <w:rPr>
          <w:rFonts w:cstheme="minorHAnsi"/>
        </w:rPr>
        <w:t>, REDD+ Implementers will report on the</w:t>
      </w:r>
      <w:r w:rsidR="009F41FB">
        <w:rPr>
          <w:rFonts w:cstheme="minorHAnsi"/>
        </w:rPr>
        <w:t xml:space="preserve"> </w:t>
      </w:r>
      <w:r w:rsidR="009F41FB" w:rsidRPr="009F41FB">
        <w:rPr>
          <w:rFonts w:cstheme="minorHAnsi"/>
        </w:rPr>
        <w:t xml:space="preserve">18-month period for the respective </w:t>
      </w:r>
      <w:r w:rsidR="00C06644">
        <w:rPr>
          <w:rFonts w:cstheme="minorHAnsi"/>
        </w:rPr>
        <w:t>reporting cycle</w:t>
      </w:r>
      <w:r w:rsidR="009F41FB" w:rsidRPr="009F41FB">
        <w:rPr>
          <w:rFonts w:cstheme="minorHAnsi"/>
        </w:rPr>
        <w:t>, plus the period corresponding to the last quarter of the previous calendar year</w:t>
      </w:r>
      <w:r w:rsidR="009F41FB">
        <w:rPr>
          <w:rFonts w:cstheme="minorHAnsi"/>
        </w:rPr>
        <w:t xml:space="preserve"> to ensure </w:t>
      </w:r>
      <w:r w:rsidR="000F612A">
        <w:rPr>
          <w:rFonts w:cstheme="minorHAnsi"/>
        </w:rPr>
        <w:t>report on complete calendar years.</w:t>
      </w:r>
    </w:p>
    <w:p w14:paraId="6AD1F65B" w14:textId="2D081D20" w:rsidR="00905801" w:rsidRPr="00D713EB" w:rsidRDefault="00905801" w:rsidP="001D4A4F">
      <w:pPr>
        <w:rPr>
          <w:rFonts w:cstheme="minorHAnsi"/>
        </w:rPr>
      </w:pPr>
    </w:p>
    <w:p w14:paraId="1A3AE503" w14:textId="3ACFF61E" w:rsidR="003700B6" w:rsidRPr="00D713EB" w:rsidRDefault="00145F58" w:rsidP="00CB624C">
      <w:r w:rsidRPr="00D713EB">
        <w:rPr>
          <w:iCs/>
        </w:rPr>
        <w:t>The REDD+ Safeguards TWC</w:t>
      </w:r>
      <w:r w:rsidR="00F31EF5">
        <w:rPr>
          <w:iCs/>
        </w:rPr>
        <w:t xml:space="preserve">, through the technical regular </w:t>
      </w:r>
      <w:r w:rsidRPr="00D713EB">
        <w:rPr>
          <w:iCs/>
        </w:rPr>
        <w:t>support of the National Safeguard Specialist</w:t>
      </w:r>
      <w:r w:rsidR="00F31EF5">
        <w:rPr>
          <w:iCs/>
        </w:rPr>
        <w:t>,</w:t>
      </w:r>
      <w:r w:rsidRPr="00D713EB">
        <w:rPr>
          <w:iCs/>
        </w:rPr>
        <w:t xml:space="preserve"> will coordinate and agree </w:t>
      </w:r>
      <w:r w:rsidR="00D930A0" w:rsidRPr="00D713EB">
        <w:rPr>
          <w:iCs/>
        </w:rPr>
        <w:t xml:space="preserve">(through a specific </w:t>
      </w:r>
      <w:r w:rsidR="001E39C7" w:rsidRPr="00D713EB">
        <w:rPr>
          <w:iCs/>
        </w:rPr>
        <w:t>institutional arrangement/</w:t>
      </w:r>
      <w:r w:rsidR="00D930A0" w:rsidRPr="00D713EB">
        <w:rPr>
          <w:iCs/>
        </w:rPr>
        <w:t xml:space="preserve">agreement) </w:t>
      </w:r>
      <w:r w:rsidRPr="00D713EB">
        <w:rPr>
          <w:iCs/>
        </w:rPr>
        <w:t xml:space="preserve">with each REDD+ implementer </w:t>
      </w:r>
      <w:r w:rsidR="00EA1362">
        <w:rPr>
          <w:iCs/>
        </w:rPr>
        <w:t>on the</w:t>
      </w:r>
      <w:r w:rsidR="00EA1362" w:rsidRPr="00D713EB">
        <w:rPr>
          <w:iCs/>
        </w:rPr>
        <w:t xml:space="preserve"> </w:t>
      </w:r>
      <w:r w:rsidRPr="00D713EB">
        <w:rPr>
          <w:iCs/>
        </w:rPr>
        <w:t xml:space="preserve">specific </w:t>
      </w:r>
      <w:r w:rsidR="005A02F0" w:rsidRPr="00D713EB">
        <w:rPr>
          <w:iCs/>
        </w:rPr>
        <w:t xml:space="preserve">dates for the </w:t>
      </w:r>
      <w:r w:rsidR="00EA1362">
        <w:rPr>
          <w:iCs/>
        </w:rPr>
        <w:t xml:space="preserve">submission of </w:t>
      </w:r>
      <w:r w:rsidRPr="00D713EB">
        <w:rPr>
          <w:rFonts w:cstheme="minorHAnsi"/>
        </w:rPr>
        <w:t>reports, to ensure all information is collected in time for the preparation of the national and international reports</w:t>
      </w:r>
      <w:r w:rsidR="00BE7B56">
        <w:rPr>
          <w:rFonts w:cstheme="minorHAnsi"/>
        </w:rPr>
        <w:t xml:space="preserve"> in advance to the start of the last quarter of the SIS information management and reporting cycle</w:t>
      </w:r>
      <w:r w:rsidRPr="00D713EB">
        <w:rPr>
          <w:rFonts w:cstheme="minorHAnsi"/>
        </w:rPr>
        <w:t xml:space="preserve">. </w:t>
      </w:r>
    </w:p>
    <w:p w14:paraId="50DE681E" w14:textId="77777777" w:rsidR="005A2D15" w:rsidRPr="00D713EB" w:rsidRDefault="005A2D15" w:rsidP="001D4A4F">
      <w:pPr>
        <w:rPr>
          <w:rFonts w:cstheme="minorHAnsi"/>
        </w:rPr>
      </w:pPr>
    </w:p>
    <w:p w14:paraId="72FCC4BA" w14:textId="2FC75237" w:rsidR="00E00C58" w:rsidRPr="00D713EB" w:rsidRDefault="001D4A4F" w:rsidP="001D4A4F">
      <w:pPr>
        <w:rPr>
          <w:rFonts w:cstheme="minorHAnsi"/>
        </w:rPr>
      </w:pPr>
      <w:r w:rsidRPr="00D713EB">
        <w:rPr>
          <w:rFonts w:cstheme="minorHAnsi"/>
        </w:rPr>
        <w:t xml:space="preserve">To </w:t>
      </w:r>
      <w:r w:rsidR="000F5394">
        <w:rPr>
          <w:rFonts w:cstheme="minorHAnsi"/>
        </w:rPr>
        <w:t>support the</w:t>
      </w:r>
      <w:r w:rsidRPr="00D713EB">
        <w:rPr>
          <w:rFonts w:cstheme="minorHAnsi"/>
        </w:rPr>
        <w:t xml:space="preserve"> </w:t>
      </w:r>
      <w:r w:rsidR="000F5394">
        <w:rPr>
          <w:rFonts w:cstheme="minorHAnsi"/>
        </w:rPr>
        <w:t xml:space="preserve">consistent </w:t>
      </w:r>
      <w:r w:rsidR="000F101A">
        <w:rPr>
          <w:rFonts w:cstheme="minorHAnsi"/>
        </w:rPr>
        <w:t xml:space="preserve">and comparable </w:t>
      </w:r>
      <w:r w:rsidRPr="00D713EB">
        <w:rPr>
          <w:rFonts w:cstheme="minorHAnsi"/>
        </w:rPr>
        <w:t>collect</w:t>
      </w:r>
      <w:r w:rsidR="000F101A">
        <w:rPr>
          <w:rFonts w:cstheme="minorHAnsi"/>
        </w:rPr>
        <w:t>ion of</w:t>
      </w:r>
      <w:r w:rsidRPr="00D713EB">
        <w:rPr>
          <w:rFonts w:cstheme="minorHAnsi"/>
        </w:rPr>
        <w:t xml:space="preserve"> information</w:t>
      </w:r>
      <w:r w:rsidR="000F101A">
        <w:rPr>
          <w:rFonts w:cstheme="minorHAnsi"/>
        </w:rPr>
        <w:t>, REDD+ Implementers</w:t>
      </w:r>
      <w:r w:rsidR="00E00C58" w:rsidRPr="00D713EB">
        <w:rPr>
          <w:rFonts w:cstheme="minorHAnsi"/>
        </w:rPr>
        <w:t xml:space="preserve"> </w:t>
      </w:r>
      <w:r w:rsidR="000F101A">
        <w:rPr>
          <w:rFonts w:cstheme="minorHAnsi"/>
        </w:rPr>
        <w:t xml:space="preserve">should use </w:t>
      </w:r>
      <w:r w:rsidR="005A2D15" w:rsidRPr="00D713EB">
        <w:rPr>
          <w:rFonts w:cstheme="minorHAnsi"/>
        </w:rPr>
        <w:t xml:space="preserve">a </w:t>
      </w:r>
      <w:r w:rsidR="00E00C58" w:rsidRPr="00D713EB">
        <w:rPr>
          <w:rFonts w:cstheme="minorHAnsi"/>
        </w:rPr>
        <w:t xml:space="preserve">hard copy of the </w:t>
      </w:r>
      <w:r w:rsidRPr="00D713EB">
        <w:rPr>
          <w:rFonts w:cstheme="minorHAnsi"/>
        </w:rPr>
        <w:t>template report</w:t>
      </w:r>
      <w:r w:rsidR="00E00C58" w:rsidRPr="00D713EB">
        <w:rPr>
          <w:rFonts w:cstheme="minorHAnsi"/>
        </w:rPr>
        <w:t xml:space="preserve"> provided </w:t>
      </w:r>
      <w:r w:rsidR="00C47403" w:rsidRPr="00D713EB">
        <w:rPr>
          <w:rFonts w:cstheme="minorHAnsi"/>
        </w:rPr>
        <w:t xml:space="preserve">in </w:t>
      </w:r>
      <w:r w:rsidR="00C47403" w:rsidRPr="00BB4F5E">
        <w:rPr>
          <w:rFonts w:cstheme="minorHAnsi"/>
        </w:rPr>
        <w:t xml:space="preserve">Annex </w:t>
      </w:r>
      <w:r w:rsidR="00BB4F5E" w:rsidRPr="00BB4F5E">
        <w:rPr>
          <w:rFonts w:cstheme="minorHAnsi"/>
        </w:rPr>
        <w:t>III</w:t>
      </w:r>
      <w:r w:rsidR="00E00C58" w:rsidRPr="00D713EB">
        <w:rPr>
          <w:rFonts w:cstheme="minorHAnsi"/>
        </w:rPr>
        <w:t>. This template is also available directly on the SIS database</w:t>
      </w:r>
      <w:r w:rsidR="00A2317A" w:rsidRPr="00D713EB">
        <w:rPr>
          <w:rFonts w:cstheme="minorHAnsi"/>
        </w:rPr>
        <w:t xml:space="preserve"> and </w:t>
      </w:r>
      <w:r w:rsidR="00145F58" w:rsidRPr="00D713EB">
        <w:rPr>
          <w:rFonts w:cstheme="minorHAnsi"/>
        </w:rPr>
        <w:t>can be downloaded</w:t>
      </w:r>
      <w:r w:rsidR="00DA7207" w:rsidRPr="00D713EB">
        <w:rPr>
          <w:rFonts w:cstheme="minorHAnsi"/>
        </w:rPr>
        <w:t xml:space="preserve"> by ‘data collector users’.</w:t>
      </w:r>
      <w:r w:rsidR="00145F58" w:rsidRPr="00D713EB">
        <w:rPr>
          <w:rFonts w:cstheme="minorHAnsi"/>
        </w:rPr>
        <w:t xml:space="preserve"> </w:t>
      </w:r>
      <w:r w:rsidR="00DA7207" w:rsidRPr="00D713EB">
        <w:rPr>
          <w:rFonts w:cstheme="minorHAnsi"/>
        </w:rPr>
        <w:t>I</w:t>
      </w:r>
      <w:r w:rsidR="00A2317A" w:rsidRPr="00D713EB">
        <w:rPr>
          <w:rFonts w:cstheme="minorHAnsi"/>
        </w:rPr>
        <w:t xml:space="preserve">nformation collected </w:t>
      </w:r>
      <w:r w:rsidR="005A2D15" w:rsidRPr="00D713EB">
        <w:rPr>
          <w:rFonts w:cstheme="minorHAnsi"/>
        </w:rPr>
        <w:t xml:space="preserve">and documented </w:t>
      </w:r>
      <w:r w:rsidR="00A2317A" w:rsidRPr="00D713EB">
        <w:rPr>
          <w:rFonts w:cstheme="minorHAnsi"/>
        </w:rPr>
        <w:t xml:space="preserve">using hard copies of the template should ultimately be inputted </w:t>
      </w:r>
      <w:r w:rsidR="003D42AD" w:rsidRPr="00D713EB">
        <w:rPr>
          <w:rFonts w:cstheme="minorHAnsi"/>
        </w:rPr>
        <w:t>into</w:t>
      </w:r>
      <w:r w:rsidR="00A2317A" w:rsidRPr="00D713EB">
        <w:rPr>
          <w:rFonts w:cstheme="minorHAnsi"/>
        </w:rPr>
        <w:t xml:space="preserve"> the SIS database</w:t>
      </w:r>
      <w:r w:rsidR="000F101A">
        <w:rPr>
          <w:rFonts w:cstheme="minorHAnsi"/>
        </w:rPr>
        <w:t xml:space="preserve"> by the date agreed </w:t>
      </w:r>
      <w:r w:rsidR="0032564C">
        <w:rPr>
          <w:rFonts w:cstheme="minorHAnsi"/>
        </w:rPr>
        <w:t>in the respective institutional arrangement/agreement, in advance to the start of the last quarter of the SIS information management and reporting cycle to allow aggregation and analysis of the data</w:t>
      </w:r>
      <w:r w:rsidR="00E00C58" w:rsidRPr="00D713EB">
        <w:rPr>
          <w:rFonts w:cstheme="minorHAnsi"/>
        </w:rPr>
        <w:t>.</w:t>
      </w:r>
      <w:r w:rsidR="0032564C">
        <w:rPr>
          <w:rFonts w:cstheme="minorHAnsi"/>
        </w:rPr>
        <w:t xml:space="preserve"> </w:t>
      </w:r>
    </w:p>
    <w:p w14:paraId="2B2AA5F9" w14:textId="77777777" w:rsidR="00E00C58" w:rsidRPr="00D713EB" w:rsidRDefault="00E00C58" w:rsidP="001D4A4F">
      <w:pPr>
        <w:rPr>
          <w:rFonts w:cstheme="minorHAnsi"/>
        </w:rPr>
      </w:pPr>
    </w:p>
    <w:p w14:paraId="0AE2DDBF" w14:textId="175D07AB" w:rsidR="001D4A4F" w:rsidRPr="00D713EB" w:rsidRDefault="00A2317A" w:rsidP="001D4A4F">
      <w:pPr>
        <w:rPr>
          <w:rFonts w:cstheme="minorHAnsi"/>
        </w:rPr>
      </w:pPr>
      <w:r w:rsidRPr="00D713EB">
        <w:rPr>
          <w:rFonts w:cstheme="minorHAnsi"/>
        </w:rPr>
        <w:t>In terms of the process and methods for the collection of information</w:t>
      </w:r>
      <w:r w:rsidR="004D5512">
        <w:rPr>
          <w:rFonts w:cstheme="minorHAnsi"/>
        </w:rPr>
        <w:t xml:space="preserve"> by REDD+ Implementers</w:t>
      </w:r>
      <w:r w:rsidR="000245B7" w:rsidRPr="00D713EB">
        <w:rPr>
          <w:rFonts w:cstheme="minorHAnsi"/>
        </w:rPr>
        <w:t xml:space="preserve">, the following </w:t>
      </w:r>
      <w:r w:rsidR="005A02F0" w:rsidRPr="00D713EB">
        <w:rPr>
          <w:rFonts w:cstheme="minorHAnsi"/>
        </w:rPr>
        <w:t xml:space="preserve">steps </w:t>
      </w:r>
      <w:r w:rsidR="000245B7" w:rsidRPr="00D713EB">
        <w:rPr>
          <w:rFonts w:cstheme="minorHAnsi"/>
        </w:rPr>
        <w:t xml:space="preserve">should be </w:t>
      </w:r>
      <w:r w:rsidR="00EC6EA4">
        <w:rPr>
          <w:rFonts w:cstheme="minorHAnsi"/>
        </w:rPr>
        <w:t>considered</w:t>
      </w:r>
      <w:r w:rsidR="005A2D15" w:rsidRPr="00D713EB">
        <w:rPr>
          <w:rFonts w:cstheme="minorHAnsi"/>
        </w:rPr>
        <w:t xml:space="preserve"> </w:t>
      </w:r>
      <w:r w:rsidR="005A02F0" w:rsidRPr="00D713EB">
        <w:rPr>
          <w:rFonts w:cstheme="minorHAnsi"/>
        </w:rPr>
        <w:t xml:space="preserve">(Figure </w:t>
      </w:r>
      <w:r w:rsidR="003775A1" w:rsidRPr="00D713EB">
        <w:rPr>
          <w:rFonts w:cstheme="minorHAnsi"/>
        </w:rPr>
        <w:t>5</w:t>
      </w:r>
      <w:r w:rsidR="005A02F0" w:rsidRPr="00D713EB">
        <w:rPr>
          <w:rFonts w:cstheme="minorHAnsi"/>
        </w:rPr>
        <w:t xml:space="preserve"> illustrates the </w:t>
      </w:r>
      <w:r w:rsidR="001E39C7" w:rsidRPr="00D713EB">
        <w:rPr>
          <w:rFonts w:cstheme="minorHAnsi"/>
        </w:rPr>
        <w:t xml:space="preserve">overall </w:t>
      </w:r>
      <w:r w:rsidR="005A02F0" w:rsidRPr="00D713EB">
        <w:rPr>
          <w:rFonts w:cstheme="minorHAnsi"/>
        </w:rPr>
        <w:t>process)</w:t>
      </w:r>
      <w:r w:rsidRPr="00D713EB">
        <w:rPr>
          <w:rFonts w:cstheme="minorHAnsi"/>
        </w:rPr>
        <w:t>:</w:t>
      </w:r>
    </w:p>
    <w:p w14:paraId="1D4889A4" w14:textId="77777777" w:rsidR="00A2317A" w:rsidRPr="00D713EB" w:rsidRDefault="00A2317A" w:rsidP="001D4A4F">
      <w:pPr>
        <w:rPr>
          <w:rFonts w:cstheme="minorHAnsi"/>
        </w:rPr>
      </w:pPr>
    </w:p>
    <w:p w14:paraId="3807C689" w14:textId="67743674" w:rsidR="00D930A0" w:rsidRPr="00D713EB" w:rsidRDefault="005A02F0" w:rsidP="00821BE0">
      <w:pPr>
        <w:pStyle w:val="ListParagraph"/>
        <w:numPr>
          <w:ilvl w:val="0"/>
          <w:numId w:val="19"/>
        </w:numPr>
      </w:pPr>
      <w:r w:rsidRPr="00D713EB">
        <w:rPr>
          <w:rFonts w:cstheme="minorHAnsi"/>
          <w:b/>
          <w:bCs/>
        </w:rPr>
        <w:t>Plan and carry out meetings</w:t>
      </w:r>
      <w:r w:rsidR="00A319D9">
        <w:rPr>
          <w:rFonts w:cstheme="minorHAnsi"/>
          <w:b/>
          <w:bCs/>
        </w:rPr>
        <w:t xml:space="preserve"> with relevant personnel and stakeholders</w:t>
      </w:r>
      <w:r w:rsidRPr="00D713EB">
        <w:rPr>
          <w:rFonts w:cstheme="minorHAnsi"/>
        </w:rPr>
        <w:t>: As noted above, information should be collected every six months</w:t>
      </w:r>
      <w:r w:rsidR="004464BD">
        <w:rPr>
          <w:rFonts w:cstheme="minorHAnsi"/>
        </w:rPr>
        <w:t xml:space="preserve"> towards reporting </w:t>
      </w:r>
      <w:r w:rsidRPr="00D713EB">
        <w:rPr>
          <w:rFonts w:cstheme="minorHAnsi"/>
        </w:rPr>
        <w:t xml:space="preserve">within </w:t>
      </w:r>
      <w:r w:rsidR="004464BD">
        <w:rPr>
          <w:rFonts w:cstheme="minorHAnsi"/>
        </w:rPr>
        <w:t>the</w:t>
      </w:r>
      <w:r w:rsidRPr="00D713EB">
        <w:rPr>
          <w:rFonts w:cstheme="minorHAnsi"/>
        </w:rPr>
        <w:t xml:space="preserve"> 18</w:t>
      </w:r>
      <w:r w:rsidR="004464BD">
        <w:rPr>
          <w:rFonts w:cstheme="minorHAnsi"/>
        </w:rPr>
        <w:t>-</w:t>
      </w:r>
      <w:r w:rsidRPr="00D713EB">
        <w:rPr>
          <w:rFonts w:cstheme="minorHAnsi"/>
        </w:rPr>
        <w:t xml:space="preserve">month </w:t>
      </w:r>
      <w:r w:rsidR="00D930A0" w:rsidRPr="00D713EB">
        <w:rPr>
          <w:rFonts w:cstheme="minorHAnsi"/>
        </w:rPr>
        <w:t>collection/</w:t>
      </w:r>
      <w:r w:rsidRPr="00D713EB">
        <w:rPr>
          <w:rFonts w:cstheme="minorHAnsi"/>
        </w:rPr>
        <w:t>reporting period</w:t>
      </w:r>
      <w:r w:rsidR="00003277">
        <w:rPr>
          <w:rFonts w:cstheme="minorHAnsi"/>
        </w:rPr>
        <w:t xml:space="preserve"> in advance to the last quarter of the SIS information management and reporting cycle</w:t>
      </w:r>
      <w:r w:rsidRPr="00D713EB">
        <w:rPr>
          <w:rFonts w:cstheme="minorHAnsi"/>
        </w:rPr>
        <w:t xml:space="preserve">. </w:t>
      </w:r>
      <w:r w:rsidR="00145F58" w:rsidRPr="00D713EB">
        <w:rPr>
          <w:rFonts w:cstheme="minorHAnsi"/>
        </w:rPr>
        <w:t xml:space="preserve">Every six months the </w:t>
      </w:r>
      <w:r w:rsidR="0027023D" w:rsidRPr="00D713EB">
        <w:rPr>
          <w:rFonts w:cstheme="minorHAnsi"/>
        </w:rPr>
        <w:t xml:space="preserve">REDD+ </w:t>
      </w:r>
      <w:r w:rsidR="00003277">
        <w:rPr>
          <w:rFonts w:cstheme="minorHAnsi"/>
        </w:rPr>
        <w:t>I</w:t>
      </w:r>
      <w:r w:rsidR="0027023D" w:rsidRPr="00D713EB">
        <w:rPr>
          <w:rFonts w:cstheme="minorHAnsi"/>
        </w:rPr>
        <w:t xml:space="preserve">mplementer </w:t>
      </w:r>
      <w:r w:rsidR="0027023D" w:rsidRPr="00CB624C">
        <w:rPr>
          <w:rFonts w:cstheme="minorHAnsi"/>
        </w:rPr>
        <w:t xml:space="preserve">will organize a </w:t>
      </w:r>
      <w:r w:rsidR="00D930A0" w:rsidRPr="00CB624C">
        <w:rPr>
          <w:rFonts w:cstheme="minorHAnsi"/>
        </w:rPr>
        <w:t xml:space="preserve">½ day </w:t>
      </w:r>
      <w:r w:rsidR="0027023D" w:rsidRPr="00CB624C">
        <w:rPr>
          <w:rFonts w:cstheme="minorHAnsi"/>
        </w:rPr>
        <w:t>meeting</w:t>
      </w:r>
      <w:r w:rsidR="00145F58" w:rsidRPr="00CB624C">
        <w:rPr>
          <w:rFonts w:cstheme="minorHAnsi"/>
        </w:rPr>
        <w:t xml:space="preserve"> with the staff/personnel involved in the implementation of the REDD+ action</w:t>
      </w:r>
      <w:r w:rsidR="00056204" w:rsidRPr="00CB624C">
        <w:rPr>
          <w:rFonts w:cstheme="minorHAnsi"/>
        </w:rPr>
        <w:t>s</w:t>
      </w:r>
      <w:r w:rsidR="00D930A0" w:rsidRPr="00D713EB">
        <w:rPr>
          <w:rFonts w:cstheme="minorHAnsi"/>
        </w:rPr>
        <w:t xml:space="preserve">. </w:t>
      </w:r>
    </w:p>
    <w:p w14:paraId="35E3E0D1" w14:textId="77777777" w:rsidR="00D930A0" w:rsidRPr="00D713EB" w:rsidRDefault="00D930A0" w:rsidP="00D930A0">
      <w:pPr>
        <w:pStyle w:val="ListParagraph"/>
      </w:pPr>
    </w:p>
    <w:p w14:paraId="6EFA3CB0" w14:textId="03C1FEEE" w:rsidR="00D930A0" w:rsidRPr="00D713EB" w:rsidRDefault="00D930A0" w:rsidP="00D930A0">
      <w:pPr>
        <w:pStyle w:val="ListParagraph"/>
      </w:pPr>
      <w:r w:rsidRPr="00D713EB">
        <w:t>General applicable guidelines for these meetings are:</w:t>
      </w:r>
    </w:p>
    <w:p w14:paraId="1023CD7F" w14:textId="0CF0832F" w:rsidR="00D930A0" w:rsidRPr="00D713EB" w:rsidRDefault="00D930A0" w:rsidP="00821BE0">
      <w:pPr>
        <w:pStyle w:val="ListParagraph"/>
        <w:numPr>
          <w:ilvl w:val="1"/>
          <w:numId w:val="19"/>
        </w:numPr>
      </w:pPr>
      <w:r w:rsidRPr="00D713EB">
        <w:t xml:space="preserve">REDD+ </w:t>
      </w:r>
      <w:r w:rsidR="00003277">
        <w:t>I</w:t>
      </w:r>
      <w:r w:rsidRPr="00D713EB">
        <w:t xml:space="preserve">mplementers </w:t>
      </w:r>
      <w:r w:rsidR="00003277">
        <w:t xml:space="preserve">are </w:t>
      </w:r>
      <w:r w:rsidRPr="00D713EB">
        <w:t>encourage</w:t>
      </w:r>
      <w:r w:rsidR="00003277">
        <w:t>d</w:t>
      </w:r>
      <w:r w:rsidRPr="00D713EB">
        <w:t xml:space="preserve"> </w:t>
      </w:r>
      <w:r w:rsidR="00003277">
        <w:t xml:space="preserve">to ensure </w:t>
      </w:r>
      <w:r w:rsidRPr="00D713EB">
        <w:t xml:space="preserve">the participation of </w:t>
      </w:r>
      <w:r w:rsidRPr="00D713EB">
        <w:rPr>
          <w:rFonts w:cstheme="minorHAnsi"/>
        </w:rPr>
        <w:t>other interested stakeholders (NGOs, international agencies, civil society, etc.)</w:t>
      </w:r>
      <w:r w:rsidR="00225DC2">
        <w:rPr>
          <w:rFonts w:cstheme="minorHAnsi"/>
        </w:rPr>
        <w:t xml:space="preserve"> relevant to the implement</w:t>
      </w:r>
      <w:r w:rsidR="006933CF">
        <w:rPr>
          <w:rFonts w:cstheme="minorHAnsi"/>
        </w:rPr>
        <w:t>ation of the REDD+ action</w:t>
      </w:r>
      <w:r w:rsidRPr="00D713EB">
        <w:rPr>
          <w:rFonts w:cstheme="minorHAnsi"/>
        </w:rPr>
        <w:t xml:space="preserve">, </w:t>
      </w:r>
      <w:r w:rsidR="006933CF">
        <w:rPr>
          <w:rFonts w:cstheme="minorHAnsi"/>
        </w:rPr>
        <w:t>who</w:t>
      </w:r>
      <w:r w:rsidR="006933CF" w:rsidRPr="00D713EB">
        <w:rPr>
          <w:rFonts w:cstheme="minorHAnsi"/>
        </w:rPr>
        <w:t xml:space="preserve"> </w:t>
      </w:r>
      <w:r w:rsidRPr="00D713EB">
        <w:rPr>
          <w:rFonts w:cstheme="minorHAnsi"/>
        </w:rPr>
        <w:t>can contribute with additional and/or cross referencing of information.</w:t>
      </w:r>
    </w:p>
    <w:p w14:paraId="423843F5" w14:textId="563DD1D3" w:rsidR="00D930A0" w:rsidRPr="00D713EB" w:rsidRDefault="005A02F0" w:rsidP="00821BE0">
      <w:pPr>
        <w:pStyle w:val="ListParagraph"/>
        <w:numPr>
          <w:ilvl w:val="1"/>
          <w:numId w:val="19"/>
        </w:numPr>
      </w:pPr>
      <w:r w:rsidRPr="00D713EB">
        <w:t>In each meeting</w:t>
      </w:r>
      <w:r w:rsidR="00D930A0" w:rsidRPr="00D713EB">
        <w:t xml:space="preserve">, the participants </w:t>
      </w:r>
      <w:r w:rsidR="00B671E6" w:rsidRPr="00D713EB">
        <w:t>should</w:t>
      </w:r>
      <w:r w:rsidRPr="00D713EB">
        <w:t xml:space="preserve"> </w:t>
      </w:r>
      <w:r w:rsidR="00B671E6" w:rsidRPr="00D713EB">
        <w:t xml:space="preserve">discuss and </w:t>
      </w:r>
      <w:r w:rsidR="0027023D" w:rsidRPr="00D713EB">
        <w:t xml:space="preserve">go through </w:t>
      </w:r>
      <w:r w:rsidR="00B671E6" w:rsidRPr="00D713EB">
        <w:t>the</w:t>
      </w:r>
      <w:r w:rsidR="00CD7F3F" w:rsidRPr="00D713EB">
        <w:t xml:space="preserve"> </w:t>
      </w:r>
      <w:r w:rsidR="0027023D" w:rsidRPr="00D713EB">
        <w:t xml:space="preserve">template </w:t>
      </w:r>
      <w:r w:rsidR="00D930A0" w:rsidRPr="00D713EB">
        <w:t>report</w:t>
      </w:r>
      <w:r w:rsidR="00B671E6" w:rsidRPr="00D713EB">
        <w:t xml:space="preserve">, </w:t>
      </w:r>
      <w:r w:rsidR="0027023D" w:rsidRPr="00D713EB">
        <w:t>and insert relevant information</w:t>
      </w:r>
      <w:r w:rsidRPr="00D713EB">
        <w:t xml:space="preserve"> in relation to each indicator</w:t>
      </w:r>
      <w:r w:rsidR="006933CF">
        <w:t>. O</w:t>
      </w:r>
      <w:r w:rsidR="00D930A0" w:rsidRPr="00D713EB">
        <w:t>ne template should be completed for each REDD+ action</w:t>
      </w:r>
      <w:r w:rsidR="00F33A82">
        <w:t>. I</w:t>
      </w:r>
      <w:r w:rsidR="006933CF">
        <w:t>n cases where REDD+ Impleme</w:t>
      </w:r>
      <w:r w:rsidR="00F33A82">
        <w:t>n</w:t>
      </w:r>
      <w:r w:rsidR="006933CF">
        <w:t>ters are responsible for more than one REDD+ action, more than one</w:t>
      </w:r>
      <w:r w:rsidR="00F33A82">
        <w:t xml:space="preserve"> template should be completed, and thus additional time should be considered for the </w:t>
      </w:r>
      <w:r w:rsidR="00343AB4">
        <w:t>respective meetings</w:t>
      </w:r>
      <w:r w:rsidR="00B671E6" w:rsidRPr="00D713EB">
        <w:t xml:space="preserve">. </w:t>
      </w:r>
    </w:p>
    <w:p w14:paraId="4E439482" w14:textId="59F8E846" w:rsidR="005A02F0" w:rsidRPr="00D713EB" w:rsidRDefault="005A02F0" w:rsidP="00821BE0">
      <w:pPr>
        <w:pStyle w:val="ListParagraph"/>
        <w:numPr>
          <w:ilvl w:val="1"/>
          <w:numId w:val="19"/>
        </w:numPr>
      </w:pPr>
      <w:r w:rsidRPr="00D713EB">
        <w:t xml:space="preserve">The first meeting should aim to gather baseline information, whilst subsequent meetings should aim to be used for updating and further completing </w:t>
      </w:r>
      <w:r w:rsidR="00056204" w:rsidRPr="00D713EB">
        <w:t xml:space="preserve">information on </w:t>
      </w:r>
      <w:r w:rsidRPr="00D713EB">
        <w:t>the template.</w:t>
      </w:r>
      <w:r w:rsidR="00343AB4">
        <w:t xml:space="preserve"> </w:t>
      </w:r>
      <w:r w:rsidR="00C75923">
        <w:t xml:space="preserve">REDD+ Implementers should ensure at least one member of their staff can lead at a technical level the collection of information and completing the templates, which </w:t>
      </w:r>
      <w:r w:rsidR="00D655E7">
        <w:t>may facilitate discussions during meetings with preliminarily filled templates by said member of the staff.</w:t>
      </w:r>
    </w:p>
    <w:p w14:paraId="215B0D10" w14:textId="1CA76FD6" w:rsidR="009D0BD7" w:rsidRDefault="00B671E6" w:rsidP="00821BE0">
      <w:pPr>
        <w:pStyle w:val="ListParagraph"/>
        <w:numPr>
          <w:ilvl w:val="1"/>
          <w:numId w:val="19"/>
        </w:numPr>
      </w:pPr>
      <w:r w:rsidRPr="00D713EB">
        <w:t xml:space="preserve">If information is not available for some indicators, this should be noted in the relation to the respective indicators and subsequent meetings should seek to address these gaps in information and further complete the report. Is important the </w:t>
      </w:r>
      <w:r w:rsidR="00056204" w:rsidRPr="00D713EB">
        <w:t>meetings</w:t>
      </w:r>
      <w:r w:rsidRPr="00D713EB">
        <w:t xml:space="preserve"> cover all indicators, and clear justifications are </w:t>
      </w:r>
      <w:r w:rsidR="00056204" w:rsidRPr="00D713EB">
        <w:t xml:space="preserve">identified </w:t>
      </w:r>
      <w:r w:rsidRPr="00D713EB">
        <w:t>when information is not available</w:t>
      </w:r>
      <w:r w:rsidR="009D0BD7">
        <w:t>.</w:t>
      </w:r>
    </w:p>
    <w:p w14:paraId="27F70039" w14:textId="04F07624" w:rsidR="00B671E6" w:rsidRDefault="009D0BD7" w:rsidP="00821BE0">
      <w:pPr>
        <w:pStyle w:val="ListParagraph"/>
        <w:numPr>
          <w:ilvl w:val="1"/>
          <w:numId w:val="19"/>
        </w:numPr>
      </w:pPr>
      <w:r>
        <w:t xml:space="preserve">In cases where </w:t>
      </w:r>
      <w:r w:rsidR="00736664">
        <w:t xml:space="preserve">REDD+ Implementors can/should report on </w:t>
      </w:r>
      <w:r>
        <w:t xml:space="preserve">‘addressing’ </w:t>
      </w:r>
      <w:r w:rsidR="00736664">
        <w:t>indicators, the</w:t>
      </w:r>
      <w:r w:rsidR="00413F66">
        <w:t xml:space="preserve"> National Safeguards Specialist will liaise with implementors during </w:t>
      </w:r>
      <w:r w:rsidR="00D140AD">
        <w:t>t</w:t>
      </w:r>
      <w:r w:rsidR="00413F66">
        <w:t>he aggregation and analysis stages (see Section III</w:t>
      </w:r>
      <w:r w:rsidR="007F1550">
        <w:t>)</w:t>
      </w:r>
      <w:r w:rsidR="00736664">
        <w:t>.</w:t>
      </w:r>
      <w:r w:rsidR="00B671E6" w:rsidRPr="00D713EB">
        <w:t xml:space="preserve"> </w:t>
      </w:r>
    </w:p>
    <w:p w14:paraId="17F0EE17" w14:textId="5F16EDC5" w:rsidR="00827737" w:rsidRPr="00D713EB" w:rsidRDefault="00827737" w:rsidP="00821BE0">
      <w:pPr>
        <w:pStyle w:val="ListParagraph"/>
        <w:numPr>
          <w:ilvl w:val="1"/>
          <w:numId w:val="19"/>
        </w:numPr>
      </w:pPr>
      <w:r>
        <w:t xml:space="preserve">The </w:t>
      </w:r>
      <w:r w:rsidRPr="00222214">
        <w:t xml:space="preserve">National Safeguards Specialist </w:t>
      </w:r>
      <w:r>
        <w:t>will</w:t>
      </w:r>
      <w:r w:rsidRPr="00222214">
        <w:t xml:space="preserve"> support -and oversee- the collection of information by REDD+ implementers</w:t>
      </w:r>
      <w:r>
        <w:t xml:space="preserve"> by participating of </w:t>
      </w:r>
      <w:r w:rsidRPr="00222214">
        <w:t>at least on</w:t>
      </w:r>
      <w:r>
        <w:t xml:space="preserve">e information collection meeting, </w:t>
      </w:r>
      <w:r w:rsidRPr="00222214">
        <w:t>per cycle with each REDD+ implementer.</w:t>
      </w:r>
    </w:p>
    <w:p w14:paraId="09802118" w14:textId="014B4E12" w:rsidR="00D930A0" w:rsidRPr="00D713EB" w:rsidRDefault="00B671E6" w:rsidP="00821BE0">
      <w:pPr>
        <w:pStyle w:val="ListParagraph"/>
        <w:numPr>
          <w:ilvl w:val="1"/>
          <w:numId w:val="19"/>
        </w:numPr>
      </w:pPr>
      <w:r w:rsidRPr="00D713EB">
        <w:t xml:space="preserve"> </w:t>
      </w:r>
      <w:r w:rsidR="00D930A0" w:rsidRPr="00D713EB">
        <w:t>For each meeting, meeting notes should be taken and documented, including the list of participants</w:t>
      </w:r>
      <w:r w:rsidR="00C106DF">
        <w:t xml:space="preserve"> </w:t>
      </w:r>
      <w:r w:rsidR="00B51E0F">
        <w:t>to be</w:t>
      </w:r>
      <w:r w:rsidR="00C106DF">
        <w:t xml:space="preserve"> submitted</w:t>
      </w:r>
      <w:r w:rsidR="00B51E0F">
        <w:t xml:space="preserve"> to the SIS Database</w:t>
      </w:r>
      <w:r w:rsidR="00D930A0" w:rsidRPr="00D713EB">
        <w:t xml:space="preserve">. </w:t>
      </w:r>
    </w:p>
    <w:p w14:paraId="5F1E09C5" w14:textId="77777777" w:rsidR="000245B7" w:rsidRPr="00D713EB" w:rsidRDefault="000245B7" w:rsidP="00CD7F3F"/>
    <w:p w14:paraId="3AB15E14" w14:textId="412ADF7A" w:rsidR="001E39C7" w:rsidRPr="00D713EB" w:rsidRDefault="00D930A0" w:rsidP="00821BE0">
      <w:pPr>
        <w:pStyle w:val="ListParagraph"/>
        <w:numPr>
          <w:ilvl w:val="0"/>
          <w:numId w:val="19"/>
        </w:numPr>
      </w:pPr>
      <w:r w:rsidRPr="00D713EB">
        <w:rPr>
          <w:b/>
          <w:bCs/>
        </w:rPr>
        <w:t xml:space="preserve">Submit </w:t>
      </w:r>
      <w:r w:rsidR="00056204" w:rsidRPr="00D713EB">
        <w:rPr>
          <w:b/>
          <w:bCs/>
        </w:rPr>
        <w:t xml:space="preserve">completed </w:t>
      </w:r>
      <w:r w:rsidRPr="00D713EB">
        <w:rPr>
          <w:b/>
          <w:bCs/>
        </w:rPr>
        <w:t xml:space="preserve">template report and associated files to </w:t>
      </w:r>
      <w:r w:rsidR="0000390D">
        <w:rPr>
          <w:b/>
          <w:bCs/>
        </w:rPr>
        <w:t xml:space="preserve">the SIS Database for aggregation and analysis by the </w:t>
      </w:r>
      <w:r w:rsidRPr="00D713EB">
        <w:rPr>
          <w:b/>
          <w:bCs/>
          <w:iCs/>
        </w:rPr>
        <w:t xml:space="preserve">REDD+ Safeguards TWC: </w:t>
      </w:r>
      <w:r w:rsidR="007E3831" w:rsidRPr="00D713EB">
        <w:t xml:space="preserve">Once </w:t>
      </w:r>
      <w:r w:rsidR="003D42AD" w:rsidRPr="00D713EB">
        <w:t xml:space="preserve">the </w:t>
      </w:r>
      <w:r w:rsidRPr="00D713EB">
        <w:t xml:space="preserve">third meeting has been executed within the 18 month </w:t>
      </w:r>
      <w:r w:rsidRPr="00D713EB">
        <w:rPr>
          <w:rFonts w:cstheme="minorHAnsi"/>
        </w:rPr>
        <w:t>collection/reporting period</w:t>
      </w:r>
      <w:r w:rsidR="006E234B">
        <w:rPr>
          <w:rFonts w:cstheme="minorHAnsi"/>
        </w:rPr>
        <w:t xml:space="preserve"> in the overall SIS information management and reporting cycle</w:t>
      </w:r>
      <w:r w:rsidRPr="00D713EB">
        <w:rPr>
          <w:rFonts w:cstheme="minorHAnsi"/>
        </w:rPr>
        <w:t xml:space="preserve">, </w:t>
      </w:r>
      <w:r w:rsidR="001E39C7" w:rsidRPr="00D713EB">
        <w:t xml:space="preserve">the REDD+ </w:t>
      </w:r>
      <w:r w:rsidR="006E234B">
        <w:t>I</w:t>
      </w:r>
      <w:r w:rsidR="001E39C7" w:rsidRPr="00D713EB">
        <w:t>mplementers</w:t>
      </w:r>
      <w:r w:rsidR="00B842BA" w:rsidRPr="00D713EB">
        <w:t xml:space="preserve"> will be responsible for </w:t>
      </w:r>
      <w:r w:rsidRPr="00D713EB">
        <w:t xml:space="preserve">submitting </w:t>
      </w:r>
      <w:r w:rsidR="001E39C7" w:rsidRPr="00D713EB">
        <w:rPr>
          <w:rFonts w:cstheme="minorHAnsi"/>
        </w:rPr>
        <w:t>the completed</w:t>
      </w:r>
      <w:r w:rsidR="001E39C7" w:rsidRPr="00D713EB">
        <w:t xml:space="preserve"> template report and associated files (meetings notes, supporting evidence, etc.) </w:t>
      </w:r>
      <w:r w:rsidR="003A6887">
        <w:t>for consideration of</w:t>
      </w:r>
      <w:r w:rsidR="003A6887" w:rsidRPr="00D713EB">
        <w:t xml:space="preserve"> </w:t>
      </w:r>
      <w:r w:rsidR="001E39C7" w:rsidRPr="00D713EB">
        <w:t xml:space="preserve">the </w:t>
      </w:r>
      <w:r w:rsidR="001E39C7" w:rsidRPr="00D713EB">
        <w:rPr>
          <w:iCs/>
        </w:rPr>
        <w:t>REDD+ Safeguards TWC</w:t>
      </w:r>
      <w:r w:rsidR="00056204" w:rsidRPr="00D713EB">
        <w:rPr>
          <w:iCs/>
        </w:rPr>
        <w:t xml:space="preserve"> through the SIS Database</w:t>
      </w:r>
      <w:r w:rsidR="001E39C7" w:rsidRPr="00D713EB">
        <w:t>.</w:t>
      </w:r>
      <w:r w:rsidR="00056204" w:rsidRPr="00D713EB">
        <w:t xml:space="preserve"> Please refer to the ‘</w:t>
      </w:r>
      <w:r w:rsidR="00056204" w:rsidRPr="00D713EB">
        <w:rPr>
          <w:i/>
          <w:iCs/>
        </w:rPr>
        <w:t>Safeguards Information System: User Guide’</w:t>
      </w:r>
      <w:r w:rsidR="00056204" w:rsidRPr="00D713EB">
        <w:t xml:space="preserve"> for guidance as to how to access and use the database. </w:t>
      </w:r>
    </w:p>
    <w:p w14:paraId="0C7860A9" w14:textId="6ABB01FF" w:rsidR="001E39C7" w:rsidRPr="00D713EB" w:rsidRDefault="001E39C7" w:rsidP="001E39C7">
      <w:pPr>
        <w:rPr>
          <w:b/>
          <w:bCs/>
        </w:rPr>
      </w:pPr>
    </w:p>
    <w:p w14:paraId="23488036" w14:textId="453DCE2E" w:rsidR="001E39C7" w:rsidRPr="00D713EB" w:rsidRDefault="001E39C7" w:rsidP="001E39C7">
      <w:pPr>
        <w:rPr>
          <w:b/>
          <w:bCs/>
        </w:rPr>
      </w:pPr>
    </w:p>
    <w:p w14:paraId="389F5737" w14:textId="77777777" w:rsidR="00821BE0" w:rsidRPr="00D713EB" w:rsidRDefault="00821BE0" w:rsidP="001E39C7">
      <w:pPr>
        <w:pStyle w:val="Caption"/>
        <w:sectPr w:rsidR="00821BE0" w:rsidRPr="00D713EB" w:rsidSect="007F1A14">
          <w:pgSz w:w="11900" w:h="16840"/>
          <w:pgMar w:top="1440" w:right="1440" w:bottom="1440" w:left="1440" w:header="720" w:footer="720" w:gutter="0"/>
          <w:cols w:space="720"/>
          <w:docGrid w:linePitch="360"/>
        </w:sectPr>
      </w:pPr>
    </w:p>
    <w:p w14:paraId="6F1B9F90" w14:textId="29C5459F" w:rsidR="001E39C7" w:rsidRPr="00D713EB" w:rsidRDefault="001E39C7" w:rsidP="001E39C7">
      <w:pPr>
        <w:pStyle w:val="Caption"/>
        <w:rPr>
          <w:b/>
          <w:bCs/>
        </w:rPr>
      </w:pPr>
      <w:r w:rsidRPr="00D713EB">
        <w:t xml:space="preserve">Figure </w:t>
      </w:r>
      <w:r w:rsidRPr="00D713EB">
        <w:fldChar w:fldCharType="begin"/>
      </w:r>
      <w:r w:rsidRPr="00D713EB">
        <w:instrText xml:space="preserve"> SEQ Figure \* ARABIC </w:instrText>
      </w:r>
      <w:r w:rsidRPr="00D713EB">
        <w:fldChar w:fldCharType="separate"/>
      </w:r>
      <w:r w:rsidR="00A36915">
        <w:rPr>
          <w:noProof/>
        </w:rPr>
        <w:t>5</w:t>
      </w:r>
      <w:r w:rsidRPr="00D713EB">
        <w:fldChar w:fldCharType="end"/>
      </w:r>
      <w:r w:rsidRPr="00D713EB">
        <w:t>: Process for collection information – completion of reporting template by REDD+ implementors</w:t>
      </w:r>
    </w:p>
    <w:p w14:paraId="434EFC54" w14:textId="3D8B1F5F" w:rsidR="001E39C7" w:rsidRPr="00D713EB" w:rsidRDefault="00B671E6" w:rsidP="001E39C7">
      <w:pPr>
        <w:rPr>
          <w:b/>
          <w:bCs/>
        </w:rPr>
      </w:pPr>
      <w:r w:rsidRPr="00D713EB">
        <w:rPr>
          <w:b/>
          <w:bCs/>
          <w:noProof/>
        </w:rPr>
        <mc:AlternateContent>
          <mc:Choice Requires="wps">
            <w:drawing>
              <wp:anchor distT="0" distB="0" distL="114300" distR="114300" simplePos="0" relativeHeight="251660288" behindDoc="0" locked="0" layoutInCell="1" allowOverlap="1" wp14:anchorId="1D3F6471" wp14:editId="1AB9F3C1">
                <wp:simplePos x="0" y="0"/>
                <wp:positionH relativeFrom="column">
                  <wp:posOffset>243205</wp:posOffset>
                </wp:positionH>
                <wp:positionV relativeFrom="paragraph">
                  <wp:posOffset>1515991</wp:posOffset>
                </wp:positionV>
                <wp:extent cx="5389418" cy="512711"/>
                <wp:effectExtent l="0" t="0" r="8255" b="8255"/>
                <wp:wrapNone/>
                <wp:docPr id="11" name="Text Box 11"/>
                <wp:cNvGraphicFramePr/>
                <a:graphic xmlns:a="http://schemas.openxmlformats.org/drawingml/2006/main">
                  <a:graphicData uri="http://schemas.microsoft.com/office/word/2010/wordprocessingShape">
                    <wps:wsp>
                      <wps:cNvSpPr txBox="1"/>
                      <wps:spPr>
                        <a:xfrm>
                          <a:off x="0" y="0"/>
                          <a:ext cx="5389418" cy="512711"/>
                        </a:xfrm>
                        <a:prstGeom prst="rect">
                          <a:avLst/>
                        </a:prstGeom>
                        <a:ln/>
                      </wps:spPr>
                      <wps:style>
                        <a:lnRef idx="2">
                          <a:schemeClr val="dk1"/>
                        </a:lnRef>
                        <a:fillRef idx="1">
                          <a:schemeClr val="lt1"/>
                        </a:fillRef>
                        <a:effectRef idx="0">
                          <a:schemeClr val="dk1"/>
                        </a:effectRef>
                        <a:fontRef idx="minor">
                          <a:schemeClr val="dk1"/>
                        </a:fontRef>
                      </wps:style>
                      <wps:txbx>
                        <w:txbxContent>
                          <w:p w14:paraId="6D1D6831" w14:textId="0F3FFE6E" w:rsidR="007E71EA" w:rsidRDefault="004D71D2" w:rsidP="00B671E6">
                            <w:pPr>
                              <w:jc w:val="center"/>
                            </w:pPr>
                            <w:r>
                              <w:t>18</w:t>
                            </w:r>
                            <w:r w:rsidR="00CA6E74">
                              <w:t>-</w:t>
                            </w:r>
                            <w:r>
                              <w:t>month</w:t>
                            </w:r>
                            <w:r w:rsidR="00CA6E74">
                              <w:t xml:space="preserve"> information collection/reporting cycle</w:t>
                            </w:r>
                          </w:p>
                          <w:p w14:paraId="1B3BF9CA" w14:textId="32AAEA16" w:rsidR="004D71D2" w:rsidRDefault="0072399A" w:rsidP="00B671E6">
                            <w:pPr>
                              <w:jc w:val="center"/>
                            </w:pPr>
                            <w:r>
                              <w:t>(First</w:t>
                            </w:r>
                            <w:r w:rsidR="007E71EA">
                              <w:t xml:space="preserve"> SIS cycle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F6471" id="Text Box 11" o:spid="_x0000_s1029" type="#_x0000_t202" style="position:absolute;left:0;text-align:left;margin-left:19.15pt;margin-top:119.35pt;width:424.35pt;height:4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" fillcolor="white [3201]" strokecolor="black [3200]" strokeweight="1pt">
                <v:textbox>
                  <w:txbxContent>
                    <w:p w14:paraId="6D1D6831" w14:textId="0F3FFE6E" w:rsidR="007E71EA" w:rsidRDefault="004D71D2" w:rsidP="00B671E6">
                      <w:pPr>
                        <w:jc w:val="center"/>
                      </w:pPr>
                      <w:r>
                        <w:t>18</w:t>
                      </w:r>
                      <w:r w:rsidR="00CA6E74">
                        <w:t>-</w:t>
                      </w:r>
                      <w:r>
                        <w:t>month</w:t>
                      </w:r>
                      <w:r w:rsidR="00CA6E74">
                        <w:t xml:space="preserve"> information collection/reporting cycle</w:t>
                      </w:r>
                    </w:p>
                    <w:p w14:paraId="1B3BF9CA" w14:textId="32AAEA16" w:rsidR="004D71D2" w:rsidRDefault="0072399A" w:rsidP="00B671E6">
                      <w:pPr>
                        <w:jc w:val="center"/>
                      </w:pPr>
                      <w:r>
                        <w:t>(First</w:t>
                      </w:r>
                      <w:r w:rsidR="007E71EA">
                        <w:t xml:space="preserve"> SIS cycle</w:t>
                      </w:r>
                      <w:r>
                        <w:t>)</w:t>
                      </w:r>
                    </w:p>
                  </w:txbxContent>
                </v:textbox>
              </v:shape>
            </w:pict>
          </mc:Fallback>
        </mc:AlternateContent>
      </w:r>
      <w:r w:rsidR="001E39C7" w:rsidRPr="00D713EB">
        <w:rPr>
          <w:b/>
          <w:bCs/>
          <w:noProof/>
        </w:rPr>
        <w:drawing>
          <wp:inline distT="0" distB="0" distL="0" distR="0" wp14:anchorId="4E983D8F" wp14:editId="7E92981A">
            <wp:extent cx="5486400" cy="2216728"/>
            <wp:effectExtent l="0" t="0" r="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AD466B3" w14:textId="75CF5530" w:rsidR="00A20D63" w:rsidRPr="00D713EB" w:rsidRDefault="00A20D63" w:rsidP="00B842BA"/>
    <w:p w14:paraId="2E040D52" w14:textId="6C7FD86E" w:rsidR="000D081F" w:rsidRPr="00D713EB" w:rsidRDefault="000D081F" w:rsidP="00B842BA"/>
    <w:p w14:paraId="7F9EE566" w14:textId="0DD37A8F" w:rsidR="000D081F" w:rsidRPr="00D713EB" w:rsidRDefault="000D081F" w:rsidP="00B842BA"/>
    <w:p w14:paraId="7B027F19" w14:textId="77777777" w:rsidR="000D081F" w:rsidRPr="00D713EB" w:rsidRDefault="000D081F" w:rsidP="000D081F">
      <w:pPr>
        <w:rPr>
          <w:rFonts w:cstheme="minorHAnsi"/>
        </w:rPr>
      </w:pPr>
    </w:p>
    <w:p w14:paraId="29D2DC38" w14:textId="77777777" w:rsidR="000D081F" w:rsidRPr="00D713EB" w:rsidRDefault="000D081F" w:rsidP="000D081F">
      <w:pPr>
        <w:rPr>
          <w:rFonts w:cstheme="minorHAnsi"/>
        </w:rPr>
      </w:pPr>
    </w:p>
    <w:p w14:paraId="15DAC55A" w14:textId="77777777" w:rsidR="00821BE0" w:rsidRPr="00D713EB" w:rsidRDefault="00821BE0" w:rsidP="009A74DC">
      <w:pPr>
        <w:pStyle w:val="Heading1"/>
        <w:sectPr w:rsidR="00821BE0" w:rsidRPr="00D713EB" w:rsidSect="007F1A14">
          <w:pgSz w:w="11900" w:h="16840"/>
          <w:pgMar w:top="1440" w:right="1440" w:bottom="1440" w:left="1440" w:header="720" w:footer="720" w:gutter="0"/>
          <w:cols w:space="720"/>
          <w:docGrid w:linePitch="360"/>
        </w:sectPr>
      </w:pPr>
    </w:p>
    <w:p w14:paraId="2D9C5507" w14:textId="24EB80BE" w:rsidR="009A74DC" w:rsidRPr="00D713EB" w:rsidRDefault="009A74DC" w:rsidP="009A74DC">
      <w:pPr>
        <w:pStyle w:val="Heading1"/>
      </w:pPr>
      <w:bookmarkStart w:id="12" w:name="_Toc59493621"/>
      <w:r w:rsidRPr="00D713EB">
        <w:t xml:space="preserve">Section III. </w:t>
      </w:r>
      <w:r w:rsidR="002D763B">
        <w:t>Guidance</w:t>
      </w:r>
      <w:r w:rsidR="002D763B" w:rsidRPr="00D713EB">
        <w:t xml:space="preserve"> </w:t>
      </w:r>
      <w:r w:rsidRPr="00D713EB">
        <w:t xml:space="preserve">for </w:t>
      </w:r>
      <w:r w:rsidR="00B15F03">
        <w:t>the Aggregation and</w:t>
      </w:r>
      <w:r w:rsidRPr="00D713EB">
        <w:t xml:space="preserve"> </w:t>
      </w:r>
      <w:r w:rsidR="00B15F03" w:rsidRPr="00D713EB">
        <w:t>Analys</w:t>
      </w:r>
      <w:r w:rsidR="00B15F03">
        <w:t>is</w:t>
      </w:r>
      <w:r w:rsidR="00B15F03" w:rsidRPr="00D713EB">
        <w:t xml:space="preserve"> </w:t>
      </w:r>
      <w:r w:rsidR="00B15F03">
        <w:t xml:space="preserve">of </w:t>
      </w:r>
      <w:r w:rsidRPr="00D713EB">
        <w:t xml:space="preserve">the </w:t>
      </w:r>
      <w:r w:rsidR="00D21C46" w:rsidRPr="00D713EB">
        <w:t>I</w:t>
      </w:r>
      <w:r w:rsidRPr="00D713EB">
        <w:t>nformation</w:t>
      </w:r>
      <w:bookmarkEnd w:id="12"/>
    </w:p>
    <w:p w14:paraId="56644DA3" w14:textId="59559EC2" w:rsidR="00821612" w:rsidRPr="00D713EB" w:rsidRDefault="00821612" w:rsidP="00821612"/>
    <w:p w14:paraId="44B851CB" w14:textId="79B6B650" w:rsidR="000D081F" w:rsidRDefault="000D081F" w:rsidP="00821612">
      <w:pPr>
        <w:rPr>
          <w:iCs/>
        </w:rPr>
      </w:pPr>
      <w:r w:rsidRPr="00D713EB">
        <w:t>This</w:t>
      </w:r>
      <w:r w:rsidR="005343DB" w:rsidRPr="00D713EB">
        <w:t xml:space="preserve"> </w:t>
      </w:r>
      <w:r w:rsidRPr="00D713EB">
        <w:t xml:space="preserve">section </w:t>
      </w:r>
      <w:r w:rsidR="001A2A57">
        <w:t>examines in more detail and in an integrated manner the SIS functions for aggregation and analysis of information</w:t>
      </w:r>
      <w:r w:rsidR="003F4910">
        <w:t xml:space="preserve">, and therefore </w:t>
      </w:r>
      <w:r w:rsidRPr="00D713EB">
        <w:t xml:space="preserve">is specifically applicable to </w:t>
      </w:r>
      <w:r w:rsidR="00D92C74" w:rsidRPr="00D713EB">
        <w:t>the</w:t>
      </w:r>
      <w:r w:rsidR="00D92C74" w:rsidRPr="00D713EB">
        <w:rPr>
          <w:rFonts w:cstheme="minorHAnsi"/>
        </w:rPr>
        <w:t xml:space="preserve"> </w:t>
      </w:r>
      <w:r w:rsidR="00D92C74" w:rsidRPr="00D713EB">
        <w:rPr>
          <w:iCs/>
        </w:rPr>
        <w:t xml:space="preserve">REDD+ Safeguards TWC </w:t>
      </w:r>
      <w:r w:rsidR="003F4910">
        <w:rPr>
          <w:iCs/>
        </w:rPr>
        <w:t>in relation to its technical and strategic direction role as well as to</w:t>
      </w:r>
      <w:r w:rsidR="00D92C74" w:rsidRPr="00D713EB">
        <w:rPr>
          <w:iCs/>
        </w:rPr>
        <w:t xml:space="preserve"> the National Safeguard Specialist</w:t>
      </w:r>
      <w:r w:rsidR="003F4910">
        <w:rPr>
          <w:iCs/>
        </w:rPr>
        <w:t xml:space="preserve"> in its more technical operational role</w:t>
      </w:r>
      <w:r w:rsidR="00D92C74" w:rsidRPr="00D713EB">
        <w:rPr>
          <w:iCs/>
        </w:rPr>
        <w:t>.</w:t>
      </w:r>
    </w:p>
    <w:p w14:paraId="7E3D1A68" w14:textId="21F18117" w:rsidR="005925A3" w:rsidRDefault="005925A3" w:rsidP="00821612">
      <w:pPr>
        <w:rPr>
          <w:iCs/>
        </w:rPr>
      </w:pPr>
    </w:p>
    <w:p w14:paraId="718AE27D" w14:textId="141CB52A" w:rsidR="00B46582" w:rsidRDefault="00B46582" w:rsidP="00821612">
      <w:pPr>
        <w:rPr>
          <w:iCs/>
        </w:rPr>
      </w:pPr>
    </w:p>
    <w:p w14:paraId="6A48752E" w14:textId="2D5CB99D" w:rsidR="007B7A2B" w:rsidRPr="00D713EB" w:rsidRDefault="007B7A2B" w:rsidP="007B7A2B">
      <w:pPr>
        <w:pStyle w:val="Heading2"/>
      </w:pPr>
      <w:bookmarkStart w:id="13" w:name="_Toc59493622"/>
      <w:r>
        <w:t>3</w:t>
      </w:r>
      <w:r w:rsidRPr="00D713EB">
        <w:t xml:space="preserve">.1. Who is responsible for </w:t>
      </w:r>
      <w:r>
        <w:t>aggregating</w:t>
      </w:r>
      <w:r w:rsidRPr="00D713EB">
        <w:t xml:space="preserve"> information</w:t>
      </w:r>
      <w:r>
        <w:t xml:space="preserve"> and how</w:t>
      </w:r>
      <w:r w:rsidRPr="00D713EB">
        <w:t>?</w:t>
      </w:r>
      <w:bookmarkEnd w:id="13"/>
    </w:p>
    <w:p w14:paraId="2C5EB94B" w14:textId="77777777" w:rsidR="00B46582" w:rsidRDefault="00B46582" w:rsidP="00821612">
      <w:pPr>
        <w:rPr>
          <w:iCs/>
        </w:rPr>
      </w:pPr>
    </w:p>
    <w:p w14:paraId="48F21A35" w14:textId="691BFB77" w:rsidR="00207638" w:rsidRPr="00D713EB" w:rsidRDefault="00207638" w:rsidP="00821612">
      <w:pPr>
        <w:rPr>
          <w:iCs/>
        </w:rPr>
      </w:pPr>
      <w:r>
        <w:rPr>
          <w:iCs/>
        </w:rPr>
        <w:t xml:space="preserve">As detailed in the </w:t>
      </w:r>
      <w:r w:rsidR="005618A3">
        <w:rPr>
          <w:iCs/>
        </w:rPr>
        <w:t xml:space="preserve">SIS Framework Document, the </w:t>
      </w:r>
      <w:r w:rsidR="005618A3" w:rsidRPr="00CB624C">
        <w:rPr>
          <w:b/>
          <w:bCs/>
          <w:iCs/>
        </w:rPr>
        <w:t>National Safeguards Specialist</w:t>
      </w:r>
      <w:r w:rsidR="005618A3">
        <w:rPr>
          <w:iCs/>
        </w:rPr>
        <w:t xml:space="preserve"> is responsible for aggregating </w:t>
      </w:r>
      <w:r w:rsidR="00FD682D">
        <w:rPr>
          <w:iCs/>
        </w:rPr>
        <w:t>information, particularly with regards to th</w:t>
      </w:r>
      <w:r w:rsidR="007C062E">
        <w:rPr>
          <w:iCs/>
        </w:rPr>
        <w:t xml:space="preserve">at information </w:t>
      </w:r>
      <w:r w:rsidR="00167BDD">
        <w:rPr>
          <w:iCs/>
        </w:rPr>
        <w:t xml:space="preserve">collected and </w:t>
      </w:r>
      <w:r w:rsidR="007C062E">
        <w:rPr>
          <w:iCs/>
        </w:rPr>
        <w:t xml:space="preserve">submitted by REDD+ </w:t>
      </w:r>
      <w:r w:rsidR="00167BDD">
        <w:rPr>
          <w:iCs/>
        </w:rPr>
        <w:t>I</w:t>
      </w:r>
      <w:r w:rsidR="007C062E">
        <w:rPr>
          <w:iCs/>
        </w:rPr>
        <w:t>mplement</w:t>
      </w:r>
      <w:r w:rsidR="00167BDD">
        <w:rPr>
          <w:iCs/>
        </w:rPr>
        <w:t xml:space="preserve">ers </w:t>
      </w:r>
      <w:r w:rsidR="004D706A">
        <w:rPr>
          <w:iCs/>
        </w:rPr>
        <w:t xml:space="preserve">to the SIS Database, </w:t>
      </w:r>
      <w:r w:rsidR="00167BDD">
        <w:rPr>
          <w:iCs/>
        </w:rPr>
        <w:t xml:space="preserve">as part of their monitoring and reporting responsibilities </w:t>
      </w:r>
      <w:r w:rsidR="000B776A">
        <w:rPr>
          <w:iCs/>
        </w:rPr>
        <w:t xml:space="preserve">regarding the implementation of REDD+ actions. </w:t>
      </w:r>
    </w:p>
    <w:p w14:paraId="0F0A5CB9" w14:textId="1B93EA5E" w:rsidR="00D92C74" w:rsidRPr="00D713EB" w:rsidRDefault="00D92C74" w:rsidP="00821612">
      <w:pPr>
        <w:rPr>
          <w:iCs/>
        </w:rPr>
      </w:pPr>
    </w:p>
    <w:p w14:paraId="7C321BC4" w14:textId="6E5A066B" w:rsidR="00EC5E6C" w:rsidRDefault="002B78B9" w:rsidP="00D92C74">
      <w:pPr>
        <w:rPr>
          <w:rFonts w:cstheme="minorHAnsi"/>
        </w:rPr>
      </w:pPr>
      <w:r>
        <w:rPr>
          <w:rFonts w:cstheme="minorHAnsi"/>
        </w:rPr>
        <w:t xml:space="preserve">Towards the end of the third quarter and beginning of the last quarter of the SIS information and reporting cycle, in advance to the second meeting of the REDD+ Safeguards TWC, the </w:t>
      </w:r>
      <w:r w:rsidR="00D8799A">
        <w:rPr>
          <w:rFonts w:cstheme="minorHAnsi"/>
        </w:rPr>
        <w:t xml:space="preserve">National Safeguards Specialist </w:t>
      </w:r>
      <w:r w:rsidR="00342AF8">
        <w:rPr>
          <w:rFonts w:cstheme="minorHAnsi"/>
        </w:rPr>
        <w:t xml:space="preserve">will aggregate information on how all safeguards have been addressed and respected during the </w:t>
      </w:r>
      <w:r w:rsidR="0095726A">
        <w:rPr>
          <w:rFonts w:cstheme="minorHAnsi"/>
        </w:rPr>
        <w:t xml:space="preserve">first 18-month period in the first cycle of operation of the SIS. Such aggregation will </w:t>
      </w:r>
      <w:r w:rsidR="005F2AD9">
        <w:rPr>
          <w:rFonts w:cstheme="minorHAnsi"/>
        </w:rPr>
        <w:t>entail the preparation of the following reports:</w:t>
      </w:r>
    </w:p>
    <w:p w14:paraId="6B8D6A2E" w14:textId="77777777" w:rsidR="00EC5E6C" w:rsidRDefault="00EC5E6C" w:rsidP="00D92C74">
      <w:pPr>
        <w:rPr>
          <w:rFonts w:cstheme="minorHAnsi"/>
        </w:rPr>
      </w:pPr>
    </w:p>
    <w:p w14:paraId="3C2C2D4B" w14:textId="79908CDD" w:rsidR="00955F2A" w:rsidRPr="00D713EB" w:rsidRDefault="00955F2A" w:rsidP="00CB624C">
      <w:pPr>
        <w:pStyle w:val="ListParagraph"/>
        <w:numPr>
          <w:ilvl w:val="0"/>
          <w:numId w:val="15"/>
        </w:numPr>
        <w:ind w:left="1260" w:hanging="540"/>
        <w:jc w:val="left"/>
      </w:pPr>
      <w:r w:rsidRPr="00D713EB">
        <w:rPr>
          <w:b/>
          <w:bCs/>
        </w:rPr>
        <w:t>Template report</w:t>
      </w:r>
      <w:r w:rsidR="00803BEF" w:rsidRPr="00D713EB">
        <w:rPr>
          <w:b/>
          <w:bCs/>
        </w:rPr>
        <w:t xml:space="preserve"> in relation to the ‘addressing’ indicators</w:t>
      </w:r>
      <w:r w:rsidR="00FA27FA" w:rsidRPr="00D713EB">
        <w:t xml:space="preserve">. This document will be prepared </w:t>
      </w:r>
      <w:r w:rsidR="001A49D4">
        <w:t>following the guidance in Section 2.2.1</w:t>
      </w:r>
      <w:r w:rsidR="00FA27FA" w:rsidRPr="00D713EB">
        <w:t>, which requires</w:t>
      </w:r>
      <w:r w:rsidR="00FA27FA" w:rsidRPr="00D713EB">
        <w:rPr>
          <w:rFonts w:cstheme="minorHAnsi"/>
        </w:rPr>
        <w:t xml:space="preserve"> that information is provided following the template report in </w:t>
      </w:r>
      <w:r w:rsidR="00FA27FA" w:rsidRPr="00FA6024">
        <w:rPr>
          <w:rFonts w:cstheme="minorHAnsi"/>
        </w:rPr>
        <w:t>Annex II</w:t>
      </w:r>
      <w:r w:rsidR="00FA27FA" w:rsidRPr="00D713EB">
        <w:rPr>
          <w:rFonts w:cstheme="minorHAnsi"/>
        </w:rPr>
        <w:t xml:space="preserve">. As noted above, </w:t>
      </w:r>
      <w:r w:rsidR="00FA27FA" w:rsidRPr="00D713EB">
        <w:t xml:space="preserve">information should be primarily drawn from the information outlined in the </w:t>
      </w:r>
      <w:proofErr w:type="spellStart"/>
      <w:r w:rsidR="00FA27FA" w:rsidRPr="00D713EB">
        <w:t>GoPNG’s</w:t>
      </w:r>
      <w:proofErr w:type="spellEnd"/>
      <w:r w:rsidR="00FA27FA" w:rsidRPr="00D713EB">
        <w:t xml:space="preserve"> first Summary of Information, and complemented</w:t>
      </w:r>
      <w:r w:rsidR="0024001F">
        <w:t>/updated</w:t>
      </w:r>
      <w:r w:rsidR="00FA27FA" w:rsidRPr="00D713EB">
        <w:t xml:space="preserve"> with any new/additional relevant information in relation to each indicator for ‘addressing’. </w:t>
      </w:r>
      <w:r w:rsidR="00874AEE">
        <w:t>In the case that REDD+ Implementers provide information with relation to indicators on ‘addressing’, the National Safeguards Specialist will aggregate this information in the template report.</w:t>
      </w:r>
    </w:p>
    <w:p w14:paraId="07152701" w14:textId="2B7E695D" w:rsidR="00955F2A" w:rsidRPr="00D713EB" w:rsidRDefault="00955F2A" w:rsidP="00CB624C">
      <w:pPr>
        <w:pStyle w:val="ListParagraph"/>
        <w:numPr>
          <w:ilvl w:val="0"/>
          <w:numId w:val="15"/>
        </w:numPr>
        <w:ind w:left="1260" w:hanging="540"/>
        <w:jc w:val="left"/>
      </w:pPr>
      <w:r w:rsidRPr="00D713EB">
        <w:rPr>
          <w:b/>
          <w:bCs/>
        </w:rPr>
        <w:t>Template report</w:t>
      </w:r>
      <w:r w:rsidR="0049577F" w:rsidRPr="00D713EB">
        <w:rPr>
          <w:b/>
          <w:bCs/>
        </w:rPr>
        <w:t>s</w:t>
      </w:r>
      <w:r w:rsidRPr="00D713EB">
        <w:rPr>
          <w:b/>
          <w:bCs/>
        </w:rPr>
        <w:t xml:space="preserve"> </w:t>
      </w:r>
      <w:r w:rsidR="00803BEF" w:rsidRPr="00D713EB">
        <w:rPr>
          <w:b/>
          <w:bCs/>
        </w:rPr>
        <w:t>in relation to the ‘respecting’ indicators</w:t>
      </w:r>
      <w:r w:rsidRPr="00D713EB">
        <w:t>. Th</w:t>
      </w:r>
      <w:r w:rsidR="0049577F" w:rsidRPr="00D713EB">
        <w:t xml:space="preserve">ese </w:t>
      </w:r>
      <w:r w:rsidR="00B80432">
        <w:t>reports are envisioned to</w:t>
      </w:r>
      <w:r w:rsidRPr="00D713EB">
        <w:t xml:space="preserve"> be prepared by automatically exporting data </w:t>
      </w:r>
      <w:r w:rsidR="00D30FE5" w:rsidRPr="00D713EB">
        <w:t>(in excel)</w:t>
      </w:r>
      <w:r w:rsidR="00600EE4">
        <w:t xml:space="preserve"> from the SIS Database </w:t>
      </w:r>
      <w:r w:rsidRPr="00D713EB">
        <w:t>for each REDD+ action</w:t>
      </w:r>
      <w:r w:rsidR="005663CC">
        <w:t>,</w:t>
      </w:r>
      <w:r w:rsidRPr="00D713EB">
        <w:t xml:space="preserve"> </w:t>
      </w:r>
      <w:r w:rsidR="0049577F" w:rsidRPr="00D713EB">
        <w:t xml:space="preserve">which </w:t>
      </w:r>
      <w:r w:rsidR="005663CC">
        <w:t xml:space="preserve">in turn </w:t>
      </w:r>
      <w:r w:rsidR="0049577F" w:rsidRPr="00D713EB">
        <w:t xml:space="preserve">is </w:t>
      </w:r>
      <w:r w:rsidR="00D30FE5" w:rsidRPr="00D713EB">
        <w:t>to cover all seven</w:t>
      </w:r>
      <w:r w:rsidRPr="00D713EB">
        <w:t xml:space="preserve"> safeguard</w:t>
      </w:r>
      <w:r w:rsidR="0049577F" w:rsidRPr="00D713EB">
        <w:t>s</w:t>
      </w:r>
      <w:r w:rsidRPr="00D713EB">
        <w:t xml:space="preserve">. </w:t>
      </w:r>
      <w:r w:rsidR="00D30FE5" w:rsidRPr="00D713EB">
        <w:t xml:space="preserve">That is, for each REDD+ action, a document that has all the </w:t>
      </w:r>
      <w:r w:rsidR="00A647BD">
        <w:t xml:space="preserve">qualitative and quantitative </w:t>
      </w:r>
      <w:r w:rsidR="00D30FE5" w:rsidRPr="00D713EB">
        <w:t xml:space="preserve">information </w:t>
      </w:r>
      <w:r w:rsidR="00A647BD">
        <w:t>collected by</w:t>
      </w:r>
      <w:r w:rsidR="005663CC">
        <w:t xml:space="preserve"> REDD+ implementers </w:t>
      </w:r>
      <w:r w:rsidR="00D30FE5" w:rsidRPr="00D713EB">
        <w:t>in relation to each of the indicators for ‘respecting’</w:t>
      </w:r>
      <w:r w:rsidR="005663CC" w:rsidRPr="005663CC">
        <w:t xml:space="preserve"> </w:t>
      </w:r>
      <w:r w:rsidR="005663CC" w:rsidRPr="00D713EB">
        <w:t>will be issued</w:t>
      </w:r>
      <w:r w:rsidR="00D30FE5" w:rsidRPr="00D713EB">
        <w:t xml:space="preserve">. </w:t>
      </w:r>
      <w:r w:rsidRPr="00D713EB">
        <w:t xml:space="preserve">See screenshot </w:t>
      </w:r>
      <w:r w:rsidR="00821BE0" w:rsidRPr="00D713EB">
        <w:t>of the SIS database</w:t>
      </w:r>
      <w:r w:rsidR="005663CC">
        <w:rPr>
          <w:rStyle w:val="FootnoteReference"/>
        </w:rPr>
        <w:footnoteReference w:id="7"/>
      </w:r>
      <w:r w:rsidR="00821BE0" w:rsidRPr="00D713EB">
        <w:t xml:space="preserve"> </w:t>
      </w:r>
      <w:r w:rsidRPr="00D713EB">
        <w:t>below</w:t>
      </w:r>
      <w:r w:rsidR="005663CC">
        <w:t xml:space="preserve"> as a reference</w:t>
      </w:r>
      <w:r w:rsidR="00821BE0" w:rsidRPr="00D713EB">
        <w:t>.</w:t>
      </w:r>
    </w:p>
    <w:p w14:paraId="1F54882F" w14:textId="55E2512D" w:rsidR="00955F2A" w:rsidRDefault="00955F2A" w:rsidP="00CB624C">
      <w:pPr>
        <w:pStyle w:val="ListParagraph"/>
        <w:ind w:left="1260" w:hanging="540"/>
        <w:jc w:val="left"/>
        <w:rPr>
          <w:b/>
          <w:bCs/>
        </w:rPr>
      </w:pPr>
    </w:p>
    <w:p w14:paraId="608B84E2" w14:textId="6375A918" w:rsidR="00A36915" w:rsidRDefault="00A36915" w:rsidP="00CB624C">
      <w:pPr>
        <w:pStyle w:val="ListParagraph"/>
        <w:ind w:left="1260" w:hanging="540"/>
        <w:jc w:val="left"/>
        <w:rPr>
          <w:b/>
          <w:bCs/>
        </w:rPr>
      </w:pPr>
    </w:p>
    <w:p w14:paraId="33E4EA24" w14:textId="6FF73A8C" w:rsidR="00A36915" w:rsidRDefault="00A36915" w:rsidP="00CB624C">
      <w:pPr>
        <w:pStyle w:val="ListParagraph"/>
        <w:ind w:left="1260" w:hanging="540"/>
        <w:jc w:val="left"/>
        <w:rPr>
          <w:b/>
          <w:bCs/>
        </w:rPr>
      </w:pPr>
    </w:p>
    <w:p w14:paraId="7A8DF408" w14:textId="32D7DBC1" w:rsidR="00A36915" w:rsidRDefault="00A36915" w:rsidP="00CB624C">
      <w:pPr>
        <w:pStyle w:val="ListParagraph"/>
        <w:ind w:left="1260" w:hanging="540"/>
        <w:jc w:val="left"/>
        <w:rPr>
          <w:b/>
          <w:bCs/>
        </w:rPr>
      </w:pPr>
    </w:p>
    <w:p w14:paraId="1E1656E7" w14:textId="5A10A2F3" w:rsidR="00A36915" w:rsidRDefault="00A36915" w:rsidP="00CB624C">
      <w:pPr>
        <w:pStyle w:val="ListParagraph"/>
        <w:ind w:left="1260" w:hanging="540"/>
        <w:jc w:val="left"/>
        <w:rPr>
          <w:b/>
          <w:bCs/>
        </w:rPr>
      </w:pPr>
    </w:p>
    <w:p w14:paraId="4B48259C" w14:textId="29D7A9A4" w:rsidR="00A36915" w:rsidRDefault="00A36915" w:rsidP="00CB624C">
      <w:pPr>
        <w:pStyle w:val="ListParagraph"/>
        <w:ind w:left="1260" w:hanging="540"/>
        <w:jc w:val="left"/>
        <w:rPr>
          <w:b/>
          <w:bCs/>
        </w:rPr>
      </w:pPr>
    </w:p>
    <w:p w14:paraId="5193B57E" w14:textId="2AA69677" w:rsidR="00A36915" w:rsidRDefault="00A36915" w:rsidP="00CB624C">
      <w:pPr>
        <w:pStyle w:val="ListParagraph"/>
        <w:ind w:left="1260" w:hanging="540"/>
        <w:jc w:val="left"/>
        <w:rPr>
          <w:b/>
          <w:bCs/>
        </w:rPr>
      </w:pPr>
    </w:p>
    <w:p w14:paraId="53E71817" w14:textId="6394016C" w:rsidR="00A36915" w:rsidRDefault="00A36915" w:rsidP="00CB624C">
      <w:pPr>
        <w:pStyle w:val="ListParagraph"/>
        <w:ind w:left="1260" w:hanging="540"/>
        <w:jc w:val="left"/>
        <w:rPr>
          <w:b/>
          <w:bCs/>
        </w:rPr>
      </w:pPr>
    </w:p>
    <w:p w14:paraId="4007689F" w14:textId="7745742D" w:rsidR="00A36915" w:rsidRDefault="00A36915" w:rsidP="00CB624C">
      <w:pPr>
        <w:pStyle w:val="ListParagraph"/>
        <w:ind w:left="1260" w:hanging="540"/>
        <w:jc w:val="left"/>
        <w:rPr>
          <w:b/>
          <w:bCs/>
        </w:rPr>
      </w:pPr>
    </w:p>
    <w:p w14:paraId="3E86C913" w14:textId="53DCB8F0" w:rsidR="00A36915" w:rsidRDefault="00A36915" w:rsidP="00CB624C">
      <w:pPr>
        <w:pStyle w:val="ListParagraph"/>
        <w:ind w:left="1260" w:hanging="540"/>
        <w:jc w:val="left"/>
        <w:rPr>
          <w:b/>
          <w:bCs/>
        </w:rPr>
      </w:pPr>
    </w:p>
    <w:p w14:paraId="55AFC3A0" w14:textId="77777777" w:rsidR="00A36915" w:rsidRPr="00D713EB" w:rsidRDefault="00A36915" w:rsidP="00CB624C">
      <w:pPr>
        <w:pStyle w:val="ListParagraph"/>
        <w:ind w:left="1260" w:hanging="540"/>
        <w:jc w:val="left"/>
        <w:rPr>
          <w:b/>
          <w:bCs/>
        </w:rPr>
      </w:pPr>
    </w:p>
    <w:p w14:paraId="59909DA9" w14:textId="405117EC" w:rsidR="00955F2A" w:rsidRPr="00D713EB" w:rsidRDefault="00955F2A" w:rsidP="00F97017">
      <w:pPr>
        <w:pStyle w:val="ListParagraph"/>
        <w:ind w:left="0"/>
        <w:rPr>
          <w:b/>
          <w:bCs/>
        </w:rPr>
      </w:pPr>
    </w:p>
    <w:p w14:paraId="165715CD" w14:textId="7FEC75FD" w:rsidR="00955F2A" w:rsidRDefault="00955F2A" w:rsidP="00D30FE5">
      <w:pPr>
        <w:jc w:val="left"/>
      </w:pPr>
    </w:p>
    <w:p w14:paraId="39826A99" w14:textId="05B7C271" w:rsidR="00A36915" w:rsidRDefault="00A36915" w:rsidP="00F97017">
      <w:pPr>
        <w:pStyle w:val="Caption"/>
      </w:pPr>
      <w:r>
        <w:t xml:space="preserve">Figure </w:t>
      </w:r>
      <w:r>
        <w:fldChar w:fldCharType="begin"/>
      </w:r>
      <w:r>
        <w:instrText xml:space="preserve"> SEQ Figure \* ARABIC </w:instrText>
      </w:r>
      <w:r>
        <w:fldChar w:fldCharType="separate"/>
      </w:r>
      <w:r>
        <w:rPr>
          <w:noProof/>
        </w:rPr>
        <w:t>6</w:t>
      </w:r>
      <w:r>
        <w:fldChar w:fldCharType="end"/>
      </w:r>
      <w:r>
        <w:t xml:space="preserve"> Screenshot of SIS Database functions for aggregation.</w:t>
      </w:r>
    </w:p>
    <w:p w14:paraId="4C7E63B5" w14:textId="0E26E107" w:rsidR="00A36915" w:rsidRDefault="000A7C59" w:rsidP="00F97017">
      <w:pPr>
        <w:jc w:val="center"/>
      </w:pPr>
      <w:r w:rsidRPr="000A7C59">
        <w:rPr>
          <w:noProof/>
        </w:rPr>
        <w:drawing>
          <wp:inline distT="0" distB="0" distL="0" distR="0" wp14:anchorId="04938EA1" wp14:editId="746A7B89">
            <wp:extent cx="5265476" cy="3068803"/>
            <wp:effectExtent l="0" t="0" r="5080" b="508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32"/>
                    <a:stretch>
                      <a:fillRect/>
                    </a:stretch>
                  </pic:blipFill>
                  <pic:spPr>
                    <a:xfrm>
                      <a:off x="0" y="0"/>
                      <a:ext cx="5270985" cy="3072014"/>
                    </a:xfrm>
                    <a:prstGeom prst="rect">
                      <a:avLst/>
                    </a:prstGeom>
                  </pic:spPr>
                </pic:pic>
              </a:graphicData>
            </a:graphic>
          </wp:inline>
        </w:drawing>
      </w:r>
    </w:p>
    <w:p w14:paraId="1048939F" w14:textId="77777777" w:rsidR="00A36915" w:rsidRDefault="00A36915"/>
    <w:p w14:paraId="0B0576E2" w14:textId="28BBA0F3" w:rsidR="00527A67" w:rsidRPr="00D713EB" w:rsidRDefault="00776406" w:rsidP="00F97017">
      <w:r>
        <w:t xml:space="preserve">It is worth noting that when preparing the reports, </w:t>
      </w:r>
      <w:r w:rsidRPr="00F97017">
        <w:rPr>
          <w:b/>
          <w:bCs/>
        </w:rPr>
        <w:t>the National Safeguards Specialist might require to contact relevant institutions / systems / sources</w:t>
      </w:r>
      <w:r w:rsidR="00431470" w:rsidRPr="00F97017">
        <w:rPr>
          <w:b/>
          <w:bCs/>
        </w:rPr>
        <w:t xml:space="preserve"> of information, as well as REDD+ Implementers when applicable,</w:t>
      </w:r>
      <w:r w:rsidRPr="00F97017">
        <w:rPr>
          <w:b/>
          <w:bCs/>
        </w:rPr>
        <w:t xml:space="preserve"> for ‘addressing’ indicators</w:t>
      </w:r>
      <w:r w:rsidR="00144D34" w:rsidRPr="00F97017">
        <w:rPr>
          <w:b/>
          <w:bCs/>
        </w:rPr>
        <w:t xml:space="preserve"> to request and/or clarify any relevant information</w:t>
      </w:r>
      <w:r w:rsidR="00C50F85">
        <w:t xml:space="preserve"> (see Tables </w:t>
      </w:r>
      <w:r w:rsidR="00694F61">
        <w:t>2 and 3</w:t>
      </w:r>
      <w:r w:rsidR="00FA6024">
        <w:t xml:space="preserve"> above</w:t>
      </w:r>
      <w:r w:rsidR="00694F61">
        <w:t xml:space="preserve">). </w:t>
      </w:r>
      <w:r w:rsidR="00527A67">
        <w:t>Both reports should be circulated by t</w:t>
      </w:r>
      <w:r w:rsidR="00527A67" w:rsidRPr="00D713EB">
        <w:t xml:space="preserve">he </w:t>
      </w:r>
      <w:r w:rsidR="00527A67">
        <w:t>N</w:t>
      </w:r>
      <w:r w:rsidR="00527A67" w:rsidRPr="00D713EB">
        <w:t xml:space="preserve">ational </w:t>
      </w:r>
      <w:r w:rsidR="00527A67">
        <w:t>S</w:t>
      </w:r>
      <w:r w:rsidR="00527A67" w:rsidRPr="00D713EB">
        <w:t xml:space="preserve">afeguard </w:t>
      </w:r>
      <w:r w:rsidR="00527A67">
        <w:t>S</w:t>
      </w:r>
      <w:r w:rsidR="00527A67" w:rsidRPr="00D713EB">
        <w:t xml:space="preserve">pecialist </w:t>
      </w:r>
      <w:r w:rsidR="00527A67">
        <w:t>with the REDD+ Safeguards TWC at least two weeks prior</w:t>
      </w:r>
      <w:r w:rsidR="0045391D">
        <w:t xml:space="preserve"> to the second meeting, along with any other relevant documents as deemed necessary, in preparation to the analysis of information and preparation of subsequent SOIs.</w:t>
      </w:r>
    </w:p>
    <w:p w14:paraId="2D776904" w14:textId="77777777" w:rsidR="00527A67" w:rsidRDefault="00527A67" w:rsidP="00D30FE5">
      <w:pPr>
        <w:jc w:val="left"/>
      </w:pPr>
    </w:p>
    <w:p w14:paraId="2ACD6968" w14:textId="77777777" w:rsidR="00527A67" w:rsidRDefault="00527A67" w:rsidP="00D30FE5">
      <w:pPr>
        <w:jc w:val="left"/>
      </w:pPr>
    </w:p>
    <w:p w14:paraId="7DF3C3E6" w14:textId="1B68ED9F" w:rsidR="007B7A2B" w:rsidRPr="00D713EB" w:rsidRDefault="007B7A2B" w:rsidP="007B7A2B">
      <w:pPr>
        <w:pStyle w:val="Heading2"/>
      </w:pPr>
      <w:bookmarkStart w:id="14" w:name="_Toc59493623"/>
      <w:r>
        <w:t>3</w:t>
      </w:r>
      <w:r w:rsidRPr="00D713EB">
        <w:t>.</w:t>
      </w:r>
      <w:r w:rsidR="0057456A">
        <w:t>2</w:t>
      </w:r>
      <w:r w:rsidRPr="00D713EB">
        <w:t xml:space="preserve">. Who is responsible for </w:t>
      </w:r>
      <w:r>
        <w:t>analysing the</w:t>
      </w:r>
      <w:r w:rsidRPr="00D713EB">
        <w:t xml:space="preserve"> information</w:t>
      </w:r>
      <w:r>
        <w:t xml:space="preserve"> and how</w:t>
      </w:r>
      <w:r w:rsidRPr="00D713EB">
        <w:t>?</w:t>
      </w:r>
      <w:bookmarkEnd w:id="14"/>
    </w:p>
    <w:p w14:paraId="46EA52D2" w14:textId="77777777" w:rsidR="008F6098" w:rsidRDefault="008F6098" w:rsidP="00230236">
      <w:pPr>
        <w:rPr>
          <w:rFonts w:cstheme="minorHAnsi"/>
        </w:rPr>
      </w:pPr>
    </w:p>
    <w:p w14:paraId="5FA88302" w14:textId="0E2CECBD" w:rsidR="008F6098" w:rsidRDefault="009E3A5E" w:rsidP="00230236">
      <w:pPr>
        <w:rPr>
          <w:rFonts w:cstheme="minorHAnsi"/>
        </w:rPr>
      </w:pPr>
      <w:r>
        <w:rPr>
          <w:rFonts w:cstheme="minorHAnsi"/>
        </w:rPr>
        <w:t xml:space="preserve">The </w:t>
      </w:r>
      <w:r w:rsidRPr="00CB624C">
        <w:rPr>
          <w:rFonts w:cstheme="minorHAnsi"/>
          <w:b/>
          <w:bCs/>
        </w:rPr>
        <w:t>REDD+ Safeguards TWC, with the operational and technical support of the National Safeguards Specialist</w:t>
      </w:r>
      <w:r>
        <w:rPr>
          <w:rFonts w:cstheme="minorHAnsi"/>
        </w:rPr>
        <w:t>, will be responsible for analysing the information on how all safeguards have been addressed and respected. This analy</w:t>
      </w:r>
      <w:r w:rsidR="0024460A">
        <w:rPr>
          <w:rFonts w:cstheme="minorHAnsi"/>
        </w:rPr>
        <w:t>tical role entails particularly the qualitative and quantitative assessment</w:t>
      </w:r>
      <w:r w:rsidR="00A647BD">
        <w:rPr>
          <w:rFonts w:cstheme="minorHAnsi"/>
        </w:rPr>
        <w:t xml:space="preserve"> </w:t>
      </w:r>
      <w:r w:rsidR="00B21A62">
        <w:rPr>
          <w:rFonts w:cstheme="minorHAnsi"/>
        </w:rPr>
        <w:t xml:space="preserve">of aggregated information provided by REDD+ Implementers to determine the extent to which safeguards have been ‘respected’ at the national level in the context of the implementation of REDD+ actions. </w:t>
      </w:r>
    </w:p>
    <w:p w14:paraId="48495F90" w14:textId="77777777" w:rsidR="00525EB3" w:rsidRDefault="00525EB3" w:rsidP="00230236">
      <w:pPr>
        <w:rPr>
          <w:rFonts w:cstheme="minorHAnsi"/>
        </w:rPr>
      </w:pPr>
    </w:p>
    <w:p w14:paraId="41716466" w14:textId="6715BEE6" w:rsidR="00230236" w:rsidRPr="00D713EB" w:rsidRDefault="00230236" w:rsidP="00230236">
      <w:pPr>
        <w:rPr>
          <w:rFonts w:cstheme="minorHAnsi"/>
        </w:rPr>
      </w:pPr>
      <w:r w:rsidRPr="00D713EB">
        <w:rPr>
          <w:rFonts w:cstheme="minorHAnsi"/>
        </w:rPr>
        <w:t>The process and methods for the analysis of information are the following:</w:t>
      </w:r>
    </w:p>
    <w:p w14:paraId="36257CBD" w14:textId="77777777" w:rsidR="00230236" w:rsidRPr="00D713EB" w:rsidRDefault="00230236" w:rsidP="00230236">
      <w:pPr>
        <w:rPr>
          <w:rFonts w:cstheme="minorHAnsi"/>
        </w:rPr>
      </w:pPr>
    </w:p>
    <w:p w14:paraId="713C0F94" w14:textId="0C0991D7" w:rsidR="007F2732" w:rsidRPr="00D713EB" w:rsidRDefault="00230236" w:rsidP="00CB624C">
      <w:pPr>
        <w:pStyle w:val="ListParagraph"/>
        <w:numPr>
          <w:ilvl w:val="0"/>
          <w:numId w:val="13"/>
        </w:numPr>
        <w:jc w:val="left"/>
      </w:pPr>
      <w:r w:rsidRPr="00D713EB">
        <w:rPr>
          <w:rFonts w:cstheme="minorHAnsi"/>
          <w:b/>
          <w:bCs/>
        </w:rPr>
        <w:t xml:space="preserve">Plan and carry out </w:t>
      </w:r>
      <w:r w:rsidR="00525EB3">
        <w:rPr>
          <w:rFonts w:cstheme="minorHAnsi"/>
          <w:b/>
          <w:bCs/>
        </w:rPr>
        <w:t>the second</w:t>
      </w:r>
      <w:r w:rsidRPr="00D713EB">
        <w:rPr>
          <w:rFonts w:cstheme="minorHAnsi"/>
          <w:b/>
          <w:bCs/>
        </w:rPr>
        <w:t xml:space="preserve"> meeting of the </w:t>
      </w:r>
      <w:r w:rsidRPr="00D713EB">
        <w:rPr>
          <w:b/>
          <w:bCs/>
          <w:iCs/>
        </w:rPr>
        <w:t>REDD+ Safeguards TWC</w:t>
      </w:r>
      <w:r w:rsidRPr="00D713EB">
        <w:rPr>
          <w:rFonts w:cstheme="minorHAnsi"/>
        </w:rPr>
        <w:t>: in the fourth quarter of the 24</w:t>
      </w:r>
      <w:r w:rsidR="00BB7994">
        <w:rPr>
          <w:rFonts w:cstheme="minorHAnsi"/>
        </w:rPr>
        <w:t>-</w:t>
      </w:r>
      <w:r w:rsidRPr="00D713EB">
        <w:rPr>
          <w:rFonts w:cstheme="minorHAnsi"/>
        </w:rPr>
        <w:t xml:space="preserve">month </w:t>
      </w:r>
      <w:r w:rsidR="00BB7994">
        <w:rPr>
          <w:rFonts w:cstheme="minorHAnsi"/>
        </w:rPr>
        <w:t xml:space="preserve">SIS information management and </w:t>
      </w:r>
      <w:r w:rsidRPr="00D713EB">
        <w:rPr>
          <w:rFonts w:cstheme="minorHAnsi"/>
        </w:rPr>
        <w:t xml:space="preserve">reporting cycle, a two (2) day meeting of the </w:t>
      </w:r>
      <w:r w:rsidRPr="00D713EB">
        <w:rPr>
          <w:iCs/>
        </w:rPr>
        <w:t xml:space="preserve">REDD+ Safeguards TWC should be convened with the specific objective of </w:t>
      </w:r>
      <w:r w:rsidRPr="00D713EB">
        <w:rPr>
          <w:rFonts w:cstheme="minorHAnsi"/>
        </w:rPr>
        <w:t xml:space="preserve">analysing and validating the </w:t>
      </w:r>
      <w:r w:rsidR="00FA38E4">
        <w:rPr>
          <w:rFonts w:cstheme="minorHAnsi"/>
        </w:rPr>
        <w:t xml:space="preserve">aggregated </w:t>
      </w:r>
      <w:r w:rsidRPr="00D713EB">
        <w:rPr>
          <w:rFonts w:cstheme="minorHAnsi"/>
        </w:rPr>
        <w:t xml:space="preserve">information </w:t>
      </w:r>
      <w:r w:rsidRPr="00D713EB">
        <w:rPr>
          <w:rFonts w:ascii="Calibri" w:hAnsi="Calibri" w:cs="Calibri"/>
          <w:iCs/>
          <w:szCs w:val="22"/>
        </w:rPr>
        <w:t>submitted and uploaded in the SIS database concerning how the safeguards have been addressed and respected throughout the implementation of the REDD+ activities</w:t>
      </w:r>
      <w:r w:rsidR="00FA38E4">
        <w:rPr>
          <w:rFonts w:ascii="Calibri" w:hAnsi="Calibri" w:cs="Calibri"/>
          <w:iCs/>
          <w:szCs w:val="22"/>
        </w:rPr>
        <w:t xml:space="preserve"> (and actions by REDD+ Implementers)</w:t>
      </w:r>
      <w:r w:rsidRPr="00D713EB">
        <w:rPr>
          <w:rFonts w:ascii="Calibri" w:hAnsi="Calibri" w:cs="Calibri"/>
          <w:iCs/>
          <w:szCs w:val="22"/>
        </w:rPr>
        <w:t xml:space="preserve">. </w:t>
      </w:r>
    </w:p>
    <w:p w14:paraId="0F10E0B5" w14:textId="77777777" w:rsidR="007F2732" w:rsidRDefault="007F2732" w:rsidP="007F2732">
      <w:pPr>
        <w:pStyle w:val="ListParagraph"/>
      </w:pPr>
    </w:p>
    <w:p w14:paraId="1E7EC38A" w14:textId="411A56DB" w:rsidR="00D30FE5" w:rsidRPr="00D713EB" w:rsidRDefault="00FA27FA" w:rsidP="00CB624C">
      <w:pPr>
        <w:pStyle w:val="ListParagraph"/>
      </w:pPr>
      <w:r w:rsidRPr="00D713EB">
        <w:t xml:space="preserve">In </w:t>
      </w:r>
      <w:r w:rsidR="00D30FE5" w:rsidRPr="00D713EB">
        <w:t>the two</w:t>
      </w:r>
      <w:r w:rsidR="001D1F35">
        <w:t>-</w:t>
      </w:r>
      <w:r w:rsidR="00D30FE5" w:rsidRPr="00D713EB">
        <w:t>day</w:t>
      </w:r>
      <w:r w:rsidRPr="00D713EB">
        <w:t xml:space="preserve"> meeting, the participants should</w:t>
      </w:r>
      <w:r w:rsidR="00D30FE5" w:rsidRPr="00D713EB">
        <w:t>:</w:t>
      </w:r>
    </w:p>
    <w:p w14:paraId="370DFF1A" w14:textId="77777777" w:rsidR="00451987" w:rsidRDefault="00451987" w:rsidP="00451987">
      <w:pPr>
        <w:rPr>
          <w:b/>
          <w:bCs/>
        </w:rPr>
      </w:pPr>
    </w:p>
    <w:p w14:paraId="0323A094" w14:textId="05FAB7EB" w:rsidR="0007578E" w:rsidRPr="00D713EB" w:rsidRDefault="00D30FE5" w:rsidP="00CB624C">
      <w:pPr>
        <w:pStyle w:val="ListParagraph"/>
        <w:numPr>
          <w:ilvl w:val="3"/>
          <w:numId w:val="14"/>
        </w:numPr>
        <w:ind w:left="1080"/>
      </w:pPr>
      <w:r w:rsidRPr="00451987">
        <w:rPr>
          <w:b/>
          <w:bCs/>
        </w:rPr>
        <w:t xml:space="preserve">Dedicate ½ day to </w:t>
      </w:r>
      <w:r w:rsidR="00FA27FA" w:rsidRPr="00451987">
        <w:rPr>
          <w:b/>
          <w:bCs/>
        </w:rPr>
        <w:t>discuss</w:t>
      </w:r>
      <w:r w:rsidRPr="00451987">
        <w:rPr>
          <w:b/>
          <w:bCs/>
        </w:rPr>
        <w:t xml:space="preserve"> and review the template report in relation to the ‘addressing’ indicators</w:t>
      </w:r>
      <w:r w:rsidR="00FA27FA" w:rsidRPr="00D713EB">
        <w:t>, and insert</w:t>
      </w:r>
      <w:r w:rsidRPr="00D713EB">
        <w:t>/modify any</w:t>
      </w:r>
      <w:r w:rsidR="00FA27FA" w:rsidRPr="00D713EB">
        <w:t xml:space="preserve"> relevant information in relation to each indicator, noting this information will be applicable to all REDD+ actions. </w:t>
      </w:r>
      <w:r w:rsidR="0049577F" w:rsidRPr="00D713EB">
        <w:t xml:space="preserve">Once this report is reviewed and validated by the TWC, the National Safeguard specialist will use it to prepare the SOI (see </w:t>
      </w:r>
      <w:r w:rsidR="00451987">
        <w:t>S</w:t>
      </w:r>
      <w:r w:rsidR="0049577F" w:rsidRPr="00D713EB">
        <w:t xml:space="preserve">ection </w:t>
      </w:r>
      <w:r w:rsidR="00451987">
        <w:t>3.3</w:t>
      </w:r>
      <w:r w:rsidR="0049577F" w:rsidRPr="00D713EB">
        <w:t>)</w:t>
      </w:r>
      <w:r w:rsidR="0007578E">
        <w:t>.</w:t>
      </w:r>
    </w:p>
    <w:p w14:paraId="61AF6E35" w14:textId="7F042C8F" w:rsidR="00764116" w:rsidRDefault="00076F7E" w:rsidP="0007578E">
      <w:pPr>
        <w:pStyle w:val="ListParagraph"/>
        <w:numPr>
          <w:ilvl w:val="3"/>
          <w:numId w:val="14"/>
        </w:numPr>
        <w:ind w:left="1080"/>
      </w:pPr>
      <w:r w:rsidRPr="0007578E">
        <w:rPr>
          <w:b/>
          <w:bCs/>
        </w:rPr>
        <w:t>Dedicate 1 day to discuss and review the template report in relation to the ‘respecting indicators’</w:t>
      </w:r>
      <w:r w:rsidRPr="00D713EB">
        <w:t xml:space="preserve">. In this session, the TWC with the </w:t>
      </w:r>
      <w:r w:rsidR="0007578E">
        <w:t>facilitation</w:t>
      </w:r>
      <w:r w:rsidR="0007578E" w:rsidRPr="00D713EB">
        <w:t xml:space="preserve"> </w:t>
      </w:r>
      <w:r w:rsidRPr="00D713EB">
        <w:t xml:space="preserve">of the National specialist should </w:t>
      </w:r>
      <w:r w:rsidR="0049577F" w:rsidRPr="00D713EB">
        <w:t xml:space="preserve">discuss each of the reports (one for each REDD+ action) that has </w:t>
      </w:r>
      <w:r w:rsidR="00614F59">
        <w:t>aggregated</w:t>
      </w:r>
      <w:r w:rsidR="0049577F" w:rsidRPr="00D713EB">
        <w:t xml:space="preserve"> information in relation to the indicators for ‘respecting’</w:t>
      </w:r>
      <w:r w:rsidR="00614F59">
        <w:t xml:space="preserve">, as collected and submitted by REDD+ Implementers corresponding to the 18-month period in the </w:t>
      </w:r>
      <w:r w:rsidR="00510185">
        <w:t>first SIS information management and reporting cycle</w:t>
      </w:r>
      <w:r w:rsidR="0049577F" w:rsidRPr="00D713EB">
        <w:t xml:space="preserve">. In this session the TWC should determine for each </w:t>
      </w:r>
      <w:r w:rsidR="0079099B" w:rsidRPr="00D713EB">
        <w:t xml:space="preserve">REDD+ action </w:t>
      </w:r>
      <w:r w:rsidR="0049577F" w:rsidRPr="00D713EB">
        <w:t>repor</w:t>
      </w:r>
      <w:r w:rsidR="0079099B" w:rsidRPr="00D713EB">
        <w:t>t</w:t>
      </w:r>
      <w:r w:rsidR="0049577F" w:rsidRPr="00D713EB">
        <w:t xml:space="preserve"> an overall assessment of conformance with the safeguards,</w:t>
      </w:r>
      <w:r w:rsidR="0079099B" w:rsidRPr="00D713EB">
        <w:t xml:space="preserve"> including</w:t>
      </w:r>
      <w:r w:rsidR="0049577F" w:rsidRPr="00D713EB">
        <w:t xml:space="preserve"> identified challenges and potential measures for improvement (see Box 1 for </w:t>
      </w:r>
      <w:r w:rsidR="0079099B" w:rsidRPr="00D713EB">
        <w:t>suggested template report to be prepared under this session</w:t>
      </w:r>
      <w:r w:rsidR="0049577F" w:rsidRPr="00D713EB">
        <w:t>)</w:t>
      </w:r>
      <w:r w:rsidR="00C76E03">
        <w:t xml:space="preserve">. </w:t>
      </w:r>
    </w:p>
    <w:p w14:paraId="45B1744A" w14:textId="77777777" w:rsidR="00764116" w:rsidRDefault="00764116" w:rsidP="00764116"/>
    <w:p w14:paraId="31BCAE9C" w14:textId="1AC9AAFD" w:rsidR="0049577F" w:rsidRPr="00D713EB" w:rsidRDefault="00F362DF" w:rsidP="00CB624C">
      <w:r>
        <w:t>It is worth noting that while this assessment will be conducted by the TWC, in order to avoid time constraints during this TWC meeting, the National Safeguards Specialist may prepare draft assessment reports in preparation to the meeting to facilitate discussions by the TWC</w:t>
      </w:r>
      <w:r w:rsidR="009E2CFE">
        <w:t>, as part of the aggregation</w:t>
      </w:r>
      <w:r w:rsidR="00583611">
        <w:t xml:space="preserve"> phase</w:t>
      </w:r>
      <w:r>
        <w:t>.</w:t>
      </w:r>
    </w:p>
    <w:p w14:paraId="259A9606" w14:textId="77777777" w:rsidR="00C76E03" w:rsidRDefault="00C76E03" w:rsidP="00510185">
      <w:pPr>
        <w:pStyle w:val="Caption"/>
      </w:pPr>
    </w:p>
    <w:p w14:paraId="6A608465" w14:textId="23C6B006" w:rsidR="00256430" w:rsidRPr="001450F4" w:rsidRDefault="00510185" w:rsidP="001450F4">
      <w:pPr>
        <w:pStyle w:val="Caption"/>
      </w:pPr>
      <w:r w:rsidRPr="00D713EB">
        <w:t xml:space="preserve">Box </w:t>
      </w:r>
      <w:r w:rsidRPr="00D713EB">
        <w:fldChar w:fldCharType="begin"/>
      </w:r>
      <w:r w:rsidRPr="00D713EB">
        <w:instrText xml:space="preserve"> SEQ Box \* ARABIC </w:instrText>
      </w:r>
      <w:r w:rsidRPr="00D713EB">
        <w:fldChar w:fldCharType="separate"/>
      </w:r>
      <w:r w:rsidRPr="00D713EB">
        <w:rPr>
          <w:noProof/>
        </w:rPr>
        <w:t>1</w:t>
      </w:r>
      <w:r w:rsidRPr="00D713EB">
        <w:fldChar w:fldCharType="end"/>
      </w:r>
      <w:r w:rsidRPr="00D713EB">
        <w:t xml:space="preserve">: Suggested template report </w:t>
      </w:r>
      <w:r w:rsidR="00C76E03">
        <w:t>for the assessment of the extent to which safeguards have been ‘respected’ under each REDD+ action.</w:t>
      </w:r>
    </w:p>
    <w:tbl>
      <w:tblPr>
        <w:tblStyle w:val="TableGrid"/>
        <w:tblW w:w="0" w:type="auto"/>
        <w:tblLook w:val="04A0" w:firstRow="1" w:lastRow="0" w:firstColumn="1" w:lastColumn="0" w:noHBand="0" w:noVBand="1"/>
      </w:tblPr>
      <w:tblGrid>
        <w:gridCol w:w="9010"/>
      </w:tblGrid>
      <w:tr w:rsidR="0049577F" w:rsidRPr="00D713EB" w14:paraId="6B1C1D96" w14:textId="77777777" w:rsidTr="0049577F">
        <w:tc>
          <w:tcPr>
            <w:tcW w:w="9010" w:type="dxa"/>
          </w:tcPr>
          <w:p w14:paraId="706D749B" w14:textId="5315F607" w:rsidR="0079099B" w:rsidRPr="00D713EB" w:rsidRDefault="0079099B" w:rsidP="0049577F">
            <w:pPr>
              <w:pStyle w:val="Caption"/>
              <w:rPr>
                <w:b/>
                <w:bCs/>
              </w:rPr>
            </w:pPr>
            <w:r w:rsidRPr="00D713EB">
              <w:rPr>
                <w:b/>
                <w:bCs/>
              </w:rPr>
              <w:t>REDD+ Action: ________________-</w:t>
            </w:r>
          </w:p>
          <w:p w14:paraId="36731E28" w14:textId="31359A4E" w:rsidR="0049577F" w:rsidRPr="00D713EB" w:rsidRDefault="0049577F" w:rsidP="0049577F">
            <w:pPr>
              <w:pStyle w:val="Caption"/>
            </w:pPr>
            <w:r w:rsidRPr="00D713EB">
              <w:rPr>
                <w:b/>
                <w:bCs/>
              </w:rPr>
              <w:t>Safeguard A</w:t>
            </w:r>
          </w:p>
          <w:p w14:paraId="00EE990A" w14:textId="77777777" w:rsidR="0079099B" w:rsidRPr="00D713EB" w:rsidRDefault="0079099B" w:rsidP="0079099B">
            <w:pPr>
              <w:rPr>
                <w:b/>
                <w:bCs/>
                <w:sz w:val="18"/>
                <w:szCs w:val="18"/>
              </w:rPr>
            </w:pPr>
            <w:r w:rsidRPr="00D713EB">
              <w:rPr>
                <w:b/>
                <w:bCs/>
                <w:sz w:val="18"/>
                <w:szCs w:val="18"/>
              </w:rPr>
              <w:t xml:space="preserve">Safeguard A: </w:t>
            </w:r>
          </w:p>
          <w:p w14:paraId="5C71B573" w14:textId="6BDF4741"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114AEC0D" w14:textId="746FC3A5"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024E638D" w14:textId="41EB115F" w:rsidR="0079099B" w:rsidRPr="00D713EB" w:rsidRDefault="0079099B" w:rsidP="00F05573">
            <w:pPr>
              <w:numPr>
                <w:ilvl w:val="0"/>
                <w:numId w:val="2"/>
              </w:numPr>
              <w:rPr>
                <w:sz w:val="18"/>
                <w:szCs w:val="18"/>
              </w:rPr>
            </w:pPr>
            <w:r w:rsidRPr="00D713EB">
              <w:rPr>
                <w:sz w:val="18"/>
                <w:szCs w:val="18"/>
              </w:rPr>
              <w:t>Potential measures for improvement (include proposed measures for improvement):</w:t>
            </w:r>
          </w:p>
          <w:p w14:paraId="144DCDE0" w14:textId="77777777" w:rsidR="0079099B" w:rsidRPr="00D713EB" w:rsidRDefault="0079099B" w:rsidP="0079099B">
            <w:pPr>
              <w:rPr>
                <w:b/>
                <w:bCs/>
                <w:sz w:val="18"/>
                <w:szCs w:val="18"/>
              </w:rPr>
            </w:pPr>
            <w:r w:rsidRPr="00D713EB">
              <w:rPr>
                <w:b/>
                <w:bCs/>
                <w:sz w:val="18"/>
                <w:szCs w:val="18"/>
              </w:rPr>
              <w:tab/>
            </w:r>
            <w:r w:rsidRPr="00D713EB">
              <w:rPr>
                <w:b/>
                <w:bCs/>
                <w:sz w:val="18"/>
                <w:szCs w:val="18"/>
              </w:rPr>
              <w:tab/>
            </w:r>
          </w:p>
          <w:p w14:paraId="07DFBFF4" w14:textId="77777777" w:rsidR="0079099B" w:rsidRPr="00D713EB" w:rsidRDefault="0079099B" w:rsidP="0079099B">
            <w:pPr>
              <w:rPr>
                <w:b/>
                <w:bCs/>
                <w:sz w:val="18"/>
                <w:szCs w:val="18"/>
              </w:rPr>
            </w:pPr>
            <w:r w:rsidRPr="00D713EB">
              <w:rPr>
                <w:b/>
                <w:bCs/>
                <w:sz w:val="18"/>
                <w:szCs w:val="18"/>
              </w:rPr>
              <w:t xml:space="preserve">Safeguard B: </w:t>
            </w:r>
          </w:p>
          <w:p w14:paraId="1119084E" w14:textId="77777777"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08604213" w14:textId="77777777"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175602F9" w14:textId="61E69CD5" w:rsidR="0079099B" w:rsidRPr="00D713EB" w:rsidRDefault="0079099B" w:rsidP="00F05573">
            <w:pPr>
              <w:numPr>
                <w:ilvl w:val="0"/>
                <w:numId w:val="2"/>
              </w:numPr>
              <w:rPr>
                <w:sz w:val="18"/>
                <w:szCs w:val="18"/>
              </w:rPr>
            </w:pPr>
            <w:r w:rsidRPr="00D713EB">
              <w:rPr>
                <w:sz w:val="18"/>
                <w:szCs w:val="18"/>
              </w:rPr>
              <w:t>Potential measures for improvement (include proposed measures for improvement):</w:t>
            </w:r>
          </w:p>
          <w:p w14:paraId="59BCC041" w14:textId="77777777" w:rsidR="0079099B" w:rsidRPr="00D713EB" w:rsidRDefault="0079099B" w:rsidP="0079099B">
            <w:pPr>
              <w:rPr>
                <w:b/>
                <w:bCs/>
                <w:sz w:val="18"/>
                <w:szCs w:val="18"/>
              </w:rPr>
            </w:pPr>
          </w:p>
          <w:p w14:paraId="3928677D" w14:textId="77777777" w:rsidR="0079099B" w:rsidRPr="00D713EB" w:rsidRDefault="0079099B" w:rsidP="0079099B">
            <w:pPr>
              <w:rPr>
                <w:b/>
                <w:bCs/>
                <w:sz w:val="18"/>
                <w:szCs w:val="18"/>
              </w:rPr>
            </w:pPr>
            <w:r w:rsidRPr="00D713EB">
              <w:rPr>
                <w:b/>
                <w:bCs/>
                <w:sz w:val="18"/>
                <w:szCs w:val="18"/>
              </w:rPr>
              <w:t xml:space="preserve">Safeguard C: </w:t>
            </w:r>
          </w:p>
          <w:p w14:paraId="671B836C" w14:textId="77777777"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258DC397" w14:textId="77777777"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1867695E" w14:textId="327A5984" w:rsidR="0079099B" w:rsidRPr="00D713EB" w:rsidRDefault="0079099B" w:rsidP="00F05573">
            <w:pPr>
              <w:numPr>
                <w:ilvl w:val="0"/>
                <w:numId w:val="2"/>
              </w:numPr>
              <w:rPr>
                <w:sz w:val="18"/>
                <w:szCs w:val="18"/>
              </w:rPr>
            </w:pPr>
            <w:r w:rsidRPr="00D713EB">
              <w:rPr>
                <w:sz w:val="18"/>
                <w:szCs w:val="18"/>
              </w:rPr>
              <w:t>Potential measures for improvement (include proposed measures for improvement):</w:t>
            </w:r>
          </w:p>
          <w:p w14:paraId="5242095F" w14:textId="77777777" w:rsidR="0079099B" w:rsidRPr="00D713EB" w:rsidRDefault="0079099B" w:rsidP="0079099B">
            <w:pPr>
              <w:rPr>
                <w:b/>
                <w:bCs/>
                <w:sz w:val="18"/>
                <w:szCs w:val="18"/>
              </w:rPr>
            </w:pPr>
          </w:p>
          <w:p w14:paraId="4A6E73A1" w14:textId="77777777" w:rsidR="0079099B" w:rsidRPr="00D713EB" w:rsidRDefault="0079099B" w:rsidP="0079099B">
            <w:pPr>
              <w:rPr>
                <w:b/>
                <w:bCs/>
                <w:sz w:val="18"/>
                <w:szCs w:val="18"/>
              </w:rPr>
            </w:pPr>
            <w:r w:rsidRPr="00D713EB">
              <w:rPr>
                <w:b/>
                <w:bCs/>
                <w:sz w:val="18"/>
                <w:szCs w:val="18"/>
              </w:rPr>
              <w:t xml:space="preserve">Safeguard D: </w:t>
            </w:r>
          </w:p>
          <w:p w14:paraId="6806C88A" w14:textId="77777777"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67483F7B" w14:textId="77777777"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36FEACBB" w14:textId="28D6C6EA" w:rsidR="0079099B" w:rsidRPr="00D713EB" w:rsidRDefault="0079099B" w:rsidP="00F05573">
            <w:pPr>
              <w:numPr>
                <w:ilvl w:val="0"/>
                <w:numId w:val="2"/>
              </w:numPr>
              <w:rPr>
                <w:sz w:val="18"/>
                <w:szCs w:val="18"/>
              </w:rPr>
            </w:pPr>
            <w:r w:rsidRPr="00D713EB">
              <w:rPr>
                <w:sz w:val="18"/>
                <w:szCs w:val="18"/>
              </w:rPr>
              <w:t>Potential measures for improvement (include proposed measures for improvement):</w:t>
            </w:r>
          </w:p>
          <w:p w14:paraId="63354D03" w14:textId="77777777" w:rsidR="0079099B" w:rsidRPr="00D713EB" w:rsidRDefault="0079099B" w:rsidP="0079099B">
            <w:pPr>
              <w:rPr>
                <w:b/>
                <w:bCs/>
                <w:sz w:val="18"/>
                <w:szCs w:val="18"/>
              </w:rPr>
            </w:pPr>
          </w:p>
          <w:p w14:paraId="0ED84615" w14:textId="77777777" w:rsidR="0079099B" w:rsidRPr="00D713EB" w:rsidRDefault="0079099B" w:rsidP="0079099B">
            <w:pPr>
              <w:rPr>
                <w:b/>
                <w:bCs/>
                <w:sz w:val="18"/>
                <w:szCs w:val="18"/>
              </w:rPr>
            </w:pPr>
            <w:r w:rsidRPr="00D713EB">
              <w:rPr>
                <w:b/>
                <w:bCs/>
                <w:sz w:val="18"/>
                <w:szCs w:val="18"/>
              </w:rPr>
              <w:t xml:space="preserve">Safeguard E: </w:t>
            </w:r>
          </w:p>
          <w:p w14:paraId="5299D82C" w14:textId="77777777"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7306EFAA" w14:textId="77777777"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5509D6BD" w14:textId="08DD505E" w:rsidR="0079099B" w:rsidRPr="00D713EB" w:rsidRDefault="0079099B" w:rsidP="00F05573">
            <w:pPr>
              <w:numPr>
                <w:ilvl w:val="0"/>
                <w:numId w:val="2"/>
              </w:numPr>
              <w:rPr>
                <w:sz w:val="18"/>
                <w:szCs w:val="18"/>
              </w:rPr>
            </w:pPr>
            <w:r w:rsidRPr="00D713EB">
              <w:rPr>
                <w:sz w:val="18"/>
                <w:szCs w:val="18"/>
              </w:rPr>
              <w:t>Potential measures for improvement (include proposed measures for improvement):</w:t>
            </w:r>
          </w:p>
          <w:p w14:paraId="75800027" w14:textId="77777777" w:rsidR="0079099B" w:rsidRPr="00D713EB" w:rsidRDefault="0079099B" w:rsidP="0079099B">
            <w:pPr>
              <w:rPr>
                <w:b/>
                <w:bCs/>
                <w:sz w:val="18"/>
                <w:szCs w:val="18"/>
              </w:rPr>
            </w:pPr>
          </w:p>
          <w:p w14:paraId="4A92BCCC" w14:textId="4D151C3C" w:rsidR="0079099B" w:rsidRPr="00D713EB" w:rsidRDefault="0079099B" w:rsidP="0079099B">
            <w:pPr>
              <w:rPr>
                <w:b/>
                <w:bCs/>
                <w:sz w:val="18"/>
                <w:szCs w:val="18"/>
              </w:rPr>
            </w:pPr>
            <w:r w:rsidRPr="00D713EB">
              <w:rPr>
                <w:b/>
                <w:bCs/>
                <w:sz w:val="18"/>
                <w:szCs w:val="18"/>
              </w:rPr>
              <w:t xml:space="preserve">Safeguard F &amp;G: </w:t>
            </w:r>
          </w:p>
          <w:p w14:paraId="2D60D880" w14:textId="77777777" w:rsidR="0079099B" w:rsidRPr="00D713EB" w:rsidRDefault="0079099B" w:rsidP="00F05573">
            <w:pPr>
              <w:numPr>
                <w:ilvl w:val="0"/>
                <w:numId w:val="2"/>
              </w:numPr>
              <w:rPr>
                <w:sz w:val="18"/>
                <w:szCs w:val="18"/>
              </w:rPr>
            </w:pPr>
            <w:r w:rsidRPr="00D713EB">
              <w:rPr>
                <w:sz w:val="18"/>
                <w:szCs w:val="18"/>
              </w:rPr>
              <w:t>Overall assessment (include brief description of overall assessment of conformance with the safeguard based on indicators):</w:t>
            </w:r>
          </w:p>
          <w:p w14:paraId="775E82BC" w14:textId="77777777" w:rsidR="0079099B" w:rsidRPr="00D713EB" w:rsidRDefault="0079099B" w:rsidP="00F05573">
            <w:pPr>
              <w:numPr>
                <w:ilvl w:val="0"/>
                <w:numId w:val="2"/>
              </w:numPr>
              <w:rPr>
                <w:sz w:val="18"/>
                <w:szCs w:val="18"/>
              </w:rPr>
            </w:pPr>
            <w:r w:rsidRPr="00D713EB">
              <w:rPr>
                <w:sz w:val="18"/>
                <w:szCs w:val="18"/>
              </w:rPr>
              <w:t>Challenges (include a brief description of overall challenges identified):</w:t>
            </w:r>
          </w:p>
          <w:p w14:paraId="63F5E341" w14:textId="25CE0683" w:rsidR="0079099B" w:rsidRPr="00F362DF" w:rsidRDefault="0079099B" w:rsidP="00CB624C">
            <w:pPr>
              <w:numPr>
                <w:ilvl w:val="0"/>
                <w:numId w:val="2"/>
              </w:numPr>
              <w:rPr>
                <w:sz w:val="18"/>
                <w:szCs w:val="18"/>
              </w:rPr>
            </w:pPr>
            <w:r w:rsidRPr="00D713EB">
              <w:rPr>
                <w:sz w:val="18"/>
                <w:szCs w:val="18"/>
              </w:rPr>
              <w:t>Potential measures for improvement (include proposed measures for improvement):</w:t>
            </w:r>
          </w:p>
        </w:tc>
      </w:tr>
    </w:tbl>
    <w:p w14:paraId="6664BD4D" w14:textId="77777777" w:rsidR="001450F4" w:rsidRPr="001F4457" w:rsidRDefault="001450F4" w:rsidP="001F4457">
      <w:pPr>
        <w:pStyle w:val="ListParagraph"/>
        <w:ind w:left="1080"/>
      </w:pPr>
    </w:p>
    <w:p w14:paraId="7FD14DAD" w14:textId="3A583E8F" w:rsidR="0049577F" w:rsidRPr="00D713EB" w:rsidRDefault="00F362DF" w:rsidP="00CB624C">
      <w:pPr>
        <w:pStyle w:val="ListParagraph"/>
        <w:numPr>
          <w:ilvl w:val="3"/>
          <w:numId w:val="14"/>
        </w:numPr>
        <w:ind w:left="1080"/>
      </w:pPr>
      <w:r w:rsidRPr="0007578E">
        <w:rPr>
          <w:b/>
          <w:bCs/>
        </w:rPr>
        <w:t xml:space="preserve">Dedicate </w:t>
      </w:r>
      <w:r w:rsidRPr="00451987">
        <w:rPr>
          <w:b/>
          <w:bCs/>
        </w:rPr>
        <w:t>½</w:t>
      </w:r>
      <w:r w:rsidRPr="0007578E">
        <w:rPr>
          <w:b/>
          <w:bCs/>
        </w:rPr>
        <w:t xml:space="preserve"> day to discuss and review the </w:t>
      </w:r>
      <w:r>
        <w:rPr>
          <w:b/>
          <w:bCs/>
        </w:rPr>
        <w:t xml:space="preserve">draft </w:t>
      </w:r>
      <w:r w:rsidR="00AE3A21">
        <w:rPr>
          <w:b/>
          <w:bCs/>
        </w:rPr>
        <w:t>(subsequent) SOI</w:t>
      </w:r>
      <w:r w:rsidR="009E2CFE">
        <w:rPr>
          <w:b/>
          <w:bCs/>
        </w:rPr>
        <w:t>.</w:t>
      </w:r>
      <w:r w:rsidRPr="00D713EB">
        <w:t xml:space="preserve"> In this session, the TWC with the </w:t>
      </w:r>
      <w:r>
        <w:t>facilitation</w:t>
      </w:r>
      <w:r w:rsidRPr="00D713EB">
        <w:t xml:space="preserve"> of the National </w:t>
      </w:r>
      <w:r w:rsidR="00764116">
        <w:t>Safeguards S</w:t>
      </w:r>
      <w:r w:rsidRPr="00D713EB">
        <w:t xml:space="preserve">pecialist should discuss </w:t>
      </w:r>
      <w:r w:rsidR="002F0A83">
        <w:t xml:space="preserve">and provide </w:t>
      </w:r>
      <w:r w:rsidR="00B30385">
        <w:t xml:space="preserve">strategic direction for the completion of a draft subsequent SOI, based on the outcomes of the assessment conducted during the </w:t>
      </w:r>
      <w:r w:rsidR="000E431B">
        <w:t xml:space="preserve">first </w:t>
      </w:r>
      <w:r w:rsidR="000E431B" w:rsidRPr="007472D9">
        <w:t>1</w:t>
      </w:r>
      <w:r w:rsidR="000E431B" w:rsidRPr="00CB624C">
        <w:t>½ day of the meeting. See Section 3.3 for more details on drafting of subsequent SOIs.</w:t>
      </w:r>
    </w:p>
    <w:p w14:paraId="5674305A" w14:textId="1C98773D" w:rsidR="0049577F" w:rsidRPr="00D713EB" w:rsidRDefault="0049577F" w:rsidP="0079099B">
      <w:pPr>
        <w:rPr>
          <w:rFonts w:ascii="Calibri" w:hAnsi="Calibri" w:cs="Calibri"/>
          <w:iCs/>
          <w:szCs w:val="22"/>
        </w:rPr>
      </w:pPr>
    </w:p>
    <w:p w14:paraId="2FC2AC29" w14:textId="2D27387E" w:rsidR="0079099B" w:rsidRPr="00D713EB" w:rsidRDefault="0079099B" w:rsidP="00F05573">
      <w:pPr>
        <w:pStyle w:val="ListParagraph"/>
        <w:numPr>
          <w:ilvl w:val="0"/>
          <w:numId w:val="13"/>
        </w:numPr>
        <w:rPr>
          <w:rFonts w:ascii="Calibri" w:hAnsi="Calibri" w:cs="Calibri"/>
          <w:iCs/>
          <w:szCs w:val="22"/>
        </w:rPr>
      </w:pPr>
      <w:r w:rsidRPr="00D713EB">
        <w:t>The out</w:t>
      </w:r>
      <w:r w:rsidR="006B6421" w:rsidRPr="00D713EB">
        <w:t>puts</w:t>
      </w:r>
      <w:r w:rsidRPr="00D713EB">
        <w:t xml:space="preserve"> of the </w:t>
      </w:r>
      <w:r w:rsidRPr="00D713EB">
        <w:rPr>
          <w:rFonts w:cstheme="minorHAnsi"/>
        </w:rPr>
        <w:t xml:space="preserve">TWC meeting </w:t>
      </w:r>
      <w:r w:rsidR="00665B82" w:rsidRPr="00D713EB">
        <w:rPr>
          <w:rFonts w:cstheme="minorHAnsi"/>
        </w:rPr>
        <w:t>should</w:t>
      </w:r>
      <w:r w:rsidRPr="00D713EB">
        <w:rPr>
          <w:rFonts w:cstheme="minorHAnsi"/>
        </w:rPr>
        <w:t xml:space="preserve"> be:</w:t>
      </w:r>
    </w:p>
    <w:p w14:paraId="72B83A67" w14:textId="7442E0C1" w:rsidR="00665B82" w:rsidRPr="00D713EB" w:rsidRDefault="00817F28" w:rsidP="00F05573">
      <w:pPr>
        <w:pStyle w:val="ListParagraph"/>
        <w:numPr>
          <w:ilvl w:val="1"/>
          <w:numId w:val="13"/>
        </w:numPr>
        <w:rPr>
          <w:rFonts w:ascii="Calibri" w:hAnsi="Calibri" w:cs="Calibri"/>
          <w:iCs/>
          <w:szCs w:val="22"/>
        </w:rPr>
      </w:pPr>
      <w:r>
        <w:rPr>
          <w:b/>
          <w:bCs/>
        </w:rPr>
        <w:t>Finalization and v</w:t>
      </w:r>
      <w:r w:rsidR="00665B82" w:rsidRPr="00D713EB">
        <w:rPr>
          <w:b/>
          <w:bCs/>
        </w:rPr>
        <w:t>alidation of the report in relation to the ‘addressing’ indicators</w:t>
      </w:r>
      <w:r w:rsidR="00665B82" w:rsidRPr="00D713EB">
        <w:t xml:space="preserve">. Once this report is reviewed and validated by the TWC, the National Safeguard </w:t>
      </w:r>
      <w:r w:rsidR="00764116">
        <w:t>S</w:t>
      </w:r>
      <w:r w:rsidR="00665B82" w:rsidRPr="00D713EB">
        <w:t xml:space="preserve">pecialist will use it to </w:t>
      </w:r>
      <w:r w:rsidR="00722053">
        <w:t>finalize</w:t>
      </w:r>
      <w:r w:rsidR="00722053" w:rsidRPr="00D713EB">
        <w:t xml:space="preserve"> </w:t>
      </w:r>
      <w:r w:rsidR="00665B82" w:rsidRPr="00D713EB">
        <w:t>the SOI</w:t>
      </w:r>
      <w:r w:rsidR="00722053">
        <w:t xml:space="preserve"> for public consultation</w:t>
      </w:r>
      <w:r w:rsidR="00665B82" w:rsidRPr="00D713EB">
        <w:t xml:space="preserve"> (see </w:t>
      </w:r>
      <w:r w:rsidR="00722053">
        <w:t>S</w:t>
      </w:r>
      <w:r w:rsidR="00665B82" w:rsidRPr="00D713EB">
        <w:t>ection</w:t>
      </w:r>
      <w:r w:rsidR="00722053">
        <w:t>s 3.3 and</w:t>
      </w:r>
      <w:r w:rsidR="00665B82" w:rsidRPr="00D713EB">
        <w:t xml:space="preserve"> IV)</w:t>
      </w:r>
      <w:r w:rsidR="00722053">
        <w:t>.</w:t>
      </w:r>
    </w:p>
    <w:p w14:paraId="551FAAFA" w14:textId="2B0327AF" w:rsidR="00936A6B" w:rsidRPr="00CB624C" w:rsidRDefault="00817F28" w:rsidP="00F05573">
      <w:pPr>
        <w:pStyle w:val="ListParagraph"/>
        <w:numPr>
          <w:ilvl w:val="1"/>
          <w:numId w:val="13"/>
        </w:numPr>
        <w:rPr>
          <w:rFonts w:ascii="Calibri" w:hAnsi="Calibri" w:cs="Calibri"/>
          <w:iCs/>
          <w:szCs w:val="22"/>
        </w:rPr>
      </w:pPr>
      <w:r>
        <w:rPr>
          <w:b/>
          <w:bCs/>
        </w:rPr>
        <w:t>Finalization and v</w:t>
      </w:r>
      <w:r w:rsidRPr="00D713EB">
        <w:rPr>
          <w:b/>
          <w:bCs/>
        </w:rPr>
        <w:t xml:space="preserve">alidation </w:t>
      </w:r>
      <w:r w:rsidR="00665B82" w:rsidRPr="00D713EB">
        <w:rPr>
          <w:b/>
          <w:bCs/>
        </w:rPr>
        <w:t>of REDD+ action report(s)</w:t>
      </w:r>
      <w:r w:rsidR="00665B82" w:rsidRPr="00D713EB">
        <w:t xml:space="preserve"> </w:t>
      </w:r>
      <w:r w:rsidR="00665B82" w:rsidRPr="00D713EB">
        <w:rPr>
          <w:b/>
          <w:bCs/>
        </w:rPr>
        <w:t>with an overall assessment of conformance with the safeguards</w:t>
      </w:r>
      <w:r w:rsidR="00665B82" w:rsidRPr="00D713EB">
        <w:t>, including identified challenges and potential measures for improvement. The National Safeguard specialist will use these report</w:t>
      </w:r>
      <w:r w:rsidR="006B6421" w:rsidRPr="00D713EB">
        <w:t>s</w:t>
      </w:r>
      <w:r w:rsidR="00665B82" w:rsidRPr="00D713EB">
        <w:t xml:space="preserve"> to </w:t>
      </w:r>
      <w:r>
        <w:t>finalize</w:t>
      </w:r>
      <w:r w:rsidRPr="00D713EB">
        <w:t xml:space="preserve"> </w:t>
      </w:r>
      <w:r w:rsidR="00665B82" w:rsidRPr="00D713EB">
        <w:t xml:space="preserve">the SOI </w:t>
      </w:r>
      <w:r>
        <w:t xml:space="preserve">for public consultation </w:t>
      </w:r>
      <w:r w:rsidR="00665B82" w:rsidRPr="00D713EB">
        <w:t xml:space="preserve">(see </w:t>
      </w:r>
      <w:r w:rsidR="00722053" w:rsidRPr="00EA057A">
        <w:t>S</w:t>
      </w:r>
      <w:r w:rsidR="00665B82" w:rsidRPr="00EA057A">
        <w:t>ection</w:t>
      </w:r>
      <w:r w:rsidR="00722053" w:rsidRPr="00EA057A">
        <w:t>s 3.3 and</w:t>
      </w:r>
      <w:r w:rsidR="00665B82" w:rsidRPr="00EA057A">
        <w:t xml:space="preserve"> IV)</w:t>
      </w:r>
      <w:r w:rsidR="00722053" w:rsidRPr="00EA057A">
        <w:t>.</w:t>
      </w:r>
    </w:p>
    <w:p w14:paraId="479EA020" w14:textId="3521428E" w:rsidR="00EA057A" w:rsidRPr="00EA057A" w:rsidRDefault="00EA057A" w:rsidP="00F05573">
      <w:pPr>
        <w:pStyle w:val="ListParagraph"/>
        <w:numPr>
          <w:ilvl w:val="1"/>
          <w:numId w:val="13"/>
        </w:numPr>
        <w:rPr>
          <w:rFonts w:ascii="Calibri" w:hAnsi="Calibri" w:cs="Calibri"/>
          <w:iCs/>
          <w:szCs w:val="22"/>
        </w:rPr>
      </w:pPr>
      <w:r w:rsidRPr="006410EE">
        <w:rPr>
          <w:b/>
          <w:bCs/>
        </w:rPr>
        <w:t>Feedback and direction on a first draft of SOI</w:t>
      </w:r>
      <w:r>
        <w:t xml:space="preserve">, in coherence with </w:t>
      </w:r>
      <w:r w:rsidR="006410EE">
        <w:t>outputs described above</w:t>
      </w:r>
      <w:r w:rsidRPr="00CB624C">
        <w:t>.</w:t>
      </w:r>
    </w:p>
    <w:p w14:paraId="6FF40416" w14:textId="77777777" w:rsidR="0057456A" w:rsidRPr="00CB624C" w:rsidRDefault="00936A6B" w:rsidP="00F05573">
      <w:pPr>
        <w:pStyle w:val="ListParagraph"/>
        <w:numPr>
          <w:ilvl w:val="1"/>
          <w:numId w:val="13"/>
        </w:numPr>
        <w:rPr>
          <w:rFonts w:ascii="Calibri" w:hAnsi="Calibri" w:cs="Calibri"/>
          <w:iCs/>
          <w:szCs w:val="22"/>
        </w:rPr>
      </w:pPr>
      <w:r w:rsidRPr="00D713EB">
        <w:t>For each meeting, meeting notes should be taken and documented, including the list of participants.</w:t>
      </w:r>
    </w:p>
    <w:p w14:paraId="0952CA9D" w14:textId="77777777" w:rsidR="0057456A" w:rsidRDefault="0057456A" w:rsidP="0057456A"/>
    <w:p w14:paraId="0438EAFD" w14:textId="77777777" w:rsidR="0057456A" w:rsidRDefault="0057456A" w:rsidP="0057456A"/>
    <w:p w14:paraId="5646B8FE" w14:textId="494C7D92" w:rsidR="009A74DC" w:rsidRPr="00D713EB" w:rsidRDefault="0057456A" w:rsidP="00CB624C">
      <w:pPr>
        <w:pStyle w:val="Heading2"/>
      </w:pPr>
      <w:bookmarkStart w:id="15" w:name="_Toc59493624"/>
      <w:r>
        <w:t>3</w:t>
      </w:r>
      <w:r w:rsidRPr="00D713EB">
        <w:t>.</w:t>
      </w:r>
      <w:r>
        <w:t>3</w:t>
      </w:r>
      <w:r w:rsidRPr="00D713EB">
        <w:t xml:space="preserve">. Who </w:t>
      </w:r>
      <w:r w:rsidR="003016A2">
        <w:t xml:space="preserve">drafts </w:t>
      </w:r>
      <w:r w:rsidR="008A0181">
        <w:t xml:space="preserve">and validates </w:t>
      </w:r>
      <w:r w:rsidR="003016A2">
        <w:t>subsequent SOIs and how</w:t>
      </w:r>
      <w:r w:rsidRPr="00D713EB">
        <w:t>?</w:t>
      </w:r>
      <w:bookmarkEnd w:id="15"/>
      <w:r w:rsidR="00936A6B" w:rsidRPr="00D713EB">
        <w:t xml:space="preserve"> </w:t>
      </w:r>
    </w:p>
    <w:p w14:paraId="6400D470" w14:textId="0EE2C540" w:rsidR="009A74DC" w:rsidRPr="00D713EB" w:rsidRDefault="009A74DC" w:rsidP="009A74DC"/>
    <w:p w14:paraId="62DE4AB4" w14:textId="5D90D345" w:rsidR="00722053" w:rsidRDefault="00665B82" w:rsidP="00665B82">
      <w:r w:rsidRPr="00D713EB">
        <w:t xml:space="preserve">The </w:t>
      </w:r>
      <w:r w:rsidRPr="00CB624C">
        <w:rPr>
          <w:b/>
          <w:bCs/>
        </w:rPr>
        <w:t xml:space="preserve">National Safeguard </w:t>
      </w:r>
      <w:r w:rsidR="006B6421" w:rsidRPr="00CB624C">
        <w:rPr>
          <w:b/>
          <w:bCs/>
        </w:rPr>
        <w:t>S</w:t>
      </w:r>
      <w:r w:rsidRPr="00CB624C">
        <w:rPr>
          <w:b/>
          <w:bCs/>
        </w:rPr>
        <w:t>pecialist</w:t>
      </w:r>
      <w:r w:rsidRPr="00D713EB">
        <w:t xml:space="preserve"> will lead the preparation of </w:t>
      </w:r>
      <w:r w:rsidR="006B6421" w:rsidRPr="00D713EB">
        <w:t xml:space="preserve">subsequent SOI (see template in </w:t>
      </w:r>
      <w:r w:rsidR="006B6421" w:rsidRPr="00696D32">
        <w:t>Annex</w:t>
      </w:r>
      <w:r w:rsidR="00936A6B" w:rsidRPr="00696D32">
        <w:t xml:space="preserve"> I</w:t>
      </w:r>
      <w:r w:rsidR="00696D32" w:rsidRPr="00696D32">
        <w:t>V</w:t>
      </w:r>
      <w:r w:rsidR="006B6421" w:rsidRPr="00D713EB">
        <w:t>)</w:t>
      </w:r>
      <w:r w:rsidR="00282652">
        <w:t xml:space="preserve">. </w:t>
      </w:r>
      <w:r w:rsidR="00722053" w:rsidRPr="00D713EB">
        <w:rPr>
          <w:rFonts w:cstheme="minorHAnsi"/>
        </w:rPr>
        <w:t>The process and methods for the analysis of information are the following:</w:t>
      </w:r>
    </w:p>
    <w:p w14:paraId="627AD02B" w14:textId="77777777" w:rsidR="004312A2" w:rsidRDefault="004312A2" w:rsidP="004312A2">
      <w:pPr>
        <w:rPr>
          <w:rFonts w:cstheme="minorHAnsi"/>
          <w:b/>
          <w:bCs/>
        </w:rPr>
      </w:pPr>
    </w:p>
    <w:p w14:paraId="2EC2AD51" w14:textId="2C75FC72" w:rsidR="004312A2" w:rsidRDefault="002F0A83" w:rsidP="00CB624C">
      <w:pPr>
        <w:pStyle w:val="ListParagraph"/>
        <w:numPr>
          <w:ilvl w:val="4"/>
          <w:numId w:val="14"/>
        </w:numPr>
        <w:ind w:left="630"/>
      </w:pPr>
      <w:r w:rsidRPr="004312A2">
        <w:rPr>
          <w:rFonts w:cstheme="minorHAnsi"/>
          <w:b/>
          <w:bCs/>
        </w:rPr>
        <w:t xml:space="preserve">Prepare first draft of SOI for consideration of the REDD+ Safeguards TWC. </w:t>
      </w:r>
      <w:r w:rsidR="00282652">
        <w:t xml:space="preserve">In </w:t>
      </w:r>
      <w:r>
        <w:t xml:space="preserve">preparation to the second meeting of the TWC, and based on </w:t>
      </w:r>
      <w:r w:rsidR="002174F4">
        <w:t xml:space="preserve">aggregated reports on </w:t>
      </w:r>
      <w:r w:rsidR="00A86413">
        <w:t>‘addressing’ and ‘respecting’ indicators</w:t>
      </w:r>
      <w:r>
        <w:t xml:space="preserve">, the National Safeguards </w:t>
      </w:r>
      <w:r w:rsidR="00E84674">
        <w:t xml:space="preserve">Specialist </w:t>
      </w:r>
      <w:r w:rsidR="0087416B">
        <w:t>will prepare a first draft of subsequent SOI for consideration and direction of the TWC</w:t>
      </w:r>
      <w:r w:rsidR="00A86413">
        <w:t xml:space="preserve">. </w:t>
      </w:r>
    </w:p>
    <w:p w14:paraId="3913B21C" w14:textId="03E624FA" w:rsidR="009D6CD1" w:rsidRPr="00D713EB" w:rsidRDefault="001351B3" w:rsidP="00CB624C">
      <w:pPr>
        <w:pStyle w:val="ListParagraph"/>
        <w:numPr>
          <w:ilvl w:val="4"/>
          <w:numId w:val="14"/>
        </w:numPr>
        <w:ind w:left="630"/>
      </w:pPr>
      <w:r w:rsidRPr="004312A2">
        <w:rPr>
          <w:rFonts w:cstheme="minorHAnsi"/>
          <w:b/>
          <w:bCs/>
        </w:rPr>
        <w:t>Revise a draft subsequent SOI for public consultation.</w:t>
      </w:r>
      <w:r>
        <w:t xml:space="preserve"> </w:t>
      </w:r>
      <w:r w:rsidRPr="00CB624C">
        <w:rPr>
          <w:rFonts w:ascii="Calibri" w:hAnsi="Calibri" w:cs="Calibri"/>
          <w:iCs/>
          <w:szCs w:val="22"/>
        </w:rPr>
        <w:t xml:space="preserve">Within 30 days after the TWC </w:t>
      </w:r>
      <w:r w:rsidR="0022498C">
        <w:rPr>
          <w:rFonts w:ascii="Calibri" w:hAnsi="Calibri" w:cs="Calibri"/>
          <w:iCs/>
          <w:szCs w:val="22"/>
        </w:rPr>
        <w:t xml:space="preserve">second </w:t>
      </w:r>
      <w:r w:rsidRPr="00CB624C">
        <w:rPr>
          <w:rFonts w:ascii="Calibri" w:hAnsi="Calibri" w:cs="Calibri"/>
          <w:iCs/>
          <w:szCs w:val="22"/>
        </w:rPr>
        <w:t>meeting, the National Safeguard Specialist will prepare a draft report</w:t>
      </w:r>
      <w:r w:rsidR="000F39F0">
        <w:rPr>
          <w:rFonts w:ascii="Calibri" w:hAnsi="Calibri" w:cs="Calibri"/>
          <w:iCs/>
          <w:szCs w:val="22"/>
        </w:rPr>
        <w:t xml:space="preserve"> for a 30-day public consultation process</w:t>
      </w:r>
      <w:r w:rsidR="009D6CD1" w:rsidRPr="00CB624C">
        <w:rPr>
          <w:rFonts w:ascii="Calibri" w:hAnsi="Calibri" w:cs="Calibri"/>
          <w:iCs/>
          <w:szCs w:val="22"/>
        </w:rPr>
        <w:t xml:space="preserve">, </w:t>
      </w:r>
      <w:r w:rsidR="006B6421" w:rsidRPr="00D713EB">
        <w:t>draw</w:t>
      </w:r>
      <w:r w:rsidR="009D6CD1">
        <w:t>ing</w:t>
      </w:r>
      <w:r w:rsidR="006B6421" w:rsidRPr="00D713EB">
        <w:t xml:space="preserve"> on </w:t>
      </w:r>
      <w:r w:rsidR="002174C4">
        <w:t>assessment reports</w:t>
      </w:r>
      <w:r w:rsidR="006B6421" w:rsidRPr="00D713EB">
        <w:t xml:space="preserve"> prepared </w:t>
      </w:r>
      <w:r w:rsidR="002174C4">
        <w:t xml:space="preserve">and validated by the REDD+ Safeguards TWC </w:t>
      </w:r>
      <w:r w:rsidR="006B6421" w:rsidRPr="00D713EB">
        <w:t xml:space="preserve">under </w:t>
      </w:r>
      <w:r w:rsidR="002174C4">
        <w:t>S</w:t>
      </w:r>
      <w:r w:rsidR="006B6421" w:rsidRPr="00D713EB">
        <w:t xml:space="preserve">ection </w:t>
      </w:r>
      <w:r w:rsidR="00661E77">
        <w:t>3.</w:t>
      </w:r>
      <w:r w:rsidR="009D6CD1">
        <w:t>2</w:t>
      </w:r>
      <w:r w:rsidR="00661E77" w:rsidRPr="00D713EB">
        <w:t xml:space="preserve"> </w:t>
      </w:r>
      <w:r w:rsidR="006B6421" w:rsidRPr="00D713EB">
        <w:t>above.</w:t>
      </w:r>
      <w:r w:rsidR="00661E77">
        <w:t xml:space="preserve"> </w:t>
      </w:r>
      <w:r w:rsidR="006B6421" w:rsidRPr="00D713EB">
        <w:t xml:space="preserve"> </w:t>
      </w:r>
    </w:p>
    <w:p w14:paraId="43649AE5" w14:textId="77777777" w:rsidR="009D6CD1" w:rsidRPr="00D713EB" w:rsidRDefault="009D6CD1" w:rsidP="00CB624C">
      <w:pPr>
        <w:pStyle w:val="ListParagraph"/>
      </w:pPr>
    </w:p>
    <w:p w14:paraId="7711224E" w14:textId="77777777" w:rsidR="00665B82" w:rsidRPr="00D713EB" w:rsidRDefault="00665B82" w:rsidP="00CB624C">
      <w:pPr>
        <w:pStyle w:val="ListParagraph"/>
      </w:pPr>
      <w:r w:rsidRPr="00D713EB">
        <w:t>Important considerations:</w:t>
      </w:r>
    </w:p>
    <w:p w14:paraId="1B20C067" w14:textId="77777777" w:rsidR="00665B82" w:rsidRPr="00D713EB" w:rsidRDefault="00665B82" w:rsidP="00665B82"/>
    <w:p w14:paraId="5CFE1EC7" w14:textId="58924F41" w:rsidR="00936A6B" w:rsidRPr="00D713EB" w:rsidRDefault="00936A6B" w:rsidP="00F05573">
      <w:pPr>
        <w:pStyle w:val="ListParagraph"/>
        <w:numPr>
          <w:ilvl w:val="0"/>
          <w:numId w:val="16"/>
        </w:numPr>
        <w:rPr>
          <w:rFonts w:ascii="Calibri" w:hAnsi="Calibri" w:cs="Calibri"/>
          <w:iCs/>
          <w:szCs w:val="22"/>
        </w:rPr>
      </w:pPr>
      <w:r w:rsidRPr="00D713EB">
        <w:rPr>
          <w:rFonts w:ascii="Calibri" w:hAnsi="Calibri" w:cs="Calibri"/>
          <w:iCs/>
          <w:szCs w:val="22"/>
        </w:rPr>
        <w:t xml:space="preserve">As noted in the SIS framework document, when preparing the </w:t>
      </w:r>
      <w:r w:rsidR="009D6CD1">
        <w:rPr>
          <w:rFonts w:ascii="Calibri" w:hAnsi="Calibri" w:cs="Calibri"/>
          <w:iCs/>
          <w:szCs w:val="22"/>
        </w:rPr>
        <w:t xml:space="preserve">draft </w:t>
      </w:r>
      <w:r w:rsidRPr="00D713EB">
        <w:rPr>
          <w:rFonts w:ascii="Calibri" w:hAnsi="Calibri" w:cs="Calibri"/>
          <w:iCs/>
          <w:szCs w:val="22"/>
        </w:rPr>
        <w:t>SOI, relevant and additional information may also be drawn from existing and relevant systems</w:t>
      </w:r>
      <w:r w:rsidR="009D6CD1">
        <w:rPr>
          <w:rFonts w:ascii="Calibri" w:hAnsi="Calibri" w:cs="Calibri"/>
          <w:iCs/>
          <w:szCs w:val="22"/>
        </w:rPr>
        <w:t xml:space="preserve"> as a result of discussions, assessment and/or validation of reports by the TWC (see Section 3.2 above)</w:t>
      </w:r>
      <w:r w:rsidRPr="00D713EB">
        <w:rPr>
          <w:rFonts w:ascii="Calibri" w:hAnsi="Calibri" w:cs="Calibri"/>
          <w:iCs/>
          <w:szCs w:val="22"/>
        </w:rPr>
        <w:t xml:space="preserve">. </w:t>
      </w:r>
    </w:p>
    <w:p w14:paraId="684E382D" w14:textId="5021E0FB" w:rsidR="00936A6B" w:rsidRDefault="00936A6B" w:rsidP="00F05573">
      <w:pPr>
        <w:pStyle w:val="ListParagraph"/>
        <w:numPr>
          <w:ilvl w:val="0"/>
          <w:numId w:val="16"/>
        </w:numPr>
        <w:rPr>
          <w:rFonts w:ascii="Calibri" w:hAnsi="Calibri" w:cs="Calibri"/>
          <w:iCs/>
          <w:szCs w:val="22"/>
        </w:rPr>
      </w:pPr>
      <w:r w:rsidRPr="00D713EB">
        <w:rPr>
          <w:rFonts w:ascii="Calibri" w:hAnsi="Calibri" w:cs="Calibri"/>
          <w:iCs/>
          <w:szCs w:val="22"/>
        </w:rPr>
        <w:t xml:space="preserve">The National Safeguard Specialist </w:t>
      </w:r>
      <w:r w:rsidR="009D6CD1">
        <w:rPr>
          <w:rFonts w:ascii="Calibri" w:hAnsi="Calibri" w:cs="Calibri"/>
          <w:iCs/>
          <w:szCs w:val="22"/>
        </w:rPr>
        <w:t>may require to further</w:t>
      </w:r>
      <w:r w:rsidRPr="00D713EB">
        <w:rPr>
          <w:rFonts w:ascii="Calibri" w:hAnsi="Calibri" w:cs="Calibri"/>
          <w:iCs/>
          <w:szCs w:val="22"/>
        </w:rPr>
        <w:t xml:space="preserve"> contact the institutions responsible for </w:t>
      </w:r>
      <w:r w:rsidR="009D6CD1">
        <w:rPr>
          <w:rFonts w:ascii="Calibri" w:hAnsi="Calibri" w:cs="Calibri"/>
          <w:iCs/>
          <w:szCs w:val="22"/>
        </w:rPr>
        <w:t>the</w:t>
      </w:r>
      <w:r w:rsidR="009D6CD1" w:rsidRPr="00D713EB">
        <w:rPr>
          <w:rFonts w:ascii="Calibri" w:hAnsi="Calibri" w:cs="Calibri"/>
          <w:iCs/>
          <w:szCs w:val="22"/>
        </w:rPr>
        <w:t xml:space="preserve"> </w:t>
      </w:r>
      <w:r w:rsidRPr="00D713EB">
        <w:rPr>
          <w:rFonts w:ascii="Calibri" w:hAnsi="Calibri" w:cs="Calibri"/>
          <w:iCs/>
          <w:szCs w:val="22"/>
        </w:rPr>
        <w:t>systems</w:t>
      </w:r>
      <w:r w:rsidR="009D6CD1">
        <w:rPr>
          <w:rFonts w:ascii="Calibri" w:hAnsi="Calibri" w:cs="Calibri"/>
          <w:iCs/>
          <w:szCs w:val="22"/>
        </w:rPr>
        <w:t xml:space="preserve">/sources detailed in </w:t>
      </w:r>
      <w:r w:rsidR="00B34D18">
        <w:rPr>
          <w:rFonts w:ascii="Calibri" w:hAnsi="Calibri" w:cs="Calibri"/>
          <w:iCs/>
          <w:szCs w:val="22"/>
        </w:rPr>
        <w:t>T</w:t>
      </w:r>
      <w:r w:rsidR="009D6CD1">
        <w:rPr>
          <w:rFonts w:ascii="Calibri" w:hAnsi="Calibri" w:cs="Calibri"/>
          <w:iCs/>
          <w:szCs w:val="22"/>
        </w:rPr>
        <w:t>ables 2 and 3</w:t>
      </w:r>
      <w:r w:rsidRPr="00D713EB">
        <w:rPr>
          <w:rFonts w:ascii="Calibri" w:hAnsi="Calibri" w:cs="Calibri"/>
          <w:iCs/>
          <w:szCs w:val="22"/>
        </w:rPr>
        <w:t xml:space="preserve"> to request any additional relevant information they can provide. A</w:t>
      </w:r>
      <w:r w:rsidR="00821BE0" w:rsidRPr="00D713EB">
        <w:rPr>
          <w:rFonts w:ascii="Calibri" w:hAnsi="Calibri" w:cs="Calibri"/>
          <w:iCs/>
          <w:szCs w:val="22"/>
        </w:rPr>
        <w:t>n</w:t>
      </w:r>
      <w:r w:rsidRPr="00D713EB">
        <w:rPr>
          <w:rFonts w:ascii="Calibri" w:hAnsi="Calibri" w:cs="Calibri"/>
          <w:iCs/>
          <w:szCs w:val="22"/>
        </w:rPr>
        <w:t>y feedback/additional inputs from these systems should be sent to the National Safeguard Specialist within 30 days</w:t>
      </w:r>
      <w:r w:rsidR="009D6CD1">
        <w:rPr>
          <w:rFonts w:ascii="Calibri" w:hAnsi="Calibri" w:cs="Calibri"/>
          <w:iCs/>
          <w:szCs w:val="22"/>
        </w:rPr>
        <w:t>.</w:t>
      </w:r>
    </w:p>
    <w:p w14:paraId="170FE3DE" w14:textId="497F6172" w:rsidR="000F39F0" w:rsidRPr="004753D3" w:rsidRDefault="000F39F0" w:rsidP="00F05573">
      <w:pPr>
        <w:pStyle w:val="ListParagraph"/>
        <w:numPr>
          <w:ilvl w:val="0"/>
          <w:numId w:val="16"/>
        </w:numPr>
        <w:rPr>
          <w:rFonts w:ascii="Calibri" w:hAnsi="Calibri" w:cs="Calibri"/>
          <w:iCs/>
          <w:szCs w:val="22"/>
        </w:rPr>
      </w:pPr>
      <w:r>
        <w:rPr>
          <w:rFonts w:ascii="Calibri" w:hAnsi="Calibri" w:cs="Calibri"/>
          <w:iCs/>
          <w:szCs w:val="22"/>
        </w:rPr>
        <w:t xml:space="preserve">Once a </w:t>
      </w:r>
      <w:r w:rsidR="003C0051">
        <w:rPr>
          <w:rFonts w:ascii="Calibri" w:hAnsi="Calibri" w:cs="Calibri"/>
          <w:iCs/>
          <w:szCs w:val="22"/>
        </w:rPr>
        <w:t>revised</w:t>
      </w:r>
      <w:r>
        <w:rPr>
          <w:rFonts w:ascii="Calibri" w:hAnsi="Calibri" w:cs="Calibri"/>
          <w:iCs/>
          <w:szCs w:val="22"/>
        </w:rPr>
        <w:t xml:space="preserve"> draft has been prepared,</w:t>
      </w:r>
      <w:r w:rsidR="003C0051">
        <w:rPr>
          <w:rFonts w:ascii="Calibri" w:hAnsi="Calibri" w:cs="Calibri"/>
          <w:iCs/>
          <w:szCs w:val="22"/>
        </w:rPr>
        <w:t xml:space="preserve"> the National Safeguards Specialist will upload the draft SOI to the SIS web page for public consultation, alongside a </w:t>
      </w:r>
      <w:r w:rsidR="003C0051" w:rsidRPr="00F97017">
        <w:rPr>
          <w:rFonts w:ascii="Calibri" w:hAnsi="Calibri" w:cs="Calibri"/>
          <w:iCs/>
          <w:szCs w:val="22"/>
        </w:rPr>
        <w:t>corresponding template for comments (see Section IV</w:t>
      </w:r>
      <w:r w:rsidR="009549AE" w:rsidRPr="00F97017">
        <w:rPr>
          <w:rFonts w:ascii="Calibri" w:hAnsi="Calibri" w:cs="Calibri"/>
          <w:iCs/>
          <w:szCs w:val="22"/>
        </w:rPr>
        <w:t>)</w:t>
      </w:r>
      <w:r w:rsidR="003C0051" w:rsidRPr="00F97017">
        <w:rPr>
          <w:rFonts w:ascii="Calibri" w:hAnsi="Calibri" w:cs="Calibri"/>
          <w:iCs/>
          <w:szCs w:val="22"/>
        </w:rPr>
        <w:t>.</w:t>
      </w:r>
      <w:r w:rsidRPr="00A82598">
        <w:rPr>
          <w:rFonts w:ascii="Calibri" w:hAnsi="Calibri" w:cs="Calibri"/>
          <w:iCs/>
          <w:szCs w:val="22"/>
        </w:rPr>
        <w:t xml:space="preserve"> </w:t>
      </w:r>
    </w:p>
    <w:p w14:paraId="66F3CCC6" w14:textId="77777777" w:rsidR="00E776C9" w:rsidRPr="00CB624C" w:rsidRDefault="00E776C9" w:rsidP="00CB624C">
      <w:pPr>
        <w:pStyle w:val="ListParagraph"/>
        <w:ind w:left="3600"/>
      </w:pPr>
    </w:p>
    <w:p w14:paraId="6CA5C89A" w14:textId="639362EE" w:rsidR="001167DD" w:rsidRPr="001167DD" w:rsidRDefault="00C94F32" w:rsidP="00CB624C">
      <w:pPr>
        <w:pStyle w:val="ListParagraph"/>
        <w:numPr>
          <w:ilvl w:val="4"/>
          <w:numId w:val="14"/>
        </w:numPr>
        <w:ind w:left="630"/>
        <w:rPr>
          <w:rFonts w:ascii="Calibri" w:hAnsi="Calibri" w:cs="Calibri"/>
          <w:iCs/>
          <w:szCs w:val="22"/>
        </w:rPr>
      </w:pPr>
      <w:r w:rsidRPr="001167DD">
        <w:rPr>
          <w:rFonts w:cstheme="minorHAnsi"/>
          <w:b/>
          <w:bCs/>
        </w:rPr>
        <w:t xml:space="preserve">Finalize </w:t>
      </w:r>
      <w:r w:rsidR="00E776C9" w:rsidRPr="00CB624C">
        <w:rPr>
          <w:rFonts w:cstheme="minorHAnsi"/>
          <w:b/>
          <w:bCs/>
        </w:rPr>
        <w:t>subsequent SOI for</w:t>
      </w:r>
      <w:r w:rsidRPr="001167DD">
        <w:rPr>
          <w:rFonts w:cstheme="minorHAnsi"/>
          <w:b/>
          <w:bCs/>
        </w:rPr>
        <w:t xml:space="preserve"> endorsement of the </w:t>
      </w:r>
      <w:r w:rsidR="00722122" w:rsidRPr="001167DD">
        <w:rPr>
          <w:rFonts w:cstheme="minorHAnsi"/>
          <w:b/>
          <w:bCs/>
        </w:rPr>
        <w:t>N</w:t>
      </w:r>
      <w:r w:rsidR="00D53FE3">
        <w:rPr>
          <w:rFonts w:cstheme="minorHAnsi"/>
          <w:b/>
          <w:bCs/>
        </w:rPr>
        <w:t xml:space="preserve">ational </w:t>
      </w:r>
      <w:r w:rsidR="00722122" w:rsidRPr="001167DD">
        <w:rPr>
          <w:rFonts w:cstheme="minorHAnsi"/>
          <w:b/>
          <w:bCs/>
        </w:rPr>
        <w:t>C</w:t>
      </w:r>
      <w:r w:rsidR="00D53FE3">
        <w:rPr>
          <w:rFonts w:cstheme="minorHAnsi"/>
          <w:b/>
          <w:bCs/>
        </w:rPr>
        <w:t xml:space="preserve">limate </w:t>
      </w:r>
      <w:r w:rsidR="00722122" w:rsidRPr="001167DD">
        <w:rPr>
          <w:rFonts w:cstheme="minorHAnsi"/>
          <w:b/>
          <w:bCs/>
        </w:rPr>
        <w:t>C</w:t>
      </w:r>
      <w:r w:rsidR="00D53FE3">
        <w:rPr>
          <w:rFonts w:cstheme="minorHAnsi"/>
          <w:b/>
          <w:bCs/>
        </w:rPr>
        <w:t xml:space="preserve">hange </w:t>
      </w:r>
      <w:r w:rsidR="00722122" w:rsidRPr="001167DD">
        <w:rPr>
          <w:rFonts w:cstheme="minorHAnsi"/>
          <w:b/>
          <w:bCs/>
        </w:rPr>
        <w:t>B</w:t>
      </w:r>
      <w:r w:rsidR="00D53FE3">
        <w:rPr>
          <w:rFonts w:cstheme="minorHAnsi"/>
          <w:b/>
          <w:bCs/>
        </w:rPr>
        <w:t>oard</w:t>
      </w:r>
      <w:r w:rsidR="00722122" w:rsidRPr="001167DD">
        <w:rPr>
          <w:rFonts w:cstheme="minorHAnsi"/>
          <w:b/>
          <w:bCs/>
        </w:rPr>
        <w:t xml:space="preserve"> or N</w:t>
      </w:r>
      <w:r w:rsidR="00D53FE3">
        <w:rPr>
          <w:rFonts w:cstheme="minorHAnsi"/>
          <w:b/>
          <w:bCs/>
        </w:rPr>
        <w:t xml:space="preserve">ational </w:t>
      </w:r>
      <w:r w:rsidR="00722122" w:rsidRPr="001167DD">
        <w:rPr>
          <w:rFonts w:cstheme="minorHAnsi"/>
          <w:b/>
          <w:bCs/>
        </w:rPr>
        <w:t>R</w:t>
      </w:r>
      <w:r w:rsidR="00D53FE3">
        <w:rPr>
          <w:rFonts w:cstheme="minorHAnsi"/>
          <w:b/>
          <w:bCs/>
        </w:rPr>
        <w:t xml:space="preserve">EDD+ </w:t>
      </w:r>
      <w:r w:rsidR="00722122" w:rsidRPr="001167DD">
        <w:rPr>
          <w:rFonts w:cstheme="minorHAnsi"/>
          <w:b/>
          <w:bCs/>
        </w:rPr>
        <w:t>S</w:t>
      </w:r>
      <w:r w:rsidR="00D53FE3">
        <w:rPr>
          <w:rFonts w:cstheme="minorHAnsi"/>
          <w:b/>
          <w:bCs/>
        </w:rPr>
        <w:t xml:space="preserve">teering </w:t>
      </w:r>
      <w:r w:rsidR="00722122" w:rsidRPr="001167DD">
        <w:rPr>
          <w:rFonts w:cstheme="minorHAnsi"/>
          <w:b/>
          <w:bCs/>
        </w:rPr>
        <w:t>C</w:t>
      </w:r>
      <w:r w:rsidR="00D53FE3">
        <w:rPr>
          <w:rFonts w:cstheme="minorHAnsi"/>
          <w:b/>
          <w:bCs/>
        </w:rPr>
        <w:t>ommittee</w:t>
      </w:r>
      <w:r w:rsidR="00E776C9" w:rsidRPr="00CB624C">
        <w:rPr>
          <w:rFonts w:cstheme="minorHAnsi"/>
          <w:b/>
          <w:bCs/>
        </w:rPr>
        <w:t>.</w:t>
      </w:r>
      <w:r w:rsidR="00E776C9">
        <w:t xml:space="preserve"> </w:t>
      </w:r>
      <w:r w:rsidR="009549AE">
        <w:t xml:space="preserve">Once the </w:t>
      </w:r>
      <w:r w:rsidR="00201717">
        <w:t>30-day public consultation period has finalized, the National Safeguards Specialist will have 10 days to prepare a revised SOI</w:t>
      </w:r>
      <w:r w:rsidR="001167DD">
        <w:t xml:space="preserve">. </w:t>
      </w:r>
      <w:r w:rsidR="001167DD" w:rsidRPr="001167DD">
        <w:rPr>
          <w:rFonts w:ascii="Calibri" w:hAnsi="Calibri" w:cs="Calibri"/>
          <w:iCs/>
          <w:szCs w:val="22"/>
        </w:rPr>
        <w:t xml:space="preserve">The National Safeguard Specialist will compile all the feedback </w:t>
      </w:r>
      <w:r w:rsidR="001167DD">
        <w:rPr>
          <w:rFonts w:ascii="Calibri" w:hAnsi="Calibri" w:cs="Calibri"/>
          <w:iCs/>
          <w:szCs w:val="22"/>
        </w:rPr>
        <w:t>received</w:t>
      </w:r>
      <w:r w:rsidR="001167DD" w:rsidRPr="001167DD">
        <w:rPr>
          <w:rFonts w:ascii="Calibri" w:hAnsi="Calibri" w:cs="Calibri"/>
          <w:iCs/>
          <w:szCs w:val="22"/>
        </w:rPr>
        <w:t xml:space="preserve"> and create a response matrix within </w:t>
      </w:r>
      <w:r w:rsidR="001167DD">
        <w:rPr>
          <w:rFonts w:ascii="Calibri" w:hAnsi="Calibri" w:cs="Calibri"/>
          <w:iCs/>
          <w:szCs w:val="22"/>
        </w:rPr>
        <w:t>10</w:t>
      </w:r>
      <w:r w:rsidR="001167DD" w:rsidRPr="001167DD">
        <w:rPr>
          <w:rFonts w:ascii="Calibri" w:hAnsi="Calibri" w:cs="Calibri"/>
          <w:iCs/>
          <w:szCs w:val="22"/>
        </w:rPr>
        <w:t xml:space="preserve"> days of finalizing the public comment period. </w:t>
      </w:r>
      <w:r w:rsidR="000869A4">
        <w:rPr>
          <w:rFonts w:ascii="Calibri" w:hAnsi="Calibri" w:cs="Calibri"/>
          <w:iCs/>
          <w:szCs w:val="22"/>
        </w:rPr>
        <w:t xml:space="preserve">Both the final draft of the SOI and the response matrix </w:t>
      </w:r>
      <w:r w:rsidR="00D378C8">
        <w:rPr>
          <w:rFonts w:ascii="Calibri" w:hAnsi="Calibri" w:cs="Calibri"/>
          <w:iCs/>
          <w:szCs w:val="22"/>
        </w:rPr>
        <w:t xml:space="preserve">will be circulated with the TWC for </w:t>
      </w:r>
      <w:r w:rsidR="00D53FE3">
        <w:rPr>
          <w:rFonts w:ascii="Calibri" w:hAnsi="Calibri" w:cs="Calibri"/>
          <w:iCs/>
          <w:szCs w:val="22"/>
        </w:rPr>
        <w:t>validation on</w:t>
      </w:r>
      <w:r w:rsidR="00D378C8">
        <w:rPr>
          <w:rFonts w:ascii="Calibri" w:hAnsi="Calibri" w:cs="Calibri"/>
          <w:iCs/>
          <w:szCs w:val="22"/>
        </w:rPr>
        <w:t xml:space="preserve"> a non-objection basis</w:t>
      </w:r>
      <w:r w:rsidR="00D53FE3">
        <w:rPr>
          <w:rFonts w:ascii="Calibri" w:hAnsi="Calibri" w:cs="Calibri"/>
          <w:iCs/>
          <w:szCs w:val="22"/>
        </w:rPr>
        <w:t xml:space="preserve"> within 10 days for</w:t>
      </w:r>
      <w:r w:rsidR="001167DD" w:rsidRPr="001167DD">
        <w:rPr>
          <w:rFonts w:ascii="Calibri" w:hAnsi="Calibri" w:cs="Calibri"/>
          <w:iCs/>
          <w:szCs w:val="22"/>
        </w:rPr>
        <w:t xml:space="preserve"> submi</w:t>
      </w:r>
      <w:r w:rsidR="00D53FE3">
        <w:rPr>
          <w:rFonts w:ascii="Calibri" w:hAnsi="Calibri" w:cs="Calibri"/>
          <w:iCs/>
          <w:szCs w:val="22"/>
        </w:rPr>
        <w:t>ssion</w:t>
      </w:r>
      <w:r w:rsidR="001167DD" w:rsidRPr="001167DD">
        <w:rPr>
          <w:rFonts w:ascii="Calibri" w:hAnsi="Calibri" w:cs="Calibri"/>
          <w:iCs/>
          <w:szCs w:val="22"/>
        </w:rPr>
        <w:t xml:space="preserve"> to the </w:t>
      </w:r>
      <w:r w:rsidR="00D53FE3">
        <w:rPr>
          <w:rFonts w:ascii="Calibri" w:hAnsi="Calibri" w:cs="Calibri"/>
          <w:iCs/>
          <w:szCs w:val="22"/>
        </w:rPr>
        <w:t>National Climate Change Board (</w:t>
      </w:r>
      <w:r w:rsidR="001167DD" w:rsidRPr="001167DD">
        <w:rPr>
          <w:rFonts w:ascii="Calibri" w:hAnsi="Calibri" w:cs="Calibri"/>
          <w:iCs/>
          <w:szCs w:val="22"/>
        </w:rPr>
        <w:t>NCCB</w:t>
      </w:r>
      <w:r w:rsidR="00D53FE3">
        <w:rPr>
          <w:rFonts w:ascii="Calibri" w:hAnsi="Calibri" w:cs="Calibri"/>
          <w:iCs/>
          <w:szCs w:val="22"/>
        </w:rPr>
        <w:t>)</w:t>
      </w:r>
      <w:r w:rsidR="001167DD" w:rsidRPr="001167DD">
        <w:rPr>
          <w:rFonts w:ascii="Calibri" w:hAnsi="Calibri" w:cs="Calibri"/>
          <w:iCs/>
          <w:szCs w:val="22"/>
        </w:rPr>
        <w:t xml:space="preserve"> or the National REDD+ Steering Committee (NRSC) for final validation and endorsement.</w:t>
      </w:r>
    </w:p>
    <w:p w14:paraId="61CEA4FE" w14:textId="77777777" w:rsidR="00665B82" w:rsidRPr="00D713EB" w:rsidRDefault="00665B82" w:rsidP="00665B82"/>
    <w:p w14:paraId="4169D4E5" w14:textId="77777777" w:rsidR="00665B82" w:rsidRPr="00D713EB" w:rsidRDefault="00665B82" w:rsidP="009A74DC"/>
    <w:p w14:paraId="10316760" w14:textId="52578133" w:rsidR="009A74DC" w:rsidRPr="00D713EB" w:rsidRDefault="009A74DC" w:rsidP="009A74DC"/>
    <w:p w14:paraId="28B4C752" w14:textId="77777777" w:rsidR="00FC4ABA" w:rsidRPr="00D713EB" w:rsidRDefault="00FC4ABA" w:rsidP="009A74DC">
      <w:pPr>
        <w:pStyle w:val="Heading1"/>
        <w:sectPr w:rsidR="00FC4ABA" w:rsidRPr="00D713EB" w:rsidSect="007F1A14">
          <w:pgSz w:w="11900" w:h="16840"/>
          <w:pgMar w:top="1440" w:right="1440" w:bottom="1440" w:left="1440" w:header="720" w:footer="720" w:gutter="0"/>
          <w:cols w:space="720"/>
          <w:docGrid w:linePitch="360"/>
        </w:sectPr>
      </w:pPr>
    </w:p>
    <w:p w14:paraId="02046BA1" w14:textId="2D50E0FF" w:rsidR="009A74DC" w:rsidRPr="00D713EB" w:rsidRDefault="009A74DC" w:rsidP="009A74DC">
      <w:pPr>
        <w:pStyle w:val="Heading1"/>
      </w:pPr>
      <w:bookmarkStart w:id="16" w:name="_Toc59493625"/>
      <w:r w:rsidRPr="00B34D18">
        <w:t xml:space="preserve">Section </w:t>
      </w:r>
      <w:r w:rsidR="007B445A" w:rsidRPr="00CB624C">
        <w:t>I</w:t>
      </w:r>
      <w:r w:rsidRPr="00B34D18">
        <w:t xml:space="preserve">V: </w:t>
      </w:r>
      <w:r w:rsidR="007B445A" w:rsidRPr="00CB624C">
        <w:t>Guidance</w:t>
      </w:r>
      <w:r w:rsidR="007B445A" w:rsidRPr="00B34D18">
        <w:t xml:space="preserve"> </w:t>
      </w:r>
      <w:r w:rsidRPr="00B34D18">
        <w:t xml:space="preserve">for </w:t>
      </w:r>
      <w:r w:rsidR="007B445A" w:rsidRPr="00CB624C">
        <w:t xml:space="preserve">public </w:t>
      </w:r>
      <w:r w:rsidRPr="00B34D18">
        <w:t>consult</w:t>
      </w:r>
      <w:r w:rsidR="007B445A" w:rsidRPr="00CB624C">
        <w:t>ations</w:t>
      </w:r>
      <w:r w:rsidR="00F814AB" w:rsidRPr="00CB624C">
        <w:t xml:space="preserve">, </w:t>
      </w:r>
      <w:r w:rsidR="002F53E5" w:rsidRPr="00CB624C">
        <w:t>endorsement</w:t>
      </w:r>
      <w:r w:rsidR="007B445A" w:rsidRPr="00CB624C">
        <w:t xml:space="preserve"> </w:t>
      </w:r>
      <w:r w:rsidR="0071195F" w:rsidRPr="00B34D18">
        <w:t>and dissemination of final SOI</w:t>
      </w:r>
      <w:bookmarkEnd w:id="16"/>
    </w:p>
    <w:p w14:paraId="46BB8DB2" w14:textId="1CCDE515" w:rsidR="00DF2235" w:rsidRPr="00D713EB" w:rsidRDefault="00DF2235" w:rsidP="00DF2235"/>
    <w:p w14:paraId="21DA2754" w14:textId="0258B44A" w:rsidR="00936A6B" w:rsidRPr="00D713EB" w:rsidRDefault="00936A6B" w:rsidP="00DF2235">
      <w:r w:rsidRPr="00D713EB">
        <w:t xml:space="preserve">The </w:t>
      </w:r>
      <w:r w:rsidRPr="00CB624C">
        <w:rPr>
          <w:b/>
          <w:bCs/>
        </w:rPr>
        <w:t xml:space="preserve">National Safeguard Specialist </w:t>
      </w:r>
      <w:r w:rsidRPr="00D713EB">
        <w:t>will lead the consultation</w:t>
      </w:r>
      <w:r w:rsidR="002F53E5">
        <w:t>, endorsement and dissemination</w:t>
      </w:r>
      <w:r w:rsidRPr="00D713EB">
        <w:t xml:space="preserve"> process</w:t>
      </w:r>
      <w:r w:rsidR="002F53E5">
        <w:t xml:space="preserve"> of subsequent SOIs</w:t>
      </w:r>
      <w:r w:rsidRPr="00D713EB">
        <w:t>.</w:t>
      </w:r>
      <w:r w:rsidR="002F53E5">
        <w:t xml:space="preserve"> It is worth noting that the consultation and endorsement process will </w:t>
      </w:r>
      <w:r w:rsidR="00B43954">
        <w:t xml:space="preserve">overlap with the analytical process to draft and validate the subsequent SOIs, as detailed in section 3.3 above. </w:t>
      </w:r>
    </w:p>
    <w:p w14:paraId="6EB22798" w14:textId="43A5EFB9" w:rsidR="00936A6B" w:rsidRPr="00D713EB" w:rsidRDefault="00936A6B" w:rsidP="00DF2235"/>
    <w:p w14:paraId="5786B3DD" w14:textId="47DAB284" w:rsidR="00936A6B" w:rsidRPr="00D713EB" w:rsidRDefault="00936A6B" w:rsidP="00936A6B">
      <w:pPr>
        <w:rPr>
          <w:rFonts w:cstheme="minorHAnsi"/>
        </w:rPr>
      </w:pPr>
      <w:r w:rsidRPr="00D713EB">
        <w:rPr>
          <w:rFonts w:cstheme="minorHAnsi"/>
        </w:rPr>
        <w:t>The process and methods for the consultation process are the following:</w:t>
      </w:r>
    </w:p>
    <w:p w14:paraId="4FEA6FA3" w14:textId="77777777" w:rsidR="00936A6B" w:rsidRPr="00D713EB" w:rsidRDefault="00936A6B" w:rsidP="00DF2235"/>
    <w:p w14:paraId="0A347528" w14:textId="2A82DB76" w:rsidR="00936A6B" w:rsidRPr="00D713EB" w:rsidRDefault="00B43954" w:rsidP="00F05573">
      <w:pPr>
        <w:pStyle w:val="ListParagraph"/>
        <w:numPr>
          <w:ilvl w:val="0"/>
          <w:numId w:val="17"/>
        </w:numPr>
        <w:rPr>
          <w:rFonts w:ascii="Calibri" w:hAnsi="Calibri" w:cs="Calibri"/>
          <w:iCs/>
          <w:szCs w:val="22"/>
        </w:rPr>
      </w:pPr>
      <w:r>
        <w:rPr>
          <w:rFonts w:ascii="Calibri" w:hAnsi="Calibri" w:cs="Calibri"/>
          <w:iCs/>
          <w:szCs w:val="22"/>
        </w:rPr>
        <w:t>As detailed in Section 3.3, t</w:t>
      </w:r>
      <w:r w:rsidR="00936A6B" w:rsidRPr="00D713EB">
        <w:rPr>
          <w:rFonts w:ascii="Calibri" w:hAnsi="Calibri" w:cs="Calibri"/>
          <w:iCs/>
          <w:szCs w:val="22"/>
        </w:rPr>
        <w:t xml:space="preserve">he National Safeguard Specialist will post the draft </w:t>
      </w:r>
      <w:r>
        <w:rPr>
          <w:rFonts w:ascii="Calibri" w:hAnsi="Calibri" w:cs="Calibri"/>
          <w:iCs/>
          <w:szCs w:val="22"/>
        </w:rPr>
        <w:t>SOI</w:t>
      </w:r>
      <w:r w:rsidRPr="00D713EB">
        <w:rPr>
          <w:rFonts w:ascii="Calibri" w:hAnsi="Calibri" w:cs="Calibri"/>
          <w:iCs/>
          <w:szCs w:val="22"/>
        </w:rPr>
        <w:t xml:space="preserve"> </w:t>
      </w:r>
      <w:r w:rsidR="00936A6B" w:rsidRPr="00D713EB">
        <w:rPr>
          <w:rFonts w:ascii="Calibri" w:hAnsi="Calibri" w:cs="Calibri"/>
          <w:iCs/>
          <w:szCs w:val="22"/>
        </w:rPr>
        <w:t xml:space="preserve">on the SIS website, and the public </w:t>
      </w:r>
      <w:r w:rsidR="00595664">
        <w:rPr>
          <w:rFonts w:ascii="Calibri" w:hAnsi="Calibri" w:cs="Calibri"/>
          <w:iCs/>
          <w:szCs w:val="22"/>
        </w:rPr>
        <w:t xml:space="preserve">-including relevant stakeholders and civil society- </w:t>
      </w:r>
      <w:r w:rsidR="00936A6B" w:rsidRPr="00D713EB">
        <w:rPr>
          <w:rFonts w:ascii="Calibri" w:hAnsi="Calibri" w:cs="Calibri"/>
          <w:iCs/>
          <w:szCs w:val="22"/>
        </w:rPr>
        <w:t>will have 30 days to submit any written comment</w:t>
      </w:r>
      <w:r w:rsidR="00E63A1C">
        <w:rPr>
          <w:rFonts w:ascii="Calibri" w:hAnsi="Calibri" w:cs="Calibri"/>
          <w:iCs/>
          <w:szCs w:val="22"/>
        </w:rPr>
        <w:t>s</w:t>
      </w:r>
      <w:r w:rsidR="00936A6B" w:rsidRPr="00D713EB">
        <w:rPr>
          <w:rFonts w:ascii="Calibri" w:hAnsi="Calibri" w:cs="Calibri"/>
          <w:iCs/>
          <w:szCs w:val="22"/>
        </w:rPr>
        <w:t xml:space="preserve">. A </w:t>
      </w:r>
      <w:r w:rsidR="00936A6B" w:rsidRPr="00F97017">
        <w:rPr>
          <w:rFonts w:ascii="Calibri" w:hAnsi="Calibri" w:cs="Calibri"/>
          <w:iCs/>
          <w:szCs w:val="22"/>
        </w:rPr>
        <w:t>specific template report</w:t>
      </w:r>
      <w:r w:rsidR="00936A6B" w:rsidRPr="005D2725">
        <w:rPr>
          <w:rFonts w:ascii="Calibri" w:hAnsi="Calibri" w:cs="Calibri"/>
          <w:iCs/>
          <w:szCs w:val="22"/>
        </w:rPr>
        <w:t xml:space="preserve"> may</w:t>
      </w:r>
      <w:r w:rsidR="00936A6B" w:rsidRPr="00D713EB">
        <w:rPr>
          <w:rFonts w:ascii="Calibri" w:hAnsi="Calibri" w:cs="Calibri"/>
          <w:iCs/>
          <w:szCs w:val="22"/>
        </w:rPr>
        <w:t xml:space="preserve"> be provided for stakeholders to submit their comments/feedback.</w:t>
      </w:r>
    </w:p>
    <w:p w14:paraId="064D99BB" w14:textId="35DA864D" w:rsidR="00DD49AE" w:rsidRDefault="00E63A1C" w:rsidP="00F05573">
      <w:pPr>
        <w:pStyle w:val="ListParagraph"/>
        <w:numPr>
          <w:ilvl w:val="0"/>
          <w:numId w:val="17"/>
        </w:numPr>
        <w:rPr>
          <w:rFonts w:ascii="Calibri" w:hAnsi="Calibri" w:cs="Calibri"/>
          <w:iCs/>
          <w:szCs w:val="22"/>
        </w:rPr>
      </w:pPr>
      <w:r>
        <w:rPr>
          <w:rFonts w:ascii="Calibri" w:hAnsi="Calibri" w:cs="Calibri"/>
          <w:iCs/>
          <w:szCs w:val="22"/>
        </w:rPr>
        <w:t>All comments received will be processed by t</w:t>
      </w:r>
      <w:r w:rsidRPr="00D713EB">
        <w:rPr>
          <w:rFonts w:ascii="Calibri" w:hAnsi="Calibri" w:cs="Calibri"/>
          <w:iCs/>
          <w:szCs w:val="22"/>
        </w:rPr>
        <w:t xml:space="preserve">he </w:t>
      </w:r>
      <w:r w:rsidR="00936A6B" w:rsidRPr="00D713EB">
        <w:rPr>
          <w:rFonts w:ascii="Calibri" w:hAnsi="Calibri" w:cs="Calibri"/>
          <w:iCs/>
          <w:szCs w:val="22"/>
        </w:rPr>
        <w:t xml:space="preserve">National Safeguard Specialist </w:t>
      </w:r>
      <w:r>
        <w:rPr>
          <w:rFonts w:ascii="Calibri" w:hAnsi="Calibri" w:cs="Calibri"/>
          <w:iCs/>
          <w:szCs w:val="22"/>
        </w:rPr>
        <w:t>in a</w:t>
      </w:r>
      <w:r w:rsidR="00936A6B" w:rsidRPr="00D713EB">
        <w:rPr>
          <w:rFonts w:ascii="Calibri" w:hAnsi="Calibri" w:cs="Calibri"/>
          <w:iCs/>
          <w:szCs w:val="22"/>
        </w:rPr>
        <w:t xml:space="preserve"> response matrix within </w:t>
      </w:r>
      <w:r w:rsidR="00DD49AE">
        <w:rPr>
          <w:rFonts w:ascii="Calibri" w:hAnsi="Calibri" w:cs="Calibri"/>
          <w:iCs/>
          <w:szCs w:val="22"/>
        </w:rPr>
        <w:t>10</w:t>
      </w:r>
      <w:r w:rsidR="00DD49AE" w:rsidRPr="00D713EB">
        <w:rPr>
          <w:rFonts w:ascii="Calibri" w:hAnsi="Calibri" w:cs="Calibri"/>
          <w:iCs/>
          <w:szCs w:val="22"/>
        </w:rPr>
        <w:t xml:space="preserve"> </w:t>
      </w:r>
      <w:r w:rsidR="00936A6B" w:rsidRPr="00D713EB">
        <w:rPr>
          <w:rFonts w:ascii="Calibri" w:hAnsi="Calibri" w:cs="Calibri"/>
          <w:iCs/>
          <w:szCs w:val="22"/>
        </w:rPr>
        <w:t xml:space="preserve">days of finalizing the public comment period. </w:t>
      </w:r>
    </w:p>
    <w:p w14:paraId="7C9588AA" w14:textId="77777777" w:rsidR="00DD49AE" w:rsidRDefault="00DD49AE" w:rsidP="00DD49AE">
      <w:pPr>
        <w:rPr>
          <w:rFonts w:ascii="Calibri" w:hAnsi="Calibri" w:cs="Calibri"/>
          <w:iCs/>
          <w:szCs w:val="22"/>
        </w:rPr>
      </w:pPr>
    </w:p>
    <w:p w14:paraId="435CE4DD" w14:textId="63F347C9" w:rsidR="00DD49AE" w:rsidRPr="00D713EB" w:rsidRDefault="00DD49AE" w:rsidP="00DD49AE">
      <w:pPr>
        <w:rPr>
          <w:rFonts w:cstheme="minorHAnsi"/>
        </w:rPr>
      </w:pPr>
      <w:r w:rsidRPr="00D713EB">
        <w:rPr>
          <w:rFonts w:cstheme="minorHAnsi"/>
        </w:rPr>
        <w:t xml:space="preserve">The process and methods for the </w:t>
      </w:r>
      <w:r>
        <w:rPr>
          <w:rFonts w:cstheme="minorHAnsi"/>
        </w:rPr>
        <w:t>validation and endorsement</w:t>
      </w:r>
      <w:r w:rsidRPr="00D713EB">
        <w:rPr>
          <w:rFonts w:cstheme="minorHAnsi"/>
        </w:rPr>
        <w:t xml:space="preserve"> process are the following:</w:t>
      </w:r>
    </w:p>
    <w:p w14:paraId="086C7DC8" w14:textId="77777777" w:rsidR="00DD49AE" w:rsidRDefault="00DD49AE" w:rsidP="00DD49AE">
      <w:pPr>
        <w:rPr>
          <w:rFonts w:ascii="Calibri" w:hAnsi="Calibri" w:cs="Calibri"/>
          <w:iCs/>
          <w:szCs w:val="22"/>
        </w:rPr>
      </w:pPr>
    </w:p>
    <w:p w14:paraId="15AC85B0" w14:textId="214DDAE4" w:rsidR="005C50BB" w:rsidRPr="00CB624C" w:rsidRDefault="005F4905" w:rsidP="00CB624C">
      <w:pPr>
        <w:pStyle w:val="ListParagraph"/>
        <w:numPr>
          <w:ilvl w:val="0"/>
          <w:numId w:val="41"/>
        </w:numPr>
        <w:rPr>
          <w:rFonts w:ascii="Calibri" w:hAnsi="Calibri" w:cs="Calibri"/>
          <w:iCs/>
          <w:szCs w:val="22"/>
        </w:rPr>
      </w:pPr>
      <w:r>
        <w:rPr>
          <w:rFonts w:ascii="Calibri" w:hAnsi="Calibri" w:cs="Calibri"/>
          <w:iCs/>
          <w:szCs w:val="22"/>
        </w:rPr>
        <w:t>As detailed in Section 3.3, b</w:t>
      </w:r>
      <w:r w:rsidR="00936A6B" w:rsidRPr="00CB624C">
        <w:rPr>
          <w:rFonts w:ascii="Calibri" w:hAnsi="Calibri" w:cs="Calibri"/>
          <w:iCs/>
          <w:szCs w:val="22"/>
        </w:rPr>
        <w:t>ased on comments received</w:t>
      </w:r>
      <w:r>
        <w:rPr>
          <w:rFonts w:ascii="Calibri" w:hAnsi="Calibri" w:cs="Calibri"/>
          <w:iCs/>
          <w:szCs w:val="22"/>
        </w:rPr>
        <w:t xml:space="preserve"> during the public consultation process</w:t>
      </w:r>
      <w:r w:rsidR="00936A6B" w:rsidRPr="00CB624C">
        <w:rPr>
          <w:rFonts w:ascii="Calibri" w:hAnsi="Calibri" w:cs="Calibri"/>
          <w:iCs/>
          <w:szCs w:val="22"/>
        </w:rPr>
        <w:t xml:space="preserve">, the REDD+ Safeguards TWC </w:t>
      </w:r>
      <w:r>
        <w:rPr>
          <w:rFonts w:ascii="Calibri" w:hAnsi="Calibri" w:cs="Calibri"/>
          <w:iCs/>
          <w:szCs w:val="22"/>
        </w:rPr>
        <w:t xml:space="preserve">supported by the National Safeguards Specialist </w:t>
      </w:r>
      <w:r w:rsidR="00936A6B" w:rsidRPr="00CB624C">
        <w:rPr>
          <w:rFonts w:ascii="Calibri" w:hAnsi="Calibri" w:cs="Calibri"/>
          <w:iCs/>
          <w:szCs w:val="22"/>
        </w:rPr>
        <w:t xml:space="preserve">will submit the final </w:t>
      </w:r>
      <w:r w:rsidR="00654873">
        <w:rPr>
          <w:rFonts w:ascii="Calibri" w:hAnsi="Calibri" w:cs="Calibri"/>
          <w:iCs/>
          <w:szCs w:val="22"/>
        </w:rPr>
        <w:t>SOI</w:t>
      </w:r>
      <w:r w:rsidR="00654873" w:rsidRPr="00CB624C">
        <w:rPr>
          <w:rFonts w:ascii="Calibri" w:hAnsi="Calibri" w:cs="Calibri"/>
          <w:iCs/>
          <w:szCs w:val="22"/>
        </w:rPr>
        <w:t xml:space="preserve"> </w:t>
      </w:r>
      <w:r w:rsidR="00936A6B" w:rsidRPr="00CB624C">
        <w:rPr>
          <w:rFonts w:ascii="Calibri" w:hAnsi="Calibri" w:cs="Calibri"/>
          <w:iCs/>
          <w:szCs w:val="22"/>
        </w:rPr>
        <w:t>to the NCCB or NRSC for final validation and endorsement</w:t>
      </w:r>
      <w:r w:rsidR="005C50BB">
        <w:rPr>
          <w:rFonts w:ascii="Calibri" w:hAnsi="Calibri" w:cs="Calibri"/>
          <w:iCs/>
          <w:szCs w:val="22"/>
        </w:rPr>
        <w:t>, supported by the</w:t>
      </w:r>
      <w:r w:rsidR="005C50BB" w:rsidRPr="002E105A">
        <w:rPr>
          <w:rFonts w:ascii="Calibri" w:hAnsi="Calibri" w:cs="Calibri"/>
          <w:iCs/>
          <w:szCs w:val="22"/>
        </w:rPr>
        <w:t xml:space="preserve"> response matrix that summarizes all comments and responses </w:t>
      </w:r>
      <w:r w:rsidR="005C50BB">
        <w:rPr>
          <w:rFonts w:ascii="Calibri" w:hAnsi="Calibri" w:cs="Calibri"/>
          <w:iCs/>
          <w:szCs w:val="22"/>
        </w:rPr>
        <w:t>resulting from the public consultation process.</w:t>
      </w:r>
    </w:p>
    <w:p w14:paraId="4E952582" w14:textId="3942BDBA" w:rsidR="0071195F" w:rsidRPr="005C50BB" w:rsidRDefault="0071195F" w:rsidP="00CB624C">
      <w:pPr>
        <w:pStyle w:val="ListParagraph"/>
        <w:numPr>
          <w:ilvl w:val="0"/>
          <w:numId w:val="41"/>
        </w:numPr>
        <w:rPr>
          <w:iCs/>
        </w:rPr>
      </w:pPr>
      <w:r w:rsidRPr="005C50BB">
        <w:rPr>
          <w:iCs/>
        </w:rPr>
        <w:t>Once the NCCB/NRSC endorses the final report, the Climate Change and Development Authority (CCDA)</w:t>
      </w:r>
      <w:r w:rsidR="005C50BB">
        <w:rPr>
          <w:iCs/>
        </w:rPr>
        <w:t>, supported by the National Safeguards Specialist,</w:t>
      </w:r>
      <w:r w:rsidRPr="005C50BB">
        <w:rPr>
          <w:iCs/>
        </w:rPr>
        <w:t xml:space="preserve"> will publish </w:t>
      </w:r>
      <w:r w:rsidR="005C50BB">
        <w:rPr>
          <w:iCs/>
        </w:rPr>
        <w:t>the SOI</w:t>
      </w:r>
      <w:r w:rsidR="005C50BB" w:rsidRPr="005C50BB">
        <w:rPr>
          <w:iCs/>
        </w:rPr>
        <w:t xml:space="preserve"> </w:t>
      </w:r>
      <w:r w:rsidRPr="005C50BB">
        <w:rPr>
          <w:iCs/>
        </w:rPr>
        <w:t xml:space="preserve">as a final version on the SIS website. </w:t>
      </w:r>
      <w:r w:rsidR="00256965">
        <w:rPr>
          <w:iCs/>
        </w:rPr>
        <w:t xml:space="preserve">Similarly, the CCDA will submit the SOI to the UNFCCC via the corresponding communication channels as stipulated in relevant UNFCCC Decisions. </w:t>
      </w:r>
      <w:r w:rsidR="009D74B6">
        <w:rPr>
          <w:iCs/>
        </w:rPr>
        <w:t xml:space="preserve">It is worth noting that the final validation and endorsement process may occur during a dedicated </w:t>
      </w:r>
      <w:r w:rsidR="005F3391">
        <w:rPr>
          <w:iCs/>
        </w:rPr>
        <w:t>NCCB or NRSC meeting</w:t>
      </w:r>
      <w:r w:rsidR="007C5103">
        <w:rPr>
          <w:iCs/>
        </w:rPr>
        <w:t xml:space="preserve"> or virtually</w:t>
      </w:r>
      <w:r w:rsidR="00544ABF">
        <w:rPr>
          <w:iCs/>
        </w:rPr>
        <w:t>, in which case a written endorsement by the members of the NCCB or NRSC will be required. In case an in-person validation is deemed appropriate, the meeting will be</w:t>
      </w:r>
      <w:r w:rsidR="005F3391">
        <w:rPr>
          <w:iCs/>
        </w:rPr>
        <w:t xml:space="preserve"> planned and carried out by the National Safeguards Specialist. </w:t>
      </w:r>
    </w:p>
    <w:p w14:paraId="54CF4F02" w14:textId="77777777" w:rsidR="005F3391" w:rsidRDefault="005F3391" w:rsidP="005F3391">
      <w:pPr>
        <w:rPr>
          <w:iCs/>
        </w:rPr>
      </w:pPr>
    </w:p>
    <w:p w14:paraId="2124CC13" w14:textId="23566BFE" w:rsidR="002D066F" w:rsidRPr="005F3391" w:rsidRDefault="005F3391" w:rsidP="00CB624C">
      <w:pPr>
        <w:rPr>
          <w:iCs/>
        </w:rPr>
      </w:pPr>
      <w:r>
        <w:rPr>
          <w:iCs/>
        </w:rPr>
        <w:t xml:space="preserve">For the purposes of transparency of the overall SIS information </w:t>
      </w:r>
      <w:r w:rsidR="006F6D1B">
        <w:rPr>
          <w:iCs/>
        </w:rPr>
        <w:t>management and reporting cycle, t</w:t>
      </w:r>
      <w:r w:rsidR="002D066F" w:rsidRPr="005F3391">
        <w:rPr>
          <w:iCs/>
        </w:rPr>
        <w:t xml:space="preserve">he </w:t>
      </w:r>
      <w:r w:rsidR="00821BE0" w:rsidRPr="005F3391">
        <w:rPr>
          <w:iCs/>
        </w:rPr>
        <w:t xml:space="preserve">entire </w:t>
      </w:r>
      <w:r w:rsidR="002D066F" w:rsidRPr="005F3391">
        <w:rPr>
          <w:iCs/>
        </w:rPr>
        <w:t>consultation process should be documented</w:t>
      </w:r>
      <w:r w:rsidR="00821BE0" w:rsidRPr="005F3391">
        <w:rPr>
          <w:iCs/>
        </w:rPr>
        <w:t xml:space="preserve"> by the </w:t>
      </w:r>
      <w:r w:rsidR="00821BE0" w:rsidRPr="005F3391">
        <w:rPr>
          <w:rFonts w:ascii="Calibri" w:hAnsi="Calibri" w:cs="Calibri"/>
          <w:iCs/>
          <w:szCs w:val="22"/>
        </w:rPr>
        <w:t>National Safeguard Specialist</w:t>
      </w:r>
      <w:r w:rsidR="002D066F" w:rsidRPr="005F3391">
        <w:rPr>
          <w:iCs/>
        </w:rPr>
        <w:t>.</w:t>
      </w:r>
      <w:r w:rsidR="006F6D1B">
        <w:rPr>
          <w:iCs/>
        </w:rPr>
        <w:t xml:space="preserve"> All reports from meetings detailed on sections II, III and IV will be compiled into a </w:t>
      </w:r>
      <w:r w:rsidR="0063137F">
        <w:rPr>
          <w:iCs/>
        </w:rPr>
        <w:t>consolidated report and uploaded in the SIS web page by the National Safeguards Specialist</w:t>
      </w:r>
      <w:r w:rsidR="00544ABF">
        <w:rPr>
          <w:iCs/>
        </w:rPr>
        <w:t xml:space="preserve"> during the first quarter of the subsequent SIS cycle</w:t>
      </w:r>
      <w:r w:rsidR="0063137F">
        <w:rPr>
          <w:iCs/>
        </w:rPr>
        <w:t>.</w:t>
      </w:r>
    </w:p>
    <w:p w14:paraId="650D8224" w14:textId="77777777" w:rsidR="00F201DC" w:rsidRPr="00D713EB" w:rsidRDefault="00F201DC" w:rsidP="00F201DC">
      <w:pPr>
        <w:pStyle w:val="Heading1"/>
        <w:sectPr w:rsidR="00F201DC" w:rsidRPr="00D713EB" w:rsidSect="007F1A14">
          <w:pgSz w:w="11900" w:h="16840"/>
          <w:pgMar w:top="1440" w:right="1440" w:bottom="1440" w:left="1440" w:header="720" w:footer="720" w:gutter="0"/>
          <w:cols w:space="720"/>
          <w:docGrid w:linePitch="360"/>
        </w:sectPr>
      </w:pPr>
    </w:p>
    <w:p w14:paraId="4664E498" w14:textId="47530953" w:rsidR="003246A5" w:rsidRPr="00D713EB" w:rsidRDefault="00F201DC" w:rsidP="00F201DC">
      <w:pPr>
        <w:pStyle w:val="Heading1"/>
      </w:pPr>
      <w:bookmarkStart w:id="17" w:name="_Toc59493626"/>
      <w:r w:rsidRPr="00D713EB">
        <w:t>Annex I: PNG’s description of the UNFCCC REDD+ safeguards</w:t>
      </w:r>
      <w:bookmarkEnd w:id="17"/>
    </w:p>
    <w:p w14:paraId="62917F2F" w14:textId="561BB41C" w:rsidR="00F201DC" w:rsidRPr="00D713EB" w:rsidRDefault="00F201DC" w:rsidP="00741A00"/>
    <w:p w14:paraId="52DBFE13" w14:textId="02FD0703" w:rsidR="00F201DC" w:rsidRPr="00D713EB" w:rsidRDefault="00F201DC" w:rsidP="00F201DC">
      <w:pPr>
        <w:contextualSpacing/>
        <w:rPr>
          <w:color w:val="000000"/>
          <w:szCs w:val="22"/>
        </w:rPr>
      </w:pPr>
      <w:r w:rsidRPr="00D713EB">
        <w:rPr>
          <w:color w:val="000000"/>
          <w:szCs w:val="22"/>
        </w:rPr>
        <w:t>PNG’s description of the UNFCCC REDD+ safeguards includes a narrative description and a breakdown of the core elements of such description/clarification, as follows:</w:t>
      </w:r>
    </w:p>
    <w:p w14:paraId="5CAEEE40" w14:textId="77777777" w:rsidR="00F201DC" w:rsidRPr="00D713EB" w:rsidRDefault="00F201DC" w:rsidP="00F201DC">
      <w:pPr>
        <w:rPr>
          <w:bCs/>
          <w:color w:val="000000"/>
          <w:szCs w:val="22"/>
        </w:rPr>
      </w:pPr>
    </w:p>
    <w:p w14:paraId="3DF6F4CD" w14:textId="77777777" w:rsidR="00F201DC" w:rsidRPr="00D713EB" w:rsidRDefault="00F201DC" w:rsidP="00F201DC">
      <w:pPr>
        <w:pStyle w:val="Heading3"/>
      </w:pPr>
      <w:bookmarkStart w:id="18" w:name="_Toc30068935"/>
      <w:bookmarkStart w:id="19" w:name="_Toc39739747"/>
      <w:bookmarkStart w:id="20" w:name="_Toc59493627"/>
      <w:r w:rsidRPr="00D713EB">
        <w:t>Description of Safeguard A</w:t>
      </w:r>
      <w:bookmarkEnd w:id="18"/>
      <w:bookmarkEnd w:id="19"/>
      <w:bookmarkEnd w:id="20"/>
    </w:p>
    <w:p w14:paraId="461A375C" w14:textId="77777777" w:rsidR="00F201DC" w:rsidRPr="00D713EB" w:rsidRDefault="00F201DC" w:rsidP="00F201DC"/>
    <w:p w14:paraId="76CAAAEC" w14:textId="77777777" w:rsidR="00F201DC" w:rsidRPr="00D713EB" w:rsidRDefault="00F201DC" w:rsidP="00F201DC">
      <w:pPr>
        <w:rPr>
          <w:rFonts w:cstheme="minorHAnsi"/>
          <w:b/>
          <w:bCs/>
          <w:i/>
          <w:iCs/>
          <w:szCs w:val="22"/>
        </w:rPr>
      </w:pPr>
      <w:r w:rsidRPr="00D713EB">
        <w:rPr>
          <w:rFonts w:cstheme="minorHAnsi"/>
          <w:b/>
          <w:bCs/>
          <w:i/>
          <w:iCs/>
          <w:szCs w:val="22"/>
        </w:rPr>
        <w:t>Narrative description:</w:t>
      </w:r>
    </w:p>
    <w:p w14:paraId="580C0C28" w14:textId="77777777" w:rsidR="00F201DC" w:rsidRPr="00D713EB" w:rsidRDefault="00F201DC" w:rsidP="00F201DC">
      <w:r w:rsidRPr="00D713EB">
        <w:t>The National REDD+ Strategy must be implemented in compliance with the objectives of national forest programmes, and consistent with the provisions of the relevant treaties and international conventions to which PNG is Party.</w:t>
      </w:r>
    </w:p>
    <w:p w14:paraId="613B2E13" w14:textId="77777777" w:rsidR="00F201DC" w:rsidRPr="00D713EB" w:rsidRDefault="00F201DC" w:rsidP="00F201DC">
      <w:pPr>
        <w:rPr>
          <w:b/>
          <w:i/>
          <w:szCs w:val="22"/>
        </w:rPr>
      </w:pPr>
    </w:p>
    <w:p w14:paraId="36637D0C" w14:textId="77777777" w:rsidR="00F201DC" w:rsidRPr="00D713EB" w:rsidRDefault="00F201DC" w:rsidP="00F201DC">
      <w:pPr>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21C10FA6" w14:textId="77777777" w:rsidR="00F201DC" w:rsidRPr="00D713EB" w:rsidRDefault="00F201DC" w:rsidP="00F05573">
      <w:pPr>
        <w:pStyle w:val="ListParagraph"/>
        <w:numPr>
          <w:ilvl w:val="0"/>
          <w:numId w:val="7"/>
        </w:numPr>
        <w:spacing w:before="200" w:after="200" w:line="276" w:lineRule="auto"/>
        <w:jc w:val="left"/>
        <w:rPr>
          <w:i/>
        </w:rPr>
      </w:pPr>
      <w:r w:rsidRPr="00D713EB">
        <w:t>The National REDD+ Strategy is consistent with the objectives of national forest programmes</w:t>
      </w:r>
    </w:p>
    <w:p w14:paraId="0682286D" w14:textId="77777777" w:rsidR="00F201DC" w:rsidRPr="00D713EB" w:rsidRDefault="00F201DC" w:rsidP="00F05573">
      <w:pPr>
        <w:pStyle w:val="ListParagraph"/>
        <w:numPr>
          <w:ilvl w:val="0"/>
          <w:numId w:val="7"/>
        </w:numPr>
        <w:spacing w:before="200" w:after="200" w:line="276" w:lineRule="auto"/>
        <w:jc w:val="left"/>
        <w:rPr>
          <w:i/>
        </w:rPr>
      </w:pPr>
      <w:r w:rsidRPr="00D713EB">
        <w:t>The National REDD+ Strategy is consistent with relevant and applicable international conventions and agreements</w:t>
      </w:r>
    </w:p>
    <w:p w14:paraId="4A559E43" w14:textId="77777777" w:rsidR="00F201DC" w:rsidRPr="00D713EB" w:rsidRDefault="00F201DC" w:rsidP="00F201DC">
      <w:pPr>
        <w:rPr>
          <w:i/>
          <w:szCs w:val="22"/>
        </w:rPr>
      </w:pPr>
    </w:p>
    <w:p w14:paraId="51A540D0" w14:textId="77777777" w:rsidR="00F201DC" w:rsidRPr="00D713EB" w:rsidRDefault="00F201DC" w:rsidP="00F201DC">
      <w:pPr>
        <w:pStyle w:val="Heading3"/>
      </w:pPr>
      <w:bookmarkStart w:id="21" w:name="_Toc30068936"/>
      <w:bookmarkStart w:id="22" w:name="_Toc39739748"/>
      <w:bookmarkStart w:id="23" w:name="_Toc59493628"/>
      <w:r w:rsidRPr="00D713EB">
        <w:t>Description of Safeguard B</w:t>
      </w:r>
      <w:bookmarkEnd w:id="21"/>
      <w:bookmarkEnd w:id="22"/>
      <w:bookmarkEnd w:id="23"/>
    </w:p>
    <w:p w14:paraId="4BB4488C" w14:textId="77777777" w:rsidR="00F201DC" w:rsidRPr="00D713EB" w:rsidRDefault="00F201DC" w:rsidP="00F201DC">
      <w:pPr>
        <w:rPr>
          <w:rFonts w:cstheme="minorHAnsi"/>
          <w:b/>
          <w:bCs/>
          <w:i/>
          <w:iCs/>
          <w:szCs w:val="22"/>
        </w:rPr>
      </w:pPr>
    </w:p>
    <w:p w14:paraId="5E500CA8" w14:textId="77777777" w:rsidR="00F201DC" w:rsidRPr="00D713EB" w:rsidRDefault="00F201DC" w:rsidP="00F201DC">
      <w:pPr>
        <w:rPr>
          <w:rFonts w:cstheme="minorHAnsi"/>
          <w:b/>
          <w:bCs/>
          <w:i/>
          <w:iCs/>
          <w:szCs w:val="22"/>
        </w:rPr>
      </w:pPr>
      <w:r w:rsidRPr="00D713EB">
        <w:rPr>
          <w:rFonts w:cstheme="minorHAnsi"/>
          <w:b/>
          <w:bCs/>
          <w:i/>
          <w:iCs/>
          <w:szCs w:val="22"/>
        </w:rPr>
        <w:t>Narrative description:</w:t>
      </w:r>
    </w:p>
    <w:p w14:paraId="40027527" w14:textId="77777777" w:rsidR="00F201DC" w:rsidRPr="00D713EB" w:rsidRDefault="00F201DC" w:rsidP="00F201DC">
      <w:pPr>
        <w:spacing w:before="120" w:after="120"/>
        <w:rPr>
          <w:rFonts w:ascii="Calibri" w:eastAsia="Calibri" w:hAnsi="Calibri" w:cs="Arial"/>
          <w:szCs w:val="22"/>
        </w:rPr>
      </w:pPr>
      <w:r w:rsidRPr="00D713EB">
        <w:rPr>
          <w:rFonts w:cstheme="minorHAnsi"/>
          <w:szCs w:val="22"/>
        </w:rPr>
        <w:t>Transparency and effectiveness of forest governance structures, including the right to access to information, accountability, access to justice and the recognition and protection of land use rights are promoted and regulated in the scope of the application of the National REDD+ Strategy through the relevant PLRs of the country.</w:t>
      </w:r>
    </w:p>
    <w:p w14:paraId="39553721" w14:textId="77777777" w:rsidR="00F201DC" w:rsidRPr="00D713EB" w:rsidRDefault="00F201DC" w:rsidP="00F201DC">
      <w:pPr>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1530BE4A" w14:textId="77777777" w:rsidR="00F201DC" w:rsidRPr="00D713EB" w:rsidRDefault="00F201DC" w:rsidP="00F05573">
      <w:pPr>
        <w:pStyle w:val="ListParagraph"/>
        <w:numPr>
          <w:ilvl w:val="0"/>
          <w:numId w:val="3"/>
        </w:numPr>
        <w:spacing w:before="120" w:after="120"/>
        <w:rPr>
          <w:rFonts w:cstheme="minorHAnsi"/>
          <w:szCs w:val="22"/>
        </w:rPr>
      </w:pPr>
      <w:r w:rsidRPr="00D713EB">
        <w:rPr>
          <w:rFonts w:cstheme="minorHAnsi"/>
          <w:szCs w:val="22"/>
        </w:rPr>
        <w:t xml:space="preserve">The right to access information is recognized and protected in the context of the implementation of the National REDD+ Strategy </w:t>
      </w:r>
    </w:p>
    <w:p w14:paraId="0A00D36F" w14:textId="77777777" w:rsidR="00F201DC" w:rsidRPr="00D713EB" w:rsidRDefault="00F201DC" w:rsidP="00F05573">
      <w:pPr>
        <w:pStyle w:val="ListParagraph"/>
        <w:numPr>
          <w:ilvl w:val="0"/>
          <w:numId w:val="3"/>
        </w:numPr>
        <w:spacing w:before="120" w:after="120"/>
        <w:rPr>
          <w:rFonts w:cstheme="minorHAnsi"/>
          <w:szCs w:val="22"/>
        </w:rPr>
      </w:pPr>
      <w:r w:rsidRPr="00D713EB">
        <w:rPr>
          <w:rFonts w:cstheme="minorHAnsi"/>
          <w:szCs w:val="22"/>
        </w:rPr>
        <w:t>Accountability is guaranteed in the context of the implementation of the National REDD+ Strategy</w:t>
      </w:r>
    </w:p>
    <w:p w14:paraId="5CBC05CA" w14:textId="77777777" w:rsidR="00F201DC" w:rsidRPr="00D713EB" w:rsidRDefault="00F201DC" w:rsidP="00F05573">
      <w:pPr>
        <w:pStyle w:val="ListParagraph"/>
        <w:numPr>
          <w:ilvl w:val="0"/>
          <w:numId w:val="3"/>
        </w:numPr>
        <w:spacing w:before="120" w:after="120"/>
        <w:rPr>
          <w:rFonts w:cstheme="minorHAnsi"/>
          <w:szCs w:val="22"/>
        </w:rPr>
      </w:pPr>
      <w:r w:rsidRPr="00D713EB">
        <w:rPr>
          <w:rFonts w:cstheme="minorHAnsi"/>
          <w:szCs w:val="22"/>
        </w:rPr>
        <w:t>The right to access justice is recognized and protected in the context of the implementation of the National REDD+ Strategy</w:t>
      </w:r>
    </w:p>
    <w:p w14:paraId="343706A0" w14:textId="77777777" w:rsidR="00F201DC" w:rsidRPr="00D713EB" w:rsidRDefault="00F201DC" w:rsidP="00F05573">
      <w:pPr>
        <w:pStyle w:val="ListParagraph"/>
        <w:numPr>
          <w:ilvl w:val="0"/>
          <w:numId w:val="3"/>
        </w:numPr>
        <w:spacing w:before="120" w:after="120"/>
        <w:rPr>
          <w:rFonts w:ascii="Calibri" w:eastAsia="Calibri" w:hAnsi="Calibri" w:cs="Arial"/>
          <w:i/>
        </w:rPr>
      </w:pPr>
      <w:r w:rsidRPr="00D713EB">
        <w:rPr>
          <w:rFonts w:cstheme="minorHAnsi"/>
          <w:szCs w:val="22"/>
        </w:rPr>
        <w:t>Rights over forest land are recognized and protected in the context of the implementation of the National REDD+ Strategy</w:t>
      </w:r>
    </w:p>
    <w:p w14:paraId="3E0605B6" w14:textId="77777777" w:rsidR="00F201DC" w:rsidRPr="00D713EB" w:rsidRDefault="00F201DC" w:rsidP="00F201DC">
      <w:pPr>
        <w:pStyle w:val="ListParagraph"/>
        <w:spacing w:before="120" w:after="120"/>
        <w:rPr>
          <w:rFonts w:ascii="Calibri" w:eastAsia="Calibri" w:hAnsi="Calibri" w:cs="Arial"/>
          <w:i/>
        </w:rPr>
      </w:pPr>
    </w:p>
    <w:p w14:paraId="0815EBF1" w14:textId="77777777" w:rsidR="00F201DC" w:rsidRPr="00D713EB" w:rsidRDefault="00F201DC" w:rsidP="00F201DC">
      <w:pPr>
        <w:pStyle w:val="Heading3"/>
      </w:pPr>
      <w:bookmarkStart w:id="24" w:name="_Toc30068937"/>
      <w:bookmarkStart w:id="25" w:name="_Toc39739749"/>
      <w:bookmarkStart w:id="26" w:name="_Toc59493629"/>
      <w:r w:rsidRPr="00D713EB">
        <w:t>Description of Safeguard C</w:t>
      </w:r>
      <w:bookmarkEnd w:id="24"/>
      <w:bookmarkEnd w:id="25"/>
      <w:bookmarkEnd w:id="26"/>
    </w:p>
    <w:p w14:paraId="4C092157" w14:textId="77777777" w:rsidR="00F201DC" w:rsidRPr="00D713EB" w:rsidRDefault="00F201DC" w:rsidP="00F201DC">
      <w:pPr>
        <w:rPr>
          <w:rFonts w:cstheme="minorHAnsi"/>
          <w:b/>
          <w:bCs/>
          <w:i/>
          <w:iCs/>
          <w:szCs w:val="22"/>
        </w:rPr>
      </w:pPr>
    </w:p>
    <w:p w14:paraId="1550E791" w14:textId="77777777" w:rsidR="00F201DC" w:rsidRPr="00D713EB" w:rsidRDefault="00F201DC" w:rsidP="00F201DC">
      <w:pPr>
        <w:rPr>
          <w:rFonts w:cstheme="minorHAnsi"/>
          <w:b/>
          <w:bCs/>
          <w:i/>
          <w:iCs/>
          <w:szCs w:val="22"/>
        </w:rPr>
      </w:pPr>
      <w:bookmarkStart w:id="27" w:name="_Toc30068938"/>
      <w:bookmarkStart w:id="28" w:name="_Toc39739750"/>
      <w:r w:rsidRPr="00D713EB">
        <w:rPr>
          <w:rFonts w:cstheme="minorHAnsi"/>
          <w:b/>
          <w:bCs/>
          <w:i/>
          <w:iCs/>
          <w:szCs w:val="22"/>
        </w:rPr>
        <w:t>Narrative description:</w:t>
      </w:r>
    </w:p>
    <w:p w14:paraId="5BD05ACC" w14:textId="77777777" w:rsidR="00F201DC" w:rsidRPr="00D713EB" w:rsidRDefault="00F201DC" w:rsidP="00F201DC">
      <w:pPr>
        <w:rPr>
          <w:rFonts w:cstheme="minorHAnsi"/>
          <w:iCs/>
          <w:szCs w:val="22"/>
        </w:rPr>
      </w:pPr>
      <w:r w:rsidRPr="00D713EB">
        <w:rPr>
          <w:rFonts w:cstheme="minorHAnsi"/>
          <w:iCs/>
          <w:szCs w:val="22"/>
        </w:rPr>
        <w:t>The recognition of, and respect for the rights of customary landowners, local communities and vulnerable groups in accordance with the relevant PLRs is applicable to the implementation of the National REDD+ Strategy; including the rights to non-discrimination, traditional knowledge and culture, self-determination, benefit sharing and collective tenure rights.</w:t>
      </w:r>
    </w:p>
    <w:p w14:paraId="63383BFE" w14:textId="77777777" w:rsidR="00F201DC" w:rsidRPr="00D713EB" w:rsidRDefault="00F201DC" w:rsidP="00F201DC">
      <w:pPr>
        <w:rPr>
          <w:rFonts w:cstheme="minorHAnsi"/>
          <w:i/>
          <w:iCs/>
          <w:szCs w:val="22"/>
        </w:rPr>
      </w:pPr>
    </w:p>
    <w:p w14:paraId="7F627116" w14:textId="77777777" w:rsidR="00F201DC" w:rsidRPr="00D713EB" w:rsidRDefault="00F201DC" w:rsidP="00F201DC">
      <w:pPr>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7E9955D2" w14:textId="77777777" w:rsidR="00F201DC" w:rsidRPr="00D713EB" w:rsidRDefault="00F201DC" w:rsidP="00F05573">
      <w:pPr>
        <w:pStyle w:val="ListParagraph"/>
        <w:numPr>
          <w:ilvl w:val="0"/>
          <w:numId w:val="4"/>
        </w:numPr>
        <w:spacing w:before="200" w:after="200" w:line="276" w:lineRule="auto"/>
        <w:rPr>
          <w:rFonts w:cstheme="minorHAnsi"/>
          <w:szCs w:val="22"/>
        </w:rPr>
      </w:pPr>
      <w:r w:rsidRPr="00D713EB">
        <w:rPr>
          <w:rFonts w:cstheme="minorHAnsi"/>
          <w:szCs w:val="22"/>
        </w:rPr>
        <w:t>The rights of customary landowners, local communities and vulnerable groups are promoted and protected in the context of the application of the National REDD+ Strategy, in consistency with relevant and applicable international conventions and treaties.</w:t>
      </w:r>
    </w:p>
    <w:p w14:paraId="5B7E4ACE" w14:textId="77777777" w:rsidR="00F201DC" w:rsidRPr="00D713EB" w:rsidRDefault="00F201DC" w:rsidP="00F05573">
      <w:pPr>
        <w:pStyle w:val="ListParagraph"/>
        <w:numPr>
          <w:ilvl w:val="0"/>
          <w:numId w:val="4"/>
        </w:numPr>
        <w:spacing w:before="200" w:after="200" w:line="276" w:lineRule="auto"/>
        <w:rPr>
          <w:rFonts w:cstheme="minorHAnsi"/>
          <w:szCs w:val="22"/>
        </w:rPr>
      </w:pPr>
      <w:r w:rsidRPr="00D713EB">
        <w:rPr>
          <w:rFonts w:cstheme="minorHAnsi"/>
          <w:szCs w:val="22"/>
        </w:rPr>
        <w:t>Traditional knowledge is recognized and protected in the context of the application of the National REDD+ Strategy</w:t>
      </w:r>
    </w:p>
    <w:p w14:paraId="1708A1DF" w14:textId="77777777" w:rsidR="00F201DC" w:rsidRPr="00D713EB" w:rsidRDefault="00F201DC" w:rsidP="00F201DC">
      <w:pPr>
        <w:pStyle w:val="Heading3"/>
      </w:pPr>
      <w:bookmarkStart w:id="29" w:name="_Toc59493630"/>
      <w:r w:rsidRPr="00D713EB">
        <w:t>Description of Safeguard D</w:t>
      </w:r>
      <w:bookmarkEnd w:id="27"/>
      <w:bookmarkEnd w:id="28"/>
      <w:bookmarkEnd w:id="29"/>
    </w:p>
    <w:p w14:paraId="4136A41B" w14:textId="77777777" w:rsidR="00F201DC" w:rsidRPr="00D713EB" w:rsidRDefault="00F201DC" w:rsidP="00F201DC">
      <w:pPr>
        <w:rPr>
          <w:rFonts w:cstheme="minorHAnsi"/>
          <w:b/>
          <w:bCs/>
          <w:i/>
          <w:iCs/>
          <w:szCs w:val="22"/>
        </w:rPr>
      </w:pPr>
    </w:p>
    <w:p w14:paraId="68426D35" w14:textId="77777777" w:rsidR="00F201DC" w:rsidRPr="00D713EB" w:rsidRDefault="00F201DC" w:rsidP="00F201DC">
      <w:pPr>
        <w:rPr>
          <w:rFonts w:cstheme="minorHAnsi"/>
          <w:b/>
          <w:bCs/>
          <w:i/>
          <w:iCs/>
          <w:szCs w:val="22"/>
        </w:rPr>
      </w:pPr>
      <w:bookmarkStart w:id="30" w:name="_Toc30068939"/>
      <w:bookmarkStart w:id="31" w:name="_Toc39739751"/>
      <w:r w:rsidRPr="00D713EB">
        <w:rPr>
          <w:rFonts w:cstheme="minorHAnsi"/>
          <w:b/>
          <w:bCs/>
          <w:i/>
          <w:iCs/>
          <w:szCs w:val="22"/>
        </w:rPr>
        <w:t>Narrative description:</w:t>
      </w:r>
    </w:p>
    <w:p w14:paraId="57647C72" w14:textId="77777777" w:rsidR="00F201DC" w:rsidRPr="00D713EB" w:rsidRDefault="00F201DC" w:rsidP="00F201DC">
      <w:pPr>
        <w:spacing w:before="120" w:after="120"/>
        <w:rPr>
          <w:rFonts w:cstheme="minorHAnsi"/>
          <w:szCs w:val="22"/>
        </w:rPr>
      </w:pPr>
      <w:r w:rsidRPr="00D713EB">
        <w:rPr>
          <w:rFonts w:cstheme="minorHAnsi"/>
          <w:szCs w:val="22"/>
        </w:rPr>
        <w:t xml:space="preserve">The right to participate, in particular for </w:t>
      </w:r>
      <w:r w:rsidRPr="00D713EB">
        <w:rPr>
          <w:rFonts w:cstheme="minorHAnsi"/>
          <w:iCs/>
          <w:szCs w:val="22"/>
        </w:rPr>
        <w:t>customary landowners, local communities and vulnerable groups</w:t>
      </w:r>
      <w:r w:rsidRPr="00D713EB">
        <w:rPr>
          <w:rFonts w:cstheme="minorHAnsi"/>
          <w:szCs w:val="22"/>
        </w:rPr>
        <w:t>, is recognized and promoted under the National REDD+ Strategy through the relevant PLRs of the country, which include the promotion of gender equality and the right to free, prior and informed consent.</w:t>
      </w:r>
    </w:p>
    <w:p w14:paraId="4506F45C" w14:textId="77777777" w:rsidR="00F201DC" w:rsidRPr="00D713EB" w:rsidRDefault="00F201DC" w:rsidP="00F201DC">
      <w:pPr>
        <w:spacing w:before="120" w:after="120"/>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36D94A2F" w14:textId="77777777" w:rsidR="00F201DC" w:rsidRPr="00D713EB" w:rsidRDefault="00F201DC" w:rsidP="00F05573">
      <w:pPr>
        <w:pStyle w:val="ListParagraph"/>
        <w:numPr>
          <w:ilvl w:val="0"/>
          <w:numId w:val="5"/>
        </w:numPr>
        <w:spacing w:before="120" w:after="120"/>
        <w:rPr>
          <w:rFonts w:cstheme="minorHAnsi"/>
          <w:szCs w:val="22"/>
        </w:rPr>
      </w:pPr>
      <w:r w:rsidRPr="00D713EB">
        <w:rPr>
          <w:rFonts w:cstheme="minorHAnsi"/>
          <w:szCs w:val="22"/>
        </w:rPr>
        <w:t xml:space="preserve">The right to participate in the design and implementation of the National REDD+ Strategy is recognized and promoted. </w:t>
      </w:r>
    </w:p>
    <w:p w14:paraId="48FFC1F8" w14:textId="77777777" w:rsidR="00F201DC" w:rsidRPr="00D713EB" w:rsidRDefault="00F201DC" w:rsidP="00F05573">
      <w:pPr>
        <w:pStyle w:val="ListParagraph"/>
        <w:numPr>
          <w:ilvl w:val="0"/>
          <w:numId w:val="5"/>
        </w:numPr>
        <w:spacing w:before="120" w:after="120"/>
        <w:rPr>
          <w:color w:val="000000"/>
          <w:szCs w:val="22"/>
        </w:rPr>
      </w:pPr>
      <w:r w:rsidRPr="00D713EB">
        <w:rPr>
          <w:rFonts w:cstheme="minorHAnsi"/>
          <w:szCs w:val="22"/>
        </w:rPr>
        <w:t>Customary landowners’, local communities’ and vulnerable groups’ right to participate, including their Free, Prior and Informed Consent (FPIC), is recognized and promoted in the context of the application of the National REDD+ Strategy</w:t>
      </w:r>
    </w:p>
    <w:p w14:paraId="16C11938" w14:textId="77777777" w:rsidR="00F201DC" w:rsidRPr="00D713EB" w:rsidRDefault="00F201DC" w:rsidP="00F05573">
      <w:pPr>
        <w:pStyle w:val="ListParagraph"/>
        <w:numPr>
          <w:ilvl w:val="0"/>
          <w:numId w:val="5"/>
        </w:numPr>
        <w:spacing w:before="120" w:after="120"/>
        <w:rPr>
          <w:color w:val="000000"/>
          <w:szCs w:val="22"/>
        </w:rPr>
      </w:pPr>
      <w:r w:rsidRPr="00D713EB">
        <w:rPr>
          <w:rFonts w:cstheme="minorHAnsi"/>
          <w:szCs w:val="22"/>
        </w:rPr>
        <w:t>Gender equality is promoted and protected in the context of the implementation of the National REDD+ Strategy</w:t>
      </w:r>
    </w:p>
    <w:p w14:paraId="08F12FD2" w14:textId="77777777" w:rsidR="00F201DC" w:rsidRPr="00D713EB" w:rsidRDefault="00F201DC" w:rsidP="00F201DC">
      <w:pPr>
        <w:pStyle w:val="Heading3"/>
      </w:pPr>
      <w:bookmarkStart w:id="32" w:name="_Toc59493631"/>
      <w:r w:rsidRPr="00D713EB">
        <w:t>Description of Safeguard E</w:t>
      </w:r>
      <w:bookmarkEnd w:id="30"/>
      <w:bookmarkEnd w:id="31"/>
      <w:bookmarkEnd w:id="32"/>
    </w:p>
    <w:p w14:paraId="27C440CA" w14:textId="77777777" w:rsidR="00F201DC" w:rsidRPr="00D713EB" w:rsidRDefault="00F201DC" w:rsidP="00F201DC">
      <w:pPr>
        <w:rPr>
          <w:rFonts w:cstheme="minorHAnsi"/>
          <w:b/>
          <w:bCs/>
          <w:i/>
          <w:iCs/>
          <w:szCs w:val="22"/>
        </w:rPr>
      </w:pPr>
    </w:p>
    <w:p w14:paraId="2EF65362" w14:textId="77777777" w:rsidR="00F201DC" w:rsidRPr="00D713EB" w:rsidRDefault="00F201DC" w:rsidP="00F201DC">
      <w:pPr>
        <w:rPr>
          <w:rFonts w:cstheme="minorHAnsi"/>
          <w:b/>
          <w:bCs/>
          <w:i/>
          <w:iCs/>
          <w:szCs w:val="22"/>
        </w:rPr>
      </w:pPr>
      <w:bookmarkStart w:id="33" w:name="_Toc30068940"/>
      <w:bookmarkStart w:id="34" w:name="_Toc39739752"/>
      <w:r w:rsidRPr="00D713EB">
        <w:rPr>
          <w:rFonts w:cstheme="minorHAnsi"/>
          <w:b/>
          <w:bCs/>
          <w:i/>
          <w:iCs/>
          <w:szCs w:val="22"/>
        </w:rPr>
        <w:t>Narrative description:</w:t>
      </w:r>
    </w:p>
    <w:p w14:paraId="3AE9B3D0" w14:textId="77777777" w:rsidR="00F201DC" w:rsidRPr="00D713EB" w:rsidRDefault="00F201DC" w:rsidP="00F201DC">
      <w:pPr>
        <w:rPr>
          <w:rFonts w:cstheme="minorHAnsi"/>
          <w:szCs w:val="22"/>
        </w:rPr>
      </w:pPr>
      <w:r w:rsidRPr="00D713EB">
        <w:rPr>
          <w:rFonts w:cstheme="minorHAnsi"/>
          <w:szCs w:val="22"/>
        </w:rPr>
        <w:t>REDD+ actions under the National REDD+ Strategy will promote the conservation of natural forests and biodiversity, the enhancement of social and environmental benefits, and will not result in the conversion of natural forests, in accordance with the relevant PLRs in the country.</w:t>
      </w:r>
    </w:p>
    <w:p w14:paraId="32A40AE7" w14:textId="77777777" w:rsidR="00F201DC" w:rsidRPr="00D713EB" w:rsidRDefault="00F201DC" w:rsidP="00F201DC">
      <w:pPr>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5A431FAD" w14:textId="77777777" w:rsidR="00F201DC" w:rsidRPr="00D713EB" w:rsidRDefault="00F201DC" w:rsidP="00F05573">
      <w:pPr>
        <w:pStyle w:val="ListParagraph"/>
        <w:numPr>
          <w:ilvl w:val="0"/>
          <w:numId w:val="6"/>
        </w:numPr>
        <w:spacing w:before="120" w:after="120"/>
        <w:rPr>
          <w:rFonts w:cstheme="minorHAnsi"/>
          <w:szCs w:val="22"/>
        </w:rPr>
      </w:pPr>
      <w:r w:rsidRPr="00D713EB">
        <w:rPr>
          <w:rFonts w:cstheme="minorHAnsi"/>
          <w:szCs w:val="22"/>
        </w:rPr>
        <w:t>The National REDD+ Strategy is consistent with the conservation of natural forests and biological diversity</w:t>
      </w:r>
    </w:p>
    <w:p w14:paraId="5C230EEE" w14:textId="77777777" w:rsidR="00F201DC" w:rsidRPr="00D713EB" w:rsidRDefault="00F201DC" w:rsidP="00F05573">
      <w:pPr>
        <w:pStyle w:val="ListParagraph"/>
        <w:numPr>
          <w:ilvl w:val="0"/>
          <w:numId w:val="6"/>
        </w:numPr>
        <w:spacing w:before="120" w:after="120"/>
        <w:rPr>
          <w:rFonts w:ascii="Calibri" w:eastAsia="Calibri" w:hAnsi="Calibri" w:cs="Arial"/>
          <w:i/>
          <w:iCs/>
        </w:rPr>
      </w:pPr>
      <w:r w:rsidRPr="00D713EB">
        <w:rPr>
          <w:rFonts w:cstheme="minorHAnsi"/>
          <w:szCs w:val="22"/>
        </w:rPr>
        <w:t>The National REDD+ Strategy will not incentivise the conversion of natural forests</w:t>
      </w:r>
    </w:p>
    <w:p w14:paraId="4800AD8E" w14:textId="77777777" w:rsidR="00F201DC" w:rsidRPr="00D713EB" w:rsidRDefault="00F201DC" w:rsidP="00F05573">
      <w:pPr>
        <w:pStyle w:val="ListParagraph"/>
        <w:numPr>
          <w:ilvl w:val="0"/>
          <w:numId w:val="6"/>
        </w:numPr>
        <w:spacing w:before="120" w:after="120"/>
        <w:rPr>
          <w:rFonts w:ascii="Calibri" w:eastAsia="Calibri" w:hAnsi="Calibri" w:cs="Arial"/>
          <w:i/>
          <w:iCs/>
        </w:rPr>
      </w:pPr>
      <w:r w:rsidRPr="00D713EB">
        <w:rPr>
          <w:rFonts w:cstheme="minorHAnsi"/>
          <w:szCs w:val="22"/>
        </w:rPr>
        <w:t>Enhancement of and the right to a fair distribution of benefits is recognized and protected in the context of the implementation of the National REDD+ Strategy</w:t>
      </w:r>
    </w:p>
    <w:p w14:paraId="5D0F0C68" w14:textId="77777777" w:rsidR="00F201DC" w:rsidRPr="00D713EB" w:rsidRDefault="00F201DC" w:rsidP="00F201DC">
      <w:pPr>
        <w:pStyle w:val="Heading3"/>
      </w:pPr>
      <w:bookmarkStart w:id="35" w:name="_Toc59493632"/>
      <w:r w:rsidRPr="00D713EB">
        <w:t>Description of Safeguard F and G</w:t>
      </w:r>
      <w:bookmarkEnd w:id="33"/>
      <w:bookmarkEnd w:id="34"/>
      <w:bookmarkEnd w:id="35"/>
    </w:p>
    <w:p w14:paraId="255BDA3C" w14:textId="77777777" w:rsidR="00F201DC" w:rsidRPr="00D713EB" w:rsidRDefault="00F201DC" w:rsidP="00F201DC">
      <w:pPr>
        <w:rPr>
          <w:rFonts w:cstheme="minorHAnsi"/>
          <w:b/>
          <w:bCs/>
          <w:i/>
          <w:iCs/>
          <w:szCs w:val="22"/>
        </w:rPr>
      </w:pPr>
    </w:p>
    <w:p w14:paraId="4FCFEB37" w14:textId="77777777" w:rsidR="00F201DC" w:rsidRPr="00D713EB" w:rsidRDefault="00F201DC" w:rsidP="00F201DC">
      <w:pPr>
        <w:rPr>
          <w:rFonts w:cstheme="minorHAnsi"/>
          <w:b/>
          <w:bCs/>
          <w:i/>
          <w:iCs/>
          <w:szCs w:val="22"/>
        </w:rPr>
      </w:pPr>
      <w:r w:rsidRPr="00D713EB">
        <w:rPr>
          <w:rFonts w:cstheme="minorHAnsi"/>
          <w:b/>
          <w:bCs/>
          <w:i/>
          <w:iCs/>
          <w:szCs w:val="22"/>
        </w:rPr>
        <w:t>Narrative description:</w:t>
      </w:r>
    </w:p>
    <w:p w14:paraId="767F7864" w14:textId="77777777" w:rsidR="00F201DC" w:rsidRPr="00D713EB" w:rsidRDefault="00F201DC" w:rsidP="00F201DC">
      <w:pPr>
        <w:rPr>
          <w:rFonts w:cstheme="minorHAnsi"/>
          <w:szCs w:val="22"/>
        </w:rPr>
      </w:pPr>
      <w:r w:rsidRPr="00D713EB">
        <w:rPr>
          <w:rFonts w:cstheme="minorHAnsi"/>
          <w:szCs w:val="22"/>
        </w:rPr>
        <w:t>Addressing risks of reversals of and displacement of emissions from the REDD+ actions are required by the National REDD+ Strategy.</w:t>
      </w:r>
    </w:p>
    <w:p w14:paraId="133A8540" w14:textId="77777777" w:rsidR="00F201DC" w:rsidRPr="00D713EB" w:rsidRDefault="00F201DC" w:rsidP="00F201DC">
      <w:pPr>
        <w:rPr>
          <w:b/>
          <w:i/>
          <w:szCs w:val="22"/>
        </w:rPr>
      </w:pPr>
      <w:r w:rsidRPr="00D713EB">
        <w:rPr>
          <w:b/>
          <w:i/>
          <w:szCs w:val="22"/>
        </w:rPr>
        <w:t xml:space="preserve">Core elements of the </w:t>
      </w:r>
      <w:r w:rsidRPr="00D713EB">
        <w:rPr>
          <w:rFonts w:cstheme="minorHAnsi"/>
          <w:b/>
          <w:bCs/>
          <w:i/>
          <w:iCs/>
          <w:szCs w:val="22"/>
        </w:rPr>
        <w:t>description</w:t>
      </w:r>
      <w:r w:rsidRPr="00D713EB">
        <w:rPr>
          <w:b/>
          <w:i/>
          <w:szCs w:val="22"/>
        </w:rPr>
        <w:t>:</w:t>
      </w:r>
    </w:p>
    <w:p w14:paraId="47169189" w14:textId="77777777" w:rsidR="00F201DC" w:rsidRPr="00D713EB" w:rsidRDefault="00F201DC" w:rsidP="00F05573">
      <w:pPr>
        <w:pStyle w:val="ListParagraph"/>
        <w:numPr>
          <w:ilvl w:val="0"/>
          <w:numId w:val="8"/>
        </w:numPr>
        <w:spacing w:before="200" w:after="200" w:line="276" w:lineRule="auto"/>
        <w:jc w:val="left"/>
        <w:rPr>
          <w:rFonts w:cstheme="minorHAnsi"/>
          <w:szCs w:val="22"/>
        </w:rPr>
      </w:pPr>
      <w:r w:rsidRPr="00D713EB">
        <w:rPr>
          <w:rFonts w:cstheme="minorHAnsi"/>
          <w:szCs w:val="22"/>
        </w:rPr>
        <w:t>Addressing risks of reversals is required by the National REDD+ Strategy</w:t>
      </w:r>
    </w:p>
    <w:p w14:paraId="47DA11D5" w14:textId="77777777" w:rsidR="00F201DC" w:rsidRPr="00D713EB" w:rsidRDefault="00F201DC" w:rsidP="00F05573">
      <w:pPr>
        <w:pStyle w:val="ListParagraph"/>
        <w:numPr>
          <w:ilvl w:val="0"/>
          <w:numId w:val="8"/>
        </w:numPr>
        <w:spacing w:before="200" w:after="200" w:line="276" w:lineRule="auto"/>
        <w:jc w:val="left"/>
        <w:rPr>
          <w:rFonts w:cstheme="minorHAnsi"/>
          <w:szCs w:val="22"/>
        </w:rPr>
      </w:pPr>
      <w:r w:rsidRPr="00D713EB">
        <w:rPr>
          <w:rFonts w:cstheme="minorHAnsi"/>
          <w:szCs w:val="22"/>
        </w:rPr>
        <w:t>Addressing risks displacement of emissions is required by the National REDD+ Strategy</w:t>
      </w:r>
    </w:p>
    <w:p w14:paraId="7FD96A9D" w14:textId="13654515" w:rsidR="00F201DC" w:rsidRPr="00D713EB" w:rsidRDefault="00F201DC" w:rsidP="00741A00"/>
    <w:p w14:paraId="2F17EEC0" w14:textId="754652B2" w:rsidR="007D01FA" w:rsidRPr="00D713EB" w:rsidRDefault="007D01FA" w:rsidP="00741A00"/>
    <w:p w14:paraId="55FDE7DD" w14:textId="77777777" w:rsidR="007D01FA" w:rsidRPr="00D713EB" w:rsidRDefault="007D01FA" w:rsidP="00741A00"/>
    <w:p w14:paraId="1E4376C2" w14:textId="77777777" w:rsidR="007D01FA" w:rsidRPr="00D713EB" w:rsidRDefault="007D01FA" w:rsidP="00741A00"/>
    <w:p w14:paraId="47DCB75F" w14:textId="77777777" w:rsidR="007D01FA" w:rsidRPr="00D713EB" w:rsidRDefault="007D01FA" w:rsidP="00741A00"/>
    <w:p w14:paraId="7020D052" w14:textId="77777777" w:rsidR="007D01FA" w:rsidRPr="00D713EB" w:rsidRDefault="007D01FA" w:rsidP="007D01FA">
      <w:pPr>
        <w:pStyle w:val="Heading1"/>
        <w:sectPr w:rsidR="007D01FA" w:rsidRPr="00D713EB" w:rsidSect="007D01FA">
          <w:pgSz w:w="11900" w:h="16840"/>
          <w:pgMar w:top="1440" w:right="1440" w:bottom="1440" w:left="1440" w:header="720" w:footer="720" w:gutter="0"/>
          <w:cols w:space="720"/>
          <w:docGrid w:linePitch="360"/>
        </w:sectPr>
      </w:pPr>
    </w:p>
    <w:p w14:paraId="1D255C81" w14:textId="16B76629" w:rsidR="00E30B19" w:rsidRPr="00D713EB" w:rsidRDefault="00E30B19" w:rsidP="00E30B19">
      <w:pPr>
        <w:pStyle w:val="Heading1"/>
      </w:pPr>
      <w:bookmarkStart w:id="36" w:name="_Toc59493633"/>
      <w:r w:rsidRPr="00D713EB">
        <w:t>Annex II: Hard Copy of Template for Collecting Information in relation to indicators for ‘Addressing’</w:t>
      </w:r>
      <w:bookmarkEnd w:id="36"/>
    </w:p>
    <w:p w14:paraId="3D5A7D1B" w14:textId="77777777" w:rsidR="00E30B19" w:rsidRPr="00D713EB" w:rsidRDefault="00E30B19" w:rsidP="00E30B19"/>
    <w:p w14:paraId="537E5025" w14:textId="25837F6F" w:rsidR="00E30B19" w:rsidRPr="00D713EB" w:rsidRDefault="006F354E" w:rsidP="00E30B19">
      <w:r w:rsidRPr="00D713EB">
        <w:rPr>
          <w:iCs/>
        </w:rPr>
        <w:t xml:space="preserve">The </w:t>
      </w:r>
      <w:r w:rsidR="00E30B19" w:rsidRPr="00D713EB">
        <w:rPr>
          <w:iCs/>
        </w:rPr>
        <w:t>REDD+ Safeguards TWC with the support of the National Safeguard Specialist</w:t>
      </w:r>
      <w:r w:rsidR="00E30B19" w:rsidRPr="00D713EB">
        <w:rPr>
          <w:b/>
        </w:rPr>
        <w:t xml:space="preserve"> </w:t>
      </w:r>
      <w:r w:rsidR="00E30B19" w:rsidRPr="00D713EB">
        <w:t>will complete the following template report which will be applicable to all REDD+ actions.</w:t>
      </w:r>
    </w:p>
    <w:p w14:paraId="5F941911" w14:textId="77777777" w:rsidR="00E30B19" w:rsidRPr="00D713EB" w:rsidRDefault="00E30B19" w:rsidP="00E30B19">
      <w:pPr>
        <w:rPr>
          <w:b/>
        </w:rPr>
      </w:pPr>
    </w:p>
    <w:p w14:paraId="57F79999" w14:textId="4DEE17CE" w:rsidR="00E30B19" w:rsidRPr="00D713EB" w:rsidRDefault="00E30B19" w:rsidP="00E30B19">
      <w:pPr>
        <w:rPr>
          <w:b/>
          <w:bCs/>
          <w:iCs/>
        </w:rPr>
      </w:pPr>
      <w:r w:rsidRPr="00D713EB">
        <w:t>Please see table below, and insert the relevant information in relation to each of the safeguards’ indicators by inputting in the section titled 'Information'/ 'data entry' and identify respective attachments that will be uploaded into SIS database. As noted in section 2.</w:t>
      </w:r>
      <w:r w:rsidR="00516D4D">
        <w:t>2.1</w:t>
      </w:r>
      <w:r w:rsidR="006F354E" w:rsidRPr="00D713EB">
        <w:t xml:space="preserve"> above,</w:t>
      </w:r>
      <w:r w:rsidRPr="00D713EB">
        <w:t xml:space="preserve"> information should be primarily drawn from the information </w:t>
      </w:r>
      <w:r w:rsidR="006F354E" w:rsidRPr="00D713EB">
        <w:t>provided</w:t>
      </w:r>
      <w:r w:rsidRPr="00D713EB">
        <w:t xml:space="preserve"> in the </w:t>
      </w:r>
      <w:proofErr w:type="spellStart"/>
      <w:r w:rsidRPr="00D713EB">
        <w:t>GoPNG’s</w:t>
      </w:r>
      <w:proofErr w:type="spellEnd"/>
      <w:r w:rsidRPr="00D713EB">
        <w:t xml:space="preserve"> first Summary of Information, and complemented with any new/additional relevant information in relation to each indicator for ‘addressing’. </w:t>
      </w:r>
      <w:r w:rsidR="006F354E" w:rsidRPr="00D713EB">
        <w:t xml:space="preserve">The template below already includes the information provided in the </w:t>
      </w:r>
      <w:proofErr w:type="spellStart"/>
      <w:r w:rsidR="006F354E" w:rsidRPr="00D713EB">
        <w:t>GoPNG’s</w:t>
      </w:r>
      <w:proofErr w:type="spellEnd"/>
      <w:r w:rsidR="006F354E" w:rsidRPr="00D713EB">
        <w:t xml:space="preserve"> first Summary of Information. </w:t>
      </w:r>
    </w:p>
    <w:p w14:paraId="0AD8434E" w14:textId="77777777" w:rsidR="00E30B19" w:rsidRPr="00D713EB" w:rsidRDefault="00E30B19" w:rsidP="00E30B19"/>
    <w:p w14:paraId="259AC9E0" w14:textId="77777777" w:rsidR="00E30B19" w:rsidRPr="00D713EB" w:rsidRDefault="00E30B19" w:rsidP="00E30B19">
      <w:pPr>
        <w:rPr>
          <w:b/>
          <w:bCs/>
        </w:rPr>
      </w:pPr>
      <w:r w:rsidRPr="00D713EB">
        <w:rPr>
          <w:b/>
          <w:bCs/>
        </w:rPr>
        <w:t>What to include under attachments?</w:t>
      </w:r>
    </w:p>
    <w:p w14:paraId="3E3F553E" w14:textId="77777777" w:rsidR="00E30B19" w:rsidRPr="00D713EB" w:rsidRDefault="00E30B19" w:rsidP="00E30B19"/>
    <w:p w14:paraId="1EB5EE36" w14:textId="1571AF2D" w:rsidR="00E30B19" w:rsidRPr="00D713EB" w:rsidRDefault="00E30B19" w:rsidP="00E30B19">
      <w:r w:rsidRPr="00D713EB">
        <w:t xml:space="preserve">You should identify and attach documents and evidence to demonstrate accuracy of information provided. These may include </w:t>
      </w:r>
      <w:r w:rsidR="006F354E" w:rsidRPr="00D713EB">
        <w:t xml:space="preserve">hyperlinks to policies, laws, regulations, etc. </w:t>
      </w:r>
    </w:p>
    <w:p w14:paraId="56967629" w14:textId="77777777" w:rsidR="00E30B19" w:rsidRPr="00D713EB" w:rsidRDefault="00E30B19" w:rsidP="00E30B19">
      <w:pPr>
        <w:rPr>
          <w:b/>
        </w:rPr>
      </w:pPr>
    </w:p>
    <w:p w14:paraId="653FEE57" w14:textId="02816320" w:rsidR="00E30B19" w:rsidRPr="00D713EB" w:rsidRDefault="00E30B19" w:rsidP="00E30B19">
      <w:pPr>
        <w:rPr>
          <w:b/>
        </w:rPr>
      </w:pPr>
      <w:r w:rsidRPr="00D713EB">
        <w:rPr>
          <w:b/>
        </w:rPr>
        <w:t>Safeguard A</w:t>
      </w:r>
    </w:p>
    <w:p w14:paraId="60A7770A" w14:textId="77777777" w:rsidR="00E30B19" w:rsidRPr="00D713EB" w:rsidRDefault="00E30B19" w:rsidP="00E30B19">
      <w:pPr>
        <w:rPr>
          <w:b/>
        </w:rPr>
      </w:pPr>
    </w:p>
    <w:tbl>
      <w:tblPr>
        <w:tblStyle w:val="GridTable1Light-Accent3"/>
        <w:tblW w:w="13960" w:type="dxa"/>
        <w:tblLook w:val="04A0" w:firstRow="1" w:lastRow="0" w:firstColumn="1" w:lastColumn="0" w:noHBand="0" w:noVBand="1"/>
      </w:tblPr>
      <w:tblGrid>
        <w:gridCol w:w="4819"/>
        <w:gridCol w:w="5949"/>
        <w:gridCol w:w="3192"/>
      </w:tblGrid>
      <w:tr w:rsidR="00E30B19" w:rsidRPr="00D713EB" w14:paraId="2F5D8186" w14:textId="77777777" w:rsidTr="006F3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38EA901"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5949" w:type="dxa"/>
          </w:tcPr>
          <w:p w14:paraId="62F65431" w14:textId="77777777" w:rsidR="00E30B19" w:rsidRPr="00D713EB" w:rsidRDefault="00E30B19" w:rsidP="00482A0E">
            <w:pPr>
              <w:jc w:val="cente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3192" w:type="dxa"/>
          </w:tcPr>
          <w:p w14:paraId="1F08CAEC" w14:textId="77777777" w:rsidR="00E30B19" w:rsidRPr="00D713EB" w:rsidRDefault="00E30B19" w:rsidP="00482A0E">
            <w:pPr>
              <w:jc w:val="center"/>
              <w:cnfStyle w:val="100000000000" w:firstRow="1" w:lastRow="0" w:firstColumn="0" w:lastColumn="0" w:oddVBand="0" w:evenVBand="0" w:oddHBand="0" w:evenHBand="0" w:firstRowFirstColumn="0" w:firstRowLastColumn="0" w:lastRowFirstColumn="0" w:lastRowLastColumn="0"/>
              <w:rPr>
                <w:b w:val="0"/>
                <w:bCs w:val="0"/>
              </w:rPr>
            </w:pPr>
            <w:r w:rsidRPr="00D713EB">
              <w:t>Attachments to upload</w:t>
            </w:r>
          </w:p>
        </w:tc>
      </w:tr>
      <w:tr w:rsidR="00E30B19" w:rsidRPr="00D713EB" w14:paraId="2DF9A00D" w14:textId="77777777" w:rsidTr="006F354E">
        <w:tc>
          <w:tcPr>
            <w:cnfStyle w:val="001000000000" w:firstRow="0" w:lastRow="0" w:firstColumn="1" w:lastColumn="0" w:oddVBand="0" w:evenVBand="0" w:oddHBand="0" w:evenHBand="0" w:firstRowFirstColumn="0" w:firstRowLastColumn="0" w:lastRowFirstColumn="0" w:lastRowLastColumn="0"/>
            <w:tcW w:w="4819" w:type="dxa"/>
          </w:tcPr>
          <w:p w14:paraId="68CC1770" w14:textId="77777777" w:rsidR="006F354E" w:rsidRPr="00D713EB" w:rsidRDefault="006F354E" w:rsidP="006F354E">
            <w:pPr>
              <w:spacing w:after="180"/>
              <w:rPr>
                <w:rFonts w:cstheme="minorHAnsi"/>
                <w:color w:val="000000" w:themeColor="text1"/>
              </w:rPr>
            </w:pPr>
            <w:r w:rsidRPr="00D713EB">
              <w:rPr>
                <w:rFonts w:cstheme="minorHAnsi"/>
                <w:color w:val="000000" w:themeColor="text1"/>
              </w:rPr>
              <w:t>A.1. Description of how the REDD+ Strategy and associated PLRs are consistent with the objectives of national forest programmes</w:t>
            </w:r>
          </w:p>
          <w:p w14:paraId="4E15E163" w14:textId="77777777" w:rsidR="00E30B19" w:rsidRPr="00D713EB" w:rsidRDefault="00E30B19" w:rsidP="00482A0E">
            <w:pPr>
              <w:spacing w:after="180"/>
              <w:rPr>
                <w:b w:val="0"/>
                <w:bCs w:val="0"/>
              </w:rPr>
            </w:pPr>
          </w:p>
        </w:tc>
        <w:tc>
          <w:tcPr>
            <w:tcW w:w="5949" w:type="dxa"/>
          </w:tcPr>
          <w:p w14:paraId="115F7DCF"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rPr>
                <w:bCs/>
              </w:rPr>
            </w:pPr>
            <w:r w:rsidRPr="00D713EB">
              <w:rPr>
                <w:bCs/>
              </w:rPr>
              <w:t>The legal framework in PNG sets out clear objectives for its forest programmes under the National Forest Policy,</w:t>
            </w:r>
            <w:r w:rsidRPr="00D713EB">
              <w:rPr>
                <w:bCs/>
                <w:vertAlign w:val="superscript"/>
              </w:rPr>
              <w:footnoteReference w:id="8"/>
            </w:r>
            <w:r w:rsidRPr="00D713EB">
              <w:rPr>
                <w:bCs/>
              </w:rPr>
              <w:t xml:space="preserve"> the National Forestry Development Guidelines and the Forestry and Climate Change Framework for Action</w:t>
            </w:r>
            <w:r w:rsidRPr="00D713EB">
              <w:rPr>
                <w:bCs/>
                <w:vertAlign w:val="superscript"/>
              </w:rPr>
              <w:footnoteReference w:id="9"/>
            </w:r>
            <w:r w:rsidRPr="00D713EB">
              <w:rPr>
                <w:bCs/>
              </w:rPr>
              <w:t>, and key National Policies such as the MTDP III</w:t>
            </w:r>
            <w:r w:rsidRPr="00D713EB">
              <w:rPr>
                <w:bCs/>
                <w:vertAlign w:val="superscript"/>
              </w:rPr>
              <w:footnoteReference w:id="10"/>
            </w:r>
            <w:r w:rsidRPr="00D713EB">
              <w:rPr>
                <w:bCs/>
              </w:rPr>
              <w:t xml:space="preserve"> which set out specific indicators and targets (also known as Key results areas relating to the development of PNG’s forests. These targets are also captured within the NRS, which further expounds upon and reinforces these broad objectives. The National Constitution sets the overall basis for these forest programmes.</w:t>
            </w:r>
            <w:r w:rsidRPr="00D713EB">
              <w:rPr>
                <w:bCs/>
                <w:vertAlign w:val="superscript"/>
              </w:rPr>
              <w:footnoteReference w:id="11"/>
            </w:r>
            <w:r w:rsidRPr="00D713EB">
              <w:rPr>
                <w:bCs/>
              </w:rPr>
              <w:t xml:space="preserve"> </w:t>
            </w:r>
          </w:p>
          <w:p w14:paraId="561B3CD8"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rPr>
                <w:b/>
              </w:rPr>
            </w:pPr>
          </w:p>
        </w:tc>
        <w:tc>
          <w:tcPr>
            <w:tcW w:w="3192" w:type="dxa"/>
          </w:tcPr>
          <w:p w14:paraId="6DFA14B7"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rPr>
                <w:b/>
              </w:rPr>
            </w:pPr>
          </w:p>
        </w:tc>
      </w:tr>
      <w:tr w:rsidR="00E30B19" w:rsidRPr="00D713EB" w14:paraId="61053C77" w14:textId="77777777" w:rsidTr="006F354E">
        <w:tc>
          <w:tcPr>
            <w:cnfStyle w:val="001000000000" w:firstRow="0" w:lastRow="0" w:firstColumn="1" w:lastColumn="0" w:oddVBand="0" w:evenVBand="0" w:oddHBand="0" w:evenHBand="0" w:firstRowFirstColumn="0" w:firstRowLastColumn="0" w:lastRowFirstColumn="0" w:lastRowLastColumn="0"/>
            <w:tcW w:w="4819" w:type="dxa"/>
          </w:tcPr>
          <w:p w14:paraId="79C1A349" w14:textId="77777777" w:rsidR="006F354E" w:rsidRPr="00D713EB" w:rsidRDefault="006F354E" w:rsidP="006F354E">
            <w:pPr>
              <w:spacing w:after="180"/>
              <w:rPr>
                <w:rFonts w:cstheme="minorHAnsi"/>
                <w:color w:val="000000" w:themeColor="text1"/>
              </w:rPr>
            </w:pPr>
            <w:r w:rsidRPr="00D713EB">
              <w:rPr>
                <w:rFonts w:cstheme="minorHAnsi"/>
                <w:color w:val="000000" w:themeColor="text1"/>
              </w:rPr>
              <w:t>A.2. Description of how the NATIONAL REDD+ Strategy and associated PLRS are consistent with the objectives of the various international agreements to which GoPNG is a Party</w:t>
            </w:r>
          </w:p>
          <w:p w14:paraId="62D5856B" w14:textId="77777777" w:rsidR="00E30B19" w:rsidRPr="00D713EB" w:rsidRDefault="00E30B19" w:rsidP="00482A0E">
            <w:pPr>
              <w:rPr>
                <w:b w:val="0"/>
                <w:bCs w:val="0"/>
              </w:rPr>
            </w:pPr>
          </w:p>
        </w:tc>
        <w:tc>
          <w:tcPr>
            <w:tcW w:w="5949" w:type="dxa"/>
          </w:tcPr>
          <w:p w14:paraId="1903CE4F"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pPr>
            <w:r w:rsidRPr="00D713EB">
              <w:t xml:space="preserve">PNG is Party to several relevant international conventions and agreements. These include: </w:t>
            </w:r>
          </w:p>
          <w:p w14:paraId="420E6858"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International Convention on the Elimination on all Forms of Racial Discrimination, </w:t>
            </w:r>
          </w:p>
          <w:p w14:paraId="3DC5C1EC"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the Elimination of All Forms of Discrimination against Women, </w:t>
            </w:r>
          </w:p>
          <w:p w14:paraId="66AD5F49"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the Political Rights of Women, </w:t>
            </w:r>
          </w:p>
          <w:p w14:paraId="242D6A95"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International Convention on the Elimination on all Forms of Racial Discrimination, </w:t>
            </w:r>
          </w:p>
          <w:p w14:paraId="7D5EA1A7"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the Protection and Promotion of The Diversity of Cultural Expressions, </w:t>
            </w:r>
          </w:p>
          <w:p w14:paraId="326C8778"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United Nations Convention against Corruption, </w:t>
            </w:r>
          </w:p>
          <w:p w14:paraId="0895CD8E"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International Covenant on Civil and Political Rights, International Covenant on Economic, Social and Cultural Rights, </w:t>
            </w:r>
          </w:p>
          <w:p w14:paraId="75FB7495"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International Convention on the Protection of the Rights of All Migrant Workers and Members of Their Families, </w:t>
            </w:r>
          </w:p>
          <w:p w14:paraId="4AB47A94"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the Rights of the Child, </w:t>
            </w:r>
          </w:p>
          <w:p w14:paraId="08CF62C0"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Concerning the Protection of the World Cultural and Natural Heritage, </w:t>
            </w:r>
          </w:p>
          <w:p w14:paraId="170C1135"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International Tropical Timber Agreement, </w:t>
            </w:r>
          </w:p>
          <w:p w14:paraId="44FCCD3C"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International Trade in Endangered Species of Wild Fauna and Flora (CITES), </w:t>
            </w:r>
          </w:p>
          <w:p w14:paraId="315A4C5E"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United Nations Convention to Combat Desertification (UNCCD), </w:t>
            </w:r>
          </w:p>
          <w:p w14:paraId="70307641"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Convention on Biological Diversity, </w:t>
            </w:r>
          </w:p>
          <w:p w14:paraId="0E35A017"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 xml:space="preserve">United Nations Framework Convention on Climate Change (UNFCCC) and the </w:t>
            </w:r>
          </w:p>
          <w:p w14:paraId="3A4B4B3A" w14:textId="77777777" w:rsidR="006F354E" w:rsidRPr="00D713EB" w:rsidRDefault="006F354E" w:rsidP="00F05573">
            <w:pPr>
              <w:numPr>
                <w:ilvl w:val="0"/>
                <w:numId w:val="11"/>
              </w:numPr>
              <w:cnfStyle w:val="000000000000" w:firstRow="0" w:lastRow="0" w:firstColumn="0" w:lastColumn="0" w:oddVBand="0" w:evenVBand="0" w:oddHBand="0" w:evenHBand="0" w:firstRowFirstColumn="0" w:firstRowLastColumn="0" w:lastRowFirstColumn="0" w:lastRowLastColumn="0"/>
            </w:pPr>
            <w:r w:rsidRPr="00D713EB">
              <w:t>Ramsar Convention.</w:t>
            </w:r>
          </w:p>
          <w:p w14:paraId="7591C4BD"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pPr>
            <w:r w:rsidRPr="00D713EB">
              <w:t xml:space="preserve">The Constitution ‘binds’ PNG to the specific instrument once it is ratified. This denotes a </w:t>
            </w:r>
            <w:r w:rsidRPr="00D713EB">
              <w:rPr>
                <w:i/>
              </w:rPr>
              <w:t xml:space="preserve">commitment </w:t>
            </w:r>
            <w:r w:rsidRPr="00D713EB">
              <w:t xml:space="preserve">on PNG’s part to ensure compliance with its terms and provisions under its National REDD+ Strategy. </w:t>
            </w:r>
          </w:p>
          <w:p w14:paraId="6EEE77FC" w14:textId="6FCA275F"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pPr>
            <w:r w:rsidRPr="00D713EB">
              <w:t xml:space="preserve">The National REDD+ Strategy sits within this international and national framework of action and will directly contribute to PNG’s progress towards the UN Sustainable Development Goals (SDGs). These goals will form the basis of PNG’s upcoming Medium Term Development Plan in line with those laid out in the Vision 2050 and the </w:t>
            </w:r>
            <w:proofErr w:type="spellStart"/>
            <w:r w:rsidRPr="00D713EB">
              <w:t>StaRS</w:t>
            </w:r>
            <w:proofErr w:type="spellEnd"/>
            <w:r w:rsidRPr="00D713EB">
              <w:t>. In particular, PNG’s work on REDD+ will help to achieve the goals on Climate Action (SDG13) and Life on Land (SDG15).</w:t>
            </w:r>
          </w:p>
          <w:p w14:paraId="4D7DF04A"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rPr>
                <w:b/>
              </w:rPr>
            </w:pPr>
          </w:p>
        </w:tc>
        <w:tc>
          <w:tcPr>
            <w:tcW w:w="3192" w:type="dxa"/>
          </w:tcPr>
          <w:p w14:paraId="73781687"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rPr>
                <w:b/>
              </w:rPr>
            </w:pPr>
          </w:p>
        </w:tc>
      </w:tr>
    </w:tbl>
    <w:p w14:paraId="20ED9226" w14:textId="77777777" w:rsidR="00E30B19" w:rsidRPr="00D713EB" w:rsidRDefault="00E30B19" w:rsidP="00E30B19"/>
    <w:p w14:paraId="550C8B61" w14:textId="77777777" w:rsidR="00E30B19" w:rsidRPr="00D713EB" w:rsidRDefault="00E30B19" w:rsidP="00E30B19"/>
    <w:p w14:paraId="5D4BDE54" w14:textId="77777777" w:rsidR="00E30B19" w:rsidRPr="00D713EB" w:rsidRDefault="00E30B19" w:rsidP="00E30B19"/>
    <w:p w14:paraId="429D3167" w14:textId="77777777" w:rsidR="00E30B19" w:rsidRPr="00D713EB" w:rsidRDefault="00E30B19" w:rsidP="00E30B19">
      <w:pPr>
        <w:rPr>
          <w:b/>
        </w:rPr>
      </w:pPr>
      <w:r w:rsidRPr="00D713EB">
        <w:rPr>
          <w:b/>
        </w:rPr>
        <w:t>Safeguard B</w:t>
      </w:r>
    </w:p>
    <w:p w14:paraId="237D240C" w14:textId="77777777" w:rsidR="00E30B19" w:rsidRPr="00D713EB" w:rsidRDefault="00E30B19" w:rsidP="00E30B19"/>
    <w:tbl>
      <w:tblPr>
        <w:tblStyle w:val="GridTable1Light-Accent3"/>
        <w:tblW w:w="13887" w:type="dxa"/>
        <w:tblLook w:val="04A0" w:firstRow="1" w:lastRow="0" w:firstColumn="1" w:lastColumn="0" w:noHBand="0" w:noVBand="1"/>
      </w:tblPr>
      <w:tblGrid>
        <w:gridCol w:w="4710"/>
        <w:gridCol w:w="6058"/>
        <w:gridCol w:w="3119"/>
      </w:tblGrid>
      <w:tr w:rsidR="00E30B19" w:rsidRPr="00D713EB" w14:paraId="4A42D47A" w14:textId="77777777" w:rsidTr="006F3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12DC9BDB"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6058" w:type="dxa"/>
          </w:tcPr>
          <w:p w14:paraId="3453DC94"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3119" w:type="dxa"/>
          </w:tcPr>
          <w:p w14:paraId="1041E034"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0834AA33" w14:textId="77777777" w:rsidTr="006F354E">
        <w:tc>
          <w:tcPr>
            <w:cnfStyle w:val="001000000000" w:firstRow="0" w:lastRow="0" w:firstColumn="1" w:lastColumn="0" w:oddVBand="0" w:evenVBand="0" w:oddHBand="0" w:evenHBand="0" w:firstRowFirstColumn="0" w:firstRowLastColumn="0" w:lastRowFirstColumn="0" w:lastRowLastColumn="0"/>
            <w:tcW w:w="4710" w:type="dxa"/>
          </w:tcPr>
          <w:p w14:paraId="151A9DFE" w14:textId="77777777" w:rsidR="006F354E" w:rsidRPr="00D713EB" w:rsidRDefault="006F354E" w:rsidP="006F354E">
            <w:pPr>
              <w:rPr>
                <w:rFonts w:cstheme="minorHAnsi"/>
                <w:szCs w:val="22"/>
              </w:rPr>
            </w:pPr>
            <w:r w:rsidRPr="00D713EB">
              <w:rPr>
                <w:rFonts w:cstheme="minorHAnsi"/>
                <w:szCs w:val="22"/>
              </w:rPr>
              <w:t>B.1. Description of PLRs, institutional mandates and procedures for providing and disseminating information concerning the REDD+ actions</w:t>
            </w:r>
          </w:p>
          <w:p w14:paraId="00DE1EE5" w14:textId="1C8428B6" w:rsidR="00E30B19" w:rsidRPr="00D713EB" w:rsidRDefault="00E30B19" w:rsidP="00482A0E">
            <w:pPr>
              <w:rPr>
                <w:b w:val="0"/>
                <w:bCs w:val="0"/>
              </w:rPr>
            </w:pPr>
          </w:p>
        </w:tc>
        <w:tc>
          <w:tcPr>
            <w:tcW w:w="6058" w:type="dxa"/>
          </w:tcPr>
          <w:p w14:paraId="6453F11C" w14:textId="6813984A"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pPr>
            <w:r w:rsidRPr="00D713EB">
              <w:t>The Right to Freedom of Information is a qualified right under the National Constitution of PNG.</w:t>
            </w:r>
            <w:r w:rsidRPr="00D713EB">
              <w:rPr>
                <w:vertAlign w:val="superscript"/>
              </w:rPr>
              <w:footnoteReference w:id="12"/>
            </w:r>
            <w:r w:rsidRPr="00D713EB">
              <w:t xml:space="preserve"> The National Constitution</w:t>
            </w:r>
            <w:r w:rsidRPr="00D713EB">
              <w:rPr>
                <w:vertAlign w:val="superscript"/>
              </w:rPr>
              <w:footnoteReference w:id="13"/>
            </w:r>
            <w:r w:rsidRPr="00D713EB">
              <w:t xml:space="preserve"> interprets ‘Information’ as ‘official documents.’ The Constitution</w:t>
            </w:r>
            <w:r w:rsidRPr="00D713EB">
              <w:rPr>
                <w:vertAlign w:val="superscript"/>
              </w:rPr>
              <w:footnoteReference w:id="14"/>
            </w:r>
            <w:r w:rsidRPr="00D713EB">
              <w:t xml:space="preserve"> establishes procedures by which citizens may obtain access to official information.</w:t>
            </w:r>
            <w:r w:rsidRPr="00D713EB">
              <w:rPr>
                <w:rFonts w:eastAsiaTheme="majorEastAsia" w:cstheme="majorBidi"/>
                <w:b/>
                <w:bCs/>
              </w:rPr>
              <w:t xml:space="preserve"> </w:t>
            </w:r>
            <w:r w:rsidRPr="00D713EB">
              <w:t>Forestry legislation requires a Public register to be kept of all important documents and decisions concerning forest management.</w:t>
            </w:r>
            <w:r w:rsidRPr="00D713EB">
              <w:rPr>
                <w:vertAlign w:val="superscript"/>
              </w:rPr>
              <w:footnoteReference w:id="15"/>
            </w:r>
            <w:r w:rsidRPr="00D713EB">
              <w:t xml:space="preserve"> It also specifies the kinds of information recorded</w:t>
            </w:r>
            <w:r w:rsidRPr="00D713EB">
              <w:rPr>
                <w:vertAlign w:val="superscript"/>
              </w:rPr>
              <w:footnoteReference w:id="16"/>
            </w:r>
            <w:r w:rsidRPr="00D713EB">
              <w:t xml:space="preserve"> and sets out the processes/procedures necessary for accessing this information.</w:t>
            </w:r>
            <w:r w:rsidRPr="00D713EB">
              <w:rPr>
                <w:vertAlign w:val="superscript"/>
              </w:rPr>
              <w:footnoteReference w:id="17"/>
            </w:r>
            <w:r w:rsidRPr="00D713EB">
              <w:t xml:space="preserve"> </w:t>
            </w:r>
          </w:p>
        </w:tc>
        <w:tc>
          <w:tcPr>
            <w:tcW w:w="3119" w:type="dxa"/>
          </w:tcPr>
          <w:p w14:paraId="0355A8AD"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24A027B0" w14:textId="77777777" w:rsidTr="006F354E">
        <w:tc>
          <w:tcPr>
            <w:cnfStyle w:val="001000000000" w:firstRow="0" w:lastRow="0" w:firstColumn="1" w:lastColumn="0" w:oddVBand="0" w:evenVBand="0" w:oddHBand="0" w:evenHBand="0" w:firstRowFirstColumn="0" w:firstRowLastColumn="0" w:lastRowFirstColumn="0" w:lastRowLastColumn="0"/>
            <w:tcW w:w="4710" w:type="dxa"/>
          </w:tcPr>
          <w:p w14:paraId="77BA875A" w14:textId="77777777" w:rsidR="006F354E" w:rsidRPr="00D713EB" w:rsidRDefault="006F354E" w:rsidP="006F354E">
            <w:pPr>
              <w:rPr>
                <w:rFonts w:cstheme="minorHAnsi"/>
                <w:szCs w:val="22"/>
              </w:rPr>
            </w:pPr>
            <w:r w:rsidRPr="00D713EB">
              <w:rPr>
                <w:rFonts w:cstheme="minorHAnsi"/>
                <w:szCs w:val="22"/>
              </w:rPr>
              <w:t>B.2. Description of anti-corruption PLRs and measures in place concerning the implementation of the REDD+ actions</w:t>
            </w:r>
          </w:p>
          <w:p w14:paraId="67722697" w14:textId="5D072F9D" w:rsidR="00E30B19" w:rsidRPr="00D713EB" w:rsidRDefault="00E30B19" w:rsidP="00482A0E">
            <w:pPr>
              <w:rPr>
                <w:b w:val="0"/>
                <w:bCs w:val="0"/>
              </w:rPr>
            </w:pPr>
          </w:p>
        </w:tc>
        <w:tc>
          <w:tcPr>
            <w:tcW w:w="6058" w:type="dxa"/>
          </w:tcPr>
          <w:p w14:paraId="213F5450" w14:textId="29108159"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pPr>
            <w:r w:rsidRPr="00D713EB">
              <w:t>All Government agencies are subject to Financial and Accounting/ Auditing processes enforced through institutions designated for this purpose, which include the Auditor General’s Office, the Department of Finance, Department of Treasury and the Internal Revenue Commission as well as the Public Accounts Committees. These institutions have been given their mandate by either an Act of Parliament or the Constitution of PNG.</w:t>
            </w:r>
            <w:r w:rsidRPr="00D713EB">
              <w:rPr>
                <w:vertAlign w:val="superscript"/>
              </w:rPr>
              <w:footnoteReference w:id="18"/>
            </w:r>
          </w:p>
        </w:tc>
        <w:tc>
          <w:tcPr>
            <w:tcW w:w="3119" w:type="dxa"/>
          </w:tcPr>
          <w:p w14:paraId="1592324B"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781C1991" w14:textId="77777777" w:rsidTr="006F354E">
        <w:tc>
          <w:tcPr>
            <w:cnfStyle w:val="001000000000" w:firstRow="0" w:lastRow="0" w:firstColumn="1" w:lastColumn="0" w:oddVBand="0" w:evenVBand="0" w:oddHBand="0" w:evenHBand="0" w:firstRowFirstColumn="0" w:firstRowLastColumn="0" w:lastRowFirstColumn="0" w:lastRowLastColumn="0"/>
            <w:tcW w:w="4710" w:type="dxa"/>
          </w:tcPr>
          <w:p w14:paraId="0FD5BB34" w14:textId="77777777" w:rsidR="006F354E" w:rsidRPr="00D713EB" w:rsidRDefault="006F354E" w:rsidP="006F354E">
            <w:pPr>
              <w:rPr>
                <w:rFonts w:cstheme="minorHAnsi"/>
                <w:szCs w:val="22"/>
              </w:rPr>
            </w:pPr>
            <w:r w:rsidRPr="00D713EB">
              <w:rPr>
                <w:rFonts w:cstheme="minorHAnsi"/>
                <w:szCs w:val="22"/>
              </w:rPr>
              <w:t>B.3. Description of PLRs, institutional mandates and procedures concerning the protection of land tenure rights for the implementation of REDD+ actions</w:t>
            </w:r>
          </w:p>
          <w:p w14:paraId="2F1F4682" w14:textId="0236EAAE" w:rsidR="00E30B19" w:rsidRPr="00D713EB" w:rsidRDefault="00E30B19" w:rsidP="00482A0E">
            <w:pPr>
              <w:rPr>
                <w:b w:val="0"/>
                <w:bCs w:val="0"/>
              </w:rPr>
            </w:pPr>
          </w:p>
        </w:tc>
        <w:tc>
          <w:tcPr>
            <w:tcW w:w="6058" w:type="dxa"/>
          </w:tcPr>
          <w:p w14:paraId="5DE0AC36" w14:textId="50BCB4B2"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pPr>
            <w:r w:rsidRPr="00D713EB">
              <w:t>The Constitution and land and forestry legislation guarantee clear land tenure rights to customary landowners and recognizes the extent of these rights in relation to forest resources.</w:t>
            </w:r>
            <w:r w:rsidRPr="00D713EB">
              <w:rPr>
                <w:vertAlign w:val="superscript"/>
              </w:rPr>
              <w:footnoteReference w:id="19"/>
            </w:r>
            <w:r w:rsidRPr="00D713EB">
              <w:t xml:space="preserve"> They also provide the basis for just compensation to be awarded in the event of development and acquisition of land/resources from customary landowners</w:t>
            </w:r>
            <w:r w:rsidRPr="00D713EB">
              <w:rPr>
                <w:vertAlign w:val="superscript"/>
              </w:rPr>
              <w:footnoteReference w:id="20"/>
            </w:r>
            <w:r w:rsidRPr="00D713EB">
              <w:t>, which is applicable to both statutory and customary ownership and use rights. Land titling procedures are also established via respective legislation and involve the formation of land holding groups to govern them. Gender equality is recognized and guaranteed as part of these groups and relates to decision making processes over forest/land tenure arrangements and benefits.</w:t>
            </w:r>
          </w:p>
        </w:tc>
        <w:tc>
          <w:tcPr>
            <w:tcW w:w="3119" w:type="dxa"/>
          </w:tcPr>
          <w:p w14:paraId="0F3B7C4C"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23A65FB0" w14:textId="77777777" w:rsidTr="006F354E">
        <w:tc>
          <w:tcPr>
            <w:cnfStyle w:val="001000000000" w:firstRow="0" w:lastRow="0" w:firstColumn="1" w:lastColumn="0" w:oddVBand="0" w:evenVBand="0" w:oddHBand="0" w:evenHBand="0" w:firstRowFirstColumn="0" w:firstRowLastColumn="0" w:lastRowFirstColumn="0" w:lastRowLastColumn="0"/>
            <w:tcW w:w="4710" w:type="dxa"/>
          </w:tcPr>
          <w:p w14:paraId="690DC516" w14:textId="5D80077C" w:rsidR="00E30B19" w:rsidRPr="00D713EB" w:rsidRDefault="006F354E" w:rsidP="00482A0E">
            <w:pPr>
              <w:rPr>
                <w:rFonts w:cstheme="minorHAnsi"/>
                <w:szCs w:val="22"/>
              </w:rPr>
            </w:pPr>
            <w:r w:rsidRPr="00D713EB">
              <w:rPr>
                <w:rFonts w:cstheme="minorHAnsi"/>
                <w:szCs w:val="22"/>
              </w:rPr>
              <w:t>B.4. Description of PLRs, institutional mandates and procedures for dispute resolution mechanisms regarding the implementation of REDD+ actions</w:t>
            </w:r>
          </w:p>
        </w:tc>
        <w:tc>
          <w:tcPr>
            <w:tcW w:w="6058" w:type="dxa"/>
          </w:tcPr>
          <w:p w14:paraId="504ECF1B" w14:textId="419A55B9"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pPr>
            <w:r w:rsidRPr="00D713EB">
              <w:t>The Constitution of PNG recognizes the Right to the Protection of the Law for all citizens ‘directly affected’ by any violations to their rights.</w:t>
            </w:r>
            <w:r w:rsidRPr="00D713EB">
              <w:rPr>
                <w:vertAlign w:val="superscript"/>
              </w:rPr>
              <w:footnoteReference w:id="21"/>
            </w:r>
            <w:r w:rsidRPr="00D713EB">
              <w:t xml:space="preserve"> This legal framework also provides for dispute resolution mechanisms at all levels of government</w:t>
            </w:r>
            <w:r w:rsidRPr="00D713EB">
              <w:rPr>
                <w:vertAlign w:val="superscript"/>
              </w:rPr>
              <w:footnoteReference w:id="22"/>
            </w:r>
            <w:r w:rsidRPr="00D713EB">
              <w:t xml:space="preserve"> (especially in relation to customary land or natural resources). Public Law offices are established to assist citizens otherwise unable to access legal services and other support. A process of appeal</w:t>
            </w:r>
            <w:r w:rsidRPr="00D713EB">
              <w:rPr>
                <w:vertAlign w:val="superscript"/>
              </w:rPr>
              <w:footnoteReference w:id="23"/>
            </w:r>
            <w:r w:rsidRPr="00D713EB">
              <w:t xml:space="preserve"> is also provided as part of the traditional legal system</w:t>
            </w:r>
            <w:r w:rsidRPr="00D713EB">
              <w:rPr>
                <w:vertAlign w:val="superscript"/>
              </w:rPr>
              <w:footnoteReference w:id="24"/>
            </w:r>
            <w:r w:rsidRPr="00D713EB">
              <w:t xml:space="preserve"> and is prescribed within individual sector-specific Acts. Remedies for breaches of rights are also afforded under both Acts and subordinate laws but they are not </w:t>
            </w:r>
            <w:r w:rsidRPr="00D713EB">
              <w:rPr>
                <w:i/>
              </w:rPr>
              <w:t>clearly</w:t>
            </w:r>
            <w:r w:rsidRPr="00D713EB">
              <w:t xml:space="preserve"> prescribed. There are also specific courts and alternative dispute resolution mechanisms provided to enforce the rights of access to justice for all customary landowners/local communities vulnerable to unfair/ unjust business practices.</w:t>
            </w:r>
          </w:p>
        </w:tc>
        <w:tc>
          <w:tcPr>
            <w:tcW w:w="3119" w:type="dxa"/>
          </w:tcPr>
          <w:p w14:paraId="7A6C3125"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bl>
    <w:p w14:paraId="38DD9EF6" w14:textId="77777777" w:rsidR="00E30B19" w:rsidRPr="00D713EB" w:rsidRDefault="00E30B19" w:rsidP="00E30B19"/>
    <w:p w14:paraId="29281258" w14:textId="77777777" w:rsidR="00E30B19" w:rsidRPr="00D713EB" w:rsidRDefault="00E30B19" w:rsidP="00E30B19">
      <w:pPr>
        <w:rPr>
          <w:b/>
        </w:rPr>
      </w:pPr>
    </w:p>
    <w:p w14:paraId="01547EAF" w14:textId="77777777" w:rsidR="00E30B19" w:rsidRPr="00D713EB" w:rsidRDefault="00E30B19" w:rsidP="00E30B19">
      <w:pPr>
        <w:rPr>
          <w:b/>
        </w:rPr>
      </w:pPr>
    </w:p>
    <w:p w14:paraId="218CA258" w14:textId="77777777" w:rsidR="00E30B19" w:rsidRPr="00D713EB" w:rsidRDefault="00E30B19" w:rsidP="00E30B19">
      <w:pPr>
        <w:rPr>
          <w:b/>
        </w:rPr>
      </w:pPr>
      <w:r w:rsidRPr="00D713EB">
        <w:rPr>
          <w:b/>
        </w:rPr>
        <w:t>Safeguard C</w:t>
      </w:r>
    </w:p>
    <w:p w14:paraId="2B3CC83D" w14:textId="77777777" w:rsidR="00E30B19" w:rsidRPr="00D713EB" w:rsidRDefault="00E30B19" w:rsidP="00E30B19"/>
    <w:tbl>
      <w:tblPr>
        <w:tblStyle w:val="GridTable1Light-Accent3"/>
        <w:tblW w:w="13438" w:type="dxa"/>
        <w:tblLook w:val="04A0" w:firstRow="1" w:lastRow="0" w:firstColumn="1" w:lastColumn="0" w:noHBand="0" w:noVBand="1"/>
      </w:tblPr>
      <w:tblGrid>
        <w:gridCol w:w="4710"/>
        <w:gridCol w:w="4364"/>
        <w:gridCol w:w="4364"/>
      </w:tblGrid>
      <w:tr w:rsidR="00E30B19" w:rsidRPr="00D713EB" w14:paraId="692082F6" w14:textId="77777777" w:rsidTr="00482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55DA88F7"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4364" w:type="dxa"/>
          </w:tcPr>
          <w:p w14:paraId="3BC541C9"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19799A48"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2412AD29"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1F4D0A29" w14:textId="71331664" w:rsidR="00E30B19" w:rsidRPr="00D713EB" w:rsidRDefault="006F354E" w:rsidP="00482A0E">
            <w:pPr>
              <w:rPr>
                <w:rFonts w:cstheme="minorHAnsi"/>
                <w:szCs w:val="22"/>
              </w:rPr>
            </w:pPr>
            <w:r w:rsidRPr="00D713EB">
              <w:rPr>
                <w:rFonts w:cstheme="minorHAnsi"/>
                <w:szCs w:val="22"/>
              </w:rPr>
              <w:t>C.1. Description of PLRs, institutional mandates and procedures for the identification of customary landowners, local communities and vulnerable groups in the context of the implementation of the REDD+ actions</w:t>
            </w:r>
            <w:r w:rsidR="00E30B19" w:rsidRPr="00D713EB">
              <w:rPr>
                <w:rFonts w:cstheme="minorHAnsi"/>
                <w:szCs w:val="22"/>
              </w:rPr>
              <w:t xml:space="preserve"> </w:t>
            </w:r>
          </w:p>
        </w:tc>
        <w:tc>
          <w:tcPr>
            <w:tcW w:w="4364" w:type="dxa"/>
          </w:tcPr>
          <w:p w14:paraId="698B84DC" w14:textId="60B60FE6"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National Constitution of PNG provides a standard criterion for defining who are ‘indigenous people’ in PNG, which is consistent with international law. However, the term ‘indigenous people’ is not used in the Constitution or in relevant PLRs. This is replaced with the term ‘customary landowners.’ These definitions are elaborated further in Acts of Parliament which relate to land and natural resources. The legal framework also provides definitions for ‘local communities’</w:t>
            </w:r>
            <w:r w:rsidRPr="00D713EB">
              <w:rPr>
                <w:bCs/>
                <w:vertAlign w:val="superscript"/>
              </w:rPr>
              <w:footnoteReference w:id="25"/>
            </w:r>
            <w:r w:rsidRPr="00D713EB">
              <w:rPr>
                <w:bCs/>
              </w:rPr>
              <w:t xml:space="preserve">. </w:t>
            </w:r>
          </w:p>
        </w:tc>
        <w:tc>
          <w:tcPr>
            <w:tcW w:w="4364" w:type="dxa"/>
          </w:tcPr>
          <w:p w14:paraId="2874CE14"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64962117"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7B89B3D7" w14:textId="4AF08103" w:rsidR="00E30B19" w:rsidRPr="00D713EB" w:rsidRDefault="006F354E" w:rsidP="00482A0E">
            <w:pPr>
              <w:rPr>
                <w:rFonts w:cstheme="minorHAnsi"/>
                <w:szCs w:val="22"/>
              </w:rPr>
            </w:pPr>
            <w:r w:rsidRPr="00D713EB">
              <w:rPr>
                <w:rFonts w:cstheme="minorHAnsi"/>
                <w:szCs w:val="22"/>
              </w:rPr>
              <w:t>C.2. Description of PLRs, institutional mandates and procedures to respect and protect traditional knowledge</w:t>
            </w:r>
          </w:p>
        </w:tc>
        <w:tc>
          <w:tcPr>
            <w:tcW w:w="4364" w:type="dxa"/>
          </w:tcPr>
          <w:p w14:paraId="7BDC1F56"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rPr>
                <w:bCs/>
              </w:rPr>
            </w:pPr>
            <w:r w:rsidRPr="00D713EB">
              <w:rPr>
                <w:bCs/>
              </w:rPr>
              <w:t>The legal framework outlines a clear objective towards safeguarding customary landowners’ and local communities’ rights as they relate to culture and also indirectly includes a respect for their identity, customs, traditions and institutions. There is various legislation which promotes the need to maintain cultural heritage through the establishment of the institutions and systems which support and facilitate its preservation.</w:t>
            </w:r>
          </w:p>
          <w:p w14:paraId="6CC536EA" w14:textId="2AE18066" w:rsidR="00E30B19" w:rsidRPr="00D713EB" w:rsidRDefault="006F354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Traditional knowledge has always been an aspect of customary law which is recognized under the Constitution. Traditional knowledge is also referred to as ‘customary practices’</w:t>
            </w:r>
            <w:r w:rsidRPr="00D713EB">
              <w:rPr>
                <w:bCs/>
                <w:vertAlign w:val="superscript"/>
              </w:rPr>
              <w:footnoteReference w:id="26"/>
            </w:r>
            <w:r w:rsidRPr="00D713EB">
              <w:rPr>
                <w:bCs/>
              </w:rPr>
              <w:t>, referring to the customs or usual practices associated with a particular society, place, or set of circumstances.</w:t>
            </w:r>
          </w:p>
        </w:tc>
        <w:tc>
          <w:tcPr>
            <w:tcW w:w="4364" w:type="dxa"/>
          </w:tcPr>
          <w:p w14:paraId="64D899EE"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5C874FCE"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110C43C6" w14:textId="77777777" w:rsidR="006F354E" w:rsidRPr="00D713EB" w:rsidRDefault="006F354E" w:rsidP="006F354E">
            <w:pPr>
              <w:rPr>
                <w:rFonts w:cstheme="minorHAnsi"/>
                <w:szCs w:val="22"/>
              </w:rPr>
            </w:pPr>
            <w:r w:rsidRPr="00D713EB">
              <w:rPr>
                <w:rFonts w:cstheme="minorHAnsi"/>
                <w:szCs w:val="22"/>
              </w:rPr>
              <w:t>C.3. Description of PLRs, institutional mandates and procedures for the recognition, respect and protection of the rights of customary landowners, local communities and vulnerable groups</w:t>
            </w:r>
          </w:p>
          <w:p w14:paraId="6E806331" w14:textId="43AE4EA7" w:rsidR="00E30B19" w:rsidRPr="00D713EB" w:rsidRDefault="00E30B19" w:rsidP="00482A0E">
            <w:pPr>
              <w:rPr>
                <w:b w:val="0"/>
                <w:bCs w:val="0"/>
              </w:rPr>
            </w:pPr>
          </w:p>
        </w:tc>
        <w:tc>
          <w:tcPr>
            <w:tcW w:w="4364" w:type="dxa"/>
          </w:tcPr>
          <w:p w14:paraId="5768914B"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rPr>
                <w:bCs/>
              </w:rPr>
            </w:pPr>
            <w:r w:rsidRPr="00D713EB">
              <w:rPr>
                <w:bCs/>
              </w:rPr>
              <w:t>The Constitution obliges the Government, as the custodian of the people of PNG, to recognize and ‘uphold’ the Underlying Laws governing customs and traditions and the rights associated with them. These are also detailed and reinforced via specific Acts of Parliament. This legal framework outlines all available means of ensuring there is sufficient remedy to address any discrimination shown towards customary landowners/groups.</w:t>
            </w:r>
          </w:p>
          <w:p w14:paraId="619ACFFF"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rPr>
                <w:bCs/>
              </w:rPr>
            </w:pPr>
            <w:r w:rsidRPr="00D713EB">
              <w:rPr>
                <w:bCs/>
              </w:rPr>
              <w:t>The right of self-determination is recognized in the National Constitution and also detailed within specific Acts of Parliament, which are designed to facilitate and to recognize this right through the primary forms of traditional decision making structures.</w:t>
            </w:r>
          </w:p>
          <w:p w14:paraId="0B2A5D1B"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rPr>
                <w:bCs/>
              </w:rPr>
            </w:pPr>
            <w:r w:rsidRPr="00D713EB">
              <w:rPr>
                <w:bCs/>
              </w:rPr>
              <w:t xml:space="preserve">PLRs recognize the collective rights of forest ownership in PNG through the establishment of Incorporated Land Groups (ILGs) as per the relevant legislation. ILGs are designed as a customary social unit to possess, manage and trade land. </w:t>
            </w:r>
            <w:r w:rsidRPr="00D713EB">
              <w:t>The Constitution recognizes the right of customary land owners and local communities in terms of the inherent right to manage their own natural resources following their traditions from time immemorial.</w:t>
            </w:r>
            <w:r w:rsidRPr="00D713EB">
              <w:rPr>
                <w:vertAlign w:val="superscript"/>
              </w:rPr>
              <w:footnoteReference w:id="27"/>
            </w:r>
            <w:r w:rsidRPr="00D713EB">
              <w:t>This is supported in all respective PLRs relating to natural resource development on customary owned land</w:t>
            </w:r>
            <w:r w:rsidRPr="00D713EB">
              <w:rPr>
                <w:bCs/>
              </w:rPr>
              <w:t xml:space="preserve"> and over customary owned resources especially within forest lands which they own or exercise a traditional user right over. </w:t>
            </w:r>
            <w:r w:rsidRPr="00D713EB">
              <w:t>The Constitution section 53 recognizes the rights of citizens in situations in which there has been an unjust deprivation of property or land, particularly customary land, and provides for the process to be followed within the Land Act 1996 prior to extinguishing or diminishing their right. In such instances, a monetary form of compensation is normally awarded, however, other forms of compensatory measures are also considered.</w:t>
            </w:r>
          </w:p>
          <w:p w14:paraId="734284C3" w14:textId="77777777" w:rsidR="006F354E" w:rsidRPr="00D713EB" w:rsidRDefault="006F354E" w:rsidP="006F354E">
            <w:pPr>
              <w:cnfStyle w:val="000000000000" w:firstRow="0" w:lastRow="0" w:firstColumn="0" w:lastColumn="0" w:oddVBand="0" w:evenVBand="0" w:oddHBand="0" w:evenHBand="0" w:firstRowFirstColumn="0" w:firstRowLastColumn="0" w:lastRowFirstColumn="0" w:lastRowLastColumn="0"/>
            </w:pPr>
            <w:r w:rsidRPr="00D713EB">
              <w:rPr>
                <w:bCs/>
              </w:rPr>
              <w:t xml:space="preserve">The legislative framework in PNG covers mechanisms required for the fair sharing of benefits derived from forest resources. </w:t>
            </w:r>
            <w:r w:rsidRPr="00D713EB">
              <w:t>The Constitution refers to ‘the conservation of natural resources and environment for the collective benefit of all, and to be replenished for the benefit of future generations’ and the Organic Law on Provincial and Local Level Governments</w:t>
            </w:r>
            <w:r w:rsidRPr="00D713EB">
              <w:rPr>
                <w:vertAlign w:val="superscript"/>
              </w:rPr>
              <w:footnoteReference w:id="28"/>
            </w:r>
            <w:r w:rsidRPr="00D713EB">
              <w:t xml:space="preserve"> regulates benefit sharing from development of natural resources at the subnational level. </w:t>
            </w:r>
          </w:p>
          <w:p w14:paraId="4E6A47F6"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c>
          <w:tcPr>
            <w:tcW w:w="4364" w:type="dxa"/>
          </w:tcPr>
          <w:p w14:paraId="5E577744"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bl>
    <w:p w14:paraId="455658F4" w14:textId="77777777" w:rsidR="00E30B19" w:rsidRPr="00D713EB" w:rsidRDefault="00E30B19" w:rsidP="00E30B19"/>
    <w:p w14:paraId="1C9F66C1" w14:textId="77777777" w:rsidR="00E30B19" w:rsidRPr="00D713EB" w:rsidRDefault="00E30B19" w:rsidP="00E30B19"/>
    <w:p w14:paraId="2A35B2FC" w14:textId="77777777" w:rsidR="00E30B19" w:rsidRPr="00D713EB" w:rsidRDefault="00E30B19" w:rsidP="00E30B19">
      <w:pPr>
        <w:rPr>
          <w:b/>
        </w:rPr>
      </w:pPr>
      <w:r w:rsidRPr="00D713EB">
        <w:rPr>
          <w:b/>
        </w:rPr>
        <w:t>Safeguard D</w:t>
      </w:r>
    </w:p>
    <w:p w14:paraId="69204237" w14:textId="77777777" w:rsidR="00E30B19" w:rsidRPr="00D713EB" w:rsidRDefault="00E30B19" w:rsidP="00E30B19"/>
    <w:tbl>
      <w:tblPr>
        <w:tblStyle w:val="GridTable1Light-Accent3"/>
        <w:tblW w:w="13438" w:type="dxa"/>
        <w:tblLook w:val="04A0" w:firstRow="1" w:lastRow="0" w:firstColumn="1" w:lastColumn="0" w:noHBand="0" w:noVBand="1"/>
      </w:tblPr>
      <w:tblGrid>
        <w:gridCol w:w="4710"/>
        <w:gridCol w:w="4364"/>
        <w:gridCol w:w="4364"/>
      </w:tblGrid>
      <w:tr w:rsidR="00E30B19" w:rsidRPr="00D713EB" w14:paraId="0CED5F11" w14:textId="77777777" w:rsidTr="00482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15991B90"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4364" w:type="dxa"/>
          </w:tcPr>
          <w:p w14:paraId="2DC32626"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329B5A8B"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04F441B7"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6EF4738C" w14:textId="77777777" w:rsidR="00482A0E" w:rsidRPr="00D713EB" w:rsidRDefault="00482A0E" w:rsidP="00482A0E">
            <w:pPr>
              <w:rPr>
                <w:rFonts w:cstheme="minorHAnsi"/>
                <w:szCs w:val="22"/>
              </w:rPr>
            </w:pPr>
            <w:r w:rsidRPr="00D713EB">
              <w:rPr>
                <w:rFonts w:cstheme="minorHAnsi"/>
                <w:szCs w:val="22"/>
              </w:rPr>
              <w:t>D.1. Description of PLRs, institutional mandates and procedures that recognize and regulate the right to participate in the implementation of the REDD+ actions</w:t>
            </w:r>
          </w:p>
          <w:p w14:paraId="0964B71E" w14:textId="05963824" w:rsidR="00E30B19" w:rsidRPr="00D713EB" w:rsidRDefault="00E30B19" w:rsidP="00482A0E">
            <w:pPr>
              <w:rPr>
                <w:b w:val="0"/>
                <w:bCs w:val="0"/>
              </w:rPr>
            </w:pPr>
          </w:p>
        </w:tc>
        <w:tc>
          <w:tcPr>
            <w:tcW w:w="4364" w:type="dxa"/>
          </w:tcPr>
          <w:p w14:paraId="74AF85C1" w14:textId="77777777" w:rsidR="00482A0E"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relevant PLRs</w:t>
            </w:r>
            <w:r w:rsidRPr="00D713EB">
              <w:rPr>
                <w:bCs/>
                <w:vertAlign w:val="superscript"/>
              </w:rPr>
              <w:footnoteReference w:id="29"/>
            </w:r>
            <w:r w:rsidRPr="00D713EB">
              <w:rPr>
                <w:bCs/>
              </w:rPr>
              <w:t xml:space="preserve"> provide for equal opportunities for the participation of every citizen in the development process and make it mandatory for customary resource owners and local communities to be present on decision making bodies</w:t>
            </w:r>
            <w:r w:rsidRPr="00D713EB">
              <w:rPr>
                <w:bCs/>
                <w:vertAlign w:val="superscript"/>
              </w:rPr>
              <w:footnoteReference w:id="30"/>
            </w:r>
            <w:r w:rsidRPr="00D713EB">
              <w:rPr>
                <w:bCs/>
              </w:rPr>
              <w:t xml:space="preserve"> concerning the use of forest resources. Various PLRs</w:t>
            </w:r>
            <w:r w:rsidRPr="00D713EB">
              <w:rPr>
                <w:bCs/>
                <w:vertAlign w:val="superscript"/>
              </w:rPr>
              <w:footnoteReference w:id="31"/>
            </w:r>
            <w:r w:rsidRPr="00D713EB">
              <w:rPr>
                <w:bCs/>
              </w:rPr>
              <w:t xml:space="preserve"> make it mandatory for customary resource owners and local communities to be present on Boards, Committees and Technical Working Groups during the various transactions concerning the use of forest resources, especially the process of planning, acquisition and development. The responsibilities of all respective agencies in relation to public participation are defined within forestry and natural resource PLRs.</w:t>
            </w:r>
            <w:r w:rsidRPr="00D713EB">
              <w:rPr>
                <w:bCs/>
                <w:vertAlign w:val="superscript"/>
              </w:rPr>
              <w:footnoteReference w:id="32"/>
            </w:r>
            <w:r w:rsidRPr="00D713EB">
              <w:rPr>
                <w:bCs/>
              </w:rPr>
              <w:t xml:space="preserve"> Forestry regulations set out time-frames for inputs. PLRs provide for the Right to Freedom of Information</w:t>
            </w:r>
            <w:r w:rsidRPr="00D713EB">
              <w:rPr>
                <w:bCs/>
                <w:vertAlign w:val="superscript"/>
              </w:rPr>
              <w:footnoteReference w:id="33"/>
            </w:r>
            <w:r w:rsidRPr="00D713EB">
              <w:rPr>
                <w:bCs/>
              </w:rPr>
              <w:t xml:space="preserve"> and establish procedures for citizens to access it, subject to certain restrictions. There are also provisions which outline the process of providing inputs and receiving them.</w:t>
            </w:r>
            <w:r w:rsidRPr="00D713EB">
              <w:rPr>
                <w:bCs/>
                <w:vertAlign w:val="superscript"/>
              </w:rPr>
              <w:footnoteReference w:id="34"/>
            </w:r>
            <w:r w:rsidRPr="00D713EB">
              <w:rPr>
                <w:bCs/>
              </w:rPr>
              <w:t xml:space="preserve"> Refusals of applications must state the reasons and have to be registered in a ‘register’ which is open to public scrutiny.</w:t>
            </w:r>
            <w:r w:rsidRPr="00D713EB">
              <w:rPr>
                <w:bCs/>
                <w:vertAlign w:val="superscript"/>
              </w:rPr>
              <w:footnoteReference w:id="35"/>
            </w:r>
            <w:r w:rsidRPr="00D713EB">
              <w:t xml:space="preserve"> The </w:t>
            </w:r>
            <w:r w:rsidRPr="00D713EB">
              <w:rPr>
                <w:bCs/>
              </w:rPr>
              <w:t>PLRs provide for access to justice</w:t>
            </w:r>
            <w:r w:rsidRPr="00D713EB">
              <w:rPr>
                <w:b/>
                <w:bCs/>
              </w:rPr>
              <w:t xml:space="preserve"> </w:t>
            </w:r>
            <w:r w:rsidRPr="00D713EB">
              <w:rPr>
                <w:bCs/>
              </w:rPr>
              <w:t>through clear internal administrative processes</w:t>
            </w:r>
            <w:r w:rsidRPr="00D713EB">
              <w:rPr>
                <w:bCs/>
                <w:vertAlign w:val="superscript"/>
              </w:rPr>
              <w:footnoteReference w:id="36"/>
            </w:r>
            <w:r w:rsidRPr="00D713EB">
              <w:rPr>
                <w:bCs/>
              </w:rPr>
              <w:t xml:space="preserve"> and relate to disputes over environmental plans or impact assessments.</w:t>
            </w:r>
            <w:r w:rsidRPr="00D713EB">
              <w:rPr>
                <w:bCs/>
                <w:vertAlign w:val="superscript"/>
              </w:rPr>
              <w:footnoteReference w:id="37"/>
            </w:r>
            <w:r w:rsidRPr="00D713EB">
              <w:rPr>
                <w:vertAlign w:val="superscript"/>
              </w:rPr>
              <w:t xml:space="preserve"> </w:t>
            </w:r>
            <w:r w:rsidRPr="00D713EB">
              <w:t>The PLRs</w:t>
            </w:r>
            <w:r w:rsidRPr="00D713EB">
              <w:rPr>
                <w:vertAlign w:val="superscript"/>
              </w:rPr>
              <w:t xml:space="preserve"> </w:t>
            </w:r>
            <w:r w:rsidRPr="00D713EB">
              <w:rPr>
                <w:bCs/>
                <w:vertAlign w:val="superscript"/>
              </w:rPr>
              <w:footnoteReference w:id="38"/>
            </w:r>
            <w:r w:rsidRPr="00D713EB">
              <w:rPr>
                <w:bCs/>
              </w:rPr>
              <w:t xml:space="preserve"> allow for a non-prohibitive option in allowing for the pursuit of further legal remedies</w:t>
            </w:r>
            <w:r w:rsidRPr="00D713EB">
              <w:rPr>
                <w:bCs/>
                <w:vertAlign w:val="superscript"/>
              </w:rPr>
              <w:footnoteReference w:id="39"/>
            </w:r>
            <w:r w:rsidRPr="00D713EB">
              <w:rPr>
                <w:bCs/>
              </w:rPr>
              <w:t xml:space="preserve"> despite also using internal/administrative dispute resolution processes.</w:t>
            </w:r>
            <w:r w:rsidRPr="00D713EB">
              <w:rPr>
                <w:bCs/>
                <w:vertAlign w:val="superscript"/>
              </w:rPr>
              <w:footnoteReference w:id="40"/>
            </w:r>
            <w:r w:rsidRPr="00D713EB">
              <w:rPr>
                <w:bCs/>
              </w:rPr>
              <w:t xml:space="preserve"> They clearly stipulate the timely delivery of rulings as well.</w:t>
            </w:r>
          </w:p>
          <w:p w14:paraId="77D1A641"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c>
          <w:tcPr>
            <w:tcW w:w="4364" w:type="dxa"/>
          </w:tcPr>
          <w:p w14:paraId="40E3F9D5"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28F87F51"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2D03B05F" w14:textId="77777777" w:rsidR="00482A0E" w:rsidRPr="00D713EB" w:rsidRDefault="00482A0E" w:rsidP="00482A0E">
            <w:pPr>
              <w:rPr>
                <w:rFonts w:cstheme="minorHAnsi"/>
                <w:szCs w:val="22"/>
              </w:rPr>
            </w:pPr>
            <w:r w:rsidRPr="00D713EB">
              <w:rPr>
                <w:rFonts w:cstheme="minorHAnsi"/>
                <w:szCs w:val="22"/>
              </w:rPr>
              <w:t>D.2. Description of PLRs, institutional mandates and procedures that specifically recognize and regulate the right of customary landowners, local communities and vulnerable groups to participate in the implementation of the REDD+ actions</w:t>
            </w:r>
          </w:p>
          <w:p w14:paraId="2989BB16" w14:textId="73A8C7BE" w:rsidR="00E30B19" w:rsidRPr="00D713EB" w:rsidRDefault="00E30B19" w:rsidP="00482A0E">
            <w:pPr>
              <w:rPr>
                <w:b w:val="0"/>
                <w:bCs w:val="0"/>
              </w:rPr>
            </w:pPr>
          </w:p>
        </w:tc>
        <w:tc>
          <w:tcPr>
            <w:tcW w:w="4364" w:type="dxa"/>
          </w:tcPr>
          <w:p w14:paraId="24840D05" w14:textId="77777777" w:rsidR="00482A0E"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PLRs provide for legally recognized traditional structures used by customary landowners to engage with corporations, government, and other stakeholders in activities concerning the utilization/development of their land or natural resources.</w:t>
            </w:r>
            <w:r w:rsidRPr="00D713EB">
              <w:rPr>
                <w:bCs/>
                <w:vertAlign w:val="superscript"/>
              </w:rPr>
              <w:footnoteReference w:id="41"/>
            </w:r>
            <w:r w:rsidRPr="00D713EB">
              <w:rPr>
                <w:bCs/>
              </w:rPr>
              <w:t xml:space="preserve"> This is recognized and provided for within forestry, land and customary law. Forestry legislation</w:t>
            </w:r>
            <w:r w:rsidRPr="00D713EB">
              <w:rPr>
                <w:bCs/>
                <w:vertAlign w:val="superscript"/>
              </w:rPr>
              <w:footnoteReference w:id="42"/>
            </w:r>
            <w:r w:rsidRPr="00D713EB">
              <w:rPr>
                <w:bCs/>
              </w:rPr>
              <w:t xml:space="preserve"> provides for financial assistance to ensure that the ILGs are contributing effectively to the management and development of</w:t>
            </w:r>
            <w:r w:rsidRPr="00D713EB">
              <w:rPr>
                <w:b/>
                <w:bCs/>
              </w:rPr>
              <w:t xml:space="preserve"> </w:t>
            </w:r>
            <w:r w:rsidRPr="00D713EB">
              <w:rPr>
                <w:bCs/>
              </w:rPr>
              <w:t>the forest industry activities. The Constitution refers to Equality and Participation</w:t>
            </w:r>
            <w:r w:rsidRPr="00D713EB">
              <w:rPr>
                <w:bCs/>
                <w:vertAlign w:val="superscript"/>
              </w:rPr>
              <w:footnoteReference w:id="43"/>
            </w:r>
            <w:r w:rsidRPr="00D713EB">
              <w:rPr>
                <w:bCs/>
              </w:rPr>
              <w:t xml:space="preserve"> and reflects the intentions of the </w:t>
            </w:r>
            <w:r w:rsidRPr="00D713EB">
              <w:t>UN Declaration on the Rights of Indigenous People</w:t>
            </w:r>
            <w:r w:rsidRPr="00D713EB">
              <w:rPr>
                <w:bCs/>
              </w:rPr>
              <w:t xml:space="preserve"> (UNDRIP)</w:t>
            </w:r>
            <w:r w:rsidRPr="00D713EB">
              <w:rPr>
                <w:bCs/>
                <w:vertAlign w:val="superscript"/>
              </w:rPr>
              <w:footnoteReference w:id="44"/>
            </w:r>
            <w:r w:rsidRPr="00D713EB">
              <w:rPr>
                <w:bCs/>
              </w:rPr>
              <w:t xml:space="preserve"> especially in relation to issues concerning the access to and use of customary land and resources for development purposes. It provides for various guaranteed rights and freedoms</w:t>
            </w:r>
            <w:r w:rsidRPr="00D713EB">
              <w:rPr>
                <w:bCs/>
                <w:vertAlign w:val="superscript"/>
              </w:rPr>
              <w:footnoteReference w:id="45"/>
            </w:r>
            <w:r w:rsidRPr="00D713EB">
              <w:rPr>
                <w:bCs/>
              </w:rPr>
              <w:t xml:space="preserve"> which are core to ensuring compliance with the right to FPIC, also embodied within relevant Acts of Parliament</w:t>
            </w:r>
            <w:r w:rsidRPr="00D713EB">
              <w:rPr>
                <w:bCs/>
                <w:vertAlign w:val="superscript"/>
              </w:rPr>
              <w:footnoteReference w:id="46"/>
            </w:r>
            <w:r w:rsidRPr="00D713EB">
              <w:rPr>
                <w:bCs/>
              </w:rPr>
              <w:t xml:space="preserve"> and specific national policies</w:t>
            </w:r>
            <w:r w:rsidRPr="00D713EB">
              <w:rPr>
                <w:bCs/>
                <w:vertAlign w:val="superscript"/>
              </w:rPr>
              <w:footnoteReference w:id="47"/>
            </w:r>
            <w:r w:rsidRPr="00D713EB">
              <w:rPr>
                <w:bCs/>
              </w:rPr>
              <w:t>.</w:t>
            </w:r>
          </w:p>
          <w:p w14:paraId="23DAF7E9" w14:textId="7A6303F1" w:rsidR="00E30B19"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Constitution recognizes Gender Equality</w:t>
            </w:r>
            <w:r w:rsidRPr="00D713EB">
              <w:rPr>
                <w:bCs/>
                <w:vertAlign w:val="superscript"/>
              </w:rPr>
              <w:footnoteReference w:id="48"/>
            </w:r>
            <w:r w:rsidRPr="00D713EB">
              <w:rPr>
                <w:bCs/>
              </w:rPr>
              <w:t xml:space="preserve"> and the Right of women citizens to participate in all economic activities.</w:t>
            </w:r>
            <w:r w:rsidRPr="00D713EB">
              <w:rPr>
                <w:bCs/>
                <w:vertAlign w:val="superscript"/>
              </w:rPr>
              <w:footnoteReference w:id="49"/>
            </w:r>
            <w:r w:rsidRPr="00D713EB">
              <w:rPr>
                <w:bCs/>
              </w:rPr>
              <w:t xml:space="preserve"> This is further recognized and encouraged in specific PLRs at the national level.</w:t>
            </w:r>
            <w:r w:rsidRPr="00D713EB">
              <w:rPr>
                <w:bCs/>
                <w:vertAlign w:val="superscript"/>
              </w:rPr>
              <w:footnoteReference w:id="50"/>
            </w:r>
            <w:r w:rsidRPr="00D713EB">
              <w:rPr>
                <w:bCs/>
              </w:rPr>
              <w:t xml:space="preserve"> Gender discrimination issues are addressed within specific policies of the public service</w:t>
            </w:r>
            <w:r w:rsidRPr="00D713EB">
              <w:rPr>
                <w:bCs/>
                <w:vertAlign w:val="superscript"/>
              </w:rPr>
              <w:footnoteReference w:id="51"/>
            </w:r>
            <w:r w:rsidRPr="00D713EB">
              <w:rPr>
                <w:bCs/>
              </w:rPr>
              <w:t xml:space="preserve"> and applicable within all sectors. There are also dedicated public and private agencies established to implement this right and to raise awareness and implement policies on gender equality and discrimination in PNG.</w:t>
            </w:r>
          </w:p>
        </w:tc>
        <w:tc>
          <w:tcPr>
            <w:tcW w:w="4364" w:type="dxa"/>
          </w:tcPr>
          <w:p w14:paraId="226572F9"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bl>
    <w:p w14:paraId="5766667E" w14:textId="77777777" w:rsidR="00E30B19" w:rsidRPr="00D713EB" w:rsidRDefault="00E30B19" w:rsidP="00E30B19"/>
    <w:p w14:paraId="0E76DFDF" w14:textId="77777777" w:rsidR="00E30B19" w:rsidRPr="00D713EB" w:rsidRDefault="00E30B19" w:rsidP="00E30B19"/>
    <w:p w14:paraId="0177174D" w14:textId="77777777" w:rsidR="00E30B19" w:rsidRPr="00D713EB" w:rsidRDefault="00E30B19" w:rsidP="00E30B19">
      <w:pPr>
        <w:rPr>
          <w:b/>
        </w:rPr>
      </w:pPr>
      <w:r w:rsidRPr="00D713EB">
        <w:rPr>
          <w:b/>
        </w:rPr>
        <w:t>Safeguard E</w:t>
      </w:r>
    </w:p>
    <w:p w14:paraId="50C59BAB" w14:textId="77777777" w:rsidR="00E30B19" w:rsidRPr="00D713EB" w:rsidRDefault="00E30B19" w:rsidP="00E30B19"/>
    <w:tbl>
      <w:tblPr>
        <w:tblStyle w:val="GridTable1Light-Accent3"/>
        <w:tblW w:w="13438" w:type="dxa"/>
        <w:tblLook w:val="04A0" w:firstRow="1" w:lastRow="0" w:firstColumn="1" w:lastColumn="0" w:noHBand="0" w:noVBand="1"/>
      </w:tblPr>
      <w:tblGrid>
        <w:gridCol w:w="4710"/>
        <w:gridCol w:w="4364"/>
        <w:gridCol w:w="4364"/>
      </w:tblGrid>
      <w:tr w:rsidR="00E30B19" w:rsidRPr="00D713EB" w14:paraId="26F57FBA" w14:textId="77777777" w:rsidTr="00482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47F1DFE4"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4364" w:type="dxa"/>
          </w:tcPr>
          <w:p w14:paraId="2526FAEE"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637552C7"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06ED1DB1"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761A2460" w14:textId="77777777" w:rsidR="00482A0E" w:rsidRPr="00D713EB" w:rsidRDefault="00482A0E" w:rsidP="00482A0E">
            <w:pPr>
              <w:rPr>
                <w:rFonts w:cstheme="minorHAnsi"/>
                <w:szCs w:val="22"/>
              </w:rPr>
            </w:pPr>
            <w:r w:rsidRPr="00D713EB">
              <w:rPr>
                <w:rFonts w:cstheme="minorHAnsi"/>
                <w:szCs w:val="22"/>
              </w:rPr>
              <w:t xml:space="preserve">E.1. Description of PLRs, institutional mandates and procedures that define the term natural forests distinguishing them from plantations </w:t>
            </w:r>
          </w:p>
          <w:p w14:paraId="3331B779" w14:textId="3596D29A" w:rsidR="00E30B19" w:rsidRPr="00D713EB" w:rsidRDefault="00E30B19" w:rsidP="00482A0E">
            <w:pPr>
              <w:rPr>
                <w:b w:val="0"/>
                <w:bCs w:val="0"/>
              </w:rPr>
            </w:pPr>
          </w:p>
        </w:tc>
        <w:tc>
          <w:tcPr>
            <w:tcW w:w="4364" w:type="dxa"/>
          </w:tcPr>
          <w:p w14:paraId="15585994" w14:textId="66C3F12C" w:rsidR="00E30B19"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PNG defines forests as “land spanning more than 1 hectare, with trees higher than 3 meters and the canopy cover of more than 10 percent (%)”</w:t>
            </w:r>
            <w:r w:rsidRPr="00D713EB">
              <w:rPr>
                <w:rStyle w:val="FootnoteReference"/>
                <w:bCs/>
              </w:rPr>
              <w:footnoteReference w:id="52"/>
            </w:r>
            <w:r w:rsidRPr="00D713EB">
              <w:rPr>
                <w:bCs/>
              </w:rPr>
              <w:t xml:space="preserve"> and distinguishes them from forest plantations.</w:t>
            </w:r>
            <w:r w:rsidRPr="00D713EB">
              <w:rPr>
                <w:bCs/>
                <w:vertAlign w:val="superscript"/>
              </w:rPr>
              <w:footnoteReference w:id="53"/>
            </w:r>
          </w:p>
        </w:tc>
        <w:tc>
          <w:tcPr>
            <w:tcW w:w="4364" w:type="dxa"/>
          </w:tcPr>
          <w:p w14:paraId="79713437"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6BA7F634"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4519C119" w14:textId="592E8255" w:rsidR="00482A0E" w:rsidRPr="00D713EB" w:rsidRDefault="00482A0E" w:rsidP="00482A0E">
            <w:pPr>
              <w:rPr>
                <w:rFonts w:cstheme="minorHAnsi"/>
                <w:szCs w:val="22"/>
              </w:rPr>
            </w:pPr>
            <w:r w:rsidRPr="00D713EB">
              <w:rPr>
                <w:rFonts w:cstheme="minorHAnsi"/>
                <w:szCs w:val="22"/>
              </w:rPr>
              <w:t xml:space="preserve">E.2. Description of PLRs, institutional mandates and procedures that protect and conserve natural forests, biodiversity and ecosystems </w:t>
            </w:r>
          </w:p>
          <w:p w14:paraId="5198BE94" w14:textId="7DE13E23" w:rsidR="00E30B19" w:rsidRPr="00D713EB" w:rsidRDefault="00E30B19" w:rsidP="00482A0E">
            <w:pPr>
              <w:rPr>
                <w:b w:val="0"/>
                <w:bCs w:val="0"/>
              </w:rPr>
            </w:pPr>
          </w:p>
        </w:tc>
        <w:tc>
          <w:tcPr>
            <w:tcW w:w="4364" w:type="dxa"/>
          </w:tcPr>
          <w:p w14:paraId="50F5A068" w14:textId="77777777" w:rsidR="00482A0E"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Relevant PLRs promote the conservation of natural forests and biological diversity as per the objectives of the Constitution and specifically through its planning process.</w:t>
            </w:r>
            <w:r w:rsidRPr="00D713EB">
              <w:rPr>
                <w:bCs/>
                <w:vertAlign w:val="superscript"/>
              </w:rPr>
              <w:footnoteReference w:id="54"/>
            </w:r>
            <w:r w:rsidRPr="00D713EB">
              <w:rPr>
                <w:bCs/>
              </w:rPr>
              <w:t xml:space="preserve"> Relevant PLRs mitigate threats imposed to flora and fauna species as per international law.</w:t>
            </w:r>
            <w:r w:rsidRPr="00D713EB">
              <w:rPr>
                <w:bCs/>
                <w:vertAlign w:val="superscript"/>
              </w:rPr>
              <w:footnoteReference w:id="55"/>
            </w:r>
            <w:r w:rsidRPr="00D713EB">
              <w:rPr>
                <w:bCs/>
              </w:rPr>
              <w:t xml:space="preserve"> </w:t>
            </w:r>
            <w:r w:rsidRPr="00D713EB">
              <w:t>Provisions for the protection of endangered wood species are contained within specific legislation on the monitoring and control of trade in endangered flora and fauna</w:t>
            </w:r>
            <w:r w:rsidRPr="00D713EB">
              <w:rPr>
                <w:vertAlign w:val="superscript"/>
              </w:rPr>
              <w:footnoteReference w:id="56"/>
            </w:r>
            <w:r w:rsidRPr="00D713EB">
              <w:t>.</w:t>
            </w:r>
          </w:p>
          <w:p w14:paraId="08A2F909" w14:textId="77777777" w:rsidR="00E30B19"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Forestry Policy provides for background considerations</w:t>
            </w:r>
            <w:r w:rsidRPr="00D713EB">
              <w:rPr>
                <w:bCs/>
                <w:vertAlign w:val="superscript"/>
              </w:rPr>
              <w:footnoteReference w:id="57"/>
            </w:r>
            <w:r w:rsidRPr="00D713EB">
              <w:rPr>
                <w:bCs/>
              </w:rPr>
              <w:t xml:space="preserve"> in relation to forest conversion within the context of FMAs as well as outside of them.</w:t>
            </w:r>
            <w:r w:rsidRPr="00D713EB">
              <w:rPr>
                <w:bCs/>
                <w:vertAlign w:val="superscript"/>
              </w:rPr>
              <w:footnoteReference w:id="58"/>
            </w:r>
            <w:r w:rsidRPr="00D713EB">
              <w:rPr>
                <w:bCs/>
              </w:rPr>
              <w:t xml:space="preserve"> In addition, environmental and forestry legislation set some degree of ‘control’ over land use conversion in both public and private forests through environmental impact assessments and mitigation measures.</w:t>
            </w:r>
            <w:r w:rsidRPr="00D713EB">
              <w:rPr>
                <w:bCs/>
                <w:vertAlign w:val="superscript"/>
              </w:rPr>
              <w:footnoteReference w:id="59"/>
            </w:r>
            <w:r w:rsidRPr="00D713EB">
              <w:rPr>
                <w:bCs/>
              </w:rPr>
              <w:t xml:space="preserve"> The Environmental Regulation 2002 outlines environmental controls e.g., Environmental Impact Assessments for large scale forestry activities in both private and public forests. The controls are required for activities such as large scale forest conversion or road clearance or agricultural activities. Mitigation activities within forestry legislation relate to provisions which deter any interference within naturally forested areas such as the 10% set aside for ‘conservation areas’ within FMAs or other timber production areas. Under Conservation Areas which fall under the Conservation Areas Act, natural forest conversion is also controlled.  </w:t>
            </w:r>
          </w:p>
          <w:p w14:paraId="6BD42534" w14:textId="66C1AAF0" w:rsidR="00482A0E" w:rsidRPr="00D713EB" w:rsidRDefault="00482A0E"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Currently, areas subject to FCA, outline clear procedures to monitor the development of agricultural projects. Any failure to achieve the planned targets under FCAs results in the seizure of logs held by the company in breach, and the disposal of them is free of production costs.</w:t>
            </w:r>
            <w:r w:rsidRPr="00D713EB">
              <w:rPr>
                <w:bCs/>
                <w:vertAlign w:val="superscript"/>
              </w:rPr>
              <w:footnoteReference w:id="60"/>
            </w:r>
          </w:p>
        </w:tc>
        <w:tc>
          <w:tcPr>
            <w:tcW w:w="4364" w:type="dxa"/>
          </w:tcPr>
          <w:p w14:paraId="44A43C3E"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0D469469"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259D275F" w14:textId="1F68A718" w:rsidR="00E30B19" w:rsidRPr="00D713EB" w:rsidRDefault="00482A0E" w:rsidP="00482A0E">
            <w:pPr>
              <w:rPr>
                <w:rFonts w:cstheme="minorHAnsi"/>
                <w:szCs w:val="22"/>
              </w:rPr>
            </w:pPr>
            <w:r w:rsidRPr="00D713EB">
              <w:rPr>
                <w:rFonts w:cstheme="minorHAnsi"/>
                <w:szCs w:val="22"/>
              </w:rPr>
              <w:t xml:space="preserve">E.3. Description of PLRs, institutional mandates and procedures that regulate the assessment or enhancement of social and environmental benefits </w:t>
            </w:r>
          </w:p>
        </w:tc>
        <w:tc>
          <w:tcPr>
            <w:tcW w:w="4364" w:type="dxa"/>
          </w:tcPr>
          <w:p w14:paraId="18FC325E" w14:textId="627C761F" w:rsidR="00E30B19" w:rsidRPr="00D713EB" w:rsidRDefault="00062770"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Relevant PLRs take account of and address the ecological, biological, socio-cultural and economic contributions of forest resources via Acts of Parliament and through other forms of standards/guidelines and Certification processes.</w:t>
            </w:r>
            <w:r w:rsidRPr="00D713EB">
              <w:rPr>
                <w:bCs/>
                <w:vertAlign w:val="superscript"/>
              </w:rPr>
              <w:footnoteReference w:id="61"/>
            </w:r>
            <w:r w:rsidRPr="00D713EB">
              <w:rPr>
                <w:bCs/>
              </w:rPr>
              <w:t xml:space="preserve"> Forestry PLRs provide for adequate rights to fair distribution of benefits arising from the use of forest resources. Benefit Sharing arrangements are clearly stipulated within the present broader legal framework of the general natural resource sectors as well.</w:t>
            </w:r>
          </w:p>
        </w:tc>
        <w:tc>
          <w:tcPr>
            <w:tcW w:w="4364" w:type="dxa"/>
          </w:tcPr>
          <w:p w14:paraId="1E25053C"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bl>
    <w:p w14:paraId="3CA7D37E" w14:textId="77777777" w:rsidR="00E30B19" w:rsidRPr="00D713EB" w:rsidRDefault="00E30B19" w:rsidP="00E30B19"/>
    <w:p w14:paraId="0D6960D1" w14:textId="77777777" w:rsidR="00E30B19" w:rsidRPr="00D713EB" w:rsidRDefault="00E30B19" w:rsidP="00E30B19">
      <w:pPr>
        <w:rPr>
          <w:b/>
        </w:rPr>
      </w:pPr>
      <w:r w:rsidRPr="00D713EB">
        <w:rPr>
          <w:b/>
        </w:rPr>
        <w:t>Safeguards F &amp;G</w:t>
      </w:r>
    </w:p>
    <w:p w14:paraId="1EB3F5D0" w14:textId="77777777" w:rsidR="00E30B19" w:rsidRPr="00D713EB" w:rsidRDefault="00E30B19" w:rsidP="00E30B19"/>
    <w:tbl>
      <w:tblPr>
        <w:tblStyle w:val="GridTable1Light-Accent3"/>
        <w:tblW w:w="13438" w:type="dxa"/>
        <w:tblLook w:val="04A0" w:firstRow="1" w:lastRow="0" w:firstColumn="1" w:lastColumn="0" w:noHBand="0" w:noVBand="1"/>
      </w:tblPr>
      <w:tblGrid>
        <w:gridCol w:w="4710"/>
        <w:gridCol w:w="4364"/>
        <w:gridCol w:w="4364"/>
      </w:tblGrid>
      <w:tr w:rsidR="00E30B19" w:rsidRPr="00D713EB" w14:paraId="46774699" w14:textId="77777777" w:rsidTr="00482A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78E9F5C4" w14:textId="77777777" w:rsidR="00E30B19" w:rsidRPr="00D713EB" w:rsidRDefault="00E30B19" w:rsidP="00482A0E">
            <w:pPr>
              <w:rPr>
                <w:bCs w:val="0"/>
              </w:rPr>
            </w:pPr>
            <w:r w:rsidRPr="00D713EB">
              <w:rPr>
                <w:bCs w:val="0"/>
              </w:rPr>
              <w:t>Types of information to be provided to demonstrate how the safeguard has been respected (outcomes)</w:t>
            </w:r>
          </w:p>
        </w:tc>
        <w:tc>
          <w:tcPr>
            <w:tcW w:w="4364" w:type="dxa"/>
          </w:tcPr>
          <w:p w14:paraId="42864BCD"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3516CB05" w14:textId="77777777" w:rsidR="00E30B19" w:rsidRPr="00D713EB" w:rsidRDefault="00E30B19" w:rsidP="00482A0E">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180487EE"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55ED355A" w14:textId="77777777" w:rsidR="00062770" w:rsidRPr="00D713EB" w:rsidRDefault="00062770" w:rsidP="00062770">
            <w:pPr>
              <w:rPr>
                <w:rFonts w:cstheme="minorHAnsi"/>
                <w:szCs w:val="22"/>
              </w:rPr>
            </w:pPr>
            <w:r w:rsidRPr="00D713EB">
              <w:rPr>
                <w:rFonts w:cstheme="minorHAnsi"/>
                <w:szCs w:val="22"/>
              </w:rPr>
              <w:t>F&amp;G.1. Description of Measurement, Reporting and Verification (MRV) designed, maintained and implemented with the appropriate frequency to detect and provide information on reversals and displacement of emissions.</w:t>
            </w:r>
          </w:p>
          <w:p w14:paraId="68DC35DE" w14:textId="4B3BF32F" w:rsidR="00E30B19" w:rsidRPr="00D713EB" w:rsidRDefault="00E30B19" w:rsidP="00482A0E">
            <w:pPr>
              <w:rPr>
                <w:b w:val="0"/>
                <w:bCs w:val="0"/>
              </w:rPr>
            </w:pPr>
          </w:p>
        </w:tc>
        <w:tc>
          <w:tcPr>
            <w:tcW w:w="4364" w:type="dxa"/>
          </w:tcPr>
          <w:p w14:paraId="630B8121" w14:textId="390A1745" w:rsidR="00E30B19" w:rsidRPr="00D713EB" w:rsidRDefault="00062770" w:rsidP="00482A0E">
            <w:pPr>
              <w:cnfStyle w:val="000000000000" w:firstRow="0" w:lastRow="0" w:firstColumn="0" w:lastColumn="0" w:oddVBand="0" w:evenVBand="0" w:oddHBand="0" w:evenHBand="0" w:firstRowFirstColumn="0" w:firstRowLastColumn="0" w:lastRowFirstColumn="0" w:lastRowLastColumn="0"/>
              <w:rPr>
                <w:bCs/>
              </w:rPr>
            </w:pPr>
            <w:r w:rsidRPr="00D713EB">
              <w:rPr>
                <w:bCs/>
              </w:rPr>
              <w:t>The National Forest Monitoring System (NFMS) (</w:t>
            </w:r>
            <w:hyperlink r:id="rId33" w:history="1">
              <w:r w:rsidRPr="00D713EB">
                <w:rPr>
                  <w:rStyle w:val="Hyperlink"/>
                  <w:bCs/>
                </w:rPr>
                <w:t>www.nfmspng.org</w:t>
              </w:r>
            </w:hyperlink>
            <w:r w:rsidRPr="00D713EB">
              <w:rPr>
                <w:bCs/>
              </w:rPr>
              <w:t>) consists of a monitoring function, to assess the implementation and impact of national policies and measures for REDD+, and a MRV function to estimate and report GHG emissions/removals in the Land use, land-use change, and forestry (LULUCF) sector. The Satellite Land Monitoring System (SLMS) produces Activity Data, using Terra PNG (a system for wall to wall land use mapping used with PNG’s GHG reporting) operated by CCDA, and Collect Earth (point sampling) operated by PNGFA. These two systems verify, supplement and improve the data accuracy of each other. These in-house land use spatial information tools, together with extensive information from other national and international sources, are uploaded on to the web-portal, which enables public scrutiny of land use and forest information of PNG and thus enhances the transparency of REDD+ processes in the country. The National Forest Inventory (NFI) is the primary information source for Emission Factors for the MRV system. The Forest Resource Information Management System (FRIMS) is used by PNGFA to manage information on commercial forestry operations within the country. These systems have been used, together with data from a number of other sectors as well as time series assessments of forest carbon stock developed through a Collect Earth assessment undertaken by PNGFA, for the development of the FRL.</w:t>
            </w:r>
          </w:p>
        </w:tc>
        <w:tc>
          <w:tcPr>
            <w:tcW w:w="4364" w:type="dxa"/>
          </w:tcPr>
          <w:p w14:paraId="4B65B604"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r w:rsidR="00E30B19" w:rsidRPr="00D713EB" w14:paraId="2CDAFC4F" w14:textId="77777777" w:rsidTr="00482A0E">
        <w:tc>
          <w:tcPr>
            <w:cnfStyle w:val="001000000000" w:firstRow="0" w:lastRow="0" w:firstColumn="1" w:lastColumn="0" w:oddVBand="0" w:evenVBand="0" w:oddHBand="0" w:evenHBand="0" w:firstRowFirstColumn="0" w:firstRowLastColumn="0" w:lastRowFirstColumn="0" w:lastRowLastColumn="0"/>
            <w:tcW w:w="4710" w:type="dxa"/>
          </w:tcPr>
          <w:p w14:paraId="7C34EA87" w14:textId="77777777" w:rsidR="00062770" w:rsidRPr="00D713EB" w:rsidRDefault="00062770" w:rsidP="00062770">
            <w:pPr>
              <w:rPr>
                <w:rFonts w:cstheme="minorHAnsi"/>
                <w:szCs w:val="22"/>
              </w:rPr>
            </w:pPr>
            <w:r w:rsidRPr="00D713EB">
              <w:rPr>
                <w:rFonts w:cstheme="minorHAnsi"/>
                <w:szCs w:val="22"/>
              </w:rPr>
              <w:t>F&amp;G.2. Description of carbon accounting risk mitigation mechanisms such as buffer pools.</w:t>
            </w:r>
          </w:p>
          <w:p w14:paraId="00DF6C16" w14:textId="48FF10D0" w:rsidR="00E30B19" w:rsidRPr="00D713EB" w:rsidRDefault="00E30B19" w:rsidP="00482A0E">
            <w:pPr>
              <w:rPr>
                <w:b w:val="0"/>
                <w:bCs w:val="0"/>
              </w:rPr>
            </w:pPr>
          </w:p>
        </w:tc>
        <w:tc>
          <w:tcPr>
            <w:tcW w:w="4364" w:type="dxa"/>
          </w:tcPr>
          <w:p w14:paraId="2F95F92A" w14:textId="65F40682" w:rsidR="00062770" w:rsidRPr="00D713EB" w:rsidRDefault="00062770" w:rsidP="00062770">
            <w:pPr>
              <w:cnfStyle w:val="000000000000" w:firstRow="0" w:lastRow="0" w:firstColumn="0" w:lastColumn="0" w:oddVBand="0" w:evenVBand="0" w:oddHBand="0" w:evenHBand="0" w:firstRowFirstColumn="0" w:firstRowLastColumn="0" w:lastRowFirstColumn="0" w:lastRowLastColumn="0"/>
              <w:rPr>
                <w:bCs/>
              </w:rPr>
            </w:pPr>
            <w:r w:rsidRPr="00D713EB">
              <w:rPr>
                <w:bCs/>
              </w:rPr>
              <w:t>Relevant PLRs require updating land use and forest inventories for management and land use planning purposes and as a way of monitoring forest destruction.</w:t>
            </w:r>
            <w:r w:rsidRPr="00D713EB">
              <w:rPr>
                <w:vertAlign w:val="superscript"/>
              </w:rPr>
              <w:footnoteReference w:id="62"/>
            </w:r>
            <w:r w:rsidRPr="00D713EB">
              <w:rPr>
                <w:bCs/>
              </w:rPr>
              <w:t xml:space="preserve"> This is achieved through the “REDD+ Web Portal”</w:t>
            </w:r>
            <w:r w:rsidRPr="00D713EB">
              <w:rPr>
                <w:bCs/>
                <w:vertAlign w:val="superscript"/>
              </w:rPr>
              <w:footnoteReference w:id="63"/>
            </w:r>
            <w:r w:rsidRPr="00D713EB">
              <w:rPr>
                <w:bCs/>
              </w:rPr>
              <w:t>, created through the joint collaboration of government and key international partners.</w:t>
            </w:r>
            <w:r w:rsidRPr="00D713EB">
              <w:rPr>
                <w:bCs/>
                <w:vertAlign w:val="superscript"/>
              </w:rPr>
              <w:footnoteReference w:id="64"/>
            </w:r>
            <w:r w:rsidRPr="00D713EB">
              <w:rPr>
                <w:bCs/>
              </w:rPr>
              <w:t xml:space="preserve"> </w:t>
            </w:r>
            <w:r w:rsidRPr="00D713EB">
              <w:t>Voluntary legality and chain of custody verification schemes,</w:t>
            </w:r>
            <w:r w:rsidRPr="00D713EB">
              <w:rPr>
                <w:vertAlign w:val="superscript"/>
              </w:rPr>
              <w:footnoteReference w:id="65"/>
            </w:r>
            <w:r w:rsidRPr="00D713EB">
              <w:t xml:space="preserve"> and Forest Stewardship Council (FSC) Controlled Wood certification is also promoted in PNG.</w:t>
            </w:r>
            <w:r w:rsidRPr="00D713EB">
              <w:rPr>
                <w:bCs/>
              </w:rPr>
              <w:t xml:space="preserve"> </w:t>
            </w:r>
          </w:p>
          <w:p w14:paraId="27848305" w14:textId="77777777" w:rsidR="00062770" w:rsidRPr="00D713EB" w:rsidRDefault="00062770" w:rsidP="00062770">
            <w:pPr>
              <w:cnfStyle w:val="000000000000" w:firstRow="0" w:lastRow="0" w:firstColumn="0" w:lastColumn="0" w:oddVBand="0" w:evenVBand="0" w:oddHBand="0" w:evenHBand="0" w:firstRowFirstColumn="0" w:firstRowLastColumn="0" w:lastRowFirstColumn="0" w:lastRowLastColumn="0"/>
              <w:rPr>
                <w:bCs/>
              </w:rPr>
            </w:pPr>
            <w:r w:rsidRPr="00D713EB">
              <w:rPr>
                <w:bCs/>
              </w:rPr>
              <w:t>Forestry and conservation legislation contain sufficient penalties for breaches of the provisions listed in these legislations and include separate penalties in relation to breaches of various forest management practices as well. The Environment Act 2000 and subsequent regulations, and certain aspects of the Conservation Areas Act and Land Act/Physical Planning Act contain necessary provisions to address issues of illegal forest related practices, e.g., felling of timber in a protected area etc.</w:t>
            </w:r>
          </w:p>
          <w:p w14:paraId="16424B6E" w14:textId="21A32A97" w:rsidR="00E30B19" w:rsidRPr="00D713EB" w:rsidRDefault="00E30B19" w:rsidP="00062770">
            <w:pPr>
              <w:tabs>
                <w:tab w:val="left" w:pos="1408"/>
              </w:tabs>
              <w:cnfStyle w:val="000000000000" w:firstRow="0" w:lastRow="0" w:firstColumn="0" w:lastColumn="0" w:oddVBand="0" w:evenVBand="0" w:oddHBand="0" w:evenHBand="0" w:firstRowFirstColumn="0" w:firstRowLastColumn="0" w:lastRowFirstColumn="0" w:lastRowLastColumn="0"/>
            </w:pPr>
          </w:p>
        </w:tc>
        <w:tc>
          <w:tcPr>
            <w:tcW w:w="4364" w:type="dxa"/>
          </w:tcPr>
          <w:p w14:paraId="085480B9" w14:textId="77777777" w:rsidR="00E30B19" w:rsidRPr="00D713EB" w:rsidRDefault="00E30B19" w:rsidP="00482A0E">
            <w:pPr>
              <w:cnfStyle w:val="000000000000" w:firstRow="0" w:lastRow="0" w:firstColumn="0" w:lastColumn="0" w:oddVBand="0" w:evenVBand="0" w:oddHBand="0" w:evenHBand="0" w:firstRowFirstColumn="0" w:firstRowLastColumn="0" w:lastRowFirstColumn="0" w:lastRowLastColumn="0"/>
            </w:pPr>
          </w:p>
        </w:tc>
      </w:tr>
    </w:tbl>
    <w:p w14:paraId="680E1C48" w14:textId="77777777" w:rsidR="00E30B19" w:rsidRPr="00D713EB" w:rsidRDefault="00E30B19" w:rsidP="00E30B19">
      <w:pPr>
        <w:rPr>
          <w:b/>
        </w:rPr>
      </w:pPr>
    </w:p>
    <w:p w14:paraId="005FD37C" w14:textId="77777777" w:rsidR="00E30B19" w:rsidRPr="00D713EB" w:rsidRDefault="00E30B19" w:rsidP="00E30B19">
      <w:pPr>
        <w:rPr>
          <w:b/>
        </w:rPr>
      </w:pPr>
    </w:p>
    <w:p w14:paraId="7740E541" w14:textId="77777777" w:rsidR="00E30B19" w:rsidRPr="00D713EB" w:rsidRDefault="00E30B19" w:rsidP="00E30B19">
      <w:pPr>
        <w:rPr>
          <w:b/>
        </w:rPr>
      </w:pPr>
    </w:p>
    <w:p w14:paraId="0FA7EB13" w14:textId="77777777" w:rsidR="00E30B19" w:rsidRPr="00D713EB" w:rsidRDefault="00E30B19" w:rsidP="00E30B19"/>
    <w:p w14:paraId="37F1EE87" w14:textId="77777777" w:rsidR="00E30B19" w:rsidRPr="00D713EB" w:rsidRDefault="00E30B19" w:rsidP="00E30B19">
      <w:pPr>
        <w:pStyle w:val="ListParagraph"/>
        <w:rPr>
          <w:color w:val="000000" w:themeColor="text1"/>
        </w:rPr>
      </w:pPr>
    </w:p>
    <w:p w14:paraId="5758747A" w14:textId="77777777" w:rsidR="00E30B19" w:rsidRPr="00D713EB" w:rsidRDefault="00E30B19" w:rsidP="00E30B19"/>
    <w:p w14:paraId="77795870" w14:textId="77777777" w:rsidR="00E30B19" w:rsidRPr="00D713EB" w:rsidRDefault="00E30B19" w:rsidP="00E30B19"/>
    <w:p w14:paraId="0CBE6626" w14:textId="77777777" w:rsidR="00E30B19" w:rsidRPr="00D713EB" w:rsidRDefault="00E30B19" w:rsidP="007D01FA">
      <w:pPr>
        <w:pStyle w:val="Heading1"/>
      </w:pPr>
    </w:p>
    <w:p w14:paraId="58FD9DEA" w14:textId="77777777" w:rsidR="00E30B19" w:rsidRPr="00D713EB" w:rsidRDefault="00E30B19" w:rsidP="007D01FA">
      <w:pPr>
        <w:pStyle w:val="Heading1"/>
      </w:pPr>
    </w:p>
    <w:p w14:paraId="56D0A3B6" w14:textId="77777777" w:rsidR="00E30B19" w:rsidRPr="00D713EB" w:rsidRDefault="00E30B19" w:rsidP="007D01FA">
      <w:pPr>
        <w:pStyle w:val="Heading1"/>
      </w:pPr>
    </w:p>
    <w:p w14:paraId="6D8CD589" w14:textId="77777777" w:rsidR="00E30B19" w:rsidRPr="00D713EB" w:rsidRDefault="00E30B19" w:rsidP="007D01FA">
      <w:pPr>
        <w:pStyle w:val="Heading1"/>
        <w:sectPr w:rsidR="00E30B19" w:rsidRPr="00D713EB" w:rsidSect="007D01FA">
          <w:pgSz w:w="16840" w:h="11900" w:orient="landscape"/>
          <w:pgMar w:top="1440" w:right="1440" w:bottom="1440" w:left="1440" w:header="720" w:footer="720" w:gutter="0"/>
          <w:cols w:space="720"/>
          <w:docGrid w:linePitch="360"/>
        </w:sectPr>
      </w:pPr>
    </w:p>
    <w:p w14:paraId="5E50DD72" w14:textId="5BC6F2E4" w:rsidR="007D01FA" w:rsidRPr="00D713EB" w:rsidRDefault="007D01FA" w:rsidP="007D01FA">
      <w:pPr>
        <w:pStyle w:val="Heading1"/>
      </w:pPr>
      <w:bookmarkStart w:id="37" w:name="_Toc59493634"/>
      <w:r w:rsidRPr="00D713EB">
        <w:t>Annex I</w:t>
      </w:r>
      <w:r w:rsidR="001501B8">
        <w:t>II</w:t>
      </w:r>
      <w:r w:rsidRPr="00D713EB">
        <w:t>: Hard Copy of Template for Collecting Information</w:t>
      </w:r>
      <w:r w:rsidR="00E30B19" w:rsidRPr="00D713EB">
        <w:t xml:space="preserve"> in relation to indicators for ‘Respecting’</w:t>
      </w:r>
      <w:bookmarkEnd w:id="37"/>
    </w:p>
    <w:p w14:paraId="5F4C4690" w14:textId="77777777" w:rsidR="007D01FA" w:rsidRPr="00D713EB" w:rsidRDefault="007D01FA" w:rsidP="007D01FA"/>
    <w:p w14:paraId="0C3BEE96" w14:textId="77777777" w:rsidR="007D01FA" w:rsidRPr="00D713EB" w:rsidRDefault="007D01FA" w:rsidP="007D01FA">
      <w:r w:rsidRPr="00D713EB">
        <w:rPr>
          <w:b/>
        </w:rPr>
        <w:t xml:space="preserve">REDD+ implementers (lead agency in charge of respective REDD+ action/actions) </w:t>
      </w:r>
      <w:r w:rsidRPr="00D713EB">
        <w:t>will complete the following template report for each REDD+ action:</w:t>
      </w:r>
    </w:p>
    <w:p w14:paraId="723CB606" w14:textId="77777777" w:rsidR="007D01FA" w:rsidRPr="00D713EB" w:rsidRDefault="007D01FA" w:rsidP="007D01FA"/>
    <w:p w14:paraId="1E1FF39A" w14:textId="77777777" w:rsidR="007D01FA" w:rsidRPr="00D713EB" w:rsidRDefault="007D01FA" w:rsidP="007D01FA">
      <w:r w:rsidRPr="00D713EB">
        <w:t>1</w:t>
      </w:r>
      <w:r w:rsidRPr="00D713EB">
        <w:rPr>
          <w:b/>
        </w:rPr>
        <w:t>. Intervention Area (IA)</w:t>
      </w:r>
      <w:r w:rsidRPr="00D713EB">
        <w:t>: ____________________________________________</w:t>
      </w:r>
    </w:p>
    <w:p w14:paraId="4AD11251" w14:textId="77777777" w:rsidR="007D01FA" w:rsidRPr="00D713EB" w:rsidRDefault="007D01FA" w:rsidP="007D01FA">
      <w:pPr>
        <w:rPr>
          <w:b/>
        </w:rPr>
      </w:pPr>
    </w:p>
    <w:p w14:paraId="51B8902E" w14:textId="77777777" w:rsidR="007D01FA" w:rsidRPr="00D713EB" w:rsidRDefault="007D01FA" w:rsidP="007D01FA">
      <w:r w:rsidRPr="00D713EB">
        <w:rPr>
          <w:b/>
        </w:rPr>
        <w:t>2. Period (Month/year</w:t>
      </w:r>
      <w:r w:rsidRPr="00D713EB">
        <w:t>):_________________________________________________</w:t>
      </w:r>
    </w:p>
    <w:p w14:paraId="30801DFD" w14:textId="77777777" w:rsidR="007D01FA" w:rsidRPr="00D713EB" w:rsidRDefault="007D01FA" w:rsidP="007D01FA">
      <w:pPr>
        <w:rPr>
          <w:b/>
        </w:rPr>
      </w:pPr>
    </w:p>
    <w:p w14:paraId="3E0B2E41" w14:textId="77777777" w:rsidR="007D01FA" w:rsidRPr="00D713EB" w:rsidRDefault="007D01FA" w:rsidP="007D01FA">
      <w:pPr>
        <w:rPr>
          <w:b/>
        </w:rPr>
      </w:pPr>
      <w:r w:rsidRPr="00D713EB">
        <w:rPr>
          <w:b/>
        </w:rPr>
        <w:t>3. REDD+ actions carried out in the IA:_____________________________________</w:t>
      </w:r>
    </w:p>
    <w:p w14:paraId="4DFA480F" w14:textId="77777777" w:rsidR="007D01FA" w:rsidRPr="00D713EB" w:rsidRDefault="007D01FA" w:rsidP="007D01FA">
      <w:pPr>
        <w:rPr>
          <w:b/>
        </w:rPr>
      </w:pPr>
    </w:p>
    <w:p w14:paraId="15AB3620" w14:textId="77777777" w:rsidR="007D01FA" w:rsidRPr="00D713EB" w:rsidRDefault="007D01FA" w:rsidP="007D01FA"/>
    <w:p w14:paraId="644838D3" w14:textId="77777777" w:rsidR="007D01FA" w:rsidRPr="00D713EB" w:rsidRDefault="007D01FA" w:rsidP="007D01FA">
      <w:pPr>
        <w:rPr>
          <w:b/>
        </w:rPr>
      </w:pPr>
      <w:r w:rsidRPr="00D713EB">
        <w:rPr>
          <w:b/>
        </w:rPr>
        <w:t>4. How has the REDD+ action been carried out in consistency with the UNFCCC safeguards?</w:t>
      </w:r>
    </w:p>
    <w:p w14:paraId="41B8D044" w14:textId="77777777" w:rsidR="007D01FA" w:rsidRPr="00D713EB" w:rsidRDefault="007D01FA" w:rsidP="007D01FA">
      <w:pPr>
        <w:rPr>
          <w:b/>
        </w:rPr>
      </w:pPr>
    </w:p>
    <w:p w14:paraId="6A1AA3D5" w14:textId="11D1A593" w:rsidR="007D01FA" w:rsidRPr="00D713EB" w:rsidRDefault="007D01FA" w:rsidP="007D01FA">
      <w:r w:rsidRPr="00D713EB">
        <w:t xml:space="preserve">Please see table below, and insert the relevant information in relation to each of the safeguards’ indicators by inputting in the section titled 'Information'/ 'data entry' and identify respective attachments that will be uploaded into SIS database. </w:t>
      </w:r>
    </w:p>
    <w:p w14:paraId="1B0C0822" w14:textId="77777777" w:rsidR="007D01FA" w:rsidRPr="00D713EB" w:rsidRDefault="007D01FA" w:rsidP="007D01FA"/>
    <w:p w14:paraId="37A0CD74" w14:textId="77777777" w:rsidR="007D01FA" w:rsidRPr="00D713EB" w:rsidRDefault="007D01FA" w:rsidP="007D01FA">
      <w:pPr>
        <w:rPr>
          <w:b/>
          <w:bCs/>
        </w:rPr>
      </w:pPr>
      <w:r w:rsidRPr="00D713EB">
        <w:rPr>
          <w:b/>
          <w:bCs/>
        </w:rPr>
        <w:t>What to include with regards to qualitative information?</w:t>
      </w:r>
    </w:p>
    <w:p w14:paraId="2EF6B176" w14:textId="77777777" w:rsidR="007D01FA" w:rsidRPr="00D713EB" w:rsidRDefault="007D01FA" w:rsidP="007D01FA">
      <w:pPr>
        <w:rPr>
          <w:b/>
          <w:bCs/>
        </w:rPr>
      </w:pPr>
    </w:p>
    <w:p w14:paraId="4902B8EF" w14:textId="77777777" w:rsidR="007D01FA" w:rsidRPr="00D713EB" w:rsidRDefault="007D01FA" w:rsidP="007D01FA">
      <w:r w:rsidRPr="00D713EB">
        <w:t xml:space="preserve">You are expected to provide clear and concise information in relation to each qualitative indicator of information. You should aim to provide a clear description or justification as to how the REDD+ action met these indicators. </w:t>
      </w:r>
    </w:p>
    <w:p w14:paraId="087D8417" w14:textId="77777777" w:rsidR="007D01FA" w:rsidRPr="00D713EB" w:rsidRDefault="007D01FA" w:rsidP="007D01FA"/>
    <w:p w14:paraId="524122F9" w14:textId="77777777" w:rsidR="007D01FA" w:rsidRPr="00D713EB" w:rsidRDefault="007D01FA" w:rsidP="007D01FA">
      <w:pPr>
        <w:rPr>
          <w:b/>
          <w:bCs/>
        </w:rPr>
      </w:pPr>
      <w:r w:rsidRPr="00D713EB">
        <w:rPr>
          <w:b/>
          <w:bCs/>
        </w:rPr>
        <w:t>What to include with regards to quantitative information?</w:t>
      </w:r>
    </w:p>
    <w:p w14:paraId="27E78246" w14:textId="77777777" w:rsidR="007D01FA" w:rsidRPr="00D713EB" w:rsidRDefault="007D01FA" w:rsidP="007D01FA"/>
    <w:p w14:paraId="777D8CC5" w14:textId="77777777" w:rsidR="007D01FA" w:rsidRPr="00D713EB" w:rsidRDefault="007D01FA" w:rsidP="007D01FA">
      <w:r w:rsidRPr="00D713EB">
        <w:t xml:space="preserve">You are expected to provide statistical information in relation to each quantitative indicator of information.   </w:t>
      </w:r>
    </w:p>
    <w:p w14:paraId="268E5D80" w14:textId="77777777" w:rsidR="007D01FA" w:rsidRPr="00D713EB" w:rsidRDefault="007D01FA" w:rsidP="007D01FA"/>
    <w:p w14:paraId="3EA5BBC3" w14:textId="77777777" w:rsidR="007D01FA" w:rsidRPr="00D713EB" w:rsidRDefault="007D01FA" w:rsidP="007D01FA">
      <w:pPr>
        <w:rPr>
          <w:b/>
          <w:bCs/>
        </w:rPr>
      </w:pPr>
      <w:r w:rsidRPr="00D713EB">
        <w:rPr>
          <w:b/>
          <w:bCs/>
        </w:rPr>
        <w:t>What to include under attachments?</w:t>
      </w:r>
    </w:p>
    <w:p w14:paraId="7720ED85" w14:textId="77777777" w:rsidR="007D01FA" w:rsidRPr="00D713EB" w:rsidRDefault="007D01FA" w:rsidP="007D01FA"/>
    <w:p w14:paraId="454504AC" w14:textId="77777777" w:rsidR="007D01FA" w:rsidRPr="00D713EB" w:rsidRDefault="007D01FA" w:rsidP="007D01FA">
      <w:r w:rsidRPr="00D713EB">
        <w:t xml:space="preserve">You should identify and attach documents and evidence to demonstrate accuracy of information provided. These may include minutes, pictures, maps, etc. </w:t>
      </w:r>
    </w:p>
    <w:p w14:paraId="03D10FFB" w14:textId="77777777" w:rsidR="007D01FA" w:rsidRPr="00D713EB" w:rsidRDefault="007D01FA" w:rsidP="007D01FA"/>
    <w:p w14:paraId="065ECD54" w14:textId="77777777" w:rsidR="007D01FA" w:rsidRPr="00D713EB" w:rsidRDefault="007D01FA" w:rsidP="007D01FA">
      <w:pPr>
        <w:rPr>
          <w:b/>
        </w:rPr>
      </w:pPr>
    </w:p>
    <w:p w14:paraId="7DF7CB61" w14:textId="77777777" w:rsidR="007D01FA" w:rsidRPr="00D713EB" w:rsidRDefault="007D01FA" w:rsidP="007D01FA">
      <w:pPr>
        <w:rPr>
          <w:b/>
        </w:rPr>
      </w:pPr>
    </w:p>
    <w:p w14:paraId="26424D76" w14:textId="77777777" w:rsidR="007D01FA" w:rsidRPr="00D713EB" w:rsidRDefault="007D01FA" w:rsidP="007D01FA">
      <w:pPr>
        <w:rPr>
          <w:b/>
        </w:rPr>
      </w:pPr>
    </w:p>
    <w:p w14:paraId="58A28035" w14:textId="77777777" w:rsidR="007D01FA" w:rsidRPr="00D713EB" w:rsidRDefault="007D01FA" w:rsidP="007D01FA">
      <w:pPr>
        <w:rPr>
          <w:b/>
        </w:rPr>
      </w:pPr>
    </w:p>
    <w:p w14:paraId="6D1D5103" w14:textId="77777777" w:rsidR="007D01FA" w:rsidRPr="00D713EB" w:rsidRDefault="007D01FA" w:rsidP="007D01FA">
      <w:pPr>
        <w:rPr>
          <w:b/>
        </w:rPr>
      </w:pPr>
      <w:r w:rsidRPr="00D713EB">
        <w:rPr>
          <w:b/>
        </w:rPr>
        <w:t>Safeguard A</w:t>
      </w:r>
    </w:p>
    <w:p w14:paraId="18B9BF2D" w14:textId="77777777" w:rsidR="007D01FA" w:rsidRPr="00D713EB" w:rsidRDefault="007D01FA" w:rsidP="007D01FA">
      <w:pPr>
        <w:rPr>
          <w:b/>
        </w:rPr>
      </w:pPr>
    </w:p>
    <w:tbl>
      <w:tblPr>
        <w:tblStyle w:val="GridTable1Light-Accent3"/>
        <w:tblW w:w="13960" w:type="dxa"/>
        <w:tblLook w:val="04A0" w:firstRow="1" w:lastRow="0" w:firstColumn="1" w:lastColumn="0" w:noHBand="0" w:noVBand="1"/>
      </w:tblPr>
      <w:tblGrid>
        <w:gridCol w:w="4819"/>
        <w:gridCol w:w="4586"/>
        <w:gridCol w:w="4555"/>
      </w:tblGrid>
      <w:tr w:rsidR="007D01FA" w:rsidRPr="00D713EB" w14:paraId="61CB1009" w14:textId="77777777" w:rsidTr="00D2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8E7E828"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586" w:type="dxa"/>
          </w:tcPr>
          <w:p w14:paraId="63C212F5" w14:textId="77777777" w:rsidR="007D01FA" w:rsidRPr="00D713EB" w:rsidRDefault="007D01FA" w:rsidP="00D21C46">
            <w:pPr>
              <w:jc w:val="cente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555" w:type="dxa"/>
          </w:tcPr>
          <w:p w14:paraId="275E2556" w14:textId="77777777" w:rsidR="007D01FA" w:rsidRPr="00D713EB" w:rsidRDefault="007D01FA" w:rsidP="00D21C46">
            <w:pPr>
              <w:jc w:val="center"/>
              <w:cnfStyle w:val="100000000000" w:firstRow="1" w:lastRow="0" w:firstColumn="0" w:lastColumn="0" w:oddVBand="0" w:evenVBand="0" w:oddHBand="0" w:evenHBand="0" w:firstRowFirstColumn="0" w:firstRowLastColumn="0" w:lastRowFirstColumn="0" w:lastRowLastColumn="0"/>
              <w:rPr>
                <w:b w:val="0"/>
                <w:bCs w:val="0"/>
              </w:rPr>
            </w:pPr>
            <w:r w:rsidRPr="00D713EB">
              <w:t>Attachments to upload</w:t>
            </w:r>
          </w:p>
        </w:tc>
      </w:tr>
      <w:tr w:rsidR="007D01FA" w:rsidRPr="00D713EB" w14:paraId="4DC0B4FD" w14:textId="77777777" w:rsidTr="00D21C46">
        <w:tc>
          <w:tcPr>
            <w:cnfStyle w:val="001000000000" w:firstRow="0" w:lastRow="0" w:firstColumn="1" w:lastColumn="0" w:oddVBand="0" w:evenVBand="0" w:oddHBand="0" w:evenHBand="0" w:firstRowFirstColumn="0" w:firstRowLastColumn="0" w:lastRowFirstColumn="0" w:lastRowLastColumn="0"/>
            <w:tcW w:w="4819" w:type="dxa"/>
          </w:tcPr>
          <w:p w14:paraId="26885C68" w14:textId="77777777" w:rsidR="00E30B19" w:rsidRPr="00D713EB" w:rsidRDefault="00E30B19" w:rsidP="00E30B19">
            <w:pPr>
              <w:spacing w:after="180"/>
              <w:rPr>
                <w:rFonts w:cstheme="minorHAnsi"/>
                <w:color w:val="000000" w:themeColor="text1"/>
              </w:rPr>
            </w:pPr>
            <w:r w:rsidRPr="00D713EB">
              <w:rPr>
                <w:rFonts w:cstheme="minorHAnsi"/>
                <w:color w:val="000000" w:themeColor="text1"/>
              </w:rPr>
              <w:t xml:space="preserve">A.3. Description of how (e.g. through use of mandates and procedures) the implementation of the REDD+ actions was consistent with the objectives of national forest programmes. </w:t>
            </w:r>
          </w:p>
          <w:p w14:paraId="2DC05E35" w14:textId="77777777" w:rsidR="007D01FA" w:rsidRPr="00D713EB" w:rsidRDefault="007D01FA" w:rsidP="00E30B19">
            <w:pPr>
              <w:spacing w:after="180"/>
              <w:rPr>
                <w:b w:val="0"/>
                <w:bCs w:val="0"/>
              </w:rPr>
            </w:pPr>
          </w:p>
        </w:tc>
        <w:tc>
          <w:tcPr>
            <w:tcW w:w="4586" w:type="dxa"/>
          </w:tcPr>
          <w:p w14:paraId="47EAE8B3"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19EE05E1"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5B643CF6"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2F839A5C"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66C591F6"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447D82B4"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tc>
        <w:tc>
          <w:tcPr>
            <w:tcW w:w="4555" w:type="dxa"/>
          </w:tcPr>
          <w:p w14:paraId="1E0C024B"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tc>
      </w:tr>
      <w:tr w:rsidR="007D01FA" w:rsidRPr="00D713EB" w14:paraId="430C7673" w14:textId="77777777" w:rsidTr="00D21C46">
        <w:tc>
          <w:tcPr>
            <w:cnfStyle w:val="001000000000" w:firstRow="0" w:lastRow="0" w:firstColumn="1" w:lastColumn="0" w:oddVBand="0" w:evenVBand="0" w:oddHBand="0" w:evenHBand="0" w:firstRowFirstColumn="0" w:firstRowLastColumn="0" w:lastRowFirstColumn="0" w:lastRowLastColumn="0"/>
            <w:tcW w:w="4819" w:type="dxa"/>
          </w:tcPr>
          <w:p w14:paraId="613CE109" w14:textId="77777777" w:rsidR="00E30B19" w:rsidRPr="00D713EB" w:rsidRDefault="00E30B19" w:rsidP="00E30B19">
            <w:pPr>
              <w:spacing w:after="180"/>
              <w:rPr>
                <w:rFonts w:cstheme="minorHAnsi"/>
                <w:color w:val="000000" w:themeColor="text1"/>
              </w:rPr>
            </w:pPr>
            <w:r w:rsidRPr="00D713EB">
              <w:rPr>
                <w:rFonts w:cstheme="minorHAnsi"/>
                <w:color w:val="000000" w:themeColor="text1"/>
              </w:rPr>
              <w:t>A.4. Description of how (e.g. through use of mandates and procedures) the implementation of the REDD+ actions was consistent with the objectives of the various international agreements to which GoPNG is a Party.</w:t>
            </w:r>
          </w:p>
          <w:p w14:paraId="74EC1B29" w14:textId="7791FC2B" w:rsidR="007D01FA" w:rsidRPr="00D713EB" w:rsidRDefault="007D01FA" w:rsidP="00D21C46">
            <w:pPr>
              <w:rPr>
                <w:b w:val="0"/>
                <w:bCs w:val="0"/>
              </w:rPr>
            </w:pPr>
          </w:p>
        </w:tc>
        <w:tc>
          <w:tcPr>
            <w:tcW w:w="4586" w:type="dxa"/>
          </w:tcPr>
          <w:p w14:paraId="20DAD827"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06A30525"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37092007"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741E803C"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512A79E1"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p w14:paraId="65927EC8"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tc>
        <w:tc>
          <w:tcPr>
            <w:tcW w:w="4555" w:type="dxa"/>
          </w:tcPr>
          <w:p w14:paraId="4016BAE3" w14:textId="77777777" w:rsidR="007D01FA" w:rsidRPr="00D713EB" w:rsidRDefault="007D01FA" w:rsidP="00D21C46">
            <w:pPr>
              <w:cnfStyle w:val="000000000000" w:firstRow="0" w:lastRow="0" w:firstColumn="0" w:lastColumn="0" w:oddVBand="0" w:evenVBand="0" w:oddHBand="0" w:evenHBand="0" w:firstRowFirstColumn="0" w:firstRowLastColumn="0" w:lastRowFirstColumn="0" w:lastRowLastColumn="0"/>
              <w:rPr>
                <w:b/>
              </w:rPr>
            </w:pPr>
          </w:p>
        </w:tc>
      </w:tr>
    </w:tbl>
    <w:p w14:paraId="5028E767" w14:textId="77777777" w:rsidR="007D01FA" w:rsidRPr="00D713EB" w:rsidRDefault="007D01FA" w:rsidP="007D01FA"/>
    <w:p w14:paraId="23E40DC1" w14:textId="77777777" w:rsidR="007D01FA" w:rsidRPr="00D713EB" w:rsidRDefault="007D01FA" w:rsidP="007D01FA"/>
    <w:p w14:paraId="7EF05CA2" w14:textId="77777777" w:rsidR="007D01FA" w:rsidRPr="00D713EB" w:rsidRDefault="007D01FA" w:rsidP="007D01FA"/>
    <w:p w14:paraId="661EA38B" w14:textId="77777777" w:rsidR="007D01FA" w:rsidRPr="00D713EB" w:rsidRDefault="007D01FA" w:rsidP="007D01FA">
      <w:pPr>
        <w:rPr>
          <w:b/>
        </w:rPr>
      </w:pPr>
      <w:r w:rsidRPr="00D713EB">
        <w:rPr>
          <w:b/>
        </w:rPr>
        <w:t>Safeguard B</w:t>
      </w:r>
    </w:p>
    <w:p w14:paraId="4074EC87" w14:textId="77777777" w:rsidR="007D01FA" w:rsidRPr="00D713EB" w:rsidRDefault="007D01FA" w:rsidP="007D01FA"/>
    <w:tbl>
      <w:tblPr>
        <w:tblStyle w:val="GridTable1Light-Accent3"/>
        <w:tblW w:w="13887" w:type="dxa"/>
        <w:tblLook w:val="04A0" w:firstRow="1" w:lastRow="0" w:firstColumn="1" w:lastColumn="0" w:noHBand="0" w:noVBand="1"/>
      </w:tblPr>
      <w:tblGrid>
        <w:gridCol w:w="4710"/>
        <w:gridCol w:w="4641"/>
        <w:gridCol w:w="4536"/>
      </w:tblGrid>
      <w:tr w:rsidR="007D01FA" w:rsidRPr="00D713EB" w14:paraId="2A19E756" w14:textId="77777777" w:rsidTr="00E30B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60A2D97F"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641" w:type="dxa"/>
          </w:tcPr>
          <w:p w14:paraId="627ED0E6"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536" w:type="dxa"/>
          </w:tcPr>
          <w:p w14:paraId="3620F9BF"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02FC0D50"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47095C79" w14:textId="517171D2" w:rsidR="00E30B19" w:rsidRPr="00D713EB" w:rsidRDefault="00E30B19" w:rsidP="00E30B19">
            <w:pPr>
              <w:rPr>
                <w:b w:val="0"/>
                <w:bCs w:val="0"/>
              </w:rPr>
            </w:pPr>
            <w:r w:rsidRPr="00D713EB">
              <w:rPr>
                <w:rFonts w:cstheme="minorHAnsi"/>
                <w:szCs w:val="22"/>
              </w:rPr>
              <w:t>B.5. Description of information provided concerning the proposed REDD+ actions in each locality (depending on the scale of the proposed REDD+ interventions), including through active dissemination, and to what extent was it done in a timely (i.e. before implementation begins) and culturally appropriate (i.e. adapting to local capacities) manner;</w:t>
            </w:r>
          </w:p>
        </w:tc>
        <w:tc>
          <w:tcPr>
            <w:tcW w:w="4641" w:type="dxa"/>
          </w:tcPr>
          <w:p w14:paraId="4D2D6014"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60CBBC1A"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4ED40E7E"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3BF2793E" w14:textId="08285B4F" w:rsidR="00E30B19" w:rsidRPr="00D713EB" w:rsidRDefault="00E30B19" w:rsidP="00E30B19">
            <w:pPr>
              <w:rPr>
                <w:b w:val="0"/>
                <w:bCs w:val="0"/>
              </w:rPr>
            </w:pPr>
            <w:r w:rsidRPr="00D713EB">
              <w:rPr>
                <w:rFonts w:cstheme="minorHAnsi"/>
                <w:szCs w:val="22"/>
              </w:rPr>
              <w:t xml:space="preserve">B.6. Description of the distribution and disbursement of REDD+ benefits related to the implementation of REDD+ actions </w:t>
            </w:r>
          </w:p>
        </w:tc>
        <w:tc>
          <w:tcPr>
            <w:tcW w:w="4641" w:type="dxa"/>
          </w:tcPr>
          <w:p w14:paraId="60220881"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14AD138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5D48F956"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1322249A" w14:textId="0F43AD42" w:rsidR="00E30B19" w:rsidRPr="00D713EB" w:rsidRDefault="00E30B19" w:rsidP="00E30B19">
            <w:pPr>
              <w:rPr>
                <w:b w:val="0"/>
                <w:bCs w:val="0"/>
              </w:rPr>
            </w:pPr>
            <w:r w:rsidRPr="00D713EB">
              <w:rPr>
                <w:rFonts w:cstheme="minorHAnsi"/>
                <w:szCs w:val="22"/>
              </w:rPr>
              <w:t>B.7. Description of REDD+ related grievances received, process followed to adjudicate and outcomes, including records of any REDD+ related efforts to ensure access to justice in the context of the implementation of REDD+ actions.</w:t>
            </w:r>
          </w:p>
        </w:tc>
        <w:tc>
          <w:tcPr>
            <w:tcW w:w="4641" w:type="dxa"/>
          </w:tcPr>
          <w:p w14:paraId="1FE2EE28"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5FD72F93"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4891600A"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2B64381F" w14:textId="325A825C" w:rsidR="00E30B19" w:rsidRPr="00D713EB" w:rsidRDefault="00E30B19" w:rsidP="00E30B19">
            <w:pPr>
              <w:rPr>
                <w:b w:val="0"/>
                <w:bCs w:val="0"/>
              </w:rPr>
            </w:pPr>
            <w:r w:rsidRPr="00D713EB">
              <w:rPr>
                <w:rFonts w:cstheme="minorHAnsi"/>
                <w:szCs w:val="22"/>
              </w:rPr>
              <w:t>B.8. Number of grievances addressed and resolved by implementing authorities.</w:t>
            </w:r>
          </w:p>
        </w:tc>
        <w:tc>
          <w:tcPr>
            <w:tcW w:w="4641" w:type="dxa"/>
          </w:tcPr>
          <w:p w14:paraId="3EC9BE99"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5CA1DC68"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1FDA0230"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01754744" w14:textId="5547E4E7" w:rsidR="00E30B19" w:rsidRPr="00D713EB" w:rsidRDefault="00E30B19" w:rsidP="00E30B19">
            <w:pPr>
              <w:rPr>
                <w:b w:val="0"/>
                <w:bCs w:val="0"/>
              </w:rPr>
            </w:pPr>
            <w:r w:rsidRPr="00D713EB">
              <w:rPr>
                <w:rFonts w:cstheme="minorHAnsi"/>
                <w:szCs w:val="22"/>
              </w:rPr>
              <w:t>B.9. Description of how land tenure and land use rights have been recognized and protected during the implementation of REDD+ actions</w:t>
            </w:r>
          </w:p>
        </w:tc>
        <w:tc>
          <w:tcPr>
            <w:tcW w:w="4641" w:type="dxa"/>
          </w:tcPr>
          <w:p w14:paraId="0B3BB9AC"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0D4EB748"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1BC6FD9F"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5B781B21" w14:textId="422557D2" w:rsidR="00E30B19" w:rsidRPr="00D713EB" w:rsidRDefault="00E30B19" w:rsidP="00E30B19">
            <w:pPr>
              <w:rPr>
                <w:b w:val="0"/>
                <w:bCs w:val="0"/>
              </w:rPr>
            </w:pPr>
            <w:r w:rsidRPr="00D713EB">
              <w:rPr>
                <w:rFonts w:cstheme="minorHAnsi"/>
                <w:szCs w:val="22"/>
              </w:rPr>
              <w:t>B.10. Description of impacts on rights holders and stakeholders related to rights to lands, territories and resources</w:t>
            </w:r>
          </w:p>
        </w:tc>
        <w:tc>
          <w:tcPr>
            <w:tcW w:w="4641" w:type="dxa"/>
          </w:tcPr>
          <w:p w14:paraId="29B5989E"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36ACBC77"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0AC47F7E"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5E34084A" w14:textId="2DA6EE54" w:rsidR="00E30B19" w:rsidRPr="00D713EB" w:rsidRDefault="00E30B19" w:rsidP="00E30B19">
            <w:pPr>
              <w:rPr>
                <w:b w:val="0"/>
                <w:bCs w:val="0"/>
              </w:rPr>
            </w:pPr>
            <w:r w:rsidRPr="00D713EB">
              <w:rPr>
                <w:rFonts w:cstheme="minorHAnsi"/>
                <w:szCs w:val="22"/>
              </w:rPr>
              <w:t>B.11. If applicable, description of any resettlement process (including procedures followed, compensation provided, motive for resettlement) for each REDD+ action.</w:t>
            </w:r>
          </w:p>
        </w:tc>
        <w:tc>
          <w:tcPr>
            <w:tcW w:w="4641" w:type="dxa"/>
          </w:tcPr>
          <w:p w14:paraId="0D2ED9D9"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596820F0"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47170D60" w14:textId="77777777" w:rsidTr="00E30B19">
        <w:tc>
          <w:tcPr>
            <w:cnfStyle w:val="001000000000" w:firstRow="0" w:lastRow="0" w:firstColumn="1" w:lastColumn="0" w:oddVBand="0" w:evenVBand="0" w:oddHBand="0" w:evenHBand="0" w:firstRowFirstColumn="0" w:firstRowLastColumn="0" w:lastRowFirstColumn="0" w:lastRowLastColumn="0"/>
            <w:tcW w:w="4710" w:type="dxa"/>
          </w:tcPr>
          <w:p w14:paraId="6BD24B44" w14:textId="7811DA96" w:rsidR="00E30B19" w:rsidRPr="00D713EB" w:rsidRDefault="00E30B19" w:rsidP="00E30B19">
            <w:pPr>
              <w:rPr>
                <w:b w:val="0"/>
                <w:bCs w:val="0"/>
              </w:rPr>
            </w:pPr>
            <w:r w:rsidRPr="00D713EB">
              <w:rPr>
                <w:rFonts w:cstheme="minorHAnsi"/>
                <w:szCs w:val="22"/>
              </w:rPr>
              <w:t>B.12. Amount and type of compensation awarded for displacement (if and as applicable) and breakdown of compensation by gender.</w:t>
            </w:r>
          </w:p>
        </w:tc>
        <w:tc>
          <w:tcPr>
            <w:tcW w:w="4641" w:type="dxa"/>
          </w:tcPr>
          <w:p w14:paraId="7D9E5FDE"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536" w:type="dxa"/>
          </w:tcPr>
          <w:p w14:paraId="3FD0C4B4"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bl>
    <w:p w14:paraId="4A328F30" w14:textId="77777777" w:rsidR="007D01FA" w:rsidRPr="00D713EB" w:rsidRDefault="007D01FA" w:rsidP="007D01FA"/>
    <w:p w14:paraId="44E96825" w14:textId="77777777" w:rsidR="007D01FA" w:rsidRPr="00D713EB" w:rsidRDefault="007D01FA" w:rsidP="007D01FA">
      <w:pPr>
        <w:rPr>
          <w:b/>
        </w:rPr>
      </w:pPr>
    </w:p>
    <w:p w14:paraId="494D2137" w14:textId="77777777" w:rsidR="007D01FA" w:rsidRPr="00D713EB" w:rsidRDefault="007D01FA" w:rsidP="007D01FA">
      <w:pPr>
        <w:rPr>
          <w:b/>
        </w:rPr>
      </w:pPr>
    </w:p>
    <w:p w14:paraId="2F0029A7" w14:textId="77777777" w:rsidR="007D01FA" w:rsidRPr="00D713EB" w:rsidRDefault="007D01FA" w:rsidP="007D01FA">
      <w:pPr>
        <w:rPr>
          <w:b/>
        </w:rPr>
      </w:pPr>
      <w:r w:rsidRPr="00D713EB">
        <w:rPr>
          <w:b/>
        </w:rPr>
        <w:t>Safeguard C</w:t>
      </w:r>
    </w:p>
    <w:p w14:paraId="344AAA02" w14:textId="77777777" w:rsidR="007D01FA" w:rsidRPr="00D713EB" w:rsidRDefault="007D01FA" w:rsidP="007D01FA"/>
    <w:tbl>
      <w:tblPr>
        <w:tblStyle w:val="GridTable1Light-Accent3"/>
        <w:tblW w:w="13438" w:type="dxa"/>
        <w:tblLook w:val="04A0" w:firstRow="1" w:lastRow="0" w:firstColumn="1" w:lastColumn="0" w:noHBand="0" w:noVBand="1"/>
      </w:tblPr>
      <w:tblGrid>
        <w:gridCol w:w="4710"/>
        <w:gridCol w:w="4364"/>
        <w:gridCol w:w="4364"/>
      </w:tblGrid>
      <w:tr w:rsidR="007D01FA" w:rsidRPr="00D713EB" w14:paraId="07821B6A" w14:textId="77777777" w:rsidTr="00D2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2F68ED5D"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364" w:type="dxa"/>
          </w:tcPr>
          <w:p w14:paraId="6766CC12"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6DAFACB9"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43E1D2AD"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49647941" w14:textId="4C8456AF" w:rsidR="00E30B19" w:rsidRPr="00D713EB" w:rsidRDefault="00E30B19" w:rsidP="00E30B19">
            <w:pPr>
              <w:rPr>
                <w:b w:val="0"/>
                <w:bCs w:val="0"/>
              </w:rPr>
            </w:pPr>
            <w:r w:rsidRPr="00D713EB">
              <w:rPr>
                <w:rFonts w:cstheme="minorHAnsi"/>
                <w:szCs w:val="22"/>
              </w:rPr>
              <w:t xml:space="preserve">C.4. Description of how customary landowners, local communities and vulnerable groups were identified, and how their rights were recognized and protected in the implementation of the REDD+ actions. </w:t>
            </w:r>
          </w:p>
        </w:tc>
        <w:tc>
          <w:tcPr>
            <w:tcW w:w="4364" w:type="dxa"/>
          </w:tcPr>
          <w:p w14:paraId="2E8C984B"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62BB3B61"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2C7C38C6"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6D5A91B3" w14:textId="0BFE5683" w:rsidR="00E30B19" w:rsidRPr="00D713EB" w:rsidRDefault="00E30B19" w:rsidP="00E30B19">
            <w:pPr>
              <w:rPr>
                <w:b w:val="0"/>
                <w:bCs w:val="0"/>
              </w:rPr>
            </w:pPr>
            <w:r w:rsidRPr="00D713EB">
              <w:rPr>
                <w:rFonts w:cstheme="minorHAnsi"/>
                <w:szCs w:val="22"/>
              </w:rPr>
              <w:t>C.5. Description of how traditional knowledge and cultural heritage and practices of customary landowners, local communities and vulnerable groups were identified, respected and protected during implementation of the REDD+ actions</w:t>
            </w:r>
          </w:p>
        </w:tc>
        <w:tc>
          <w:tcPr>
            <w:tcW w:w="4364" w:type="dxa"/>
          </w:tcPr>
          <w:p w14:paraId="4694779D"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48BD97FA"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50263917"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31C7FC6F" w14:textId="37499863" w:rsidR="00E30B19" w:rsidRPr="00D713EB" w:rsidRDefault="00E30B19" w:rsidP="00E30B19">
            <w:pPr>
              <w:rPr>
                <w:b w:val="0"/>
                <w:bCs w:val="0"/>
              </w:rPr>
            </w:pPr>
            <w:r w:rsidRPr="00D713EB">
              <w:rPr>
                <w:rFonts w:cstheme="minorHAnsi"/>
                <w:szCs w:val="22"/>
              </w:rPr>
              <w:t>C.6. Number of customary landowners, local communities and vulnerable groups residing in areas affected by REDD+ actions</w:t>
            </w:r>
          </w:p>
        </w:tc>
        <w:tc>
          <w:tcPr>
            <w:tcW w:w="4364" w:type="dxa"/>
          </w:tcPr>
          <w:p w14:paraId="602BF162"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10D82C3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0EEB542C"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793AE854" w14:textId="1D67DBAB" w:rsidR="00E30B19" w:rsidRPr="00D713EB" w:rsidRDefault="00E30B19" w:rsidP="00E30B19">
            <w:pPr>
              <w:rPr>
                <w:b w:val="0"/>
                <w:bCs w:val="0"/>
              </w:rPr>
            </w:pPr>
            <w:r w:rsidRPr="00D713EB">
              <w:rPr>
                <w:rFonts w:cstheme="minorHAnsi"/>
                <w:szCs w:val="22"/>
              </w:rPr>
              <w:t>C.7. Description of any sacred sites or other sites of cultural significance to communities in areas that may be affected by REDD+ actions.</w:t>
            </w:r>
          </w:p>
        </w:tc>
        <w:tc>
          <w:tcPr>
            <w:tcW w:w="4364" w:type="dxa"/>
          </w:tcPr>
          <w:p w14:paraId="63EFC564"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0074764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3822D696"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6FB52BE6" w14:textId="3462F076" w:rsidR="00E30B19" w:rsidRPr="00D713EB" w:rsidRDefault="00E30B19" w:rsidP="00E30B19">
            <w:pPr>
              <w:rPr>
                <w:b w:val="0"/>
                <w:bCs w:val="0"/>
              </w:rPr>
            </w:pPr>
            <w:r w:rsidRPr="00D713EB">
              <w:rPr>
                <w:rFonts w:cstheme="minorHAnsi"/>
                <w:szCs w:val="22"/>
              </w:rPr>
              <w:t>C.8. If applicable, description of how (if at all) traditional knowledge has been used/has contributed to REDD+ actions implementation and how Indigenous peoples’ intellectual property has been protected.</w:t>
            </w:r>
          </w:p>
        </w:tc>
        <w:tc>
          <w:tcPr>
            <w:tcW w:w="4364" w:type="dxa"/>
          </w:tcPr>
          <w:p w14:paraId="14620288"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0F07C525"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bl>
    <w:p w14:paraId="037613F2" w14:textId="77777777" w:rsidR="007D01FA" w:rsidRPr="00D713EB" w:rsidRDefault="007D01FA" w:rsidP="007D01FA"/>
    <w:p w14:paraId="63E7DED6" w14:textId="77777777" w:rsidR="007D01FA" w:rsidRPr="00D713EB" w:rsidRDefault="007D01FA" w:rsidP="007D01FA"/>
    <w:p w14:paraId="515CB339" w14:textId="77777777" w:rsidR="007D01FA" w:rsidRPr="00D713EB" w:rsidRDefault="007D01FA" w:rsidP="007D01FA">
      <w:pPr>
        <w:rPr>
          <w:b/>
        </w:rPr>
      </w:pPr>
      <w:r w:rsidRPr="00D713EB">
        <w:rPr>
          <w:b/>
        </w:rPr>
        <w:t>Safeguard D</w:t>
      </w:r>
    </w:p>
    <w:p w14:paraId="6C5478BB" w14:textId="77777777" w:rsidR="007D01FA" w:rsidRPr="00D713EB" w:rsidRDefault="007D01FA" w:rsidP="007D01FA"/>
    <w:tbl>
      <w:tblPr>
        <w:tblStyle w:val="GridTable1Light-Accent3"/>
        <w:tblW w:w="13438" w:type="dxa"/>
        <w:tblLook w:val="04A0" w:firstRow="1" w:lastRow="0" w:firstColumn="1" w:lastColumn="0" w:noHBand="0" w:noVBand="1"/>
      </w:tblPr>
      <w:tblGrid>
        <w:gridCol w:w="4710"/>
        <w:gridCol w:w="4364"/>
        <w:gridCol w:w="4364"/>
      </w:tblGrid>
      <w:tr w:rsidR="007D01FA" w:rsidRPr="00D713EB" w14:paraId="4B293497" w14:textId="77777777" w:rsidTr="00D2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7FA894C4"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364" w:type="dxa"/>
          </w:tcPr>
          <w:p w14:paraId="016026B5"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60B998D6"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55A75D2A"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77B92F41" w14:textId="2D822036" w:rsidR="00E30B19" w:rsidRPr="00D713EB" w:rsidRDefault="00E30B19" w:rsidP="00E30B19">
            <w:pPr>
              <w:rPr>
                <w:b w:val="0"/>
                <w:bCs w:val="0"/>
              </w:rPr>
            </w:pPr>
            <w:r w:rsidRPr="00D713EB">
              <w:rPr>
                <w:rFonts w:cstheme="minorHAnsi"/>
                <w:szCs w:val="22"/>
              </w:rPr>
              <w:t xml:space="preserve">D.3. Description of the general categories of stakeholders (women, youth, the elderly, etc) and how they were involved in the implementation of the REDD+ actions (documentation and mapping of stakeholders, information shared, feedback gathered, in what format was it gathered). </w:t>
            </w:r>
          </w:p>
        </w:tc>
        <w:tc>
          <w:tcPr>
            <w:tcW w:w="4364" w:type="dxa"/>
          </w:tcPr>
          <w:p w14:paraId="1656BCD0"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18963621"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11A952F5"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7C1840CD" w14:textId="741A7415" w:rsidR="00E30B19" w:rsidRPr="00D713EB" w:rsidRDefault="00E30B19" w:rsidP="00E30B19">
            <w:pPr>
              <w:rPr>
                <w:b w:val="0"/>
                <w:bCs w:val="0"/>
              </w:rPr>
            </w:pPr>
            <w:r w:rsidRPr="00D713EB">
              <w:rPr>
                <w:rFonts w:cstheme="minorHAnsi"/>
                <w:szCs w:val="22"/>
              </w:rPr>
              <w:t>D.4. Description of  approaches to participation as well as the outcomes of the participation processes (e.g. type of meeting, purpose of meeting and level (regional cluster/sub regional, district council, culturally appropriate information produced, non-technical information produced, capacity building activities, specific meetings organised for vulnerable groups, how the ideas or comments from relevant stakeholders led to implementation changed/was influenced by considering the views of the relevant stakeholders) carried out in the context of the implementation of the REDD+ actions.</w:t>
            </w:r>
          </w:p>
        </w:tc>
        <w:tc>
          <w:tcPr>
            <w:tcW w:w="4364" w:type="dxa"/>
          </w:tcPr>
          <w:p w14:paraId="497AFA79"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0DE7D37E"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63D0ED0E"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5E476FFE" w14:textId="35E439DF" w:rsidR="00E30B19" w:rsidRPr="00D713EB" w:rsidRDefault="00E30B19" w:rsidP="00E30B19">
            <w:pPr>
              <w:rPr>
                <w:b w:val="0"/>
                <w:bCs w:val="0"/>
              </w:rPr>
            </w:pPr>
            <w:r w:rsidRPr="00D713EB">
              <w:rPr>
                <w:rFonts w:cstheme="minorHAnsi"/>
                <w:szCs w:val="22"/>
              </w:rPr>
              <w:t>D.5. Number of meetings held, number of participants (organized according to categories of participant), disaggregated by gender and age.</w:t>
            </w:r>
          </w:p>
        </w:tc>
        <w:tc>
          <w:tcPr>
            <w:tcW w:w="4364" w:type="dxa"/>
          </w:tcPr>
          <w:p w14:paraId="75A05649"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231B27C1"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3BD09FC3"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1A845E24" w14:textId="0F8CFDC0" w:rsidR="00E30B19" w:rsidRPr="00D713EB" w:rsidRDefault="00E30B19" w:rsidP="00E30B19">
            <w:pPr>
              <w:rPr>
                <w:b w:val="0"/>
                <w:bCs w:val="0"/>
              </w:rPr>
            </w:pPr>
            <w:r w:rsidRPr="00D713EB">
              <w:rPr>
                <w:rFonts w:cstheme="minorHAnsi"/>
                <w:szCs w:val="22"/>
              </w:rPr>
              <w:t>D.6. If applicable, description and evidence of how FPIC processes were followed prior to REDD+ actions in areas of customary landowners and local communities, and whether they affected the implementation of REDD+ (REDD+ actions cancelled where FPIC withheld).</w:t>
            </w:r>
          </w:p>
        </w:tc>
        <w:tc>
          <w:tcPr>
            <w:tcW w:w="4364" w:type="dxa"/>
          </w:tcPr>
          <w:p w14:paraId="631C45D2"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4EAF72B6"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170B5319"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4D8DC80B" w14:textId="31EE2D5B" w:rsidR="00E30B19" w:rsidRPr="00D713EB" w:rsidRDefault="00E30B19" w:rsidP="00E30B19">
            <w:pPr>
              <w:rPr>
                <w:b w:val="0"/>
                <w:bCs w:val="0"/>
              </w:rPr>
            </w:pPr>
            <w:r w:rsidRPr="00D713EB">
              <w:rPr>
                <w:rFonts w:cstheme="minorHAnsi"/>
                <w:szCs w:val="22"/>
              </w:rPr>
              <w:t>D.7. If applicable, number of FPIC processes followed (FPIC granted, FPIC withheld -resulting in intervention not going ahead).</w:t>
            </w:r>
          </w:p>
        </w:tc>
        <w:tc>
          <w:tcPr>
            <w:tcW w:w="4364" w:type="dxa"/>
          </w:tcPr>
          <w:p w14:paraId="53401D6B"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5DB58064"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bl>
    <w:p w14:paraId="25D6D2C3" w14:textId="77777777" w:rsidR="007D01FA" w:rsidRPr="00D713EB" w:rsidRDefault="007D01FA" w:rsidP="007D01FA"/>
    <w:p w14:paraId="3D604E98" w14:textId="77777777" w:rsidR="007D01FA" w:rsidRPr="00D713EB" w:rsidRDefault="007D01FA" w:rsidP="007D01FA"/>
    <w:p w14:paraId="32B3E932" w14:textId="77777777" w:rsidR="007D01FA" w:rsidRPr="00D713EB" w:rsidRDefault="007D01FA" w:rsidP="007D01FA"/>
    <w:p w14:paraId="3B06040C" w14:textId="77777777" w:rsidR="007D01FA" w:rsidRPr="00D713EB" w:rsidRDefault="007D01FA" w:rsidP="007D01FA">
      <w:pPr>
        <w:rPr>
          <w:b/>
        </w:rPr>
      </w:pPr>
      <w:r w:rsidRPr="00D713EB">
        <w:rPr>
          <w:b/>
        </w:rPr>
        <w:t>Safeguard E</w:t>
      </w:r>
    </w:p>
    <w:p w14:paraId="70D614E0" w14:textId="77777777" w:rsidR="007D01FA" w:rsidRPr="00D713EB" w:rsidRDefault="007D01FA" w:rsidP="007D01FA"/>
    <w:tbl>
      <w:tblPr>
        <w:tblStyle w:val="GridTable1Light-Accent3"/>
        <w:tblW w:w="13438" w:type="dxa"/>
        <w:tblLook w:val="04A0" w:firstRow="1" w:lastRow="0" w:firstColumn="1" w:lastColumn="0" w:noHBand="0" w:noVBand="1"/>
      </w:tblPr>
      <w:tblGrid>
        <w:gridCol w:w="4710"/>
        <w:gridCol w:w="4364"/>
        <w:gridCol w:w="4364"/>
      </w:tblGrid>
      <w:tr w:rsidR="007D01FA" w:rsidRPr="00D713EB" w14:paraId="2334E62E" w14:textId="77777777" w:rsidTr="00D2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5FEBD161"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364" w:type="dxa"/>
          </w:tcPr>
          <w:p w14:paraId="74CC67C0"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60B53812"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718EE4A2"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26F06769" w14:textId="0602B15A" w:rsidR="00E30B19" w:rsidRPr="00D713EB" w:rsidRDefault="00E30B19" w:rsidP="00E30B19">
            <w:pPr>
              <w:rPr>
                <w:b w:val="0"/>
                <w:bCs w:val="0"/>
              </w:rPr>
            </w:pPr>
            <w:r w:rsidRPr="00D713EB">
              <w:rPr>
                <w:rFonts w:cstheme="minorHAnsi"/>
                <w:szCs w:val="22"/>
              </w:rPr>
              <w:t xml:space="preserve">E.4. Description of how REDD+ actions did not result in the conversion of natural forests. </w:t>
            </w:r>
          </w:p>
        </w:tc>
        <w:tc>
          <w:tcPr>
            <w:tcW w:w="4364" w:type="dxa"/>
          </w:tcPr>
          <w:p w14:paraId="6FBBFE5C"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1A19F9B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383F469A"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11E6094D" w14:textId="1C32DF21" w:rsidR="00E30B19" w:rsidRPr="00D713EB" w:rsidRDefault="00E30B19" w:rsidP="00E30B19">
            <w:pPr>
              <w:rPr>
                <w:b w:val="0"/>
                <w:bCs w:val="0"/>
              </w:rPr>
            </w:pPr>
            <w:r w:rsidRPr="00D713EB">
              <w:rPr>
                <w:rFonts w:cstheme="minorHAnsi"/>
                <w:szCs w:val="22"/>
              </w:rPr>
              <w:t>E.5. Spatial information on the country’s natural forest cover before and after REDD+ actions implementation.</w:t>
            </w:r>
          </w:p>
        </w:tc>
        <w:tc>
          <w:tcPr>
            <w:tcW w:w="4364" w:type="dxa"/>
          </w:tcPr>
          <w:p w14:paraId="40FF788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23C0D886"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11D300F6"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6E844514" w14:textId="66A6C5E9" w:rsidR="00E30B19" w:rsidRPr="00D713EB" w:rsidRDefault="00E30B19" w:rsidP="00E30B19">
            <w:pPr>
              <w:rPr>
                <w:b w:val="0"/>
                <w:bCs w:val="0"/>
              </w:rPr>
            </w:pPr>
            <w:r w:rsidRPr="00D713EB">
              <w:rPr>
                <w:rFonts w:cstheme="minorHAnsi"/>
                <w:szCs w:val="22"/>
              </w:rPr>
              <w:t>E.6. Spatial information on extent of plantations nationally and rate of change in extent of plantations.</w:t>
            </w:r>
          </w:p>
        </w:tc>
        <w:tc>
          <w:tcPr>
            <w:tcW w:w="4364" w:type="dxa"/>
          </w:tcPr>
          <w:p w14:paraId="635B06E0"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3623ADE5"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4977531A"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66D89DE1" w14:textId="46F03C57" w:rsidR="00E30B19" w:rsidRPr="00D713EB" w:rsidRDefault="00E30B19" w:rsidP="00E30B19">
            <w:pPr>
              <w:rPr>
                <w:b w:val="0"/>
                <w:bCs w:val="0"/>
              </w:rPr>
            </w:pPr>
            <w:r w:rsidRPr="00D713EB">
              <w:rPr>
                <w:rFonts w:cstheme="minorHAnsi"/>
                <w:szCs w:val="22"/>
              </w:rPr>
              <w:t>E.7. Description of whether and how the projected ecological, biological, climatic and socio-cultural priorities of REDD+ actions were realised following implementation.</w:t>
            </w:r>
          </w:p>
        </w:tc>
        <w:tc>
          <w:tcPr>
            <w:tcW w:w="4364" w:type="dxa"/>
          </w:tcPr>
          <w:p w14:paraId="1F2DA9A4"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35D1B772"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6C22C563"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1E8A26B2" w14:textId="09479D9D" w:rsidR="00E30B19" w:rsidRPr="00D713EB" w:rsidRDefault="00E30B19" w:rsidP="00E30B19">
            <w:pPr>
              <w:rPr>
                <w:rFonts w:cstheme="minorHAnsi"/>
                <w:b w:val="0"/>
              </w:rPr>
            </w:pPr>
            <w:r w:rsidRPr="00D713EB">
              <w:rPr>
                <w:rFonts w:cstheme="minorHAnsi"/>
                <w:szCs w:val="22"/>
              </w:rPr>
              <w:t xml:space="preserve">E.8. Description of how the implementation of REDD+ actions has impacted biodiversity </w:t>
            </w:r>
          </w:p>
        </w:tc>
        <w:tc>
          <w:tcPr>
            <w:tcW w:w="4364" w:type="dxa"/>
          </w:tcPr>
          <w:p w14:paraId="34FB4838"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270E56C0"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3245E339"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1E9E68D3" w14:textId="1B7658DE" w:rsidR="00E30B19" w:rsidRPr="00D713EB" w:rsidRDefault="00E30B19" w:rsidP="00E30B19">
            <w:pPr>
              <w:rPr>
                <w:rFonts w:cstheme="minorHAnsi"/>
                <w:b w:val="0"/>
              </w:rPr>
            </w:pPr>
            <w:r w:rsidRPr="00D713EB">
              <w:rPr>
                <w:rFonts w:cstheme="minorHAnsi"/>
                <w:szCs w:val="22"/>
              </w:rPr>
              <w:t xml:space="preserve">E.9. Description of measures taken to ensure REDD+ actions have contributed to delivering social and environmental benefits. </w:t>
            </w:r>
          </w:p>
        </w:tc>
        <w:tc>
          <w:tcPr>
            <w:tcW w:w="4364" w:type="dxa"/>
          </w:tcPr>
          <w:p w14:paraId="3E2835ED"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27A9A5AF"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bl>
    <w:p w14:paraId="07395300" w14:textId="77777777" w:rsidR="007D01FA" w:rsidRPr="00D713EB" w:rsidRDefault="007D01FA" w:rsidP="007D01FA"/>
    <w:p w14:paraId="3D31EBDC" w14:textId="77777777" w:rsidR="007D01FA" w:rsidRPr="00D713EB" w:rsidRDefault="007D01FA" w:rsidP="007D01FA">
      <w:pPr>
        <w:rPr>
          <w:b/>
        </w:rPr>
      </w:pPr>
      <w:r w:rsidRPr="00D713EB">
        <w:rPr>
          <w:b/>
        </w:rPr>
        <w:t>Safeguards F &amp;G</w:t>
      </w:r>
    </w:p>
    <w:p w14:paraId="3F322DFD" w14:textId="77777777" w:rsidR="007D01FA" w:rsidRPr="00D713EB" w:rsidRDefault="007D01FA" w:rsidP="007D01FA"/>
    <w:tbl>
      <w:tblPr>
        <w:tblStyle w:val="GridTable1Light-Accent3"/>
        <w:tblW w:w="13438" w:type="dxa"/>
        <w:tblLook w:val="04A0" w:firstRow="1" w:lastRow="0" w:firstColumn="1" w:lastColumn="0" w:noHBand="0" w:noVBand="1"/>
      </w:tblPr>
      <w:tblGrid>
        <w:gridCol w:w="4710"/>
        <w:gridCol w:w="4364"/>
        <w:gridCol w:w="4364"/>
      </w:tblGrid>
      <w:tr w:rsidR="007D01FA" w:rsidRPr="00D713EB" w14:paraId="368D8940" w14:textId="77777777" w:rsidTr="00D21C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10" w:type="dxa"/>
          </w:tcPr>
          <w:p w14:paraId="031B1F4D" w14:textId="77777777" w:rsidR="007D01FA" w:rsidRPr="00D713EB" w:rsidRDefault="007D01FA" w:rsidP="00D21C46">
            <w:pPr>
              <w:rPr>
                <w:bCs w:val="0"/>
              </w:rPr>
            </w:pPr>
            <w:r w:rsidRPr="00D713EB">
              <w:rPr>
                <w:bCs w:val="0"/>
              </w:rPr>
              <w:t>Types of information to be provided to demonstrate how the safeguard has been respected (outcomes)</w:t>
            </w:r>
          </w:p>
        </w:tc>
        <w:tc>
          <w:tcPr>
            <w:tcW w:w="4364" w:type="dxa"/>
          </w:tcPr>
          <w:p w14:paraId="428C7F06"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rPr>
                <w:b w:val="0"/>
                <w:bCs w:val="0"/>
              </w:rPr>
            </w:pPr>
            <w:r w:rsidRPr="00D713EB">
              <w:t>Information/data entry</w:t>
            </w:r>
          </w:p>
        </w:tc>
        <w:tc>
          <w:tcPr>
            <w:tcW w:w="4364" w:type="dxa"/>
          </w:tcPr>
          <w:p w14:paraId="22F1EFE9" w14:textId="77777777" w:rsidR="007D01FA" w:rsidRPr="00D713EB" w:rsidRDefault="007D01FA" w:rsidP="00D21C46">
            <w:pPr>
              <w:cnfStyle w:val="100000000000" w:firstRow="1" w:lastRow="0" w:firstColumn="0" w:lastColumn="0" w:oddVBand="0" w:evenVBand="0" w:oddHBand="0" w:evenHBand="0" w:firstRowFirstColumn="0" w:firstRowLastColumn="0" w:lastRowFirstColumn="0" w:lastRowLastColumn="0"/>
            </w:pPr>
            <w:r w:rsidRPr="00D713EB">
              <w:t>Attachments to upload</w:t>
            </w:r>
          </w:p>
        </w:tc>
      </w:tr>
      <w:tr w:rsidR="00E30B19" w:rsidRPr="00D713EB" w14:paraId="380D4636"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3DDA8A92" w14:textId="5D4313FF" w:rsidR="00E30B19" w:rsidRPr="00D713EB" w:rsidRDefault="00E30B19" w:rsidP="00E30B19">
            <w:pPr>
              <w:rPr>
                <w:b w:val="0"/>
                <w:bCs w:val="0"/>
              </w:rPr>
            </w:pPr>
            <w:r w:rsidRPr="00D713EB">
              <w:rPr>
                <w:rFonts w:cstheme="minorHAnsi"/>
                <w:szCs w:val="22"/>
              </w:rPr>
              <w:t>F&amp;G.3. Number of tCO</w:t>
            </w:r>
            <w:r w:rsidRPr="00D713EB">
              <w:rPr>
                <w:rFonts w:cstheme="minorHAnsi"/>
                <w:szCs w:val="22"/>
                <w:vertAlign w:val="subscript"/>
              </w:rPr>
              <w:t>2</w:t>
            </w:r>
            <w:r w:rsidRPr="00D713EB">
              <w:rPr>
                <w:rFonts w:cstheme="minorHAnsi"/>
                <w:szCs w:val="22"/>
              </w:rPr>
              <w:t xml:space="preserve"> reduced since REDD+ intervention/implementation.</w:t>
            </w:r>
          </w:p>
        </w:tc>
        <w:tc>
          <w:tcPr>
            <w:tcW w:w="4364" w:type="dxa"/>
          </w:tcPr>
          <w:p w14:paraId="0402E6B3"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7E590477"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r w:rsidR="00E30B19" w:rsidRPr="00D713EB" w14:paraId="4F680BB8" w14:textId="77777777" w:rsidTr="00D21C46">
        <w:tc>
          <w:tcPr>
            <w:cnfStyle w:val="001000000000" w:firstRow="0" w:lastRow="0" w:firstColumn="1" w:lastColumn="0" w:oddVBand="0" w:evenVBand="0" w:oddHBand="0" w:evenHBand="0" w:firstRowFirstColumn="0" w:firstRowLastColumn="0" w:lastRowFirstColumn="0" w:lastRowLastColumn="0"/>
            <w:tcW w:w="4710" w:type="dxa"/>
          </w:tcPr>
          <w:p w14:paraId="16775EBB" w14:textId="7162FF91" w:rsidR="00E30B19" w:rsidRPr="00D713EB" w:rsidRDefault="00E30B19" w:rsidP="00E30B19">
            <w:pPr>
              <w:rPr>
                <w:b w:val="0"/>
                <w:bCs w:val="0"/>
              </w:rPr>
            </w:pPr>
            <w:r w:rsidRPr="00D713EB">
              <w:rPr>
                <w:rFonts w:cstheme="minorHAnsi"/>
                <w:szCs w:val="22"/>
              </w:rPr>
              <w:t>F&amp;G.4. Variation of deforestation rates in neighbouring areas before and after the REDD+ actions’ intervention.</w:t>
            </w:r>
          </w:p>
        </w:tc>
        <w:tc>
          <w:tcPr>
            <w:tcW w:w="4364" w:type="dxa"/>
          </w:tcPr>
          <w:p w14:paraId="7C79EA32"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c>
          <w:tcPr>
            <w:tcW w:w="4364" w:type="dxa"/>
          </w:tcPr>
          <w:p w14:paraId="6C1A7E31" w14:textId="77777777" w:rsidR="00E30B19" w:rsidRPr="00D713EB" w:rsidRDefault="00E30B19" w:rsidP="00E30B19">
            <w:pPr>
              <w:cnfStyle w:val="000000000000" w:firstRow="0" w:lastRow="0" w:firstColumn="0" w:lastColumn="0" w:oddVBand="0" w:evenVBand="0" w:oddHBand="0" w:evenHBand="0" w:firstRowFirstColumn="0" w:firstRowLastColumn="0" w:lastRowFirstColumn="0" w:lastRowLastColumn="0"/>
            </w:pPr>
          </w:p>
        </w:tc>
      </w:tr>
    </w:tbl>
    <w:p w14:paraId="6B5764D9" w14:textId="77777777" w:rsidR="00225E0D" w:rsidRDefault="00225E0D" w:rsidP="007D01FA">
      <w:pPr>
        <w:rPr>
          <w:b/>
        </w:rPr>
        <w:sectPr w:rsidR="00225E0D" w:rsidSect="007D01FA">
          <w:pgSz w:w="16840" w:h="11900" w:orient="landscape"/>
          <w:pgMar w:top="1440" w:right="1440" w:bottom="1440" w:left="1440" w:header="720" w:footer="720" w:gutter="0"/>
          <w:cols w:space="720"/>
          <w:docGrid w:linePitch="360"/>
        </w:sectPr>
      </w:pPr>
    </w:p>
    <w:p w14:paraId="60F43FA0" w14:textId="012CB3F0" w:rsidR="001501B8" w:rsidRPr="00D713EB" w:rsidRDefault="001501B8" w:rsidP="001501B8">
      <w:pPr>
        <w:pStyle w:val="Heading1"/>
      </w:pPr>
      <w:bookmarkStart w:id="38" w:name="_Toc59493635"/>
      <w:r w:rsidRPr="00D713EB">
        <w:t>Annex I</w:t>
      </w:r>
      <w:r>
        <w:t>V</w:t>
      </w:r>
      <w:r w:rsidRPr="00D713EB">
        <w:t>: Template for the SOI</w:t>
      </w:r>
      <w:bookmarkEnd w:id="38"/>
    </w:p>
    <w:p w14:paraId="1539D876" w14:textId="77777777" w:rsidR="001501B8" w:rsidRPr="00D713EB" w:rsidRDefault="001501B8" w:rsidP="001501B8"/>
    <w:p w14:paraId="6731D997" w14:textId="77777777" w:rsidR="001501B8" w:rsidRPr="00D713EB" w:rsidRDefault="001501B8" w:rsidP="001501B8">
      <w:r w:rsidRPr="00D713EB">
        <w:t>The following annex presents the template for the preparation of subsequent SOIs.</w:t>
      </w:r>
    </w:p>
    <w:p w14:paraId="7E7574EE" w14:textId="77777777" w:rsidR="001501B8" w:rsidRPr="00D713EB" w:rsidRDefault="001501B8" w:rsidP="001501B8"/>
    <w:p w14:paraId="7B13D10F" w14:textId="77777777" w:rsidR="001501B8" w:rsidRPr="00D713EB" w:rsidRDefault="001501B8" w:rsidP="001501B8">
      <w:pPr>
        <w:numPr>
          <w:ilvl w:val="0"/>
          <w:numId w:val="1"/>
        </w:numPr>
        <w:rPr>
          <w:b/>
        </w:rPr>
      </w:pPr>
      <w:r w:rsidRPr="00D713EB">
        <w:rPr>
          <w:b/>
        </w:rPr>
        <w:t xml:space="preserve">Part I: </w:t>
      </w:r>
      <w:r w:rsidRPr="00D713EB">
        <w:t xml:space="preserve">Part I: National circumstances for addressing and respecting the REDD+ </w:t>
      </w:r>
    </w:p>
    <w:p w14:paraId="42481D5E" w14:textId="77777777" w:rsidR="001501B8" w:rsidRPr="00D713EB" w:rsidRDefault="001501B8" w:rsidP="001501B8"/>
    <w:p w14:paraId="639B6ECC" w14:textId="77777777" w:rsidR="001501B8" w:rsidRPr="00D713EB" w:rsidRDefault="001501B8" w:rsidP="001501B8">
      <w:r w:rsidRPr="00D713EB">
        <w:t>This section would provide a clear overview of the scope and scale of the REDD+ activities and actions subject to this report and period of reporting.</w:t>
      </w:r>
    </w:p>
    <w:p w14:paraId="5CF6652B" w14:textId="77777777" w:rsidR="001501B8" w:rsidRPr="00D713EB" w:rsidRDefault="001501B8" w:rsidP="001501B8"/>
    <w:p w14:paraId="73941363" w14:textId="77777777" w:rsidR="001501B8" w:rsidRPr="00D713EB" w:rsidRDefault="001501B8" w:rsidP="001501B8">
      <w:r w:rsidRPr="00D713EB">
        <w:t xml:space="preserve">Please see first draft of SOI, and update accordingly with new information about the REDD+ activities and actions and areas of intervention. </w:t>
      </w:r>
    </w:p>
    <w:p w14:paraId="12B8A4F8" w14:textId="77777777" w:rsidR="001501B8" w:rsidRPr="00D713EB" w:rsidRDefault="001501B8" w:rsidP="001501B8"/>
    <w:p w14:paraId="509D7611" w14:textId="77777777" w:rsidR="001501B8" w:rsidRPr="00D713EB" w:rsidRDefault="001501B8" w:rsidP="001501B8">
      <w:pPr>
        <w:numPr>
          <w:ilvl w:val="0"/>
          <w:numId w:val="1"/>
        </w:numPr>
        <w:rPr>
          <w:b/>
        </w:rPr>
      </w:pPr>
      <w:r w:rsidRPr="00D713EB">
        <w:rPr>
          <w:b/>
        </w:rPr>
        <w:t xml:space="preserve">Part II: </w:t>
      </w:r>
      <w:r w:rsidRPr="00D713EB">
        <w:t xml:space="preserve">Part II: </w:t>
      </w:r>
      <w:proofErr w:type="spellStart"/>
      <w:r w:rsidRPr="00D713EB">
        <w:t>GoPNG’s</w:t>
      </w:r>
      <w:proofErr w:type="spellEnd"/>
      <w:r w:rsidRPr="00D713EB">
        <w:t xml:space="preserve"> REDD+ safeguards approach</w:t>
      </w:r>
    </w:p>
    <w:p w14:paraId="43C737F4" w14:textId="77777777" w:rsidR="001501B8" w:rsidRPr="00D713EB" w:rsidRDefault="001501B8" w:rsidP="001501B8">
      <w:pPr>
        <w:rPr>
          <w:b/>
        </w:rPr>
      </w:pPr>
    </w:p>
    <w:p w14:paraId="4CBA53F2" w14:textId="77777777" w:rsidR="001501B8" w:rsidRPr="00D713EB" w:rsidRDefault="001501B8" w:rsidP="001501B8">
      <w:pPr>
        <w:rPr>
          <w:iCs/>
        </w:rPr>
      </w:pPr>
      <w:r w:rsidRPr="00D713EB">
        <w:t>This section presents how the GoPNG is ensuring that the implementation of REDD+ activities is consistent with the Cancun Safeguards</w:t>
      </w:r>
      <w:r w:rsidRPr="00D713EB">
        <w:rPr>
          <w:vertAlign w:val="superscript"/>
        </w:rPr>
        <w:footnoteReference w:id="66"/>
      </w:r>
      <w:r w:rsidRPr="00D713EB">
        <w:t xml:space="preserve">. </w:t>
      </w:r>
      <w:r w:rsidRPr="00D713EB">
        <w:rPr>
          <w:iCs/>
        </w:rPr>
        <w:t>In the final series of decisions on REDD+, agreed in Paris at COP 21, Parties to the UNFCCC developed some further guidance “on ensuring transparency, consistency, comprehensiveness and effectiveness when informing on how all the safeguards referred to in decision 1/CP.16, appendix I, are being addressed and respected.”</w:t>
      </w:r>
      <w:r w:rsidRPr="00D713EB">
        <w:rPr>
          <w:iCs/>
          <w:vertAlign w:val="superscript"/>
        </w:rPr>
        <w:footnoteReference w:id="67"/>
      </w:r>
      <w:r w:rsidRPr="00D713EB">
        <w:rPr>
          <w:iCs/>
        </w:rPr>
        <w:t xml:space="preserve"> As part of this guidance, the COP “strongly encourages” developing country Parties, when providing the summary of information on how the Cancun safeguards are being addressed and respected, to include, inter alia, “[a] description of each safeguard in accordance with national circumstances.”</w:t>
      </w:r>
      <w:r w:rsidRPr="00D713EB">
        <w:rPr>
          <w:iCs/>
          <w:vertAlign w:val="superscript"/>
        </w:rPr>
        <w:footnoteReference w:id="68"/>
      </w:r>
      <w:r w:rsidRPr="00D713EB">
        <w:rPr>
          <w:iCs/>
        </w:rPr>
        <w:t xml:space="preserve"> </w:t>
      </w:r>
    </w:p>
    <w:p w14:paraId="23334F9F" w14:textId="77777777" w:rsidR="001501B8" w:rsidRPr="00D713EB" w:rsidRDefault="001501B8" w:rsidP="001501B8">
      <w:pPr>
        <w:rPr>
          <w:iCs/>
        </w:rPr>
      </w:pPr>
    </w:p>
    <w:p w14:paraId="02823F09" w14:textId="77777777" w:rsidR="001501B8" w:rsidRPr="00D713EB" w:rsidRDefault="001501B8" w:rsidP="001501B8">
      <w:r w:rsidRPr="00D713EB">
        <w:t xml:space="preserve">In accordance with the above, this section provides the description of the Cancun safeguards according to the national context and presents the design framework for the Safeguard Information System (SIS).  Please see first draft of SOI (and annex II below), and update accordingly with new information about the any changes to the description to the Cancun safeguards and the SIS.  </w:t>
      </w:r>
    </w:p>
    <w:p w14:paraId="59B8FF8E" w14:textId="77777777" w:rsidR="001501B8" w:rsidRPr="00D713EB" w:rsidRDefault="001501B8" w:rsidP="001501B8"/>
    <w:p w14:paraId="2930C8C6" w14:textId="77777777" w:rsidR="001501B8" w:rsidRPr="00D713EB" w:rsidRDefault="001501B8" w:rsidP="001501B8">
      <w:pPr>
        <w:rPr>
          <w:b/>
        </w:rPr>
      </w:pPr>
    </w:p>
    <w:p w14:paraId="4F932AC5" w14:textId="77777777" w:rsidR="001501B8" w:rsidRPr="00D713EB" w:rsidRDefault="001501B8" w:rsidP="001501B8">
      <w:pPr>
        <w:numPr>
          <w:ilvl w:val="0"/>
          <w:numId w:val="1"/>
        </w:numPr>
        <w:rPr>
          <w:b/>
        </w:rPr>
      </w:pPr>
      <w:r w:rsidRPr="00D713EB">
        <w:rPr>
          <w:b/>
        </w:rPr>
        <w:t xml:space="preserve">Part III: How have safeguards been addressed and respected? </w:t>
      </w:r>
    </w:p>
    <w:p w14:paraId="5BDCB569" w14:textId="77777777" w:rsidR="001501B8" w:rsidRPr="00D713EB" w:rsidRDefault="001501B8" w:rsidP="001501B8"/>
    <w:p w14:paraId="3D2861EC" w14:textId="77777777" w:rsidR="001501B8" w:rsidRPr="00D713EB" w:rsidRDefault="001501B8" w:rsidP="001501B8">
      <w:r w:rsidRPr="00D713EB">
        <w:t>This section is divided into two subsections in accordance with the indicators adopted for demonstrating how safeguards are being addressed and respected:</w:t>
      </w:r>
    </w:p>
    <w:p w14:paraId="51418056" w14:textId="77777777" w:rsidR="001501B8" w:rsidRPr="00D713EB" w:rsidRDefault="001501B8" w:rsidP="001501B8"/>
    <w:p w14:paraId="58E548C5" w14:textId="77777777" w:rsidR="001501B8" w:rsidRPr="00D713EB" w:rsidRDefault="001501B8" w:rsidP="001501B8">
      <w:pPr>
        <w:rPr>
          <w:b/>
          <w:bCs/>
        </w:rPr>
      </w:pPr>
      <w:r w:rsidRPr="00D713EB">
        <w:rPr>
          <w:b/>
          <w:bCs/>
        </w:rPr>
        <w:t>Addressing safeguards</w:t>
      </w:r>
    </w:p>
    <w:p w14:paraId="6F258C20" w14:textId="77777777" w:rsidR="001501B8" w:rsidRPr="00D713EB" w:rsidRDefault="001501B8" w:rsidP="001501B8">
      <w:r w:rsidRPr="00D713EB">
        <w:t xml:space="preserve">This section presents information in relation to the indicators adopted </w:t>
      </w:r>
      <w:r w:rsidRPr="00D713EB">
        <w:rPr>
          <w:iCs/>
        </w:rPr>
        <w:t xml:space="preserve">to demonstrate the Cancun safeguards have been ‘addressed’. </w:t>
      </w:r>
      <w:r w:rsidRPr="00D713EB">
        <w:t xml:space="preserve">Understanding that ‘addressing’ safeguards requires anchoring the Cancun safeguards to the existing  governance arrangements (e.g., policies, institutions, information systems), this section outlines all relevant legal and institutional frameworks in place to ensure REDD+ actions are implemented in accordance with the Cancun safeguards. </w:t>
      </w:r>
    </w:p>
    <w:p w14:paraId="0E7D8A4F" w14:textId="77777777" w:rsidR="001501B8" w:rsidRPr="00D713EB" w:rsidRDefault="001501B8" w:rsidP="001501B8"/>
    <w:p w14:paraId="012FB4B9" w14:textId="77777777" w:rsidR="001501B8" w:rsidRPr="00D713EB" w:rsidRDefault="001501B8" w:rsidP="001501B8">
      <w:r w:rsidRPr="00D713EB">
        <w:t xml:space="preserve">Please insert information outlined in </w:t>
      </w:r>
      <w:r w:rsidRPr="00D713EB">
        <w:rPr>
          <w:b/>
          <w:bCs/>
        </w:rPr>
        <w:t>template report in relation to the ‘addressing’ indicators prepared under section III of this SOPs</w:t>
      </w:r>
      <w:r w:rsidRPr="00D713EB">
        <w:t xml:space="preserve">. </w:t>
      </w:r>
    </w:p>
    <w:p w14:paraId="1E34BD47" w14:textId="77777777" w:rsidR="001501B8" w:rsidRPr="00D713EB" w:rsidRDefault="001501B8" w:rsidP="001501B8"/>
    <w:p w14:paraId="684E1CBE" w14:textId="77777777" w:rsidR="001501B8" w:rsidRPr="00D713EB" w:rsidRDefault="001501B8" w:rsidP="001501B8"/>
    <w:p w14:paraId="17B18319" w14:textId="77777777" w:rsidR="001501B8" w:rsidRPr="00D713EB" w:rsidRDefault="001501B8" w:rsidP="001501B8">
      <w:pPr>
        <w:rPr>
          <w:b/>
          <w:bCs/>
        </w:rPr>
      </w:pPr>
      <w:r w:rsidRPr="00D713EB">
        <w:rPr>
          <w:b/>
          <w:bCs/>
        </w:rPr>
        <w:t>3.2. Respecting safeguards</w:t>
      </w:r>
      <w:r w:rsidRPr="00D713EB">
        <w:rPr>
          <w:iCs/>
        </w:rPr>
        <w:t xml:space="preserve"> </w:t>
      </w:r>
    </w:p>
    <w:p w14:paraId="0FFF1E9E" w14:textId="77777777" w:rsidR="001501B8" w:rsidRPr="00D713EB" w:rsidRDefault="001501B8" w:rsidP="001501B8"/>
    <w:p w14:paraId="49464048" w14:textId="77777777" w:rsidR="001501B8" w:rsidRPr="00D713EB" w:rsidRDefault="001501B8" w:rsidP="001501B8">
      <w:r w:rsidRPr="00D713EB">
        <w:t xml:space="preserve">Please insert information outlined in the </w:t>
      </w:r>
      <w:r w:rsidRPr="00D713EB">
        <w:rPr>
          <w:b/>
          <w:bCs/>
        </w:rPr>
        <w:t>REDD+ action report(s)</w:t>
      </w:r>
      <w:r w:rsidRPr="00D713EB">
        <w:t xml:space="preserve"> </w:t>
      </w:r>
      <w:r w:rsidRPr="00D713EB">
        <w:rPr>
          <w:b/>
          <w:bCs/>
        </w:rPr>
        <w:t>with an overall assessment of conformance with the safeguards</w:t>
      </w:r>
      <w:r w:rsidRPr="00D713EB">
        <w:t xml:space="preserve">, </w:t>
      </w:r>
      <w:r w:rsidRPr="00D713EB">
        <w:rPr>
          <w:b/>
          <w:bCs/>
        </w:rPr>
        <w:t>prepared under section III of this SOPs (see Box 1 too)</w:t>
      </w:r>
      <w:r w:rsidRPr="00D713EB">
        <w:t>.</w:t>
      </w:r>
    </w:p>
    <w:p w14:paraId="271CDC6E" w14:textId="77777777" w:rsidR="001501B8" w:rsidRPr="00D713EB" w:rsidRDefault="001501B8" w:rsidP="001501B8"/>
    <w:p w14:paraId="19412C60" w14:textId="77777777" w:rsidR="001501B8" w:rsidRPr="00D713EB" w:rsidRDefault="001501B8" w:rsidP="001501B8">
      <w:r w:rsidRPr="00D713EB">
        <w:t>Therefore, this section of the national report/SOI should have the following structure:</w:t>
      </w:r>
    </w:p>
    <w:p w14:paraId="74500C21" w14:textId="77777777" w:rsidR="001501B8" w:rsidRPr="00D713EB" w:rsidRDefault="001501B8" w:rsidP="001501B8"/>
    <w:p w14:paraId="3DEE431A" w14:textId="77777777" w:rsidR="001501B8" w:rsidRPr="00D713EB" w:rsidRDefault="001501B8" w:rsidP="001501B8">
      <w:pPr>
        <w:rPr>
          <w:b/>
          <w:bCs/>
        </w:rPr>
      </w:pPr>
      <w:r w:rsidRPr="00D713EB">
        <w:rPr>
          <w:b/>
          <w:bCs/>
        </w:rPr>
        <w:t>REDD+ action</w:t>
      </w:r>
      <w:r w:rsidRPr="00D713EB">
        <w:t xml:space="preserve">: </w:t>
      </w:r>
      <w:r w:rsidRPr="00D713EB">
        <w:rPr>
          <w:b/>
          <w:bCs/>
        </w:rPr>
        <w:t>Strengthened land-use and development planning</w:t>
      </w:r>
    </w:p>
    <w:p w14:paraId="789112AF" w14:textId="77777777" w:rsidR="001501B8" w:rsidRPr="00D713EB" w:rsidRDefault="001501B8" w:rsidP="001501B8"/>
    <w:p w14:paraId="7086C665" w14:textId="77777777" w:rsidR="001501B8" w:rsidRPr="00D713EB" w:rsidRDefault="001501B8" w:rsidP="001501B8">
      <w:pPr>
        <w:rPr>
          <w:b/>
        </w:rPr>
      </w:pPr>
      <w:r w:rsidRPr="00D713EB">
        <w:rPr>
          <w:b/>
        </w:rPr>
        <w:t>Safeguard A</w:t>
      </w:r>
    </w:p>
    <w:p w14:paraId="7D761696" w14:textId="77777777" w:rsidR="001501B8" w:rsidRPr="00D713EB" w:rsidRDefault="001501B8" w:rsidP="001501B8"/>
    <w:p w14:paraId="364D691C" w14:textId="77777777" w:rsidR="001501B8" w:rsidRPr="00D713EB" w:rsidRDefault="001501B8" w:rsidP="001501B8">
      <w:pPr>
        <w:numPr>
          <w:ilvl w:val="0"/>
          <w:numId w:val="2"/>
        </w:numPr>
      </w:pPr>
      <w:r w:rsidRPr="00D713EB">
        <w:t xml:space="preserve">Overall assessment: </w:t>
      </w:r>
    </w:p>
    <w:p w14:paraId="52C6314F" w14:textId="77777777" w:rsidR="001501B8" w:rsidRPr="00D713EB" w:rsidRDefault="001501B8" w:rsidP="001501B8">
      <w:pPr>
        <w:numPr>
          <w:ilvl w:val="0"/>
          <w:numId w:val="2"/>
        </w:numPr>
      </w:pPr>
      <w:r w:rsidRPr="00D713EB">
        <w:t xml:space="preserve">Challenges: </w:t>
      </w:r>
    </w:p>
    <w:p w14:paraId="185E913F" w14:textId="77777777" w:rsidR="001501B8" w:rsidRPr="00D713EB" w:rsidRDefault="001501B8" w:rsidP="001501B8">
      <w:pPr>
        <w:numPr>
          <w:ilvl w:val="0"/>
          <w:numId w:val="2"/>
        </w:numPr>
      </w:pPr>
      <w:r w:rsidRPr="00D713EB">
        <w:t xml:space="preserve">Potential measures for improvement: </w:t>
      </w:r>
    </w:p>
    <w:p w14:paraId="7EF6E6CA" w14:textId="77777777" w:rsidR="001501B8" w:rsidRPr="00D713EB" w:rsidRDefault="001501B8" w:rsidP="001501B8">
      <w:r w:rsidRPr="00D713EB">
        <w:tab/>
      </w:r>
      <w:r w:rsidRPr="00D713EB">
        <w:tab/>
      </w:r>
    </w:p>
    <w:p w14:paraId="6100C978" w14:textId="77777777" w:rsidR="001501B8" w:rsidRPr="00D713EB" w:rsidRDefault="001501B8" w:rsidP="001501B8">
      <w:pPr>
        <w:rPr>
          <w:b/>
        </w:rPr>
      </w:pPr>
      <w:r w:rsidRPr="00D713EB">
        <w:rPr>
          <w:b/>
        </w:rPr>
        <w:t>Safeguard B</w:t>
      </w:r>
    </w:p>
    <w:p w14:paraId="763DE49F" w14:textId="77777777" w:rsidR="001501B8" w:rsidRPr="00D713EB" w:rsidRDefault="001501B8" w:rsidP="001501B8">
      <w:pPr>
        <w:rPr>
          <w:b/>
        </w:rPr>
      </w:pPr>
    </w:p>
    <w:p w14:paraId="3F789468" w14:textId="77777777" w:rsidR="001501B8" w:rsidRPr="00D713EB" w:rsidRDefault="001501B8" w:rsidP="001501B8">
      <w:pPr>
        <w:numPr>
          <w:ilvl w:val="0"/>
          <w:numId w:val="2"/>
        </w:numPr>
      </w:pPr>
      <w:r w:rsidRPr="00D713EB">
        <w:t xml:space="preserve">Overall assessment: </w:t>
      </w:r>
    </w:p>
    <w:p w14:paraId="0FE2424F" w14:textId="77777777" w:rsidR="001501B8" w:rsidRPr="00D713EB" w:rsidRDefault="001501B8" w:rsidP="001501B8">
      <w:pPr>
        <w:numPr>
          <w:ilvl w:val="0"/>
          <w:numId w:val="2"/>
        </w:numPr>
      </w:pPr>
      <w:r w:rsidRPr="00D713EB">
        <w:t xml:space="preserve">Challenges: </w:t>
      </w:r>
    </w:p>
    <w:p w14:paraId="76169315" w14:textId="77777777" w:rsidR="001501B8" w:rsidRPr="00D713EB" w:rsidRDefault="001501B8" w:rsidP="001501B8">
      <w:pPr>
        <w:numPr>
          <w:ilvl w:val="0"/>
          <w:numId w:val="2"/>
        </w:numPr>
      </w:pPr>
      <w:r w:rsidRPr="00D713EB">
        <w:t xml:space="preserve">Potential measures for improvement: </w:t>
      </w:r>
    </w:p>
    <w:p w14:paraId="5B158A48" w14:textId="77777777" w:rsidR="001501B8" w:rsidRPr="00D713EB" w:rsidRDefault="001501B8" w:rsidP="001501B8"/>
    <w:p w14:paraId="6466DD85" w14:textId="77777777" w:rsidR="001501B8" w:rsidRPr="00D713EB" w:rsidRDefault="001501B8" w:rsidP="001501B8">
      <w:pPr>
        <w:rPr>
          <w:b/>
        </w:rPr>
      </w:pPr>
      <w:r w:rsidRPr="00D713EB">
        <w:rPr>
          <w:b/>
        </w:rPr>
        <w:t xml:space="preserve">Safeguard C: </w:t>
      </w:r>
    </w:p>
    <w:p w14:paraId="594D30B3" w14:textId="77777777" w:rsidR="001501B8" w:rsidRPr="00D713EB" w:rsidRDefault="001501B8" w:rsidP="001501B8">
      <w:pPr>
        <w:numPr>
          <w:ilvl w:val="0"/>
          <w:numId w:val="2"/>
        </w:numPr>
      </w:pPr>
      <w:r w:rsidRPr="00D713EB">
        <w:t xml:space="preserve">Overall assessment: </w:t>
      </w:r>
    </w:p>
    <w:p w14:paraId="015226C3" w14:textId="77777777" w:rsidR="001501B8" w:rsidRPr="00D713EB" w:rsidRDefault="001501B8" w:rsidP="001501B8">
      <w:pPr>
        <w:numPr>
          <w:ilvl w:val="0"/>
          <w:numId w:val="2"/>
        </w:numPr>
      </w:pPr>
      <w:r w:rsidRPr="00D713EB">
        <w:t xml:space="preserve">Challenges: </w:t>
      </w:r>
    </w:p>
    <w:p w14:paraId="47A5B140" w14:textId="77777777" w:rsidR="001501B8" w:rsidRPr="00D713EB" w:rsidRDefault="001501B8" w:rsidP="001501B8">
      <w:pPr>
        <w:numPr>
          <w:ilvl w:val="0"/>
          <w:numId w:val="2"/>
        </w:numPr>
      </w:pPr>
      <w:r w:rsidRPr="00D713EB">
        <w:t xml:space="preserve">Potential measures for improvement: </w:t>
      </w:r>
    </w:p>
    <w:p w14:paraId="3A8DB6BF" w14:textId="77777777" w:rsidR="001501B8" w:rsidRPr="00D713EB" w:rsidRDefault="001501B8" w:rsidP="001501B8"/>
    <w:p w14:paraId="69A8A22A" w14:textId="77777777" w:rsidR="001501B8" w:rsidRPr="00D713EB" w:rsidRDefault="001501B8" w:rsidP="001501B8"/>
    <w:p w14:paraId="05620ADD" w14:textId="77777777" w:rsidR="001501B8" w:rsidRPr="00D713EB" w:rsidRDefault="001501B8" w:rsidP="001501B8">
      <w:pPr>
        <w:rPr>
          <w:b/>
        </w:rPr>
      </w:pPr>
      <w:r w:rsidRPr="00D713EB">
        <w:rPr>
          <w:b/>
        </w:rPr>
        <w:t xml:space="preserve">Safeguard D: </w:t>
      </w:r>
    </w:p>
    <w:p w14:paraId="1D477F74" w14:textId="77777777" w:rsidR="001501B8" w:rsidRPr="00D713EB" w:rsidRDefault="001501B8" w:rsidP="001501B8">
      <w:pPr>
        <w:numPr>
          <w:ilvl w:val="0"/>
          <w:numId w:val="2"/>
        </w:numPr>
      </w:pPr>
      <w:r w:rsidRPr="00D713EB">
        <w:t xml:space="preserve">Overall assessment: </w:t>
      </w:r>
    </w:p>
    <w:p w14:paraId="5AF13D56" w14:textId="77777777" w:rsidR="001501B8" w:rsidRPr="00D713EB" w:rsidRDefault="001501B8" w:rsidP="001501B8">
      <w:pPr>
        <w:numPr>
          <w:ilvl w:val="0"/>
          <w:numId w:val="2"/>
        </w:numPr>
      </w:pPr>
      <w:r w:rsidRPr="00D713EB">
        <w:t xml:space="preserve">Challenges: </w:t>
      </w:r>
    </w:p>
    <w:p w14:paraId="73CAEEEB" w14:textId="77777777" w:rsidR="001501B8" w:rsidRPr="00D713EB" w:rsidRDefault="001501B8" w:rsidP="001501B8">
      <w:pPr>
        <w:numPr>
          <w:ilvl w:val="0"/>
          <w:numId w:val="2"/>
        </w:numPr>
      </w:pPr>
      <w:r w:rsidRPr="00D713EB">
        <w:t xml:space="preserve">Potential measures for improvement: </w:t>
      </w:r>
    </w:p>
    <w:p w14:paraId="4B3CB60A" w14:textId="77777777" w:rsidR="001501B8" w:rsidRPr="00D713EB" w:rsidRDefault="001501B8" w:rsidP="001501B8"/>
    <w:p w14:paraId="73208375" w14:textId="77777777" w:rsidR="001501B8" w:rsidRPr="00D713EB" w:rsidRDefault="001501B8" w:rsidP="001501B8">
      <w:pPr>
        <w:rPr>
          <w:b/>
        </w:rPr>
      </w:pPr>
      <w:r w:rsidRPr="00D713EB">
        <w:rPr>
          <w:b/>
        </w:rPr>
        <w:t xml:space="preserve">Safeguard E: </w:t>
      </w:r>
    </w:p>
    <w:p w14:paraId="416019F0" w14:textId="77777777" w:rsidR="001501B8" w:rsidRPr="00D713EB" w:rsidRDefault="001501B8" w:rsidP="001501B8">
      <w:pPr>
        <w:numPr>
          <w:ilvl w:val="0"/>
          <w:numId w:val="2"/>
        </w:numPr>
      </w:pPr>
      <w:r w:rsidRPr="00D713EB">
        <w:t xml:space="preserve">Overall assessment: </w:t>
      </w:r>
    </w:p>
    <w:p w14:paraId="1ECFDE89" w14:textId="77777777" w:rsidR="001501B8" w:rsidRPr="00D713EB" w:rsidRDefault="001501B8" w:rsidP="001501B8">
      <w:pPr>
        <w:numPr>
          <w:ilvl w:val="0"/>
          <w:numId w:val="2"/>
        </w:numPr>
      </w:pPr>
      <w:r w:rsidRPr="00D713EB">
        <w:t xml:space="preserve">Challenges: </w:t>
      </w:r>
    </w:p>
    <w:p w14:paraId="2798F926" w14:textId="77777777" w:rsidR="001501B8" w:rsidRPr="00D713EB" w:rsidRDefault="001501B8" w:rsidP="001501B8">
      <w:pPr>
        <w:numPr>
          <w:ilvl w:val="0"/>
          <w:numId w:val="2"/>
        </w:numPr>
      </w:pPr>
      <w:r w:rsidRPr="00D713EB">
        <w:t xml:space="preserve">Potential measures for improvement: </w:t>
      </w:r>
    </w:p>
    <w:p w14:paraId="329AF64E" w14:textId="77777777" w:rsidR="001501B8" w:rsidRPr="00D713EB" w:rsidRDefault="001501B8" w:rsidP="001501B8"/>
    <w:p w14:paraId="7DE7DD75" w14:textId="77777777" w:rsidR="001501B8" w:rsidRPr="00D713EB" w:rsidRDefault="001501B8" w:rsidP="001501B8">
      <w:pPr>
        <w:rPr>
          <w:b/>
        </w:rPr>
      </w:pPr>
      <w:r w:rsidRPr="00D713EB">
        <w:rPr>
          <w:b/>
        </w:rPr>
        <w:t xml:space="preserve">Safeguard F&amp;G: </w:t>
      </w:r>
    </w:p>
    <w:p w14:paraId="4327CA83" w14:textId="77777777" w:rsidR="001501B8" w:rsidRPr="00D713EB" w:rsidRDefault="001501B8" w:rsidP="001501B8">
      <w:pPr>
        <w:numPr>
          <w:ilvl w:val="0"/>
          <w:numId w:val="2"/>
        </w:numPr>
      </w:pPr>
      <w:r w:rsidRPr="00D713EB">
        <w:t xml:space="preserve">Overall assessment: </w:t>
      </w:r>
    </w:p>
    <w:p w14:paraId="6890EAEA" w14:textId="77777777" w:rsidR="001501B8" w:rsidRPr="00D713EB" w:rsidRDefault="001501B8" w:rsidP="001501B8">
      <w:pPr>
        <w:numPr>
          <w:ilvl w:val="0"/>
          <w:numId w:val="2"/>
        </w:numPr>
      </w:pPr>
      <w:r w:rsidRPr="00D713EB">
        <w:t xml:space="preserve">Challenges: </w:t>
      </w:r>
    </w:p>
    <w:p w14:paraId="1A90FF5B" w14:textId="77777777" w:rsidR="001501B8" w:rsidRPr="00D713EB" w:rsidRDefault="001501B8" w:rsidP="001501B8">
      <w:pPr>
        <w:numPr>
          <w:ilvl w:val="0"/>
          <w:numId w:val="2"/>
        </w:numPr>
      </w:pPr>
      <w:r w:rsidRPr="00D713EB">
        <w:t xml:space="preserve">Potential measures for improvement: </w:t>
      </w:r>
    </w:p>
    <w:p w14:paraId="47A1128F" w14:textId="77777777" w:rsidR="001501B8" w:rsidRPr="00D713EB" w:rsidRDefault="001501B8" w:rsidP="001501B8">
      <w:pPr>
        <w:ind w:left="2880"/>
      </w:pPr>
    </w:p>
    <w:p w14:paraId="0951E340" w14:textId="77777777" w:rsidR="001501B8" w:rsidRPr="00D713EB" w:rsidRDefault="001501B8" w:rsidP="001501B8"/>
    <w:p w14:paraId="2587C5EC" w14:textId="77777777" w:rsidR="001501B8" w:rsidRPr="00D713EB" w:rsidRDefault="001501B8" w:rsidP="001501B8">
      <w:pPr>
        <w:rPr>
          <w:b/>
          <w:bCs/>
        </w:rPr>
      </w:pPr>
      <w:r w:rsidRPr="00D713EB">
        <w:rPr>
          <w:b/>
          <w:bCs/>
        </w:rPr>
        <w:t>REDD+ action</w:t>
      </w:r>
      <w:r w:rsidRPr="00D713EB">
        <w:t xml:space="preserve">: </w:t>
      </w:r>
      <w:r w:rsidRPr="00D713EB">
        <w:rPr>
          <w:b/>
          <w:bCs/>
        </w:rPr>
        <w:t>Stronger environmental management, protection and enforcement</w:t>
      </w:r>
    </w:p>
    <w:p w14:paraId="64C0C6FF" w14:textId="77777777" w:rsidR="001501B8" w:rsidRPr="00D713EB" w:rsidRDefault="001501B8" w:rsidP="001501B8">
      <w:pPr>
        <w:rPr>
          <w:b/>
        </w:rPr>
      </w:pPr>
    </w:p>
    <w:p w14:paraId="529F23CA" w14:textId="77777777" w:rsidR="001501B8" w:rsidRPr="00D713EB" w:rsidRDefault="001501B8" w:rsidP="001501B8">
      <w:pPr>
        <w:rPr>
          <w:b/>
        </w:rPr>
      </w:pPr>
      <w:r w:rsidRPr="00D713EB">
        <w:rPr>
          <w:b/>
        </w:rPr>
        <w:t>Safeguard A</w:t>
      </w:r>
    </w:p>
    <w:p w14:paraId="3E2CDF97" w14:textId="77777777" w:rsidR="001501B8" w:rsidRPr="00D713EB" w:rsidRDefault="001501B8" w:rsidP="001501B8"/>
    <w:p w14:paraId="5A8A6A36" w14:textId="77777777" w:rsidR="001501B8" w:rsidRPr="00D713EB" w:rsidRDefault="001501B8" w:rsidP="001501B8">
      <w:pPr>
        <w:numPr>
          <w:ilvl w:val="0"/>
          <w:numId w:val="2"/>
        </w:numPr>
      </w:pPr>
      <w:r w:rsidRPr="00D713EB">
        <w:t xml:space="preserve">Overall assessment: </w:t>
      </w:r>
    </w:p>
    <w:p w14:paraId="0B1988F7" w14:textId="77777777" w:rsidR="001501B8" w:rsidRPr="00D713EB" w:rsidRDefault="001501B8" w:rsidP="001501B8">
      <w:pPr>
        <w:numPr>
          <w:ilvl w:val="0"/>
          <w:numId w:val="2"/>
        </w:numPr>
      </w:pPr>
      <w:r w:rsidRPr="00D713EB">
        <w:t xml:space="preserve">Challenges: </w:t>
      </w:r>
    </w:p>
    <w:p w14:paraId="6DA81C0F" w14:textId="77777777" w:rsidR="001501B8" w:rsidRPr="00D713EB" w:rsidRDefault="001501B8" w:rsidP="001501B8">
      <w:pPr>
        <w:numPr>
          <w:ilvl w:val="0"/>
          <w:numId w:val="2"/>
        </w:numPr>
      </w:pPr>
      <w:r w:rsidRPr="00D713EB">
        <w:t xml:space="preserve">Potential measures for improvement: </w:t>
      </w:r>
    </w:p>
    <w:p w14:paraId="65494B5B" w14:textId="77777777" w:rsidR="001501B8" w:rsidRPr="00D713EB" w:rsidRDefault="001501B8" w:rsidP="001501B8">
      <w:r w:rsidRPr="00D713EB">
        <w:tab/>
      </w:r>
      <w:r w:rsidRPr="00D713EB">
        <w:tab/>
      </w:r>
    </w:p>
    <w:p w14:paraId="47DCCF14" w14:textId="77777777" w:rsidR="001501B8" w:rsidRPr="00D713EB" w:rsidRDefault="001501B8" w:rsidP="001501B8">
      <w:pPr>
        <w:rPr>
          <w:b/>
        </w:rPr>
      </w:pPr>
      <w:r w:rsidRPr="00D713EB">
        <w:rPr>
          <w:b/>
        </w:rPr>
        <w:t>Safeguard B</w:t>
      </w:r>
    </w:p>
    <w:p w14:paraId="7D01171E" w14:textId="77777777" w:rsidR="001501B8" w:rsidRPr="00D713EB" w:rsidRDefault="001501B8" w:rsidP="001501B8">
      <w:pPr>
        <w:rPr>
          <w:b/>
        </w:rPr>
      </w:pPr>
    </w:p>
    <w:p w14:paraId="2DE0C679" w14:textId="77777777" w:rsidR="001501B8" w:rsidRPr="00D713EB" w:rsidRDefault="001501B8" w:rsidP="001501B8">
      <w:pPr>
        <w:numPr>
          <w:ilvl w:val="0"/>
          <w:numId w:val="2"/>
        </w:numPr>
      </w:pPr>
      <w:r w:rsidRPr="00D713EB">
        <w:t xml:space="preserve">Overall assessment: </w:t>
      </w:r>
    </w:p>
    <w:p w14:paraId="232ACB14" w14:textId="77777777" w:rsidR="001501B8" w:rsidRPr="00D713EB" w:rsidRDefault="001501B8" w:rsidP="001501B8">
      <w:pPr>
        <w:numPr>
          <w:ilvl w:val="0"/>
          <w:numId w:val="2"/>
        </w:numPr>
      </w:pPr>
      <w:r w:rsidRPr="00D713EB">
        <w:t xml:space="preserve">Challenges: </w:t>
      </w:r>
    </w:p>
    <w:p w14:paraId="3BBD7DCE" w14:textId="77777777" w:rsidR="001501B8" w:rsidRPr="00D713EB" w:rsidRDefault="001501B8" w:rsidP="001501B8">
      <w:pPr>
        <w:numPr>
          <w:ilvl w:val="0"/>
          <w:numId w:val="2"/>
        </w:numPr>
      </w:pPr>
      <w:r w:rsidRPr="00D713EB">
        <w:t xml:space="preserve">Potential measures for improvement: </w:t>
      </w:r>
    </w:p>
    <w:p w14:paraId="6F9022DF" w14:textId="77777777" w:rsidR="001501B8" w:rsidRPr="00D713EB" w:rsidRDefault="001501B8" w:rsidP="001501B8"/>
    <w:p w14:paraId="0796B974" w14:textId="77777777" w:rsidR="001501B8" w:rsidRPr="00D713EB" w:rsidRDefault="001501B8" w:rsidP="001501B8">
      <w:pPr>
        <w:rPr>
          <w:b/>
        </w:rPr>
      </w:pPr>
      <w:r w:rsidRPr="00D713EB">
        <w:rPr>
          <w:b/>
        </w:rPr>
        <w:t xml:space="preserve">Safeguard C: </w:t>
      </w:r>
    </w:p>
    <w:p w14:paraId="3C55551B" w14:textId="77777777" w:rsidR="001501B8" w:rsidRPr="00D713EB" w:rsidRDefault="001501B8" w:rsidP="001501B8">
      <w:pPr>
        <w:numPr>
          <w:ilvl w:val="0"/>
          <w:numId w:val="2"/>
        </w:numPr>
      </w:pPr>
      <w:r w:rsidRPr="00D713EB">
        <w:t xml:space="preserve">Overall assessment: </w:t>
      </w:r>
    </w:p>
    <w:p w14:paraId="30AECEF7" w14:textId="77777777" w:rsidR="001501B8" w:rsidRPr="00D713EB" w:rsidRDefault="001501B8" w:rsidP="001501B8">
      <w:pPr>
        <w:numPr>
          <w:ilvl w:val="0"/>
          <w:numId w:val="2"/>
        </w:numPr>
      </w:pPr>
      <w:r w:rsidRPr="00D713EB">
        <w:t xml:space="preserve">Challenges: </w:t>
      </w:r>
    </w:p>
    <w:p w14:paraId="3D46B19F" w14:textId="77777777" w:rsidR="001501B8" w:rsidRPr="00D713EB" w:rsidRDefault="001501B8" w:rsidP="001501B8">
      <w:pPr>
        <w:numPr>
          <w:ilvl w:val="0"/>
          <w:numId w:val="2"/>
        </w:numPr>
      </w:pPr>
      <w:r w:rsidRPr="00D713EB">
        <w:t xml:space="preserve">Potential measures for improvement: </w:t>
      </w:r>
    </w:p>
    <w:p w14:paraId="5C18FD12" w14:textId="77777777" w:rsidR="001501B8" w:rsidRPr="00D713EB" w:rsidRDefault="001501B8" w:rsidP="001501B8"/>
    <w:p w14:paraId="45B19359" w14:textId="77777777" w:rsidR="001501B8" w:rsidRPr="00D713EB" w:rsidRDefault="001501B8" w:rsidP="001501B8"/>
    <w:p w14:paraId="486EA82E" w14:textId="77777777" w:rsidR="001501B8" w:rsidRPr="00D713EB" w:rsidRDefault="001501B8" w:rsidP="001501B8">
      <w:pPr>
        <w:rPr>
          <w:b/>
        </w:rPr>
      </w:pPr>
      <w:r w:rsidRPr="00D713EB">
        <w:rPr>
          <w:b/>
        </w:rPr>
        <w:t xml:space="preserve">Safeguard D: </w:t>
      </w:r>
    </w:p>
    <w:p w14:paraId="5836C74C" w14:textId="77777777" w:rsidR="001501B8" w:rsidRPr="00D713EB" w:rsidRDefault="001501B8" w:rsidP="001501B8">
      <w:pPr>
        <w:numPr>
          <w:ilvl w:val="0"/>
          <w:numId w:val="2"/>
        </w:numPr>
      </w:pPr>
      <w:r w:rsidRPr="00D713EB">
        <w:t xml:space="preserve">Overall assessment: </w:t>
      </w:r>
    </w:p>
    <w:p w14:paraId="48889F9A" w14:textId="77777777" w:rsidR="001501B8" w:rsidRPr="00D713EB" w:rsidRDefault="001501B8" w:rsidP="001501B8">
      <w:pPr>
        <w:numPr>
          <w:ilvl w:val="0"/>
          <w:numId w:val="2"/>
        </w:numPr>
      </w:pPr>
      <w:r w:rsidRPr="00D713EB">
        <w:t xml:space="preserve">Challenges: </w:t>
      </w:r>
    </w:p>
    <w:p w14:paraId="3C5FAD7D" w14:textId="77777777" w:rsidR="001501B8" w:rsidRPr="00D713EB" w:rsidRDefault="001501B8" w:rsidP="001501B8">
      <w:pPr>
        <w:numPr>
          <w:ilvl w:val="0"/>
          <w:numId w:val="2"/>
        </w:numPr>
      </w:pPr>
      <w:r w:rsidRPr="00D713EB">
        <w:t xml:space="preserve">Potential measures for improvement: </w:t>
      </w:r>
    </w:p>
    <w:p w14:paraId="3D8F6662" w14:textId="77777777" w:rsidR="001501B8" w:rsidRPr="00D713EB" w:rsidRDefault="001501B8" w:rsidP="001501B8"/>
    <w:p w14:paraId="41578C80" w14:textId="77777777" w:rsidR="001501B8" w:rsidRPr="00D713EB" w:rsidRDefault="001501B8" w:rsidP="001501B8">
      <w:pPr>
        <w:rPr>
          <w:b/>
        </w:rPr>
      </w:pPr>
      <w:r w:rsidRPr="00D713EB">
        <w:rPr>
          <w:b/>
        </w:rPr>
        <w:t xml:space="preserve">Safeguard E: </w:t>
      </w:r>
    </w:p>
    <w:p w14:paraId="56B5EE9A" w14:textId="77777777" w:rsidR="001501B8" w:rsidRPr="00D713EB" w:rsidRDefault="001501B8" w:rsidP="001501B8">
      <w:pPr>
        <w:numPr>
          <w:ilvl w:val="0"/>
          <w:numId w:val="2"/>
        </w:numPr>
      </w:pPr>
      <w:r w:rsidRPr="00D713EB">
        <w:t xml:space="preserve">Overall assessment: </w:t>
      </w:r>
    </w:p>
    <w:p w14:paraId="1C8F7D90" w14:textId="77777777" w:rsidR="001501B8" w:rsidRPr="00D713EB" w:rsidRDefault="001501B8" w:rsidP="001501B8">
      <w:pPr>
        <w:numPr>
          <w:ilvl w:val="0"/>
          <w:numId w:val="2"/>
        </w:numPr>
      </w:pPr>
      <w:r w:rsidRPr="00D713EB">
        <w:t xml:space="preserve">Challenges: </w:t>
      </w:r>
    </w:p>
    <w:p w14:paraId="47D0BB34" w14:textId="77777777" w:rsidR="001501B8" w:rsidRPr="00D713EB" w:rsidRDefault="001501B8" w:rsidP="001501B8">
      <w:pPr>
        <w:numPr>
          <w:ilvl w:val="0"/>
          <w:numId w:val="2"/>
        </w:numPr>
      </w:pPr>
      <w:r w:rsidRPr="00D713EB">
        <w:t xml:space="preserve">Potential measures for improvement: </w:t>
      </w:r>
    </w:p>
    <w:p w14:paraId="2DAA9514" w14:textId="77777777" w:rsidR="001501B8" w:rsidRPr="00D713EB" w:rsidRDefault="001501B8" w:rsidP="001501B8"/>
    <w:p w14:paraId="0425FC48" w14:textId="77777777" w:rsidR="001501B8" w:rsidRPr="00D713EB" w:rsidRDefault="001501B8" w:rsidP="001501B8">
      <w:pPr>
        <w:rPr>
          <w:b/>
        </w:rPr>
      </w:pPr>
      <w:r w:rsidRPr="00D713EB">
        <w:rPr>
          <w:b/>
        </w:rPr>
        <w:t xml:space="preserve">Safeguard F&amp;G: </w:t>
      </w:r>
    </w:p>
    <w:p w14:paraId="404C0BBB" w14:textId="77777777" w:rsidR="001501B8" w:rsidRPr="00D713EB" w:rsidRDefault="001501B8" w:rsidP="001501B8">
      <w:pPr>
        <w:numPr>
          <w:ilvl w:val="0"/>
          <w:numId w:val="2"/>
        </w:numPr>
      </w:pPr>
      <w:r w:rsidRPr="00D713EB">
        <w:t xml:space="preserve">Overall assessment: </w:t>
      </w:r>
    </w:p>
    <w:p w14:paraId="406AD9E7" w14:textId="77777777" w:rsidR="001501B8" w:rsidRPr="00D713EB" w:rsidRDefault="001501B8" w:rsidP="001501B8">
      <w:pPr>
        <w:numPr>
          <w:ilvl w:val="0"/>
          <w:numId w:val="2"/>
        </w:numPr>
      </w:pPr>
      <w:r w:rsidRPr="00D713EB">
        <w:t xml:space="preserve">Challenges: </w:t>
      </w:r>
    </w:p>
    <w:p w14:paraId="5E364C02" w14:textId="77777777" w:rsidR="001501B8" w:rsidRPr="00D713EB" w:rsidRDefault="001501B8" w:rsidP="001501B8">
      <w:pPr>
        <w:numPr>
          <w:ilvl w:val="0"/>
          <w:numId w:val="2"/>
        </w:numPr>
      </w:pPr>
      <w:r w:rsidRPr="00D713EB">
        <w:t xml:space="preserve">Potential measures for improvement: </w:t>
      </w:r>
    </w:p>
    <w:p w14:paraId="640EC171" w14:textId="77777777" w:rsidR="001501B8" w:rsidRPr="00D713EB" w:rsidRDefault="001501B8" w:rsidP="001501B8"/>
    <w:p w14:paraId="251FE84A" w14:textId="77777777" w:rsidR="001501B8" w:rsidRPr="00D713EB" w:rsidRDefault="001501B8" w:rsidP="001501B8"/>
    <w:p w14:paraId="541F295C" w14:textId="77777777" w:rsidR="001501B8" w:rsidRPr="00D713EB" w:rsidRDefault="001501B8" w:rsidP="001501B8">
      <w:pPr>
        <w:rPr>
          <w:b/>
          <w:bCs/>
        </w:rPr>
      </w:pPr>
      <w:r w:rsidRPr="00D713EB">
        <w:rPr>
          <w:b/>
          <w:bCs/>
        </w:rPr>
        <w:t>REDD+ action</w:t>
      </w:r>
      <w:r w:rsidRPr="00D713EB">
        <w:t xml:space="preserve">: </w:t>
      </w:r>
      <w:r w:rsidRPr="00D713EB">
        <w:rPr>
          <w:b/>
          <w:bCs/>
        </w:rPr>
        <w:t>Enhanced economic productivity and sustainable livelihoods</w:t>
      </w:r>
    </w:p>
    <w:p w14:paraId="4A829D64" w14:textId="77777777" w:rsidR="001501B8" w:rsidRPr="00D713EB" w:rsidRDefault="001501B8" w:rsidP="001501B8">
      <w:pPr>
        <w:rPr>
          <w:b/>
        </w:rPr>
      </w:pPr>
    </w:p>
    <w:p w14:paraId="0FDCDF8C" w14:textId="77777777" w:rsidR="001501B8" w:rsidRPr="00D713EB" w:rsidRDefault="001501B8" w:rsidP="001501B8">
      <w:pPr>
        <w:rPr>
          <w:b/>
        </w:rPr>
      </w:pPr>
      <w:r w:rsidRPr="00D713EB">
        <w:rPr>
          <w:b/>
        </w:rPr>
        <w:t>Safeguard A</w:t>
      </w:r>
    </w:p>
    <w:p w14:paraId="2778A5A6" w14:textId="77777777" w:rsidR="001501B8" w:rsidRPr="00D713EB" w:rsidRDefault="001501B8" w:rsidP="001501B8"/>
    <w:p w14:paraId="5A779616" w14:textId="77777777" w:rsidR="001501B8" w:rsidRPr="00D713EB" w:rsidRDefault="001501B8" w:rsidP="001501B8">
      <w:pPr>
        <w:numPr>
          <w:ilvl w:val="0"/>
          <w:numId w:val="2"/>
        </w:numPr>
      </w:pPr>
      <w:r w:rsidRPr="00D713EB">
        <w:t xml:space="preserve">Overall assessment: </w:t>
      </w:r>
    </w:p>
    <w:p w14:paraId="38C5C074" w14:textId="77777777" w:rsidR="001501B8" w:rsidRPr="00D713EB" w:rsidRDefault="001501B8" w:rsidP="001501B8">
      <w:pPr>
        <w:numPr>
          <w:ilvl w:val="0"/>
          <w:numId w:val="2"/>
        </w:numPr>
      </w:pPr>
      <w:r w:rsidRPr="00D713EB">
        <w:t xml:space="preserve">Challenges: </w:t>
      </w:r>
    </w:p>
    <w:p w14:paraId="157502A7" w14:textId="77777777" w:rsidR="001501B8" w:rsidRPr="00D713EB" w:rsidRDefault="001501B8" w:rsidP="001501B8">
      <w:pPr>
        <w:numPr>
          <w:ilvl w:val="0"/>
          <w:numId w:val="2"/>
        </w:numPr>
      </w:pPr>
      <w:r w:rsidRPr="00D713EB">
        <w:t xml:space="preserve">Potential measures for improvement: </w:t>
      </w:r>
    </w:p>
    <w:p w14:paraId="44F37258" w14:textId="77777777" w:rsidR="001501B8" w:rsidRPr="00D713EB" w:rsidRDefault="001501B8" w:rsidP="001501B8">
      <w:r w:rsidRPr="00D713EB">
        <w:tab/>
      </w:r>
      <w:r w:rsidRPr="00D713EB">
        <w:tab/>
      </w:r>
    </w:p>
    <w:p w14:paraId="4A768437" w14:textId="77777777" w:rsidR="001501B8" w:rsidRPr="00D713EB" w:rsidRDefault="001501B8" w:rsidP="001501B8">
      <w:pPr>
        <w:rPr>
          <w:b/>
        </w:rPr>
      </w:pPr>
      <w:r w:rsidRPr="00D713EB">
        <w:rPr>
          <w:b/>
        </w:rPr>
        <w:t>Safeguard B</w:t>
      </w:r>
    </w:p>
    <w:p w14:paraId="3FBB218D" w14:textId="77777777" w:rsidR="001501B8" w:rsidRPr="00D713EB" w:rsidRDefault="001501B8" w:rsidP="001501B8">
      <w:pPr>
        <w:rPr>
          <w:b/>
        </w:rPr>
      </w:pPr>
    </w:p>
    <w:p w14:paraId="0902E376" w14:textId="77777777" w:rsidR="001501B8" w:rsidRPr="00D713EB" w:rsidRDefault="001501B8" w:rsidP="001501B8">
      <w:pPr>
        <w:numPr>
          <w:ilvl w:val="0"/>
          <w:numId w:val="2"/>
        </w:numPr>
      </w:pPr>
      <w:r w:rsidRPr="00D713EB">
        <w:t xml:space="preserve">Overall assessment: </w:t>
      </w:r>
    </w:p>
    <w:p w14:paraId="4EDCD30C" w14:textId="77777777" w:rsidR="001501B8" w:rsidRPr="00D713EB" w:rsidRDefault="001501B8" w:rsidP="001501B8">
      <w:pPr>
        <w:numPr>
          <w:ilvl w:val="0"/>
          <w:numId w:val="2"/>
        </w:numPr>
      </w:pPr>
      <w:r w:rsidRPr="00D713EB">
        <w:t xml:space="preserve">Challenges: </w:t>
      </w:r>
    </w:p>
    <w:p w14:paraId="08996182" w14:textId="77777777" w:rsidR="001501B8" w:rsidRPr="00D713EB" w:rsidRDefault="001501B8" w:rsidP="001501B8">
      <w:pPr>
        <w:numPr>
          <w:ilvl w:val="0"/>
          <w:numId w:val="2"/>
        </w:numPr>
      </w:pPr>
      <w:r w:rsidRPr="00D713EB">
        <w:t xml:space="preserve">Potential measures for improvement: </w:t>
      </w:r>
    </w:p>
    <w:p w14:paraId="7F3E6C26" w14:textId="77777777" w:rsidR="001501B8" w:rsidRPr="00D713EB" w:rsidRDefault="001501B8" w:rsidP="001501B8"/>
    <w:p w14:paraId="18C7E94A" w14:textId="77777777" w:rsidR="001501B8" w:rsidRPr="00D713EB" w:rsidRDefault="001501B8" w:rsidP="001501B8">
      <w:pPr>
        <w:rPr>
          <w:b/>
        </w:rPr>
      </w:pPr>
      <w:r w:rsidRPr="00D713EB">
        <w:rPr>
          <w:b/>
        </w:rPr>
        <w:t xml:space="preserve">Safeguard C: </w:t>
      </w:r>
    </w:p>
    <w:p w14:paraId="484D7C8C" w14:textId="77777777" w:rsidR="001501B8" w:rsidRPr="00D713EB" w:rsidRDefault="001501B8" w:rsidP="001501B8">
      <w:pPr>
        <w:numPr>
          <w:ilvl w:val="0"/>
          <w:numId w:val="2"/>
        </w:numPr>
      </w:pPr>
      <w:r w:rsidRPr="00D713EB">
        <w:t xml:space="preserve">Overall assessment: </w:t>
      </w:r>
    </w:p>
    <w:p w14:paraId="5FAFD755" w14:textId="77777777" w:rsidR="001501B8" w:rsidRPr="00D713EB" w:rsidRDefault="001501B8" w:rsidP="001501B8">
      <w:pPr>
        <w:numPr>
          <w:ilvl w:val="0"/>
          <w:numId w:val="2"/>
        </w:numPr>
      </w:pPr>
      <w:r w:rsidRPr="00D713EB">
        <w:t xml:space="preserve">Challenges: </w:t>
      </w:r>
    </w:p>
    <w:p w14:paraId="77E4B4DD" w14:textId="77777777" w:rsidR="001501B8" w:rsidRPr="00D713EB" w:rsidRDefault="001501B8" w:rsidP="001501B8">
      <w:pPr>
        <w:numPr>
          <w:ilvl w:val="0"/>
          <w:numId w:val="2"/>
        </w:numPr>
      </w:pPr>
      <w:r w:rsidRPr="00D713EB">
        <w:t xml:space="preserve">Potential measures for improvement: </w:t>
      </w:r>
    </w:p>
    <w:p w14:paraId="1BFB6C16" w14:textId="77777777" w:rsidR="001501B8" w:rsidRPr="00D713EB" w:rsidRDefault="001501B8" w:rsidP="001501B8"/>
    <w:p w14:paraId="176E4DC1" w14:textId="77777777" w:rsidR="001501B8" w:rsidRPr="00D713EB" w:rsidRDefault="001501B8" w:rsidP="001501B8"/>
    <w:p w14:paraId="7DA99CB5" w14:textId="77777777" w:rsidR="001501B8" w:rsidRPr="00D713EB" w:rsidRDefault="001501B8" w:rsidP="001501B8">
      <w:pPr>
        <w:rPr>
          <w:b/>
        </w:rPr>
      </w:pPr>
      <w:r w:rsidRPr="00D713EB">
        <w:rPr>
          <w:b/>
        </w:rPr>
        <w:t xml:space="preserve">Safeguard D: </w:t>
      </w:r>
    </w:p>
    <w:p w14:paraId="6EEDC369" w14:textId="77777777" w:rsidR="001501B8" w:rsidRPr="00D713EB" w:rsidRDefault="001501B8" w:rsidP="001501B8">
      <w:pPr>
        <w:numPr>
          <w:ilvl w:val="0"/>
          <w:numId w:val="2"/>
        </w:numPr>
      </w:pPr>
      <w:r w:rsidRPr="00D713EB">
        <w:t xml:space="preserve">Overall assessment: </w:t>
      </w:r>
    </w:p>
    <w:p w14:paraId="326E967F" w14:textId="77777777" w:rsidR="001501B8" w:rsidRPr="00D713EB" w:rsidRDefault="001501B8" w:rsidP="001501B8">
      <w:pPr>
        <w:numPr>
          <w:ilvl w:val="0"/>
          <w:numId w:val="2"/>
        </w:numPr>
      </w:pPr>
      <w:r w:rsidRPr="00D713EB">
        <w:t xml:space="preserve">Challenges: </w:t>
      </w:r>
    </w:p>
    <w:p w14:paraId="579049A5" w14:textId="77777777" w:rsidR="001501B8" w:rsidRPr="00D713EB" w:rsidRDefault="001501B8" w:rsidP="001501B8">
      <w:pPr>
        <w:numPr>
          <w:ilvl w:val="0"/>
          <w:numId w:val="2"/>
        </w:numPr>
      </w:pPr>
      <w:r w:rsidRPr="00D713EB">
        <w:t xml:space="preserve">Potential measures for improvement: </w:t>
      </w:r>
    </w:p>
    <w:p w14:paraId="55663208" w14:textId="77777777" w:rsidR="001501B8" w:rsidRPr="00D713EB" w:rsidRDefault="001501B8" w:rsidP="001501B8"/>
    <w:p w14:paraId="4C9A36BF" w14:textId="77777777" w:rsidR="001501B8" w:rsidRPr="00D713EB" w:rsidRDefault="001501B8" w:rsidP="001501B8">
      <w:pPr>
        <w:rPr>
          <w:b/>
        </w:rPr>
      </w:pPr>
      <w:r w:rsidRPr="00D713EB">
        <w:rPr>
          <w:b/>
        </w:rPr>
        <w:t xml:space="preserve">Safeguard E: </w:t>
      </w:r>
    </w:p>
    <w:p w14:paraId="53330F0F" w14:textId="77777777" w:rsidR="001501B8" w:rsidRPr="00D713EB" w:rsidRDefault="001501B8" w:rsidP="001501B8">
      <w:pPr>
        <w:numPr>
          <w:ilvl w:val="0"/>
          <w:numId w:val="2"/>
        </w:numPr>
      </w:pPr>
      <w:r w:rsidRPr="00D713EB">
        <w:t xml:space="preserve">Overall assessment: </w:t>
      </w:r>
    </w:p>
    <w:p w14:paraId="68D58BD6" w14:textId="77777777" w:rsidR="001501B8" w:rsidRPr="00D713EB" w:rsidRDefault="001501B8" w:rsidP="001501B8">
      <w:pPr>
        <w:numPr>
          <w:ilvl w:val="0"/>
          <w:numId w:val="2"/>
        </w:numPr>
      </w:pPr>
      <w:r w:rsidRPr="00D713EB">
        <w:t xml:space="preserve">Challenges: </w:t>
      </w:r>
    </w:p>
    <w:p w14:paraId="63628554" w14:textId="77777777" w:rsidR="001501B8" w:rsidRPr="00D713EB" w:rsidRDefault="001501B8" w:rsidP="001501B8">
      <w:pPr>
        <w:numPr>
          <w:ilvl w:val="0"/>
          <w:numId w:val="2"/>
        </w:numPr>
      </w:pPr>
      <w:r w:rsidRPr="00D713EB">
        <w:t xml:space="preserve">Potential measures for improvement: </w:t>
      </w:r>
    </w:p>
    <w:p w14:paraId="55A1D9A1" w14:textId="77777777" w:rsidR="001501B8" w:rsidRPr="00D713EB" w:rsidRDefault="001501B8" w:rsidP="001501B8"/>
    <w:p w14:paraId="3D26E7D4" w14:textId="77777777" w:rsidR="001501B8" w:rsidRPr="00D713EB" w:rsidRDefault="001501B8" w:rsidP="001501B8">
      <w:pPr>
        <w:rPr>
          <w:b/>
        </w:rPr>
      </w:pPr>
      <w:r w:rsidRPr="00D713EB">
        <w:rPr>
          <w:b/>
        </w:rPr>
        <w:t xml:space="preserve">Safeguard F&amp;G: </w:t>
      </w:r>
    </w:p>
    <w:p w14:paraId="189890E7" w14:textId="77777777" w:rsidR="001501B8" w:rsidRPr="00D713EB" w:rsidRDefault="001501B8" w:rsidP="001501B8">
      <w:pPr>
        <w:numPr>
          <w:ilvl w:val="0"/>
          <w:numId w:val="2"/>
        </w:numPr>
      </w:pPr>
      <w:r w:rsidRPr="00D713EB">
        <w:t xml:space="preserve">Overall assessment: </w:t>
      </w:r>
    </w:p>
    <w:p w14:paraId="2FFB9C13" w14:textId="77777777" w:rsidR="001501B8" w:rsidRPr="00D713EB" w:rsidRDefault="001501B8" w:rsidP="001501B8">
      <w:pPr>
        <w:numPr>
          <w:ilvl w:val="0"/>
          <w:numId w:val="2"/>
        </w:numPr>
      </w:pPr>
      <w:r w:rsidRPr="00D713EB">
        <w:t xml:space="preserve">Challenges: </w:t>
      </w:r>
    </w:p>
    <w:p w14:paraId="629F5A8B" w14:textId="77777777" w:rsidR="001501B8" w:rsidRPr="00D713EB" w:rsidRDefault="001501B8" w:rsidP="001501B8">
      <w:pPr>
        <w:numPr>
          <w:ilvl w:val="0"/>
          <w:numId w:val="2"/>
        </w:numPr>
      </w:pPr>
      <w:r w:rsidRPr="00D713EB">
        <w:t xml:space="preserve">Potential measures for improvement: </w:t>
      </w:r>
    </w:p>
    <w:p w14:paraId="166177F1" w14:textId="77777777" w:rsidR="001501B8" w:rsidRPr="00D713EB" w:rsidRDefault="001501B8" w:rsidP="001501B8"/>
    <w:p w14:paraId="34430C2D" w14:textId="77777777" w:rsidR="001501B8" w:rsidRPr="00D713EB" w:rsidRDefault="001501B8" w:rsidP="001501B8"/>
    <w:p w14:paraId="0B36F9F6" w14:textId="77777777" w:rsidR="001501B8" w:rsidRPr="00D713EB" w:rsidRDefault="001501B8" w:rsidP="001501B8">
      <w:pPr>
        <w:numPr>
          <w:ilvl w:val="0"/>
          <w:numId w:val="1"/>
        </w:numPr>
      </w:pPr>
      <w:r w:rsidRPr="00D713EB">
        <w:rPr>
          <w:b/>
        </w:rPr>
        <w:t xml:space="preserve">Part IV: Operational mechanism to receive and address complaints </w:t>
      </w:r>
    </w:p>
    <w:p w14:paraId="571FFD26" w14:textId="77777777" w:rsidR="001501B8" w:rsidRPr="00D713EB" w:rsidRDefault="001501B8" w:rsidP="001501B8"/>
    <w:p w14:paraId="013F9026" w14:textId="77777777" w:rsidR="001501B8" w:rsidRPr="00D713EB" w:rsidRDefault="001501B8" w:rsidP="001501B8">
      <w:r w:rsidRPr="00D713EB">
        <w:t xml:space="preserve">This section would provide information about the structure and procedure of the existing operational mechanism(s) to receive and address complaints. </w:t>
      </w:r>
    </w:p>
    <w:p w14:paraId="7E89A026" w14:textId="77777777" w:rsidR="001501B8" w:rsidRPr="00D713EB" w:rsidRDefault="001501B8" w:rsidP="001501B8"/>
    <w:p w14:paraId="00D1C14E" w14:textId="77777777" w:rsidR="001501B8" w:rsidRPr="00D713EB" w:rsidRDefault="001501B8" w:rsidP="001501B8">
      <w:r w:rsidRPr="00D713EB">
        <w:t xml:space="preserve">The first SOI already presents this information, so subsequent SOIs should update this information, as needed. </w:t>
      </w:r>
    </w:p>
    <w:p w14:paraId="09F170C8" w14:textId="77777777" w:rsidR="001501B8" w:rsidRPr="00D713EB" w:rsidRDefault="001501B8" w:rsidP="001501B8"/>
    <w:p w14:paraId="0E8058EA" w14:textId="77777777" w:rsidR="001501B8" w:rsidRPr="00D713EB" w:rsidRDefault="001501B8" w:rsidP="001501B8"/>
    <w:p w14:paraId="6CDFC715" w14:textId="77777777" w:rsidR="001501B8" w:rsidRPr="00D713EB" w:rsidRDefault="001501B8" w:rsidP="001501B8">
      <w:pPr>
        <w:numPr>
          <w:ilvl w:val="0"/>
          <w:numId w:val="1"/>
        </w:numPr>
      </w:pPr>
      <w:r w:rsidRPr="00D713EB">
        <w:rPr>
          <w:b/>
        </w:rPr>
        <w:t>Part V:</w:t>
      </w:r>
      <w:r w:rsidRPr="00D713EB">
        <w:t xml:space="preserve"> </w:t>
      </w:r>
      <w:r w:rsidRPr="00D713EB">
        <w:rPr>
          <w:b/>
        </w:rPr>
        <w:t>Stakeholder engagement</w:t>
      </w:r>
    </w:p>
    <w:p w14:paraId="5FE5706B" w14:textId="77777777" w:rsidR="001501B8" w:rsidRPr="00D713EB" w:rsidRDefault="001501B8" w:rsidP="001501B8"/>
    <w:p w14:paraId="00169DCE" w14:textId="77777777" w:rsidR="001501B8" w:rsidRPr="00D713EB" w:rsidRDefault="001501B8" w:rsidP="001501B8">
      <w:r w:rsidRPr="00D713EB">
        <w:t xml:space="preserve">This section would include information related to the stakeholder engagement process, including how stakeholders were consulted (through consultation process outlined in Section V of this SOPs), and how information on the activities was communicated. This section should outline the participatory processes carried out to prepare this SOI. </w:t>
      </w:r>
    </w:p>
    <w:p w14:paraId="7EB08EA5" w14:textId="77777777" w:rsidR="001501B8" w:rsidRPr="00D713EB" w:rsidRDefault="001501B8" w:rsidP="001501B8"/>
    <w:p w14:paraId="565D5397" w14:textId="77777777" w:rsidR="001501B8" w:rsidRPr="00D713EB" w:rsidRDefault="001501B8" w:rsidP="001501B8"/>
    <w:p w14:paraId="555CB4E0" w14:textId="77777777" w:rsidR="001501B8" w:rsidRPr="00D713EB" w:rsidRDefault="001501B8" w:rsidP="001501B8"/>
    <w:p w14:paraId="2B47BF3C" w14:textId="77777777" w:rsidR="001501B8" w:rsidRDefault="001501B8">
      <w:pPr>
        <w:jc w:val="left"/>
        <w:rPr>
          <w:rFonts w:asciiTheme="majorHAnsi" w:eastAsiaTheme="majorEastAsia" w:hAnsiTheme="majorHAnsi" w:cstheme="majorBidi"/>
          <w:color w:val="2F5496" w:themeColor="accent1" w:themeShade="BF"/>
          <w:sz w:val="32"/>
          <w:szCs w:val="32"/>
        </w:rPr>
      </w:pPr>
      <w:r>
        <w:br w:type="page"/>
      </w:r>
    </w:p>
    <w:p w14:paraId="71D05DCA" w14:textId="4F6D32EE" w:rsidR="00304DB3" w:rsidRPr="001408EA" w:rsidRDefault="00304DB3" w:rsidP="001408EA">
      <w:pPr>
        <w:pStyle w:val="Heading1"/>
      </w:pPr>
      <w:bookmarkStart w:id="39" w:name="_Toc59493636"/>
      <w:r>
        <w:t>Annex V: Hard Copy Budgetary Template</w:t>
      </w:r>
      <w:bookmarkEnd w:id="39"/>
    </w:p>
    <w:p w14:paraId="3252FF59" w14:textId="351ABF17" w:rsidR="00DE7915" w:rsidRDefault="00DE7915" w:rsidP="007D01FA">
      <w:pPr>
        <w:rPr>
          <w:b/>
        </w:rPr>
      </w:pPr>
    </w:p>
    <w:tbl>
      <w:tblPr>
        <w:tblStyle w:val="TableGrid"/>
        <w:tblW w:w="10632" w:type="dxa"/>
        <w:tblInd w:w="-714" w:type="dxa"/>
        <w:tblLook w:val="04A0" w:firstRow="1" w:lastRow="0" w:firstColumn="1" w:lastColumn="0" w:noHBand="0" w:noVBand="1"/>
      </w:tblPr>
      <w:tblGrid>
        <w:gridCol w:w="498"/>
        <w:gridCol w:w="3330"/>
        <w:gridCol w:w="3402"/>
        <w:gridCol w:w="1712"/>
        <w:gridCol w:w="1690"/>
      </w:tblGrid>
      <w:tr w:rsidR="00111B2D" w14:paraId="17DF0D08" w14:textId="77777777" w:rsidTr="004D71D2">
        <w:trPr>
          <w:trHeight w:val="351"/>
        </w:trPr>
        <w:tc>
          <w:tcPr>
            <w:tcW w:w="498" w:type="dxa"/>
            <w:shd w:val="clear" w:color="auto" w:fill="002060"/>
          </w:tcPr>
          <w:p w14:paraId="301E717E" w14:textId="77777777" w:rsidR="00111B2D" w:rsidRPr="007A5859" w:rsidRDefault="00111B2D" w:rsidP="004D71D2">
            <w:pPr>
              <w:rPr>
                <w:rFonts w:ascii="Calibri" w:hAnsi="Calibri" w:cs="Calibri"/>
                <w:b/>
                <w:bCs/>
                <w:color w:val="FFFFFF" w:themeColor="background1"/>
                <w:sz w:val="20"/>
                <w:szCs w:val="20"/>
              </w:rPr>
            </w:pPr>
            <w:r w:rsidRPr="007A5859">
              <w:rPr>
                <w:rFonts w:ascii="Calibri" w:hAnsi="Calibri" w:cs="Calibri"/>
                <w:b/>
                <w:bCs/>
                <w:color w:val="FFFFFF" w:themeColor="background1"/>
                <w:sz w:val="20"/>
                <w:szCs w:val="20"/>
              </w:rPr>
              <w:t>No</w:t>
            </w:r>
          </w:p>
        </w:tc>
        <w:tc>
          <w:tcPr>
            <w:tcW w:w="3330" w:type="dxa"/>
            <w:shd w:val="clear" w:color="auto" w:fill="002060"/>
          </w:tcPr>
          <w:p w14:paraId="1AF4C83E" w14:textId="77777777" w:rsidR="00111B2D" w:rsidRPr="007A5859" w:rsidRDefault="00111B2D" w:rsidP="004D71D2">
            <w:pPr>
              <w:rPr>
                <w:rFonts w:ascii="Calibri" w:hAnsi="Calibri" w:cs="Calibri"/>
                <w:b/>
                <w:bCs/>
                <w:color w:val="FFFFFF" w:themeColor="background1"/>
                <w:sz w:val="20"/>
                <w:szCs w:val="20"/>
              </w:rPr>
            </w:pPr>
            <w:r w:rsidRPr="007A5859">
              <w:rPr>
                <w:rFonts w:ascii="Calibri" w:hAnsi="Calibri" w:cs="Calibri"/>
                <w:b/>
                <w:bCs/>
                <w:color w:val="FFFFFF" w:themeColor="background1"/>
                <w:sz w:val="20"/>
                <w:szCs w:val="20"/>
              </w:rPr>
              <w:t>Activity</w:t>
            </w:r>
          </w:p>
        </w:tc>
        <w:tc>
          <w:tcPr>
            <w:tcW w:w="3402" w:type="dxa"/>
            <w:shd w:val="clear" w:color="auto" w:fill="002060"/>
          </w:tcPr>
          <w:p w14:paraId="3BB2A15B" w14:textId="77777777" w:rsidR="00111B2D" w:rsidRPr="007A5859" w:rsidRDefault="00111B2D" w:rsidP="004D71D2">
            <w:pPr>
              <w:rPr>
                <w:rFonts w:ascii="Calibri" w:hAnsi="Calibri" w:cs="Calibri"/>
                <w:b/>
                <w:bCs/>
                <w:color w:val="FFFFFF" w:themeColor="background1"/>
                <w:sz w:val="20"/>
                <w:szCs w:val="20"/>
              </w:rPr>
            </w:pPr>
            <w:r>
              <w:rPr>
                <w:rFonts w:ascii="Calibri" w:hAnsi="Calibri" w:cs="Calibri"/>
                <w:b/>
                <w:bCs/>
                <w:color w:val="FFFFFF" w:themeColor="background1"/>
                <w:sz w:val="20"/>
                <w:szCs w:val="20"/>
              </w:rPr>
              <w:t>Item</w:t>
            </w:r>
          </w:p>
        </w:tc>
        <w:tc>
          <w:tcPr>
            <w:tcW w:w="1712" w:type="dxa"/>
            <w:shd w:val="clear" w:color="auto" w:fill="002060"/>
          </w:tcPr>
          <w:p w14:paraId="4EE4E7B1" w14:textId="77777777" w:rsidR="00111B2D" w:rsidRPr="007A5859" w:rsidRDefault="00111B2D" w:rsidP="004D71D2">
            <w:pPr>
              <w:rPr>
                <w:rFonts w:ascii="Calibri" w:hAnsi="Calibri" w:cs="Calibri"/>
                <w:b/>
                <w:bCs/>
                <w:color w:val="FFFFFF" w:themeColor="background1"/>
                <w:sz w:val="20"/>
                <w:szCs w:val="20"/>
              </w:rPr>
            </w:pPr>
            <w:r w:rsidRPr="007A5859">
              <w:rPr>
                <w:rFonts w:ascii="Calibri" w:hAnsi="Calibri" w:cs="Calibri"/>
                <w:b/>
                <w:bCs/>
                <w:color w:val="FFFFFF" w:themeColor="background1"/>
                <w:sz w:val="20"/>
                <w:szCs w:val="20"/>
              </w:rPr>
              <w:t>Annual cost, US$</w:t>
            </w:r>
          </w:p>
        </w:tc>
        <w:tc>
          <w:tcPr>
            <w:tcW w:w="1690" w:type="dxa"/>
            <w:shd w:val="clear" w:color="auto" w:fill="002060"/>
          </w:tcPr>
          <w:p w14:paraId="3E993DA7" w14:textId="77777777" w:rsidR="00111B2D" w:rsidRPr="007A5859" w:rsidRDefault="00111B2D" w:rsidP="004D71D2">
            <w:pPr>
              <w:rPr>
                <w:rFonts w:ascii="Calibri" w:hAnsi="Calibri" w:cs="Calibri"/>
                <w:b/>
                <w:bCs/>
                <w:color w:val="FFFFFF" w:themeColor="background1"/>
                <w:sz w:val="20"/>
                <w:szCs w:val="20"/>
              </w:rPr>
            </w:pPr>
            <w:r w:rsidRPr="007A5859">
              <w:rPr>
                <w:rFonts w:ascii="Calibri" w:hAnsi="Calibri" w:cs="Calibri"/>
                <w:b/>
                <w:bCs/>
                <w:color w:val="FFFFFF" w:themeColor="background1"/>
                <w:sz w:val="20"/>
                <w:szCs w:val="20"/>
              </w:rPr>
              <w:t>Total Cost, US$</w:t>
            </w:r>
          </w:p>
        </w:tc>
      </w:tr>
      <w:tr w:rsidR="00111B2D" w14:paraId="1B356BC4" w14:textId="77777777" w:rsidTr="004D71D2">
        <w:tc>
          <w:tcPr>
            <w:tcW w:w="498" w:type="dxa"/>
          </w:tcPr>
          <w:p w14:paraId="6303ABD1" w14:textId="77777777" w:rsidR="00111B2D" w:rsidRPr="00B626B4" w:rsidRDefault="00111B2D" w:rsidP="004D71D2">
            <w:pPr>
              <w:rPr>
                <w:rFonts w:ascii="Calibri" w:hAnsi="Calibri" w:cs="Calibri"/>
                <w:b/>
                <w:bCs/>
                <w:color w:val="000000" w:themeColor="text1"/>
                <w:sz w:val="20"/>
                <w:szCs w:val="20"/>
              </w:rPr>
            </w:pPr>
            <w:r w:rsidRPr="00B626B4">
              <w:rPr>
                <w:rFonts w:ascii="Calibri" w:hAnsi="Calibri" w:cs="Calibri"/>
                <w:b/>
                <w:bCs/>
                <w:color w:val="000000" w:themeColor="text1"/>
                <w:sz w:val="20"/>
                <w:szCs w:val="20"/>
              </w:rPr>
              <w:t>1</w:t>
            </w:r>
          </w:p>
        </w:tc>
        <w:tc>
          <w:tcPr>
            <w:tcW w:w="3330" w:type="dxa"/>
          </w:tcPr>
          <w:p w14:paraId="1EE36ECF" w14:textId="77777777" w:rsidR="00111B2D" w:rsidRPr="00F31A41" w:rsidRDefault="00111B2D" w:rsidP="004D71D2">
            <w:pPr>
              <w:rPr>
                <w:rFonts w:ascii="Calibri" w:hAnsi="Calibri" w:cs="Calibri"/>
                <w:i/>
                <w:iCs/>
                <w:color w:val="000000" w:themeColor="text1"/>
                <w:sz w:val="20"/>
                <w:szCs w:val="20"/>
              </w:rPr>
            </w:pPr>
            <w:r w:rsidRPr="00F31A41">
              <w:rPr>
                <w:rFonts w:ascii="Calibri" w:hAnsi="Calibri" w:cs="Calibri"/>
                <w:i/>
                <w:iCs/>
                <w:color w:val="000000" w:themeColor="text1"/>
                <w:sz w:val="20"/>
                <w:szCs w:val="20"/>
              </w:rPr>
              <w:t xml:space="preserve">Staffing </w:t>
            </w:r>
          </w:p>
        </w:tc>
        <w:tc>
          <w:tcPr>
            <w:tcW w:w="3402" w:type="dxa"/>
          </w:tcPr>
          <w:p w14:paraId="59ADDD33" w14:textId="77777777" w:rsidR="00111B2D" w:rsidRPr="00F31A41" w:rsidRDefault="00111B2D" w:rsidP="004D71D2">
            <w:pPr>
              <w:rPr>
                <w:rFonts w:ascii="Calibri" w:hAnsi="Calibri" w:cs="Calibri"/>
                <w:color w:val="000000" w:themeColor="text1"/>
                <w:sz w:val="20"/>
                <w:szCs w:val="20"/>
              </w:rPr>
            </w:pPr>
          </w:p>
          <w:p w14:paraId="7E0BD274" w14:textId="230488CF" w:rsidR="00111B2D" w:rsidRPr="0063315F" w:rsidRDefault="00F30EA8" w:rsidP="0063315F">
            <w:pPr>
              <w:pStyle w:val="ListParagraph"/>
              <w:numPr>
                <w:ilvl w:val="1"/>
                <w:numId w:val="25"/>
              </w:numPr>
              <w:rPr>
                <w:rFonts w:ascii="Calibri" w:hAnsi="Calibri" w:cs="Calibri"/>
                <w:color w:val="000000" w:themeColor="text1"/>
                <w:sz w:val="20"/>
                <w:szCs w:val="20"/>
              </w:rPr>
            </w:pPr>
            <w:r w:rsidRPr="0063315F">
              <w:rPr>
                <w:rFonts w:ascii="Calibri" w:hAnsi="Calibri" w:cs="Calibri"/>
                <w:color w:val="000000" w:themeColor="text1"/>
                <w:sz w:val="20"/>
                <w:szCs w:val="20"/>
              </w:rPr>
              <w:t xml:space="preserve">National </w:t>
            </w:r>
            <w:r w:rsidR="00111B2D" w:rsidRPr="0063315F">
              <w:rPr>
                <w:rFonts w:ascii="Calibri" w:hAnsi="Calibri" w:cs="Calibri"/>
                <w:color w:val="000000" w:themeColor="text1"/>
                <w:sz w:val="20"/>
                <w:szCs w:val="20"/>
              </w:rPr>
              <w:t xml:space="preserve">Safeguards Specialist </w:t>
            </w:r>
          </w:p>
          <w:p w14:paraId="22C7AE30" w14:textId="77777777" w:rsidR="00111B2D" w:rsidRPr="00F31A41" w:rsidRDefault="00111B2D" w:rsidP="004D71D2">
            <w:pPr>
              <w:rPr>
                <w:rFonts w:ascii="Calibri" w:hAnsi="Calibri" w:cs="Calibri"/>
                <w:color w:val="000000" w:themeColor="text1"/>
                <w:sz w:val="20"/>
                <w:szCs w:val="20"/>
              </w:rPr>
            </w:pPr>
          </w:p>
        </w:tc>
        <w:tc>
          <w:tcPr>
            <w:tcW w:w="1712" w:type="dxa"/>
          </w:tcPr>
          <w:p w14:paraId="7647DD95" w14:textId="77777777" w:rsidR="00111B2D" w:rsidRPr="00F31A41" w:rsidRDefault="00111B2D" w:rsidP="004D71D2">
            <w:pPr>
              <w:rPr>
                <w:rFonts w:ascii="Calibri" w:hAnsi="Calibri" w:cs="Calibri"/>
                <w:color w:val="000000" w:themeColor="text1"/>
                <w:sz w:val="20"/>
                <w:szCs w:val="20"/>
              </w:rPr>
            </w:pPr>
          </w:p>
          <w:p w14:paraId="6C513136" w14:textId="1BAD6E69" w:rsidR="00111B2D" w:rsidRPr="00F31A41" w:rsidRDefault="00111B2D" w:rsidP="004D71D2">
            <w:pPr>
              <w:rPr>
                <w:rFonts w:ascii="Calibri" w:hAnsi="Calibri" w:cs="Calibri"/>
                <w:color w:val="000000" w:themeColor="text1"/>
                <w:sz w:val="20"/>
                <w:szCs w:val="20"/>
              </w:rPr>
            </w:pPr>
          </w:p>
        </w:tc>
        <w:tc>
          <w:tcPr>
            <w:tcW w:w="1690" w:type="dxa"/>
            <w:vAlign w:val="center"/>
          </w:tcPr>
          <w:p w14:paraId="01D9CA60" w14:textId="2BC899E6" w:rsidR="00111B2D" w:rsidRPr="00F31A41" w:rsidRDefault="00111B2D" w:rsidP="004D71D2">
            <w:pPr>
              <w:rPr>
                <w:rFonts w:ascii="Calibri" w:hAnsi="Calibri" w:cs="Calibri"/>
                <w:color w:val="000000" w:themeColor="text1"/>
                <w:sz w:val="20"/>
                <w:szCs w:val="20"/>
              </w:rPr>
            </w:pPr>
          </w:p>
        </w:tc>
      </w:tr>
      <w:tr w:rsidR="00111B2D" w14:paraId="7EFC4678" w14:textId="77777777" w:rsidTr="004D71D2">
        <w:tc>
          <w:tcPr>
            <w:tcW w:w="498" w:type="dxa"/>
          </w:tcPr>
          <w:p w14:paraId="6B73FC18" w14:textId="77777777" w:rsidR="00111B2D" w:rsidRPr="00B626B4" w:rsidRDefault="00111B2D" w:rsidP="004D71D2">
            <w:pPr>
              <w:rPr>
                <w:rFonts w:ascii="Calibri" w:hAnsi="Calibri" w:cs="Calibri"/>
                <w:b/>
                <w:bCs/>
                <w:color w:val="000000" w:themeColor="text1"/>
                <w:sz w:val="20"/>
                <w:szCs w:val="20"/>
              </w:rPr>
            </w:pPr>
            <w:r w:rsidRPr="00B626B4">
              <w:rPr>
                <w:rFonts w:ascii="Calibri" w:hAnsi="Calibri" w:cs="Calibri"/>
                <w:b/>
                <w:bCs/>
                <w:color w:val="000000" w:themeColor="text1"/>
                <w:sz w:val="20"/>
                <w:szCs w:val="20"/>
              </w:rPr>
              <w:t>2</w:t>
            </w:r>
          </w:p>
        </w:tc>
        <w:tc>
          <w:tcPr>
            <w:tcW w:w="3330" w:type="dxa"/>
          </w:tcPr>
          <w:p w14:paraId="5B9B16E8" w14:textId="12EDA2FA" w:rsidR="00111B2D" w:rsidRPr="00F31A41" w:rsidRDefault="00111B2D" w:rsidP="004D71D2">
            <w:pPr>
              <w:rPr>
                <w:rFonts w:ascii="Calibri" w:hAnsi="Calibri" w:cs="Calibri"/>
                <w:i/>
                <w:iCs/>
                <w:color w:val="000000" w:themeColor="text1"/>
                <w:sz w:val="20"/>
                <w:szCs w:val="20"/>
              </w:rPr>
            </w:pPr>
            <w:r w:rsidRPr="00F31A41">
              <w:rPr>
                <w:rFonts w:ascii="Calibri" w:hAnsi="Calibri" w:cs="Calibri"/>
                <w:i/>
                <w:iCs/>
                <w:color w:val="000000" w:themeColor="text1"/>
                <w:sz w:val="20"/>
                <w:szCs w:val="20"/>
              </w:rPr>
              <w:t xml:space="preserve">Training </w:t>
            </w:r>
            <w:r w:rsidR="00A25290">
              <w:rPr>
                <w:rFonts w:ascii="Calibri" w:hAnsi="Calibri" w:cs="Calibri"/>
                <w:i/>
                <w:iCs/>
                <w:color w:val="000000" w:themeColor="text1"/>
                <w:sz w:val="20"/>
                <w:szCs w:val="20"/>
              </w:rPr>
              <w:t>Logistics</w:t>
            </w:r>
          </w:p>
          <w:p w14:paraId="67CABB97" w14:textId="5D9AAD45" w:rsidR="00111B2D" w:rsidRPr="00F31A41" w:rsidRDefault="001547B3" w:rsidP="004D71D2">
            <w:pPr>
              <w:rPr>
                <w:rFonts w:ascii="Calibri" w:hAnsi="Calibri" w:cs="Calibri"/>
                <w:color w:val="000000" w:themeColor="text1"/>
                <w:sz w:val="20"/>
                <w:szCs w:val="20"/>
              </w:rPr>
            </w:pPr>
            <w:r>
              <w:rPr>
                <w:rFonts w:ascii="Calibri" w:hAnsi="Calibri" w:cs="Calibri"/>
                <w:color w:val="000000" w:themeColor="text1"/>
                <w:sz w:val="20"/>
                <w:szCs w:val="20"/>
              </w:rPr>
              <w:t>(</w:t>
            </w:r>
            <w:r w:rsidRPr="001547B3">
              <w:rPr>
                <w:rFonts w:ascii="Calibri" w:hAnsi="Calibri" w:cs="Calibri"/>
                <w:bCs/>
                <w:iCs/>
                <w:color w:val="000000" w:themeColor="text1"/>
                <w:sz w:val="20"/>
                <w:szCs w:val="20"/>
              </w:rPr>
              <w:t xml:space="preserve">costs associated with capacity building activities and training. The scope of this budget will depend on the capacity building activities determined by the </w:t>
            </w:r>
            <w:r w:rsidRPr="001547B3">
              <w:rPr>
                <w:rFonts w:ascii="Calibri" w:hAnsi="Calibri" w:cs="Calibri"/>
                <w:bCs/>
                <w:iCs/>
                <w:color w:val="000000" w:themeColor="text1"/>
                <w:sz w:val="20"/>
                <w:szCs w:val="20"/>
                <w:lang w:val="en-US"/>
              </w:rPr>
              <w:t xml:space="preserve">REDD+ Safeguards TWC and </w:t>
            </w:r>
            <w:r w:rsidRPr="001547B3">
              <w:rPr>
                <w:rFonts w:ascii="Calibri" w:hAnsi="Calibri" w:cs="Calibri"/>
                <w:bCs/>
                <w:iCs/>
                <w:color w:val="000000" w:themeColor="text1"/>
                <w:sz w:val="20"/>
                <w:szCs w:val="20"/>
              </w:rPr>
              <w:t>National Safeguards Specialist</w:t>
            </w:r>
            <w:r w:rsidR="008D6025">
              <w:rPr>
                <w:rFonts w:ascii="Calibri" w:hAnsi="Calibri" w:cs="Calibri"/>
                <w:bCs/>
                <w:iCs/>
                <w:color w:val="000000" w:themeColor="text1"/>
                <w:sz w:val="20"/>
                <w:szCs w:val="20"/>
              </w:rPr>
              <w:t>)</w:t>
            </w:r>
          </w:p>
          <w:p w14:paraId="678B6C9D" w14:textId="77777777" w:rsidR="00111B2D" w:rsidRPr="00F31A41" w:rsidRDefault="00111B2D" w:rsidP="004D71D2">
            <w:pPr>
              <w:rPr>
                <w:rFonts w:ascii="Calibri" w:hAnsi="Calibri" w:cs="Calibri"/>
                <w:color w:val="000000" w:themeColor="text1"/>
                <w:sz w:val="20"/>
                <w:szCs w:val="20"/>
              </w:rPr>
            </w:pPr>
          </w:p>
          <w:p w14:paraId="6AD2BE4A" w14:textId="77777777" w:rsidR="00111B2D" w:rsidRPr="00F31A41" w:rsidRDefault="00111B2D" w:rsidP="004D71D2">
            <w:pPr>
              <w:rPr>
                <w:rFonts w:ascii="Calibri" w:hAnsi="Calibri" w:cs="Calibri"/>
                <w:color w:val="000000" w:themeColor="text1"/>
                <w:sz w:val="20"/>
                <w:szCs w:val="20"/>
              </w:rPr>
            </w:pPr>
          </w:p>
          <w:p w14:paraId="31DB155E" w14:textId="77777777" w:rsidR="00111B2D" w:rsidRPr="00F31A41" w:rsidRDefault="00111B2D" w:rsidP="004D71D2">
            <w:pPr>
              <w:rPr>
                <w:rFonts w:ascii="Calibri" w:hAnsi="Calibri" w:cs="Calibri"/>
                <w:color w:val="000000" w:themeColor="text1"/>
                <w:sz w:val="20"/>
                <w:szCs w:val="20"/>
              </w:rPr>
            </w:pPr>
          </w:p>
        </w:tc>
        <w:tc>
          <w:tcPr>
            <w:tcW w:w="3402" w:type="dxa"/>
          </w:tcPr>
          <w:p w14:paraId="3CCF93FC" w14:textId="28FD0CB8" w:rsidR="00111B2D" w:rsidRPr="00F31A41" w:rsidRDefault="00111B2D" w:rsidP="004D71D2">
            <w:pPr>
              <w:rPr>
                <w:rFonts w:ascii="Calibri" w:hAnsi="Calibri" w:cs="Calibri"/>
                <w:color w:val="000000" w:themeColor="text1"/>
                <w:sz w:val="20"/>
                <w:szCs w:val="20"/>
              </w:rPr>
            </w:pPr>
            <w:r w:rsidRPr="00F31A41">
              <w:rPr>
                <w:rFonts w:ascii="Calibri" w:hAnsi="Calibri" w:cs="Calibri"/>
                <w:color w:val="000000" w:themeColor="text1"/>
                <w:sz w:val="20"/>
                <w:szCs w:val="20"/>
              </w:rPr>
              <w:t>2.1. Training program 1</w:t>
            </w:r>
            <w:r w:rsidR="005737D7">
              <w:rPr>
                <w:rFonts w:ascii="Calibri" w:hAnsi="Calibri" w:cs="Calibri"/>
                <w:color w:val="000000" w:themeColor="text1"/>
                <w:sz w:val="20"/>
                <w:szCs w:val="20"/>
              </w:rPr>
              <w:t xml:space="preserve"> (workshop/meeting costs)</w:t>
            </w:r>
          </w:p>
          <w:p w14:paraId="026D066A" w14:textId="77777777" w:rsidR="00111B2D" w:rsidRPr="00F31A41" w:rsidRDefault="00111B2D" w:rsidP="004D71D2">
            <w:pPr>
              <w:rPr>
                <w:rFonts w:ascii="Calibri" w:hAnsi="Calibri" w:cs="Calibri"/>
                <w:color w:val="000000" w:themeColor="text1"/>
                <w:sz w:val="20"/>
                <w:szCs w:val="20"/>
              </w:rPr>
            </w:pPr>
          </w:p>
          <w:p w14:paraId="2B9BB825" w14:textId="611B1076" w:rsidR="00111B2D" w:rsidRPr="00F31A41" w:rsidRDefault="00111B2D" w:rsidP="004D71D2">
            <w:pPr>
              <w:rPr>
                <w:rFonts w:ascii="Calibri" w:hAnsi="Calibri" w:cs="Calibri"/>
                <w:color w:val="000000" w:themeColor="text1"/>
                <w:sz w:val="20"/>
                <w:szCs w:val="20"/>
              </w:rPr>
            </w:pPr>
            <w:r w:rsidRPr="00F31A41">
              <w:rPr>
                <w:rFonts w:ascii="Calibri" w:hAnsi="Calibri" w:cs="Calibri"/>
                <w:color w:val="000000" w:themeColor="text1"/>
                <w:sz w:val="20"/>
                <w:szCs w:val="20"/>
              </w:rPr>
              <w:t>2.2. Training program 2</w:t>
            </w:r>
            <w:r w:rsidR="005737D7">
              <w:rPr>
                <w:rFonts w:ascii="Calibri" w:hAnsi="Calibri" w:cs="Calibri"/>
                <w:color w:val="000000" w:themeColor="text1"/>
                <w:sz w:val="20"/>
                <w:szCs w:val="20"/>
              </w:rPr>
              <w:t xml:space="preserve"> (workshop/meeting costs)</w:t>
            </w:r>
          </w:p>
          <w:p w14:paraId="0FF440A8" w14:textId="77777777" w:rsidR="00111B2D" w:rsidRPr="00F31A41" w:rsidRDefault="00111B2D" w:rsidP="004D71D2">
            <w:pPr>
              <w:rPr>
                <w:rFonts w:ascii="Calibri" w:hAnsi="Calibri" w:cs="Calibri"/>
                <w:color w:val="000000" w:themeColor="text1"/>
                <w:sz w:val="20"/>
                <w:szCs w:val="20"/>
              </w:rPr>
            </w:pPr>
          </w:p>
          <w:p w14:paraId="28613603" w14:textId="3779CD05" w:rsidR="00111B2D" w:rsidRPr="00F31A41" w:rsidRDefault="00111B2D" w:rsidP="004D71D2">
            <w:pPr>
              <w:rPr>
                <w:rFonts w:ascii="Calibri" w:hAnsi="Calibri" w:cs="Calibri"/>
                <w:color w:val="000000" w:themeColor="text1"/>
                <w:sz w:val="20"/>
                <w:szCs w:val="20"/>
              </w:rPr>
            </w:pPr>
            <w:r w:rsidRPr="00F31A41">
              <w:rPr>
                <w:rFonts w:ascii="Calibri" w:hAnsi="Calibri" w:cs="Calibri"/>
                <w:color w:val="000000" w:themeColor="text1"/>
                <w:sz w:val="20"/>
                <w:szCs w:val="20"/>
              </w:rPr>
              <w:t>2.3. Training program 3</w:t>
            </w:r>
            <w:r w:rsidR="005737D7">
              <w:rPr>
                <w:rFonts w:ascii="Calibri" w:hAnsi="Calibri" w:cs="Calibri"/>
                <w:color w:val="000000" w:themeColor="text1"/>
                <w:sz w:val="20"/>
                <w:szCs w:val="20"/>
              </w:rPr>
              <w:t xml:space="preserve"> (workshop/meeting costs)</w:t>
            </w:r>
          </w:p>
          <w:p w14:paraId="0FE27CFD" w14:textId="77777777" w:rsidR="008C61A3" w:rsidRDefault="008C61A3" w:rsidP="004D71D2">
            <w:pPr>
              <w:rPr>
                <w:rFonts w:ascii="Calibri" w:hAnsi="Calibri" w:cs="Calibri"/>
                <w:color w:val="000000" w:themeColor="text1"/>
                <w:sz w:val="20"/>
                <w:szCs w:val="20"/>
              </w:rPr>
            </w:pPr>
          </w:p>
          <w:p w14:paraId="785017E3" w14:textId="6A6F2D18" w:rsidR="00111B2D" w:rsidRDefault="008C61A3" w:rsidP="004D71D2">
            <w:pPr>
              <w:rPr>
                <w:rFonts w:ascii="Calibri" w:hAnsi="Calibri" w:cs="Calibri"/>
                <w:color w:val="000000" w:themeColor="text1"/>
                <w:sz w:val="20"/>
                <w:szCs w:val="20"/>
              </w:rPr>
            </w:pPr>
            <w:r>
              <w:rPr>
                <w:rFonts w:ascii="Calibri" w:hAnsi="Calibri" w:cs="Calibri"/>
                <w:color w:val="000000" w:themeColor="text1"/>
                <w:sz w:val="20"/>
                <w:szCs w:val="20"/>
              </w:rPr>
              <w:t xml:space="preserve">2.4. </w:t>
            </w:r>
            <w:r w:rsidRPr="00F31A41">
              <w:rPr>
                <w:rFonts w:ascii="Calibri" w:hAnsi="Calibri" w:cs="Calibri"/>
                <w:color w:val="000000" w:themeColor="text1"/>
                <w:sz w:val="20"/>
                <w:szCs w:val="20"/>
              </w:rPr>
              <w:t xml:space="preserve">Transport </w:t>
            </w:r>
            <w:r w:rsidR="005737D7">
              <w:rPr>
                <w:rFonts w:ascii="Calibri" w:hAnsi="Calibri" w:cs="Calibri"/>
                <w:color w:val="000000" w:themeColor="text1"/>
                <w:sz w:val="20"/>
                <w:szCs w:val="20"/>
              </w:rPr>
              <w:t xml:space="preserve">and per diem </w:t>
            </w:r>
            <w:r w:rsidRPr="00F31A41">
              <w:rPr>
                <w:rFonts w:ascii="Calibri" w:hAnsi="Calibri" w:cs="Calibri"/>
                <w:color w:val="000000" w:themeColor="text1"/>
                <w:sz w:val="20"/>
                <w:szCs w:val="20"/>
              </w:rPr>
              <w:t xml:space="preserve">for </w:t>
            </w:r>
            <w:r w:rsidR="005737D7">
              <w:rPr>
                <w:rFonts w:ascii="Calibri" w:hAnsi="Calibri" w:cs="Calibri"/>
                <w:color w:val="000000" w:themeColor="text1"/>
                <w:sz w:val="20"/>
                <w:szCs w:val="20"/>
              </w:rPr>
              <w:t>participants</w:t>
            </w:r>
            <w:r w:rsidR="007E6D31">
              <w:rPr>
                <w:rFonts w:ascii="Calibri" w:hAnsi="Calibri" w:cs="Calibri"/>
                <w:color w:val="000000" w:themeColor="text1"/>
                <w:sz w:val="20"/>
                <w:szCs w:val="20"/>
              </w:rPr>
              <w:t xml:space="preserve"> and /or </w:t>
            </w:r>
            <w:r w:rsidR="00933981">
              <w:rPr>
                <w:rFonts w:ascii="Calibri" w:hAnsi="Calibri" w:cs="Calibri"/>
                <w:color w:val="000000" w:themeColor="text1"/>
                <w:sz w:val="20"/>
                <w:szCs w:val="20"/>
              </w:rPr>
              <w:t>National Safeguard Specialist</w:t>
            </w:r>
            <w:r w:rsidRPr="00F31A41">
              <w:rPr>
                <w:rFonts w:ascii="Calibri" w:hAnsi="Calibri" w:cs="Calibri"/>
                <w:color w:val="000000" w:themeColor="text1"/>
                <w:sz w:val="20"/>
                <w:szCs w:val="20"/>
              </w:rPr>
              <w:t xml:space="preserve"> </w:t>
            </w:r>
            <w:r w:rsidRPr="00933981">
              <w:rPr>
                <w:rFonts w:ascii="Calibri" w:hAnsi="Calibri" w:cs="Calibri"/>
                <w:color w:val="000000" w:themeColor="text1"/>
                <w:sz w:val="20"/>
                <w:szCs w:val="20"/>
              </w:rPr>
              <w:t>to</w:t>
            </w:r>
            <w:r w:rsidRPr="00F31A41">
              <w:rPr>
                <w:rFonts w:ascii="Calibri" w:hAnsi="Calibri" w:cs="Calibri"/>
                <w:color w:val="000000" w:themeColor="text1"/>
                <w:sz w:val="20"/>
                <w:szCs w:val="20"/>
              </w:rPr>
              <w:t xml:space="preserve"> </w:t>
            </w:r>
            <w:r w:rsidR="00933981">
              <w:rPr>
                <w:rFonts w:ascii="Calibri" w:hAnsi="Calibri" w:cs="Calibri"/>
                <w:color w:val="000000" w:themeColor="text1"/>
                <w:sz w:val="20"/>
                <w:szCs w:val="20"/>
              </w:rPr>
              <w:t>receive</w:t>
            </w:r>
            <w:r w:rsidR="007E6D31">
              <w:rPr>
                <w:rFonts w:ascii="Calibri" w:hAnsi="Calibri" w:cs="Calibri"/>
                <w:color w:val="000000" w:themeColor="text1"/>
                <w:sz w:val="20"/>
                <w:szCs w:val="20"/>
              </w:rPr>
              <w:t xml:space="preserve"> and /or </w:t>
            </w:r>
            <w:r w:rsidR="00933981">
              <w:rPr>
                <w:rFonts w:ascii="Calibri" w:hAnsi="Calibri" w:cs="Calibri"/>
                <w:color w:val="000000" w:themeColor="text1"/>
                <w:sz w:val="20"/>
                <w:szCs w:val="20"/>
              </w:rPr>
              <w:t>deliver training</w:t>
            </w:r>
            <w:r w:rsidR="007E6D31">
              <w:rPr>
                <w:rFonts w:ascii="Calibri" w:hAnsi="Calibri" w:cs="Calibri"/>
                <w:color w:val="000000" w:themeColor="text1"/>
                <w:sz w:val="20"/>
                <w:szCs w:val="20"/>
              </w:rPr>
              <w:t xml:space="preserve"> (respectively)</w:t>
            </w:r>
          </w:p>
          <w:p w14:paraId="3376F9E9" w14:textId="77777777" w:rsidR="0045579E" w:rsidRDefault="0045579E" w:rsidP="004D71D2">
            <w:pPr>
              <w:rPr>
                <w:rFonts w:ascii="Calibri" w:hAnsi="Calibri" w:cs="Calibri"/>
                <w:color w:val="000000" w:themeColor="text1"/>
                <w:sz w:val="20"/>
                <w:szCs w:val="20"/>
              </w:rPr>
            </w:pPr>
          </w:p>
          <w:p w14:paraId="28D89A18" w14:textId="4621ED47" w:rsidR="00D860CE" w:rsidRPr="00F31A41" w:rsidRDefault="0045579E" w:rsidP="00D860CE">
            <w:pPr>
              <w:rPr>
                <w:rFonts w:ascii="Calibri" w:hAnsi="Calibri" w:cs="Calibri"/>
                <w:color w:val="000000" w:themeColor="text1"/>
                <w:sz w:val="20"/>
                <w:szCs w:val="20"/>
              </w:rPr>
            </w:pPr>
            <w:r>
              <w:rPr>
                <w:rFonts w:ascii="Calibri" w:hAnsi="Calibri" w:cs="Calibri"/>
                <w:color w:val="000000" w:themeColor="text1"/>
                <w:sz w:val="20"/>
                <w:szCs w:val="20"/>
              </w:rPr>
              <w:t xml:space="preserve">2.5. Training materials </w:t>
            </w:r>
            <w:r w:rsidR="00D860CE">
              <w:rPr>
                <w:rFonts w:ascii="Calibri" w:hAnsi="Calibri" w:cs="Calibri"/>
                <w:color w:val="000000" w:themeColor="text1"/>
                <w:sz w:val="20"/>
                <w:szCs w:val="20"/>
              </w:rPr>
              <w:t>(</w:t>
            </w:r>
            <w:r w:rsidR="006940D8">
              <w:rPr>
                <w:rFonts w:ascii="Calibri" w:hAnsi="Calibri" w:cs="Calibri"/>
                <w:color w:val="000000" w:themeColor="text1"/>
                <w:sz w:val="20"/>
                <w:szCs w:val="20"/>
              </w:rPr>
              <w:t>printing of g</w:t>
            </w:r>
            <w:r w:rsidR="00D860CE" w:rsidRPr="00F31A41">
              <w:rPr>
                <w:rFonts w:ascii="Calibri" w:hAnsi="Calibri" w:cs="Calibri"/>
                <w:color w:val="000000" w:themeColor="text1"/>
                <w:sz w:val="20"/>
                <w:szCs w:val="20"/>
              </w:rPr>
              <w:t xml:space="preserve">uidance </w:t>
            </w:r>
            <w:r w:rsidR="006940D8">
              <w:rPr>
                <w:rFonts w:ascii="Calibri" w:hAnsi="Calibri" w:cs="Calibri"/>
                <w:color w:val="000000" w:themeColor="text1"/>
                <w:sz w:val="20"/>
                <w:szCs w:val="20"/>
              </w:rPr>
              <w:t>d</w:t>
            </w:r>
            <w:r w:rsidR="00D860CE" w:rsidRPr="00F31A41">
              <w:rPr>
                <w:rFonts w:ascii="Calibri" w:hAnsi="Calibri" w:cs="Calibri"/>
                <w:color w:val="000000" w:themeColor="text1"/>
                <w:sz w:val="20"/>
                <w:szCs w:val="20"/>
              </w:rPr>
              <w:t xml:space="preserve">ocuments, </w:t>
            </w:r>
            <w:r w:rsidR="006940D8">
              <w:rPr>
                <w:rFonts w:ascii="Calibri" w:hAnsi="Calibri" w:cs="Calibri"/>
                <w:color w:val="000000" w:themeColor="text1"/>
                <w:sz w:val="20"/>
                <w:szCs w:val="20"/>
              </w:rPr>
              <w:t>c</w:t>
            </w:r>
            <w:r w:rsidR="00D860CE" w:rsidRPr="00F31A41">
              <w:rPr>
                <w:rFonts w:ascii="Calibri" w:hAnsi="Calibri" w:cs="Calibri"/>
                <w:color w:val="000000" w:themeColor="text1"/>
                <w:sz w:val="20"/>
                <w:szCs w:val="20"/>
              </w:rPr>
              <w:t xml:space="preserve">hecklists, </w:t>
            </w:r>
            <w:r w:rsidR="006940D8">
              <w:rPr>
                <w:rFonts w:ascii="Calibri" w:hAnsi="Calibri" w:cs="Calibri"/>
                <w:color w:val="000000" w:themeColor="text1"/>
                <w:sz w:val="20"/>
                <w:szCs w:val="20"/>
              </w:rPr>
              <w:t>f</w:t>
            </w:r>
            <w:r w:rsidR="00D860CE" w:rsidRPr="00F31A41">
              <w:rPr>
                <w:rFonts w:ascii="Calibri" w:hAnsi="Calibri" w:cs="Calibri"/>
                <w:color w:val="000000" w:themeColor="text1"/>
                <w:sz w:val="20"/>
                <w:szCs w:val="20"/>
              </w:rPr>
              <w:t>orms</w:t>
            </w:r>
            <w:r w:rsidR="00D860CE">
              <w:rPr>
                <w:rFonts w:ascii="Calibri" w:hAnsi="Calibri" w:cs="Calibri"/>
                <w:color w:val="000000" w:themeColor="text1"/>
                <w:sz w:val="20"/>
                <w:szCs w:val="20"/>
              </w:rPr>
              <w:t>, etc.)</w:t>
            </w:r>
          </w:p>
          <w:p w14:paraId="3461E7C8" w14:textId="189C6396" w:rsidR="0045579E" w:rsidRPr="00F31A41" w:rsidRDefault="0045579E" w:rsidP="004D71D2">
            <w:pPr>
              <w:rPr>
                <w:rFonts w:ascii="Calibri" w:hAnsi="Calibri" w:cs="Calibri"/>
                <w:color w:val="000000" w:themeColor="text1"/>
                <w:sz w:val="20"/>
                <w:szCs w:val="20"/>
              </w:rPr>
            </w:pPr>
          </w:p>
        </w:tc>
        <w:tc>
          <w:tcPr>
            <w:tcW w:w="1712" w:type="dxa"/>
          </w:tcPr>
          <w:p w14:paraId="7D5B8076" w14:textId="77777777" w:rsidR="00111B2D" w:rsidRPr="00F31A41" w:rsidRDefault="00111B2D" w:rsidP="008D6025">
            <w:pPr>
              <w:rPr>
                <w:rFonts w:ascii="Calibri" w:hAnsi="Calibri" w:cs="Calibri"/>
                <w:color w:val="000000" w:themeColor="text1"/>
                <w:sz w:val="20"/>
                <w:szCs w:val="20"/>
              </w:rPr>
            </w:pPr>
          </w:p>
        </w:tc>
        <w:tc>
          <w:tcPr>
            <w:tcW w:w="1690" w:type="dxa"/>
            <w:vAlign w:val="center"/>
          </w:tcPr>
          <w:p w14:paraId="3A5C38D0" w14:textId="7155E805" w:rsidR="00111B2D" w:rsidRPr="00F31A41" w:rsidRDefault="00111B2D" w:rsidP="004D71D2">
            <w:pPr>
              <w:rPr>
                <w:rFonts w:ascii="Calibri" w:hAnsi="Calibri" w:cs="Calibri"/>
                <w:color w:val="000000" w:themeColor="text1"/>
                <w:sz w:val="20"/>
                <w:szCs w:val="20"/>
              </w:rPr>
            </w:pPr>
          </w:p>
        </w:tc>
      </w:tr>
      <w:tr w:rsidR="00111B2D" w14:paraId="02D084F0" w14:textId="77777777" w:rsidTr="004D71D2">
        <w:tc>
          <w:tcPr>
            <w:tcW w:w="498" w:type="dxa"/>
          </w:tcPr>
          <w:p w14:paraId="2F2871AA" w14:textId="77777777" w:rsidR="00111B2D" w:rsidRPr="00B626B4" w:rsidRDefault="00111B2D" w:rsidP="004D71D2">
            <w:pPr>
              <w:rPr>
                <w:rFonts w:ascii="Calibri" w:hAnsi="Calibri" w:cs="Calibri"/>
                <w:b/>
                <w:bCs/>
                <w:color w:val="000000" w:themeColor="text1"/>
                <w:sz w:val="20"/>
                <w:szCs w:val="20"/>
              </w:rPr>
            </w:pPr>
            <w:r>
              <w:rPr>
                <w:rFonts w:ascii="Calibri" w:hAnsi="Calibri" w:cs="Calibri"/>
                <w:b/>
                <w:bCs/>
                <w:color w:val="000000" w:themeColor="text1"/>
                <w:sz w:val="20"/>
                <w:szCs w:val="20"/>
              </w:rPr>
              <w:t>3</w:t>
            </w:r>
          </w:p>
        </w:tc>
        <w:tc>
          <w:tcPr>
            <w:tcW w:w="3330" w:type="dxa"/>
          </w:tcPr>
          <w:p w14:paraId="3D9D5B34" w14:textId="3FC4DD72" w:rsidR="00111B2D" w:rsidRPr="00F31A41" w:rsidRDefault="003000BD" w:rsidP="004D71D2">
            <w:pPr>
              <w:rPr>
                <w:rFonts w:ascii="Calibri" w:hAnsi="Calibri" w:cs="Calibri"/>
                <w:i/>
                <w:iCs/>
                <w:color w:val="000000" w:themeColor="text1"/>
                <w:sz w:val="20"/>
                <w:szCs w:val="20"/>
              </w:rPr>
            </w:pPr>
            <w:r>
              <w:rPr>
                <w:rFonts w:ascii="Calibri" w:hAnsi="Calibri" w:cs="Calibri"/>
                <w:i/>
                <w:iCs/>
                <w:color w:val="000000" w:themeColor="text1"/>
                <w:sz w:val="20"/>
                <w:szCs w:val="20"/>
              </w:rPr>
              <w:t>M</w:t>
            </w:r>
            <w:r w:rsidR="006940D8">
              <w:rPr>
                <w:rFonts w:ascii="Calibri" w:hAnsi="Calibri" w:cs="Calibri"/>
                <w:i/>
                <w:iCs/>
                <w:color w:val="000000" w:themeColor="text1"/>
                <w:sz w:val="20"/>
                <w:szCs w:val="20"/>
              </w:rPr>
              <w:t xml:space="preserve">eetings </w:t>
            </w:r>
          </w:p>
        </w:tc>
        <w:tc>
          <w:tcPr>
            <w:tcW w:w="3402" w:type="dxa"/>
          </w:tcPr>
          <w:p w14:paraId="6F2F718E" w14:textId="2A821044" w:rsidR="00DB0DA1" w:rsidRDefault="000B70B6" w:rsidP="00933158">
            <w:pPr>
              <w:rPr>
                <w:rFonts w:ascii="Calibri" w:hAnsi="Calibri" w:cs="Calibri"/>
                <w:color w:val="000000" w:themeColor="text1"/>
                <w:sz w:val="20"/>
                <w:szCs w:val="20"/>
              </w:rPr>
            </w:pPr>
            <w:r>
              <w:rPr>
                <w:rFonts w:ascii="Calibri" w:hAnsi="Calibri" w:cs="Calibri"/>
                <w:color w:val="000000" w:themeColor="text1"/>
                <w:sz w:val="20"/>
                <w:szCs w:val="20"/>
              </w:rPr>
              <w:t>3.</w:t>
            </w:r>
            <w:r w:rsidR="00933158">
              <w:rPr>
                <w:rFonts w:ascii="Calibri" w:hAnsi="Calibri" w:cs="Calibri"/>
                <w:color w:val="000000" w:themeColor="text1"/>
                <w:sz w:val="20"/>
                <w:szCs w:val="20"/>
              </w:rPr>
              <w:t>1</w:t>
            </w:r>
            <w:r>
              <w:rPr>
                <w:rFonts w:ascii="Calibri" w:hAnsi="Calibri" w:cs="Calibri"/>
                <w:color w:val="000000" w:themeColor="text1"/>
                <w:sz w:val="20"/>
                <w:szCs w:val="20"/>
              </w:rPr>
              <w:t xml:space="preserve">. </w:t>
            </w:r>
            <w:r w:rsidR="003000BD">
              <w:rPr>
                <w:rFonts w:ascii="Calibri" w:hAnsi="Calibri" w:cs="Calibri"/>
                <w:color w:val="000000" w:themeColor="text1"/>
                <w:sz w:val="20"/>
                <w:szCs w:val="20"/>
              </w:rPr>
              <w:t xml:space="preserve">First </w:t>
            </w:r>
            <w:r>
              <w:rPr>
                <w:rFonts w:ascii="Calibri" w:hAnsi="Calibri" w:cs="Calibri"/>
                <w:color w:val="000000" w:themeColor="text1"/>
                <w:sz w:val="20"/>
                <w:szCs w:val="20"/>
              </w:rPr>
              <w:t xml:space="preserve">meeting </w:t>
            </w:r>
            <w:r w:rsidR="003000BD">
              <w:rPr>
                <w:rFonts w:ascii="Calibri" w:hAnsi="Calibri" w:cs="Calibri"/>
                <w:color w:val="000000" w:themeColor="text1"/>
                <w:sz w:val="20"/>
                <w:szCs w:val="20"/>
              </w:rPr>
              <w:t>of</w:t>
            </w:r>
            <w:r w:rsidR="00933158">
              <w:rPr>
                <w:rFonts w:ascii="Calibri" w:hAnsi="Calibri" w:cs="Calibri"/>
                <w:color w:val="000000" w:themeColor="text1"/>
                <w:sz w:val="20"/>
                <w:szCs w:val="20"/>
              </w:rPr>
              <w:t xml:space="preserve"> REDD+ Safeguards TWC</w:t>
            </w:r>
            <w:r>
              <w:rPr>
                <w:rFonts w:ascii="Calibri" w:hAnsi="Calibri" w:cs="Calibri"/>
                <w:color w:val="000000" w:themeColor="text1"/>
                <w:sz w:val="20"/>
                <w:szCs w:val="20"/>
              </w:rPr>
              <w:t xml:space="preserve"> </w:t>
            </w:r>
            <w:r w:rsidR="00933158">
              <w:rPr>
                <w:rFonts w:ascii="Calibri" w:hAnsi="Calibri" w:cs="Calibri"/>
                <w:color w:val="000000" w:themeColor="text1"/>
                <w:sz w:val="20"/>
                <w:szCs w:val="20"/>
              </w:rPr>
              <w:t xml:space="preserve">for the </w:t>
            </w:r>
            <w:r>
              <w:rPr>
                <w:rFonts w:ascii="Calibri" w:hAnsi="Calibri" w:cs="Calibri"/>
                <w:color w:val="000000" w:themeColor="text1"/>
                <w:sz w:val="20"/>
                <w:szCs w:val="20"/>
              </w:rPr>
              <w:t xml:space="preserve">collection of information </w:t>
            </w:r>
            <w:r w:rsidR="00DB0DA1" w:rsidRPr="00DB0DA1">
              <w:rPr>
                <w:rFonts w:ascii="Calibri" w:hAnsi="Calibri" w:cs="Calibri"/>
                <w:iCs/>
                <w:color w:val="000000" w:themeColor="text1"/>
                <w:sz w:val="20"/>
                <w:szCs w:val="20"/>
              </w:rPr>
              <w:t xml:space="preserve">in relation to each of the </w:t>
            </w:r>
            <w:r w:rsidR="00DB0DA1" w:rsidRPr="00DB0DA1">
              <w:rPr>
                <w:rFonts w:ascii="Calibri" w:hAnsi="Calibri" w:cs="Calibri"/>
                <w:color w:val="000000" w:themeColor="text1"/>
                <w:sz w:val="20"/>
                <w:szCs w:val="20"/>
              </w:rPr>
              <w:t>indicators for demonstrating ‘addressing’ the safeguards</w:t>
            </w:r>
            <w:r w:rsidR="003000BD" w:rsidRPr="007E6D31">
              <w:rPr>
                <w:rFonts w:ascii="Calibri" w:hAnsi="Calibri" w:cs="Calibri"/>
                <w:color w:val="000000" w:themeColor="text1"/>
                <w:sz w:val="20"/>
                <w:szCs w:val="20"/>
              </w:rPr>
              <w:t xml:space="preserve"> </w:t>
            </w:r>
            <w:r w:rsidR="003000BD">
              <w:rPr>
                <w:rFonts w:ascii="Calibri" w:hAnsi="Calibri" w:cs="Calibri"/>
                <w:color w:val="000000" w:themeColor="text1"/>
                <w:sz w:val="20"/>
                <w:szCs w:val="20"/>
              </w:rPr>
              <w:t>(</w:t>
            </w:r>
            <w:r w:rsidR="003000BD" w:rsidRPr="007E6D31">
              <w:rPr>
                <w:rFonts w:ascii="Calibri" w:hAnsi="Calibri" w:cs="Calibri"/>
                <w:color w:val="000000" w:themeColor="text1"/>
                <w:sz w:val="20"/>
                <w:szCs w:val="20"/>
              </w:rPr>
              <w:t>within the first quarter of the 24month reporting cycle of the SIS</w:t>
            </w:r>
            <w:r w:rsidR="003000BD">
              <w:rPr>
                <w:rFonts w:ascii="Calibri" w:hAnsi="Calibri" w:cs="Calibri"/>
                <w:color w:val="000000" w:themeColor="text1"/>
                <w:sz w:val="20"/>
                <w:szCs w:val="20"/>
              </w:rPr>
              <w:t>)</w:t>
            </w:r>
            <w:r w:rsidR="003000BD" w:rsidRPr="007E6D31">
              <w:rPr>
                <w:rFonts w:ascii="Calibri" w:hAnsi="Calibri" w:cs="Calibri"/>
                <w:color w:val="000000" w:themeColor="text1"/>
                <w:sz w:val="20"/>
                <w:szCs w:val="20"/>
              </w:rPr>
              <w:t>.</w:t>
            </w:r>
          </w:p>
          <w:p w14:paraId="1CD5B91F" w14:textId="77777777" w:rsidR="003000BD" w:rsidRDefault="003000BD" w:rsidP="003000BD">
            <w:pPr>
              <w:rPr>
                <w:rFonts w:ascii="Calibri" w:hAnsi="Calibri" w:cs="Calibri"/>
                <w:color w:val="000000" w:themeColor="text1"/>
                <w:sz w:val="20"/>
                <w:szCs w:val="20"/>
              </w:rPr>
            </w:pPr>
          </w:p>
          <w:p w14:paraId="1AEC7316" w14:textId="69C4CF09" w:rsidR="006F49F5" w:rsidRPr="001D6EC5" w:rsidRDefault="003000BD" w:rsidP="003000BD">
            <w:pPr>
              <w:rPr>
                <w:rFonts w:cstheme="minorHAnsi"/>
                <w:sz w:val="20"/>
                <w:szCs w:val="20"/>
              </w:rPr>
            </w:pPr>
            <w:r>
              <w:rPr>
                <w:rFonts w:ascii="Calibri" w:hAnsi="Calibri" w:cs="Calibri"/>
                <w:color w:val="000000" w:themeColor="text1"/>
                <w:sz w:val="20"/>
                <w:szCs w:val="20"/>
              </w:rPr>
              <w:t>3.2.Second meeting</w:t>
            </w:r>
            <w:r w:rsidR="007E6D31" w:rsidRPr="003000BD">
              <w:rPr>
                <w:rFonts w:ascii="Calibri" w:hAnsi="Calibri" w:cs="Calibri"/>
                <w:color w:val="000000" w:themeColor="text1"/>
                <w:sz w:val="20"/>
                <w:szCs w:val="20"/>
              </w:rPr>
              <w:t xml:space="preserve"> </w:t>
            </w:r>
            <w:r>
              <w:rPr>
                <w:rFonts w:ascii="Calibri" w:hAnsi="Calibri" w:cs="Calibri"/>
                <w:color w:val="000000" w:themeColor="text1"/>
                <w:sz w:val="20"/>
                <w:szCs w:val="20"/>
              </w:rPr>
              <w:t xml:space="preserve">of REDD+ </w:t>
            </w:r>
            <w:r w:rsidRPr="00FF7349">
              <w:rPr>
                <w:rFonts w:ascii="Calibri" w:hAnsi="Calibri" w:cs="Calibri"/>
                <w:color w:val="000000" w:themeColor="text1"/>
                <w:sz w:val="20"/>
                <w:szCs w:val="20"/>
              </w:rPr>
              <w:t xml:space="preserve">Safeguards TWC for the collection of information </w:t>
            </w:r>
            <w:r w:rsidRPr="00FF7349">
              <w:rPr>
                <w:rFonts w:ascii="Calibri" w:hAnsi="Calibri" w:cs="Calibri"/>
                <w:iCs/>
                <w:color w:val="000000" w:themeColor="text1"/>
                <w:sz w:val="20"/>
                <w:szCs w:val="20"/>
              </w:rPr>
              <w:t xml:space="preserve">in relation to each of the </w:t>
            </w:r>
            <w:r w:rsidRPr="00FF7349">
              <w:rPr>
                <w:rFonts w:ascii="Calibri" w:hAnsi="Calibri" w:cs="Calibri"/>
                <w:color w:val="000000" w:themeColor="text1"/>
                <w:sz w:val="20"/>
                <w:szCs w:val="20"/>
              </w:rPr>
              <w:t>indicators for demonstrating ‘addressing’ the safeguards</w:t>
            </w:r>
            <w:r w:rsidR="001B417A">
              <w:rPr>
                <w:rFonts w:ascii="Calibri" w:hAnsi="Calibri" w:cs="Calibri"/>
                <w:color w:val="000000" w:themeColor="text1"/>
                <w:sz w:val="20"/>
                <w:szCs w:val="20"/>
              </w:rPr>
              <w:t xml:space="preserve"> and for </w:t>
            </w:r>
            <w:r w:rsidR="001D6EC5">
              <w:rPr>
                <w:rFonts w:ascii="Calibri" w:hAnsi="Calibri" w:cs="Calibri"/>
                <w:color w:val="000000" w:themeColor="text1"/>
                <w:sz w:val="20"/>
                <w:szCs w:val="20"/>
              </w:rPr>
              <w:t xml:space="preserve">the </w:t>
            </w:r>
            <w:r w:rsidR="001B417A" w:rsidRPr="001B417A">
              <w:rPr>
                <w:rFonts w:ascii="Calibri" w:hAnsi="Calibri" w:cs="Calibri"/>
                <w:iCs/>
                <w:color w:val="000000" w:themeColor="text1"/>
                <w:sz w:val="20"/>
                <w:szCs w:val="20"/>
              </w:rPr>
              <w:t xml:space="preserve">objective of </w:t>
            </w:r>
            <w:r w:rsidR="001B417A" w:rsidRPr="001B417A">
              <w:rPr>
                <w:rFonts w:ascii="Calibri" w:hAnsi="Calibri" w:cs="Calibri"/>
                <w:color w:val="000000" w:themeColor="text1"/>
                <w:sz w:val="20"/>
                <w:szCs w:val="20"/>
              </w:rPr>
              <w:t xml:space="preserve">analysing and validating the information </w:t>
            </w:r>
            <w:r w:rsidR="001B417A" w:rsidRPr="001B417A">
              <w:rPr>
                <w:rFonts w:ascii="Calibri" w:hAnsi="Calibri" w:cs="Calibri"/>
                <w:iCs/>
                <w:color w:val="000000" w:themeColor="text1"/>
                <w:sz w:val="20"/>
                <w:szCs w:val="20"/>
              </w:rPr>
              <w:t>submitted</w:t>
            </w:r>
            <w:r w:rsidRPr="00FF7349">
              <w:rPr>
                <w:rFonts w:ascii="Calibri" w:hAnsi="Calibri" w:cs="Calibri"/>
                <w:color w:val="000000" w:themeColor="text1"/>
                <w:sz w:val="20"/>
                <w:szCs w:val="20"/>
              </w:rPr>
              <w:t xml:space="preserve"> (</w:t>
            </w:r>
            <w:r w:rsidR="001B417A">
              <w:rPr>
                <w:rFonts w:cstheme="minorHAnsi"/>
                <w:sz w:val="20"/>
                <w:szCs w:val="20"/>
              </w:rPr>
              <w:t>within the</w:t>
            </w:r>
            <w:r w:rsidR="00FF7349" w:rsidRPr="00FF7349">
              <w:rPr>
                <w:rFonts w:cstheme="minorHAnsi"/>
                <w:sz w:val="20"/>
                <w:szCs w:val="20"/>
              </w:rPr>
              <w:t xml:space="preserve"> final quarter of the 24month reporting cycle of the SIS)</w:t>
            </w:r>
          </w:p>
          <w:p w14:paraId="5C1D15F3" w14:textId="77777777" w:rsidR="007E6D31" w:rsidRDefault="007E6D31" w:rsidP="00933158">
            <w:pPr>
              <w:rPr>
                <w:rFonts w:ascii="Calibri" w:hAnsi="Calibri" w:cs="Calibri"/>
                <w:color w:val="000000" w:themeColor="text1"/>
                <w:sz w:val="20"/>
                <w:szCs w:val="20"/>
              </w:rPr>
            </w:pPr>
          </w:p>
          <w:p w14:paraId="3243F19C" w14:textId="69D10024" w:rsidR="00933158" w:rsidRDefault="00FF7349" w:rsidP="00933158">
            <w:pPr>
              <w:rPr>
                <w:rFonts w:ascii="Calibri" w:hAnsi="Calibri" w:cs="Calibri"/>
                <w:color w:val="000000" w:themeColor="text1"/>
                <w:sz w:val="20"/>
                <w:szCs w:val="20"/>
              </w:rPr>
            </w:pPr>
            <w:r>
              <w:rPr>
                <w:rFonts w:ascii="Calibri" w:hAnsi="Calibri" w:cs="Calibri"/>
                <w:color w:val="000000" w:themeColor="text1"/>
                <w:sz w:val="20"/>
                <w:szCs w:val="20"/>
              </w:rPr>
              <w:t>3.3.</w:t>
            </w:r>
            <w:r w:rsidR="00465AA7">
              <w:rPr>
                <w:rFonts w:ascii="Calibri" w:hAnsi="Calibri" w:cs="Calibri"/>
                <w:color w:val="000000" w:themeColor="text1"/>
                <w:sz w:val="20"/>
                <w:szCs w:val="20"/>
              </w:rPr>
              <w:t xml:space="preserve"> First </w:t>
            </w:r>
            <w:r w:rsidR="00BC1B29">
              <w:rPr>
                <w:rFonts w:ascii="Calibri" w:hAnsi="Calibri" w:cs="Calibri"/>
                <w:color w:val="000000" w:themeColor="text1"/>
                <w:sz w:val="20"/>
                <w:szCs w:val="20"/>
              </w:rPr>
              <w:t xml:space="preserve">½ day </w:t>
            </w:r>
            <w:r w:rsidR="00465AA7">
              <w:rPr>
                <w:rFonts w:ascii="Calibri" w:hAnsi="Calibri" w:cs="Calibri"/>
                <w:color w:val="000000" w:themeColor="text1"/>
                <w:sz w:val="20"/>
                <w:szCs w:val="20"/>
              </w:rPr>
              <w:t xml:space="preserve">meetings of REDD+ implementers </w:t>
            </w:r>
            <w:r w:rsidR="00754FDA" w:rsidRPr="00754FDA">
              <w:rPr>
                <w:rFonts w:ascii="Calibri" w:hAnsi="Calibri" w:cs="Calibri"/>
                <w:color w:val="000000" w:themeColor="text1"/>
                <w:sz w:val="20"/>
                <w:szCs w:val="20"/>
              </w:rPr>
              <w:t>with the staff/personnel involved in the implementation of the REDD+ actions</w:t>
            </w:r>
            <w:r w:rsidR="00754FDA">
              <w:rPr>
                <w:rFonts w:ascii="Calibri" w:hAnsi="Calibri" w:cs="Calibri"/>
                <w:color w:val="000000" w:themeColor="text1"/>
                <w:sz w:val="20"/>
                <w:szCs w:val="20"/>
              </w:rPr>
              <w:t xml:space="preserve">, for purposes of collection of information </w:t>
            </w:r>
            <w:r w:rsidR="00754FDA" w:rsidRPr="00FF7349">
              <w:rPr>
                <w:rFonts w:ascii="Calibri" w:hAnsi="Calibri" w:cs="Calibri"/>
                <w:iCs/>
                <w:color w:val="000000" w:themeColor="text1"/>
                <w:sz w:val="20"/>
                <w:szCs w:val="20"/>
              </w:rPr>
              <w:t xml:space="preserve">in relation to each of the </w:t>
            </w:r>
            <w:r w:rsidR="00754FDA" w:rsidRPr="00FF7349">
              <w:rPr>
                <w:rFonts w:ascii="Calibri" w:hAnsi="Calibri" w:cs="Calibri"/>
                <w:color w:val="000000" w:themeColor="text1"/>
                <w:sz w:val="20"/>
                <w:szCs w:val="20"/>
              </w:rPr>
              <w:t>indicators for demonstrating ‘</w:t>
            </w:r>
            <w:r w:rsidR="00754FDA">
              <w:rPr>
                <w:rFonts w:ascii="Calibri" w:hAnsi="Calibri" w:cs="Calibri"/>
                <w:color w:val="000000" w:themeColor="text1"/>
                <w:sz w:val="20"/>
                <w:szCs w:val="20"/>
              </w:rPr>
              <w:t>respecting</w:t>
            </w:r>
            <w:r w:rsidR="00754FDA" w:rsidRPr="00FF7349">
              <w:rPr>
                <w:rFonts w:ascii="Calibri" w:hAnsi="Calibri" w:cs="Calibri"/>
                <w:color w:val="000000" w:themeColor="text1"/>
                <w:sz w:val="20"/>
                <w:szCs w:val="20"/>
              </w:rPr>
              <w:t>’ the safeguards</w:t>
            </w:r>
          </w:p>
          <w:p w14:paraId="11FF4CDB" w14:textId="0A3436FE" w:rsidR="00754FDA" w:rsidRDefault="00754FDA" w:rsidP="00933158">
            <w:pPr>
              <w:rPr>
                <w:rFonts w:ascii="Calibri" w:hAnsi="Calibri" w:cs="Calibri"/>
                <w:color w:val="000000" w:themeColor="text1"/>
                <w:sz w:val="20"/>
                <w:szCs w:val="20"/>
              </w:rPr>
            </w:pPr>
          </w:p>
          <w:p w14:paraId="102E620D" w14:textId="01C3DF03" w:rsidR="00754FDA" w:rsidRDefault="00754FDA" w:rsidP="00933158">
            <w:pPr>
              <w:rPr>
                <w:rFonts w:ascii="Calibri" w:hAnsi="Calibri" w:cs="Calibri"/>
                <w:color w:val="000000" w:themeColor="text1"/>
                <w:sz w:val="20"/>
                <w:szCs w:val="20"/>
              </w:rPr>
            </w:pPr>
            <w:r>
              <w:rPr>
                <w:rFonts w:ascii="Calibri" w:hAnsi="Calibri" w:cs="Calibri"/>
                <w:color w:val="000000" w:themeColor="text1"/>
                <w:sz w:val="20"/>
                <w:szCs w:val="20"/>
              </w:rPr>
              <w:t xml:space="preserve">3.4. Second ½ day meetings of REDD+ implementers </w:t>
            </w:r>
            <w:r w:rsidRPr="00754FDA">
              <w:rPr>
                <w:rFonts w:ascii="Calibri" w:hAnsi="Calibri" w:cs="Calibri"/>
                <w:color w:val="000000" w:themeColor="text1"/>
                <w:sz w:val="20"/>
                <w:szCs w:val="20"/>
              </w:rPr>
              <w:t>with the staff/personnel involved in the implementation of the REDD+ actions</w:t>
            </w:r>
            <w:r>
              <w:rPr>
                <w:rFonts w:ascii="Calibri" w:hAnsi="Calibri" w:cs="Calibri"/>
                <w:color w:val="000000" w:themeColor="text1"/>
                <w:sz w:val="20"/>
                <w:szCs w:val="20"/>
              </w:rPr>
              <w:t xml:space="preserve">, for purposes of collection of information </w:t>
            </w:r>
            <w:r w:rsidRPr="00FF7349">
              <w:rPr>
                <w:rFonts w:ascii="Calibri" w:hAnsi="Calibri" w:cs="Calibri"/>
                <w:iCs/>
                <w:color w:val="000000" w:themeColor="text1"/>
                <w:sz w:val="20"/>
                <w:szCs w:val="20"/>
              </w:rPr>
              <w:t xml:space="preserve">in relation to each of the </w:t>
            </w:r>
            <w:r w:rsidRPr="00FF7349">
              <w:rPr>
                <w:rFonts w:ascii="Calibri" w:hAnsi="Calibri" w:cs="Calibri"/>
                <w:color w:val="000000" w:themeColor="text1"/>
                <w:sz w:val="20"/>
                <w:szCs w:val="20"/>
              </w:rPr>
              <w:t>indicators for demonstrating ‘</w:t>
            </w:r>
            <w:r>
              <w:rPr>
                <w:rFonts w:ascii="Calibri" w:hAnsi="Calibri" w:cs="Calibri"/>
                <w:color w:val="000000" w:themeColor="text1"/>
                <w:sz w:val="20"/>
                <w:szCs w:val="20"/>
              </w:rPr>
              <w:t>respecting</w:t>
            </w:r>
            <w:r w:rsidRPr="00FF7349">
              <w:rPr>
                <w:rFonts w:ascii="Calibri" w:hAnsi="Calibri" w:cs="Calibri"/>
                <w:color w:val="000000" w:themeColor="text1"/>
                <w:sz w:val="20"/>
                <w:szCs w:val="20"/>
              </w:rPr>
              <w:t>’ the safeguards</w:t>
            </w:r>
          </w:p>
          <w:p w14:paraId="524F2465" w14:textId="41341A46" w:rsidR="00754FDA" w:rsidRDefault="00754FDA" w:rsidP="00933158">
            <w:pPr>
              <w:rPr>
                <w:rFonts w:ascii="Calibri" w:hAnsi="Calibri" w:cs="Calibri"/>
                <w:color w:val="000000" w:themeColor="text1"/>
                <w:sz w:val="20"/>
                <w:szCs w:val="20"/>
              </w:rPr>
            </w:pPr>
          </w:p>
          <w:p w14:paraId="49D2D527" w14:textId="33A5A3FC" w:rsidR="00933158" w:rsidRPr="00F31A41" w:rsidRDefault="00754FDA" w:rsidP="00933158">
            <w:pPr>
              <w:rPr>
                <w:rFonts w:ascii="Calibri" w:hAnsi="Calibri" w:cs="Calibri"/>
                <w:color w:val="000000" w:themeColor="text1"/>
                <w:sz w:val="20"/>
                <w:szCs w:val="20"/>
              </w:rPr>
            </w:pPr>
            <w:r>
              <w:rPr>
                <w:rFonts w:ascii="Calibri" w:hAnsi="Calibri" w:cs="Calibri"/>
                <w:color w:val="000000" w:themeColor="text1"/>
                <w:sz w:val="20"/>
                <w:szCs w:val="20"/>
              </w:rPr>
              <w:t xml:space="preserve">3.5. Third ½ day meetings of REDD+ implementers </w:t>
            </w:r>
            <w:r w:rsidRPr="00754FDA">
              <w:rPr>
                <w:rFonts w:ascii="Calibri" w:hAnsi="Calibri" w:cs="Calibri"/>
                <w:color w:val="000000" w:themeColor="text1"/>
                <w:sz w:val="20"/>
                <w:szCs w:val="20"/>
              </w:rPr>
              <w:t>with the staff/personnel involved in the implementation of the REDD+ actions</w:t>
            </w:r>
            <w:r>
              <w:rPr>
                <w:rFonts w:ascii="Calibri" w:hAnsi="Calibri" w:cs="Calibri"/>
                <w:color w:val="000000" w:themeColor="text1"/>
                <w:sz w:val="20"/>
                <w:szCs w:val="20"/>
              </w:rPr>
              <w:t xml:space="preserve">, for purposes of collection of information </w:t>
            </w:r>
            <w:r w:rsidRPr="00FF7349">
              <w:rPr>
                <w:rFonts w:ascii="Calibri" w:hAnsi="Calibri" w:cs="Calibri"/>
                <w:iCs/>
                <w:color w:val="000000" w:themeColor="text1"/>
                <w:sz w:val="20"/>
                <w:szCs w:val="20"/>
              </w:rPr>
              <w:t xml:space="preserve">in relation to each of the </w:t>
            </w:r>
            <w:r w:rsidRPr="00FF7349">
              <w:rPr>
                <w:rFonts w:ascii="Calibri" w:hAnsi="Calibri" w:cs="Calibri"/>
                <w:color w:val="000000" w:themeColor="text1"/>
                <w:sz w:val="20"/>
                <w:szCs w:val="20"/>
              </w:rPr>
              <w:t>indicators for demonstrating ‘</w:t>
            </w:r>
            <w:r>
              <w:rPr>
                <w:rFonts w:ascii="Calibri" w:hAnsi="Calibri" w:cs="Calibri"/>
                <w:color w:val="000000" w:themeColor="text1"/>
                <w:sz w:val="20"/>
                <w:szCs w:val="20"/>
              </w:rPr>
              <w:t>respecting</w:t>
            </w:r>
            <w:r w:rsidRPr="00FF7349">
              <w:rPr>
                <w:rFonts w:ascii="Calibri" w:hAnsi="Calibri" w:cs="Calibri"/>
                <w:color w:val="000000" w:themeColor="text1"/>
                <w:sz w:val="20"/>
                <w:szCs w:val="20"/>
              </w:rPr>
              <w:t>’ the safeguards</w:t>
            </w:r>
          </w:p>
        </w:tc>
        <w:tc>
          <w:tcPr>
            <w:tcW w:w="1712" w:type="dxa"/>
          </w:tcPr>
          <w:p w14:paraId="0CA0BFA0" w14:textId="5CF57651" w:rsidR="00111B2D" w:rsidRPr="00F31A41" w:rsidRDefault="00111B2D" w:rsidP="004D71D2">
            <w:pPr>
              <w:rPr>
                <w:rFonts w:ascii="Calibri" w:hAnsi="Calibri" w:cs="Calibri"/>
                <w:color w:val="000000" w:themeColor="text1"/>
                <w:sz w:val="20"/>
                <w:szCs w:val="20"/>
              </w:rPr>
            </w:pPr>
          </w:p>
        </w:tc>
        <w:tc>
          <w:tcPr>
            <w:tcW w:w="1690" w:type="dxa"/>
          </w:tcPr>
          <w:p w14:paraId="0DE41A45" w14:textId="77777777" w:rsidR="00111B2D" w:rsidRPr="00F31A41" w:rsidRDefault="00111B2D" w:rsidP="004D71D2">
            <w:pPr>
              <w:rPr>
                <w:rFonts w:ascii="Calibri" w:hAnsi="Calibri" w:cs="Calibri"/>
                <w:color w:val="000000" w:themeColor="text1"/>
                <w:sz w:val="20"/>
                <w:szCs w:val="20"/>
              </w:rPr>
            </w:pPr>
          </w:p>
        </w:tc>
      </w:tr>
      <w:tr w:rsidR="00111B2D" w14:paraId="3DB7377A" w14:textId="77777777" w:rsidTr="004D71D2">
        <w:tc>
          <w:tcPr>
            <w:tcW w:w="498" w:type="dxa"/>
          </w:tcPr>
          <w:p w14:paraId="1488A3B0" w14:textId="77777777" w:rsidR="00111B2D" w:rsidRPr="00B626B4" w:rsidRDefault="00111B2D" w:rsidP="004D71D2">
            <w:pPr>
              <w:rPr>
                <w:rFonts w:ascii="Calibri" w:hAnsi="Calibri" w:cs="Calibri"/>
                <w:b/>
                <w:bCs/>
                <w:color w:val="000000" w:themeColor="text1"/>
                <w:sz w:val="20"/>
                <w:szCs w:val="20"/>
              </w:rPr>
            </w:pPr>
            <w:r>
              <w:rPr>
                <w:rFonts w:ascii="Calibri" w:hAnsi="Calibri" w:cs="Calibri"/>
                <w:b/>
                <w:bCs/>
                <w:color w:val="000000" w:themeColor="text1"/>
                <w:sz w:val="20"/>
                <w:szCs w:val="20"/>
              </w:rPr>
              <w:t>4</w:t>
            </w:r>
          </w:p>
        </w:tc>
        <w:tc>
          <w:tcPr>
            <w:tcW w:w="3330" w:type="dxa"/>
          </w:tcPr>
          <w:p w14:paraId="58FC48C4" w14:textId="3494BBE4" w:rsidR="00111B2D" w:rsidRPr="00F31A41" w:rsidRDefault="00FF7349" w:rsidP="004D71D2">
            <w:pPr>
              <w:rPr>
                <w:rFonts w:ascii="Calibri" w:hAnsi="Calibri" w:cs="Calibri"/>
                <w:i/>
                <w:iCs/>
                <w:color w:val="000000" w:themeColor="text1"/>
                <w:sz w:val="20"/>
                <w:szCs w:val="20"/>
              </w:rPr>
            </w:pPr>
            <w:r>
              <w:rPr>
                <w:rFonts w:ascii="Calibri" w:hAnsi="Calibri" w:cs="Calibri"/>
                <w:i/>
                <w:iCs/>
                <w:color w:val="000000" w:themeColor="text1"/>
                <w:sz w:val="20"/>
                <w:szCs w:val="20"/>
              </w:rPr>
              <w:t>Other direct costs</w:t>
            </w:r>
          </w:p>
        </w:tc>
        <w:tc>
          <w:tcPr>
            <w:tcW w:w="3402" w:type="dxa"/>
          </w:tcPr>
          <w:p w14:paraId="56B7194C" w14:textId="77777777" w:rsidR="00111B2D" w:rsidRPr="00DC2D12" w:rsidRDefault="00DC2D12" w:rsidP="00D860CE">
            <w:pPr>
              <w:rPr>
                <w:sz w:val="20"/>
                <w:szCs w:val="20"/>
              </w:rPr>
            </w:pPr>
            <w:r w:rsidRPr="00DC2D12">
              <w:rPr>
                <w:rFonts w:ascii="Calibri" w:hAnsi="Calibri" w:cs="Calibri"/>
                <w:color w:val="000000" w:themeColor="text1"/>
                <w:sz w:val="20"/>
                <w:szCs w:val="20"/>
              </w:rPr>
              <w:t xml:space="preserve">4.1. </w:t>
            </w:r>
            <w:r w:rsidRPr="00DC2D12">
              <w:rPr>
                <w:rFonts w:ascii="Calibri" w:hAnsi="Calibri"/>
                <w:color w:val="000000" w:themeColor="text1"/>
                <w:sz w:val="20"/>
                <w:szCs w:val="20"/>
              </w:rPr>
              <w:t>U</w:t>
            </w:r>
            <w:r w:rsidRPr="00DC2D12">
              <w:rPr>
                <w:sz w:val="20"/>
                <w:szCs w:val="20"/>
              </w:rPr>
              <w:t>tilities (telephone, internet, office space; stationery etc.)</w:t>
            </w:r>
          </w:p>
          <w:p w14:paraId="76E6EF4C" w14:textId="77777777" w:rsidR="00DC2D12" w:rsidRPr="00DC2D12" w:rsidRDefault="00DC2D12" w:rsidP="00D860CE">
            <w:pPr>
              <w:rPr>
                <w:rFonts w:ascii="Calibri" w:hAnsi="Calibri"/>
                <w:color w:val="000000" w:themeColor="text1"/>
                <w:sz w:val="20"/>
                <w:szCs w:val="20"/>
              </w:rPr>
            </w:pPr>
          </w:p>
          <w:p w14:paraId="17569ACE" w14:textId="5C20896B" w:rsidR="00DC2D12" w:rsidRPr="00F31A41" w:rsidRDefault="00DC2D12" w:rsidP="00D860CE">
            <w:pPr>
              <w:rPr>
                <w:rFonts w:ascii="Calibri" w:hAnsi="Calibri" w:cs="Calibri"/>
                <w:color w:val="000000" w:themeColor="text1"/>
                <w:sz w:val="20"/>
                <w:szCs w:val="20"/>
              </w:rPr>
            </w:pPr>
            <w:r w:rsidRPr="00DC2D12">
              <w:rPr>
                <w:rFonts w:ascii="Calibri" w:hAnsi="Calibri"/>
                <w:color w:val="000000" w:themeColor="text1"/>
                <w:sz w:val="20"/>
                <w:szCs w:val="20"/>
              </w:rPr>
              <w:t xml:space="preserve">4.2. </w:t>
            </w:r>
            <w:r w:rsidRPr="00DC2D12">
              <w:rPr>
                <w:sz w:val="20"/>
                <w:szCs w:val="20"/>
              </w:rPr>
              <w:t>Equipment (computers, printers, desks chairs etc)</w:t>
            </w:r>
          </w:p>
        </w:tc>
        <w:tc>
          <w:tcPr>
            <w:tcW w:w="1712" w:type="dxa"/>
          </w:tcPr>
          <w:p w14:paraId="707D97A4" w14:textId="77777777" w:rsidR="00111B2D" w:rsidRPr="00F31A41" w:rsidRDefault="00111B2D" w:rsidP="004D71D2">
            <w:pPr>
              <w:rPr>
                <w:rFonts w:ascii="Calibri" w:hAnsi="Calibri" w:cs="Calibri"/>
                <w:color w:val="000000" w:themeColor="text1"/>
                <w:sz w:val="20"/>
                <w:szCs w:val="20"/>
              </w:rPr>
            </w:pPr>
          </w:p>
        </w:tc>
        <w:tc>
          <w:tcPr>
            <w:tcW w:w="1690" w:type="dxa"/>
          </w:tcPr>
          <w:p w14:paraId="1D2F615F" w14:textId="77777777" w:rsidR="00111B2D" w:rsidRPr="00F31A41" w:rsidRDefault="00111B2D" w:rsidP="004D71D2">
            <w:pPr>
              <w:rPr>
                <w:rFonts w:ascii="Calibri" w:hAnsi="Calibri" w:cs="Calibri"/>
                <w:color w:val="000000" w:themeColor="text1"/>
                <w:sz w:val="20"/>
                <w:szCs w:val="20"/>
              </w:rPr>
            </w:pPr>
          </w:p>
        </w:tc>
      </w:tr>
      <w:tr w:rsidR="00111B2D" w14:paraId="520E1293" w14:textId="77777777" w:rsidTr="004D71D2">
        <w:tc>
          <w:tcPr>
            <w:tcW w:w="498" w:type="dxa"/>
          </w:tcPr>
          <w:p w14:paraId="38D8257A" w14:textId="77777777" w:rsidR="00111B2D" w:rsidRPr="00B626B4" w:rsidRDefault="00111B2D" w:rsidP="004D71D2">
            <w:pPr>
              <w:rPr>
                <w:rFonts w:ascii="Calibri" w:hAnsi="Calibri" w:cs="Calibri"/>
                <w:b/>
                <w:bCs/>
                <w:color w:val="000000" w:themeColor="text1"/>
                <w:sz w:val="20"/>
                <w:szCs w:val="20"/>
              </w:rPr>
            </w:pPr>
            <w:r>
              <w:rPr>
                <w:rFonts w:ascii="Calibri" w:hAnsi="Calibri" w:cs="Calibri"/>
                <w:b/>
                <w:bCs/>
                <w:color w:val="000000" w:themeColor="text1"/>
                <w:sz w:val="20"/>
                <w:szCs w:val="20"/>
              </w:rPr>
              <w:t>5</w:t>
            </w:r>
          </w:p>
        </w:tc>
        <w:tc>
          <w:tcPr>
            <w:tcW w:w="3330" w:type="dxa"/>
          </w:tcPr>
          <w:p w14:paraId="57229136" w14:textId="77777777" w:rsidR="00111B2D" w:rsidRPr="00F31A41" w:rsidRDefault="00111B2D" w:rsidP="004D71D2">
            <w:pPr>
              <w:rPr>
                <w:rFonts w:ascii="Calibri" w:hAnsi="Calibri" w:cs="Calibri"/>
                <w:i/>
                <w:iCs/>
                <w:color w:val="000000" w:themeColor="text1"/>
                <w:sz w:val="20"/>
                <w:szCs w:val="20"/>
              </w:rPr>
            </w:pPr>
            <w:r w:rsidRPr="00F31A41">
              <w:rPr>
                <w:rFonts w:ascii="Calibri" w:hAnsi="Calibri" w:cs="Calibri"/>
                <w:i/>
                <w:iCs/>
                <w:color w:val="000000" w:themeColor="text1"/>
                <w:sz w:val="20"/>
                <w:szCs w:val="20"/>
              </w:rPr>
              <w:t>Communications</w:t>
            </w:r>
          </w:p>
        </w:tc>
        <w:tc>
          <w:tcPr>
            <w:tcW w:w="3402" w:type="dxa"/>
          </w:tcPr>
          <w:p w14:paraId="6429A0ED" w14:textId="410C0A73" w:rsidR="00111B2D" w:rsidRPr="00F31A41" w:rsidRDefault="00111B2D" w:rsidP="004D71D2">
            <w:pPr>
              <w:rPr>
                <w:rFonts w:ascii="Calibri" w:hAnsi="Calibri" w:cs="Calibri"/>
                <w:color w:val="000000" w:themeColor="text1"/>
                <w:sz w:val="20"/>
                <w:szCs w:val="20"/>
              </w:rPr>
            </w:pPr>
            <w:r w:rsidRPr="00F31A41">
              <w:rPr>
                <w:rFonts w:ascii="Calibri" w:hAnsi="Calibri" w:cs="Calibri"/>
                <w:color w:val="000000" w:themeColor="text1"/>
                <w:sz w:val="20"/>
                <w:szCs w:val="20"/>
              </w:rPr>
              <w:t xml:space="preserve">Audio-visuals, print production, Radio, TV discussions, Newspaper adverts on issues relating to </w:t>
            </w:r>
            <w:r w:rsidR="008A66A5">
              <w:rPr>
                <w:rFonts w:ascii="Calibri" w:hAnsi="Calibri" w:cs="Calibri"/>
                <w:color w:val="000000" w:themeColor="text1"/>
                <w:sz w:val="20"/>
                <w:szCs w:val="20"/>
              </w:rPr>
              <w:t xml:space="preserve">safeguards/SIS/SOI (as </w:t>
            </w:r>
            <w:r w:rsidR="00F25797" w:rsidRPr="001547B3">
              <w:rPr>
                <w:rFonts w:ascii="Calibri" w:hAnsi="Calibri" w:cs="Calibri"/>
                <w:bCs/>
                <w:iCs/>
                <w:color w:val="000000" w:themeColor="text1"/>
                <w:sz w:val="20"/>
                <w:szCs w:val="20"/>
              </w:rPr>
              <w:t xml:space="preserve">determined by the </w:t>
            </w:r>
            <w:r w:rsidR="00F25797" w:rsidRPr="001547B3">
              <w:rPr>
                <w:rFonts w:ascii="Calibri" w:hAnsi="Calibri" w:cs="Calibri"/>
                <w:bCs/>
                <w:iCs/>
                <w:color w:val="000000" w:themeColor="text1"/>
                <w:sz w:val="20"/>
                <w:szCs w:val="20"/>
                <w:lang w:val="en-US"/>
              </w:rPr>
              <w:t xml:space="preserve">REDD+ Safeguards TWC and </w:t>
            </w:r>
            <w:r w:rsidR="00F25797" w:rsidRPr="001547B3">
              <w:rPr>
                <w:rFonts w:ascii="Calibri" w:hAnsi="Calibri" w:cs="Calibri"/>
                <w:bCs/>
                <w:iCs/>
                <w:color w:val="000000" w:themeColor="text1"/>
                <w:sz w:val="20"/>
                <w:szCs w:val="20"/>
              </w:rPr>
              <w:t>National Safeguards Specialist</w:t>
            </w:r>
            <w:r w:rsidR="00F25797">
              <w:rPr>
                <w:rFonts w:ascii="Calibri" w:hAnsi="Calibri" w:cs="Calibri"/>
                <w:bCs/>
                <w:iCs/>
                <w:color w:val="000000" w:themeColor="text1"/>
                <w:sz w:val="20"/>
                <w:szCs w:val="20"/>
              </w:rPr>
              <w:t>)</w:t>
            </w:r>
          </w:p>
        </w:tc>
        <w:tc>
          <w:tcPr>
            <w:tcW w:w="1712" w:type="dxa"/>
          </w:tcPr>
          <w:p w14:paraId="2C0F9BE9" w14:textId="77777777" w:rsidR="00111B2D" w:rsidRPr="00F31A41" w:rsidRDefault="00111B2D" w:rsidP="004D71D2">
            <w:pPr>
              <w:rPr>
                <w:rFonts w:ascii="Calibri" w:hAnsi="Calibri" w:cs="Calibri"/>
                <w:color w:val="000000" w:themeColor="text1"/>
                <w:sz w:val="20"/>
                <w:szCs w:val="20"/>
              </w:rPr>
            </w:pPr>
          </w:p>
        </w:tc>
        <w:tc>
          <w:tcPr>
            <w:tcW w:w="1690" w:type="dxa"/>
          </w:tcPr>
          <w:p w14:paraId="6DDCFE20" w14:textId="05F9AF87" w:rsidR="00111B2D" w:rsidRPr="00F31A41" w:rsidRDefault="00111B2D" w:rsidP="004D71D2">
            <w:pPr>
              <w:rPr>
                <w:rFonts w:ascii="Calibri" w:hAnsi="Calibri" w:cs="Calibri"/>
                <w:color w:val="000000" w:themeColor="text1"/>
                <w:sz w:val="20"/>
                <w:szCs w:val="20"/>
              </w:rPr>
            </w:pPr>
          </w:p>
        </w:tc>
      </w:tr>
      <w:tr w:rsidR="00111B2D" w14:paraId="48E63CD0" w14:textId="77777777" w:rsidTr="004D71D2">
        <w:tc>
          <w:tcPr>
            <w:tcW w:w="498" w:type="dxa"/>
          </w:tcPr>
          <w:p w14:paraId="00EB8279" w14:textId="77777777" w:rsidR="00111B2D" w:rsidRPr="00B626B4" w:rsidRDefault="00111B2D" w:rsidP="004D71D2">
            <w:pPr>
              <w:rPr>
                <w:rFonts w:ascii="Calibri" w:hAnsi="Calibri" w:cs="Calibri"/>
                <w:b/>
                <w:bCs/>
                <w:color w:val="000000" w:themeColor="text1"/>
                <w:sz w:val="20"/>
                <w:szCs w:val="20"/>
              </w:rPr>
            </w:pPr>
            <w:r>
              <w:rPr>
                <w:rFonts w:ascii="Calibri" w:hAnsi="Calibri" w:cs="Calibri"/>
                <w:b/>
                <w:bCs/>
                <w:color w:val="000000" w:themeColor="text1"/>
                <w:sz w:val="20"/>
                <w:szCs w:val="20"/>
              </w:rPr>
              <w:t>6</w:t>
            </w:r>
          </w:p>
        </w:tc>
        <w:tc>
          <w:tcPr>
            <w:tcW w:w="3330" w:type="dxa"/>
          </w:tcPr>
          <w:p w14:paraId="0D2B67E8" w14:textId="4C0770E6" w:rsidR="00D8346C" w:rsidRPr="00D8346C" w:rsidRDefault="0070257E" w:rsidP="00D8346C">
            <w:pPr>
              <w:rPr>
                <w:rFonts w:ascii="Calibri" w:hAnsi="Calibri" w:cs="Calibri"/>
                <w:bCs/>
                <w:i/>
                <w:iCs/>
                <w:color w:val="000000" w:themeColor="text1"/>
                <w:sz w:val="20"/>
                <w:szCs w:val="20"/>
              </w:rPr>
            </w:pPr>
            <w:r>
              <w:rPr>
                <w:rFonts w:ascii="Calibri" w:hAnsi="Calibri" w:cs="Calibri"/>
                <w:bCs/>
                <w:i/>
                <w:iCs/>
                <w:color w:val="000000" w:themeColor="text1"/>
                <w:sz w:val="20"/>
                <w:szCs w:val="20"/>
              </w:rPr>
              <w:t xml:space="preserve">SIS </w:t>
            </w:r>
            <w:r w:rsidR="00D8346C" w:rsidRPr="00D8346C">
              <w:rPr>
                <w:rFonts w:ascii="Calibri" w:hAnsi="Calibri" w:cs="Calibri"/>
                <w:bCs/>
                <w:i/>
                <w:iCs/>
                <w:color w:val="000000" w:themeColor="text1"/>
                <w:sz w:val="20"/>
                <w:szCs w:val="20"/>
              </w:rPr>
              <w:t>Web page, database and general IT</w:t>
            </w:r>
          </w:p>
          <w:p w14:paraId="65F9131A" w14:textId="26A7C488" w:rsidR="00111B2D" w:rsidRPr="00F31A41" w:rsidRDefault="00111B2D" w:rsidP="004D71D2">
            <w:pPr>
              <w:rPr>
                <w:rFonts w:ascii="Calibri" w:hAnsi="Calibri" w:cs="Calibri"/>
                <w:i/>
                <w:iCs/>
                <w:color w:val="000000" w:themeColor="text1"/>
                <w:sz w:val="20"/>
                <w:szCs w:val="20"/>
              </w:rPr>
            </w:pPr>
          </w:p>
        </w:tc>
        <w:tc>
          <w:tcPr>
            <w:tcW w:w="3402" w:type="dxa"/>
          </w:tcPr>
          <w:p w14:paraId="2B201101" w14:textId="367B0105" w:rsidR="003F43DF" w:rsidRDefault="00A76A69" w:rsidP="004D71D2">
            <w:pPr>
              <w:rPr>
                <w:rFonts w:ascii="Calibri" w:hAnsi="Calibri" w:cs="Calibri"/>
                <w:color w:val="000000" w:themeColor="text1"/>
                <w:sz w:val="20"/>
                <w:szCs w:val="20"/>
              </w:rPr>
            </w:pPr>
            <w:r>
              <w:rPr>
                <w:rFonts w:ascii="Calibri" w:hAnsi="Calibri" w:cs="Calibri"/>
                <w:color w:val="000000" w:themeColor="text1"/>
                <w:sz w:val="20"/>
                <w:szCs w:val="20"/>
              </w:rPr>
              <w:t>6.1.</w:t>
            </w:r>
            <w:r w:rsidR="003F43DF">
              <w:rPr>
                <w:rFonts w:ascii="Calibri" w:hAnsi="Calibri" w:cs="Calibri"/>
                <w:color w:val="000000" w:themeColor="text1"/>
                <w:sz w:val="20"/>
                <w:szCs w:val="20"/>
              </w:rPr>
              <w:t xml:space="preserve"> Operation and maintenance of website</w:t>
            </w:r>
            <w:r w:rsidR="00323E15">
              <w:rPr>
                <w:rFonts w:ascii="Calibri" w:hAnsi="Calibri" w:cs="Calibri"/>
                <w:color w:val="000000" w:themeColor="text1"/>
                <w:sz w:val="20"/>
                <w:szCs w:val="20"/>
              </w:rPr>
              <w:t xml:space="preserve"> and database</w:t>
            </w:r>
          </w:p>
          <w:p w14:paraId="1309A6C4" w14:textId="77777777" w:rsidR="003F43DF" w:rsidRDefault="003F43DF" w:rsidP="004D71D2">
            <w:pPr>
              <w:rPr>
                <w:rFonts w:ascii="Calibri" w:hAnsi="Calibri" w:cs="Calibri"/>
                <w:color w:val="000000" w:themeColor="text1"/>
                <w:sz w:val="20"/>
                <w:szCs w:val="20"/>
              </w:rPr>
            </w:pPr>
          </w:p>
          <w:p w14:paraId="5C735A32" w14:textId="07B32238" w:rsidR="00A76A69" w:rsidRDefault="003F43DF" w:rsidP="004D71D2">
            <w:pPr>
              <w:rPr>
                <w:rFonts w:ascii="Calibri" w:hAnsi="Calibri" w:cs="Calibri"/>
                <w:color w:val="000000" w:themeColor="text1"/>
                <w:sz w:val="20"/>
                <w:szCs w:val="20"/>
              </w:rPr>
            </w:pPr>
            <w:r>
              <w:rPr>
                <w:rFonts w:ascii="Calibri" w:hAnsi="Calibri" w:cs="Calibri"/>
                <w:color w:val="000000" w:themeColor="text1"/>
                <w:sz w:val="20"/>
                <w:szCs w:val="20"/>
              </w:rPr>
              <w:t xml:space="preserve">6.2. Server maintenance/ </w:t>
            </w:r>
            <w:r w:rsidR="00A76A69">
              <w:rPr>
                <w:rFonts w:ascii="Calibri" w:hAnsi="Calibri" w:cs="Calibri"/>
                <w:color w:val="000000" w:themeColor="text1"/>
                <w:sz w:val="20"/>
                <w:szCs w:val="20"/>
              </w:rPr>
              <w:t>IT support/costs</w:t>
            </w:r>
          </w:p>
          <w:p w14:paraId="77E966EA" w14:textId="523952DD" w:rsidR="00111B2D" w:rsidRPr="00F31A41" w:rsidRDefault="00111B2D" w:rsidP="004D71D2">
            <w:pPr>
              <w:rPr>
                <w:rFonts w:ascii="Calibri" w:hAnsi="Calibri" w:cs="Calibri"/>
                <w:color w:val="000000" w:themeColor="text1"/>
                <w:sz w:val="20"/>
                <w:szCs w:val="20"/>
              </w:rPr>
            </w:pPr>
          </w:p>
        </w:tc>
        <w:tc>
          <w:tcPr>
            <w:tcW w:w="1712" w:type="dxa"/>
          </w:tcPr>
          <w:p w14:paraId="501E13AC" w14:textId="77777777" w:rsidR="00111B2D" w:rsidRPr="00F31A41" w:rsidRDefault="00111B2D" w:rsidP="004D71D2">
            <w:pPr>
              <w:rPr>
                <w:rFonts w:ascii="Calibri" w:hAnsi="Calibri" w:cs="Calibri"/>
                <w:color w:val="000000" w:themeColor="text1"/>
                <w:sz w:val="20"/>
                <w:szCs w:val="20"/>
              </w:rPr>
            </w:pPr>
          </w:p>
          <w:p w14:paraId="2CE58048" w14:textId="5A20620F" w:rsidR="00111B2D" w:rsidRPr="00F31A41" w:rsidRDefault="00111B2D" w:rsidP="004D71D2">
            <w:pPr>
              <w:rPr>
                <w:rFonts w:ascii="Calibri" w:hAnsi="Calibri" w:cs="Calibri"/>
                <w:color w:val="000000" w:themeColor="text1"/>
                <w:sz w:val="20"/>
                <w:szCs w:val="20"/>
              </w:rPr>
            </w:pPr>
          </w:p>
          <w:p w14:paraId="7B7718FA" w14:textId="77777777" w:rsidR="00111B2D" w:rsidRDefault="00111B2D" w:rsidP="004D71D2">
            <w:pPr>
              <w:rPr>
                <w:rFonts w:ascii="Calibri" w:hAnsi="Calibri" w:cs="Calibri"/>
                <w:color w:val="000000" w:themeColor="text1"/>
                <w:sz w:val="20"/>
                <w:szCs w:val="20"/>
              </w:rPr>
            </w:pPr>
          </w:p>
          <w:p w14:paraId="3FC5453D" w14:textId="5A0F0EC3" w:rsidR="00111B2D" w:rsidRPr="00F31A41" w:rsidRDefault="00111B2D" w:rsidP="004D71D2">
            <w:pPr>
              <w:rPr>
                <w:rFonts w:ascii="Calibri" w:hAnsi="Calibri" w:cs="Calibri"/>
                <w:color w:val="000000" w:themeColor="text1"/>
                <w:sz w:val="20"/>
                <w:szCs w:val="20"/>
              </w:rPr>
            </w:pPr>
          </w:p>
        </w:tc>
        <w:tc>
          <w:tcPr>
            <w:tcW w:w="1690" w:type="dxa"/>
          </w:tcPr>
          <w:p w14:paraId="0DFDF9A6" w14:textId="77777777" w:rsidR="00111B2D" w:rsidRPr="00F31A41" w:rsidRDefault="00111B2D" w:rsidP="004D71D2">
            <w:pPr>
              <w:rPr>
                <w:rFonts w:ascii="Calibri" w:hAnsi="Calibri" w:cs="Calibri"/>
                <w:color w:val="000000" w:themeColor="text1"/>
                <w:sz w:val="20"/>
                <w:szCs w:val="20"/>
              </w:rPr>
            </w:pPr>
          </w:p>
          <w:p w14:paraId="635F0987" w14:textId="77777777" w:rsidR="00111B2D" w:rsidRPr="00F31A41" w:rsidRDefault="00111B2D" w:rsidP="004D71D2">
            <w:pPr>
              <w:rPr>
                <w:rFonts w:ascii="Calibri" w:hAnsi="Calibri" w:cs="Calibri"/>
                <w:color w:val="000000" w:themeColor="text1"/>
                <w:sz w:val="20"/>
                <w:szCs w:val="20"/>
              </w:rPr>
            </w:pPr>
          </w:p>
          <w:p w14:paraId="4FFD7109" w14:textId="275EC0ED" w:rsidR="00111B2D" w:rsidRPr="00F31A41" w:rsidRDefault="00111B2D" w:rsidP="004D71D2">
            <w:pPr>
              <w:rPr>
                <w:rFonts w:ascii="Calibri" w:hAnsi="Calibri" w:cs="Calibri"/>
                <w:color w:val="000000" w:themeColor="text1"/>
                <w:sz w:val="20"/>
                <w:szCs w:val="20"/>
              </w:rPr>
            </w:pPr>
          </w:p>
        </w:tc>
      </w:tr>
      <w:tr w:rsidR="00111B2D" w14:paraId="3AB8933A" w14:textId="77777777" w:rsidTr="004D71D2">
        <w:tc>
          <w:tcPr>
            <w:tcW w:w="8942" w:type="dxa"/>
            <w:gridSpan w:val="4"/>
          </w:tcPr>
          <w:p w14:paraId="43B7C989" w14:textId="77777777" w:rsidR="00111B2D" w:rsidRPr="00C808BD" w:rsidRDefault="00111B2D" w:rsidP="004D71D2">
            <w:pPr>
              <w:rPr>
                <w:rFonts w:ascii="Calibri" w:hAnsi="Calibri" w:cs="Calibri"/>
                <w:b/>
                <w:bCs/>
                <w:i/>
                <w:iCs/>
                <w:color w:val="000000" w:themeColor="text1"/>
              </w:rPr>
            </w:pPr>
            <w:r w:rsidRPr="00C808BD">
              <w:rPr>
                <w:rFonts w:ascii="Calibri" w:hAnsi="Calibri" w:cs="Calibri"/>
                <w:b/>
                <w:bCs/>
                <w:i/>
                <w:iCs/>
                <w:color w:val="000000" w:themeColor="text1"/>
              </w:rPr>
              <w:t xml:space="preserve">  Estimated Grand Total </w:t>
            </w:r>
          </w:p>
        </w:tc>
        <w:tc>
          <w:tcPr>
            <w:tcW w:w="1690" w:type="dxa"/>
          </w:tcPr>
          <w:p w14:paraId="7CBB5BAA" w14:textId="791C1804" w:rsidR="00111B2D" w:rsidRPr="00F31A41" w:rsidRDefault="00111B2D" w:rsidP="004D71D2">
            <w:pPr>
              <w:rPr>
                <w:rFonts w:ascii="Calibri" w:hAnsi="Calibri" w:cs="Calibri"/>
                <w:color w:val="000000" w:themeColor="text1"/>
                <w:szCs w:val="22"/>
              </w:rPr>
            </w:pPr>
          </w:p>
        </w:tc>
      </w:tr>
    </w:tbl>
    <w:p w14:paraId="5E21B350" w14:textId="77777777" w:rsidR="00DE7915" w:rsidRDefault="00DE7915" w:rsidP="007D01FA">
      <w:pPr>
        <w:rPr>
          <w:b/>
        </w:rPr>
      </w:pPr>
    </w:p>
    <w:p w14:paraId="425A65CC" w14:textId="77777777" w:rsidR="00304DB3" w:rsidRPr="00D713EB" w:rsidRDefault="00304DB3" w:rsidP="007D01FA">
      <w:pPr>
        <w:rPr>
          <w:b/>
        </w:rPr>
      </w:pPr>
    </w:p>
    <w:p w14:paraId="1860E169" w14:textId="77777777" w:rsidR="007D01FA" w:rsidRPr="00D713EB" w:rsidRDefault="007D01FA" w:rsidP="007D01FA">
      <w:pPr>
        <w:rPr>
          <w:b/>
        </w:rPr>
      </w:pPr>
    </w:p>
    <w:p w14:paraId="57B42CC5" w14:textId="77777777" w:rsidR="007D01FA" w:rsidRPr="00D713EB" w:rsidRDefault="007D01FA" w:rsidP="007D01FA">
      <w:pPr>
        <w:rPr>
          <w:b/>
        </w:rPr>
      </w:pPr>
    </w:p>
    <w:p w14:paraId="17539F7F" w14:textId="77777777" w:rsidR="001501B8" w:rsidRDefault="001501B8">
      <w:pPr>
        <w:jc w:val="left"/>
        <w:rPr>
          <w:rFonts w:asciiTheme="majorHAnsi" w:eastAsiaTheme="majorEastAsia" w:hAnsiTheme="majorHAnsi" w:cstheme="majorBidi"/>
          <w:color w:val="2F5496" w:themeColor="accent1" w:themeShade="BF"/>
          <w:sz w:val="32"/>
          <w:szCs w:val="32"/>
        </w:rPr>
      </w:pPr>
      <w:r>
        <w:br w:type="page"/>
      </w:r>
    </w:p>
    <w:p w14:paraId="3626612D" w14:textId="62910219" w:rsidR="007D01FA" w:rsidRPr="00937301" w:rsidRDefault="001501B8" w:rsidP="00937301">
      <w:pPr>
        <w:pStyle w:val="Heading1"/>
      </w:pPr>
      <w:bookmarkStart w:id="40" w:name="_Toc59493637"/>
      <w:r w:rsidRPr="00937301">
        <w:t xml:space="preserve">Annex VI: Hard Copy </w:t>
      </w:r>
      <w:r w:rsidR="00937301" w:rsidRPr="00937301">
        <w:t>‘SIS information management and reporting cycle workplan’ template</w:t>
      </w:r>
      <w:bookmarkEnd w:id="40"/>
    </w:p>
    <w:p w14:paraId="796ACC7E" w14:textId="77777777" w:rsidR="007D01FA" w:rsidRPr="00D713EB" w:rsidRDefault="007D01FA" w:rsidP="007D01FA">
      <w:pPr>
        <w:pStyle w:val="ListParagraph"/>
        <w:rPr>
          <w:color w:val="000000" w:themeColor="text1"/>
        </w:rPr>
      </w:pPr>
    </w:p>
    <w:p w14:paraId="1133F31D" w14:textId="77777777" w:rsidR="007D01FA" w:rsidRPr="00D713EB" w:rsidRDefault="007D01FA" w:rsidP="007D01FA"/>
    <w:p w14:paraId="38959A65" w14:textId="093D8BE8" w:rsidR="007D01FA" w:rsidRDefault="00C3512D" w:rsidP="00741A00">
      <w:r>
        <w:t>See Excel Document Attached.</w:t>
      </w:r>
    </w:p>
    <w:p w14:paraId="04731128" w14:textId="4D65D27E" w:rsidR="007537E4" w:rsidRDefault="007537E4" w:rsidP="00741A00"/>
    <w:p w14:paraId="564916FF" w14:textId="4D040BB4" w:rsidR="007537E4" w:rsidRDefault="007537E4">
      <w:pPr>
        <w:jc w:val="left"/>
      </w:pPr>
      <w:r>
        <w:br w:type="page"/>
      </w:r>
    </w:p>
    <w:p w14:paraId="0B8CAEB6" w14:textId="6B1618C5" w:rsidR="007537E4" w:rsidRPr="00937301" w:rsidRDefault="007537E4" w:rsidP="007537E4">
      <w:pPr>
        <w:pStyle w:val="Heading1"/>
      </w:pPr>
      <w:bookmarkStart w:id="41" w:name="_Toc59493638"/>
      <w:r w:rsidRPr="00937301">
        <w:t>Annex V</w:t>
      </w:r>
      <w:r>
        <w:t>I</w:t>
      </w:r>
      <w:r w:rsidRPr="00937301">
        <w:t xml:space="preserve">I: </w:t>
      </w:r>
      <w:r w:rsidR="00A07420">
        <w:t>Overview on PNG’s Cancun Safeguards description, core elements, indicators and relevant sources, systems, conventions and treaties.</w:t>
      </w:r>
      <w:bookmarkEnd w:id="41"/>
    </w:p>
    <w:p w14:paraId="2F173C7B" w14:textId="77777777" w:rsidR="007537E4" w:rsidRPr="00D713EB" w:rsidRDefault="007537E4" w:rsidP="007537E4">
      <w:pPr>
        <w:pStyle w:val="ListParagraph"/>
        <w:rPr>
          <w:color w:val="000000" w:themeColor="text1"/>
        </w:rPr>
      </w:pPr>
    </w:p>
    <w:p w14:paraId="00FC1017" w14:textId="77777777" w:rsidR="008D65C3" w:rsidRDefault="00D83AA3" w:rsidP="000C17E7">
      <w:r w:rsidRPr="00D713EB">
        <w:t xml:space="preserve">The following annex presents </w:t>
      </w:r>
      <w:r w:rsidR="00286E01">
        <w:t xml:space="preserve">an overview of all Cancun Safeguards, PNG’s national description and respective core elements and indicators, for both ‘address’ and ‘respect’. The following annex aim to support the collection, aggregation and assessment of information on all safeguards in a comprehensive manner by </w:t>
      </w:r>
      <w:r w:rsidR="00C5476F">
        <w:t xml:space="preserve">providing more clarity on </w:t>
      </w:r>
      <w:r w:rsidR="00C5476F" w:rsidRPr="00C5476F">
        <w:t xml:space="preserve">the policies, laws, regulations or institutional arrangements that seek to guarantee the implementation of the safeguards </w:t>
      </w:r>
      <w:r w:rsidR="00C5476F">
        <w:t>-underpinning</w:t>
      </w:r>
      <w:r w:rsidR="00C5476F" w:rsidRPr="00C5476F">
        <w:t xml:space="preserve"> ‘address’ indicators</w:t>
      </w:r>
      <w:r w:rsidR="00C5476F">
        <w:t xml:space="preserve">- and thus </w:t>
      </w:r>
      <w:r w:rsidR="004E79A4">
        <w:t>inform</w:t>
      </w:r>
      <w:r w:rsidR="00286E01" w:rsidRPr="00286E01">
        <w:t xml:space="preserve"> the </w:t>
      </w:r>
      <w:r w:rsidR="004E79A4">
        <w:t xml:space="preserve">collection and </w:t>
      </w:r>
      <w:r w:rsidR="00286E01" w:rsidRPr="00286E01">
        <w:t>report</w:t>
      </w:r>
      <w:r w:rsidR="004E79A4">
        <w:t xml:space="preserve"> of information</w:t>
      </w:r>
      <w:r w:rsidR="00286E01" w:rsidRPr="00286E01">
        <w:t xml:space="preserve"> on the extent to which each of the Cancun Safeguard has been achieved </w:t>
      </w:r>
      <w:r w:rsidR="004E79A4">
        <w:t>-</w:t>
      </w:r>
      <w:r w:rsidR="00286E01" w:rsidRPr="00286E01">
        <w:t xml:space="preserve">or </w:t>
      </w:r>
      <w:r w:rsidR="004E79A4">
        <w:t>‘</w:t>
      </w:r>
      <w:r w:rsidR="00286E01" w:rsidRPr="00286E01">
        <w:t>respected</w:t>
      </w:r>
      <w:r w:rsidR="004E79A4">
        <w:t>’</w:t>
      </w:r>
      <w:r w:rsidR="00286E01" w:rsidRPr="00286E01">
        <w:t xml:space="preserve"> when implementing REDD+ actions. </w:t>
      </w:r>
    </w:p>
    <w:p w14:paraId="229725AF" w14:textId="77777777" w:rsidR="008D65C3" w:rsidRDefault="008D65C3" w:rsidP="000C17E7"/>
    <w:p w14:paraId="047BF280" w14:textId="6101F169" w:rsidR="00286E01" w:rsidRPr="00286E01" w:rsidRDefault="00FE2E93" w:rsidP="000C17E7">
      <w:pPr>
        <w:rPr>
          <w:lang w:val="en-US"/>
        </w:rPr>
      </w:pPr>
      <w:r>
        <w:t>In doing so, the table below aims to associate indicators for ‘respect’ with indicators for ‘address</w:t>
      </w:r>
      <w:r w:rsidR="0021482C">
        <w:t>’</w:t>
      </w:r>
      <w:r>
        <w:t xml:space="preserve"> in </w:t>
      </w:r>
      <w:r w:rsidR="0021482C">
        <w:t xml:space="preserve">relation to those core elements and/or PLRs underpinning each indicator so to provide an integrated understanding of information to be collected at a structural and outcome level with regards to the same broader thematic area. As such, </w:t>
      </w:r>
      <w:r w:rsidR="008D65C3">
        <w:t>indicators may be presented in a different order yet codification of each indicator has remained as per PNG’s national description and first SOI.</w:t>
      </w:r>
    </w:p>
    <w:p w14:paraId="32E0552A" w14:textId="77777777" w:rsidR="004E79A4" w:rsidRPr="0021482C" w:rsidRDefault="004E79A4" w:rsidP="007537E4">
      <w:pPr>
        <w:rPr>
          <w:lang w:val="en-US"/>
        </w:rPr>
      </w:pPr>
    </w:p>
    <w:p w14:paraId="2F41D4C7" w14:textId="1B51E8CC" w:rsidR="007537E4" w:rsidRDefault="007537E4" w:rsidP="00741A00">
      <w:pPr>
        <w:rPr>
          <w:lang w:val="en-US"/>
        </w:rPr>
      </w:pPr>
    </w:p>
    <w:tbl>
      <w:tblPr>
        <w:tblW w:w="10075" w:type="dxa"/>
        <w:tblLook w:val="04A0" w:firstRow="1" w:lastRow="0" w:firstColumn="1" w:lastColumn="0" w:noHBand="0" w:noVBand="1"/>
      </w:tblPr>
      <w:tblGrid>
        <w:gridCol w:w="2605"/>
        <w:gridCol w:w="180"/>
        <w:gridCol w:w="2721"/>
        <w:gridCol w:w="2409"/>
        <w:gridCol w:w="2160"/>
      </w:tblGrid>
      <w:tr w:rsidR="00042B62" w:rsidRPr="00042B62" w14:paraId="68B31A06" w14:textId="77777777" w:rsidTr="00042B62">
        <w:trPr>
          <w:trHeight w:val="900"/>
        </w:trPr>
        <w:tc>
          <w:tcPr>
            <w:tcW w:w="2785" w:type="dxa"/>
            <w:gridSpan w:val="2"/>
            <w:tcBorders>
              <w:top w:val="single" w:sz="4" w:space="0" w:color="auto"/>
              <w:left w:val="single" w:sz="4" w:space="0" w:color="auto"/>
              <w:bottom w:val="single" w:sz="4" w:space="0" w:color="auto"/>
              <w:right w:val="single" w:sz="4" w:space="0" w:color="auto"/>
            </w:tcBorders>
            <w:shd w:val="clear" w:color="000000" w:fill="8EA9DB"/>
            <w:vAlign w:val="center"/>
            <w:hideMark/>
          </w:tcPr>
          <w:p w14:paraId="2C1053AB" w14:textId="77777777" w:rsidR="00042B62" w:rsidRPr="00042B62" w:rsidRDefault="00042B62" w:rsidP="00042B62">
            <w:pPr>
              <w:jc w:val="left"/>
              <w:rPr>
                <w:rFonts w:ascii="Calibri" w:hAnsi="Calibri"/>
                <w:b/>
                <w:bCs/>
                <w:color w:val="000000"/>
                <w:sz w:val="24"/>
                <w:lang w:val="en-US" w:eastAsia="en-US"/>
              </w:rPr>
            </w:pPr>
            <w:r w:rsidRPr="00042B62">
              <w:rPr>
                <w:rFonts w:ascii="Calibri" w:hAnsi="Calibri"/>
                <w:b/>
                <w:bCs/>
                <w:color w:val="000000"/>
                <w:sz w:val="24"/>
                <w:lang w:val="en-US" w:eastAsia="en-US"/>
              </w:rPr>
              <w:t>Indicators for 'addressed'</w:t>
            </w:r>
          </w:p>
        </w:tc>
        <w:tc>
          <w:tcPr>
            <w:tcW w:w="2721" w:type="dxa"/>
            <w:tcBorders>
              <w:top w:val="single" w:sz="4" w:space="0" w:color="auto"/>
              <w:left w:val="nil"/>
              <w:bottom w:val="single" w:sz="4" w:space="0" w:color="auto"/>
              <w:right w:val="single" w:sz="4" w:space="0" w:color="auto"/>
            </w:tcBorders>
            <w:shd w:val="clear" w:color="000000" w:fill="8EA9DB"/>
            <w:vAlign w:val="center"/>
            <w:hideMark/>
          </w:tcPr>
          <w:p w14:paraId="0966810B" w14:textId="77777777" w:rsidR="00042B62" w:rsidRPr="00042B62" w:rsidRDefault="00042B62" w:rsidP="00042B62">
            <w:pPr>
              <w:jc w:val="left"/>
              <w:rPr>
                <w:rFonts w:ascii="Calibri" w:hAnsi="Calibri"/>
                <w:b/>
                <w:bCs/>
                <w:color w:val="000000"/>
                <w:sz w:val="24"/>
                <w:lang w:val="en-US" w:eastAsia="en-US"/>
              </w:rPr>
            </w:pPr>
            <w:r w:rsidRPr="00042B62">
              <w:rPr>
                <w:rFonts w:ascii="Calibri" w:hAnsi="Calibri"/>
                <w:b/>
                <w:bCs/>
                <w:color w:val="000000"/>
                <w:sz w:val="24"/>
                <w:lang w:val="en-US" w:eastAsia="en-US"/>
              </w:rPr>
              <w:t>Indicators for 'respected'</w:t>
            </w:r>
          </w:p>
        </w:tc>
        <w:tc>
          <w:tcPr>
            <w:tcW w:w="2409" w:type="dxa"/>
            <w:tcBorders>
              <w:top w:val="single" w:sz="4" w:space="0" w:color="auto"/>
              <w:left w:val="nil"/>
              <w:bottom w:val="single" w:sz="4" w:space="0" w:color="auto"/>
              <w:right w:val="single" w:sz="4" w:space="0" w:color="auto"/>
            </w:tcBorders>
            <w:shd w:val="clear" w:color="000000" w:fill="8EA9DB"/>
            <w:vAlign w:val="center"/>
            <w:hideMark/>
          </w:tcPr>
          <w:p w14:paraId="3C714622" w14:textId="77777777" w:rsidR="00042B62" w:rsidRPr="00042B62" w:rsidRDefault="00042B62" w:rsidP="00042B62">
            <w:pPr>
              <w:jc w:val="left"/>
              <w:rPr>
                <w:rFonts w:ascii="Calibri" w:hAnsi="Calibri"/>
                <w:b/>
                <w:bCs/>
                <w:color w:val="000000"/>
                <w:sz w:val="24"/>
                <w:lang w:val="en-US" w:eastAsia="en-US"/>
              </w:rPr>
            </w:pPr>
            <w:r w:rsidRPr="00042B62">
              <w:rPr>
                <w:rFonts w:ascii="Calibri" w:hAnsi="Calibri"/>
                <w:b/>
                <w:bCs/>
                <w:color w:val="000000"/>
                <w:sz w:val="24"/>
                <w:lang w:val="en-US" w:eastAsia="en-US"/>
              </w:rPr>
              <w:t>Systems / Sources of Information</w:t>
            </w:r>
          </w:p>
        </w:tc>
        <w:tc>
          <w:tcPr>
            <w:tcW w:w="2160" w:type="dxa"/>
            <w:tcBorders>
              <w:top w:val="single" w:sz="4" w:space="0" w:color="auto"/>
              <w:left w:val="nil"/>
              <w:bottom w:val="single" w:sz="4" w:space="0" w:color="auto"/>
              <w:right w:val="single" w:sz="4" w:space="0" w:color="auto"/>
            </w:tcBorders>
            <w:shd w:val="clear" w:color="000000" w:fill="8EA9DB"/>
            <w:vAlign w:val="center"/>
            <w:hideMark/>
          </w:tcPr>
          <w:p w14:paraId="609C5699" w14:textId="77777777" w:rsidR="00042B62" w:rsidRPr="00042B62" w:rsidRDefault="00042B62" w:rsidP="00042B62">
            <w:pPr>
              <w:jc w:val="left"/>
              <w:rPr>
                <w:rFonts w:ascii="Calibri" w:hAnsi="Calibri"/>
                <w:b/>
                <w:bCs/>
                <w:color w:val="000000"/>
                <w:sz w:val="24"/>
                <w:lang w:val="en-US" w:eastAsia="en-US"/>
              </w:rPr>
            </w:pPr>
            <w:r w:rsidRPr="00042B62">
              <w:rPr>
                <w:rFonts w:ascii="Calibri" w:hAnsi="Calibri"/>
                <w:b/>
                <w:bCs/>
                <w:color w:val="000000"/>
                <w:sz w:val="24"/>
                <w:lang w:val="en-US" w:eastAsia="en-US"/>
              </w:rPr>
              <w:t>International Conventions / Treaties</w:t>
            </w:r>
          </w:p>
        </w:tc>
      </w:tr>
      <w:tr w:rsidR="00042B62" w:rsidRPr="00042B62" w14:paraId="529C4A9A" w14:textId="77777777" w:rsidTr="00042B62">
        <w:trPr>
          <w:trHeight w:val="50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39FA4E58"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 xml:space="preserve">Safeguard (a) That actions complement or are consistent with the objectives of national forest </w:t>
            </w:r>
            <w:proofErr w:type="spellStart"/>
            <w:r w:rsidRPr="00042B62">
              <w:rPr>
                <w:rFonts w:ascii="Calibri" w:hAnsi="Calibri"/>
                <w:b/>
                <w:bCs/>
                <w:color w:val="000000"/>
                <w:szCs w:val="22"/>
                <w:lang w:val="en-US" w:eastAsia="en-US"/>
              </w:rPr>
              <w:t>programmes</w:t>
            </w:r>
            <w:proofErr w:type="spellEnd"/>
            <w:r w:rsidRPr="00042B62">
              <w:rPr>
                <w:rFonts w:ascii="Calibri" w:hAnsi="Calibri"/>
                <w:b/>
                <w:bCs/>
                <w:color w:val="000000"/>
                <w:szCs w:val="22"/>
                <w:lang w:val="en-US" w:eastAsia="en-US"/>
              </w:rPr>
              <w:t xml:space="preserve"> and relevant international conventions and agreements</w:t>
            </w:r>
          </w:p>
        </w:tc>
      </w:tr>
      <w:tr w:rsidR="00042B62" w:rsidRPr="00042B62" w14:paraId="43F18A58" w14:textId="77777777" w:rsidTr="00042B62">
        <w:trPr>
          <w:trHeight w:val="236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50E6DE7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 xml:space="preserve">The National REDD+ Strategy must be implemented in compliance with the objectives of national forest </w:t>
            </w:r>
            <w:proofErr w:type="spellStart"/>
            <w:r w:rsidRPr="00042B62">
              <w:rPr>
                <w:rFonts w:ascii="Calibri" w:hAnsi="Calibri"/>
                <w:color w:val="000000"/>
                <w:szCs w:val="22"/>
                <w:lang w:val="en-US" w:eastAsia="en-US"/>
              </w:rPr>
              <w:t>programmes</w:t>
            </w:r>
            <w:proofErr w:type="spellEnd"/>
            <w:r w:rsidRPr="00042B62">
              <w:rPr>
                <w:rFonts w:ascii="Calibri" w:hAnsi="Calibri"/>
                <w:color w:val="000000"/>
                <w:szCs w:val="22"/>
                <w:lang w:val="en-US" w:eastAsia="en-US"/>
              </w:rPr>
              <w:t>, and consistent with the provisions of the relevant treaties and international conventions to which PNG is Party.</w:t>
            </w:r>
            <w:r w:rsidRPr="00042B62">
              <w:rPr>
                <w:rFonts w:ascii="Calibri" w:hAnsi="Calibri"/>
                <w:color w:val="000000"/>
                <w:szCs w:val="22"/>
                <w:lang w:val="en-US" w:eastAsia="en-US"/>
              </w:rPr>
              <w:br/>
            </w:r>
            <w:r w:rsidRPr="00042B62">
              <w:rPr>
                <w:rFonts w:ascii="Calibri" w:hAnsi="Calibri"/>
                <w:color w:val="000000"/>
                <w:szCs w:val="22"/>
                <w:lang w:val="en-US" w:eastAsia="en-US"/>
              </w:rPr>
              <w:br/>
              <w:t>Core elements</w:t>
            </w:r>
            <w:r w:rsidRPr="00042B62">
              <w:rPr>
                <w:rFonts w:ascii="Calibri" w:hAnsi="Calibri"/>
                <w:color w:val="000000"/>
                <w:szCs w:val="22"/>
                <w:lang w:val="en-US" w:eastAsia="en-US"/>
              </w:rPr>
              <w:br/>
              <w:t xml:space="preserve">a. The National REDD+ Strategy is consistent with the objectives of national forest </w:t>
            </w:r>
            <w:proofErr w:type="spellStart"/>
            <w:r w:rsidRPr="00042B62">
              <w:rPr>
                <w:rFonts w:ascii="Calibri" w:hAnsi="Calibri"/>
                <w:color w:val="000000"/>
                <w:szCs w:val="22"/>
                <w:lang w:val="en-US" w:eastAsia="en-US"/>
              </w:rPr>
              <w:t>programmes</w:t>
            </w:r>
            <w:proofErr w:type="spellEnd"/>
            <w:r w:rsidRPr="00042B62">
              <w:rPr>
                <w:rFonts w:ascii="Calibri" w:hAnsi="Calibri"/>
                <w:color w:val="000000"/>
                <w:szCs w:val="22"/>
                <w:lang w:val="en-US" w:eastAsia="en-US"/>
              </w:rPr>
              <w:br/>
              <w:t>b. The National REDD+ Strategy is consistent with relevant and applicable international conventions and agreements</w:t>
            </w:r>
          </w:p>
        </w:tc>
      </w:tr>
      <w:tr w:rsidR="00042B62" w:rsidRPr="00042B62" w14:paraId="7683A104" w14:textId="77777777" w:rsidTr="00042B62">
        <w:trPr>
          <w:trHeight w:val="188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4552943"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A.1. Description of how the REDD+ Strategy and associated PLRs are consistent with the objectives of national forest </w:t>
            </w:r>
            <w:proofErr w:type="spellStart"/>
            <w:r w:rsidRPr="00042B62">
              <w:rPr>
                <w:rFonts w:ascii="Calibri" w:hAnsi="Calibri"/>
                <w:color w:val="000000"/>
                <w:szCs w:val="22"/>
                <w:lang w:val="en-US" w:eastAsia="en-US"/>
              </w:rPr>
              <w:t>programmes</w:t>
            </w:r>
            <w:proofErr w:type="spellEnd"/>
          </w:p>
        </w:tc>
        <w:tc>
          <w:tcPr>
            <w:tcW w:w="2901" w:type="dxa"/>
            <w:gridSpan w:val="2"/>
            <w:tcBorders>
              <w:top w:val="nil"/>
              <w:left w:val="nil"/>
              <w:bottom w:val="single" w:sz="4" w:space="0" w:color="auto"/>
              <w:right w:val="single" w:sz="4" w:space="0" w:color="auto"/>
            </w:tcBorders>
            <w:shd w:val="clear" w:color="auto" w:fill="auto"/>
            <w:hideMark/>
          </w:tcPr>
          <w:p w14:paraId="721CBA44"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A.3. Description of how (e.g. through use of mandates and procedures) the implementation of the REDD+ actions was consistent with the objectives of national forest programmes.</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5322B51E"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Pacific Islands Legal Information Institute - Office of Legislative Council within the Dept. of Prime Minister &amp; National Executive Council </w:t>
            </w:r>
          </w:p>
        </w:tc>
        <w:tc>
          <w:tcPr>
            <w:tcW w:w="2160" w:type="dxa"/>
            <w:vMerge w:val="restart"/>
            <w:tcBorders>
              <w:top w:val="nil"/>
              <w:left w:val="single" w:sz="4" w:space="0" w:color="auto"/>
              <w:bottom w:val="single" w:sz="4" w:space="0" w:color="auto"/>
              <w:right w:val="single" w:sz="4" w:space="0" w:color="auto"/>
            </w:tcBorders>
            <w:shd w:val="clear" w:color="auto" w:fill="auto"/>
            <w:hideMark/>
          </w:tcPr>
          <w:p w14:paraId="758B27D2"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UN Convention on Climate Change and Desertification - Conservation and Environmental Protection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RAMSAR Convention on Wetlands - Conservation and Environmental Protection Authority </w:t>
            </w:r>
          </w:p>
        </w:tc>
      </w:tr>
      <w:tr w:rsidR="00042B62" w:rsidRPr="00042B62" w14:paraId="1A4E37AF" w14:textId="77777777" w:rsidTr="00042B62">
        <w:trPr>
          <w:trHeight w:val="188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2C50EDD" w14:textId="5E306283"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A.2. Description of how the </w:t>
            </w:r>
            <w:r>
              <w:rPr>
                <w:rFonts w:ascii="Calibri" w:hAnsi="Calibri"/>
                <w:color w:val="000000"/>
                <w:szCs w:val="22"/>
                <w:lang w:val="en-US" w:eastAsia="en-US"/>
              </w:rPr>
              <w:t>National REDD</w:t>
            </w:r>
            <w:r w:rsidRPr="00042B62">
              <w:rPr>
                <w:rFonts w:ascii="Calibri" w:hAnsi="Calibri"/>
                <w:color w:val="000000"/>
                <w:szCs w:val="22"/>
                <w:lang w:val="en-US" w:eastAsia="en-US"/>
              </w:rPr>
              <w:t xml:space="preserve">+ Strategy and associated PLRS are consistent with the objectives of the various international agreements to which </w:t>
            </w:r>
            <w:proofErr w:type="spellStart"/>
            <w:r w:rsidRPr="00042B62">
              <w:rPr>
                <w:rFonts w:ascii="Calibri" w:hAnsi="Calibri"/>
                <w:color w:val="000000"/>
                <w:szCs w:val="22"/>
                <w:lang w:val="en-US" w:eastAsia="en-US"/>
              </w:rPr>
              <w:t>GoPNG</w:t>
            </w:r>
            <w:proofErr w:type="spellEnd"/>
            <w:r w:rsidRPr="00042B62">
              <w:rPr>
                <w:rFonts w:ascii="Calibri" w:hAnsi="Calibri"/>
                <w:color w:val="000000"/>
                <w:szCs w:val="22"/>
                <w:lang w:val="en-US" w:eastAsia="en-US"/>
              </w:rPr>
              <w:t xml:space="preserve"> is a Party</w:t>
            </w:r>
          </w:p>
        </w:tc>
        <w:tc>
          <w:tcPr>
            <w:tcW w:w="2901" w:type="dxa"/>
            <w:gridSpan w:val="2"/>
            <w:tcBorders>
              <w:top w:val="nil"/>
              <w:left w:val="nil"/>
              <w:bottom w:val="single" w:sz="4" w:space="0" w:color="auto"/>
              <w:right w:val="single" w:sz="4" w:space="0" w:color="auto"/>
            </w:tcBorders>
            <w:shd w:val="clear" w:color="auto" w:fill="auto"/>
            <w:hideMark/>
          </w:tcPr>
          <w:p w14:paraId="4CD80A3A"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A.4. Description of how (e.g. through use of mandates and procedures) the implementation of the REDD+ actions was consistent with the objectives of the various international agreements to which GoPNG is a Party.</w:t>
            </w:r>
          </w:p>
        </w:tc>
        <w:tc>
          <w:tcPr>
            <w:tcW w:w="2409" w:type="dxa"/>
            <w:vMerge/>
            <w:tcBorders>
              <w:top w:val="nil"/>
              <w:left w:val="single" w:sz="4" w:space="0" w:color="auto"/>
              <w:bottom w:val="single" w:sz="4" w:space="0" w:color="auto"/>
              <w:right w:val="single" w:sz="4" w:space="0" w:color="auto"/>
            </w:tcBorders>
            <w:vAlign w:val="center"/>
            <w:hideMark/>
          </w:tcPr>
          <w:p w14:paraId="170D3A06"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7177C1AF" w14:textId="77777777" w:rsidR="00042B62" w:rsidRPr="00042B62" w:rsidRDefault="00042B62" w:rsidP="00042B62">
            <w:pPr>
              <w:jc w:val="left"/>
              <w:rPr>
                <w:rFonts w:ascii="Calibri" w:hAnsi="Calibri"/>
                <w:color w:val="000000"/>
                <w:szCs w:val="22"/>
                <w:lang w:val="en-US" w:eastAsia="en-US"/>
              </w:rPr>
            </w:pPr>
          </w:p>
        </w:tc>
      </w:tr>
      <w:tr w:rsidR="00042B62" w:rsidRPr="00042B62" w14:paraId="30BAF17F" w14:textId="77777777" w:rsidTr="00042B62">
        <w:trPr>
          <w:trHeight w:val="50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45BAF7A3"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 xml:space="preserve">Safeguard (b) Transparent and effective national forest governance structures, taking into account national legislation and sovereignty; </w:t>
            </w:r>
          </w:p>
        </w:tc>
      </w:tr>
      <w:tr w:rsidR="00042B62" w:rsidRPr="00042B62" w14:paraId="44D61608" w14:textId="77777777" w:rsidTr="00042B62">
        <w:trPr>
          <w:trHeight w:val="322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0ECF615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Transparency and effectiveness of forest governance structures, including the right to access to information, accountability, access to justice and the recognition and protection of land use rights are promoted and regulated in the scope of the application of the National REDD+ Strategy through the relevant PLRs of the country.</w:t>
            </w:r>
            <w:r w:rsidRPr="00042B62">
              <w:rPr>
                <w:rFonts w:ascii="Calibri" w:hAnsi="Calibri"/>
                <w:color w:val="000000"/>
                <w:szCs w:val="22"/>
                <w:lang w:val="en-US" w:eastAsia="en-US"/>
              </w:rPr>
              <w:br/>
            </w:r>
            <w:r w:rsidRPr="00042B62">
              <w:rPr>
                <w:rFonts w:ascii="Calibri" w:hAnsi="Calibri"/>
                <w:color w:val="000000"/>
                <w:szCs w:val="22"/>
                <w:lang w:val="en-US" w:eastAsia="en-US"/>
              </w:rPr>
              <w:br/>
              <w:t>Core elements</w:t>
            </w:r>
            <w:r w:rsidRPr="00042B62">
              <w:rPr>
                <w:rFonts w:ascii="Calibri" w:hAnsi="Calibri"/>
                <w:color w:val="000000"/>
                <w:szCs w:val="22"/>
                <w:lang w:val="en-US" w:eastAsia="en-US"/>
              </w:rPr>
              <w:br/>
              <w:t xml:space="preserve">a. The right to access information is recognized and protected in the context of the implementation of the National REDD+ Strategy </w:t>
            </w:r>
            <w:r w:rsidRPr="00042B62">
              <w:rPr>
                <w:rFonts w:ascii="Calibri" w:hAnsi="Calibri"/>
                <w:color w:val="000000"/>
                <w:szCs w:val="22"/>
                <w:lang w:val="en-US" w:eastAsia="en-US"/>
              </w:rPr>
              <w:br/>
              <w:t>b. Accountability is guaranteed in the context of the implementation of the National REDD+ Strategy</w:t>
            </w:r>
            <w:r w:rsidRPr="00042B62">
              <w:rPr>
                <w:rFonts w:ascii="Calibri" w:hAnsi="Calibri"/>
                <w:color w:val="000000"/>
                <w:szCs w:val="22"/>
                <w:lang w:val="en-US" w:eastAsia="en-US"/>
              </w:rPr>
              <w:br/>
              <w:t>c. The right to access justice is recognized and protected in the context of the implementation of the National REDD+ Strategy</w:t>
            </w:r>
            <w:r w:rsidRPr="00042B62">
              <w:rPr>
                <w:rFonts w:ascii="Calibri" w:hAnsi="Calibri"/>
                <w:color w:val="000000"/>
                <w:szCs w:val="22"/>
                <w:lang w:val="en-US" w:eastAsia="en-US"/>
              </w:rPr>
              <w:br/>
              <w:t>d. Rights over forest land are recognized and protected in the context of the implementation of the National REDD+ Strategy</w:t>
            </w:r>
          </w:p>
        </w:tc>
      </w:tr>
      <w:tr w:rsidR="00042B62" w:rsidRPr="00042B62" w14:paraId="0761628D" w14:textId="77777777" w:rsidTr="00042B62">
        <w:trPr>
          <w:trHeight w:val="282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417F90F"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B.1. Description of PLRs, institutional mandates and procedures for providing and disseminating information concerning the REDD+ actions</w:t>
            </w:r>
          </w:p>
        </w:tc>
        <w:tc>
          <w:tcPr>
            <w:tcW w:w="2901" w:type="dxa"/>
            <w:gridSpan w:val="2"/>
            <w:tcBorders>
              <w:top w:val="nil"/>
              <w:left w:val="nil"/>
              <w:bottom w:val="single" w:sz="4" w:space="0" w:color="auto"/>
              <w:right w:val="single" w:sz="4" w:space="0" w:color="auto"/>
            </w:tcBorders>
            <w:shd w:val="clear" w:color="auto" w:fill="auto"/>
            <w:hideMark/>
          </w:tcPr>
          <w:p w14:paraId="06BAB195"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B.5. Description of information provided concerning the proposed REDD+ actions in each locality (depending on the scale of the proposed REDD+ interventions), including through active dissemination, and to what extent was it done in a timely (i.e. before implementation begins) and culturally appropriate (i.e. adapting to local capacities) manner;</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433B61A4"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Forest Resource Information System (FRIMS) - PNG Forest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Pacific Islands Legal Information Institute - Office of Legislative Council within the Dept. of Prime Minister &amp; National Executive Council</w:t>
            </w:r>
            <w:r w:rsidRPr="00042B62">
              <w:rPr>
                <w:rFonts w:ascii="Calibri" w:hAnsi="Calibri"/>
                <w:color w:val="000000"/>
                <w:szCs w:val="22"/>
                <w:lang w:val="en-US" w:eastAsia="en-US"/>
              </w:rPr>
              <w:br/>
            </w:r>
            <w:r w:rsidRPr="00042B62">
              <w:rPr>
                <w:rFonts w:ascii="Calibri" w:hAnsi="Calibri"/>
                <w:color w:val="000000"/>
                <w:szCs w:val="22"/>
                <w:lang w:val="en-US" w:eastAsia="en-US"/>
              </w:rPr>
              <w:br/>
              <w:t>Incorporated Land Groups Registry - Dept. of Lands &amp; Physical Planning</w:t>
            </w:r>
          </w:p>
        </w:tc>
        <w:tc>
          <w:tcPr>
            <w:tcW w:w="2160" w:type="dxa"/>
            <w:vMerge w:val="restart"/>
            <w:tcBorders>
              <w:top w:val="nil"/>
              <w:left w:val="single" w:sz="4" w:space="0" w:color="auto"/>
              <w:bottom w:val="single" w:sz="4" w:space="0" w:color="auto"/>
              <w:right w:val="single" w:sz="4" w:space="0" w:color="auto"/>
            </w:tcBorders>
            <w:shd w:val="clear" w:color="auto" w:fill="auto"/>
            <w:hideMark/>
          </w:tcPr>
          <w:p w14:paraId="581DB97A"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United Nations Convention Against Corruption - Dept. of Justice &amp; Attorney General (DJAG) - Public Prosecutor’s Office</w:t>
            </w:r>
            <w:r w:rsidRPr="00042B62">
              <w:rPr>
                <w:rFonts w:ascii="Calibri" w:hAnsi="Calibri"/>
                <w:color w:val="000000"/>
                <w:szCs w:val="22"/>
                <w:lang w:val="en-US" w:eastAsia="en-US"/>
              </w:rPr>
              <w:br/>
            </w:r>
            <w:r w:rsidRPr="00042B62">
              <w:rPr>
                <w:rFonts w:ascii="Calibri" w:hAnsi="Calibri"/>
                <w:color w:val="000000"/>
                <w:szCs w:val="22"/>
                <w:lang w:val="en-US" w:eastAsia="en-US"/>
              </w:rPr>
              <w:br/>
              <w:t>International Covenant on Economic, Social and Cultural Rights</w:t>
            </w:r>
            <w:r w:rsidRPr="00042B62">
              <w:rPr>
                <w:rFonts w:ascii="Calibri" w:hAnsi="Calibri"/>
                <w:color w:val="000000"/>
                <w:szCs w:val="22"/>
                <w:lang w:val="en-US" w:eastAsia="en-US"/>
              </w:rPr>
              <w:br/>
              <w:t xml:space="preserve">- Tourism Promotion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International Covenant on Civil and Political Rights - Department of Justice &amp; Attorney General</w:t>
            </w:r>
            <w:r w:rsidRPr="00042B62">
              <w:rPr>
                <w:rFonts w:ascii="Calibri" w:hAnsi="Calibri"/>
                <w:color w:val="000000"/>
                <w:szCs w:val="22"/>
                <w:lang w:val="en-US" w:eastAsia="en-US"/>
              </w:rPr>
              <w:br/>
            </w:r>
            <w:r w:rsidRPr="00042B62">
              <w:rPr>
                <w:rFonts w:ascii="Calibri" w:hAnsi="Calibri"/>
                <w:color w:val="000000"/>
                <w:szCs w:val="22"/>
                <w:lang w:val="en-US" w:eastAsia="en-US"/>
              </w:rPr>
              <w:br/>
              <w:t>Convention on The Elimination of All Forms of Racial Discrimination - Department of Justice &amp; Attorney General – Public Solicitor’s Office</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Convention on The Elimination of All Forms of Discrimination Against Women - Dept. of Community Development </w:t>
            </w:r>
          </w:p>
        </w:tc>
      </w:tr>
      <w:tr w:rsidR="00042B62" w:rsidRPr="00042B62" w14:paraId="52117BBD" w14:textId="77777777" w:rsidTr="00042B62">
        <w:trPr>
          <w:trHeight w:val="1060"/>
        </w:trPr>
        <w:tc>
          <w:tcPr>
            <w:tcW w:w="2605" w:type="dxa"/>
            <w:tcBorders>
              <w:top w:val="nil"/>
              <w:left w:val="single" w:sz="4" w:space="0" w:color="auto"/>
              <w:bottom w:val="single" w:sz="4" w:space="0" w:color="auto"/>
              <w:right w:val="single" w:sz="4" w:space="0" w:color="auto"/>
            </w:tcBorders>
            <w:shd w:val="clear" w:color="auto" w:fill="auto"/>
            <w:hideMark/>
          </w:tcPr>
          <w:p w14:paraId="3E0E7DE9"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B.2. Description of anti-corruption PLRs and measures in place concerning the implementation of the REDD+ actions</w:t>
            </w:r>
          </w:p>
        </w:tc>
        <w:tc>
          <w:tcPr>
            <w:tcW w:w="2901" w:type="dxa"/>
            <w:gridSpan w:val="2"/>
            <w:tcBorders>
              <w:top w:val="nil"/>
              <w:left w:val="nil"/>
              <w:bottom w:val="single" w:sz="4" w:space="0" w:color="auto"/>
              <w:right w:val="single" w:sz="4" w:space="0" w:color="auto"/>
            </w:tcBorders>
            <w:shd w:val="clear" w:color="auto" w:fill="auto"/>
            <w:hideMark/>
          </w:tcPr>
          <w:p w14:paraId="4D012072"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 xml:space="preserve">B.6. Description of the distribution and disbursement of REDD+ benefits related to the implementation of REDD+ actions </w:t>
            </w:r>
          </w:p>
        </w:tc>
        <w:tc>
          <w:tcPr>
            <w:tcW w:w="2409" w:type="dxa"/>
            <w:vMerge/>
            <w:tcBorders>
              <w:top w:val="nil"/>
              <w:left w:val="single" w:sz="4" w:space="0" w:color="auto"/>
              <w:bottom w:val="single" w:sz="4" w:space="0" w:color="auto"/>
              <w:right w:val="single" w:sz="4" w:space="0" w:color="auto"/>
            </w:tcBorders>
            <w:vAlign w:val="center"/>
            <w:hideMark/>
          </w:tcPr>
          <w:p w14:paraId="3F469639"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11FDD643" w14:textId="77777777" w:rsidR="00042B62" w:rsidRPr="00042B62" w:rsidRDefault="00042B62" w:rsidP="00042B62">
            <w:pPr>
              <w:jc w:val="left"/>
              <w:rPr>
                <w:rFonts w:ascii="Calibri" w:hAnsi="Calibri"/>
                <w:color w:val="000000"/>
                <w:szCs w:val="22"/>
                <w:lang w:val="en-US" w:eastAsia="en-US"/>
              </w:rPr>
            </w:pPr>
          </w:p>
        </w:tc>
      </w:tr>
      <w:tr w:rsidR="00042B62" w:rsidRPr="00042B62" w14:paraId="1F20CEBD" w14:textId="77777777" w:rsidTr="00042B62">
        <w:trPr>
          <w:trHeight w:val="100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03C4F2BB"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B.3 Description of PLRs, institutional mandates and procedures concerning the protection of land tenure rights for the implementation of REDD+ actions</w:t>
            </w:r>
          </w:p>
        </w:tc>
        <w:tc>
          <w:tcPr>
            <w:tcW w:w="2901" w:type="dxa"/>
            <w:gridSpan w:val="2"/>
            <w:tcBorders>
              <w:top w:val="nil"/>
              <w:left w:val="nil"/>
              <w:bottom w:val="single" w:sz="4" w:space="0" w:color="auto"/>
              <w:right w:val="single" w:sz="4" w:space="0" w:color="auto"/>
            </w:tcBorders>
            <w:shd w:val="clear" w:color="auto" w:fill="auto"/>
            <w:hideMark/>
          </w:tcPr>
          <w:p w14:paraId="35A0A715"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B.9. Description of how land tenure and land use rights have been recognized and protected during the implementation of REDD+ actions</w:t>
            </w:r>
          </w:p>
        </w:tc>
        <w:tc>
          <w:tcPr>
            <w:tcW w:w="2409" w:type="dxa"/>
            <w:vMerge/>
            <w:tcBorders>
              <w:top w:val="nil"/>
              <w:left w:val="single" w:sz="4" w:space="0" w:color="auto"/>
              <w:bottom w:val="single" w:sz="4" w:space="0" w:color="auto"/>
              <w:right w:val="single" w:sz="4" w:space="0" w:color="auto"/>
            </w:tcBorders>
            <w:vAlign w:val="center"/>
            <w:hideMark/>
          </w:tcPr>
          <w:p w14:paraId="6F369E7A"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1D6AA3F6" w14:textId="77777777" w:rsidR="00042B62" w:rsidRPr="00042B62" w:rsidRDefault="00042B62" w:rsidP="00042B62">
            <w:pPr>
              <w:jc w:val="left"/>
              <w:rPr>
                <w:rFonts w:ascii="Calibri" w:hAnsi="Calibri"/>
                <w:color w:val="000000"/>
                <w:szCs w:val="22"/>
                <w:lang w:val="en-US" w:eastAsia="en-US"/>
              </w:rPr>
            </w:pPr>
          </w:p>
        </w:tc>
      </w:tr>
      <w:tr w:rsidR="00042B62" w:rsidRPr="00042B62" w14:paraId="7307A35D" w14:textId="77777777" w:rsidTr="00042B62">
        <w:trPr>
          <w:trHeight w:val="1020"/>
        </w:trPr>
        <w:tc>
          <w:tcPr>
            <w:tcW w:w="2605" w:type="dxa"/>
            <w:vMerge/>
            <w:tcBorders>
              <w:top w:val="nil"/>
              <w:left w:val="single" w:sz="4" w:space="0" w:color="auto"/>
              <w:bottom w:val="single" w:sz="4" w:space="0" w:color="auto"/>
              <w:right w:val="single" w:sz="4" w:space="0" w:color="auto"/>
            </w:tcBorders>
            <w:vAlign w:val="center"/>
            <w:hideMark/>
          </w:tcPr>
          <w:p w14:paraId="48A7EF3E"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6D91FB6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B.10. Description of impacts on rights holders and stakeholders related to rights to lands, territories and resources</w:t>
            </w:r>
          </w:p>
        </w:tc>
        <w:tc>
          <w:tcPr>
            <w:tcW w:w="2409" w:type="dxa"/>
            <w:vMerge/>
            <w:tcBorders>
              <w:top w:val="nil"/>
              <w:left w:val="single" w:sz="4" w:space="0" w:color="auto"/>
              <w:bottom w:val="single" w:sz="4" w:space="0" w:color="auto"/>
              <w:right w:val="single" w:sz="4" w:space="0" w:color="auto"/>
            </w:tcBorders>
            <w:vAlign w:val="center"/>
            <w:hideMark/>
          </w:tcPr>
          <w:p w14:paraId="1466B57A"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434CC3FD" w14:textId="77777777" w:rsidR="00042B62" w:rsidRPr="00042B62" w:rsidRDefault="00042B62" w:rsidP="00042B62">
            <w:pPr>
              <w:jc w:val="left"/>
              <w:rPr>
                <w:rFonts w:ascii="Calibri" w:hAnsi="Calibri"/>
                <w:color w:val="000000"/>
                <w:szCs w:val="22"/>
                <w:lang w:val="en-US" w:eastAsia="en-US"/>
              </w:rPr>
            </w:pPr>
          </w:p>
        </w:tc>
      </w:tr>
      <w:tr w:rsidR="00042B62" w:rsidRPr="00042B62" w14:paraId="68C7AE33" w14:textId="77777777" w:rsidTr="00042B62">
        <w:trPr>
          <w:trHeight w:val="1320"/>
        </w:trPr>
        <w:tc>
          <w:tcPr>
            <w:tcW w:w="2605" w:type="dxa"/>
            <w:vMerge/>
            <w:tcBorders>
              <w:top w:val="nil"/>
              <w:left w:val="single" w:sz="4" w:space="0" w:color="auto"/>
              <w:bottom w:val="single" w:sz="4" w:space="0" w:color="auto"/>
              <w:right w:val="single" w:sz="4" w:space="0" w:color="auto"/>
            </w:tcBorders>
            <w:vAlign w:val="center"/>
            <w:hideMark/>
          </w:tcPr>
          <w:p w14:paraId="07131A8E"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02EE5F21"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B.11. If applicable, description of any resettlement process (including procedures followed, compensation provided, motive for resettlement) for each REDD+ action.</w:t>
            </w:r>
          </w:p>
        </w:tc>
        <w:tc>
          <w:tcPr>
            <w:tcW w:w="2409" w:type="dxa"/>
            <w:vMerge/>
            <w:tcBorders>
              <w:top w:val="nil"/>
              <w:left w:val="single" w:sz="4" w:space="0" w:color="auto"/>
              <w:bottom w:val="single" w:sz="4" w:space="0" w:color="auto"/>
              <w:right w:val="single" w:sz="4" w:space="0" w:color="auto"/>
            </w:tcBorders>
            <w:vAlign w:val="center"/>
            <w:hideMark/>
          </w:tcPr>
          <w:p w14:paraId="0DC4288B"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39540EC7" w14:textId="77777777" w:rsidR="00042B62" w:rsidRPr="00042B62" w:rsidRDefault="00042B62" w:rsidP="00042B62">
            <w:pPr>
              <w:jc w:val="left"/>
              <w:rPr>
                <w:rFonts w:ascii="Calibri" w:hAnsi="Calibri"/>
                <w:color w:val="000000"/>
                <w:szCs w:val="22"/>
                <w:lang w:val="en-US" w:eastAsia="en-US"/>
              </w:rPr>
            </w:pPr>
          </w:p>
        </w:tc>
      </w:tr>
      <w:tr w:rsidR="00042B62" w:rsidRPr="00042B62" w14:paraId="6BB62CDE" w14:textId="77777777" w:rsidTr="00042B62">
        <w:trPr>
          <w:trHeight w:val="1020"/>
        </w:trPr>
        <w:tc>
          <w:tcPr>
            <w:tcW w:w="2605" w:type="dxa"/>
            <w:vMerge/>
            <w:tcBorders>
              <w:top w:val="nil"/>
              <w:left w:val="single" w:sz="4" w:space="0" w:color="auto"/>
              <w:bottom w:val="single" w:sz="4" w:space="0" w:color="auto"/>
              <w:right w:val="single" w:sz="4" w:space="0" w:color="auto"/>
            </w:tcBorders>
            <w:vAlign w:val="center"/>
            <w:hideMark/>
          </w:tcPr>
          <w:p w14:paraId="4F72C66C"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01330CA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B.12. Amount and type of compensation awarded for displacement (if and as applicable) and breakdown of compensation by gender.</w:t>
            </w:r>
          </w:p>
        </w:tc>
        <w:tc>
          <w:tcPr>
            <w:tcW w:w="2409" w:type="dxa"/>
            <w:vMerge/>
            <w:tcBorders>
              <w:top w:val="nil"/>
              <w:left w:val="single" w:sz="4" w:space="0" w:color="auto"/>
              <w:bottom w:val="single" w:sz="4" w:space="0" w:color="auto"/>
              <w:right w:val="single" w:sz="4" w:space="0" w:color="auto"/>
            </w:tcBorders>
            <w:vAlign w:val="center"/>
            <w:hideMark/>
          </w:tcPr>
          <w:p w14:paraId="1E794055"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2CA5B24E" w14:textId="77777777" w:rsidR="00042B62" w:rsidRPr="00042B62" w:rsidRDefault="00042B62" w:rsidP="00042B62">
            <w:pPr>
              <w:jc w:val="left"/>
              <w:rPr>
                <w:rFonts w:ascii="Calibri" w:hAnsi="Calibri"/>
                <w:color w:val="000000"/>
                <w:szCs w:val="22"/>
                <w:lang w:val="en-US" w:eastAsia="en-US"/>
              </w:rPr>
            </w:pPr>
          </w:p>
        </w:tc>
      </w:tr>
      <w:tr w:rsidR="00042B62" w:rsidRPr="00042B62" w14:paraId="78F14B96" w14:textId="77777777" w:rsidTr="00042B62">
        <w:trPr>
          <w:trHeight w:val="160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46E430A1"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B.4. Description of PLRs, institutional mandates and procedures for dispute resolution mechanisms regarding the implementation of REDD+ actions</w:t>
            </w:r>
          </w:p>
        </w:tc>
        <w:tc>
          <w:tcPr>
            <w:tcW w:w="2901" w:type="dxa"/>
            <w:gridSpan w:val="2"/>
            <w:tcBorders>
              <w:top w:val="nil"/>
              <w:left w:val="nil"/>
              <w:bottom w:val="single" w:sz="4" w:space="0" w:color="auto"/>
              <w:right w:val="single" w:sz="4" w:space="0" w:color="auto"/>
            </w:tcBorders>
            <w:shd w:val="clear" w:color="auto" w:fill="auto"/>
            <w:hideMark/>
          </w:tcPr>
          <w:p w14:paraId="3B2A68FB"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B.7. Description of REDD+ related grievances received, process followed to adjudicate and outcomes, including records of any REDD+ related efforts to ensure access to justice in the context of the implementation of REDD+ actions.</w:t>
            </w:r>
          </w:p>
        </w:tc>
        <w:tc>
          <w:tcPr>
            <w:tcW w:w="2409" w:type="dxa"/>
            <w:vMerge/>
            <w:tcBorders>
              <w:top w:val="nil"/>
              <w:left w:val="single" w:sz="4" w:space="0" w:color="auto"/>
              <w:bottom w:val="single" w:sz="4" w:space="0" w:color="auto"/>
              <w:right w:val="single" w:sz="4" w:space="0" w:color="auto"/>
            </w:tcBorders>
            <w:vAlign w:val="center"/>
            <w:hideMark/>
          </w:tcPr>
          <w:p w14:paraId="650A2C83"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525A9ACB" w14:textId="77777777" w:rsidR="00042B62" w:rsidRPr="00042B62" w:rsidRDefault="00042B62" w:rsidP="00042B62">
            <w:pPr>
              <w:jc w:val="left"/>
              <w:rPr>
                <w:rFonts w:ascii="Calibri" w:hAnsi="Calibri"/>
                <w:color w:val="000000"/>
                <w:szCs w:val="22"/>
                <w:lang w:val="en-US" w:eastAsia="en-US"/>
              </w:rPr>
            </w:pPr>
          </w:p>
        </w:tc>
      </w:tr>
      <w:tr w:rsidR="00042B62" w:rsidRPr="00042B62" w14:paraId="5D66AB2B" w14:textId="77777777" w:rsidTr="00042B62">
        <w:trPr>
          <w:trHeight w:val="840"/>
        </w:trPr>
        <w:tc>
          <w:tcPr>
            <w:tcW w:w="2605" w:type="dxa"/>
            <w:vMerge/>
            <w:tcBorders>
              <w:top w:val="nil"/>
              <w:left w:val="single" w:sz="4" w:space="0" w:color="auto"/>
              <w:bottom w:val="single" w:sz="4" w:space="0" w:color="auto"/>
              <w:right w:val="single" w:sz="4" w:space="0" w:color="auto"/>
            </w:tcBorders>
            <w:vAlign w:val="center"/>
            <w:hideMark/>
          </w:tcPr>
          <w:p w14:paraId="5BEDC4A2"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4B9D6087"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B.8. Number of grievances addressed and resolved by implementing authorities.</w:t>
            </w:r>
          </w:p>
        </w:tc>
        <w:tc>
          <w:tcPr>
            <w:tcW w:w="2409" w:type="dxa"/>
            <w:vMerge/>
            <w:tcBorders>
              <w:top w:val="nil"/>
              <w:left w:val="single" w:sz="4" w:space="0" w:color="auto"/>
              <w:bottom w:val="single" w:sz="4" w:space="0" w:color="auto"/>
              <w:right w:val="single" w:sz="4" w:space="0" w:color="auto"/>
            </w:tcBorders>
            <w:vAlign w:val="center"/>
            <w:hideMark/>
          </w:tcPr>
          <w:p w14:paraId="6F8D0789"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10671393" w14:textId="77777777" w:rsidR="00042B62" w:rsidRPr="00042B62" w:rsidRDefault="00042B62" w:rsidP="00042B62">
            <w:pPr>
              <w:jc w:val="left"/>
              <w:rPr>
                <w:rFonts w:ascii="Calibri" w:hAnsi="Calibri"/>
                <w:color w:val="000000"/>
                <w:szCs w:val="22"/>
                <w:lang w:val="en-US" w:eastAsia="en-US"/>
              </w:rPr>
            </w:pPr>
          </w:p>
        </w:tc>
      </w:tr>
      <w:tr w:rsidR="00042B62" w:rsidRPr="00042B62" w14:paraId="06E70DFB" w14:textId="77777777" w:rsidTr="00042B62">
        <w:trPr>
          <w:trHeight w:val="100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46C17660"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 xml:space="preserve">Safeguard (c) Respect for the knowledge and rights of indigenous peoples and members of local communities, by taking into account relevant international obligations, national circumstances and laws, and noting that the United Nations General Assembly has adopted the United Nations Declaration on the Rights of Indigenous Peoples; </w:t>
            </w:r>
          </w:p>
        </w:tc>
      </w:tr>
      <w:tr w:rsidR="00042B62" w:rsidRPr="00042B62" w14:paraId="26C85026" w14:textId="77777777" w:rsidTr="00042B62">
        <w:trPr>
          <w:trHeight w:val="304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69100623"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The recognition of, and respect for the rights of customary landowners, local communities and vulnerable groups in accordance with the relevant PLRs is applicable to the implementation of the National REDD+ Strategy; including the rights to non-discrimination, traditional knowledge and culture, self-determination, benefit sharing and collective tenure rights.</w:t>
            </w:r>
            <w:r w:rsidRPr="00042B62">
              <w:rPr>
                <w:rFonts w:ascii="Calibri" w:hAnsi="Calibri"/>
                <w:color w:val="000000"/>
                <w:szCs w:val="22"/>
                <w:lang w:val="en-US" w:eastAsia="en-US"/>
              </w:rPr>
              <w:br/>
            </w:r>
            <w:r w:rsidRPr="00042B62">
              <w:rPr>
                <w:rFonts w:ascii="Calibri" w:hAnsi="Calibri"/>
                <w:color w:val="000000"/>
                <w:szCs w:val="22"/>
                <w:lang w:val="en-US" w:eastAsia="en-US"/>
              </w:rPr>
              <w:br/>
              <w:t>Core elements</w:t>
            </w:r>
            <w:r w:rsidRPr="00042B62">
              <w:rPr>
                <w:rFonts w:ascii="Calibri" w:hAnsi="Calibri"/>
                <w:color w:val="000000"/>
                <w:szCs w:val="22"/>
                <w:lang w:val="en-US" w:eastAsia="en-US"/>
              </w:rPr>
              <w:br/>
              <w:t>a. The rights of customary landowners, local communities and vulnerable groups are promoted and protected in the context of the application of the National REDD+ Strategy, in consistency with relevant and applicable international conventions and treaties.</w:t>
            </w:r>
            <w:r w:rsidRPr="00042B62">
              <w:rPr>
                <w:rFonts w:ascii="Calibri" w:hAnsi="Calibri"/>
                <w:color w:val="000000"/>
                <w:szCs w:val="22"/>
                <w:lang w:val="en-US" w:eastAsia="en-US"/>
              </w:rPr>
              <w:br/>
              <w:t>b. Traditional knowledge is recognized and protected in the context of the application of the National REDD+ Strategy</w:t>
            </w:r>
          </w:p>
        </w:tc>
      </w:tr>
      <w:tr w:rsidR="00042B62" w:rsidRPr="00042B62" w14:paraId="7C816C61" w14:textId="77777777" w:rsidTr="00042B62">
        <w:trPr>
          <w:trHeight w:val="1820"/>
        </w:trPr>
        <w:tc>
          <w:tcPr>
            <w:tcW w:w="2605" w:type="dxa"/>
            <w:vMerge w:val="restart"/>
            <w:tcBorders>
              <w:top w:val="nil"/>
              <w:left w:val="single" w:sz="4" w:space="0" w:color="auto"/>
              <w:bottom w:val="single" w:sz="4" w:space="0" w:color="auto"/>
              <w:right w:val="single" w:sz="4" w:space="0" w:color="auto"/>
            </w:tcBorders>
            <w:shd w:val="clear" w:color="auto" w:fill="auto"/>
            <w:vAlign w:val="bottom"/>
            <w:hideMark/>
          </w:tcPr>
          <w:p w14:paraId="6DB776B4"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C.1. Description of PLRs, institutional mandates and procedures for the identification of customary landowners, local communities and vulnerable groups in the context of the implementation of the REDD+ actions.</w:t>
            </w:r>
            <w:r w:rsidRPr="00042B62">
              <w:rPr>
                <w:rFonts w:ascii="Calibri" w:hAnsi="Calibri"/>
                <w:color w:val="000000"/>
                <w:szCs w:val="22"/>
                <w:lang w:eastAsia="en-US"/>
              </w:rPr>
              <w:br/>
            </w:r>
            <w:r w:rsidRPr="00042B62">
              <w:rPr>
                <w:rFonts w:ascii="Calibri" w:hAnsi="Calibri"/>
                <w:color w:val="000000"/>
                <w:szCs w:val="22"/>
                <w:lang w:eastAsia="en-US"/>
              </w:rPr>
              <w:br/>
              <w:t>C.3. Description of PLRs, institutional mandates and procedures for the recognition, respect and protection of the rights of customary landowners, local communities and vulnerable groups</w:t>
            </w: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3251BA5F"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 xml:space="preserve">C.4. Description of how customary landowners, local communities and vulnerable groups were identified, and how their rights were recognized and protected in the implementation of the REDD+ actions. </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0467A66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Satellite Land Monitoring System (part of National Forest Monitoring System)</w:t>
            </w:r>
            <w:r w:rsidRPr="00042B62">
              <w:rPr>
                <w:rFonts w:ascii="Calibri" w:hAnsi="Calibri"/>
                <w:color w:val="000000"/>
                <w:szCs w:val="22"/>
                <w:lang w:val="en-US" w:eastAsia="en-US"/>
              </w:rPr>
              <w:br/>
              <w:t>- Climate Change and Development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PNG Resource Information System - Department of Agriculture and Livestock</w:t>
            </w:r>
            <w:r w:rsidRPr="00042B62">
              <w:rPr>
                <w:rFonts w:ascii="Calibri" w:hAnsi="Calibri"/>
                <w:color w:val="000000"/>
                <w:szCs w:val="22"/>
                <w:lang w:val="en-US" w:eastAsia="en-US"/>
              </w:rPr>
              <w:br/>
            </w:r>
            <w:r w:rsidRPr="00042B62">
              <w:rPr>
                <w:rFonts w:ascii="Calibri" w:hAnsi="Calibri"/>
                <w:color w:val="000000"/>
                <w:szCs w:val="22"/>
                <w:lang w:val="en-US" w:eastAsia="en-US"/>
              </w:rPr>
              <w:br/>
              <w:t>Pacific Islands Legal Information Institute - Office of Legislative Council within the Dept. of Prime Minister &amp; National Executive Council</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International Household Survey Network - National Statistics Office </w:t>
            </w:r>
            <w:r w:rsidRPr="00042B62">
              <w:rPr>
                <w:rFonts w:ascii="Calibri" w:hAnsi="Calibri"/>
                <w:color w:val="000000"/>
                <w:szCs w:val="22"/>
                <w:lang w:val="en-US" w:eastAsia="en-US"/>
              </w:rPr>
              <w:br/>
            </w:r>
            <w:r w:rsidRPr="00042B62">
              <w:rPr>
                <w:rFonts w:ascii="Calibri" w:hAnsi="Calibri"/>
                <w:color w:val="000000"/>
                <w:szCs w:val="22"/>
                <w:lang w:val="en-US" w:eastAsia="en-US"/>
              </w:rPr>
              <w:br/>
              <w:t>Incorporated Land Groups Registry - Dept. of Lands &amp; Physical Planning</w:t>
            </w:r>
          </w:p>
        </w:tc>
        <w:tc>
          <w:tcPr>
            <w:tcW w:w="2160" w:type="dxa"/>
            <w:vMerge w:val="restart"/>
            <w:tcBorders>
              <w:top w:val="nil"/>
              <w:left w:val="single" w:sz="4" w:space="0" w:color="auto"/>
              <w:bottom w:val="single" w:sz="4" w:space="0" w:color="auto"/>
              <w:right w:val="single" w:sz="4" w:space="0" w:color="auto"/>
            </w:tcBorders>
            <w:shd w:val="clear" w:color="auto" w:fill="auto"/>
            <w:hideMark/>
          </w:tcPr>
          <w:p w14:paraId="176799BC"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Convention on the Protection and Promotion of The Diversity of Cultural Expressions - Tourism Promotion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International Covenant on Economic, Social and Cultural Rights</w:t>
            </w:r>
            <w:r w:rsidRPr="00042B62">
              <w:rPr>
                <w:rFonts w:ascii="Calibri" w:hAnsi="Calibri"/>
                <w:color w:val="000000"/>
                <w:szCs w:val="22"/>
                <w:lang w:val="en-US" w:eastAsia="en-US"/>
              </w:rPr>
              <w:br/>
              <w:t xml:space="preserve">- Tourism Promotion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International Covenant on Civil and Political Rights - Department of Justice &amp; Attorney General</w:t>
            </w:r>
            <w:r w:rsidRPr="00042B62">
              <w:rPr>
                <w:rFonts w:ascii="Calibri" w:hAnsi="Calibri"/>
                <w:color w:val="000000"/>
                <w:szCs w:val="22"/>
                <w:lang w:val="en-US" w:eastAsia="en-US"/>
              </w:rPr>
              <w:br/>
            </w:r>
            <w:r w:rsidRPr="00042B62">
              <w:rPr>
                <w:rFonts w:ascii="Calibri" w:hAnsi="Calibri"/>
                <w:color w:val="000000"/>
                <w:szCs w:val="22"/>
                <w:lang w:val="en-US" w:eastAsia="en-US"/>
              </w:rPr>
              <w:br/>
              <w:t>Convention on The Elimination of All Forms of Racial Discrimination - Department of Justice &amp; Attorney General – Public Solicitor’s Office</w:t>
            </w:r>
          </w:p>
        </w:tc>
      </w:tr>
      <w:tr w:rsidR="00042B62" w:rsidRPr="00042B62" w14:paraId="3165D345" w14:textId="77777777" w:rsidTr="00042B62">
        <w:trPr>
          <w:trHeight w:val="1820"/>
        </w:trPr>
        <w:tc>
          <w:tcPr>
            <w:tcW w:w="2605" w:type="dxa"/>
            <w:vMerge/>
            <w:tcBorders>
              <w:top w:val="nil"/>
              <w:left w:val="single" w:sz="4" w:space="0" w:color="auto"/>
              <w:bottom w:val="single" w:sz="4" w:space="0" w:color="auto"/>
              <w:right w:val="single" w:sz="4" w:space="0" w:color="auto"/>
            </w:tcBorders>
            <w:vAlign w:val="center"/>
            <w:hideMark/>
          </w:tcPr>
          <w:p w14:paraId="0C27B017"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699B16BA"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C.6. Number of customary landowners, local communities and vulnerable groups residing in areas affected by REDD+ actions</w:t>
            </w:r>
          </w:p>
        </w:tc>
        <w:tc>
          <w:tcPr>
            <w:tcW w:w="2409" w:type="dxa"/>
            <w:vMerge/>
            <w:tcBorders>
              <w:top w:val="nil"/>
              <w:left w:val="single" w:sz="4" w:space="0" w:color="auto"/>
              <w:bottom w:val="single" w:sz="4" w:space="0" w:color="auto"/>
              <w:right w:val="single" w:sz="4" w:space="0" w:color="auto"/>
            </w:tcBorders>
            <w:vAlign w:val="center"/>
            <w:hideMark/>
          </w:tcPr>
          <w:p w14:paraId="7DC3DC7F"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5DEEE8CC" w14:textId="77777777" w:rsidR="00042B62" w:rsidRPr="00042B62" w:rsidRDefault="00042B62" w:rsidP="00042B62">
            <w:pPr>
              <w:jc w:val="left"/>
              <w:rPr>
                <w:rFonts w:ascii="Calibri" w:hAnsi="Calibri"/>
                <w:color w:val="000000"/>
                <w:szCs w:val="22"/>
                <w:lang w:val="en-US" w:eastAsia="en-US"/>
              </w:rPr>
            </w:pPr>
          </w:p>
        </w:tc>
      </w:tr>
      <w:tr w:rsidR="00042B62" w:rsidRPr="00042B62" w14:paraId="01CD3FDE" w14:textId="77777777" w:rsidTr="00042B62">
        <w:trPr>
          <w:trHeight w:val="206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2A66CCE5"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C.2. Description of PLRs, institutional mandates and procedures to respect and protect traditional knowledge</w:t>
            </w: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44CF23F7"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C.5. Description of how traditional knowledge and cultural heritage and practices of customary landowners, local communities and vulnerable groups were identified, respected and protected during implementation of the REDD+ actions</w:t>
            </w:r>
          </w:p>
        </w:tc>
        <w:tc>
          <w:tcPr>
            <w:tcW w:w="2409" w:type="dxa"/>
            <w:vMerge/>
            <w:tcBorders>
              <w:top w:val="nil"/>
              <w:left w:val="single" w:sz="4" w:space="0" w:color="auto"/>
              <w:bottom w:val="single" w:sz="4" w:space="0" w:color="auto"/>
              <w:right w:val="single" w:sz="4" w:space="0" w:color="auto"/>
            </w:tcBorders>
            <w:vAlign w:val="center"/>
            <w:hideMark/>
          </w:tcPr>
          <w:p w14:paraId="59A38C1A"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7242A552" w14:textId="77777777" w:rsidR="00042B62" w:rsidRPr="00042B62" w:rsidRDefault="00042B62" w:rsidP="00042B62">
            <w:pPr>
              <w:jc w:val="left"/>
              <w:rPr>
                <w:rFonts w:ascii="Calibri" w:hAnsi="Calibri"/>
                <w:color w:val="000000"/>
                <w:szCs w:val="22"/>
                <w:lang w:val="en-US" w:eastAsia="en-US"/>
              </w:rPr>
            </w:pPr>
          </w:p>
        </w:tc>
      </w:tr>
      <w:tr w:rsidR="00042B62" w:rsidRPr="00042B62" w14:paraId="76BA1381" w14:textId="77777777" w:rsidTr="00042B62">
        <w:trPr>
          <w:trHeight w:val="1140"/>
        </w:trPr>
        <w:tc>
          <w:tcPr>
            <w:tcW w:w="2605" w:type="dxa"/>
            <w:vMerge/>
            <w:tcBorders>
              <w:top w:val="nil"/>
              <w:left w:val="single" w:sz="4" w:space="0" w:color="auto"/>
              <w:bottom w:val="single" w:sz="4" w:space="0" w:color="auto"/>
              <w:right w:val="single" w:sz="4" w:space="0" w:color="auto"/>
            </w:tcBorders>
            <w:vAlign w:val="center"/>
            <w:hideMark/>
          </w:tcPr>
          <w:p w14:paraId="3A17CB8A"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3DE84733"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C.7. Description of any sacred sites or other sites of cultural significance to communities in areas that may be affected by REDD+ actions.</w:t>
            </w:r>
          </w:p>
        </w:tc>
        <w:tc>
          <w:tcPr>
            <w:tcW w:w="2409" w:type="dxa"/>
            <w:vMerge/>
            <w:tcBorders>
              <w:top w:val="nil"/>
              <w:left w:val="single" w:sz="4" w:space="0" w:color="auto"/>
              <w:bottom w:val="single" w:sz="4" w:space="0" w:color="auto"/>
              <w:right w:val="single" w:sz="4" w:space="0" w:color="auto"/>
            </w:tcBorders>
            <w:vAlign w:val="center"/>
            <w:hideMark/>
          </w:tcPr>
          <w:p w14:paraId="130046BF"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0CA6D15A" w14:textId="77777777" w:rsidR="00042B62" w:rsidRPr="00042B62" w:rsidRDefault="00042B62" w:rsidP="00042B62">
            <w:pPr>
              <w:jc w:val="left"/>
              <w:rPr>
                <w:rFonts w:ascii="Calibri" w:hAnsi="Calibri"/>
                <w:color w:val="000000"/>
                <w:szCs w:val="22"/>
                <w:lang w:val="en-US" w:eastAsia="en-US"/>
              </w:rPr>
            </w:pPr>
          </w:p>
        </w:tc>
      </w:tr>
      <w:tr w:rsidR="00042B62" w:rsidRPr="00042B62" w14:paraId="7CC1E002" w14:textId="77777777" w:rsidTr="00042B62">
        <w:trPr>
          <w:trHeight w:val="1740"/>
        </w:trPr>
        <w:tc>
          <w:tcPr>
            <w:tcW w:w="2605" w:type="dxa"/>
            <w:vMerge/>
            <w:tcBorders>
              <w:top w:val="nil"/>
              <w:left w:val="single" w:sz="4" w:space="0" w:color="auto"/>
              <w:bottom w:val="single" w:sz="4" w:space="0" w:color="auto"/>
              <w:right w:val="single" w:sz="4" w:space="0" w:color="auto"/>
            </w:tcBorders>
            <w:vAlign w:val="center"/>
            <w:hideMark/>
          </w:tcPr>
          <w:p w14:paraId="5B8B2357"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03D7949B"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C.8. If applicable, description of how (if at all) traditional knowledge has been used/has contributed to REDD+ actions implementation and how Indigenous peoples’ intellectual property has been protected.</w:t>
            </w:r>
          </w:p>
        </w:tc>
        <w:tc>
          <w:tcPr>
            <w:tcW w:w="2409" w:type="dxa"/>
            <w:vMerge/>
            <w:tcBorders>
              <w:top w:val="nil"/>
              <w:left w:val="single" w:sz="4" w:space="0" w:color="auto"/>
              <w:bottom w:val="single" w:sz="4" w:space="0" w:color="auto"/>
              <w:right w:val="single" w:sz="4" w:space="0" w:color="auto"/>
            </w:tcBorders>
            <w:vAlign w:val="center"/>
            <w:hideMark/>
          </w:tcPr>
          <w:p w14:paraId="006CA32D"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62BCB6E8" w14:textId="77777777" w:rsidR="00042B62" w:rsidRPr="00042B62" w:rsidRDefault="00042B62" w:rsidP="00042B62">
            <w:pPr>
              <w:jc w:val="left"/>
              <w:rPr>
                <w:rFonts w:ascii="Calibri" w:hAnsi="Calibri"/>
                <w:color w:val="000000"/>
                <w:szCs w:val="22"/>
                <w:lang w:val="en-US" w:eastAsia="en-US"/>
              </w:rPr>
            </w:pPr>
          </w:p>
        </w:tc>
      </w:tr>
      <w:tr w:rsidR="00042B62" w:rsidRPr="00042B62" w14:paraId="1F6D1235" w14:textId="77777777" w:rsidTr="00042B62">
        <w:trPr>
          <w:trHeight w:val="76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34BBB074"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Safeguard (d) The full and effective participation of relevant stakeholders, in particular indigenous peoples and local communities, in the actions referred to in paragraphs 70 and 72 of this decision;</w:t>
            </w:r>
          </w:p>
        </w:tc>
      </w:tr>
      <w:tr w:rsidR="00042B62" w:rsidRPr="00042B62" w14:paraId="24AB1990" w14:textId="77777777" w:rsidTr="00042B62">
        <w:trPr>
          <w:trHeight w:val="312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36603A5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The right to participate, in particular for customary landowners, local communities and vulnerable groups, is recognized and promoted under the National REDD+ Strategy through the relevant PLRs of the country, which include the promotion of gender equality and the right to free, prior and informed consent.</w:t>
            </w:r>
            <w:r w:rsidRPr="00042B62">
              <w:rPr>
                <w:rFonts w:ascii="Calibri" w:hAnsi="Calibri"/>
                <w:color w:val="000000"/>
                <w:szCs w:val="22"/>
                <w:lang w:val="en-US" w:eastAsia="en-US"/>
              </w:rPr>
              <w:br/>
            </w:r>
            <w:r w:rsidRPr="00042B62">
              <w:rPr>
                <w:rFonts w:ascii="Calibri" w:hAnsi="Calibri"/>
                <w:color w:val="000000"/>
                <w:szCs w:val="22"/>
                <w:lang w:val="en-US" w:eastAsia="en-US"/>
              </w:rPr>
              <w:br/>
              <w:t>Core elements</w:t>
            </w:r>
            <w:r w:rsidRPr="00042B62">
              <w:rPr>
                <w:rFonts w:ascii="Calibri" w:hAnsi="Calibri"/>
                <w:color w:val="000000"/>
                <w:szCs w:val="22"/>
                <w:lang w:val="en-US" w:eastAsia="en-US"/>
              </w:rPr>
              <w:br/>
              <w:t xml:space="preserve">a. The right to participate in the design and implementation of the National REDD+ Strategy is recognized and promoted. </w:t>
            </w:r>
            <w:r w:rsidRPr="00042B62">
              <w:rPr>
                <w:rFonts w:ascii="Calibri" w:hAnsi="Calibri"/>
                <w:color w:val="000000"/>
                <w:szCs w:val="22"/>
                <w:lang w:val="en-US" w:eastAsia="en-US"/>
              </w:rPr>
              <w:br/>
              <w:t>b. Customary landowners’, local communities’ and vulnerable groups’ right to participate, including their Free, Prior and Informed Consent (FPIC), is recognized and promoted in the context of the application of the National REDD+ Strategy</w:t>
            </w:r>
            <w:r w:rsidRPr="00042B62">
              <w:rPr>
                <w:rFonts w:ascii="Calibri" w:hAnsi="Calibri"/>
                <w:color w:val="000000"/>
                <w:szCs w:val="22"/>
                <w:lang w:val="en-US" w:eastAsia="en-US"/>
              </w:rPr>
              <w:br/>
              <w:t>c. Gender equality is promoted and protected in the context of the implementation of the National REDD+ Strategy</w:t>
            </w:r>
          </w:p>
        </w:tc>
      </w:tr>
      <w:tr w:rsidR="00042B62" w:rsidRPr="00042B62" w14:paraId="71E6E085" w14:textId="77777777" w:rsidTr="00042B62">
        <w:trPr>
          <w:trHeight w:val="226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530069C0"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D.1. Description of PLRs, institutional mandates and procedures that recognize and regulate the right to participate in the implementation of the REDD+ actions.</w:t>
            </w:r>
            <w:r w:rsidRPr="00042B62">
              <w:rPr>
                <w:rFonts w:ascii="Calibri" w:hAnsi="Calibri"/>
                <w:color w:val="000000"/>
                <w:szCs w:val="22"/>
                <w:lang w:eastAsia="en-US"/>
              </w:rPr>
              <w:br/>
            </w:r>
            <w:r w:rsidRPr="00042B62">
              <w:rPr>
                <w:rFonts w:ascii="Calibri" w:hAnsi="Calibri"/>
                <w:color w:val="000000"/>
                <w:szCs w:val="22"/>
                <w:lang w:eastAsia="en-US"/>
              </w:rPr>
              <w:br/>
              <w:t>D.2. Description of PLRs, institutional mandates and procedures that specifically recognize and regulate the right of customary landowners, local communities and vulnerable groups to participate in the implementation of the REDD+ actions.</w:t>
            </w:r>
          </w:p>
        </w:tc>
        <w:tc>
          <w:tcPr>
            <w:tcW w:w="2901" w:type="dxa"/>
            <w:gridSpan w:val="2"/>
            <w:tcBorders>
              <w:top w:val="nil"/>
              <w:left w:val="nil"/>
              <w:bottom w:val="single" w:sz="4" w:space="0" w:color="auto"/>
              <w:right w:val="single" w:sz="4" w:space="0" w:color="auto"/>
            </w:tcBorders>
            <w:shd w:val="clear" w:color="auto" w:fill="auto"/>
            <w:hideMark/>
          </w:tcPr>
          <w:p w14:paraId="51E5CCAE"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 xml:space="preserve">D.3. Description of the general categories of stakeholders (women, youth, the elderly, etc) and how they were involved in the implementation of the REDD+ actions (documentation and mapping of stakeholders, information shared, feedback gathered, in what format was it gathered). </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77EA188F"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Satellite Land Monitoring System (part of National Forest Monitoring System)</w:t>
            </w:r>
            <w:r w:rsidRPr="00042B62">
              <w:rPr>
                <w:rFonts w:ascii="Calibri" w:hAnsi="Calibri"/>
                <w:color w:val="000000"/>
                <w:szCs w:val="22"/>
                <w:lang w:val="en-US" w:eastAsia="en-US"/>
              </w:rPr>
              <w:br/>
              <w:t>- Climate Change and Development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Pacific Islands Legal Information Institute - Office of Legislative Council within the Dept. of Prime Minister &amp; National Executive Council</w:t>
            </w:r>
          </w:p>
        </w:tc>
        <w:tc>
          <w:tcPr>
            <w:tcW w:w="21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ABD0E9F" w14:textId="77777777" w:rsidR="00042B62" w:rsidRPr="00042B62" w:rsidRDefault="00042B62" w:rsidP="00042B62">
            <w:pPr>
              <w:jc w:val="center"/>
              <w:rPr>
                <w:rFonts w:ascii="Calibri" w:hAnsi="Calibri"/>
                <w:color w:val="000000"/>
                <w:szCs w:val="22"/>
                <w:lang w:val="en-US" w:eastAsia="en-US"/>
              </w:rPr>
            </w:pPr>
            <w:r w:rsidRPr="00042B62">
              <w:rPr>
                <w:rFonts w:ascii="Calibri" w:hAnsi="Calibri"/>
                <w:color w:val="000000"/>
                <w:szCs w:val="22"/>
                <w:lang w:val="en-US" w:eastAsia="en-US"/>
              </w:rPr>
              <w:t> </w:t>
            </w:r>
          </w:p>
        </w:tc>
      </w:tr>
      <w:tr w:rsidR="00042B62" w:rsidRPr="00042B62" w14:paraId="7E810475" w14:textId="77777777" w:rsidTr="00042B62">
        <w:trPr>
          <w:trHeight w:val="4300"/>
        </w:trPr>
        <w:tc>
          <w:tcPr>
            <w:tcW w:w="2605" w:type="dxa"/>
            <w:vMerge/>
            <w:tcBorders>
              <w:top w:val="nil"/>
              <w:left w:val="single" w:sz="4" w:space="0" w:color="auto"/>
              <w:bottom w:val="single" w:sz="4" w:space="0" w:color="auto"/>
              <w:right w:val="single" w:sz="4" w:space="0" w:color="auto"/>
            </w:tcBorders>
            <w:vAlign w:val="center"/>
            <w:hideMark/>
          </w:tcPr>
          <w:p w14:paraId="41404AB3"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5A7E7C95"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D.4. Description of  approaches to participation as well as the outcomes of the participation processes (e.g. type of meeting, purpose of meeting and level (regional cluster/sub regional, district council, culturally appropriate information produced, non-technical information produced, capacity building activities, specific meetings </w:t>
            </w:r>
            <w:proofErr w:type="spellStart"/>
            <w:r w:rsidRPr="00042B62">
              <w:rPr>
                <w:rFonts w:ascii="Calibri" w:hAnsi="Calibri"/>
                <w:color w:val="000000"/>
                <w:szCs w:val="22"/>
                <w:lang w:val="en-US" w:eastAsia="en-US"/>
              </w:rPr>
              <w:t>organised</w:t>
            </w:r>
            <w:proofErr w:type="spellEnd"/>
            <w:r w:rsidRPr="00042B62">
              <w:rPr>
                <w:rFonts w:ascii="Calibri" w:hAnsi="Calibri"/>
                <w:color w:val="000000"/>
                <w:szCs w:val="22"/>
                <w:lang w:val="en-US" w:eastAsia="en-US"/>
              </w:rPr>
              <w:t xml:space="preserve"> for vulnerable groups, how the ideas or comments from relevant stakeholders led to implementation changed/was influenced by considering the views of the relevant stakeholders) carried out in the context of the implementation of the REDD+ actions.</w:t>
            </w:r>
          </w:p>
        </w:tc>
        <w:tc>
          <w:tcPr>
            <w:tcW w:w="2409" w:type="dxa"/>
            <w:vMerge/>
            <w:tcBorders>
              <w:top w:val="nil"/>
              <w:left w:val="single" w:sz="4" w:space="0" w:color="auto"/>
              <w:bottom w:val="single" w:sz="4" w:space="0" w:color="auto"/>
              <w:right w:val="single" w:sz="4" w:space="0" w:color="auto"/>
            </w:tcBorders>
            <w:vAlign w:val="center"/>
            <w:hideMark/>
          </w:tcPr>
          <w:p w14:paraId="417E4BE0"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2531B1DC" w14:textId="77777777" w:rsidR="00042B62" w:rsidRPr="00042B62" w:rsidRDefault="00042B62" w:rsidP="00042B62">
            <w:pPr>
              <w:jc w:val="left"/>
              <w:rPr>
                <w:rFonts w:ascii="Calibri" w:hAnsi="Calibri"/>
                <w:color w:val="000000"/>
                <w:szCs w:val="22"/>
                <w:lang w:val="en-US" w:eastAsia="en-US"/>
              </w:rPr>
            </w:pPr>
          </w:p>
        </w:tc>
      </w:tr>
      <w:tr w:rsidR="00042B62" w:rsidRPr="00042B62" w14:paraId="781D3792" w14:textId="77777777" w:rsidTr="00042B62">
        <w:trPr>
          <w:trHeight w:val="640"/>
        </w:trPr>
        <w:tc>
          <w:tcPr>
            <w:tcW w:w="2605" w:type="dxa"/>
            <w:vMerge/>
            <w:tcBorders>
              <w:top w:val="nil"/>
              <w:left w:val="single" w:sz="4" w:space="0" w:color="auto"/>
              <w:bottom w:val="single" w:sz="4" w:space="0" w:color="auto"/>
              <w:right w:val="single" w:sz="4" w:space="0" w:color="auto"/>
            </w:tcBorders>
            <w:vAlign w:val="center"/>
            <w:hideMark/>
          </w:tcPr>
          <w:p w14:paraId="3694FDE8"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0CDD7B6F"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D.5. Number of meetings held, number of participants (organized according to categories of participant), disaggregated by gender and age.</w:t>
            </w:r>
          </w:p>
        </w:tc>
        <w:tc>
          <w:tcPr>
            <w:tcW w:w="2409" w:type="dxa"/>
            <w:vMerge/>
            <w:tcBorders>
              <w:top w:val="nil"/>
              <w:left w:val="single" w:sz="4" w:space="0" w:color="auto"/>
              <w:bottom w:val="single" w:sz="4" w:space="0" w:color="auto"/>
              <w:right w:val="single" w:sz="4" w:space="0" w:color="auto"/>
            </w:tcBorders>
            <w:vAlign w:val="center"/>
            <w:hideMark/>
          </w:tcPr>
          <w:p w14:paraId="27D5161C"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34BE0045" w14:textId="77777777" w:rsidR="00042B62" w:rsidRPr="00042B62" w:rsidRDefault="00042B62" w:rsidP="00042B62">
            <w:pPr>
              <w:jc w:val="left"/>
              <w:rPr>
                <w:rFonts w:ascii="Calibri" w:hAnsi="Calibri"/>
                <w:color w:val="000000"/>
                <w:szCs w:val="22"/>
                <w:lang w:val="en-US" w:eastAsia="en-US"/>
              </w:rPr>
            </w:pPr>
          </w:p>
        </w:tc>
      </w:tr>
      <w:tr w:rsidR="00042B62" w:rsidRPr="00042B62" w14:paraId="54D62EA9" w14:textId="77777777" w:rsidTr="00042B62">
        <w:trPr>
          <w:trHeight w:val="2120"/>
        </w:trPr>
        <w:tc>
          <w:tcPr>
            <w:tcW w:w="2605" w:type="dxa"/>
            <w:vMerge/>
            <w:tcBorders>
              <w:top w:val="nil"/>
              <w:left w:val="single" w:sz="4" w:space="0" w:color="auto"/>
              <w:bottom w:val="single" w:sz="4" w:space="0" w:color="auto"/>
              <w:right w:val="single" w:sz="4" w:space="0" w:color="auto"/>
            </w:tcBorders>
            <w:vAlign w:val="center"/>
            <w:hideMark/>
          </w:tcPr>
          <w:p w14:paraId="13E9DA72"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0D6E0B61"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D.6. If applicable, description and evidence of how FPIC processes were followed prior to REDD+ actions in areas of customary landowners and local communities, and whether they affected the implementation of REDD+ (REDD+ actions cancelled where FPIC withheld).</w:t>
            </w:r>
          </w:p>
        </w:tc>
        <w:tc>
          <w:tcPr>
            <w:tcW w:w="2409" w:type="dxa"/>
            <w:vMerge/>
            <w:tcBorders>
              <w:top w:val="nil"/>
              <w:left w:val="single" w:sz="4" w:space="0" w:color="auto"/>
              <w:bottom w:val="single" w:sz="4" w:space="0" w:color="auto"/>
              <w:right w:val="single" w:sz="4" w:space="0" w:color="auto"/>
            </w:tcBorders>
            <w:vAlign w:val="center"/>
            <w:hideMark/>
          </w:tcPr>
          <w:p w14:paraId="51B7320C"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7C07DDD5" w14:textId="77777777" w:rsidR="00042B62" w:rsidRPr="00042B62" w:rsidRDefault="00042B62" w:rsidP="00042B62">
            <w:pPr>
              <w:jc w:val="left"/>
              <w:rPr>
                <w:rFonts w:ascii="Calibri" w:hAnsi="Calibri"/>
                <w:color w:val="000000"/>
                <w:szCs w:val="22"/>
                <w:lang w:val="en-US" w:eastAsia="en-US"/>
              </w:rPr>
            </w:pPr>
          </w:p>
        </w:tc>
      </w:tr>
      <w:tr w:rsidR="00042B62" w:rsidRPr="00042B62" w14:paraId="70FF6956" w14:textId="77777777" w:rsidTr="00042B62">
        <w:trPr>
          <w:trHeight w:val="1460"/>
        </w:trPr>
        <w:tc>
          <w:tcPr>
            <w:tcW w:w="2605" w:type="dxa"/>
            <w:vMerge/>
            <w:tcBorders>
              <w:top w:val="nil"/>
              <w:left w:val="single" w:sz="4" w:space="0" w:color="auto"/>
              <w:bottom w:val="single" w:sz="4" w:space="0" w:color="auto"/>
              <w:right w:val="single" w:sz="4" w:space="0" w:color="auto"/>
            </w:tcBorders>
            <w:vAlign w:val="center"/>
            <w:hideMark/>
          </w:tcPr>
          <w:p w14:paraId="37C8F405"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hideMark/>
          </w:tcPr>
          <w:p w14:paraId="33462980"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br/>
              <w:t>D.7. If applicable, number of FPIC processes followed (FPIC granted, FPIC withheld -resulting in intervention not going ahead).</w:t>
            </w:r>
          </w:p>
        </w:tc>
        <w:tc>
          <w:tcPr>
            <w:tcW w:w="2409" w:type="dxa"/>
            <w:vMerge/>
            <w:tcBorders>
              <w:top w:val="nil"/>
              <w:left w:val="single" w:sz="4" w:space="0" w:color="auto"/>
              <w:bottom w:val="single" w:sz="4" w:space="0" w:color="auto"/>
              <w:right w:val="single" w:sz="4" w:space="0" w:color="auto"/>
            </w:tcBorders>
            <w:vAlign w:val="center"/>
            <w:hideMark/>
          </w:tcPr>
          <w:p w14:paraId="25B2EA7E"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5BDAB931" w14:textId="77777777" w:rsidR="00042B62" w:rsidRPr="00042B62" w:rsidRDefault="00042B62" w:rsidP="00042B62">
            <w:pPr>
              <w:jc w:val="left"/>
              <w:rPr>
                <w:rFonts w:ascii="Calibri" w:hAnsi="Calibri"/>
                <w:color w:val="000000"/>
                <w:szCs w:val="22"/>
                <w:lang w:val="en-US" w:eastAsia="en-US"/>
              </w:rPr>
            </w:pPr>
          </w:p>
        </w:tc>
      </w:tr>
      <w:tr w:rsidR="00042B62" w:rsidRPr="00042B62" w14:paraId="67661BDA" w14:textId="77777777" w:rsidTr="00042B62">
        <w:trPr>
          <w:trHeight w:val="118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1178EE99"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 xml:space="preserve">Safeguard (e) That actions are consistent with the conservation of natural forests and biological diversity, ensuring that the actions referred to in paragraph 70 of this decision are not used for the conversion of natural forests, but are instead used to incentivize the protection and conservation of natural forests and their ecosystem services, and to enhance other social and environmental benefits; </w:t>
            </w:r>
          </w:p>
        </w:tc>
      </w:tr>
      <w:tr w:rsidR="00042B62" w:rsidRPr="00042B62" w14:paraId="74CE33A7" w14:textId="77777777" w:rsidTr="00042B62">
        <w:trPr>
          <w:trHeight w:val="276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534763D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REDD+ actions under the National REDD+ Strategy will promote the conservation of natural forests and biodiversity, the enhancement of social and environmental benefits, and will not result in the conversion of natural forests, in accordance with the relevant PLRs in the country.</w:t>
            </w:r>
            <w:r w:rsidRPr="00042B62">
              <w:rPr>
                <w:rFonts w:ascii="Calibri" w:hAnsi="Calibri"/>
                <w:color w:val="000000"/>
                <w:szCs w:val="22"/>
                <w:lang w:val="en-US" w:eastAsia="en-US"/>
              </w:rPr>
              <w:br/>
            </w:r>
            <w:r w:rsidRPr="00042B62">
              <w:rPr>
                <w:rFonts w:ascii="Calibri" w:hAnsi="Calibri"/>
                <w:color w:val="000000"/>
                <w:szCs w:val="22"/>
                <w:lang w:val="en-US" w:eastAsia="en-US"/>
              </w:rPr>
              <w:br/>
              <w:t>Core elements</w:t>
            </w:r>
            <w:r w:rsidRPr="00042B62">
              <w:rPr>
                <w:rFonts w:ascii="Calibri" w:hAnsi="Calibri"/>
                <w:color w:val="000000"/>
                <w:szCs w:val="22"/>
                <w:lang w:val="en-US" w:eastAsia="en-US"/>
              </w:rPr>
              <w:br/>
              <w:t>a. The National REDD+ Strategy is consistent with the conservation of natural forests and biological diversity</w:t>
            </w:r>
            <w:r w:rsidRPr="00042B62">
              <w:rPr>
                <w:rFonts w:ascii="Calibri" w:hAnsi="Calibri"/>
                <w:color w:val="000000"/>
                <w:szCs w:val="22"/>
                <w:lang w:val="en-US" w:eastAsia="en-US"/>
              </w:rPr>
              <w:br/>
              <w:t xml:space="preserve">b. The National REDD+ Strategy will not </w:t>
            </w:r>
            <w:proofErr w:type="spellStart"/>
            <w:r w:rsidRPr="00042B62">
              <w:rPr>
                <w:rFonts w:ascii="Calibri" w:hAnsi="Calibri"/>
                <w:color w:val="000000"/>
                <w:szCs w:val="22"/>
                <w:lang w:val="en-US" w:eastAsia="en-US"/>
              </w:rPr>
              <w:t>incentivise</w:t>
            </w:r>
            <w:proofErr w:type="spellEnd"/>
            <w:r w:rsidRPr="00042B62">
              <w:rPr>
                <w:rFonts w:ascii="Calibri" w:hAnsi="Calibri"/>
                <w:color w:val="000000"/>
                <w:szCs w:val="22"/>
                <w:lang w:val="en-US" w:eastAsia="en-US"/>
              </w:rPr>
              <w:t xml:space="preserve"> the conversion of natural forests</w:t>
            </w:r>
            <w:r w:rsidRPr="00042B62">
              <w:rPr>
                <w:rFonts w:ascii="Calibri" w:hAnsi="Calibri"/>
                <w:color w:val="000000"/>
                <w:szCs w:val="22"/>
                <w:lang w:val="en-US" w:eastAsia="en-US"/>
              </w:rPr>
              <w:br/>
              <w:t>c. Enhancement of and the right to a fair distribution of benefits is recognized and protected in the context of the implementation of the National REDD+ Strategy</w:t>
            </w:r>
          </w:p>
        </w:tc>
      </w:tr>
      <w:tr w:rsidR="00042B62" w:rsidRPr="00042B62" w14:paraId="08D8EDB8" w14:textId="77777777" w:rsidTr="00042B62">
        <w:trPr>
          <w:trHeight w:val="92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25A073DF"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E.1. Description of PLRs, institutional mandates and procedures that define the term natural forests distinguishing them from plantations</w:t>
            </w: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178A0290"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 xml:space="preserve">E.4. Description of how REDD+ actions did not result in the conversion of natural forests. </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24910BE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Satellite Land Monitoring System (part of National Forest Monitoring System)</w:t>
            </w:r>
            <w:r w:rsidRPr="00042B62">
              <w:rPr>
                <w:rFonts w:ascii="Calibri" w:hAnsi="Calibri"/>
                <w:color w:val="000000"/>
                <w:szCs w:val="22"/>
                <w:lang w:val="en-US" w:eastAsia="en-US"/>
              </w:rPr>
              <w:br/>
              <w:t>- Climate Change and Development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Forest Resource Information System (FRIMS) - PNG Forest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Environmental Management Information System - Conservation and Environment Protection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Pacific Islands Legal Information Institute - Office of Legislative Council within the Dept. of Prime Minister &amp; National Executive Council </w:t>
            </w:r>
          </w:p>
        </w:tc>
        <w:tc>
          <w:tcPr>
            <w:tcW w:w="2160" w:type="dxa"/>
            <w:vMerge w:val="restart"/>
            <w:tcBorders>
              <w:top w:val="nil"/>
              <w:left w:val="single" w:sz="4" w:space="0" w:color="auto"/>
              <w:bottom w:val="single" w:sz="4" w:space="0" w:color="auto"/>
              <w:right w:val="single" w:sz="4" w:space="0" w:color="auto"/>
            </w:tcBorders>
            <w:shd w:val="clear" w:color="auto" w:fill="auto"/>
            <w:hideMark/>
          </w:tcPr>
          <w:p w14:paraId="6B828298"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 xml:space="preserve">Convention on Biological Diversity - Conservation and Environmental Protection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Convention on International Trade of Endangered Species - Conservation and Environmental Protection Authority </w:t>
            </w:r>
          </w:p>
        </w:tc>
      </w:tr>
      <w:tr w:rsidR="00042B62" w:rsidRPr="00042B62" w14:paraId="6DA6D998" w14:textId="77777777" w:rsidTr="00042B62">
        <w:trPr>
          <w:trHeight w:val="920"/>
        </w:trPr>
        <w:tc>
          <w:tcPr>
            <w:tcW w:w="2605" w:type="dxa"/>
            <w:vMerge/>
            <w:tcBorders>
              <w:top w:val="nil"/>
              <w:left w:val="single" w:sz="4" w:space="0" w:color="auto"/>
              <w:bottom w:val="single" w:sz="4" w:space="0" w:color="auto"/>
              <w:right w:val="single" w:sz="4" w:space="0" w:color="auto"/>
            </w:tcBorders>
            <w:vAlign w:val="center"/>
            <w:hideMark/>
          </w:tcPr>
          <w:p w14:paraId="05245FEC"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5F809D6D"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E.5. Spatial information on the country’s natural forest cover before and after REDD+ actions implementation.</w:t>
            </w:r>
          </w:p>
        </w:tc>
        <w:tc>
          <w:tcPr>
            <w:tcW w:w="2409" w:type="dxa"/>
            <w:vMerge/>
            <w:tcBorders>
              <w:top w:val="nil"/>
              <w:left w:val="single" w:sz="4" w:space="0" w:color="auto"/>
              <w:bottom w:val="single" w:sz="4" w:space="0" w:color="auto"/>
              <w:right w:val="single" w:sz="4" w:space="0" w:color="auto"/>
            </w:tcBorders>
            <w:vAlign w:val="center"/>
            <w:hideMark/>
          </w:tcPr>
          <w:p w14:paraId="64243D61"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5D53A9D3" w14:textId="77777777" w:rsidR="00042B62" w:rsidRPr="00042B62" w:rsidRDefault="00042B62" w:rsidP="00042B62">
            <w:pPr>
              <w:jc w:val="left"/>
              <w:rPr>
                <w:rFonts w:ascii="Calibri" w:hAnsi="Calibri"/>
                <w:color w:val="000000"/>
                <w:szCs w:val="22"/>
                <w:lang w:val="en-US" w:eastAsia="en-US"/>
              </w:rPr>
            </w:pPr>
          </w:p>
        </w:tc>
      </w:tr>
      <w:tr w:rsidR="00042B62" w:rsidRPr="00042B62" w14:paraId="46FC53AA" w14:textId="77777777" w:rsidTr="00042B62">
        <w:trPr>
          <w:trHeight w:val="920"/>
        </w:trPr>
        <w:tc>
          <w:tcPr>
            <w:tcW w:w="2605" w:type="dxa"/>
            <w:vMerge/>
            <w:tcBorders>
              <w:top w:val="nil"/>
              <w:left w:val="single" w:sz="4" w:space="0" w:color="auto"/>
              <w:bottom w:val="single" w:sz="4" w:space="0" w:color="auto"/>
              <w:right w:val="single" w:sz="4" w:space="0" w:color="auto"/>
            </w:tcBorders>
            <w:vAlign w:val="center"/>
            <w:hideMark/>
          </w:tcPr>
          <w:p w14:paraId="34F6832C" w14:textId="77777777" w:rsidR="00042B62" w:rsidRPr="00042B62" w:rsidRDefault="00042B62" w:rsidP="00042B62">
            <w:pPr>
              <w:jc w:val="left"/>
              <w:rPr>
                <w:rFonts w:ascii="Calibri" w:hAnsi="Calibri"/>
                <w:color w:val="000000"/>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7012F8A3"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E.6. Spatial information on extent of plantations nationally and rate of change in extent of plantations.</w:t>
            </w:r>
          </w:p>
        </w:tc>
        <w:tc>
          <w:tcPr>
            <w:tcW w:w="2409" w:type="dxa"/>
            <w:vMerge/>
            <w:tcBorders>
              <w:top w:val="nil"/>
              <w:left w:val="single" w:sz="4" w:space="0" w:color="auto"/>
              <w:bottom w:val="single" w:sz="4" w:space="0" w:color="auto"/>
              <w:right w:val="single" w:sz="4" w:space="0" w:color="auto"/>
            </w:tcBorders>
            <w:vAlign w:val="center"/>
            <w:hideMark/>
          </w:tcPr>
          <w:p w14:paraId="22D97443"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0B4DE950" w14:textId="77777777" w:rsidR="00042B62" w:rsidRPr="00042B62" w:rsidRDefault="00042B62" w:rsidP="00042B62">
            <w:pPr>
              <w:jc w:val="left"/>
              <w:rPr>
                <w:rFonts w:ascii="Calibri" w:hAnsi="Calibri"/>
                <w:color w:val="000000"/>
                <w:szCs w:val="22"/>
                <w:lang w:val="en-US" w:eastAsia="en-US"/>
              </w:rPr>
            </w:pPr>
          </w:p>
        </w:tc>
      </w:tr>
      <w:tr w:rsidR="00042B62" w:rsidRPr="00042B62" w14:paraId="7F97F51A" w14:textId="77777777" w:rsidTr="00042B62">
        <w:trPr>
          <w:trHeight w:val="1420"/>
        </w:trPr>
        <w:tc>
          <w:tcPr>
            <w:tcW w:w="2605" w:type="dxa"/>
            <w:vMerge w:val="restart"/>
            <w:tcBorders>
              <w:top w:val="nil"/>
              <w:left w:val="single" w:sz="4" w:space="0" w:color="auto"/>
              <w:bottom w:val="single" w:sz="4" w:space="0" w:color="auto"/>
              <w:right w:val="single" w:sz="4" w:space="0" w:color="auto"/>
            </w:tcBorders>
            <w:shd w:val="clear" w:color="auto" w:fill="auto"/>
            <w:vAlign w:val="center"/>
            <w:hideMark/>
          </w:tcPr>
          <w:p w14:paraId="59228409" w14:textId="77777777" w:rsidR="00042B62" w:rsidRPr="00042B62" w:rsidRDefault="00042B62" w:rsidP="00042B62">
            <w:pPr>
              <w:jc w:val="left"/>
              <w:rPr>
                <w:rFonts w:ascii="Calibri" w:hAnsi="Calibri"/>
                <w:szCs w:val="22"/>
                <w:lang w:val="en-US" w:eastAsia="en-US"/>
              </w:rPr>
            </w:pPr>
            <w:r w:rsidRPr="00042B62">
              <w:rPr>
                <w:rFonts w:ascii="Calibri" w:hAnsi="Calibri"/>
                <w:szCs w:val="22"/>
                <w:lang w:val="en-US" w:eastAsia="en-US"/>
              </w:rPr>
              <w:t>E.2. Description of PLRs, institutional mandates and procedures that protect and conserve natural forests, biodiversity and ecosystems</w:t>
            </w:r>
            <w:r w:rsidRPr="00042B62">
              <w:rPr>
                <w:rFonts w:ascii="Calibri" w:hAnsi="Calibri"/>
                <w:szCs w:val="22"/>
                <w:lang w:val="en-US" w:eastAsia="en-US"/>
              </w:rPr>
              <w:br/>
            </w:r>
            <w:r w:rsidRPr="00042B62">
              <w:rPr>
                <w:rFonts w:ascii="Calibri" w:hAnsi="Calibri"/>
                <w:szCs w:val="22"/>
                <w:lang w:val="en-US" w:eastAsia="en-US"/>
              </w:rPr>
              <w:br/>
              <w:t>E.3. Description of PLRs, institutional mandates and procedures that regulate the assessment or enhancement of social and environmental benefits</w:t>
            </w: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1C3040F6"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E.7. Description of whether and how the projected ecological, biological, climatic and socio-cultural priorities of REDD+ actions were realised following implementation.</w:t>
            </w:r>
          </w:p>
        </w:tc>
        <w:tc>
          <w:tcPr>
            <w:tcW w:w="2409" w:type="dxa"/>
            <w:vMerge/>
            <w:tcBorders>
              <w:top w:val="nil"/>
              <w:left w:val="single" w:sz="4" w:space="0" w:color="auto"/>
              <w:bottom w:val="single" w:sz="4" w:space="0" w:color="auto"/>
              <w:right w:val="single" w:sz="4" w:space="0" w:color="auto"/>
            </w:tcBorders>
            <w:vAlign w:val="center"/>
            <w:hideMark/>
          </w:tcPr>
          <w:p w14:paraId="0238E23B"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5B4BA223" w14:textId="77777777" w:rsidR="00042B62" w:rsidRPr="00042B62" w:rsidRDefault="00042B62" w:rsidP="00042B62">
            <w:pPr>
              <w:jc w:val="left"/>
              <w:rPr>
                <w:rFonts w:ascii="Calibri" w:hAnsi="Calibri"/>
                <w:color w:val="000000"/>
                <w:szCs w:val="22"/>
                <w:lang w:val="en-US" w:eastAsia="en-US"/>
              </w:rPr>
            </w:pPr>
          </w:p>
        </w:tc>
      </w:tr>
      <w:tr w:rsidR="00042B62" w:rsidRPr="00042B62" w14:paraId="116F43C6" w14:textId="77777777" w:rsidTr="00042B62">
        <w:trPr>
          <w:trHeight w:val="920"/>
        </w:trPr>
        <w:tc>
          <w:tcPr>
            <w:tcW w:w="2605" w:type="dxa"/>
            <w:vMerge/>
            <w:tcBorders>
              <w:top w:val="nil"/>
              <w:left w:val="single" w:sz="4" w:space="0" w:color="auto"/>
              <w:bottom w:val="single" w:sz="4" w:space="0" w:color="auto"/>
              <w:right w:val="single" w:sz="4" w:space="0" w:color="auto"/>
            </w:tcBorders>
            <w:vAlign w:val="center"/>
            <w:hideMark/>
          </w:tcPr>
          <w:p w14:paraId="03A2D5DE" w14:textId="77777777" w:rsidR="00042B62" w:rsidRPr="00042B62" w:rsidRDefault="00042B62" w:rsidP="00042B62">
            <w:pPr>
              <w:jc w:val="left"/>
              <w:rPr>
                <w:rFonts w:ascii="Calibri" w:hAnsi="Calibri"/>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18F35D06"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 xml:space="preserve">E.8. Description of how the implementation of REDD+ actions has impacted biodiversity </w:t>
            </w:r>
          </w:p>
        </w:tc>
        <w:tc>
          <w:tcPr>
            <w:tcW w:w="2409" w:type="dxa"/>
            <w:vMerge/>
            <w:tcBorders>
              <w:top w:val="nil"/>
              <w:left w:val="single" w:sz="4" w:space="0" w:color="auto"/>
              <w:bottom w:val="single" w:sz="4" w:space="0" w:color="auto"/>
              <w:right w:val="single" w:sz="4" w:space="0" w:color="auto"/>
            </w:tcBorders>
            <w:vAlign w:val="center"/>
            <w:hideMark/>
          </w:tcPr>
          <w:p w14:paraId="4B446B92"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1ADFA951" w14:textId="77777777" w:rsidR="00042B62" w:rsidRPr="00042B62" w:rsidRDefault="00042B62" w:rsidP="00042B62">
            <w:pPr>
              <w:jc w:val="left"/>
              <w:rPr>
                <w:rFonts w:ascii="Calibri" w:hAnsi="Calibri"/>
                <w:color w:val="000000"/>
                <w:szCs w:val="22"/>
                <w:lang w:val="en-US" w:eastAsia="en-US"/>
              </w:rPr>
            </w:pPr>
          </w:p>
        </w:tc>
      </w:tr>
      <w:tr w:rsidR="00042B62" w:rsidRPr="00042B62" w14:paraId="1DD452D2" w14:textId="77777777" w:rsidTr="00042B62">
        <w:trPr>
          <w:trHeight w:val="1240"/>
        </w:trPr>
        <w:tc>
          <w:tcPr>
            <w:tcW w:w="2605" w:type="dxa"/>
            <w:vMerge/>
            <w:tcBorders>
              <w:top w:val="nil"/>
              <w:left w:val="single" w:sz="4" w:space="0" w:color="auto"/>
              <w:bottom w:val="single" w:sz="4" w:space="0" w:color="auto"/>
              <w:right w:val="single" w:sz="4" w:space="0" w:color="auto"/>
            </w:tcBorders>
            <w:vAlign w:val="center"/>
            <w:hideMark/>
          </w:tcPr>
          <w:p w14:paraId="7487B102" w14:textId="77777777" w:rsidR="00042B62" w:rsidRPr="00042B62" w:rsidRDefault="00042B62" w:rsidP="00042B62">
            <w:pPr>
              <w:jc w:val="left"/>
              <w:rPr>
                <w:rFonts w:ascii="Calibri" w:hAnsi="Calibri"/>
                <w:szCs w:val="22"/>
                <w:lang w:val="en-US" w:eastAsia="en-US"/>
              </w:rPr>
            </w:pPr>
          </w:p>
        </w:tc>
        <w:tc>
          <w:tcPr>
            <w:tcW w:w="2901" w:type="dxa"/>
            <w:gridSpan w:val="2"/>
            <w:tcBorders>
              <w:top w:val="nil"/>
              <w:left w:val="nil"/>
              <w:bottom w:val="single" w:sz="4" w:space="0" w:color="auto"/>
              <w:right w:val="single" w:sz="4" w:space="0" w:color="auto"/>
            </w:tcBorders>
            <w:shd w:val="clear" w:color="auto" w:fill="auto"/>
            <w:noWrap/>
            <w:vAlign w:val="center"/>
            <w:hideMark/>
          </w:tcPr>
          <w:p w14:paraId="149E8EC4"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 xml:space="preserve">E.9. Description of measures taken to ensure REDD+ actions have contributed to delivering social and environmental benefits. </w:t>
            </w:r>
          </w:p>
        </w:tc>
        <w:tc>
          <w:tcPr>
            <w:tcW w:w="2409" w:type="dxa"/>
            <w:vMerge/>
            <w:tcBorders>
              <w:top w:val="nil"/>
              <w:left w:val="single" w:sz="4" w:space="0" w:color="auto"/>
              <w:bottom w:val="single" w:sz="4" w:space="0" w:color="auto"/>
              <w:right w:val="single" w:sz="4" w:space="0" w:color="auto"/>
            </w:tcBorders>
            <w:vAlign w:val="center"/>
            <w:hideMark/>
          </w:tcPr>
          <w:p w14:paraId="21D7C48E"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6D9C3CC5" w14:textId="77777777" w:rsidR="00042B62" w:rsidRPr="00042B62" w:rsidRDefault="00042B62" w:rsidP="00042B62">
            <w:pPr>
              <w:jc w:val="left"/>
              <w:rPr>
                <w:rFonts w:ascii="Calibri" w:hAnsi="Calibri"/>
                <w:color w:val="000000"/>
                <w:szCs w:val="22"/>
                <w:lang w:val="en-US" w:eastAsia="en-US"/>
              </w:rPr>
            </w:pPr>
          </w:p>
        </w:tc>
      </w:tr>
      <w:tr w:rsidR="00042B62" w:rsidRPr="00042B62" w14:paraId="64BEDBE3" w14:textId="77777777" w:rsidTr="00042B62">
        <w:trPr>
          <w:trHeight w:val="320"/>
        </w:trPr>
        <w:tc>
          <w:tcPr>
            <w:tcW w:w="10075" w:type="dxa"/>
            <w:gridSpan w:val="5"/>
            <w:tcBorders>
              <w:top w:val="single" w:sz="4" w:space="0" w:color="auto"/>
              <w:left w:val="single" w:sz="4" w:space="0" w:color="auto"/>
              <w:bottom w:val="single" w:sz="4" w:space="0" w:color="auto"/>
              <w:right w:val="single" w:sz="4" w:space="0" w:color="auto"/>
            </w:tcBorders>
            <w:shd w:val="clear" w:color="000000" w:fill="B4C6E7"/>
            <w:vAlign w:val="center"/>
            <w:hideMark/>
          </w:tcPr>
          <w:p w14:paraId="757A0280" w14:textId="77777777" w:rsidR="00042B62" w:rsidRPr="00042B62" w:rsidRDefault="00042B62" w:rsidP="00042B62">
            <w:pPr>
              <w:jc w:val="left"/>
              <w:rPr>
                <w:rFonts w:ascii="Calibri" w:hAnsi="Calibri"/>
                <w:b/>
                <w:bCs/>
                <w:color w:val="000000"/>
                <w:szCs w:val="22"/>
                <w:lang w:val="en-US" w:eastAsia="en-US"/>
              </w:rPr>
            </w:pPr>
            <w:r w:rsidRPr="00042B62">
              <w:rPr>
                <w:rFonts w:ascii="Calibri" w:hAnsi="Calibri"/>
                <w:b/>
                <w:bCs/>
                <w:color w:val="000000"/>
                <w:szCs w:val="22"/>
                <w:lang w:val="en-US" w:eastAsia="en-US"/>
              </w:rPr>
              <w:t>(f) Actions to address the risks of reversals; &amp; (g) Actions to reduce displacement of emissions</w:t>
            </w:r>
          </w:p>
        </w:tc>
      </w:tr>
      <w:tr w:rsidR="00042B62" w:rsidRPr="00042B62" w14:paraId="5AC96AE6" w14:textId="77777777" w:rsidTr="00042B62">
        <w:trPr>
          <w:trHeight w:val="2100"/>
        </w:trPr>
        <w:tc>
          <w:tcPr>
            <w:tcW w:w="10075"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0906892E"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Description</w:t>
            </w:r>
            <w:r w:rsidRPr="00042B62">
              <w:rPr>
                <w:rFonts w:ascii="Calibri" w:hAnsi="Calibri"/>
                <w:color w:val="000000"/>
                <w:szCs w:val="22"/>
                <w:lang w:val="en-US" w:eastAsia="en-US"/>
              </w:rPr>
              <w:br w:type="page"/>
              <w:t>Addressing risks of reversals of and displacement of emissions from the REDD+ actions are required by the National REDD+ Strategy.</w:t>
            </w:r>
            <w:r w:rsidRPr="00042B62">
              <w:rPr>
                <w:rFonts w:ascii="Calibri" w:hAnsi="Calibri"/>
                <w:color w:val="000000"/>
                <w:szCs w:val="22"/>
                <w:lang w:val="en-US" w:eastAsia="en-US"/>
              </w:rPr>
              <w:br w:type="page"/>
            </w:r>
            <w:r w:rsidRPr="00042B62">
              <w:rPr>
                <w:rFonts w:ascii="Calibri" w:hAnsi="Calibri"/>
                <w:color w:val="000000"/>
                <w:szCs w:val="22"/>
                <w:lang w:val="en-US" w:eastAsia="en-US"/>
              </w:rPr>
              <w:br w:type="page"/>
              <w:t>Core elements</w:t>
            </w:r>
            <w:r w:rsidRPr="00042B62">
              <w:rPr>
                <w:rFonts w:ascii="Calibri" w:hAnsi="Calibri"/>
                <w:color w:val="000000"/>
                <w:szCs w:val="22"/>
                <w:lang w:val="en-US" w:eastAsia="en-US"/>
              </w:rPr>
              <w:br w:type="page"/>
              <w:t>a. Addressing risks of reversals is required by the National REDD+ Strategy</w:t>
            </w:r>
            <w:r w:rsidRPr="00042B62">
              <w:rPr>
                <w:rFonts w:ascii="Calibri" w:hAnsi="Calibri"/>
                <w:color w:val="000000"/>
                <w:szCs w:val="22"/>
                <w:lang w:val="en-US" w:eastAsia="en-US"/>
              </w:rPr>
              <w:br w:type="page"/>
              <w:t>b. Addressing risks displacement of emissions is required by the National REDD+ Strategy</w:t>
            </w:r>
          </w:p>
        </w:tc>
      </w:tr>
      <w:tr w:rsidR="00042B62" w:rsidRPr="00042B62" w14:paraId="11F04E53" w14:textId="77777777" w:rsidTr="00042B62">
        <w:trPr>
          <w:trHeight w:val="3500"/>
        </w:trPr>
        <w:tc>
          <w:tcPr>
            <w:tcW w:w="2605" w:type="dxa"/>
            <w:tcBorders>
              <w:top w:val="nil"/>
              <w:left w:val="single" w:sz="4" w:space="0" w:color="auto"/>
              <w:bottom w:val="single" w:sz="4" w:space="0" w:color="auto"/>
              <w:right w:val="single" w:sz="4" w:space="0" w:color="auto"/>
            </w:tcBorders>
            <w:shd w:val="clear" w:color="auto" w:fill="auto"/>
            <w:noWrap/>
            <w:vAlign w:val="center"/>
            <w:hideMark/>
          </w:tcPr>
          <w:p w14:paraId="7C16D470" w14:textId="77777777" w:rsidR="00042B62" w:rsidRPr="00042B62" w:rsidRDefault="00042B62" w:rsidP="00042B62">
            <w:pPr>
              <w:rPr>
                <w:rFonts w:ascii="Calibri" w:hAnsi="Calibri"/>
                <w:color w:val="000000"/>
                <w:szCs w:val="22"/>
                <w:lang w:val="en-US" w:eastAsia="en-US"/>
              </w:rPr>
            </w:pPr>
            <w:r w:rsidRPr="00042B62">
              <w:rPr>
                <w:rFonts w:ascii="Calibri" w:hAnsi="Calibri"/>
                <w:color w:val="000000"/>
                <w:szCs w:val="22"/>
                <w:lang w:eastAsia="en-US"/>
              </w:rPr>
              <w:t>F&amp;G.1. Description of Measurement, Reporting and Verification (MRV) designed, maintained and implemented with the appropriate frequency to detect and provide information on reversals and displacement of emissions</w:t>
            </w:r>
          </w:p>
        </w:tc>
        <w:tc>
          <w:tcPr>
            <w:tcW w:w="2901"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2E0D98E"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F&amp;G.3. Number of tCO</w:t>
            </w:r>
            <w:r w:rsidRPr="00042B62">
              <w:rPr>
                <w:rFonts w:ascii="Calibri" w:hAnsi="Calibri"/>
                <w:color w:val="000000"/>
                <w:szCs w:val="22"/>
                <w:vertAlign w:val="subscript"/>
                <w:lang w:eastAsia="en-US"/>
              </w:rPr>
              <w:t>2</w:t>
            </w:r>
            <w:r w:rsidRPr="00042B62">
              <w:rPr>
                <w:rFonts w:ascii="Calibri" w:hAnsi="Calibri"/>
                <w:color w:val="000000"/>
                <w:szCs w:val="22"/>
                <w:lang w:eastAsia="en-US"/>
              </w:rPr>
              <w:t xml:space="preserve"> reduced since REDD+ intervention/implementation.</w:t>
            </w:r>
            <w:r w:rsidRPr="00042B62">
              <w:rPr>
                <w:rFonts w:ascii="Calibri" w:hAnsi="Calibri"/>
                <w:color w:val="000000"/>
                <w:szCs w:val="22"/>
                <w:lang w:eastAsia="en-US"/>
              </w:rPr>
              <w:br/>
            </w:r>
            <w:r w:rsidRPr="00042B62">
              <w:rPr>
                <w:rFonts w:ascii="Calibri" w:hAnsi="Calibri"/>
                <w:color w:val="000000"/>
                <w:szCs w:val="22"/>
                <w:lang w:eastAsia="en-US"/>
              </w:rPr>
              <w:br/>
              <w:t>F&amp;G.4. Variation of deforestation rates in neighbouring areas before and after the REDD+ actions’ intervention.</w:t>
            </w:r>
          </w:p>
        </w:tc>
        <w:tc>
          <w:tcPr>
            <w:tcW w:w="2409" w:type="dxa"/>
            <w:vMerge w:val="restart"/>
            <w:tcBorders>
              <w:top w:val="nil"/>
              <w:left w:val="single" w:sz="4" w:space="0" w:color="auto"/>
              <w:bottom w:val="single" w:sz="4" w:space="0" w:color="auto"/>
              <w:right w:val="single" w:sz="4" w:space="0" w:color="auto"/>
            </w:tcBorders>
            <w:shd w:val="clear" w:color="auto" w:fill="auto"/>
            <w:hideMark/>
          </w:tcPr>
          <w:p w14:paraId="5706E2A5"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val="en-US" w:eastAsia="en-US"/>
              </w:rPr>
              <w:t>Satellite Land Monitoring System (part of National Forest Monitoring System)</w:t>
            </w:r>
            <w:r w:rsidRPr="00042B62">
              <w:rPr>
                <w:rFonts w:ascii="Calibri" w:hAnsi="Calibri"/>
                <w:color w:val="000000"/>
                <w:szCs w:val="22"/>
                <w:lang w:val="en-US" w:eastAsia="en-US"/>
              </w:rPr>
              <w:br/>
              <w:t>- Climate Change and Development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Forest Resource Information System (FRIMS) - PNG Forest Authority</w:t>
            </w:r>
            <w:r w:rsidRPr="00042B62">
              <w:rPr>
                <w:rFonts w:ascii="Calibri" w:hAnsi="Calibri"/>
                <w:color w:val="000000"/>
                <w:szCs w:val="22"/>
                <w:lang w:val="en-US" w:eastAsia="en-US"/>
              </w:rPr>
              <w:br/>
            </w:r>
            <w:r w:rsidRPr="00042B62">
              <w:rPr>
                <w:rFonts w:ascii="Calibri" w:hAnsi="Calibri"/>
                <w:color w:val="000000"/>
                <w:szCs w:val="22"/>
                <w:lang w:val="en-US" w:eastAsia="en-US"/>
              </w:rPr>
              <w:br/>
              <w:t>PNG Resource Information System - Department of Agriculture and Livestock</w:t>
            </w:r>
            <w:r w:rsidRPr="00042B62">
              <w:rPr>
                <w:rFonts w:ascii="Calibri" w:hAnsi="Calibri"/>
                <w:color w:val="000000"/>
                <w:szCs w:val="22"/>
                <w:lang w:val="en-US" w:eastAsia="en-US"/>
              </w:rPr>
              <w:br/>
            </w:r>
            <w:r w:rsidRPr="00042B62">
              <w:rPr>
                <w:rFonts w:ascii="Calibri" w:hAnsi="Calibri"/>
                <w:color w:val="000000"/>
                <w:szCs w:val="22"/>
                <w:lang w:val="en-US" w:eastAsia="en-US"/>
              </w:rPr>
              <w:br/>
              <w:t xml:space="preserve">Mineral Tenement Database, </w:t>
            </w:r>
            <w:proofErr w:type="spellStart"/>
            <w:r w:rsidRPr="00042B62">
              <w:rPr>
                <w:rFonts w:ascii="Calibri" w:hAnsi="Calibri"/>
                <w:color w:val="000000"/>
                <w:szCs w:val="22"/>
                <w:lang w:val="en-US" w:eastAsia="en-US"/>
              </w:rPr>
              <w:t>FlexiCadastre</w:t>
            </w:r>
            <w:proofErr w:type="spellEnd"/>
            <w:r w:rsidRPr="00042B62">
              <w:rPr>
                <w:rFonts w:ascii="Calibri" w:hAnsi="Calibri"/>
                <w:color w:val="000000"/>
                <w:szCs w:val="22"/>
                <w:lang w:val="en-US" w:eastAsia="en-US"/>
              </w:rPr>
              <w:t xml:space="preserve"> - Mineral Resources Authority  </w:t>
            </w:r>
            <w:r w:rsidRPr="00042B62">
              <w:rPr>
                <w:rFonts w:ascii="Calibri" w:hAnsi="Calibri"/>
                <w:color w:val="000000"/>
                <w:szCs w:val="22"/>
                <w:lang w:val="en-US" w:eastAsia="en-US"/>
              </w:rPr>
              <w:br/>
            </w:r>
            <w:r w:rsidRPr="00042B62">
              <w:rPr>
                <w:rFonts w:ascii="Calibri" w:hAnsi="Calibri"/>
                <w:color w:val="000000"/>
                <w:szCs w:val="22"/>
                <w:lang w:val="en-US" w:eastAsia="en-US"/>
              </w:rPr>
              <w:br/>
              <w:t>Pacific Islands Legal Information Institute - Office of Legislative Council within the Dept. of Prime Minister &amp; National Executive Council</w:t>
            </w:r>
          </w:p>
        </w:tc>
        <w:tc>
          <w:tcPr>
            <w:tcW w:w="216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E31A769" w14:textId="77777777" w:rsidR="00042B62" w:rsidRPr="00042B62" w:rsidRDefault="00042B62" w:rsidP="00042B62">
            <w:pPr>
              <w:jc w:val="center"/>
              <w:rPr>
                <w:rFonts w:ascii="Calibri" w:hAnsi="Calibri"/>
                <w:color w:val="000000"/>
                <w:szCs w:val="22"/>
                <w:lang w:val="en-US" w:eastAsia="en-US"/>
              </w:rPr>
            </w:pPr>
            <w:r w:rsidRPr="00042B62">
              <w:rPr>
                <w:rFonts w:ascii="Calibri" w:hAnsi="Calibri"/>
                <w:color w:val="000000"/>
                <w:szCs w:val="22"/>
                <w:lang w:val="en-US" w:eastAsia="en-US"/>
              </w:rPr>
              <w:t> </w:t>
            </w:r>
          </w:p>
        </w:tc>
      </w:tr>
      <w:tr w:rsidR="00042B62" w:rsidRPr="00042B62" w14:paraId="66E3B3A5" w14:textId="77777777" w:rsidTr="00042B62">
        <w:trPr>
          <w:trHeight w:val="35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AF97E33" w14:textId="77777777" w:rsidR="00042B62" w:rsidRPr="00042B62" w:rsidRDefault="00042B62" w:rsidP="00042B62">
            <w:pPr>
              <w:jc w:val="left"/>
              <w:rPr>
                <w:rFonts w:ascii="Calibri" w:hAnsi="Calibri"/>
                <w:color w:val="000000"/>
                <w:szCs w:val="22"/>
                <w:lang w:val="en-US" w:eastAsia="en-US"/>
              </w:rPr>
            </w:pPr>
            <w:r w:rsidRPr="00042B62">
              <w:rPr>
                <w:rFonts w:ascii="Calibri" w:hAnsi="Calibri"/>
                <w:color w:val="000000"/>
                <w:szCs w:val="22"/>
                <w:lang w:eastAsia="en-US"/>
              </w:rPr>
              <w:t>F&amp;G.2. Description of carbon accounting risk mitigation mechanisms such as buffer pools.</w:t>
            </w:r>
          </w:p>
        </w:tc>
        <w:tc>
          <w:tcPr>
            <w:tcW w:w="2901" w:type="dxa"/>
            <w:gridSpan w:val="2"/>
            <w:vMerge/>
            <w:tcBorders>
              <w:top w:val="nil"/>
              <w:left w:val="single" w:sz="4" w:space="0" w:color="auto"/>
              <w:bottom w:val="single" w:sz="4" w:space="0" w:color="auto"/>
              <w:right w:val="single" w:sz="4" w:space="0" w:color="auto"/>
            </w:tcBorders>
            <w:vAlign w:val="center"/>
            <w:hideMark/>
          </w:tcPr>
          <w:p w14:paraId="606B3F45" w14:textId="77777777" w:rsidR="00042B62" w:rsidRPr="00042B62" w:rsidRDefault="00042B62" w:rsidP="00042B62">
            <w:pPr>
              <w:jc w:val="left"/>
              <w:rPr>
                <w:rFonts w:ascii="Calibri" w:hAnsi="Calibri"/>
                <w:color w:val="000000"/>
                <w:szCs w:val="22"/>
                <w:lang w:val="en-US" w:eastAsia="en-US"/>
              </w:rPr>
            </w:pPr>
          </w:p>
        </w:tc>
        <w:tc>
          <w:tcPr>
            <w:tcW w:w="2409" w:type="dxa"/>
            <w:vMerge/>
            <w:tcBorders>
              <w:top w:val="nil"/>
              <w:left w:val="single" w:sz="4" w:space="0" w:color="auto"/>
              <w:bottom w:val="single" w:sz="4" w:space="0" w:color="auto"/>
              <w:right w:val="single" w:sz="4" w:space="0" w:color="auto"/>
            </w:tcBorders>
            <w:vAlign w:val="center"/>
            <w:hideMark/>
          </w:tcPr>
          <w:p w14:paraId="0D67249E" w14:textId="77777777" w:rsidR="00042B62" w:rsidRPr="00042B62" w:rsidRDefault="00042B62" w:rsidP="00042B62">
            <w:pPr>
              <w:jc w:val="left"/>
              <w:rPr>
                <w:rFonts w:ascii="Calibri" w:hAnsi="Calibri"/>
                <w:color w:val="000000"/>
                <w:szCs w:val="22"/>
                <w:lang w:val="en-US" w:eastAsia="en-US"/>
              </w:rPr>
            </w:pPr>
          </w:p>
        </w:tc>
        <w:tc>
          <w:tcPr>
            <w:tcW w:w="2160" w:type="dxa"/>
            <w:vMerge/>
            <w:tcBorders>
              <w:top w:val="nil"/>
              <w:left w:val="single" w:sz="4" w:space="0" w:color="auto"/>
              <w:bottom w:val="single" w:sz="4" w:space="0" w:color="auto"/>
              <w:right w:val="single" w:sz="4" w:space="0" w:color="auto"/>
            </w:tcBorders>
            <w:vAlign w:val="center"/>
            <w:hideMark/>
          </w:tcPr>
          <w:p w14:paraId="48F4801D" w14:textId="77777777" w:rsidR="00042B62" w:rsidRPr="00042B62" w:rsidRDefault="00042B62" w:rsidP="00042B62">
            <w:pPr>
              <w:jc w:val="left"/>
              <w:rPr>
                <w:rFonts w:ascii="Calibri" w:hAnsi="Calibri"/>
                <w:color w:val="000000"/>
                <w:szCs w:val="22"/>
                <w:lang w:val="en-US" w:eastAsia="en-US"/>
              </w:rPr>
            </w:pPr>
          </w:p>
        </w:tc>
      </w:tr>
    </w:tbl>
    <w:p w14:paraId="305CA8AC" w14:textId="77777777" w:rsidR="00042B62" w:rsidRPr="002868D6" w:rsidRDefault="00042B62" w:rsidP="00741A00">
      <w:pPr>
        <w:rPr>
          <w:lang w:val="en-US"/>
        </w:rPr>
      </w:pPr>
    </w:p>
    <w:sectPr w:rsidR="00042B62" w:rsidRPr="002868D6" w:rsidSect="00304DB3">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D5484A" w14:textId="77777777" w:rsidR="006533E4" w:rsidRDefault="006533E4" w:rsidP="00A37752">
      <w:r>
        <w:separator/>
      </w:r>
    </w:p>
  </w:endnote>
  <w:endnote w:type="continuationSeparator" w:id="0">
    <w:p w14:paraId="28B8B91C" w14:textId="77777777" w:rsidR="006533E4" w:rsidRDefault="006533E4" w:rsidP="00A37752">
      <w:r>
        <w:continuationSeparator/>
      </w:r>
    </w:p>
  </w:endnote>
  <w:endnote w:type="continuationNotice" w:id="1">
    <w:p w14:paraId="549170B5" w14:textId="77777777" w:rsidR="006533E4" w:rsidRDefault="006533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BA248" w14:textId="77777777" w:rsidR="004D71D2" w:rsidRDefault="004D71D2" w:rsidP="005446E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020301" w14:textId="77777777" w:rsidR="004D71D2" w:rsidRDefault="004D71D2" w:rsidP="0084603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8D93B9" w14:textId="77777777" w:rsidR="004D71D2" w:rsidRDefault="004D71D2" w:rsidP="005446E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w:t>
    </w:r>
    <w:r>
      <w:rPr>
        <w:rStyle w:val="PageNumber"/>
      </w:rPr>
      <w:fldChar w:fldCharType="end"/>
    </w:r>
  </w:p>
  <w:p w14:paraId="6A0CF772" w14:textId="77777777" w:rsidR="004D71D2" w:rsidRDefault="004D71D2" w:rsidP="0084603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0845E" w14:textId="77777777" w:rsidR="004D71D2" w:rsidRDefault="004D71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96A59D" w14:textId="77777777" w:rsidR="006533E4" w:rsidRDefault="006533E4" w:rsidP="00A37752">
      <w:r>
        <w:separator/>
      </w:r>
    </w:p>
  </w:footnote>
  <w:footnote w:type="continuationSeparator" w:id="0">
    <w:p w14:paraId="416ED775" w14:textId="77777777" w:rsidR="006533E4" w:rsidRDefault="006533E4" w:rsidP="00A37752">
      <w:r>
        <w:continuationSeparator/>
      </w:r>
    </w:p>
  </w:footnote>
  <w:footnote w:type="continuationNotice" w:id="1">
    <w:p w14:paraId="17C46FDF" w14:textId="77777777" w:rsidR="006533E4" w:rsidRDefault="006533E4"/>
  </w:footnote>
  <w:footnote w:id="2">
    <w:p w14:paraId="2397A6CB" w14:textId="5A3E28B3" w:rsidR="004D71D2" w:rsidRPr="00004ADE" w:rsidRDefault="004D71D2" w:rsidP="00004ADE">
      <w:pPr>
        <w:pStyle w:val="FootnoteText"/>
        <w:rPr>
          <w:b/>
          <w:bCs/>
          <w:iCs/>
          <w:sz w:val="16"/>
          <w:szCs w:val="16"/>
          <w:lang w:val="en-US"/>
        </w:rPr>
      </w:pPr>
      <w:r w:rsidRPr="00004ADE">
        <w:rPr>
          <w:rStyle w:val="FootnoteReference"/>
          <w:sz w:val="16"/>
          <w:szCs w:val="16"/>
        </w:rPr>
        <w:footnoteRef/>
      </w:r>
      <w:r w:rsidRPr="00004ADE">
        <w:rPr>
          <w:sz w:val="16"/>
          <w:szCs w:val="16"/>
        </w:rPr>
        <w:t xml:space="preserve"> </w:t>
      </w:r>
      <w:r w:rsidRPr="00004ADE">
        <w:rPr>
          <w:b/>
          <w:bCs/>
          <w:iCs/>
          <w:sz w:val="16"/>
          <w:szCs w:val="16"/>
          <w:lang w:val="en-US"/>
        </w:rPr>
        <w:t>Those agencies with institutional responsibility and mandate over the implementation of the REDD+ actions, as a component of their monitoring and reporting responsibilities.</w:t>
      </w:r>
      <w:r>
        <w:rPr>
          <w:b/>
          <w:bCs/>
          <w:iCs/>
          <w:sz w:val="16"/>
          <w:szCs w:val="16"/>
          <w:lang w:val="en-US"/>
        </w:rPr>
        <w:t xml:space="preserve"> For purposes of the SIS database, these are referred to as ‘data collectors’</w:t>
      </w:r>
      <w:r w:rsidR="00E50CE5">
        <w:rPr>
          <w:b/>
          <w:bCs/>
          <w:iCs/>
          <w:sz w:val="16"/>
          <w:szCs w:val="16"/>
          <w:lang w:val="en-US"/>
        </w:rPr>
        <w:t>.</w:t>
      </w:r>
      <w:r w:rsidR="00A54084">
        <w:rPr>
          <w:b/>
          <w:bCs/>
          <w:iCs/>
          <w:sz w:val="16"/>
          <w:szCs w:val="16"/>
          <w:lang w:val="en-US"/>
        </w:rPr>
        <w:t xml:space="preserve"> For the complete list of REDD+ Implementers, see Table 1.</w:t>
      </w:r>
    </w:p>
    <w:p w14:paraId="78616B55" w14:textId="0BE689C6" w:rsidR="004D71D2" w:rsidRDefault="004D71D2">
      <w:pPr>
        <w:pStyle w:val="FootnoteText"/>
      </w:pPr>
    </w:p>
  </w:footnote>
  <w:footnote w:id="3">
    <w:p w14:paraId="51AA5913" w14:textId="77777777" w:rsidR="0080268D" w:rsidRPr="006C7634" w:rsidRDefault="0080268D" w:rsidP="0080268D">
      <w:pPr>
        <w:pStyle w:val="FootnoteText"/>
        <w:rPr>
          <w:sz w:val="16"/>
          <w:szCs w:val="16"/>
        </w:rPr>
      </w:pPr>
      <w:r w:rsidRPr="006C7634">
        <w:rPr>
          <w:rStyle w:val="FootnoteReference"/>
          <w:sz w:val="16"/>
          <w:szCs w:val="16"/>
        </w:rPr>
        <w:footnoteRef/>
      </w:r>
      <w:r w:rsidRPr="006C7634">
        <w:rPr>
          <w:sz w:val="16"/>
          <w:szCs w:val="16"/>
        </w:rPr>
        <w:t xml:space="preserve"> Also referred to as ‘Cancun safeguards’</w:t>
      </w:r>
    </w:p>
  </w:footnote>
  <w:footnote w:id="4">
    <w:p w14:paraId="0F281588" w14:textId="77777777" w:rsidR="0080268D" w:rsidRPr="006C7634" w:rsidRDefault="0080268D" w:rsidP="0080268D">
      <w:pPr>
        <w:pStyle w:val="FootnoteText"/>
        <w:rPr>
          <w:sz w:val="16"/>
          <w:szCs w:val="16"/>
        </w:rPr>
      </w:pPr>
      <w:r w:rsidRPr="006C7634">
        <w:rPr>
          <w:rStyle w:val="FootnoteReference"/>
          <w:sz w:val="16"/>
          <w:szCs w:val="16"/>
        </w:rPr>
        <w:footnoteRef/>
      </w:r>
      <w:r w:rsidRPr="006C7634">
        <w:rPr>
          <w:sz w:val="16"/>
          <w:szCs w:val="16"/>
        </w:rPr>
        <w:t xml:space="preserve"> Can be accessed here: </w:t>
      </w:r>
      <w:hyperlink r:id="rId1" w:history="1">
        <w:r w:rsidRPr="006C7634">
          <w:rPr>
            <w:rStyle w:val="Hyperlink"/>
            <w:sz w:val="16"/>
            <w:szCs w:val="16"/>
          </w:rPr>
          <w:t>https://www.pg.undp.org/content/papua_new_guinea/en/home/library/papua-new-guinea-national-redd--strategy-2017-2027.html</w:t>
        </w:r>
      </w:hyperlink>
      <w:r w:rsidRPr="006C7634">
        <w:rPr>
          <w:sz w:val="16"/>
          <w:szCs w:val="16"/>
        </w:rPr>
        <w:t>)</w:t>
      </w:r>
    </w:p>
  </w:footnote>
  <w:footnote w:id="5">
    <w:p w14:paraId="0FCEBDE7" w14:textId="77777777" w:rsidR="0080268D" w:rsidRPr="0074610C" w:rsidRDefault="0080268D" w:rsidP="0080268D">
      <w:pPr>
        <w:pStyle w:val="FootnoteText"/>
        <w:rPr>
          <w:rFonts w:cstheme="minorHAnsi"/>
          <w:sz w:val="16"/>
          <w:szCs w:val="16"/>
        </w:rPr>
      </w:pPr>
      <w:r w:rsidRPr="006C7634">
        <w:rPr>
          <w:rStyle w:val="FootnoteReference"/>
          <w:rFonts w:cstheme="minorHAnsi"/>
          <w:sz w:val="16"/>
          <w:szCs w:val="16"/>
        </w:rPr>
        <w:footnoteRef/>
      </w:r>
      <w:r w:rsidRPr="006C7634">
        <w:rPr>
          <w:rFonts w:cstheme="minorHAnsi"/>
          <w:sz w:val="16"/>
          <w:szCs w:val="16"/>
        </w:rPr>
        <w:t xml:space="preserve"> UNFCCC Decision 12/CP.17 paragraph 3</w:t>
      </w:r>
    </w:p>
  </w:footnote>
  <w:footnote w:id="6">
    <w:p w14:paraId="7C75CF0E" w14:textId="77777777" w:rsidR="00D54BEE" w:rsidRPr="007C74D9" w:rsidRDefault="00D54BEE" w:rsidP="00D54BEE">
      <w:pPr>
        <w:pStyle w:val="FootnoteText"/>
        <w:spacing w:before="100" w:beforeAutospacing="1"/>
        <w:ind w:left="142" w:hanging="142"/>
        <w:contextualSpacing/>
        <w:rPr>
          <w:sz w:val="16"/>
          <w:szCs w:val="16"/>
        </w:rPr>
      </w:pPr>
      <w:r w:rsidRPr="007C74D9">
        <w:rPr>
          <w:rStyle w:val="FootnoteReference"/>
          <w:sz w:val="16"/>
          <w:szCs w:val="16"/>
        </w:rPr>
        <w:footnoteRef/>
      </w:r>
      <w:r w:rsidRPr="007C74D9">
        <w:rPr>
          <w:sz w:val="16"/>
          <w:szCs w:val="16"/>
        </w:rPr>
        <w:t xml:space="preserve"> Decision 12/CP.17, paragraph 3 and Decision 9/CP.19, paragraph 4</w:t>
      </w:r>
    </w:p>
  </w:footnote>
  <w:footnote w:id="7">
    <w:p w14:paraId="2064A9C8" w14:textId="67AAFB2D" w:rsidR="005663CC" w:rsidRDefault="005663CC">
      <w:pPr>
        <w:pStyle w:val="FootnoteText"/>
      </w:pPr>
      <w:r w:rsidRPr="00CB624C">
        <w:rPr>
          <w:rStyle w:val="FootnoteReference"/>
          <w:sz w:val="16"/>
          <w:szCs w:val="16"/>
        </w:rPr>
        <w:footnoteRef/>
      </w:r>
      <w:r w:rsidRPr="00CB624C">
        <w:rPr>
          <w:sz w:val="16"/>
          <w:szCs w:val="16"/>
        </w:rPr>
        <w:t xml:space="preserve"> </w:t>
      </w:r>
      <w:r w:rsidR="00DA4664" w:rsidRPr="00CB624C">
        <w:rPr>
          <w:sz w:val="16"/>
          <w:szCs w:val="16"/>
        </w:rPr>
        <w:t>Note that the SIS database is under development.</w:t>
      </w:r>
    </w:p>
  </w:footnote>
  <w:footnote w:id="8">
    <w:p w14:paraId="176A2C64" w14:textId="229DEF83" w:rsidR="004D71D2" w:rsidRPr="002E7B19" w:rsidRDefault="004D71D2" w:rsidP="006F354E">
      <w:pPr>
        <w:pStyle w:val="FootnoteText"/>
        <w:contextualSpacing/>
        <w:rPr>
          <w:sz w:val="16"/>
          <w:szCs w:val="16"/>
          <w:lang w:val="en-AU"/>
        </w:rPr>
      </w:pPr>
      <w:r w:rsidRPr="002E7B19">
        <w:rPr>
          <w:rStyle w:val="FootnoteReference"/>
          <w:sz w:val="16"/>
          <w:szCs w:val="16"/>
        </w:rPr>
        <w:footnoteRef/>
      </w:r>
      <w:r w:rsidRPr="002E7B19">
        <w:rPr>
          <w:sz w:val="16"/>
          <w:szCs w:val="16"/>
          <w:lang w:val="en-AU"/>
        </w:rPr>
        <w:t>National Forest Policy 1991, Part II (2) refer to Forest Management Policies and outlines the basis for all National Forestry Development Programmes and includes the need for all forestry in the country to be managed in accordance with this policy.</w:t>
      </w:r>
    </w:p>
  </w:footnote>
  <w:footnote w:id="9">
    <w:p w14:paraId="5F35C906" w14:textId="77777777" w:rsidR="004D71D2" w:rsidRPr="002E7B19" w:rsidRDefault="004D71D2" w:rsidP="006F354E">
      <w:pPr>
        <w:pStyle w:val="FootnoteText"/>
        <w:rPr>
          <w:sz w:val="16"/>
          <w:szCs w:val="16"/>
          <w:lang w:val="en-AU"/>
        </w:rPr>
      </w:pPr>
      <w:r w:rsidRPr="002E7B19">
        <w:rPr>
          <w:rStyle w:val="FootnoteReference"/>
          <w:sz w:val="16"/>
          <w:szCs w:val="16"/>
        </w:rPr>
        <w:footnoteRef/>
      </w:r>
      <w:r w:rsidRPr="002E7B19">
        <w:rPr>
          <w:sz w:val="16"/>
          <w:szCs w:val="16"/>
          <w:lang w:val="en-AU"/>
        </w:rPr>
        <w:t>The Forestry and Climate Change Framework for Action 2015 , Section F – this refers to Climate Change Initiatives under UNFCCC and mention specific reference to REDD+ under Clause (F.2(i)(e) as a possible activity to be included within their forestry mandate. However, this document is now considered outdated.</w:t>
      </w:r>
    </w:p>
  </w:footnote>
  <w:footnote w:id="10">
    <w:p w14:paraId="2D6DDD12" w14:textId="77777777" w:rsidR="004D71D2" w:rsidRPr="002E7B19" w:rsidRDefault="004D71D2" w:rsidP="006F354E">
      <w:pPr>
        <w:pStyle w:val="FootnoteText"/>
        <w:contextualSpacing/>
        <w:rPr>
          <w:bCs/>
          <w:sz w:val="16"/>
          <w:szCs w:val="16"/>
          <w:lang w:val="en-AU"/>
        </w:rPr>
      </w:pPr>
      <w:r w:rsidRPr="002E7B19">
        <w:rPr>
          <w:rStyle w:val="FootnoteReference"/>
          <w:sz w:val="16"/>
          <w:szCs w:val="16"/>
        </w:rPr>
        <w:footnoteRef/>
      </w:r>
      <w:r w:rsidRPr="002E7B19">
        <w:rPr>
          <w:bCs/>
          <w:sz w:val="16"/>
          <w:szCs w:val="16"/>
          <w:lang w:val="en-AU"/>
        </w:rPr>
        <w:t xml:space="preserve"> The MTDP III, 2018-2022 has specific c sections (2.1 and 3.2, 3.3, 4.2 and 4.8 ) which make reference to forestry as part of  broad targets for increased revenue and wealth creation and responsible sustainable development These sections set out clear indicators and targets for this.  Forestry targets and indicators are tied into the broader goal of responsible sustainable development and covers  the reduction in round logs and increases to downstream processing, conservation and sustainable management of forests, sustainable reforestation and afforestation programmes and protecting and conserving rainforests through the reduction in primary forest depletion rates per year from logging. In this policy document they are presented as key results areas (KRAs) for the country. .                                                                                                                                                                </w:t>
      </w:r>
    </w:p>
  </w:footnote>
  <w:footnote w:id="11">
    <w:p w14:paraId="6AC6D8F9" w14:textId="77777777" w:rsidR="004D71D2" w:rsidRPr="002E7B19" w:rsidRDefault="004D71D2" w:rsidP="006F354E">
      <w:pPr>
        <w:pStyle w:val="FootnoteText"/>
        <w:contextualSpacing/>
        <w:rPr>
          <w:sz w:val="16"/>
          <w:szCs w:val="16"/>
          <w:lang w:val="en-AU"/>
        </w:rPr>
      </w:pPr>
      <w:r w:rsidRPr="002E7B19">
        <w:rPr>
          <w:rStyle w:val="FootnoteReference"/>
          <w:sz w:val="16"/>
          <w:szCs w:val="16"/>
        </w:rPr>
        <w:footnoteRef/>
      </w:r>
      <w:r w:rsidRPr="002E7B19">
        <w:rPr>
          <w:sz w:val="16"/>
          <w:szCs w:val="16"/>
          <w:lang w:val="en-US"/>
        </w:rPr>
        <w:t xml:space="preserve">The Fourth National Goal and Directive Principle of the Constitution of PNG and section 25 – Implementation of the NGDP’s.  </w:t>
      </w:r>
    </w:p>
  </w:footnote>
  <w:footnote w:id="12">
    <w:p w14:paraId="7AD2BA03" w14:textId="77777777" w:rsidR="004D71D2" w:rsidRPr="0056763D"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w:t>
      </w:r>
      <w:r w:rsidRPr="00882484">
        <w:rPr>
          <w:sz w:val="16"/>
          <w:szCs w:val="16"/>
          <w:lang w:val="en-AU"/>
        </w:rPr>
        <w:t xml:space="preserve">Section 51 of the </w:t>
      </w:r>
      <w:r w:rsidRPr="0056763D">
        <w:rPr>
          <w:sz w:val="16"/>
          <w:szCs w:val="16"/>
          <w:lang w:val="en-AU"/>
        </w:rPr>
        <w:t>National Constitution.</w:t>
      </w:r>
    </w:p>
  </w:footnote>
  <w:footnote w:id="13">
    <w:p w14:paraId="01370692" w14:textId="77777777" w:rsidR="004D71D2" w:rsidRPr="0056763D" w:rsidRDefault="004D71D2" w:rsidP="006F354E">
      <w:pPr>
        <w:pStyle w:val="FootnoteText"/>
        <w:contextualSpacing/>
        <w:rPr>
          <w:sz w:val="16"/>
          <w:szCs w:val="16"/>
          <w:lang w:val="en-AU"/>
        </w:rPr>
      </w:pPr>
      <w:r w:rsidRPr="0056763D">
        <w:rPr>
          <w:rStyle w:val="FootnoteReference"/>
          <w:sz w:val="16"/>
          <w:szCs w:val="16"/>
        </w:rPr>
        <w:footnoteRef/>
      </w:r>
      <w:r w:rsidRPr="0056763D">
        <w:rPr>
          <w:sz w:val="16"/>
          <w:szCs w:val="16"/>
        </w:rPr>
        <w:t xml:space="preserve"> Section 51 of the National Constitution.</w:t>
      </w:r>
    </w:p>
  </w:footnote>
  <w:footnote w:id="14">
    <w:p w14:paraId="3703BDB8" w14:textId="77777777" w:rsidR="004D71D2" w:rsidRPr="0056763D" w:rsidRDefault="004D71D2" w:rsidP="006F354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US"/>
        </w:rPr>
        <w:t>Section 51 (3) of the National Constitution.</w:t>
      </w:r>
    </w:p>
  </w:footnote>
  <w:footnote w:id="15">
    <w:p w14:paraId="25921BE8" w14:textId="77777777" w:rsidR="004D71D2" w:rsidRPr="0056763D" w:rsidRDefault="004D71D2" w:rsidP="006F354E">
      <w:pPr>
        <w:pStyle w:val="FootnoteText"/>
        <w:contextualSpacing/>
        <w:rPr>
          <w:sz w:val="16"/>
          <w:szCs w:val="16"/>
          <w:lang w:val="en-AU"/>
        </w:rPr>
      </w:pPr>
      <w:r w:rsidRPr="0056763D">
        <w:rPr>
          <w:rStyle w:val="FootnoteReference"/>
          <w:sz w:val="16"/>
          <w:szCs w:val="16"/>
        </w:rPr>
        <w:footnoteRef/>
      </w:r>
      <w:r w:rsidRPr="0056763D">
        <w:rPr>
          <w:sz w:val="16"/>
          <w:szCs w:val="16"/>
        </w:rPr>
        <w:t xml:space="preserve"> S</w:t>
      </w:r>
      <w:r w:rsidRPr="0056763D">
        <w:rPr>
          <w:sz w:val="16"/>
          <w:szCs w:val="16"/>
          <w:lang w:val="en-US"/>
        </w:rPr>
        <w:t>ection 103A (3)(a) of the Forestry Act, 1991</w:t>
      </w:r>
    </w:p>
  </w:footnote>
  <w:footnote w:id="16">
    <w:p w14:paraId="71454CF9" w14:textId="77777777" w:rsidR="004D71D2" w:rsidRPr="0056763D" w:rsidRDefault="004D71D2" w:rsidP="006F354E">
      <w:pPr>
        <w:pStyle w:val="FootnoteText"/>
        <w:contextualSpacing/>
        <w:rPr>
          <w:sz w:val="16"/>
          <w:szCs w:val="16"/>
          <w:lang w:val="en-AU"/>
        </w:rPr>
      </w:pPr>
      <w:r w:rsidRPr="0056763D">
        <w:rPr>
          <w:rStyle w:val="FootnoteReference"/>
          <w:sz w:val="16"/>
          <w:szCs w:val="16"/>
        </w:rPr>
        <w:footnoteRef/>
      </w:r>
      <w:r w:rsidRPr="0056763D">
        <w:rPr>
          <w:sz w:val="16"/>
          <w:szCs w:val="16"/>
        </w:rPr>
        <w:t xml:space="preserve"> Section 103A (3)</w:t>
      </w:r>
      <w:r w:rsidRPr="0056763D">
        <w:rPr>
          <w:sz w:val="16"/>
          <w:szCs w:val="16"/>
          <w:lang w:val="en-US"/>
        </w:rPr>
        <w:t>(b) to (c) Forestry Act, 1991.</w:t>
      </w:r>
    </w:p>
  </w:footnote>
  <w:footnote w:id="17">
    <w:p w14:paraId="0AA6E76B" w14:textId="77777777" w:rsidR="004D71D2" w:rsidRPr="00882484" w:rsidRDefault="004D71D2" w:rsidP="006F354E">
      <w:pPr>
        <w:pStyle w:val="FootnoteText"/>
        <w:contextualSpacing/>
        <w:rPr>
          <w:sz w:val="16"/>
          <w:szCs w:val="16"/>
          <w:lang w:val="en-AU"/>
        </w:rPr>
      </w:pPr>
      <w:r w:rsidRPr="0056763D">
        <w:rPr>
          <w:rStyle w:val="FootnoteReference"/>
          <w:sz w:val="16"/>
          <w:szCs w:val="16"/>
        </w:rPr>
        <w:footnoteRef/>
      </w:r>
      <w:r w:rsidRPr="0056763D">
        <w:rPr>
          <w:sz w:val="16"/>
          <w:szCs w:val="16"/>
        </w:rPr>
        <w:t xml:space="preserve"> Forestry Regulations 1998, r</w:t>
      </w:r>
      <w:r w:rsidRPr="0056763D">
        <w:rPr>
          <w:sz w:val="16"/>
          <w:szCs w:val="16"/>
          <w:lang w:val="en-US"/>
        </w:rPr>
        <w:t>egulations 245 (access to Maps), 246 (access to Forms related to various aspects of Forestry activities/operations and PNGFA regulated matters), 247 (access to Tender</w:t>
      </w:r>
      <w:r w:rsidRPr="00882484">
        <w:rPr>
          <w:bCs/>
          <w:sz w:val="16"/>
          <w:szCs w:val="16"/>
          <w:lang w:val="en-US"/>
        </w:rPr>
        <w:t xml:space="preserve"> Forms), and 249 (access to the Public register).</w:t>
      </w:r>
    </w:p>
  </w:footnote>
  <w:footnote w:id="18">
    <w:p w14:paraId="6FC46383" w14:textId="77777777" w:rsidR="004D71D2" w:rsidRPr="00882484"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Under Part VIII and Division 1 the relevant Public Finance offices are established. These include the Auditor-General (s.213 and 214), and the Public Accounts Committees (s. 215 and 216). </w:t>
      </w:r>
    </w:p>
  </w:footnote>
  <w:footnote w:id="19">
    <w:p w14:paraId="1A3D78BC" w14:textId="77777777" w:rsidR="004D71D2" w:rsidRPr="00882484"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Under section 58 of the Forestry Act in relation to Forest Management Agreements and the 34 step process for establishing this.</w:t>
      </w:r>
    </w:p>
  </w:footnote>
  <w:footnote w:id="20">
    <w:p w14:paraId="434D7899" w14:textId="77777777" w:rsidR="004D71D2" w:rsidRPr="00885DAA" w:rsidRDefault="004D71D2" w:rsidP="006F354E">
      <w:pPr>
        <w:pStyle w:val="FootnoteText"/>
        <w:contextualSpacing/>
        <w:rPr>
          <w:sz w:val="18"/>
          <w:szCs w:val="18"/>
          <w:lang w:val="en-AU"/>
        </w:rPr>
      </w:pPr>
      <w:r w:rsidRPr="00882484">
        <w:rPr>
          <w:rStyle w:val="FootnoteReference"/>
          <w:sz w:val="16"/>
          <w:szCs w:val="16"/>
        </w:rPr>
        <w:footnoteRef/>
      </w:r>
      <w:r w:rsidRPr="00882484">
        <w:rPr>
          <w:sz w:val="16"/>
          <w:szCs w:val="16"/>
        </w:rPr>
        <w:t xml:space="preserve"> </w:t>
      </w:r>
      <w:r w:rsidRPr="00882484">
        <w:rPr>
          <w:sz w:val="16"/>
          <w:szCs w:val="16"/>
          <w:lang w:val="en-US"/>
        </w:rPr>
        <w:t>Under section 53 of the Constitution.</w:t>
      </w:r>
    </w:p>
  </w:footnote>
  <w:footnote w:id="21">
    <w:p w14:paraId="48455BC5" w14:textId="77777777" w:rsidR="004D71D2" w:rsidRPr="00882484" w:rsidRDefault="004D71D2" w:rsidP="006F354E">
      <w:pPr>
        <w:pStyle w:val="FootnoteText"/>
        <w:rPr>
          <w:sz w:val="16"/>
          <w:szCs w:val="16"/>
          <w:lang w:val="en-AU"/>
        </w:rPr>
      </w:pPr>
      <w:r w:rsidRPr="00882484">
        <w:rPr>
          <w:rStyle w:val="FootnoteReference"/>
          <w:sz w:val="16"/>
          <w:szCs w:val="16"/>
        </w:rPr>
        <w:footnoteRef/>
      </w:r>
      <w:r w:rsidRPr="00882484">
        <w:rPr>
          <w:sz w:val="16"/>
          <w:szCs w:val="16"/>
        </w:rPr>
        <w:t>This provision, however, focuses on the rights emanating from persons in custody or charged with criminal offences.</w:t>
      </w:r>
    </w:p>
  </w:footnote>
  <w:footnote w:id="22">
    <w:p w14:paraId="27DE81F7" w14:textId="77777777" w:rsidR="004D71D2" w:rsidRPr="00882484"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w:t>
      </w:r>
      <w:r w:rsidRPr="00882484">
        <w:rPr>
          <w:sz w:val="16"/>
          <w:szCs w:val="16"/>
          <w:lang w:val="en-US"/>
        </w:rPr>
        <w:t>Section 37 of the National Constitution.</w:t>
      </w:r>
    </w:p>
  </w:footnote>
  <w:footnote w:id="23">
    <w:p w14:paraId="1E2C9BB4" w14:textId="77777777" w:rsidR="004D71D2" w:rsidRPr="00882484"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Section 155(2), (3) and </w:t>
      </w:r>
      <w:r w:rsidRPr="00882484">
        <w:rPr>
          <w:sz w:val="16"/>
          <w:szCs w:val="16"/>
          <w:lang w:val="en-AU"/>
        </w:rPr>
        <w:t>of the National Constitution.</w:t>
      </w:r>
    </w:p>
  </w:footnote>
  <w:footnote w:id="24">
    <w:p w14:paraId="305DF9FF" w14:textId="77777777" w:rsidR="004D71D2" w:rsidRPr="00882484" w:rsidRDefault="004D71D2" w:rsidP="006F354E">
      <w:pPr>
        <w:pStyle w:val="FootnoteText"/>
        <w:contextualSpacing/>
        <w:rPr>
          <w:sz w:val="16"/>
          <w:szCs w:val="16"/>
          <w:lang w:val="en-AU"/>
        </w:rPr>
      </w:pPr>
      <w:r w:rsidRPr="00882484">
        <w:rPr>
          <w:rStyle w:val="FootnoteReference"/>
          <w:sz w:val="16"/>
          <w:szCs w:val="16"/>
        </w:rPr>
        <w:footnoteRef/>
      </w:r>
      <w:r w:rsidRPr="00882484">
        <w:rPr>
          <w:sz w:val="16"/>
          <w:szCs w:val="16"/>
        </w:rPr>
        <w:t xml:space="preserve"> Supreme, National Court and District Courts of PNG.</w:t>
      </w:r>
    </w:p>
  </w:footnote>
  <w:footnote w:id="25">
    <w:p w14:paraId="25221014" w14:textId="77777777" w:rsidR="004D71D2" w:rsidRPr="00325681" w:rsidRDefault="004D71D2" w:rsidP="006F354E">
      <w:pPr>
        <w:pStyle w:val="FootnoteText"/>
        <w:contextualSpacing/>
        <w:rPr>
          <w:sz w:val="16"/>
          <w:szCs w:val="16"/>
        </w:rPr>
      </w:pPr>
      <w:r w:rsidRPr="00325681">
        <w:rPr>
          <w:rStyle w:val="FootnoteReference"/>
          <w:sz w:val="16"/>
          <w:szCs w:val="16"/>
        </w:rPr>
        <w:footnoteRef/>
      </w:r>
      <w:r w:rsidRPr="00325681">
        <w:rPr>
          <w:sz w:val="16"/>
          <w:szCs w:val="16"/>
        </w:rPr>
        <w:t xml:space="preserve"> The </w:t>
      </w:r>
      <w:r w:rsidRPr="00325681">
        <w:rPr>
          <w:b/>
          <w:sz w:val="16"/>
          <w:szCs w:val="16"/>
        </w:rPr>
        <w:t>Land Act 1996</w:t>
      </w:r>
      <w:r w:rsidRPr="00325681">
        <w:rPr>
          <w:sz w:val="16"/>
          <w:szCs w:val="16"/>
        </w:rPr>
        <w:t xml:space="preserve"> and the </w:t>
      </w:r>
      <w:r w:rsidRPr="00325681">
        <w:rPr>
          <w:b/>
          <w:sz w:val="16"/>
          <w:szCs w:val="16"/>
        </w:rPr>
        <w:t>National Constitution of PNG</w:t>
      </w:r>
      <w:r w:rsidRPr="00325681">
        <w:rPr>
          <w:sz w:val="16"/>
          <w:szCs w:val="16"/>
        </w:rPr>
        <w:t xml:space="preserve"> defines ‘local communities’ as ‘any other person’ (who does not qualify as a customary landowner’) and ‘citizens.’</w:t>
      </w:r>
    </w:p>
  </w:footnote>
  <w:footnote w:id="26">
    <w:p w14:paraId="2FF72944" w14:textId="77777777" w:rsidR="004D71D2" w:rsidRPr="00325681" w:rsidRDefault="004D71D2" w:rsidP="006F354E">
      <w:pPr>
        <w:contextualSpacing/>
      </w:pPr>
      <w:r w:rsidRPr="00325681">
        <w:rPr>
          <w:rStyle w:val="FootnoteReference"/>
          <w:sz w:val="16"/>
          <w:szCs w:val="16"/>
        </w:rPr>
        <w:footnoteRef/>
      </w:r>
      <w:r w:rsidRPr="00325681">
        <w:rPr>
          <w:sz w:val="16"/>
          <w:szCs w:val="16"/>
        </w:rPr>
        <w:t xml:space="preserve"> Papua New Guinea Policy on Protected Areas. Conservation &amp; Environment Protection Authority, October 2014, Waigani, National Capital District, Papua New Guinea. Available at: </w:t>
      </w:r>
      <w:hyperlink r:id="rId2" w:history="1">
        <w:r w:rsidRPr="00325681">
          <w:rPr>
            <w:rStyle w:val="Hyperlink"/>
            <w:sz w:val="16"/>
            <w:szCs w:val="16"/>
          </w:rPr>
          <w:t>https://info.undp.org/docs/pdc/Documents/PNG/PNG%20Protected%20Areas%20Policy-NEC%20Approved_Signed.pdf</w:t>
        </w:r>
      </w:hyperlink>
    </w:p>
  </w:footnote>
  <w:footnote w:id="27">
    <w:p w14:paraId="59EC1045" w14:textId="77777777" w:rsidR="004D71D2" w:rsidRPr="00E0476F" w:rsidRDefault="004D71D2" w:rsidP="006F354E">
      <w:pPr>
        <w:pStyle w:val="FootnoteText"/>
        <w:contextualSpacing/>
        <w:rPr>
          <w:sz w:val="16"/>
          <w:szCs w:val="16"/>
          <w:lang w:val="en-AU"/>
        </w:rPr>
      </w:pPr>
      <w:r w:rsidRPr="00E0476F">
        <w:rPr>
          <w:rStyle w:val="FootnoteReference"/>
          <w:sz w:val="16"/>
          <w:szCs w:val="16"/>
        </w:rPr>
        <w:footnoteRef/>
      </w:r>
      <w:r w:rsidRPr="00E0476F">
        <w:rPr>
          <w:sz w:val="16"/>
          <w:szCs w:val="16"/>
        </w:rPr>
        <w:t xml:space="preserve"> </w:t>
      </w:r>
      <w:r w:rsidRPr="00E0476F">
        <w:rPr>
          <w:sz w:val="16"/>
          <w:szCs w:val="16"/>
          <w:lang w:val="en-US"/>
        </w:rPr>
        <w:t xml:space="preserve">The Constitution, </w:t>
      </w:r>
      <w:r w:rsidRPr="00E0476F">
        <w:rPr>
          <w:sz w:val="16"/>
          <w:szCs w:val="16"/>
        </w:rPr>
        <w:t xml:space="preserve">National Goals and Directive Principles, </w:t>
      </w:r>
      <w:r w:rsidRPr="00E0476F">
        <w:rPr>
          <w:sz w:val="16"/>
          <w:szCs w:val="16"/>
          <w:lang w:val="en-US"/>
        </w:rPr>
        <w:t xml:space="preserve">5 </w:t>
      </w:r>
    </w:p>
  </w:footnote>
  <w:footnote w:id="28">
    <w:p w14:paraId="50390267" w14:textId="77777777" w:rsidR="004D71D2" w:rsidRPr="00E0476F" w:rsidRDefault="004D71D2" w:rsidP="006F354E">
      <w:pPr>
        <w:pStyle w:val="FootnoteText"/>
        <w:contextualSpacing/>
        <w:rPr>
          <w:sz w:val="16"/>
          <w:szCs w:val="16"/>
          <w:lang w:val="en-AU"/>
        </w:rPr>
      </w:pPr>
      <w:r w:rsidRPr="00E0476F">
        <w:rPr>
          <w:rStyle w:val="FootnoteReference"/>
          <w:sz w:val="16"/>
          <w:szCs w:val="16"/>
        </w:rPr>
        <w:footnoteRef/>
      </w:r>
      <w:r w:rsidRPr="00E0476F">
        <w:rPr>
          <w:sz w:val="16"/>
          <w:szCs w:val="16"/>
        </w:rPr>
        <w:t xml:space="preserve"> </w:t>
      </w:r>
      <w:r w:rsidRPr="00E0476F">
        <w:rPr>
          <w:sz w:val="16"/>
          <w:szCs w:val="16"/>
          <w:lang w:val="en-US"/>
        </w:rPr>
        <w:t xml:space="preserve">Section 98 of the </w:t>
      </w:r>
      <w:r w:rsidRPr="00E0476F">
        <w:rPr>
          <w:sz w:val="16"/>
          <w:szCs w:val="16"/>
        </w:rPr>
        <w:t xml:space="preserve">Organic Law on Provincial and Local </w:t>
      </w:r>
      <w:r w:rsidRPr="006B142E">
        <w:rPr>
          <w:sz w:val="16"/>
          <w:szCs w:val="16"/>
        </w:rPr>
        <w:t>Level Governments</w:t>
      </w:r>
      <w:r w:rsidRPr="006B142E">
        <w:rPr>
          <w:sz w:val="16"/>
          <w:szCs w:val="16"/>
          <w:lang w:val="en-US"/>
        </w:rPr>
        <w:t xml:space="preserve"> (OLPLLG).</w:t>
      </w:r>
    </w:p>
  </w:footnote>
  <w:footnote w:id="29">
    <w:p w14:paraId="0CAB3108" w14:textId="77777777" w:rsidR="004D71D2" w:rsidRPr="00FB5BA9" w:rsidRDefault="004D71D2" w:rsidP="00482A0E">
      <w:pPr>
        <w:pStyle w:val="FootnoteText"/>
        <w:contextualSpacing/>
        <w:rPr>
          <w:sz w:val="16"/>
          <w:szCs w:val="16"/>
          <w:lang w:val="en-AU"/>
        </w:rPr>
      </w:pPr>
      <w:r w:rsidRPr="00E0476F">
        <w:rPr>
          <w:rStyle w:val="FootnoteReference"/>
          <w:sz w:val="16"/>
          <w:szCs w:val="16"/>
        </w:rPr>
        <w:footnoteRef/>
      </w:r>
      <w:r w:rsidRPr="00E0476F">
        <w:rPr>
          <w:sz w:val="16"/>
          <w:szCs w:val="16"/>
        </w:rPr>
        <w:t xml:space="preserve"> National Goals and Directive Principles, 2 and </w:t>
      </w:r>
      <w:r w:rsidRPr="00E0476F">
        <w:rPr>
          <w:sz w:val="16"/>
          <w:szCs w:val="16"/>
          <w:lang w:val="en-US"/>
        </w:rPr>
        <w:t>ss.37 and 55 of the National Constitution.</w:t>
      </w:r>
    </w:p>
  </w:footnote>
  <w:footnote w:id="30">
    <w:p w14:paraId="1E84B362" w14:textId="77777777" w:rsidR="004D71D2" w:rsidRPr="0056763D" w:rsidRDefault="004D71D2" w:rsidP="00482A0E">
      <w:pPr>
        <w:pStyle w:val="FootnoteText"/>
        <w:contextualSpacing/>
        <w:rPr>
          <w:sz w:val="16"/>
          <w:szCs w:val="16"/>
          <w:lang w:val="en-AU"/>
        </w:rPr>
      </w:pPr>
      <w:r w:rsidRPr="00FB5BA9">
        <w:rPr>
          <w:rStyle w:val="FootnoteReference"/>
          <w:sz w:val="16"/>
          <w:szCs w:val="16"/>
        </w:rPr>
        <w:footnoteRef/>
      </w:r>
      <w:r w:rsidRPr="00FB5BA9">
        <w:rPr>
          <w:sz w:val="16"/>
          <w:szCs w:val="16"/>
        </w:rPr>
        <w:t xml:space="preserve"> E.g., s</w:t>
      </w:r>
      <w:r w:rsidRPr="00FB5BA9">
        <w:rPr>
          <w:sz w:val="16"/>
          <w:szCs w:val="16"/>
          <w:lang w:val="en-US"/>
        </w:rPr>
        <w:t xml:space="preserve">ection 46 of the Forestry Act 1991 and representation of customary owners is seen in the National Forest Board, the Provincial Forest Management Committees (PFMCs) and through </w:t>
      </w:r>
      <w:r w:rsidRPr="0056763D">
        <w:rPr>
          <w:sz w:val="16"/>
          <w:szCs w:val="16"/>
          <w:lang w:val="en-US"/>
        </w:rPr>
        <w:t>multi-stakeholder representation.</w:t>
      </w:r>
    </w:p>
  </w:footnote>
  <w:footnote w:id="31">
    <w:p w14:paraId="63E28846"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P</w:t>
      </w:r>
      <w:r w:rsidRPr="0056763D">
        <w:rPr>
          <w:sz w:val="16"/>
          <w:szCs w:val="16"/>
          <w:lang w:val="en-US"/>
        </w:rPr>
        <w:t xml:space="preserve">articipation by all key stakeholders is provided for under sections 98, 115 and 116 of the OLPLLG 1998. </w:t>
      </w:r>
    </w:p>
  </w:footnote>
  <w:footnote w:id="32">
    <w:p w14:paraId="0492BED3"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Example in Forestry - t</w:t>
      </w:r>
      <w:r w:rsidRPr="0056763D">
        <w:rPr>
          <w:sz w:val="16"/>
          <w:szCs w:val="16"/>
          <w:lang w:val="en-US"/>
        </w:rPr>
        <w:t>he responsibilities of the Board in initiating this process is defined under Regulation 83 (and specifically Form 80), in which a notice is expected to be drafted and sent to these respective stakeholders advising them to provide their views within a specified time.</w:t>
      </w:r>
      <w:r w:rsidRPr="0056763D">
        <w:rPr>
          <w:sz w:val="16"/>
          <w:szCs w:val="16"/>
        </w:rPr>
        <w:t xml:space="preserve"> </w:t>
      </w:r>
      <w:r w:rsidRPr="0056763D">
        <w:rPr>
          <w:sz w:val="16"/>
          <w:szCs w:val="16"/>
          <w:lang w:val="en-US"/>
        </w:rPr>
        <w:t>This process is also provided for Timber Permits and under some of the activities requiring Timber Authorities described in Regs. 160 – 168.</w:t>
      </w:r>
    </w:p>
  </w:footnote>
  <w:footnote w:id="33">
    <w:p w14:paraId="0CAF4C85"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Section </w:t>
      </w:r>
      <w:r w:rsidRPr="0056763D">
        <w:rPr>
          <w:sz w:val="16"/>
          <w:szCs w:val="16"/>
          <w:lang w:val="en-US"/>
        </w:rPr>
        <w:t>51(3) of the Constitution.</w:t>
      </w:r>
    </w:p>
  </w:footnote>
  <w:footnote w:id="34">
    <w:p w14:paraId="3C172FB5"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 xml:space="preserve">Section 88(c)(vi) &amp; (vii) of the Forestry Act 1991 and Regulations 160, 162, 164, 166 and 168 and Form 165 of the Forestry Regulations 1998. </w:t>
      </w:r>
    </w:p>
  </w:footnote>
  <w:footnote w:id="35">
    <w:p w14:paraId="608DFEBB"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Access to this register, however, is subject to the payment of a fee. The Register is established under Section 103A of the Forestry Act 1991.</w:t>
      </w:r>
    </w:p>
  </w:footnote>
  <w:footnote w:id="36">
    <w:p w14:paraId="42722CD1"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lang w:val="en-US"/>
        </w:rPr>
        <w:t xml:space="preserve">Section </w:t>
      </w:r>
      <w:r w:rsidRPr="0056763D">
        <w:rPr>
          <w:sz w:val="16"/>
          <w:szCs w:val="16"/>
          <w:lang w:val="en-AU"/>
        </w:rPr>
        <w:t>14 of the Environment Planning Act.</w:t>
      </w:r>
    </w:p>
  </w:footnote>
  <w:footnote w:id="37">
    <w:p w14:paraId="312E2272"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Section 13(1) of the Environment Planning Act</w:t>
      </w:r>
    </w:p>
  </w:footnote>
  <w:footnote w:id="38">
    <w:p w14:paraId="51EC450E"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The Environmental Planning Act, 1978.</w:t>
      </w:r>
    </w:p>
  </w:footnote>
  <w:footnote w:id="39">
    <w:p w14:paraId="70221B86"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Section 20</w:t>
      </w:r>
      <w:r w:rsidRPr="0056763D">
        <w:rPr>
          <w:sz w:val="16"/>
          <w:szCs w:val="16"/>
          <w:lang w:val="en-AU"/>
        </w:rPr>
        <w:t xml:space="preserve"> of the Environmental Planning Act, 1978.</w:t>
      </w:r>
    </w:p>
  </w:footnote>
  <w:footnote w:id="40">
    <w:p w14:paraId="6786E408"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Section 18 of the Environmental Planning Act, 1978.</w:t>
      </w:r>
    </w:p>
  </w:footnote>
  <w:footnote w:id="41">
    <w:p w14:paraId="4C48346A"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Incorporated Land Groups are created for this sole purpose under the Land Groups Incorporations (Amendment) Act 2009.</w:t>
      </w:r>
    </w:p>
  </w:footnote>
  <w:footnote w:id="42">
    <w:p w14:paraId="090FABBD"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The Forestry Act 1991 and Forestry Regulations, 1998.</w:t>
      </w:r>
    </w:p>
  </w:footnote>
  <w:footnote w:id="43">
    <w:p w14:paraId="393C3459" w14:textId="77777777" w:rsidR="004D71D2" w:rsidRPr="0056763D"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w:t>
      </w:r>
      <w:r w:rsidRPr="0056763D">
        <w:rPr>
          <w:sz w:val="16"/>
          <w:szCs w:val="16"/>
          <w:lang w:val="en-AU"/>
        </w:rPr>
        <w:t>National Goals and Directive Principle 2 of the National Constitution.</w:t>
      </w:r>
    </w:p>
  </w:footnote>
  <w:footnote w:id="44">
    <w:p w14:paraId="55B10722" w14:textId="77777777" w:rsidR="004D71D2" w:rsidRPr="004871EF" w:rsidRDefault="004D71D2" w:rsidP="00482A0E">
      <w:pPr>
        <w:pStyle w:val="FootnoteText"/>
        <w:contextualSpacing/>
        <w:rPr>
          <w:sz w:val="16"/>
          <w:szCs w:val="16"/>
          <w:lang w:val="en-AU"/>
        </w:rPr>
      </w:pPr>
      <w:r w:rsidRPr="0056763D">
        <w:rPr>
          <w:rStyle w:val="FootnoteReference"/>
          <w:sz w:val="16"/>
          <w:szCs w:val="16"/>
        </w:rPr>
        <w:footnoteRef/>
      </w:r>
      <w:r w:rsidRPr="0056763D">
        <w:rPr>
          <w:sz w:val="16"/>
          <w:szCs w:val="16"/>
        </w:rPr>
        <w:t xml:space="preserve"> UNDRIP - Article 10 “Indigenous peoples shall not be forcibly removed from their lands or territories. No relocation shall take place without the free, prior and informed consent of the indigenous peoples concerned and after agreement on just and fair compensation and, where possible, with the option of return.” Article 19 States shall consult and</w:t>
      </w:r>
      <w:r w:rsidRPr="00FB5BA9">
        <w:rPr>
          <w:sz w:val="16"/>
          <w:szCs w:val="16"/>
        </w:rPr>
        <w:t xml:space="preserve"> cooperate in good faith with the indigenous peoples concerned through their own </w:t>
      </w:r>
      <w:r w:rsidRPr="004871EF">
        <w:rPr>
          <w:sz w:val="16"/>
          <w:szCs w:val="16"/>
        </w:rPr>
        <w:t>representative institutions in order to obtain their free, prior and informed consent before adopting and implementing legislative or administrative measures that may affect them. Also applicable are Articles 28 and 32.</w:t>
      </w:r>
    </w:p>
  </w:footnote>
  <w:footnote w:id="45">
    <w:p w14:paraId="036B842A"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w:t>
      </w:r>
      <w:r w:rsidRPr="004871EF">
        <w:rPr>
          <w:sz w:val="16"/>
          <w:szCs w:val="16"/>
          <w:lang w:val="en-AU"/>
        </w:rPr>
        <w:t>Sections 32 – 56 of the National Constitution.</w:t>
      </w:r>
    </w:p>
  </w:footnote>
  <w:footnote w:id="46">
    <w:p w14:paraId="4EB9E672"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w:t>
      </w:r>
      <w:r w:rsidRPr="004871EF">
        <w:rPr>
          <w:sz w:val="16"/>
          <w:szCs w:val="16"/>
          <w:lang w:val="en-AU"/>
        </w:rPr>
        <w:t>Forestry Act 1991,</w:t>
      </w:r>
      <w:r w:rsidRPr="004871EF">
        <w:rPr>
          <w:sz w:val="16"/>
          <w:szCs w:val="16"/>
        </w:rPr>
        <w:t xml:space="preserve"> the Oil &amp; Gas Act 1998, the Fauna (Protection and Control) Act and the Climate Change Management Act 2015.</w:t>
      </w:r>
    </w:p>
  </w:footnote>
  <w:footnote w:id="47">
    <w:p w14:paraId="4CCA7D2D"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Under Pillar 1 of the Protected Areas Policy and specifically mentioned in the recent NRS 2017, the CCDMP and the CCDA developed FPIC Guidelines for REDD+ Projects.</w:t>
      </w:r>
    </w:p>
  </w:footnote>
  <w:footnote w:id="48">
    <w:p w14:paraId="0F31186B"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w:t>
      </w:r>
      <w:r w:rsidRPr="004871EF">
        <w:rPr>
          <w:sz w:val="16"/>
          <w:szCs w:val="16"/>
          <w:lang w:val="en-AU"/>
        </w:rPr>
        <w:t>National Goals and Directive Principles 2, subsections (3) and (5).</w:t>
      </w:r>
    </w:p>
  </w:footnote>
  <w:footnote w:id="49">
    <w:p w14:paraId="69827804"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This is </w:t>
      </w:r>
      <w:r w:rsidRPr="004871EF">
        <w:rPr>
          <w:sz w:val="16"/>
          <w:szCs w:val="16"/>
          <w:lang w:val="en-AU"/>
        </w:rPr>
        <w:t>stated specifically in section 55 of the Constitution in regards to the Right to Equality of Citizens.</w:t>
      </w:r>
    </w:p>
  </w:footnote>
  <w:footnote w:id="50">
    <w:p w14:paraId="4D4325AB"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w:t>
      </w:r>
      <w:r w:rsidRPr="004871EF">
        <w:rPr>
          <w:sz w:val="16"/>
          <w:szCs w:val="16"/>
          <w:lang w:val="en-AU"/>
        </w:rPr>
        <w:t>The Papua New Guinea National Policy for Women and Gender Equality 2011-2015.</w:t>
      </w:r>
    </w:p>
  </w:footnote>
  <w:footnote w:id="51">
    <w:p w14:paraId="2408E066" w14:textId="77777777" w:rsidR="004D71D2" w:rsidRPr="004871EF"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The National Public Service Gender Equality and Social Inclusion Policy.</w:t>
      </w:r>
    </w:p>
  </w:footnote>
  <w:footnote w:id="52">
    <w:p w14:paraId="58EDCB26" w14:textId="77777777" w:rsidR="004D71D2" w:rsidRPr="004871EF" w:rsidRDefault="004D71D2" w:rsidP="00482A0E">
      <w:pPr>
        <w:pStyle w:val="FootnoteText"/>
        <w:contextualSpacing/>
        <w:rPr>
          <w:sz w:val="16"/>
          <w:szCs w:val="16"/>
        </w:rPr>
      </w:pPr>
      <w:r w:rsidRPr="004871EF">
        <w:rPr>
          <w:rStyle w:val="FootnoteReference"/>
          <w:sz w:val="16"/>
          <w:szCs w:val="16"/>
        </w:rPr>
        <w:footnoteRef/>
      </w:r>
      <w:r w:rsidRPr="004871EF">
        <w:rPr>
          <w:sz w:val="16"/>
          <w:szCs w:val="16"/>
        </w:rPr>
        <w:t xml:space="preserve"> PNG National REDD+ Strategy, pg9.</w:t>
      </w:r>
    </w:p>
  </w:footnote>
  <w:footnote w:id="53">
    <w:p w14:paraId="3597598E" w14:textId="77777777" w:rsidR="004D71D2" w:rsidRPr="00372E61" w:rsidRDefault="004D71D2" w:rsidP="00482A0E">
      <w:pPr>
        <w:pStyle w:val="FootnoteText"/>
        <w:contextualSpacing/>
        <w:rPr>
          <w:sz w:val="16"/>
          <w:szCs w:val="16"/>
          <w:lang w:val="en-AU"/>
        </w:rPr>
      </w:pPr>
      <w:r w:rsidRPr="004871EF">
        <w:rPr>
          <w:rStyle w:val="FootnoteReference"/>
          <w:sz w:val="16"/>
          <w:szCs w:val="16"/>
        </w:rPr>
        <w:footnoteRef/>
      </w:r>
      <w:r w:rsidRPr="004871EF">
        <w:rPr>
          <w:sz w:val="16"/>
          <w:szCs w:val="16"/>
        </w:rPr>
        <w:t xml:space="preserve"> Section 2 of the </w:t>
      </w:r>
      <w:r w:rsidRPr="00372E61">
        <w:rPr>
          <w:sz w:val="16"/>
          <w:szCs w:val="16"/>
        </w:rPr>
        <w:t>Forestry Amended Act of 2005, (Amended s. 1 of the 1991 Act).</w:t>
      </w:r>
    </w:p>
  </w:footnote>
  <w:footnote w:id="54">
    <w:p w14:paraId="765AA802" w14:textId="77777777" w:rsidR="004D71D2" w:rsidRPr="00372E61" w:rsidRDefault="004D71D2" w:rsidP="00482A0E">
      <w:pPr>
        <w:pStyle w:val="FootnoteText"/>
        <w:contextualSpacing/>
        <w:rPr>
          <w:sz w:val="16"/>
          <w:szCs w:val="16"/>
          <w:lang w:val="en-AU"/>
        </w:rPr>
      </w:pPr>
      <w:r w:rsidRPr="00372E61">
        <w:rPr>
          <w:rStyle w:val="FootnoteReference"/>
          <w:sz w:val="16"/>
          <w:szCs w:val="16"/>
        </w:rPr>
        <w:footnoteRef/>
      </w:r>
      <w:r w:rsidRPr="00372E61">
        <w:rPr>
          <w:sz w:val="16"/>
          <w:szCs w:val="16"/>
        </w:rPr>
        <w:t xml:space="preserve"> The Constitution, </w:t>
      </w:r>
      <w:r w:rsidRPr="00372E61">
        <w:rPr>
          <w:sz w:val="16"/>
          <w:szCs w:val="16"/>
          <w:lang w:val="en-US"/>
        </w:rPr>
        <w:t>NGDP 4(a) refers to the requirement to “manage, develop and protect the Nation’s forest resources and environment in such a way as to conserve and renew them as an asset for the succeeding generations.”</w:t>
      </w:r>
    </w:p>
  </w:footnote>
  <w:footnote w:id="55">
    <w:p w14:paraId="0EEC3BE8" w14:textId="77777777" w:rsidR="004D71D2" w:rsidRPr="00372E61" w:rsidRDefault="004D71D2" w:rsidP="00482A0E">
      <w:pPr>
        <w:pStyle w:val="FootnoteText"/>
        <w:contextualSpacing/>
        <w:rPr>
          <w:sz w:val="16"/>
          <w:szCs w:val="16"/>
          <w:lang w:val="en-AU"/>
        </w:rPr>
      </w:pPr>
      <w:r w:rsidRPr="00372E61">
        <w:rPr>
          <w:rStyle w:val="FootnoteReference"/>
          <w:sz w:val="16"/>
          <w:szCs w:val="16"/>
        </w:rPr>
        <w:footnoteRef/>
      </w:r>
      <w:r w:rsidRPr="00372E61">
        <w:rPr>
          <w:sz w:val="16"/>
          <w:szCs w:val="16"/>
        </w:rPr>
        <w:t xml:space="preserve"> </w:t>
      </w:r>
      <w:r w:rsidRPr="00372E61">
        <w:rPr>
          <w:sz w:val="16"/>
          <w:szCs w:val="16"/>
          <w:lang w:val="en-AU"/>
        </w:rPr>
        <w:t>Convention on the International Trade in Endangered Species.</w:t>
      </w:r>
    </w:p>
  </w:footnote>
  <w:footnote w:id="56">
    <w:p w14:paraId="17C2EB68" w14:textId="77777777" w:rsidR="004D71D2" w:rsidRPr="00372E61" w:rsidRDefault="004D71D2" w:rsidP="00482A0E">
      <w:pPr>
        <w:pStyle w:val="FootnoteText"/>
        <w:contextualSpacing/>
        <w:rPr>
          <w:sz w:val="16"/>
          <w:szCs w:val="16"/>
        </w:rPr>
      </w:pPr>
      <w:r w:rsidRPr="00372E61">
        <w:rPr>
          <w:rStyle w:val="FootnoteReference"/>
          <w:sz w:val="16"/>
          <w:szCs w:val="16"/>
        </w:rPr>
        <w:footnoteRef/>
      </w:r>
      <w:r w:rsidRPr="00372E61">
        <w:rPr>
          <w:sz w:val="16"/>
          <w:szCs w:val="16"/>
        </w:rPr>
        <w:t xml:space="preserve"> The International Trade (Flora and Fauna) Act 1978 </w:t>
      </w:r>
    </w:p>
  </w:footnote>
  <w:footnote w:id="57">
    <w:p w14:paraId="2BCDAA22" w14:textId="77777777" w:rsidR="004D71D2" w:rsidRPr="0056763D" w:rsidRDefault="004D71D2" w:rsidP="00482A0E">
      <w:pPr>
        <w:pStyle w:val="FootnoteText"/>
        <w:contextualSpacing/>
        <w:rPr>
          <w:sz w:val="16"/>
          <w:szCs w:val="16"/>
          <w:lang w:val="en-AU"/>
        </w:rPr>
      </w:pPr>
      <w:r w:rsidRPr="00372E61">
        <w:rPr>
          <w:rStyle w:val="FootnoteReference"/>
          <w:sz w:val="16"/>
          <w:szCs w:val="16"/>
        </w:rPr>
        <w:footnoteRef/>
      </w:r>
      <w:r w:rsidRPr="00372E61">
        <w:rPr>
          <w:sz w:val="16"/>
          <w:szCs w:val="16"/>
          <w:lang w:val="en-AU"/>
        </w:rPr>
        <w:t xml:space="preserve"> Example, considerations such as whether an area is designated as production or protection forests under the Forestry Policy and Act. This includes ascertaining whether</w:t>
      </w:r>
      <w:r w:rsidRPr="0056763D">
        <w:rPr>
          <w:sz w:val="16"/>
          <w:szCs w:val="16"/>
          <w:lang w:val="en-AU"/>
        </w:rPr>
        <w:t xml:space="preserve"> the area is ideal for potential timber harvesting or not (as per criteria listed under the PNG Logging Code of Practice).  These are limited to areas proposed for FMAs and TAs/TPs. The NFDGs </w:t>
      </w:r>
      <w:r w:rsidRPr="0056763D">
        <w:rPr>
          <w:sz w:val="16"/>
          <w:szCs w:val="16"/>
          <w:lang w:val="en-US"/>
        </w:rPr>
        <w:t>mention consideration of biodiversity in relation to the process of Forest Land Conversion.</w:t>
      </w:r>
    </w:p>
  </w:footnote>
  <w:footnote w:id="58">
    <w:p w14:paraId="0C049A6B" w14:textId="77777777" w:rsidR="004D71D2" w:rsidRPr="0056763D" w:rsidRDefault="004D71D2" w:rsidP="00482A0E">
      <w:pPr>
        <w:pStyle w:val="FootnoteText"/>
        <w:contextualSpacing/>
        <w:rPr>
          <w:sz w:val="18"/>
          <w:szCs w:val="18"/>
          <w:lang w:val="en-AU"/>
        </w:rPr>
      </w:pPr>
      <w:r w:rsidRPr="0056763D">
        <w:rPr>
          <w:rStyle w:val="FootnoteReference"/>
          <w:sz w:val="16"/>
          <w:szCs w:val="16"/>
        </w:rPr>
        <w:footnoteRef/>
      </w:r>
      <w:r w:rsidRPr="0056763D">
        <w:rPr>
          <w:sz w:val="16"/>
          <w:szCs w:val="16"/>
        </w:rPr>
        <w:t xml:space="preserve"> </w:t>
      </w:r>
      <w:r w:rsidRPr="0056763D">
        <w:rPr>
          <w:sz w:val="16"/>
          <w:szCs w:val="16"/>
          <w:lang w:val="en-US"/>
        </w:rPr>
        <w:t>Article M.1 of the National Forest Development Guidelines – Conversion of Forest Lands.</w:t>
      </w:r>
    </w:p>
  </w:footnote>
  <w:footnote w:id="59">
    <w:p w14:paraId="27A4B9F6" w14:textId="77777777" w:rsidR="004D71D2" w:rsidRPr="00117E5C" w:rsidRDefault="004D71D2" w:rsidP="00482A0E">
      <w:pPr>
        <w:pStyle w:val="FootnoteText"/>
        <w:contextualSpacing/>
        <w:rPr>
          <w:sz w:val="18"/>
          <w:szCs w:val="18"/>
          <w:lang w:val="en-AU"/>
        </w:rPr>
      </w:pPr>
      <w:r w:rsidRPr="0056763D">
        <w:rPr>
          <w:rStyle w:val="FootnoteReference"/>
          <w:sz w:val="16"/>
          <w:szCs w:val="16"/>
        </w:rPr>
        <w:footnoteRef/>
      </w:r>
      <w:r w:rsidRPr="0056763D">
        <w:rPr>
          <w:sz w:val="16"/>
          <w:szCs w:val="16"/>
        </w:rPr>
        <w:t xml:space="preserve"> Mitigation activities within forestry legislation relate to provisions</w:t>
      </w:r>
      <w:r w:rsidRPr="00943FD3">
        <w:rPr>
          <w:sz w:val="16"/>
          <w:szCs w:val="16"/>
        </w:rPr>
        <w:t xml:space="preserve"> which deter any interference within naturally forested areas such as the 10% set aside for ‘conservation areas’ within FMAs or other timber production areas</w:t>
      </w:r>
    </w:p>
  </w:footnote>
  <w:footnote w:id="60">
    <w:p w14:paraId="65B98F5A" w14:textId="77777777" w:rsidR="004D71D2" w:rsidRPr="00882484" w:rsidRDefault="004D71D2" w:rsidP="00482A0E">
      <w:pPr>
        <w:pStyle w:val="FootnoteText"/>
        <w:contextualSpacing/>
        <w:rPr>
          <w:sz w:val="16"/>
          <w:szCs w:val="16"/>
          <w:lang w:val="en-AU"/>
        </w:rPr>
      </w:pPr>
      <w:r w:rsidRPr="00882484">
        <w:rPr>
          <w:rStyle w:val="FootnoteReference"/>
          <w:sz w:val="16"/>
          <w:szCs w:val="16"/>
        </w:rPr>
        <w:footnoteRef/>
      </w:r>
      <w:r w:rsidRPr="00882484">
        <w:rPr>
          <w:sz w:val="16"/>
          <w:szCs w:val="16"/>
        </w:rPr>
        <w:t xml:space="preserve"> </w:t>
      </w:r>
      <w:r w:rsidRPr="00882484">
        <w:rPr>
          <w:sz w:val="16"/>
          <w:szCs w:val="16"/>
          <w:lang w:val="en-AU"/>
        </w:rPr>
        <w:t>This is often the outcome of a project commenced under an SABL as per the Land Act 1996.</w:t>
      </w:r>
      <w:r w:rsidRPr="00882484">
        <w:rPr>
          <w:sz w:val="16"/>
          <w:szCs w:val="16"/>
        </w:rPr>
        <w:t xml:space="preserve"> </w:t>
      </w:r>
      <w:r w:rsidRPr="00882484">
        <w:rPr>
          <w:sz w:val="16"/>
          <w:szCs w:val="16"/>
          <w:lang w:val="en-AU"/>
        </w:rPr>
        <w:t>However, these processes are now subject to review as part of national land reforms and amendments to all land legislation</w:t>
      </w:r>
    </w:p>
  </w:footnote>
  <w:footnote w:id="61">
    <w:p w14:paraId="59DF1FD7" w14:textId="77777777" w:rsidR="004D71D2" w:rsidRPr="00882484" w:rsidRDefault="004D71D2" w:rsidP="00062770">
      <w:pPr>
        <w:pStyle w:val="FootnoteText"/>
        <w:contextualSpacing/>
        <w:rPr>
          <w:sz w:val="16"/>
          <w:szCs w:val="16"/>
          <w:lang w:val="en-AU"/>
        </w:rPr>
      </w:pPr>
      <w:r w:rsidRPr="00882484">
        <w:rPr>
          <w:rStyle w:val="FootnoteReference"/>
          <w:sz w:val="16"/>
          <w:szCs w:val="16"/>
        </w:rPr>
        <w:footnoteRef/>
      </w:r>
      <w:r w:rsidRPr="00882484">
        <w:rPr>
          <w:sz w:val="16"/>
          <w:szCs w:val="16"/>
        </w:rPr>
        <w:t xml:space="preserve"> Example, as seen in </w:t>
      </w:r>
      <w:r w:rsidRPr="00882484">
        <w:rPr>
          <w:sz w:val="16"/>
          <w:szCs w:val="16"/>
          <w:lang w:val="en-US"/>
        </w:rPr>
        <w:t>the FSC National Forest Management Standards for PNG.</w:t>
      </w:r>
    </w:p>
  </w:footnote>
  <w:footnote w:id="62">
    <w:p w14:paraId="0BA5992F" w14:textId="77777777" w:rsidR="004D71D2" w:rsidRPr="00882484" w:rsidRDefault="004D71D2" w:rsidP="00062770">
      <w:pPr>
        <w:pStyle w:val="FootnoteText"/>
        <w:contextualSpacing/>
        <w:rPr>
          <w:sz w:val="16"/>
          <w:szCs w:val="16"/>
          <w:lang w:val="en-AU"/>
        </w:rPr>
      </w:pPr>
      <w:r w:rsidRPr="00882484">
        <w:rPr>
          <w:rStyle w:val="FootnoteReference"/>
          <w:sz w:val="16"/>
          <w:szCs w:val="16"/>
        </w:rPr>
        <w:footnoteRef/>
      </w:r>
      <w:r w:rsidRPr="00882484">
        <w:rPr>
          <w:sz w:val="16"/>
          <w:szCs w:val="16"/>
        </w:rPr>
        <w:t xml:space="preserve">Section </w:t>
      </w:r>
      <w:r w:rsidRPr="00882484">
        <w:rPr>
          <w:sz w:val="16"/>
          <w:szCs w:val="16"/>
          <w:lang w:val="en-AU"/>
        </w:rPr>
        <w:t>53(2)(e) of the Climate Change Management Act 2015.</w:t>
      </w:r>
    </w:p>
  </w:footnote>
  <w:footnote w:id="63">
    <w:p w14:paraId="6AF247A2" w14:textId="77777777" w:rsidR="004D71D2" w:rsidRPr="00882484" w:rsidRDefault="004D71D2" w:rsidP="00062770">
      <w:pPr>
        <w:pStyle w:val="FootnoteText"/>
        <w:contextualSpacing/>
        <w:rPr>
          <w:sz w:val="16"/>
          <w:szCs w:val="16"/>
          <w:lang w:val="en-AU"/>
        </w:rPr>
      </w:pPr>
      <w:r w:rsidRPr="00882484">
        <w:rPr>
          <w:rStyle w:val="FootnoteReference"/>
          <w:sz w:val="16"/>
          <w:szCs w:val="16"/>
        </w:rPr>
        <w:footnoteRef/>
      </w:r>
      <w:r w:rsidRPr="00882484">
        <w:rPr>
          <w:sz w:val="16"/>
          <w:szCs w:val="16"/>
        </w:rPr>
        <w:t xml:space="preserve"> This is an a</w:t>
      </w:r>
      <w:r w:rsidRPr="00882484">
        <w:rPr>
          <w:bCs/>
          <w:sz w:val="16"/>
          <w:szCs w:val="16"/>
        </w:rPr>
        <w:t>ll-encompassing tool using GIS and satellite imagery to monitor and distribute information on land classification, land use, forest cover and forest resources and areas suitable for afforestation, conservation and traditional/indigenous land use.</w:t>
      </w:r>
    </w:p>
  </w:footnote>
  <w:footnote w:id="64">
    <w:p w14:paraId="6BB30E74" w14:textId="77777777" w:rsidR="004D71D2" w:rsidRPr="00882484" w:rsidRDefault="004D71D2" w:rsidP="00062770">
      <w:pPr>
        <w:pStyle w:val="FootnoteText"/>
        <w:contextualSpacing/>
        <w:rPr>
          <w:sz w:val="16"/>
          <w:szCs w:val="16"/>
          <w:lang w:val="en-AU"/>
        </w:rPr>
      </w:pPr>
      <w:r w:rsidRPr="00882484">
        <w:rPr>
          <w:rStyle w:val="FootnoteReference"/>
          <w:sz w:val="16"/>
          <w:szCs w:val="16"/>
        </w:rPr>
        <w:footnoteRef/>
      </w:r>
      <w:r w:rsidRPr="00882484">
        <w:rPr>
          <w:sz w:val="16"/>
          <w:szCs w:val="16"/>
        </w:rPr>
        <w:t xml:space="preserve"> The key agencies involved in setting up this system are the PNGFA, CCDA and </w:t>
      </w:r>
      <w:r w:rsidRPr="00882484">
        <w:rPr>
          <w:sz w:val="16"/>
          <w:szCs w:val="16"/>
          <w:lang w:val="en-AU"/>
        </w:rPr>
        <w:t>UNREDD.</w:t>
      </w:r>
    </w:p>
  </w:footnote>
  <w:footnote w:id="65">
    <w:p w14:paraId="4F3E7B0A" w14:textId="77777777" w:rsidR="004D71D2" w:rsidRPr="00882484" w:rsidRDefault="004D71D2" w:rsidP="00062770">
      <w:pPr>
        <w:pStyle w:val="FootnoteText"/>
        <w:contextualSpacing/>
        <w:rPr>
          <w:sz w:val="16"/>
          <w:szCs w:val="16"/>
          <w:lang w:val="en-AU"/>
        </w:rPr>
      </w:pPr>
      <w:r w:rsidRPr="00882484">
        <w:rPr>
          <w:rStyle w:val="FootnoteReference"/>
          <w:sz w:val="16"/>
          <w:szCs w:val="16"/>
        </w:rPr>
        <w:footnoteRef/>
      </w:r>
      <w:r w:rsidRPr="00882484">
        <w:rPr>
          <w:sz w:val="16"/>
          <w:szCs w:val="16"/>
        </w:rPr>
        <w:t xml:space="preserve"> These are the standards and certification processes used by the </w:t>
      </w:r>
      <w:r w:rsidRPr="00882484">
        <w:rPr>
          <w:sz w:val="16"/>
          <w:szCs w:val="16"/>
          <w:lang w:val="en-US"/>
        </w:rPr>
        <w:t>forest industry/private sector in PNG to verify the processing of timber including the SGS ITTO TLTV (Timber Legality and Timber Verification Standards).</w:t>
      </w:r>
    </w:p>
  </w:footnote>
  <w:footnote w:id="66">
    <w:p w14:paraId="4955A7FC" w14:textId="77777777" w:rsidR="001501B8" w:rsidRPr="00FA12A0" w:rsidRDefault="001501B8" w:rsidP="001501B8">
      <w:pPr>
        <w:pStyle w:val="FootnoteText"/>
        <w:contextualSpacing/>
        <w:rPr>
          <w:sz w:val="16"/>
          <w:szCs w:val="16"/>
        </w:rPr>
      </w:pPr>
      <w:r w:rsidRPr="00FA12A0">
        <w:rPr>
          <w:rStyle w:val="FootnoteReference"/>
          <w:sz w:val="16"/>
          <w:szCs w:val="16"/>
        </w:rPr>
        <w:footnoteRef/>
      </w:r>
      <w:r w:rsidRPr="00FA12A0">
        <w:rPr>
          <w:sz w:val="16"/>
          <w:szCs w:val="16"/>
        </w:rPr>
        <w:t xml:space="preserve"> Decision 2/CP.17, paragraph 63 that states: ’Agrees that, regardless of the source or type of financing, the activities referred to in decision 1/CP.16, paragraph 70, should be consistent with the relevant provisions included in decision 1/CP.16, including the safeguards in its appendix I, in accordance with relevant decisions of the Conference of the Parties;’</w:t>
      </w:r>
    </w:p>
  </w:footnote>
  <w:footnote w:id="67">
    <w:p w14:paraId="761A4D7A" w14:textId="77777777" w:rsidR="001501B8" w:rsidRPr="00FA12A0" w:rsidRDefault="001501B8" w:rsidP="001501B8">
      <w:pPr>
        <w:pStyle w:val="FootnoteText"/>
        <w:contextualSpacing/>
        <w:rPr>
          <w:sz w:val="16"/>
          <w:szCs w:val="16"/>
        </w:rPr>
      </w:pPr>
      <w:r w:rsidRPr="00FA12A0">
        <w:rPr>
          <w:rStyle w:val="FootnoteReference"/>
          <w:sz w:val="16"/>
          <w:szCs w:val="16"/>
        </w:rPr>
        <w:footnoteRef/>
      </w:r>
      <w:r w:rsidRPr="00FA12A0">
        <w:rPr>
          <w:sz w:val="16"/>
          <w:szCs w:val="16"/>
        </w:rPr>
        <w:t xml:space="preserve"> UNFCCC Decision 17/CP.21, see also UN-REDD </w:t>
      </w:r>
      <w:hyperlink r:id="rId3" w:history="1">
        <w:r w:rsidRPr="00FA12A0">
          <w:rPr>
            <w:rStyle w:val="Hyperlink"/>
            <w:sz w:val="16"/>
            <w:szCs w:val="16"/>
          </w:rPr>
          <w:t>brief on summaries of information</w:t>
        </w:r>
      </w:hyperlink>
    </w:p>
  </w:footnote>
  <w:footnote w:id="68">
    <w:p w14:paraId="6A1B46D7" w14:textId="77777777" w:rsidR="001501B8" w:rsidRPr="000C3147" w:rsidRDefault="001501B8" w:rsidP="001501B8">
      <w:pPr>
        <w:pStyle w:val="FootnoteText"/>
        <w:contextualSpacing/>
        <w:rPr>
          <w:color w:val="000000" w:themeColor="text1"/>
          <w:sz w:val="16"/>
          <w:szCs w:val="16"/>
        </w:rPr>
      </w:pPr>
      <w:r w:rsidRPr="00FA12A0">
        <w:rPr>
          <w:rStyle w:val="FootnoteReference"/>
          <w:sz w:val="16"/>
          <w:szCs w:val="16"/>
        </w:rPr>
        <w:footnoteRef/>
      </w:r>
      <w:r w:rsidRPr="00FA12A0">
        <w:rPr>
          <w:sz w:val="16"/>
          <w:szCs w:val="16"/>
        </w:rPr>
        <w:t xml:space="preserve"> Ibid, paragraph 5(b) see also UN-REDD </w:t>
      </w:r>
      <w:hyperlink r:id="rId4" w:history="1">
        <w:r w:rsidRPr="00FA12A0">
          <w:rPr>
            <w:rStyle w:val="Hyperlink"/>
            <w:sz w:val="16"/>
            <w:szCs w:val="16"/>
          </w:rPr>
          <w:t>brief on summaries of information</w:t>
        </w:r>
      </w:hyperlink>
      <w:r w:rsidRPr="00FA12A0">
        <w:rPr>
          <w:rStyle w:val="Hyperlink"/>
          <w:sz w:val="16"/>
          <w:szCs w:val="16"/>
        </w:rPr>
        <w:t xml:space="preserve"> </w:t>
      </w:r>
      <w:r w:rsidRPr="00FA12A0">
        <w:rPr>
          <w:rStyle w:val="Hyperlink"/>
          <w:color w:val="000000" w:themeColor="text1"/>
          <w:sz w:val="16"/>
          <w:szCs w:val="16"/>
        </w:rPr>
        <w:t>for further analysis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529582" w14:textId="67DD246A" w:rsidR="004D71D2" w:rsidRDefault="004D71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E8EE08" w14:textId="29CAD299" w:rsidR="004D71D2" w:rsidRDefault="004D71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98B74" w14:textId="1FB11772" w:rsidR="004D71D2" w:rsidRDefault="004D71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14976"/>
    <w:multiLevelType w:val="multilevel"/>
    <w:tmpl w:val="F266C2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1204CAE"/>
    <w:multiLevelType w:val="hybridMultilevel"/>
    <w:tmpl w:val="C5864AE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81C599D"/>
    <w:multiLevelType w:val="hybridMultilevel"/>
    <w:tmpl w:val="222C5D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482894"/>
    <w:multiLevelType w:val="hybridMultilevel"/>
    <w:tmpl w:val="FFAAB9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F16D3C"/>
    <w:multiLevelType w:val="hybridMultilevel"/>
    <w:tmpl w:val="EE1EBDD4"/>
    <w:lvl w:ilvl="0" w:tplc="B76054BA">
      <w:start w:val="1"/>
      <w:numFmt w:val="decimal"/>
      <w:lvlText w:val="%1."/>
      <w:lvlJc w:val="left"/>
      <w:pPr>
        <w:ind w:left="720" w:hanging="360"/>
      </w:pPr>
      <w:rPr>
        <w:rFonts w:cstheme="minorHAnsi"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11A581A"/>
    <w:multiLevelType w:val="hybridMultilevel"/>
    <w:tmpl w:val="69D81698"/>
    <w:lvl w:ilvl="0" w:tplc="08090019">
      <w:start w:val="1"/>
      <w:numFmt w:val="lowerLetter"/>
      <w:lvlText w:val="%1."/>
      <w:lvlJc w:val="left"/>
      <w:pPr>
        <w:ind w:left="1440" w:hanging="360"/>
      </w:pPr>
      <w:rPr>
        <w:rFonts w:hint="default"/>
      </w:rPr>
    </w:lvl>
    <w:lvl w:ilvl="1" w:tplc="08090001">
      <w:start w:val="1"/>
      <w:numFmt w:val="bullet"/>
      <w:lvlText w:val=""/>
      <w:lvlJc w:val="left"/>
      <w:pPr>
        <w:ind w:left="252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6EAA1008">
      <w:start w:val="1"/>
      <w:numFmt w:val="lowerLetter"/>
      <w:lvlText w:val="%4)"/>
      <w:lvlJc w:val="left"/>
      <w:pPr>
        <w:ind w:left="2880" w:hanging="360"/>
      </w:pPr>
      <w:rPr>
        <w:rFonts w:asciiTheme="minorHAnsi" w:eastAsia="Times New Roman" w:hAnsiTheme="minorHAnsi" w:cs="Times New Roman"/>
      </w:rPr>
    </w:lvl>
    <w:lvl w:ilvl="4" w:tplc="31C24C32">
      <w:start w:val="1"/>
      <w:numFmt w:val="decimal"/>
      <w:lvlText w:val="%5."/>
      <w:lvlJc w:val="left"/>
      <w:pPr>
        <w:ind w:left="3600" w:hanging="360"/>
      </w:pPr>
      <w:rPr>
        <w:rFonts w:cstheme="minorHAnsi" w:hint="default"/>
        <w:b/>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291069"/>
    <w:multiLevelType w:val="hybridMultilevel"/>
    <w:tmpl w:val="6E6E0800"/>
    <w:lvl w:ilvl="0" w:tplc="08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B2530"/>
    <w:multiLevelType w:val="hybridMultilevel"/>
    <w:tmpl w:val="279E3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7A13D7"/>
    <w:multiLevelType w:val="hybridMultilevel"/>
    <w:tmpl w:val="DC1A4D8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1B4D023E"/>
    <w:multiLevelType w:val="hybridMultilevel"/>
    <w:tmpl w:val="5352C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860D4E"/>
    <w:multiLevelType w:val="hybridMultilevel"/>
    <w:tmpl w:val="1374AA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6958E5"/>
    <w:multiLevelType w:val="hybridMultilevel"/>
    <w:tmpl w:val="363AB0EC"/>
    <w:lvl w:ilvl="0" w:tplc="0809000F">
      <w:start w:val="1"/>
      <w:numFmt w:val="decimal"/>
      <w:lvlText w:val="%1."/>
      <w:lvlJc w:val="left"/>
      <w:pPr>
        <w:ind w:left="720" w:hanging="360"/>
      </w:pPr>
    </w:lvl>
    <w:lvl w:ilvl="1" w:tplc="EB1AC4A6">
      <w:start w:val="1"/>
      <w:numFmt w:val="lowerLetter"/>
      <w:lvlText w:val="%2."/>
      <w:lvlJc w:val="left"/>
      <w:pPr>
        <w:ind w:left="1440" w:hanging="360"/>
      </w:pPr>
      <w:rPr>
        <w:b/>
        <w:bCs/>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A64640"/>
    <w:multiLevelType w:val="hybridMultilevel"/>
    <w:tmpl w:val="8CB2EAE8"/>
    <w:lvl w:ilvl="0" w:tplc="7AD847F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D975C7"/>
    <w:multiLevelType w:val="hybridMultilevel"/>
    <w:tmpl w:val="05029890"/>
    <w:lvl w:ilvl="0" w:tplc="BC44F66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0E5F81"/>
    <w:multiLevelType w:val="hybridMultilevel"/>
    <w:tmpl w:val="47E0AEE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2F0AC8"/>
    <w:multiLevelType w:val="hybridMultilevel"/>
    <w:tmpl w:val="8ECE0D9C"/>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6" w15:restartNumberingAfterBreak="0">
    <w:nsid w:val="2BFE7B58"/>
    <w:multiLevelType w:val="hybridMultilevel"/>
    <w:tmpl w:val="5544AA6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C086FDB"/>
    <w:multiLevelType w:val="hybridMultilevel"/>
    <w:tmpl w:val="49EC7B6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E446645"/>
    <w:multiLevelType w:val="hybridMultilevel"/>
    <w:tmpl w:val="6CEE85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DA4836"/>
    <w:multiLevelType w:val="hybridMultilevel"/>
    <w:tmpl w:val="AFEEB7D6"/>
    <w:lvl w:ilvl="0" w:tplc="A3AED4FE">
      <w:start w:val="1"/>
      <w:numFmt w:val="decimal"/>
      <w:lvlText w:val="%1."/>
      <w:lvlJc w:val="left"/>
      <w:pPr>
        <w:ind w:left="720" w:hanging="360"/>
      </w:pPr>
      <w:rPr>
        <w:rFonts w:cs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6D4509"/>
    <w:multiLevelType w:val="hybridMultilevel"/>
    <w:tmpl w:val="42AC3702"/>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7A02C4"/>
    <w:multiLevelType w:val="hybridMultilevel"/>
    <w:tmpl w:val="FC701886"/>
    <w:lvl w:ilvl="0" w:tplc="AC40AF8C">
      <w:start w:val="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BE0E09"/>
    <w:multiLevelType w:val="hybridMultilevel"/>
    <w:tmpl w:val="9E187AA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5F1614F"/>
    <w:multiLevelType w:val="hybridMultilevel"/>
    <w:tmpl w:val="DF2E9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6F606A8"/>
    <w:multiLevelType w:val="hybridMultilevel"/>
    <w:tmpl w:val="32901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2B51FC"/>
    <w:multiLevelType w:val="hybridMultilevel"/>
    <w:tmpl w:val="D7EE705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531B7072"/>
    <w:multiLevelType w:val="hybridMultilevel"/>
    <w:tmpl w:val="FFAAB9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4D5473E"/>
    <w:multiLevelType w:val="hybridMultilevel"/>
    <w:tmpl w:val="D250C1FA"/>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58D94E0D"/>
    <w:multiLevelType w:val="hybridMultilevel"/>
    <w:tmpl w:val="36407E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A7508BB"/>
    <w:multiLevelType w:val="hybridMultilevel"/>
    <w:tmpl w:val="5BF2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A30955"/>
    <w:multiLevelType w:val="hybridMultilevel"/>
    <w:tmpl w:val="4BB48CD2"/>
    <w:lvl w:ilvl="0" w:tplc="E6D29436">
      <w:start w:val="1"/>
      <w:numFmt w:val="lowerLetter"/>
      <w:lvlText w:val="%1."/>
      <w:lvlJc w:val="left"/>
      <w:pPr>
        <w:ind w:left="1080" w:hanging="360"/>
      </w:pPr>
      <w:rPr>
        <w:rFonts w:cstheme="minorHAnsi"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61BA74AC"/>
    <w:multiLevelType w:val="hybridMultilevel"/>
    <w:tmpl w:val="FFAAB9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78527AB"/>
    <w:multiLevelType w:val="hybridMultilevel"/>
    <w:tmpl w:val="10C0F826"/>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33" w15:restartNumberingAfterBreak="0">
    <w:nsid w:val="68DA3074"/>
    <w:multiLevelType w:val="hybridMultilevel"/>
    <w:tmpl w:val="15E0A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E5713B"/>
    <w:multiLevelType w:val="hybridMultilevel"/>
    <w:tmpl w:val="58705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7F7161"/>
    <w:multiLevelType w:val="multilevel"/>
    <w:tmpl w:val="E1B8EF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6E7129F4"/>
    <w:multiLevelType w:val="hybridMultilevel"/>
    <w:tmpl w:val="76400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FB79B5"/>
    <w:multiLevelType w:val="hybridMultilevel"/>
    <w:tmpl w:val="BA4A1AA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4042184"/>
    <w:multiLevelType w:val="hybridMultilevel"/>
    <w:tmpl w:val="0CD808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754245CF"/>
    <w:multiLevelType w:val="hybridMultilevel"/>
    <w:tmpl w:val="D1A2BB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D7139FC"/>
    <w:multiLevelType w:val="hybridMultilevel"/>
    <w:tmpl w:val="81702286"/>
    <w:lvl w:ilvl="0" w:tplc="08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32"/>
  </w:num>
  <w:num w:numId="3">
    <w:abstractNumId w:val="10"/>
  </w:num>
  <w:num w:numId="4">
    <w:abstractNumId w:val="14"/>
  </w:num>
  <w:num w:numId="5">
    <w:abstractNumId w:val="37"/>
  </w:num>
  <w:num w:numId="6">
    <w:abstractNumId w:val="28"/>
  </w:num>
  <w:num w:numId="7">
    <w:abstractNumId w:val="18"/>
  </w:num>
  <w:num w:numId="8">
    <w:abstractNumId w:val="39"/>
  </w:num>
  <w:num w:numId="9">
    <w:abstractNumId w:val="11"/>
  </w:num>
  <w:num w:numId="10">
    <w:abstractNumId w:val="23"/>
  </w:num>
  <w:num w:numId="11">
    <w:abstractNumId w:val="29"/>
  </w:num>
  <w:num w:numId="12">
    <w:abstractNumId w:val="12"/>
  </w:num>
  <w:num w:numId="13">
    <w:abstractNumId w:val="31"/>
  </w:num>
  <w:num w:numId="14">
    <w:abstractNumId w:val="5"/>
  </w:num>
  <w:num w:numId="15">
    <w:abstractNumId w:val="15"/>
  </w:num>
  <w:num w:numId="16">
    <w:abstractNumId w:val="27"/>
  </w:num>
  <w:num w:numId="17">
    <w:abstractNumId w:val="16"/>
  </w:num>
  <w:num w:numId="18">
    <w:abstractNumId w:val="30"/>
  </w:num>
  <w:num w:numId="19">
    <w:abstractNumId w:val="4"/>
  </w:num>
  <w:num w:numId="20">
    <w:abstractNumId w:val="20"/>
  </w:num>
  <w:num w:numId="21">
    <w:abstractNumId w:val="40"/>
  </w:num>
  <w:num w:numId="22">
    <w:abstractNumId w:val="21"/>
  </w:num>
  <w:num w:numId="23">
    <w:abstractNumId w:val="13"/>
  </w:num>
  <w:num w:numId="24">
    <w:abstractNumId w:val="2"/>
  </w:num>
  <w:num w:numId="25">
    <w:abstractNumId w:val="0"/>
  </w:num>
  <w:num w:numId="26">
    <w:abstractNumId w:val="22"/>
  </w:num>
  <w:num w:numId="27">
    <w:abstractNumId w:val="3"/>
  </w:num>
  <w:num w:numId="28">
    <w:abstractNumId w:val="35"/>
  </w:num>
  <w:num w:numId="29">
    <w:abstractNumId w:val="26"/>
  </w:num>
  <w:num w:numId="30">
    <w:abstractNumId w:val="34"/>
  </w:num>
  <w:num w:numId="31">
    <w:abstractNumId w:val="17"/>
  </w:num>
  <w:num w:numId="32">
    <w:abstractNumId w:val="8"/>
  </w:num>
  <w:num w:numId="33">
    <w:abstractNumId w:val="25"/>
  </w:num>
  <w:num w:numId="34">
    <w:abstractNumId w:val="38"/>
  </w:num>
  <w:num w:numId="35">
    <w:abstractNumId w:val="1"/>
  </w:num>
  <w:num w:numId="36">
    <w:abstractNumId w:val="24"/>
  </w:num>
  <w:num w:numId="37">
    <w:abstractNumId w:val="9"/>
  </w:num>
  <w:num w:numId="38">
    <w:abstractNumId w:val="33"/>
  </w:num>
  <w:num w:numId="39">
    <w:abstractNumId w:val="36"/>
  </w:num>
  <w:num w:numId="40">
    <w:abstractNumId w:val="19"/>
  </w:num>
  <w:num w:numId="41">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942"/>
    <w:rsid w:val="0000222D"/>
    <w:rsid w:val="00003277"/>
    <w:rsid w:val="0000390D"/>
    <w:rsid w:val="00003EDF"/>
    <w:rsid w:val="00004378"/>
    <w:rsid w:val="00004ADE"/>
    <w:rsid w:val="00011D41"/>
    <w:rsid w:val="00011F42"/>
    <w:rsid w:val="00013A56"/>
    <w:rsid w:val="00015C91"/>
    <w:rsid w:val="00022A56"/>
    <w:rsid w:val="00023AE4"/>
    <w:rsid w:val="00024358"/>
    <w:rsid w:val="000245B7"/>
    <w:rsid w:val="00026164"/>
    <w:rsid w:val="00030C09"/>
    <w:rsid w:val="00033F53"/>
    <w:rsid w:val="00035194"/>
    <w:rsid w:val="000378CF"/>
    <w:rsid w:val="00037C50"/>
    <w:rsid w:val="00040E10"/>
    <w:rsid w:val="00042B62"/>
    <w:rsid w:val="00044941"/>
    <w:rsid w:val="00044C9D"/>
    <w:rsid w:val="00044CE4"/>
    <w:rsid w:val="00045ED0"/>
    <w:rsid w:val="00046175"/>
    <w:rsid w:val="00046E3F"/>
    <w:rsid w:val="0004703D"/>
    <w:rsid w:val="00050290"/>
    <w:rsid w:val="000521D7"/>
    <w:rsid w:val="00056204"/>
    <w:rsid w:val="00061BB5"/>
    <w:rsid w:val="00062770"/>
    <w:rsid w:val="000633F5"/>
    <w:rsid w:val="00070F46"/>
    <w:rsid w:val="0007578E"/>
    <w:rsid w:val="00076F7E"/>
    <w:rsid w:val="00080503"/>
    <w:rsid w:val="000807E0"/>
    <w:rsid w:val="00084F97"/>
    <w:rsid w:val="000869A4"/>
    <w:rsid w:val="00091BB5"/>
    <w:rsid w:val="000921D6"/>
    <w:rsid w:val="0009246D"/>
    <w:rsid w:val="00094103"/>
    <w:rsid w:val="00094DC7"/>
    <w:rsid w:val="000A058C"/>
    <w:rsid w:val="000A7C59"/>
    <w:rsid w:val="000B1B9A"/>
    <w:rsid w:val="000B4EB0"/>
    <w:rsid w:val="000B70B6"/>
    <w:rsid w:val="000B776A"/>
    <w:rsid w:val="000C0F70"/>
    <w:rsid w:val="000C17E7"/>
    <w:rsid w:val="000C27BD"/>
    <w:rsid w:val="000C3625"/>
    <w:rsid w:val="000C3B44"/>
    <w:rsid w:val="000C6BCE"/>
    <w:rsid w:val="000D0153"/>
    <w:rsid w:val="000D081F"/>
    <w:rsid w:val="000D6879"/>
    <w:rsid w:val="000E33DD"/>
    <w:rsid w:val="000E431B"/>
    <w:rsid w:val="000E6F61"/>
    <w:rsid w:val="000E79A2"/>
    <w:rsid w:val="000E7E1E"/>
    <w:rsid w:val="000F101A"/>
    <w:rsid w:val="000F39F0"/>
    <w:rsid w:val="000F5394"/>
    <w:rsid w:val="000F612A"/>
    <w:rsid w:val="001004E6"/>
    <w:rsid w:val="001018A9"/>
    <w:rsid w:val="0010719F"/>
    <w:rsid w:val="00111B2D"/>
    <w:rsid w:val="00111BD9"/>
    <w:rsid w:val="00112822"/>
    <w:rsid w:val="00115F50"/>
    <w:rsid w:val="001167DD"/>
    <w:rsid w:val="00116F40"/>
    <w:rsid w:val="0011796C"/>
    <w:rsid w:val="001231EF"/>
    <w:rsid w:val="0012743E"/>
    <w:rsid w:val="00127DC2"/>
    <w:rsid w:val="00130111"/>
    <w:rsid w:val="001351B3"/>
    <w:rsid w:val="001408EA"/>
    <w:rsid w:val="001417EC"/>
    <w:rsid w:val="001428BE"/>
    <w:rsid w:val="00144D34"/>
    <w:rsid w:val="001450F4"/>
    <w:rsid w:val="001458C4"/>
    <w:rsid w:val="00145F58"/>
    <w:rsid w:val="001501B8"/>
    <w:rsid w:val="00150329"/>
    <w:rsid w:val="0015128B"/>
    <w:rsid w:val="00151A20"/>
    <w:rsid w:val="00153E70"/>
    <w:rsid w:val="001547B3"/>
    <w:rsid w:val="0016032D"/>
    <w:rsid w:val="00162653"/>
    <w:rsid w:val="00167BDD"/>
    <w:rsid w:val="0017099E"/>
    <w:rsid w:val="001774D3"/>
    <w:rsid w:val="00177A9C"/>
    <w:rsid w:val="00182777"/>
    <w:rsid w:val="001908C5"/>
    <w:rsid w:val="00190A18"/>
    <w:rsid w:val="001A0BBC"/>
    <w:rsid w:val="001A2A57"/>
    <w:rsid w:val="001A49D4"/>
    <w:rsid w:val="001B0ED8"/>
    <w:rsid w:val="001B417A"/>
    <w:rsid w:val="001B43C8"/>
    <w:rsid w:val="001C06D8"/>
    <w:rsid w:val="001C0F3E"/>
    <w:rsid w:val="001C3E4B"/>
    <w:rsid w:val="001C4669"/>
    <w:rsid w:val="001D1F35"/>
    <w:rsid w:val="001D35B9"/>
    <w:rsid w:val="001D4A4F"/>
    <w:rsid w:val="001D6EC5"/>
    <w:rsid w:val="001D7DD3"/>
    <w:rsid w:val="001E1250"/>
    <w:rsid w:val="001E3888"/>
    <w:rsid w:val="001E39C7"/>
    <w:rsid w:val="001E3D6D"/>
    <w:rsid w:val="001E4908"/>
    <w:rsid w:val="001E7B65"/>
    <w:rsid w:val="001E7BA5"/>
    <w:rsid w:val="001F030D"/>
    <w:rsid w:val="001F3776"/>
    <w:rsid w:val="001F4457"/>
    <w:rsid w:val="001F69EA"/>
    <w:rsid w:val="001F7916"/>
    <w:rsid w:val="00201717"/>
    <w:rsid w:val="00203F9F"/>
    <w:rsid w:val="00204C1B"/>
    <w:rsid w:val="00207638"/>
    <w:rsid w:val="002101E3"/>
    <w:rsid w:val="00210CBB"/>
    <w:rsid w:val="00211605"/>
    <w:rsid w:val="0021482C"/>
    <w:rsid w:val="002174C4"/>
    <w:rsid w:val="002174F4"/>
    <w:rsid w:val="002209B0"/>
    <w:rsid w:val="00221755"/>
    <w:rsid w:val="00222214"/>
    <w:rsid w:val="002222E9"/>
    <w:rsid w:val="0022401E"/>
    <w:rsid w:val="0022498C"/>
    <w:rsid w:val="00225DC2"/>
    <w:rsid w:val="00225E0D"/>
    <w:rsid w:val="0022736F"/>
    <w:rsid w:val="00230236"/>
    <w:rsid w:val="00230288"/>
    <w:rsid w:val="002303DD"/>
    <w:rsid w:val="0023235B"/>
    <w:rsid w:val="002337E3"/>
    <w:rsid w:val="0024001F"/>
    <w:rsid w:val="002400D2"/>
    <w:rsid w:val="0024460A"/>
    <w:rsid w:val="00244B30"/>
    <w:rsid w:val="00246556"/>
    <w:rsid w:val="00256430"/>
    <w:rsid w:val="00256965"/>
    <w:rsid w:val="0026064D"/>
    <w:rsid w:val="002614D0"/>
    <w:rsid w:val="00262E27"/>
    <w:rsid w:val="00262F8E"/>
    <w:rsid w:val="0027023D"/>
    <w:rsid w:val="0027062F"/>
    <w:rsid w:val="00274132"/>
    <w:rsid w:val="00275A98"/>
    <w:rsid w:val="00282268"/>
    <w:rsid w:val="00282652"/>
    <w:rsid w:val="00285982"/>
    <w:rsid w:val="002868D6"/>
    <w:rsid w:val="00286E01"/>
    <w:rsid w:val="00292041"/>
    <w:rsid w:val="002B5024"/>
    <w:rsid w:val="002B5CBD"/>
    <w:rsid w:val="002B78B9"/>
    <w:rsid w:val="002C2398"/>
    <w:rsid w:val="002C47AC"/>
    <w:rsid w:val="002D066F"/>
    <w:rsid w:val="002D0CB7"/>
    <w:rsid w:val="002D369E"/>
    <w:rsid w:val="002D4C8B"/>
    <w:rsid w:val="002D4D67"/>
    <w:rsid w:val="002D567A"/>
    <w:rsid w:val="002D763B"/>
    <w:rsid w:val="002E01A1"/>
    <w:rsid w:val="002E01CE"/>
    <w:rsid w:val="002E3409"/>
    <w:rsid w:val="002E4184"/>
    <w:rsid w:val="002E6554"/>
    <w:rsid w:val="002F0A83"/>
    <w:rsid w:val="002F53E5"/>
    <w:rsid w:val="002F56A0"/>
    <w:rsid w:val="002F6F03"/>
    <w:rsid w:val="003000BD"/>
    <w:rsid w:val="003016A2"/>
    <w:rsid w:val="00304DB3"/>
    <w:rsid w:val="003113F7"/>
    <w:rsid w:val="00313883"/>
    <w:rsid w:val="0031711A"/>
    <w:rsid w:val="00323E15"/>
    <w:rsid w:val="00324558"/>
    <w:rsid w:val="003246A5"/>
    <w:rsid w:val="0032542E"/>
    <w:rsid w:val="0032564C"/>
    <w:rsid w:val="00326139"/>
    <w:rsid w:val="003261C7"/>
    <w:rsid w:val="0032622C"/>
    <w:rsid w:val="00332942"/>
    <w:rsid w:val="00332C25"/>
    <w:rsid w:val="00341F47"/>
    <w:rsid w:val="00342AF8"/>
    <w:rsid w:val="00343AB4"/>
    <w:rsid w:val="00344579"/>
    <w:rsid w:val="00346D6F"/>
    <w:rsid w:val="00354C02"/>
    <w:rsid w:val="00362DF6"/>
    <w:rsid w:val="00366008"/>
    <w:rsid w:val="003700B6"/>
    <w:rsid w:val="00374FC1"/>
    <w:rsid w:val="003775A1"/>
    <w:rsid w:val="00383EDC"/>
    <w:rsid w:val="00384CEC"/>
    <w:rsid w:val="003863AD"/>
    <w:rsid w:val="00386E6C"/>
    <w:rsid w:val="00392859"/>
    <w:rsid w:val="00393710"/>
    <w:rsid w:val="00397AE2"/>
    <w:rsid w:val="003A0CD4"/>
    <w:rsid w:val="003A44E9"/>
    <w:rsid w:val="003A6887"/>
    <w:rsid w:val="003A7F9A"/>
    <w:rsid w:val="003B3342"/>
    <w:rsid w:val="003B34A2"/>
    <w:rsid w:val="003B5EF6"/>
    <w:rsid w:val="003B6141"/>
    <w:rsid w:val="003B657B"/>
    <w:rsid w:val="003B7B06"/>
    <w:rsid w:val="003C0051"/>
    <w:rsid w:val="003C04D6"/>
    <w:rsid w:val="003C0AA7"/>
    <w:rsid w:val="003C470F"/>
    <w:rsid w:val="003D1631"/>
    <w:rsid w:val="003D42AD"/>
    <w:rsid w:val="003D48E9"/>
    <w:rsid w:val="003D4DE5"/>
    <w:rsid w:val="003E68AE"/>
    <w:rsid w:val="003F219A"/>
    <w:rsid w:val="003F3C82"/>
    <w:rsid w:val="003F43DF"/>
    <w:rsid w:val="003F4910"/>
    <w:rsid w:val="003F57EF"/>
    <w:rsid w:val="003F6D2D"/>
    <w:rsid w:val="003F6D4B"/>
    <w:rsid w:val="00401C86"/>
    <w:rsid w:val="0041318D"/>
    <w:rsid w:val="00413F66"/>
    <w:rsid w:val="00420B05"/>
    <w:rsid w:val="004214AA"/>
    <w:rsid w:val="00430198"/>
    <w:rsid w:val="004312A2"/>
    <w:rsid w:val="00431470"/>
    <w:rsid w:val="00434D3F"/>
    <w:rsid w:val="00437519"/>
    <w:rsid w:val="004416D0"/>
    <w:rsid w:val="004464BD"/>
    <w:rsid w:val="00450B29"/>
    <w:rsid w:val="00450CA1"/>
    <w:rsid w:val="00451987"/>
    <w:rsid w:val="00451D97"/>
    <w:rsid w:val="0045391D"/>
    <w:rsid w:val="0045579E"/>
    <w:rsid w:val="004654D6"/>
    <w:rsid w:val="00465AA7"/>
    <w:rsid w:val="004753D3"/>
    <w:rsid w:val="00475AAE"/>
    <w:rsid w:val="00482A0E"/>
    <w:rsid w:val="0048307A"/>
    <w:rsid w:val="00486385"/>
    <w:rsid w:val="00494105"/>
    <w:rsid w:val="0049577F"/>
    <w:rsid w:val="004A00AF"/>
    <w:rsid w:val="004A00DF"/>
    <w:rsid w:val="004A7FF4"/>
    <w:rsid w:val="004B12FA"/>
    <w:rsid w:val="004C46A8"/>
    <w:rsid w:val="004C6947"/>
    <w:rsid w:val="004D27DD"/>
    <w:rsid w:val="004D2AAE"/>
    <w:rsid w:val="004D5512"/>
    <w:rsid w:val="004D69CB"/>
    <w:rsid w:val="004D706A"/>
    <w:rsid w:val="004D7199"/>
    <w:rsid w:val="004D71D2"/>
    <w:rsid w:val="004E3BF3"/>
    <w:rsid w:val="004E7051"/>
    <w:rsid w:val="004E7872"/>
    <w:rsid w:val="004E79A4"/>
    <w:rsid w:val="004F0BB8"/>
    <w:rsid w:val="004F7DF4"/>
    <w:rsid w:val="00500202"/>
    <w:rsid w:val="0050208B"/>
    <w:rsid w:val="00510185"/>
    <w:rsid w:val="0051671B"/>
    <w:rsid w:val="00516D4D"/>
    <w:rsid w:val="00517BEB"/>
    <w:rsid w:val="00522DB9"/>
    <w:rsid w:val="00525EB3"/>
    <w:rsid w:val="00527A67"/>
    <w:rsid w:val="005322AD"/>
    <w:rsid w:val="00533977"/>
    <w:rsid w:val="005343DB"/>
    <w:rsid w:val="0053784F"/>
    <w:rsid w:val="00537B3E"/>
    <w:rsid w:val="005446EF"/>
    <w:rsid w:val="00544ABF"/>
    <w:rsid w:val="00552AF0"/>
    <w:rsid w:val="00554220"/>
    <w:rsid w:val="00556858"/>
    <w:rsid w:val="00560B8E"/>
    <w:rsid w:val="00560C48"/>
    <w:rsid w:val="005618A3"/>
    <w:rsid w:val="005663CC"/>
    <w:rsid w:val="0057322A"/>
    <w:rsid w:val="005737D7"/>
    <w:rsid w:val="0057456A"/>
    <w:rsid w:val="00575793"/>
    <w:rsid w:val="00575C67"/>
    <w:rsid w:val="005808D7"/>
    <w:rsid w:val="00583611"/>
    <w:rsid w:val="00584544"/>
    <w:rsid w:val="00585A34"/>
    <w:rsid w:val="005925A3"/>
    <w:rsid w:val="00595664"/>
    <w:rsid w:val="005958E2"/>
    <w:rsid w:val="005A02F0"/>
    <w:rsid w:val="005A168C"/>
    <w:rsid w:val="005A2D15"/>
    <w:rsid w:val="005B175A"/>
    <w:rsid w:val="005B2914"/>
    <w:rsid w:val="005B3420"/>
    <w:rsid w:val="005B743D"/>
    <w:rsid w:val="005C31A8"/>
    <w:rsid w:val="005C457E"/>
    <w:rsid w:val="005C50BB"/>
    <w:rsid w:val="005D115D"/>
    <w:rsid w:val="005D2725"/>
    <w:rsid w:val="005D3814"/>
    <w:rsid w:val="005D4EE4"/>
    <w:rsid w:val="005E2D5A"/>
    <w:rsid w:val="005E5882"/>
    <w:rsid w:val="005E59D6"/>
    <w:rsid w:val="005E6BAF"/>
    <w:rsid w:val="005F0353"/>
    <w:rsid w:val="005F092B"/>
    <w:rsid w:val="005F2AD9"/>
    <w:rsid w:val="005F3391"/>
    <w:rsid w:val="005F4905"/>
    <w:rsid w:val="006002CC"/>
    <w:rsid w:val="00600EE4"/>
    <w:rsid w:val="00601C4D"/>
    <w:rsid w:val="00607FD1"/>
    <w:rsid w:val="00610F33"/>
    <w:rsid w:val="00610FB6"/>
    <w:rsid w:val="00614F59"/>
    <w:rsid w:val="006231D5"/>
    <w:rsid w:val="00624BF8"/>
    <w:rsid w:val="0063137F"/>
    <w:rsid w:val="00632231"/>
    <w:rsid w:val="0063315F"/>
    <w:rsid w:val="006379CE"/>
    <w:rsid w:val="006410EE"/>
    <w:rsid w:val="00641429"/>
    <w:rsid w:val="00642CA9"/>
    <w:rsid w:val="006533E4"/>
    <w:rsid w:val="00654873"/>
    <w:rsid w:val="006612D0"/>
    <w:rsid w:val="00661E77"/>
    <w:rsid w:val="006625DB"/>
    <w:rsid w:val="00662AA8"/>
    <w:rsid w:val="00665B82"/>
    <w:rsid w:val="0066738B"/>
    <w:rsid w:val="00667565"/>
    <w:rsid w:val="00671D48"/>
    <w:rsid w:val="006840B2"/>
    <w:rsid w:val="00686F2C"/>
    <w:rsid w:val="006929EB"/>
    <w:rsid w:val="006933CF"/>
    <w:rsid w:val="006940D8"/>
    <w:rsid w:val="00694F61"/>
    <w:rsid w:val="00696D32"/>
    <w:rsid w:val="00697201"/>
    <w:rsid w:val="006A4604"/>
    <w:rsid w:val="006A6741"/>
    <w:rsid w:val="006A7D67"/>
    <w:rsid w:val="006B0467"/>
    <w:rsid w:val="006B191E"/>
    <w:rsid w:val="006B4A19"/>
    <w:rsid w:val="006B6421"/>
    <w:rsid w:val="006B6EB2"/>
    <w:rsid w:val="006B7053"/>
    <w:rsid w:val="006C2EF1"/>
    <w:rsid w:val="006C3134"/>
    <w:rsid w:val="006C39A9"/>
    <w:rsid w:val="006C743A"/>
    <w:rsid w:val="006C7634"/>
    <w:rsid w:val="006D495F"/>
    <w:rsid w:val="006D4D77"/>
    <w:rsid w:val="006E234B"/>
    <w:rsid w:val="006E539D"/>
    <w:rsid w:val="006F2A42"/>
    <w:rsid w:val="006F354E"/>
    <w:rsid w:val="006F38B9"/>
    <w:rsid w:val="006F49F5"/>
    <w:rsid w:val="006F6D1B"/>
    <w:rsid w:val="0070257E"/>
    <w:rsid w:val="007041FE"/>
    <w:rsid w:val="0070516F"/>
    <w:rsid w:val="007069E9"/>
    <w:rsid w:val="0071195F"/>
    <w:rsid w:val="0071616F"/>
    <w:rsid w:val="00716A60"/>
    <w:rsid w:val="00716AAA"/>
    <w:rsid w:val="007174C6"/>
    <w:rsid w:val="00722053"/>
    <w:rsid w:val="00722122"/>
    <w:rsid w:val="0072399A"/>
    <w:rsid w:val="00732A8E"/>
    <w:rsid w:val="00736664"/>
    <w:rsid w:val="00741A00"/>
    <w:rsid w:val="00745C95"/>
    <w:rsid w:val="007472D9"/>
    <w:rsid w:val="007537E4"/>
    <w:rsid w:val="007538D1"/>
    <w:rsid w:val="00754FDA"/>
    <w:rsid w:val="00755F62"/>
    <w:rsid w:val="00757E28"/>
    <w:rsid w:val="00764116"/>
    <w:rsid w:val="00765863"/>
    <w:rsid w:val="00771819"/>
    <w:rsid w:val="007718C0"/>
    <w:rsid w:val="00774FE8"/>
    <w:rsid w:val="00776406"/>
    <w:rsid w:val="0078130C"/>
    <w:rsid w:val="0078431E"/>
    <w:rsid w:val="00785E97"/>
    <w:rsid w:val="00787463"/>
    <w:rsid w:val="0079099B"/>
    <w:rsid w:val="00791A2D"/>
    <w:rsid w:val="007A1112"/>
    <w:rsid w:val="007B445A"/>
    <w:rsid w:val="007B7A2B"/>
    <w:rsid w:val="007C062E"/>
    <w:rsid w:val="007C5103"/>
    <w:rsid w:val="007C78DD"/>
    <w:rsid w:val="007D01FA"/>
    <w:rsid w:val="007D4D88"/>
    <w:rsid w:val="007D6619"/>
    <w:rsid w:val="007D6E75"/>
    <w:rsid w:val="007E2B5C"/>
    <w:rsid w:val="007E3831"/>
    <w:rsid w:val="007E39AC"/>
    <w:rsid w:val="007E5A2E"/>
    <w:rsid w:val="007E6D31"/>
    <w:rsid w:val="007E71EA"/>
    <w:rsid w:val="007E7D06"/>
    <w:rsid w:val="007F1550"/>
    <w:rsid w:val="007F1A14"/>
    <w:rsid w:val="007F2732"/>
    <w:rsid w:val="007F5FBC"/>
    <w:rsid w:val="007F7497"/>
    <w:rsid w:val="007F753B"/>
    <w:rsid w:val="0080268D"/>
    <w:rsid w:val="00802B40"/>
    <w:rsid w:val="00803BEF"/>
    <w:rsid w:val="00813071"/>
    <w:rsid w:val="008143AE"/>
    <w:rsid w:val="00814B68"/>
    <w:rsid w:val="008155E6"/>
    <w:rsid w:val="00817099"/>
    <w:rsid w:val="00817F28"/>
    <w:rsid w:val="00821612"/>
    <w:rsid w:val="00821BE0"/>
    <w:rsid w:val="00821C65"/>
    <w:rsid w:val="00827737"/>
    <w:rsid w:val="00827D98"/>
    <w:rsid w:val="00837973"/>
    <w:rsid w:val="00842DD5"/>
    <w:rsid w:val="008452EA"/>
    <w:rsid w:val="0084603A"/>
    <w:rsid w:val="008471E1"/>
    <w:rsid w:val="00851858"/>
    <w:rsid w:val="00854668"/>
    <w:rsid w:val="008573E7"/>
    <w:rsid w:val="0085795A"/>
    <w:rsid w:val="00857F66"/>
    <w:rsid w:val="00860DB5"/>
    <w:rsid w:val="00862105"/>
    <w:rsid w:val="00864D4F"/>
    <w:rsid w:val="0087416B"/>
    <w:rsid w:val="00874AEE"/>
    <w:rsid w:val="00883F8E"/>
    <w:rsid w:val="00892BF5"/>
    <w:rsid w:val="00893ED6"/>
    <w:rsid w:val="008A0181"/>
    <w:rsid w:val="008A0E6F"/>
    <w:rsid w:val="008A56DC"/>
    <w:rsid w:val="008A66A5"/>
    <w:rsid w:val="008B31AB"/>
    <w:rsid w:val="008B41B3"/>
    <w:rsid w:val="008C2291"/>
    <w:rsid w:val="008C2FE0"/>
    <w:rsid w:val="008C47CA"/>
    <w:rsid w:val="008C61A3"/>
    <w:rsid w:val="008C7279"/>
    <w:rsid w:val="008D6025"/>
    <w:rsid w:val="008D65C3"/>
    <w:rsid w:val="008D70F6"/>
    <w:rsid w:val="008E00B7"/>
    <w:rsid w:val="008E1E0C"/>
    <w:rsid w:val="008E3FD1"/>
    <w:rsid w:val="008F22B4"/>
    <w:rsid w:val="008F2BD1"/>
    <w:rsid w:val="008F6098"/>
    <w:rsid w:val="008F6F30"/>
    <w:rsid w:val="00905801"/>
    <w:rsid w:val="009208C3"/>
    <w:rsid w:val="00924DA6"/>
    <w:rsid w:val="00926D4B"/>
    <w:rsid w:val="00933158"/>
    <w:rsid w:val="00933981"/>
    <w:rsid w:val="009345F5"/>
    <w:rsid w:val="00936A6B"/>
    <w:rsid w:val="00937301"/>
    <w:rsid w:val="0094101B"/>
    <w:rsid w:val="00943199"/>
    <w:rsid w:val="00943470"/>
    <w:rsid w:val="009436B1"/>
    <w:rsid w:val="00943EF3"/>
    <w:rsid w:val="00950EC7"/>
    <w:rsid w:val="009534CB"/>
    <w:rsid w:val="009549AE"/>
    <w:rsid w:val="00954D4B"/>
    <w:rsid w:val="0095590C"/>
    <w:rsid w:val="00955F2A"/>
    <w:rsid w:val="0095726A"/>
    <w:rsid w:val="0096664A"/>
    <w:rsid w:val="00970893"/>
    <w:rsid w:val="009726FE"/>
    <w:rsid w:val="00976189"/>
    <w:rsid w:val="00977C67"/>
    <w:rsid w:val="009841EB"/>
    <w:rsid w:val="009866F6"/>
    <w:rsid w:val="009908E2"/>
    <w:rsid w:val="00991BC7"/>
    <w:rsid w:val="00993ED1"/>
    <w:rsid w:val="009A2D58"/>
    <w:rsid w:val="009A30AE"/>
    <w:rsid w:val="009A34EF"/>
    <w:rsid w:val="009A616E"/>
    <w:rsid w:val="009A6E24"/>
    <w:rsid w:val="009A74DC"/>
    <w:rsid w:val="009A7756"/>
    <w:rsid w:val="009B2004"/>
    <w:rsid w:val="009B4F9F"/>
    <w:rsid w:val="009B5FF8"/>
    <w:rsid w:val="009B72E1"/>
    <w:rsid w:val="009C2810"/>
    <w:rsid w:val="009C46F9"/>
    <w:rsid w:val="009C64C8"/>
    <w:rsid w:val="009C745F"/>
    <w:rsid w:val="009D0BD7"/>
    <w:rsid w:val="009D6CD1"/>
    <w:rsid w:val="009D7306"/>
    <w:rsid w:val="009D74B6"/>
    <w:rsid w:val="009E1E7C"/>
    <w:rsid w:val="009E2CFE"/>
    <w:rsid w:val="009E3A5E"/>
    <w:rsid w:val="009E5993"/>
    <w:rsid w:val="009E66E4"/>
    <w:rsid w:val="009F1598"/>
    <w:rsid w:val="009F41FB"/>
    <w:rsid w:val="00A0019B"/>
    <w:rsid w:val="00A01133"/>
    <w:rsid w:val="00A01188"/>
    <w:rsid w:val="00A0207C"/>
    <w:rsid w:val="00A02E87"/>
    <w:rsid w:val="00A051FE"/>
    <w:rsid w:val="00A0707C"/>
    <w:rsid w:val="00A07420"/>
    <w:rsid w:val="00A12450"/>
    <w:rsid w:val="00A14609"/>
    <w:rsid w:val="00A20D63"/>
    <w:rsid w:val="00A22AE5"/>
    <w:rsid w:val="00A22C29"/>
    <w:rsid w:val="00A2317A"/>
    <w:rsid w:val="00A23191"/>
    <w:rsid w:val="00A25290"/>
    <w:rsid w:val="00A2545F"/>
    <w:rsid w:val="00A25E93"/>
    <w:rsid w:val="00A319D9"/>
    <w:rsid w:val="00A322A2"/>
    <w:rsid w:val="00A35A9C"/>
    <w:rsid w:val="00A36915"/>
    <w:rsid w:val="00A37752"/>
    <w:rsid w:val="00A45E8B"/>
    <w:rsid w:val="00A54084"/>
    <w:rsid w:val="00A6011C"/>
    <w:rsid w:val="00A647BD"/>
    <w:rsid w:val="00A668A1"/>
    <w:rsid w:val="00A67F90"/>
    <w:rsid w:val="00A7159E"/>
    <w:rsid w:val="00A76A69"/>
    <w:rsid w:val="00A8081A"/>
    <w:rsid w:val="00A82598"/>
    <w:rsid w:val="00A84C15"/>
    <w:rsid w:val="00A86413"/>
    <w:rsid w:val="00A95C43"/>
    <w:rsid w:val="00AA022C"/>
    <w:rsid w:val="00AA1EDB"/>
    <w:rsid w:val="00AB07B5"/>
    <w:rsid w:val="00AB3FFC"/>
    <w:rsid w:val="00AD1B6D"/>
    <w:rsid w:val="00AD36B4"/>
    <w:rsid w:val="00AD71E1"/>
    <w:rsid w:val="00AE0213"/>
    <w:rsid w:val="00AE3A21"/>
    <w:rsid w:val="00AE4ECE"/>
    <w:rsid w:val="00AE5609"/>
    <w:rsid w:val="00AE65F3"/>
    <w:rsid w:val="00AE6B03"/>
    <w:rsid w:val="00AF1442"/>
    <w:rsid w:val="00AF1EFB"/>
    <w:rsid w:val="00B07A53"/>
    <w:rsid w:val="00B10412"/>
    <w:rsid w:val="00B14371"/>
    <w:rsid w:val="00B15F03"/>
    <w:rsid w:val="00B170C9"/>
    <w:rsid w:val="00B21A62"/>
    <w:rsid w:val="00B26654"/>
    <w:rsid w:val="00B301AE"/>
    <w:rsid w:val="00B30385"/>
    <w:rsid w:val="00B33252"/>
    <w:rsid w:val="00B34D18"/>
    <w:rsid w:val="00B4010C"/>
    <w:rsid w:val="00B409F3"/>
    <w:rsid w:val="00B410DD"/>
    <w:rsid w:val="00B43954"/>
    <w:rsid w:val="00B46582"/>
    <w:rsid w:val="00B50398"/>
    <w:rsid w:val="00B505DD"/>
    <w:rsid w:val="00B5063B"/>
    <w:rsid w:val="00B51189"/>
    <w:rsid w:val="00B51E0F"/>
    <w:rsid w:val="00B56044"/>
    <w:rsid w:val="00B568B0"/>
    <w:rsid w:val="00B66420"/>
    <w:rsid w:val="00B671E6"/>
    <w:rsid w:val="00B80432"/>
    <w:rsid w:val="00B823BB"/>
    <w:rsid w:val="00B841EE"/>
    <w:rsid w:val="00B842BA"/>
    <w:rsid w:val="00B904E5"/>
    <w:rsid w:val="00B91786"/>
    <w:rsid w:val="00B943EA"/>
    <w:rsid w:val="00B955C2"/>
    <w:rsid w:val="00B96FAC"/>
    <w:rsid w:val="00BA7AB0"/>
    <w:rsid w:val="00BB3F57"/>
    <w:rsid w:val="00BB4F5E"/>
    <w:rsid w:val="00BB7994"/>
    <w:rsid w:val="00BC19E9"/>
    <w:rsid w:val="00BC1B29"/>
    <w:rsid w:val="00BC28C6"/>
    <w:rsid w:val="00BC46D6"/>
    <w:rsid w:val="00BC6165"/>
    <w:rsid w:val="00BC72C5"/>
    <w:rsid w:val="00BD37B6"/>
    <w:rsid w:val="00BE399F"/>
    <w:rsid w:val="00BE7B56"/>
    <w:rsid w:val="00C0335C"/>
    <w:rsid w:val="00C04948"/>
    <w:rsid w:val="00C05773"/>
    <w:rsid w:val="00C0638C"/>
    <w:rsid w:val="00C06644"/>
    <w:rsid w:val="00C106DF"/>
    <w:rsid w:val="00C126A9"/>
    <w:rsid w:val="00C13B31"/>
    <w:rsid w:val="00C1635B"/>
    <w:rsid w:val="00C17032"/>
    <w:rsid w:val="00C20F5C"/>
    <w:rsid w:val="00C2567C"/>
    <w:rsid w:val="00C3512D"/>
    <w:rsid w:val="00C36307"/>
    <w:rsid w:val="00C4618D"/>
    <w:rsid w:val="00C47403"/>
    <w:rsid w:val="00C50D31"/>
    <w:rsid w:val="00C50F85"/>
    <w:rsid w:val="00C5476F"/>
    <w:rsid w:val="00C550AD"/>
    <w:rsid w:val="00C666FE"/>
    <w:rsid w:val="00C74748"/>
    <w:rsid w:val="00C75923"/>
    <w:rsid w:val="00C76E03"/>
    <w:rsid w:val="00C87661"/>
    <w:rsid w:val="00C94F32"/>
    <w:rsid w:val="00C950A8"/>
    <w:rsid w:val="00CA2E09"/>
    <w:rsid w:val="00CA6E74"/>
    <w:rsid w:val="00CB0B45"/>
    <w:rsid w:val="00CB3B0B"/>
    <w:rsid w:val="00CB624C"/>
    <w:rsid w:val="00CB6FBC"/>
    <w:rsid w:val="00CC6D6F"/>
    <w:rsid w:val="00CD6685"/>
    <w:rsid w:val="00CD7411"/>
    <w:rsid w:val="00CD7F3F"/>
    <w:rsid w:val="00CE1A85"/>
    <w:rsid w:val="00CE329B"/>
    <w:rsid w:val="00CE515C"/>
    <w:rsid w:val="00CE6F81"/>
    <w:rsid w:val="00D036AE"/>
    <w:rsid w:val="00D13B59"/>
    <w:rsid w:val="00D140AD"/>
    <w:rsid w:val="00D2125F"/>
    <w:rsid w:val="00D21C46"/>
    <w:rsid w:val="00D23372"/>
    <w:rsid w:val="00D26DDE"/>
    <w:rsid w:val="00D27987"/>
    <w:rsid w:val="00D30FE5"/>
    <w:rsid w:val="00D3180E"/>
    <w:rsid w:val="00D35103"/>
    <w:rsid w:val="00D368B9"/>
    <w:rsid w:val="00D378C8"/>
    <w:rsid w:val="00D50290"/>
    <w:rsid w:val="00D50707"/>
    <w:rsid w:val="00D53FE3"/>
    <w:rsid w:val="00D545DD"/>
    <w:rsid w:val="00D54BEE"/>
    <w:rsid w:val="00D56C1C"/>
    <w:rsid w:val="00D60006"/>
    <w:rsid w:val="00D629AD"/>
    <w:rsid w:val="00D63436"/>
    <w:rsid w:val="00D64F7A"/>
    <w:rsid w:val="00D655E7"/>
    <w:rsid w:val="00D65BC8"/>
    <w:rsid w:val="00D6694A"/>
    <w:rsid w:val="00D713EB"/>
    <w:rsid w:val="00D72E4A"/>
    <w:rsid w:val="00D732B0"/>
    <w:rsid w:val="00D754FD"/>
    <w:rsid w:val="00D8346C"/>
    <w:rsid w:val="00D83AA3"/>
    <w:rsid w:val="00D846A8"/>
    <w:rsid w:val="00D860CE"/>
    <w:rsid w:val="00D8799A"/>
    <w:rsid w:val="00D92C74"/>
    <w:rsid w:val="00D930A0"/>
    <w:rsid w:val="00D9378F"/>
    <w:rsid w:val="00DA049E"/>
    <w:rsid w:val="00DA1F92"/>
    <w:rsid w:val="00DA4664"/>
    <w:rsid w:val="00DA7207"/>
    <w:rsid w:val="00DB022F"/>
    <w:rsid w:val="00DB0DA1"/>
    <w:rsid w:val="00DB34D7"/>
    <w:rsid w:val="00DB7147"/>
    <w:rsid w:val="00DC09C5"/>
    <w:rsid w:val="00DC0E5A"/>
    <w:rsid w:val="00DC2833"/>
    <w:rsid w:val="00DC2B0D"/>
    <w:rsid w:val="00DC2D12"/>
    <w:rsid w:val="00DC2DA8"/>
    <w:rsid w:val="00DD49AE"/>
    <w:rsid w:val="00DE09B0"/>
    <w:rsid w:val="00DE1DC0"/>
    <w:rsid w:val="00DE7915"/>
    <w:rsid w:val="00DF2235"/>
    <w:rsid w:val="00E00C58"/>
    <w:rsid w:val="00E04070"/>
    <w:rsid w:val="00E06BF5"/>
    <w:rsid w:val="00E1685B"/>
    <w:rsid w:val="00E203D1"/>
    <w:rsid w:val="00E30B19"/>
    <w:rsid w:val="00E31794"/>
    <w:rsid w:val="00E367CA"/>
    <w:rsid w:val="00E50CDB"/>
    <w:rsid w:val="00E50CE5"/>
    <w:rsid w:val="00E607E0"/>
    <w:rsid w:val="00E63A1C"/>
    <w:rsid w:val="00E64F7A"/>
    <w:rsid w:val="00E67688"/>
    <w:rsid w:val="00E70834"/>
    <w:rsid w:val="00E776C9"/>
    <w:rsid w:val="00E8096E"/>
    <w:rsid w:val="00E8349C"/>
    <w:rsid w:val="00E84674"/>
    <w:rsid w:val="00E9226A"/>
    <w:rsid w:val="00E92D63"/>
    <w:rsid w:val="00E937F8"/>
    <w:rsid w:val="00EA057A"/>
    <w:rsid w:val="00EA1362"/>
    <w:rsid w:val="00EB1DE3"/>
    <w:rsid w:val="00EB5F2F"/>
    <w:rsid w:val="00EB6BAE"/>
    <w:rsid w:val="00EC45EF"/>
    <w:rsid w:val="00EC5E6C"/>
    <w:rsid w:val="00EC6EA4"/>
    <w:rsid w:val="00EC7AB9"/>
    <w:rsid w:val="00ED59EF"/>
    <w:rsid w:val="00ED5B62"/>
    <w:rsid w:val="00EE5C78"/>
    <w:rsid w:val="00EF3A46"/>
    <w:rsid w:val="00F05573"/>
    <w:rsid w:val="00F06877"/>
    <w:rsid w:val="00F06E18"/>
    <w:rsid w:val="00F119A1"/>
    <w:rsid w:val="00F176CD"/>
    <w:rsid w:val="00F201DC"/>
    <w:rsid w:val="00F25797"/>
    <w:rsid w:val="00F30EA8"/>
    <w:rsid w:val="00F31DA0"/>
    <w:rsid w:val="00F31EF5"/>
    <w:rsid w:val="00F33153"/>
    <w:rsid w:val="00F33A82"/>
    <w:rsid w:val="00F35824"/>
    <w:rsid w:val="00F362DF"/>
    <w:rsid w:val="00F36A6F"/>
    <w:rsid w:val="00F4012B"/>
    <w:rsid w:val="00F403CD"/>
    <w:rsid w:val="00F40586"/>
    <w:rsid w:val="00F4738E"/>
    <w:rsid w:val="00F515C6"/>
    <w:rsid w:val="00F61C55"/>
    <w:rsid w:val="00F63B4E"/>
    <w:rsid w:val="00F63F12"/>
    <w:rsid w:val="00F64D93"/>
    <w:rsid w:val="00F65525"/>
    <w:rsid w:val="00F7084E"/>
    <w:rsid w:val="00F70CAD"/>
    <w:rsid w:val="00F722A4"/>
    <w:rsid w:val="00F75469"/>
    <w:rsid w:val="00F77B58"/>
    <w:rsid w:val="00F814AB"/>
    <w:rsid w:val="00F81F4F"/>
    <w:rsid w:val="00F84433"/>
    <w:rsid w:val="00F8547E"/>
    <w:rsid w:val="00F87188"/>
    <w:rsid w:val="00F871E0"/>
    <w:rsid w:val="00F8759F"/>
    <w:rsid w:val="00F90215"/>
    <w:rsid w:val="00F96D63"/>
    <w:rsid w:val="00F97017"/>
    <w:rsid w:val="00F97411"/>
    <w:rsid w:val="00FA1ACE"/>
    <w:rsid w:val="00FA2653"/>
    <w:rsid w:val="00FA27FA"/>
    <w:rsid w:val="00FA38E4"/>
    <w:rsid w:val="00FA390C"/>
    <w:rsid w:val="00FA6024"/>
    <w:rsid w:val="00FA6292"/>
    <w:rsid w:val="00FA7055"/>
    <w:rsid w:val="00FB03CC"/>
    <w:rsid w:val="00FB0CEE"/>
    <w:rsid w:val="00FB1487"/>
    <w:rsid w:val="00FB37DC"/>
    <w:rsid w:val="00FB4636"/>
    <w:rsid w:val="00FB5906"/>
    <w:rsid w:val="00FC3B25"/>
    <w:rsid w:val="00FC4ABA"/>
    <w:rsid w:val="00FC5240"/>
    <w:rsid w:val="00FC67A4"/>
    <w:rsid w:val="00FD34F8"/>
    <w:rsid w:val="00FD682D"/>
    <w:rsid w:val="00FE1909"/>
    <w:rsid w:val="00FE2E93"/>
    <w:rsid w:val="00FE6756"/>
    <w:rsid w:val="00FF7349"/>
    <w:rsid w:val="00FF7DF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117B38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86E01"/>
    <w:pPr>
      <w:jc w:val="both"/>
    </w:pPr>
    <w:rPr>
      <w:rFonts w:eastAsia="Times New Roman" w:cs="Times New Roman"/>
      <w:sz w:val="22"/>
      <w:lang w:val="en-GB" w:eastAsia="en-GB"/>
    </w:rPr>
  </w:style>
  <w:style w:type="paragraph" w:styleId="Heading1">
    <w:name w:val="heading 1"/>
    <w:basedOn w:val="Normal"/>
    <w:next w:val="Normal"/>
    <w:link w:val="Heading1Char"/>
    <w:uiPriority w:val="9"/>
    <w:qFormat/>
    <w:rsid w:val="0082161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403C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A168C"/>
    <w:pPr>
      <w:keepNext/>
      <w:keepLines/>
      <w:spacing w:before="40"/>
      <w:outlineLvl w:val="2"/>
    </w:pPr>
    <w:rPr>
      <w:rFonts w:asciiTheme="majorHAnsi" w:eastAsiaTheme="majorEastAsia" w:hAnsiTheme="majorHAnsi" w:cstheme="majorBidi"/>
      <w:color w:val="1F3763" w:themeColor="accent1" w:themeShade="7F"/>
      <w:sz w:val="24"/>
    </w:rPr>
  </w:style>
  <w:style w:type="paragraph" w:styleId="Heading4">
    <w:name w:val="heading 4"/>
    <w:basedOn w:val="Normal"/>
    <w:next w:val="Normal"/>
    <w:link w:val="Heading4Char"/>
    <w:uiPriority w:val="9"/>
    <w:unhideWhenUsed/>
    <w:qFormat/>
    <w:rsid w:val="005A168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2161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1612"/>
    <w:rPr>
      <w:rFonts w:asciiTheme="majorHAnsi" w:eastAsiaTheme="majorEastAsia" w:hAnsiTheme="majorHAnsi" w:cstheme="majorBidi"/>
      <w:spacing w:val="-10"/>
      <w:kern w:val="28"/>
      <w:sz w:val="56"/>
      <w:szCs w:val="56"/>
    </w:rPr>
  </w:style>
  <w:style w:type="paragraph" w:styleId="ListParagraph">
    <w:name w:val="List Paragraph"/>
    <w:aliases w:val="Абзац списка для документа,Numbered Para 1,Dot pt,No Spacing1,List Paragraph Char Char Char,Indicator Text,List Paragraph1,Bullet 1,Bullet Points,MAIN CONTENT,IFCL - List Paragraph,Bullet list,Resume Title,heading 4,Citation List,Bullets"/>
    <w:basedOn w:val="Normal"/>
    <w:link w:val="ListParagraphChar"/>
    <w:uiPriority w:val="34"/>
    <w:qFormat/>
    <w:rsid w:val="00821612"/>
    <w:pPr>
      <w:ind w:left="720"/>
      <w:contextualSpacing/>
    </w:pPr>
  </w:style>
  <w:style w:type="character" w:customStyle="1" w:styleId="Heading1Char">
    <w:name w:val="Heading 1 Char"/>
    <w:basedOn w:val="DefaultParagraphFont"/>
    <w:link w:val="Heading1"/>
    <w:uiPriority w:val="9"/>
    <w:rsid w:val="00821612"/>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8216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37752"/>
    <w:pPr>
      <w:tabs>
        <w:tab w:val="center" w:pos="4513"/>
        <w:tab w:val="right" w:pos="9026"/>
      </w:tabs>
    </w:pPr>
  </w:style>
  <w:style w:type="character" w:customStyle="1" w:styleId="HeaderChar">
    <w:name w:val="Header Char"/>
    <w:basedOn w:val="DefaultParagraphFont"/>
    <w:link w:val="Header"/>
    <w:uiPriority w:val="99"/>
    <w:rsid w:val="00A37752"/>
    <w:rPr>
      <w:sz w:val="20"/>
    </w:rPr>
  </w:style>
  <w:style w:type="paragraph" w:styleId="Footer">
    <w:name w:val="footer"/>
    <w:basedOn w:val="Normal"/>
    <w:link w:val="FooterChar"/>
    <w:uiPriority w:val="99"/>
    <w:unhideWhenUsed/>
    <w:rsid w:val="00A37752"/>
    <w:pPr>
      <w:tabs>
        <w:tab w:val="center" w:pos="4513"/>
        <w:tab w:val="right" w:pos="9026"/>
      </w:tabs>
    </w:pPr>
  </w:style>
  <w:style w:type="character" w:customStyle="1" w:styleId="FooterChar">
    <w:name w:val="Footer Char"/>
    <w:basedOn w:val="DefaultParagraphFont"/>
    <w:link w:val="Footer"/>
    <w:uiPriority w:val="99"/>
    <w:rsid w:val="00A37752"/>
    <w:rPr>
      <w:sz w:val="20"/>
    </w:rPr>
  </w:style>
  <w:style w:type="paragraph" w:styleId="FootnoteText">
    <w:name w:val="footnote text"/>
    <w:aliases w:val="Footnote Text Char Char Char Char Char Char,Footnote Text Char Char Char Char1,Footnote Text Char Char Char Char Char1,Footnote Text Char Char Char Char Char,Footnote Text Char Char Char,Footnote Text Char Char Char Cha,DNV-FT,single space"/>
    <w:basedOn w:val="Normal"/>
    <w:link w:val="FootnoteTextChar"/>
    <w:uiPriority w:val="99"/>
    <w:unhideWhenUsed/>
    <w:qFormat/>
    <w:rsid w:val="00CE1A85"/>
    <w:rPr>
      <w:sz w:val="24"/>
    </w:rPr>
  </w:style>
  <w:style w:type="character" w:customStyle="1" w:styleId="FootnoteTextChar">
    <w:name w:val="Footnote Text Char"/>
    <w:aliases w:val="Footnote Text Char Char Char Char Char Char Char,Footnote Text Char Char Char Char1 Char,Footnote Text Char Char Char Char Char1 Char,Footnote Text Char Char Char Char Char Char1,Footnote Text Char Char Char Char,DNV-FT Char"/>
    <w:basedOn w:val="DefaultParagraphFont"/>
    <w:link w:val="FootnoteText"/>
    <w:uiPriority w:val="99"/>
    <w:rsid w:val="00CE1A85"/>
  </w:style>
  <w:style w:type="character" w:styleId="FootnoteReference">
    <w:name w:val="footnote reference"/>
    <w:aliases w:val="ftref,16 Point,Superscript 6 Point,Superscript 6 Point + 11 pt,referencia nota al pie,Fußnotenzeichen DISS,Footnote Reference1,Ref,de nota al pie,Footnote Reference Number,Footnote Reference_LVL6,Footnote Reference_LVL61,E FNZ"/>
    <w:basedOn w:val="DefaultParagraphFont"/>
    <w:uiPriority w:val="99"/>
    <w:unhideWhenUsed/>
    <w:qFormat/>
    <w:rsid w:val="00CE1A85"/>
    <w:rPr>
      <w:vertAlign w:val="superscript"/>
    </w:rPr>
  </w:style>
  <w:style w:type="character" w:customStyle="1" w:styleId="Heading2Char">
    <w:name w:val="Heading 2 Char"/>
    <w:basedOn w:val="DefaultParagraphFont"/>
    <w:link w:val="Heading2"/>
    <w:uiPriority w:val="9"/>
    <w:rsid w:val="00F403CD"/>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D732B0"/>
    <w:rPr>
      <w:sz w:val="18"/>
      <w:szCs w:val="18"/>
    </w:rPr>
  </w:style>
  <w:style w:type="paragraph" w:styleId="CommentText">
    <w:name w:val="annotation text"/>
    <w:basedOn w:val="Normal"/>
    <w:link w:val="CommentTextChar"/>
    <w:uiPriority w:val="99"/>
    <w:unhideWhenUsed/>
    <w:rsid w:val="00D732B0"/>
    <w:rPr>
      <w:sz w:val="24"/>
    </w:rPr>
  </w:style>
  <w:style w:type="character" w:customStyle="1" w:styleId="CommentTextChar">
    <w:name w:val="Comment Text Char"/>
    <w:basedOn w:val="DefaultParagraphFont"/>
    <w:link w:val="CommentText"/>
    <w:uiPriority w:val="99"/>
    <w:rsid w:val="00D732B0"/>
  </w:style>
  <w:style w:type="paragraph" w:styleId="CommentSubject">
    <w:name w:val="annotation subject"/>
    <w:basedOn w:val="CommentText"/>
    <w:next w:val="CommentText"/>
    <w:link w:val="CommentSubjectChar"/>
    <w:uiPriority w:val="99"/>
    <w:semiHidden/>
    <w:unhideWhenUsed/>
    <w:rsid w:val="00D732B0"/>
    <w:rPr>
      <w:b/>
      <w:bCs/>
      <w:sz w:val="20"/>
      <w:szCs w:val="20"/>
    </w:rPr>
  </w:style>
  <w:style w:type="character" w:customStyle="1" w:styleId="CommentSubjectChar">
    <w:name w:val="Comment Subject Char"/>
    <w:basedOn w:val="CommentTextChar"/>
    <w:link w:val="CommentSubject"/>
    <w:uiPriority w:val="99"/>
    <w:semiHidden/>
    <w:rsid w:val="00D732B0"/>
    <w:rPr>
      <w:b/>
      <w:bCs/>
      <w:sz w:val="20"/>
      <w:szCs w:val="20"/>
    </w:rPr>
  </w:style>
  <w:style w:type="paragraph" w:styleId="BalloonText">
    <w:name w:val="Balloon Text"/>
    <w:basedOn w:val="Normal"/>
    <w:link w:val="BalloonTextChar"/>
    <w:uiPriority w:val="99"/>
    <w:semiHidden/>
    <w:unhideWhenUsed/>
    <w:rsid w:val="00D732B0"/>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D732B0"/>
    <w:rPr>
      <w:rFonts w:ascii="Times New Roman" w:hAnsi="Times New Roman" w:cs="Times New Roman"/>
      <w:sz w:val="18"/>
      <w:szCs w:val="18"/>
    </w:rPr>
  </w:style>
  <w:style w:type="character" w:styleId="PageNumber">
    <w:name w:val="page number"/>
    <w:basedOn w:val="DefaultParagraphFont"/>
    <w:uiPriority w:val="99"/>
    <w:semiHidden/>
    <w:unhideWhenUsed/>
    <w:rsid w:val="0084603A"/>
  </w:style>
  <w:style w:type="paragraph" w:styleId="TOCHeading">
    <w:name w:val="TOC Heading"/>
    <w:basedOn w:val="Heading1"/>
    <w:next w:val="Normal"/>
    <w:uiPriority w:val="39"/>
    <w:unhideWhenUsed/>
    <w:qFormat/>
    <w:rsid w:val="0084603A"/>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84603A"/>
    <w:pPr>
      <w:spacing w:before="120"/>
    </w:pPr>
    <w:rPr>
      <w:rFonts w:cstheme="minorHAnsi"/>
      <w:b/>
      <w:bCs/>
      <w:i/>
      <w:iCs/>
      <w:sz w:val="24"/>
    </w:rPr>
  </w:style>
  <w:style w:type="paragraph" w:styleId="TOC2">
    <w:name w:val="toc 2"/>
    <w:basedOn w:val="Normal"/>
    <w:next w:val="Normal"/>
    <w:autoRedefine/>
    <w:uiPriority w:val="39"/>
    <w:unhideWhenUsed/>
    <w:rsid w:val="0084603A"/>
    <w:pPr>
      <w:spacing w:before="120"/>
      <w:ind w:left="220"/>
    </w:pPr>
    <w:rPr>
      <w:rFonts w:cstheme="minorHAnsi"/>
      <w:b/>
      <w:bCs/>
      <w:szCs w:val="22"/>
    </w:rPr>
  </w:style>
  <w:style w:type="character" w:styleId="Hyperlink">
    <w:name w:val="Hyperlink"/>
    <w:basedOn w:val="DefaultParagraphFont"/>
    <w:uiPriority w:val="99"/>
    <w:unhideWhenUsed/>
    <w:rsid w:val="0084603A"/>
    <w:rPr>
      <w:color w:val="0563C1" w:themeColor="hyperlink"/>
      <w:u w:val="single"/>
    </w:rPr>
  </w:style>
  <w:style w:type="paragraph" w:styleId="TOC3">
    <w:name w:val="toc 3"/>
    <w:basedOn w:val="Normal"/>
    <w:next w:val="Normal"/>
    <w:autoRedefine/>
    <w:uiPriority w:val="39"/>
    <w:unhideWhenUsed/>
    <w:rsid w:val="0084603A"/>
    <w:pPr>
      <w:ind w:left="440"/>
    </w:pPr>
    <w:rPr>
      <w:rFonts w:cstheme="minorHAnsi"/>
      <w:sz w:val="20"/>
      <w:szCs w:val="20"/>
    </w:rPr>
  </w:style>
  <w:style w:type="paragraph" w:styleId="TOC4">
    <w:name w:val="toc 4"/>
    <w:basedOn w:val="Normal"/>
    <w:next w:val="Normal"/>
    <w:autoRedefine/>
    <w:uiPriority w:val="39"/>
    <w:semiHidden/>
    <w:unhideWhenUsed/>
    <w:rsid w:val="0084603A"/>
    <w:pPr>
      <w:ind w:left="660"/>
    </w:pPr>
    <w:rPr>
      <w:rFonts w:cstheme="minorHAnsi"/>
      <w:sz w:val="20"/>
      <w:szCs w:val="20"/>
    </w:rPr>
  </w:style>
  <w:style w:type="paragraph" w:styleId="TOC5">
    <w:name w:val="toc 5"/>
    <w:basedOn w:val="Normal"/>
    <w:next w:val="Normal"/>
    <w:autoRedefine/>
    <w:uiPriority w:val="39"/>
    <w:semiHidden/>
    <w:unhideWhenUsed/>
    <w:rsid w:val="0084603A"/>
    <w:pPr>
      <w:ind w:left="880"/>
    </w:pPr>
    <w:rPr>
      <w:rFonts w:cstheme="minorHAnsi"/>
      <w:sz w:val="20"/>
      <w:szCs w:val="20"/>
    </w:rPr>
  </w:style>
  <w:style w:type="paragraph" w:styleId="TOC6">
    <w:name w:val="toc 6"/>
    <w:basedOn w:val="Normal"/>
    <w:next w:val="Normal"/>
    <w:autoRedefine/>
    <w:uiPriority w:val="39"/>
    <w:semiHidden/>
    <w:unhideWhenUsed/>
    <w:rsid w:val="0084603A"/>
    <w:pPr>
      <w:ind w:left="1100"/>
    </w:pPr>
    <w:rPr>
      <w:rFonts w:cstheme="minorHAnsi"/>
      <w:sz w:val="20"/>
      <w:szCs w:val="20"/>
    </w:rPr>
  </w:style>
  <w:style w:type="paragraph" w:styleId="TOC7">
    <w:name w:val="toc 7"/>
    <w:basedOn w:val="Normal"/>
    <w:next w:val="Normal"/>
    <w:autoRedefine/>
    <w:uiPriority w:val="39"/>
    <w:semiHidden/>
    <w:unhideWhenUsed/>
    <w:rsid w:val="0084603A"/>
    <w:pPr>
      <w:ind w:left="1320"/>
    </w:pPr>
    <w:rPr>
      <w:rFonts w:cstheme="minorHAnsi"/>
      <w:sz w:val="20"/>
      <w:szCs w:val="20"/>
    </w:rPr>
  </w:style>
  <w:style w:type="paragraph" w:styleId="TOC8">
    <w:name w:val="toc 8"/>
    <w:basedOn w:val="Normal"/>
    <w:next w:val="Normal"/>
    <w:autoRedefine/>
    <w:uiPriority w:val="39"/>
    <w:semiHidden/>
    <w:unhideWhenUsed/>
    <w:rsid w:val="0084603A"/>
    <w:pPr>
      <w:ind w:left="1540"/>
    </w:pPr>
    <w:rPr>
      <w:rFonts w:cstheme="minorHAnsi"/>
      <w:sz w:val="20"/>
      <w:szCs w:val="20"/>
    </w:rPr>
  </w:style>
  <w:style w:type="paragraph" w:styleId="TOC9">
    <w:name w:val="toc 9"/>
    <w:basedOn w:val="Normal"/>
    <w:next w:val="Normal"/>
    <w:autoRedefine/>
    <w:uiPriority w:val="39"/>
    <w:semiHidden/>
    <w:unhideWhenUsed/>
    <w:rsid w:val="0084603A"/>
    <w:pPr>
      <w:ind w:left="1760"/>
    </w:pPr>
    <w:rPr>
      <w:rFonts w:cstheme="minorHAnsi"/>
      <w:sz w:val="20"/>
      <w:szCs w:val="20"/>
    </w:rPr>
  </w:style>
  <w:style w:type="paragraph" w:styleId="NormalWeb">
    <w:name w:val="Normal (Web)"/>
    <w:basedOn w:val="Normal"/>
    <w:uiPriority w:val="99"/>
    <w:semiHidden/>
    <w:unhideWhenUsed/>
    <w:rsid w:val="00BD37B6"/>
    <w:pPr>
      <w:spacing w:before="100" w:beforeAutospacing="1" w:after="100" w:afterAutospacing="1"/>
    </w:pPr>
    <w:rPr>
      <w:rFonts w:ascii="Times New Roman" w:hAnsi="Times New Roman"/>
      <w:sz w:val="24"/>
      <w:lang w:eastAsia="en-US"/>
    </w:rPr>
  </w:style>
  <w:style w:type="character" w:customStyle="1" w:styleId="ListParagraphChar">
    <w:name w:val="List Paragraph Char"/>
    <w:aliases w:val="Абзац списка для документа Char,Numbered Para 1 Char,Dot pt Char,No Spacing1 Char,List Paragraph Char Char Char Char,Indicator Text Char,List Paragraph1 Char,Bullet 1 Char,Bullet Points Char,MAIN CONTENT Char,Bullet list Char"/>
    <w:basedOn w:val="DefaultParagraphFont"/>
    <w:link w:val="ListParagraph"/>
    <w:uiPriority w:val="34"/>
    <w:qFormat/>
    <w:locked/>
    <w:rsid w:val="00044941"/>
    <w:rPr>
      <w:sz w:val="22"/>
    </w:rPr>
  </w:style>
  <w:style w:type="character" w:customStyle="1" w:styleId="Heading3Char">
    <w:name w:val="Heading 3 Char"/>
    <w:basedOn w:val="DefaultParagraphFont"/>
    <w:link w:val="Heading3"/>
    <w:uiPriority w:val="9"/>
    <w:rsid w:val="005A168C"/>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A168C"/>
    <w:rPr>
      <w:rFonts w:asciiTheme="majorHAnsi" w:eastAsiaTheme="majorEastAsia" w:hAnsiTheme="majorHAnsi" w:cstheme="majorBidi"/>
      <w:i/>
      <w:iCs/>
      <w:color w:val="2F5496" w:themeColor="accent1" w:themeShade="BF"/>
      <w:sz w:val="22"/>
    </w:rPr>
  </w:style>
  <w:style w:type="paragraph" w:styleId="EndnoteText">
    <w:name w:val="endnote text"/>
    <w:basedOn w:val="Normal"/>
    <w:link w:val="EndnoteTextChar"/>
    <w:uiPriority w:val="99"/>
    <w:unhideWhenUsed/>
    <w:rsid w:val="005A168C"/>
    <w:rPr>
      <w:rFonts w:eastAsiaTheme="minorHAnsi"/>
      <w:sz w:val="20"/>
      <w:szCs w:val="20"/>
      <w:lang w:eastAsia="en-US"/>
    </w:rPr>
  </w:style>
  <w:style w:type="character" w:customStyle="1" w:styleId="EndnoteTextChar">
    <w:name w:val="Endnote Text Char"/>
    <w:basedOn w:val="DefaultParagraphFont"/>
    <w:link w:val="EndnoteText"/>
    <w:uiPriority w:val="99"/>
    <w:rsid w:val="005A168C"/>
    <w:rPr>
      <w:rFonts w:eastAsiaTheme="minorHAnsi"/>
      <w:sz w:val="20"/>
      <w:szCs w:val="20"/>
      <w:lang w:val="en-GB" w:eastAsia="en-US"/>
    </w:rPr>
  </w:style>
  <w:style w:type="character" w:styleId="EndnoteReference">
    <w:name w:val="endnote reference"/>
    <w:basedOn w:val="DefaultParagraphFont"/>
    <w:uiPriority w:val="99"/>
    <w:unhideWhenUsed/>
    <w:rsid w:val="005A168C"/>
    <w:rPr>
      <w:vertAlign w:val="superscript"/>
    </w:rPr>
  </w:style>
  <w:style w:type="paragraph" w:styleId="Subtitle">
    <w:name w:val="Subtitle"/>
    <w:basedOn w:val="Normal"/>
    <w:next w:val="Normal"/>
    <w:link w:val="SubtitleChar"/>
    <w:uiPriority w:val="11"/>
    <w:qFormat/>
    <w:rsid w:val="002400D2"/>
    <w:pPr>
      <w:numPr>
        <w:ilvl w:val="1"/>
      </w:numPr>
      <w:spacing w:after="160"/>
    </w:pPr>
    <w:rPr>
      <w:color w:val="5A5A5A" w:themeColor="text1" w:themeTint="A5"/>
      <w:spacing w:val="15"/>
      <w:szCs w:val="22"/>
    </w:rPr>
  </w:style>
  <w:style w:type="character" w:customStyle="1" w:styleId="SubtitleChar">
    <w:name w:val="Subtitle Char"/>
    <w:basedOn w:val="DefaultParagraphFont"/>
    <w:link w:val="Subtitle"/>
    <w:uiPriority w:val="11"/>
    <w:rsid w:val="002400D2"/>
    <w:rPr>
      <w:color w:val="5A5A5A" w:themeColor="text1" w:themeTint="A5"/>
      <w:spacing w:val="15"/>
      <w:sz w:val="22"/>
      <w:szCs w:val="22"/>
    </w:rPr>
  </w:style>
  <w:style w:type="table" w:styleId="GridTable1Light-Accent6">
    <w:name w:val="Grid Table 1 Light Accent 6"/>
    <w:basedOn w:val="TableNormal"/>
    <w:uiPriority w:val="46"/>
    <w:rsid w:val="0032622C"/>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2622C"/>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2622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rsid w:val="002E01A1"/>
    <w:rPr>
      <w:color w:val="605E5C"/>
      <w:shd w:val="clear" w:color="auto" w:fill="E1DFDD"/>
    </w:rPr>
  </w:style>
  <w:style w:type="table" w:styleId="GridTable1Light-Accent1">
    <w:name w:val="Grid Table 1 Light Accent 1"/>
    <w:basedOn w:val="TableNormal"/>
    <w:uiPriority w:val="46"/>
    <w:rsid w:val="006C7634"/>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B505DD"/>
    <w:pPr>
      <w:spacing w:after="200"/>
    </w:pPr>
    <w:rPr>
      <w:i/>
      <w:iCs/>
      <w:color w:val="44546A" w:themeColor="text2"/>
      <w:sz w:val="18"/>
      <w:szCs w:val="18"/>
    </w:rPr>
  </w:style>
  <w:style w:type="table" w:styleId="ListTable6Colorful-Accent6">
    <w:name w:val="List Table 6 Colorful Accent 6"/>
    <w:basedOn w:val="TableNormal"/>
    <w:uiPriority w:val="51"/>
    <w:rsid w:val="00D92C74"/>
    <w:pPr>
      <w:spacing w:before="200"/>
    </w:pPr>
    <w:rPr>
      <w:color w:val="538135" w:themeColor="accent6" w:themeShade="BF"/>
      <w:sz w:val="22"/>
      <w:szCs w:val="22"/>
      <w:lang w:val="da-DK" w:eastAsia="en-US"/>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1">
    <w:name w:val="List Table 6 Colorful Accent 1"/>
    <w:basedOn w:val="TableNormal"/>
    <w:uiPriority w:val="51"/>
    <w:rsid w:val="00D92C74"/>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2D4D67"/>
    <w:rPr>
      <w:rFonts w:eastAsia="Times New Roman" w:cs="Times New Roman"/>
      <w:sz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07247">
      <w:bodyDiv w:val="1"/>
      <w:marLeft w:val="0"/>
      <w:marRight w:val="0"/>
      <w:marTop w:val="0"/>
      <w:marBottom w:val="0"/>
      <w:divBdr>
        <w:top w:val="none" w:sz="0" w:space="0" w:color="auto"/>
        <w:left w:val="none" w:sz="0" w:space="0" w:color="auto"/>
        <w:bottom w:val="none" w:sz="0" w:space="0" w:color="auto"/>
        <w:right w:val="none" w:sz="0" w:space="0" w:color="auto"/>
      </w:divBdr>
    </w:div>
    <w:div w:id="34473991">
      <w:bodyDiv w:val="1"/>
      <w:marLeft w:val="0"/>
      <w:marRight w:val="0"/>
      <w:marTop w:val="0"/>
      <w:marBottom w:val="0"/>
      <w:divBdr>
        <w:top w:val="none" w:sz="0" w:space="0" w:color="auto"/>
        <w:left w:val="none" w:sz="0" w:space="0" w:color="auto"/>
        <w:bottom w:val="none" w:sz="0" w:space="0" w:color="auto"/>
        <w:right w:val="none" w:sz="0" w:space="0" w:color="auto"/>
      </w:divBdr>
    </w:div>
    <w:div w:id="104202779">
      <w:bodyDiv w:val="1"/>
      <w:marLeft w:val="0"/>
      <w:marRight w:val="0"/>
      <w:marTop w:val="0"/>
      <w:marBottom w:val="0"/>
      <w:divBdr>
        <w:top w:val="none" w:sz="0" w:space="0" w:color="auto"/>
        <w:left w:val="none" w:sz="0" w:space="0" w:color="auto"/>
        <w:bottom w:val="none" w:sz="0" w:space="0" w:color="auto"/>
        <w:right w:val="none" w:sz="0" w:space="0" w:color="auto"/>
      </w:divBdr>
    </w:div>
    <w:div w:id="357438561">
      <w:bodyDiv w:val="1"/>
      <w:marLeft w:val="0"/>
      <w:marRight w:val="0"/>
      <w:marTop w:val="0"/>
      <w:marBottom w:val="0"/>
      <w:divBdr>
        <w:top w:val="none" w:sz="0" w:space="0" w:color="auto"/>
        <w:left w:val="none" w:sz="0" w:space="0" w:color="auto"/>
        <w:bottom w:val="none" w:sz="0" w:space="0" w:color="auto"/>
        <w:right w:val="none" w:sz="0" w:space="0" w:color="auto"/>
      </w:divBdr>
    </w:div>
    <w:div w:id="671372752">
      <w:bodyDiv w:val="1"/>
      <w:marLeft w:val="0"/>
      <w:marRight w:val="0"/>
      <w:marTop w:val="0"/>
      <w:marBottom w:val="0"/>
      <w:divBdr>
        <w:top w:val="none" w:sz="0" w:space="0" w:color="auto"/>
        <w:left w:val="none" w:sz="0" w:space="0" w:color="auto"/>
        <w:bottom w:val="none" w:sz="0" w:space="0" w:color="auto"/>
        <w:right w:val="none" w:sz="0" w:space="0" w:color="auto"/>
      </w:divBdr>
    </w:div>
    <w:div w:id="729307797">
      <w:bodyDiv w:val="1"/>
      <w:marLeft w:val="0"/>
      <w:marRight w:val="0"/>
      <w:marTop w:val="0"/>
      <w:marBottom w:val="0"/>
      <w:divBdr>
        <w:top w:val="none" w:sz="0" w:space="0" w:color="auto"/>
        <w:left w:val="none" w:sz="0" w:space="0" w:color="auto"/>
        <w:bottom w:val="none" w:sz="0" w:space="0" w:color="auto"/>
        <w:right w:val="none" w:sz="0" w:space="0" w:color="auto"/>
      </w:divBdr>
    </w:div>
    <w:div w:id="776561072">
      <w:bodyDiv w:val="1"/>
      <w:marLeft w:val="0"/>
      <w:marRight w:val="0"/>
      <w:marTop w:val="0"/>
      <w:marBottom w:val="0"/>
      <w:divBdr>
        <w:top w:val="none" w:sz="0" w:space="0" w:color="auto"/>
        <w:left w:val="none" w:sz="0" w:space="0" w:color="auto"/>
        <w:bottom w:val="none" w:sz="0" w:space="0" w:color="auto"/>
        <w:right w:val="none" w:sz="0" w:space="0" w:color="auto"/>
      </w:divBdr>
    </w:div>
    <w:div w:id="781145586">
      <w:bodyDiv w:val="1"/>
      <w:marLeft w:val="0"/>
      <w:marRight w:val="0"/>
      <w:marTop w:val="0"/>
      <w:marBottom w:val="0"/>
      <w:divBdr>
        <w:top w:val="none" w:sz="0" w:space="0" w:color="auto"/>
        <w:left w:val="none" w:sz="0" w:space="0" w:color="auto"/>
        <w:bottom w:val="none" w:sz="0" w:space="0" w:color="auto"/>
        <w:right w:val="none" w:sz="0" w:space="0" w:color="auto"/>
      </w:divBdr>
    </w:div>
    <w:div w:id="850224252">
      <w:bodyDiv w:val="1"/>
      <w:marLeft w:val="0"/>
      <w:marRight w:val="0"/>
      <w:marTop w:val="0"/>
      <w:marBottom w:val="0"/>
      <w:divBdr>
        <w:top w:val="none" w:sz="0" w:space="0" w:color="auto"/>
        <w:left w:val="none" w:sz="0" w:space="0" w:color="auto"/>
        <w:bottom w:val="none" w:sz="0" w:space="0" w:color="auto"/>
        <w:right w:val="none" w:sz="0" w:space="0" w:color="auto"/>
      </w:divBdr>
    </w:div>
    <w:div w:id="1109351705">
      <w:bodyDiv w:val="1"/>
      <w:marLeft w:val="0"/>
      <w:marRight w:val="0"/>
      <w:marTop w:val="0"/>
      <w:marBottom w:val="0"/>
      <w:divBdr>
        <w:top w:val="none" w:sz="0" w:space="0" w:color="auto"/>
        <w:left w:val="none" w:sz="0" w:space="0" w:color="auto"/>
        <w:bottom w:val="none" w:sz="0" w:space="0" w:color="auto"/>
        <w:right w:val="none" w:sz="0" w:space="0" w:color="auto"/>
      </w:divBdr>
      <w:divsChild>
        <w:div w:id="1981424958">
          <w:marLeft w:val="547"/>
          <w:marRight w:val="0"/>
          <w:marTop w:val="0"/>
          <w:marBottom w:val="0"/>
          <w:divBdr>
            <w:top w:val="none" w:sz="0" w:space="0" w:color="auto"/>
            <w:left w:val="none" w:sz="0" w:space="0" w:color="auto"/>
            <w:bottom w:val="none" w:sz="0" w:space="0" w:color="auto"/>
            <w:right w:val="none" w:sz="0" w:space="0" w:color="auto"/>
          </w:divBdr>
        </w:div>
      </w:divsChild>
    </w:div>
    <w:div w:id="1116867582">
      <w:bodyDiv w:val="1"/>
      <w:marLeft w:val="0"/>
      <w:marRight w:val="0"/>
      <w:marTop w:val="0"/>
      <w:marBottom w:val="0"/>
      <w:divBdr>
        <w:top w:val="none" w:sz="0" w:space="0" w:color="auto"/>
        <w:left w:val="none" w:sz="0" w:space="0" w:color="auto"/>
        <w:bottom w:val="none" w:sz="0" w:space="0" w:color="auto"/>
        <w:right w:val="none" w:sz="0" w:space="0" w:color="auto"/>
      </w:divBdr>
    </w:div>
    <w:div w:id="1553038254">
      <w:bodyDiv w:val="1"/>
      <w:marLeft w:val="0"/>
      <w:marRight w:val="0"/>
      <w:marTop w:val="0"/>
      <w:marBottom w:val="0"/>
      <w:divBdr>
        <w:top w:val="none" w:sz="0" w:space="0" w:color="auto"/>
        <w:left w:val="none" w:sz="0" w:space="0" w:color="auto"/>
        <w:bottom w:val="none" w:sz="0" w:space="0" w:color="auto"/>
        <w:right w:val="none" w:sz="0" w:space="0" w:color="auto"/>
      </w:divBdr>
    </w:div>
    <w:div w:id="1617056478">
      <w:bodyDiv w:val="1"/>
      <w:marLeft w:val="0"/>
      <w:marRight w:val="0"/>
      <w:marTop w:val="0"/>
      <w:marBottom w:val="0"/>
      <w:divBdr>
        <w:top w:val="none" w:sz="0" w:space="0" w:color="auto"/>
        <w:left w:val="none" w:sz="0" w:space="0" w:color="auto"/>
        <w:bottom w:val="none" w:sz="0" w:space="0" w:color="auto"/>
        <w:right w:val="none" w:sz="0" w:space="0" w:color="auto"/>
      </w:divBdr>
    </w:div>
    <w:div w:id="1682926296">
      <w:bodyDiv w:val="1"/>
      <w:marLeft w:val="0"/>
      <w:marRight w:val="0"/>
      <w:marTop w:val="0"/>
      <w:marBottom w:val="0"/>
      <w:divBdr>
        <w:top w:val="none" w:sz="0" w:space="0" w:color="auto"/>
        <w:left w:val="none" w:sz="0" w:space="0" w:color="auto"/>
        <w:bottom w:val="none" w:sz="0" w:space="0" w:color="auto"/>
        <w:right w:val="none" w:sz="0" w:space="0" w:color="auto"/>
      </w:divBdr>
      <w:divsChild>
        <w:div w:id="2061634273">
          <w:marLeft w:val="0"/>
          <w:marRight w:val="0"/>
          <w:marTop w:val="0"/>
          <w:marBottom w:val="0"/>
          <w:divBdr>
            <w:top w:val="none" w:sz="0" w:space="0" w:color="auto"/>
            <w:left w:val="none" w:sz="0" w:space="0" w:color="auto"/>
            <w:bottom w:val="none" w:sz="0" w:space="0" w:color="auto"/>
            <w:right w:val="none" w:sz="0" w:space="0" w:color="auto"/>
          </w:divBdr>
          <w:divsChild>
            <w:div w:id="926498820">
              <w:marLeft w:val="0"/>
              <w:marRight w:val="0"/>
              <w:marTop w:val="0"/>
              <w:marBottom w:val="0"/>
              <w:divBdr>
                <w:top w:val="none" w:sz="0" w:space="0" w:color="auto"/>
                <w:left w:val="none" w:sz="0" w:space="0" w:color="auto"/>
                <w:bottom w:val="none" w:sz="0" w:space="0" w:color="auto"/>
                <w:right w:val="none" w:sz="0" w:space="0" w:color="auto"/>
              </w:divBdr>
              <w:divsChild>
                <w:div w:id="1590649714">
                  <w:marLeft w:val="0"/>
                  <w:marRight w:val="0"/>
                  <w:marTop w:val="0"/>
                  <w:marBottom w:val="0"/>
                  <w:divBdr>
                    <w:top w:val="none" w:sz="0" w:space="0" w:color="auto"/>
                    <w:left w:val="none" w:sz="0" w:space="0" w:color="auto"/>
                    <w:bottom w:val="none" w:sz="0" w:space="0" w:color="auto"/>
                    <w:right w:val="none" w:sz="0" w:space="0" w:color="auto"/>
                  </w:divBdr>
                  <w:divsChild>
                    <w:div w:id="161737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436149">
      <w:bodyDiv w:val="1"/>
      <w:marLeft w:val="0"/>
      <w:marRight w:val="0"/>
      <w:marTop w:val="0"/>
      <w:marBottom w:val="0"/>
      <w:divBdr>
        <w:top w:val="none" w:sz="0" w:space="0" w:color="auto"/>
        <w:left w:val="none" w:sz="0" w:space="0" w:color="auto"/>
        <w:bottom w:val="none" w:sz="0" w:space="0" w:color="auto"/>
        <w:right w:val="none" w:sz="0" w:space="0" w:color="auto"/>
      </w:divBdr>
    </w:div>
    <w:div w:id="1793284609">
      <w:bodyDiv w:val="1"/>
      <w:marLeft w:val="0"/>
      <w:marRight w:val="0"/>
      <w:marTop w:val="0"/>
      <w:marBottom w:val="0"/>
      <w:divBdr>
        <w:top w:val="none" w:sz="0" w:space="0" w:color="auto"/>
        <w:left w:val="none" w:sz="0" w:space="0" w:color="auto"/>
        <w:bottom w:val="none" w:sz="0" w:space="0" w:color="auto"/>
        <w:right w:val="none" w:sz="0" w:space="0" w:color="auto"/>
      </w:divBdr>
    </w:div>
    <w:div w:id="1958291421">
      <w:bodyDiv w:val="1"/>
      <w:marLeft w:val="0"/>
      <w:marRight w:val="0"/>
      <w:marTop w:val="0"/>
      <w:marBottom w:val="0"/>
      <w:divBdr>
        <w:top w:val="none" w:sz="0" w:space="0" w:color="auto"/>
        <w:left w:val="none" w:sz="0" w:space="0" w:color="auto"/>
        <w:bottom w:val="none" w:sz="0" w:space="0" w:color="auto"/>
        <w:right w:val="none" w:sz="0" w:space="0" w:color="auto"/>
      </w:divBdr>
    </w:div>
    <w:div w:id="1992244829">
      <w:bodyDiv w:val="1"/>
      <w:marLeft w:val="0"/>
      <w:marRight w:val="0"/>
      <w:marTop w:val="0"/>
      <w:marBottom w:val="0"/>
      <w:divBdr>
        <w:top w:val="none" w:sz="0" w:space="0" w:color="auto"/>
        <w:left w:val="none" w:sz="0" w:space="0" w:color="auto"/>
        <w:bottom w:val="none" w:sz="0" w:space="0" w:color="auto"/>
        <w:right w:val="none" w:sz="0" w:space="0" w:color="auto"/>
      </w:divBdr>
    </w:div>
    <w:div w:id="2011328352">
      <w:bodyDiv w:val="1"/>
      <w:marLeft w:val="0"/>
      <w:marRight w:val="0"/>
      <w:marTop w:val="0"/>
      <w:marBottom w:val="0"/>
      <w:divBdr>
        <w:top w:val="none" w:sz="0" w:space="0" w:color="auto"/>
        <w:left w:val="none" w:sz="0" w:space="0" w:color="auto"/>
        <w:bottom w:val="none" w:sz="0" w:space="0" w:color="auto"/>
        <w:right w:val="none" w:sz="0" w:space="0" w:color="auto"/>
      </w:divBdr>
    </w:div>
    <w:div w:id="2078703409">
      <w:bodyDiv w:val="1"/>
      <w:marLeft w:val="0"/>
      <w:marRight w:val="0"/>
      <w:marTop w:val="0"/>
      <w:marBottom w:val="0"/>
      <w:divBdr>
        <w:top w:val="none" w:sz="0" w:space="0" w:color="auto"/>
        <w:left w:val="none" w:sz="0" w:space="0" w:color="auto"/>
        <w:bottom w:val="none" w:sz="0" w:space="0" w:color="auto"/>
        <w:right w:val="none" w:sz="0" w:space="0" w:color="auto"/>
      </w:divBdr>
    </w:div>
    <w:div w:id="21378706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jpeg"/><Relationship Id="rId26" Type="http://schemas.microsoft.com/office/2007/relationships/diagramDrawing" Target="diagrams/drawing1.xml"/><Relationship Id="rId3" Type="http://schemas.openxmlformats.org/officeDocument/2006/relationships/customXml" Target="../customXml/item3.xml"/><Relationship Id="rId21" Type="http://schemas.openxmlformats.org/officeDocument/2006/relationships/image" Target="media/image4.tiff"/><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diagramColors" Target="diagrams/colors1.xml"/><Relationship Id="rId33" Type="http://schemas.openxmlformats.org/officeDocument/2006/relationships/hyperlink" Target="http://www.nfmspng.org"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pngsis.org/sis/" TargetMode="External"/><Relationship Id="rId29"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diagramQuickStyle" Target="diagrams/quickStyle1.xml"/><Relationship Id="rId32" Type="http://schemas.openxmlformats.org/officeDocument/2006/relationships/image" Target="media/image5.tiff"/><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diagramLayout" Target="diagrams/layout1.xml"/><Relationship Id="rId28" Type="http://schemas.openxmlformats.org/officeDocument/2006/relationships/diagramLayout" Target="diagrams/layout2.xml"/><Relationship Id="rId10" Type="http://schemas.openxmlformats.org/officeDocument/2006/relationships/endnotes" Target="endnotes.xml"/><Relationship Id="rId19" Type="http://schemas.openxmlformats.org/officeDocument/2006/relationships/image" Target="media/image3.tiff"/><Relationship Id="rId31" Type="http://schemas.microsoft.com/office/2007/relationships/diagramDrawing" Target="diagrams/drawing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theme" Target="theme/theme1.xml"/><Relationship Id="rId8"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unredd.net/index.php?view=document&amp;alias=15299-info-brief-summaries-of-information-1-en&amp;category_slug=safeguards-multiple-benefits-297&amp;layout=default&amp;option=com_docman&amp;Itemid=134" TargetMode="External"/><Relationship Id="rId2" Type="http://schemas.openxmlformats.org/officeDocument/2006/relationships/hyperlink" Target="https://info.undp.org/docs/pdc/Documents/PNG/PNG%20Protected%20Areas%20Policy-NEC%20Approved_Signed.pdf" TargetMode="External"/><Relationship Id="rId1" Type="http://schemas.openxmlformats.org/officeDocument/2006/relationships/hyperlink" Target="https://www.pg.undp.org/content/papua_new_guinea/en/home/library/papua-new-guinea-national-redd--strategy-2017-2027.html" TargetMode="External"/><Relationship Id="rId4" Type="http://schemas.openxmlformats.org/officeDocument/2006/relationships/hyperlink" Target="http://www.unredd.net/index.php?view=document&amp;alias=15299-info-brief-summaries-of-information-1-en&amp;category_slug=safeguards-multiple-benefits-297&amp;layout=default&amp;option=com_docman&amp;Itemid=134"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3660B5-08A0-1443-AFB1-A31E8D32A377}" type="doc">
      <dgm:prSet loTypeId="urn:microsoft.com/office/officeart/2008/layout/IncreasingCircleProcess" loCatId="" qsTypeId="urn:microsoft.com/office/officeart/2005/8/quickstyle/simple1" qsCatId="simple" csTypeId="urn:microsoft.com/office/officeart/2005/8/colors/accent1_2" csCatId="accent1" phldr="1"/>
      <dgm:spPr/>
      <dgm:t>
        <a:bodyPr/>
        <a:lstStyle/>
        <a:p>
          <a:endParaRPr lang="en-GB"/>
        </a:p>
      </dgm:t>
    </dgm:pt>
    <dgm:pt modelId="{20769EF5-D7B2-5647-A003-1BFAFF571BB4}">
      <dgm:prSet phldrT="[Text]"/>
      <dgm:spPr/>
      <dgm:t>
        <a:bodyPr/>
        <a:lstStyle/>
        <a:p>
          <a:r>
            <a:rPr lang="en-GB" b="1"/>
            <a:t>First Meeting</a:t>
          </a:r>
        </a:p>
      </dgm:t>
    </dgm:pt>
    <dgm:pt modelId="{6C968F93-C1BB-1546-ACE9-A90499F40A02}" type="parTrans" cxnId="{21053FC7-B019-CA49-9714-3950F70E7474}">
      <dgm:prSet/>
      <dgm:spPr/>
      <dgm:t>
        <a:bodyPr/>
        <a:lstStyle/>
        <a:p>
          <a:endParaRPr lang="en-GB"/>
        </a:p>
      </dgm:t>
    </dgm:pt>
    <dgm:pt modelId="{7D864422-09C1-0C44-902A-CAD496C7A4C8}" type="sibTrans" cxnId="{21053FC7-B019-CA49-9714-3950F70E7474}">
      <dgm:prSet/>
      <dgm:spPr/>
      <dgm:t>
        <a:bodyPr/>
        <a:lstStyle/>
        <a:p>
          <a:endParaRPr lang="en-GB"/>
        </a:p>
      </dgm:t>
    </dgm:pt>
    <dgm:pt modelId="{6612D762-4247-B44F-975F-B315B570B30A}">
      <dgm:prSet phldrT="[Text]"/>
      <dgm:spPr/>
      <dgm:t>
        <a:bodyPr/>
        <a:lstStyle/>
        <a:p>
          <a:r>
            <a:rPr lang="en-GB"/>
            <a:t>Prepare template-focusing on baseline information</a:t>
          </a:r>
        </a:p>
      </dgm:t>
    </dgm:pt>
    <dgm:pt modelId="{D4309207-B0A8-7146-8029-F88A65A059AF}" type="parTrans" cxnId="{FDF399FE-F319-ED43-B1BD-FB79CF3D85A9}">
      <dgm:prSet/>
      <dgm:spPr/>
      <dgm:t>
        <a:bodyPr/>
        <a:lstStyle/>
        <a:p>
          <a:endParaRPr lang="en-GB"/>
        </a:p>
      </dgm:t>
    </dgm:pt>
    <dgm:pt modelId="{7D13201A-B843-134B-B4F4-33870D5EEEA8}" type="sibTrans" cxnId="{FDF399FE-F319-ED43-B1BD-FB79CF3D85A9}">
      <dgm:prSet/>
      <dgm:spPr/>
      <dgm:t>
        <a:bodyPr/>
        <a:lstStyle/>
        <a:p>
          <a:endParaRPr lang="en-GB"/>
        </a:p>
      </dgm:t>
    </dgm:pt>
    <dgm:pt modelId="{AAFD542B-EB2D-CB4C-AE9B-953214A7E0B8}">
      <dgm:prSet phldrT="[Text]"/>
      <dgm:spPr/>
      <dgm:t>
        <a:bodyPr/>
        <a:lstStyle/>
        <a:p>
          <a:r>
            <a:rPr lang="en-GB" b="1"/>
            <a:t>Second Meeting</a:t>
          </a:r>
        </a:p>
      </dgm:t>
    </dgm:pt>
    <dgm:pt modelId="{16F7FF3F-2198-F24F-84D1-BBE6BC82CF70}" type="parTrans" cxnId="{FCBF47BC-C1D0-D84C-92D1-5CAEFC730907}">
      <dgm:prSet/>
      <dgm:spPr/>
      <dgm:t>
        <a:bodyPr/>
        <a:lstStyle/>
        <a:p>
          <a:endParaRPr lang="en-GB"/>
        </a:p>
      </dgm:t>
    </dgm:pt>
    <dgm:pt modelId="{6E98785A-3963-AE4D-AF1C-332EFEE23E67}" type="sibTrans" cxnId="{FCBF47BC-C1D0-D84C-92D1-5CAEFC730907}">
      <dgm:prSet/>
      <dgm:spPr/>
      <dgm:t>
        <a:bodyPr/>
        <a:lstStyle/>
        <a:p>
          <a:endParaRPr lang="en-GB"/>
        </a:p>
      </dgm:t>
    </dgm:pt>
    <dgm:pt modelId="{DC414B1F-BAA8-A144-B0DF-E9A6DEABD57F}">
      <dgm:prSet phldrT="[Text]"/>
      <dgm:spPr/>
      <dgm:t>
        <a:bodyPr/>
        <a:lstStyle/>
        <a:p>
          <a:r>
            <a:rPr lang="en-GB"/>
            <a:t>Finalize template report - submit to online SIS database</a:t>
          </a:r>
        </a:p>
      </dgm:t>
    </dgm:pt>
    <dgm:pt modelId="{2D990C0B-E857-324D-BEB6-87EA13CA3CA9}" type="parTrans" cxnId="{12EDCD35-6BEC-7445-B2DA-8791DF06A93C}">
      <dgm:prSet/>
      <dgm:spPr/>
      <dgm:t>
        <a:bodyPr/>
        <a:lstStyle/>
        <a:p>
          <a:endParaRPr lang="en-GB"/>
        </a:p>
      </dgm:t>
    </dgm:pt>
    <dgm:pt modelId="{EE8A9AE6-76BF-0747-A3CC-EA2138DB800D}" type="sibTrans" cxnId="{12EDCD35-6BEC-7445-B2DA-8791DF06A93C}">
      <dgm:prSet/>
      <dgm:spPr/>
      <dgm:t>
        <a:bodyPr/>
        <a:lstStyle/>
        <a:p>
          <a:endParaRPr lang="en-GB"/>
        </a:p>
      </dgm:t>
    </dgm:pt>
    <dgm:pt modelId="{4DC1E883-155C-1747-A718-15684FD7B92A}" type="pres">
      <dgm:prSet presAssocID="{1B3660B5-08A0-1443-AFB1-A31E8D32A377}" presName="Name0" presStyleCnt="0">
        <dgm:presLayoutVars>
          <dgm:chMax val="7"/>
          <dgm:chPref val="7"/>
          <dgm:dir/>
          <dgm:animOne val="branch"/>
          <dgm:animLvl val="lvl"/>
        </dgm:presLayoutVars>
      </dgm:prSet>
      <dgm:spPr/>
    </dgm:pt>
    <dgm:pt modelId="{2DE8EF3E-C706-5543-93D8-8AA27D95BE36}" type="pres">
      <dgm:prSet presAssocID="{20769EF5-D7B2-5647-A003-1BFAFF571BB4}" presName="composite" presStyleCnt="0"/>
      <dgm:spPr/>
    </dgm:pt>
    <dgm:pt modelId="{EED5272A-30E2-FD4F-86D9-3005742EE68B}" type="pres">
      <dgm:prSet presAssocID="{20769EF5-D7B2-5647-A003-1BFAFF571BB4}" presName="BackAccent" presStyleLbl="bgShp" presStyleIdx="0" presStyleCnt="2"/>
      <dgm:spPr/>
    </dgm:pt>
    <dgm:pt modelId="{769B1F97-316F-2842-84DD-CB4B8D0C0655}" type="pres">
      <dgm:prSet presAssocID="{20769EF5-D7B2-5647-A003-1BFAFF571BB4}" presName="Accent" presStyleLbl="alignNode1" presStyleIdx="0" presStyleCnt="2"/>
      <dgm:spPr/>
    </dgm:pt>
    <dgm:pt modelId="{6B7A6832-E83A-3C41-8E4E-78B6DED527B2}" type="pres">
      <dgm:prSet presAssocID="{20769EF5-D7B2-5647-A003-1BFAFF571BB4}" presName="Child" presStyleLbl="revTx" presStyleIdx="0" presStyleCnt="4">
        <dgm:presLayoutVars>
          <dgm:chMax val="0"/>
          <dgm:chPref val="0"/>
          <dgm:bulletEnabled val="1"/>
        </dgm:presLayoutVars>
      </dgm:prSet>
      <dgm:spPr/>
    </dgm:pt>
    <dgm:pt modelId="{98FBC25E-C619-8D47-A02E-C334DB59B747}" type="pres">
      <dgm:prSet presAssocID="{20769EF5-D7B2-5647-A003-1BFAFF571BB4}" presName="Parent" presStyleLbl="revTx" presStyleIdx="1" presStyleCnt="4">
        <dgm:presLayoutVars>
          <dgm:chMax val="1"/>
          <dgm:chPref val="1"/>
          <dgm:bulletEnabled val="1"/>
        </dgm:presLayoutVars>
      </dgm:prSet>
      <dgm:spPr/>
    </dgm:pt>
    <dgm:pt modelId="{6F20B2EA-420B-4D4D-A7A1-28BE41CDD8BA}" type="pres">
      <dgm:prSet presAssocID="{7D864422-09C1-0C44-902A-CAD496C7A4C8}" presName="sibTrans" presStyleCnt="0"/>
      <dgm:spPr/>
    </dgm:pt>
    <dgm:pt modelId="{6875FB81-C9D6-E846-8EE6-51C57A1A826F}" type="pres">
      <dgm:prSet presAssocID="{AAFD542B-EB2D-CB4C-AE9B-953214A7E0B8}" presName="composite" presStyleCnt="0"/>
      <dgm:spPr/>
    </dgm:pt>
    <dgm:pt modelId="{A392846A-B7B2-E44A-ABC4-AFCC68095687}" type="pres">
      <dgm:prSet presAssocID="{AAFD542B-EB2D-CB4C-AE9B-953214A7E0B8}" presName="BackAccent" presStyleLbl="bgShp" presStyleIdx="1" presStyleCnt="2"/>
      <dgm:spPr/>
    </dgm:pt>
    <dgm:pt modelId="{B98109DF-2A10-DA4E-8A48-F1B5F933EB17}" type="pres">
      <dgm:prSet presAssocID="{AAFD542B-EB2D-CB4C-AE9B-953214A7E0B8}" presName="Accent" presStyleLbl="alignNode1" presStyleIdx="1" presStyleCnt="2"/>
      <dgm:spPr/>
    </dgm:pt>
    <dgm:pt modelId="{BE0D7FE2-DD51-7948-BAC1-8F5E7A7632AF}" type="pres">
      <dgm:prSet presAssocID="{AAFD542B-EB2D-CB4C-AE9B-953214A7E0B8}" presName="Child" presStyleLbl="revTx" presStyleIdx="2" presStyleCnt="4">
        <dgm:presLayoutVars>
          <dgm:chMax val="0"/>
          <dgm:chPref val="0"/>
          <dgm:bulletEnabled val="1"/>
        </dgm:presLayoutVars>
      </dgm:prSet>
      <dgm:spPr/>
    </dgm:pt>
    <dgm:pt modelId="{7DB9BE32-C7B9-7A42-80A8-D2C75D7B6512}" type="pres">
      <dgm:prSet presAssocID="{AAFD542B-EB2D-CB4C-AE9B-953214A7E0B8}" presName="Parent" presStyleLbl="revTx" presStyleIdx="3" presStyleCnt="4">
        <dgm:presLayoutVars>
          <dgm:chMax val="1"/>
          <dgm:chPref val="1"/>
          <dgm:bulletEnabled val="1"/>
        </dgm:presLayoutVars>
      </dgm:prSet>
      <dgm:spPr/>
    </dgm:pt>
  </dgm:ptLst>
  <dgm:cxnLst>
    <dgm:cxn modelId="{12EDCD35-6BEC-7445-B2DA-8791DF06A93C}" srcId="{AAFD542B-EB2D-CB4C-AE9B-953214A7E0B8}" destId="{DC414B1F-BAA8-A144-B0DF-E9A6DEABD57F}" srcOrd="0" destOrd="0" parTransId="{2D990C0B-E857-324D-BEB6-87EA13CA3CA9}" sibTransId="{EE8A9AE6-76BF-0747-A3CC-EA2138DB800D}"/>
    <dgm:cxn modelId="{55671084-42A4-D04D-97D3-BE1BC9B20A8C}" type="presOf" srcId="{AAFD542B-EB2D-CB4C-AE9B-953214A7E0B8}" destId="{7DB9BE32-C7B9-7A42-80A8-D2C75D7B6512}" srcOrd="0" destOrd="0" presId="urn:microsoft.com/office/officeart/2008/layout/IncreasingCircleProcess"/>
    <dgm:cxn modelId="{0C3AEFA5-38E9-4041-9822-7C6ADD9BEA4A}" type="presOf" srcId="{6612D762-4247-B44F-975F-B315B570B30A}" destId="{6B7A6832-E83A-3C41-8E4E-78B6DED527B2}" srcOrd="0" destOrd="0" presId="urn:microsoft.com/office/officeart/2008/layout/IncreasingCircleProcess"/>
    <dgm:cxn modelId="{FCBF47BC-C1D0-D84C-92D1-5CAEFC730907}" srcId="{1B3660B5-08A0-1443-AFB1-A31E8D32A377}" destId="{AAFD542B-EB2D-CB4C-AE9B-953214A7E0B8}" srcOrd="1" destOrd="0" parTransId="{16F7FF3F-2198-F24F-84D1-BBE6BC82CF70}" sibTransId="{6E98785A-3963-AE4D-AF1C-332EFEE23E67}"/>
    <dgm:cxn modelId="{21053FC7-B019-CA49-9714-3950F70E7474}" srcId="{1B3660B5-08A0-1443-AFB1-A31E8D32A377}" destId="{20769EF5-D7B2-5647-A003-1BFAFF571BB4}" srcOrd="0" destOrd="0" parTransId="{6C968F93-C1BB-1546-ACE9-A90499F40A02}" sibTransId="{7D864422-09C1-0C44-902A-CAD496C7A4C8}"/>
    <dgm:cxn modelId="{9A7C20D4-B7EA-C342-A117-5240E3A902A6}" type="presOf" srcId="{DC414B1F-BAA8-A144-B0DF-E9A6DEABD57F}" destId="{BE0D7FE2-DD51-7948-BAC1-8F5E7A7632AF}" srcOrd="0" destOrd="0" presId="urn:microsoft.com/office/officeart/2008/layout/IncreasingCircleProcess"/>
    <dgm:cxn modelId="{189C61F2-379C-314B-A4F6-7874363504B5}" type="presOf" srcId="{20769EF5-D7B2-5647-A003-1BFAFF571BB4}" destId="{98FBC25E-C619-8D47-A02E-C334DB59B747}" srcOrd="0" destOrd="0" presId="urn:microsoft.com/office/officeart/2008/layout/IncreasingCircleProcess"/>
    <dgm:cxn modelId="{F1B471FA-3465-B846-892B-BD8454DCD3BF}" type="presOf" srcId="{1B3660B5-08A0-1443-AFB1-A31E8D32A377}" destId="{4DC1E883-155C-1747-A718-15684FD7B92A}" srcOrd="0" destOrd="0" presId="urn:microsoft.com/office/officeart/2008/layout/IncreasingCircleProcess"/>
    <dgm:cxn modelId="{FDF399FE-F319-ED43-B1BD-FB79CF3D85A9}" srcId="{20769EF5-D7B2-5647-A003-1BFAFF571BB4}" destId="{6612D762-4247-B44F-975F-B315B570B30A}" srcOrd="0" destOrd="0" parTransId="{D4309207-B0A8-7146-8029-F88A65A059AF}" sibTransId="{7D13201A-B843-134B-B4F4-33870D5EEEA8}"/>
    <dgm:cxn modelId="{74F3E609-FD6C-A34D-913F-EE2CC50FAE0B}" type="presParOf" srcId="{4DC1E883-155C-1747-A718-15684FD7B92A}" destId="{2DE8EF3E-C706-5543-93D8-8AA27D95BE36}" srcOrd="0" destOrd="0" presId="urn:microsoft.com/office/officeart/2008/layout/IncreasingCircleProcess"/>
    <dgm:cxn modelId="{A2C40E32-0BD0-E64C-8B1E-9DC8DD4204D8}" type="presParOf" srcId="{2DE8EF3E-C706-5543-93D8-8AA27D95BE36}" destId="{EED5272A-30E2-FD4F-86D9-3005742EE68B}" srcOrd="0" destOrd="0" presId="urn:microsoft.com/office/officeart/2008/layout/IncreasingCircleProcess"/>
    <dgm:cxn modelId="{B984CFAD-14E1-7645-83EE-425C0BD4BC4F}" type="presParOf" srcId="{2DE8EF3E-C706-5543-93D8-8AA27D95BE36}" destId="{769B1F97-316F-2842-84DD-CB4B8D0C0655}" srcOrd="1" destOrd="0" presId="urn:microsoft.com/office/officeart/2008/layout/IncreasingCircleProcess"/>
    <dgm:cxn modelId="{45C4A5E9-86DE-DF49-8ED0-5F02AC7D891E}" type="presParOf" srcId="{2DE8EF3E-C706-5543-93D8-8AA27D95BE36}" destId="{6B7A6832-E83A-3C41-8E4E-78B6DED527B2}" srcOrd="2" destOrd="0" presId="urn:microsoft.com/office/officeart/2008/layout/IncreasingCircleProcess"/>
    <dgm:cxn modelId="{F3168C0F-9CEC-A745-A263-E89E0C1A2DA9}" type="presParOf" srcId="{2DE8EF3E-C706-5543-93D8-8AA27D95BE36}" destId="{98FBC25E-C619-8D47-A02E-C334DB59B747}" srcOrd="3" destOrd="0" presId="urn:microsoft.com/office/officeart/2008/layout/IncreasingCircleProcess"/>
    <dgm:cxn modelId="{9C3F6F3E-174C-F843-9F12-583AFF8C7192}" type="presParOf" srcId="{4DC1E883-155C-1747-A718-15684FD7B92A}" destId="{6F20B2EA-420B-4D4D-A7A1-28BE41CDD8BA}" srcOrd="1" destOrd="0" presId="urn:microsoft.com/office/officeart/2008/layout/IncreasingCircleProcess"/>
    <dgm:cxn modelId="{9C3EA336-0267-2747-AF7F-2F36E18890B8}" type="presParOf" srcId="{4DC1E883-155C-1747-A718-15684FD7B92A}" destId="{6875FB81-C9D6-E846-8EE6-51C57A1A826F}" srcOrd="2" destOrd="0" presId="urn:microsoft.com/office/officeart/2008/layout/IncreasingCircleProcess"/>
    <dgm:cxn modelId="{DB7593D4-248A-0842-A417-943204AB3DB7}" type="presParOf" srcId="{6875FB81-C9D6-E846-8EE6-51C57A1A826F}" destId="{A392846A-B7B2-E44A-ABC4-AFCC68095687}" srcOrd="0" destOrd="0" presId="urn:microsoft.com/office/officeart/2008/layout/IncreasingCircleProcess"/>
    <dgm:cxn modelId="{1CB35DD1-6F19-964F-8A67-895B7CDBA877}" type="presParOf" srcId="{6875FB81-C9D6-E846-8EE6-51C57A1A826F}" destId="{B98109DF-2A10-DA4E-8A48-F1B5F933EB17}" srcOrd="1" destOrd="0" presId="urn:microsoft.com/office/officeart/2008/layout/IncreasingCircleProcess"/>
    <dgm:cxn modelId="{A1CE0038-50C1-7242-A571-BFA631C5508F}" type="presParOf" srcId="{6875FB81-C9D6-E846-8EE6-51C57A1A826F}" destId="{BE0D7FE2-DD51-7948-BAC1-8F5E7A7632AF}" srcOrd="2" destOrd="0" presId="urn:microsoft.com/office/officeart/2008/layout/IncreasingCircleProcess"/>
    <dgm:cxn modelId="{EEE9CE9B-A76A-5E4E-82B6-997A621F2121}" type="presParOf" srcId="{6875FB81-C9D6-E846-8EE6-51C57A1A826F}" destId="{7DB9BE32-C7B9-7A42-80A8-D2C75D7B6512}" srcOrd="3" destOrd="0" presId="urn:microsoft.com/office/officeart/2008/layout/IncreasingCircle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B3660B5-08A0-1443-AFB1-A31E8D32A377}" type="doc">
      <dgm:prSet loTypeId="urn:microsoft.com/office/officeart/2008/layout/IncreasingCircleProcess" loCatId="" qsTypeId="urn:microsoft.com/office/officeart/2005/8/quickstyle/simple1" qsCatId="simple" csTypeId="urn:microsoft.com/office/officeart/2005/8/colors/accent1_2" csCatId="accent1" phldr="1"/>
      <dgm:spPr/>
      <dgm:t>
        <a:bodyPr/>
        <a:lstStyle/>
        <a:p>
          <a:endParaRPr lang="en-GB"/>
        </a:p>
      </dgm:t>
    </dgm:pt>
    <dgm:pt modelId="{62ADC1E2-74EA-E141-9CCE-593D56F065E6}">
      <dgm:prSet phldrT="[Text]"/>
      <dgm:spPr/>
      <dgm:t>
        <a:bodyPr/>
        <a:lstStyle/>
        <a:p>
          <a:r>
            <a:rPr lang="en-GB" b="1"/>
            <a:t>First Meeting of REDD+ implementor</a:t>
          </a:r>
        </a:p>
      </dgm:t>
    </dgm:pt>
    <dgm:pt modelId="{6C4C2027-6A91-3044-9E7C-807BFA3B971C}" type="parTrans" cxnId="{83ABF186-83EC-984E-B691-63F8203943C2}">
      <dgm:prSet/>
      <dgm:spPr/>
      <dgm:t>
        <a:bodyPr/>
        <a:lstStyle/>
        <a:p>
          <a:endParaRPr lang="en-GB"/>
        </a:p>
      </dgm:t>
    </dgm:pt>
    <dgm:pt modelId="{4062B724-C504-3E43-9D4C-4F49BF025F5A}" type="sibTrans" cxnId="{83ABF186-83EC-984E-B691-63F8203943C2}">
      <dgm:prSet/>
      <dgm:spPr/>
      <dgm:t>
        <a:bodyPr/>
        <a:lstStyle/>
        <a:p>
          <a:endParaRPr lang="en-GB"/>
        </a:p>
      </dgm:t>
    </dgm:pt>
    <dgm:pt modelId="{7BCCC70D-1103-B242-83F0-EB2BD16BE761}">
      <dgm:prSet phldrT="[Text]"/>
      <dgm:spPr/>
      <dgm:t>
        <a:bodyPr/>
        <a:lstStyle/>
        <a:p>
          <a:r>
            <a:rPr lang="en-GB"/>
            <a:t>Prepare template-focusing on baseline information</a:t>
          </a:r>
        </a:p>
      </dgm:t>
    </dgm:pt>
    <dgm:pt modelId="{29CCCC3F-A970-DA45-8A83-99CDF95521B0}" type="parTrans" cxnId="{0FE8E688-6E44-6A4D-939D-1B415EC50C5A}">
      <dgm:prSet/>
      <dgm:spPr/>
      <dgm:t>
        <a:bodyPr/>
        <a:lstStyle/>
        <a:p>
          <a:endParaRPr lang="en-GB"/>
        </a:p>
      </dgm:t>
    </dgm:pt>
    <dgm:pt modelId="{5437348E-B8C6-4F40-9CD5-2BD25CBFCF56}" type="sibTrans" cxnId="{0FE8E688-6E44-6A4D-939D-1B415EC50C5A}">
      <dgm:prSet/>
      <dgm:spPr/>
      <dgm:t>
        <a:bodyPr/>
        <a:lstStyle/>
        <a:p>
          <a:endParaRPr lang="en-GB"/>
        </a:p>
      </dgm:t>
    </dgm:pt>
    <dgm:pt modelId="{20769EF5-D7B2-5647-A003-1BFAFF571BB4}">
      <dgm:prSet phldrT="[Text]"/>
      <dgm:spPr/>
      <dgm:t>
        <a:bodyPr/>
        <a:lstStyle/>
        <a:p>
          <a:r>
            <a:rPr lang="en-GB" b="1"/>
            <a:t>Second Meeting of REDD+ implementor</a:t>
          </a:r>
        </a:p>
      </dgm:t>
    </dgm:pt>
    <dgm:pt modelId="{6C968F93-C1BB-1546-ACE9-A90499F40A02}" type="parTrans" cxnId="{21053FC7-B019-CA49-9714-3950F70E7474}">
      <dgm:prSet/>
      <dgm:spPr/>
      <dgm:t>
        <a:bodyPr/>
        <a:lstStyle/>
        <a:p>
          <a:endParaRPr lang="en-GB"/>
        </a:p>
      </dgm:t>
    </dgm:pt>
    <dgm:pt modelId="{7D864422-09C1-0C44-902A-CAD496C7A4C8}" type="sibTrans" cxnId="{21053FC7-B019-CA49-9714-3950F70E7474}">
      <dgm:prSet/>
      <dgm:spPr/>
      <dgm:t>
        <a:bodyPr/>
        <a:lstStyle/>
        <a:p>
          <a:endParaRPr lang="en-GB"/>
        </a:p>
      </dgm:t>
    </dgm:pt>
    <dgm:pt modelId="{6612D762-4247-B44F-975F-B315B570B30A}">
      <dgm:prSet phldrT="[Text]"/>
      <dgm:spPr/>
      <dgm:t>
        <a:bodyPr/>
        <a:lstStyle/>
        <a:p>
          <a:r>
            <a:rPr lang="en-GB"/>
            <a:t>Update template with additional information collected over last 6 months</a:t>
          </a:r>
        </a:p>
      </dgm:t>
    </dgm:pt>
    <dgm:pt modelId="{D4309207-B0A8-7146-8029-F88A65A059AF}" type="parTrans" cxnId="{FDF399FE-F319-ED43-B1BD-FB79CF3D85A9}">
      <dgm:prSet/>
      <dgm:spPr/>
      <dgm:t>
        <a:bodyPr/>
        <a:lstStyle/>
        <a:p>
          <a:endParaRPr lang="en-GB"/>
        </a:p>
      </dgm:t>
    </dgm:pt>
    <dgm:pt modelId="{7D13201A-B843-134B-B4F4-33870D5EEEA8}" type="sibTrans" cxnId="{FDF399FE-F319-ED43-B1BD-FB79CF3D85A9}">
      <dgm:prSet/>
      <dgm:spPr/>
      <dgm:t>
        <a:bodyPr/>
        <a:lstStyle/>
        <a:p>
          <a:endParaRPr lang="en-GB"/>
        </a:p>
      </dgm:t>
    </dgm:pt>
    <dgm:pt modelId="{AAFD542B-EB2D-CB4C-AE9B-953214A7E0B8}">
      <dgm:prSet phldrT="[Text]"/>
      <dgm:spPr/>
      <dgm:t>
        <a:bodyPr/>
        <a:lstStyle/>
        <a:p>
          <a:r>
            <a:rPr lang="en-GB" b="1"/>
            <a:t>Third Meeting of REDD+ implementor</a:t>
          </a:r>
        </a:p>
      </dgm:t>
    </dgm:pt>
    <dgm:pt modelId="{16F7FF3F-2198-F24F-84D1-BBE6BC82CF70}" type="parTrans" cxnId="{FCBF47BC-C1D0-D84C-92D1-5CAEFC730907}">
      <dgm:prSet/>
      <dgm:spPr/>
      <dgm:t>
        <a:bodyPr/>
        <a:lstStyle/>
        <a:p>
          <a:endParaRPr lang="en-GB"/>
        </a:p>
      </dgm:t>
    </dgm:pt>
    <dgm:pt modelId="{6E98785A-3963-AE4D-AF1C-332EFEE23E67}" type="sibTrans" cxnId="{FCBF47BC-C1D0-D84C-92D1-5CAEFC730907}">
      <dgm:prSet/>
      <dgm:spPr/>
      <dgm:t>
        <a:bodyPr/>
        <a:lstStyle/>
        <a:p>
          <a:endParaRPr lang="en-GB"/>
        </a:p>
      </dgm:t>
    </dgm:pt>
    <dgm:pt modelId="{DC414B1F-BAA8-A144-B0DF-E9A6DEABD57F}">
      <dgm:prSet phldrT="[Text]"/>
      <dgm:spPr/>
      <dgm:t>
        <a:bodyPr/>
        <a:lstStyle/>
        <a:p>
          <a:r>
            <a:rPr lang="en-GB"/>
            <a:t>Finalize template report with information for the previous 6 months-submit to REDD+ Safeguards TWC</a:t>
          </a:r>
        </a:p>
      </dgm:t>
    </dgm:pt>
    <dgm:pt modelId="{2D990C0B-E857-324D-BEB6-87EA13CA3CA9}" type="parTrans" cxnId="{12EDCD35-6BEC-7445-B2DA-8791DF06A93C}">
      <dgm:prSet/>
      <dgm:spPr/>
      <dgm:t>
        <a:bodyPr/>
        <a:lstStyle/>
        <a:p>
          <a:endParaRPr lang="en-GB"/>
        </a:p>
      </dgm:t>
    </dgm:pt>
    <dgm:pt modelId="{EE8A9AE6-76BF-0747-A3CC-EA2138DB800D}" type="sibTrans" cxnId="{12EDCD35-6BEC-7445-B2DA-8791DF06A93C}">
      <dgm:prSet/>
      <dgm:spPr/>
      <dgm:t>
        <a:bodyPr/>
        <a:lstStyle/>
        <a:p>
          <a:endParaRPr lang="en-GB"/>
        </a:p>
      </dgm:t>
    </dgm:pt>
    <dgm:pt modelId="{4DC1E883-155C-1747-A718-15684FD7B92A}" type="pres">
      <dgm:prSet presAssocID="{1B3660B5-08A0-1443-AFB1-A31E8D32A377}" presName="Name0" presStyleCnt="0">
        <dgm:presLayoutVars>
          <dgm:chMax val="7"/>
          <dgm:chPref val="7"/>
          <dgm:dir/>
          <dgm:animOne val="branch"/>
          <dgm:animLvl val="lvl"/>
        </dgm:presLayoutVars>
      </dgm:prSet>
      <dgm:spPr/>
    </dgm:pt>
    <dgm:pt modelId="{DB590C08-0176-6947-8127-14908559D8DD}" type="pres">
      <dgm:prSet presAssocID="{62ADC1E2-74EA-E141-9CCE-593D56F065E6}" presName="composite" presStyleCnt="0"/>
      <dgm:spPr/>
    </dgm:pt>
    <dgm:pt modelId="{49442025-891D-EE45-8B1F-9A6AB992567B}" type="pres">
      <dgm:prSet presAssocID="{62ADC1E2-74EA-E141-9CCE-593D56F065E6}" presName="BackAccent" presStyleLbl="bgShp" presStyleIdx="0" presStyleCnt="3"/>
      <dgm:spPr/>
    </dgm:pt>
    <dgm:pt modelId="{BF0A96F0-6C61-1643-A7A9-2FBD79D77391}" type="pres">
      <dgm:prSet presAssocID="{62ADC1E2-74EA-E141-9CCE-593D56F065E6}" presName="Accent" presStyleLbl="alignNode1" presStyleIdx="0" presStyleCnt="3"/>
      <dgm:spPr/>
    </dgm:pt>
    <dgm:pt modelId="{220C9F8A-12C8-4949-8094-65B27F03111F}" type="pres">
      <dgm:prSet presAssocID="{62ADC1E2-74EA-E141-9CCE-593D56F065E6}" presName="Child" presStyleLbl="revTx" presStyleIdx="0" presStyleCnt="6">
        <dgm:presLayoutVars>
          <dgm:chMax val="0"/>
          <dgm:chPref val="0"/>
          <dgm:bulletEnabled val="1"/>
        </dgm:presLayoutVars>
      </dgm:prSet>
      <dgm:spPr/>
    </dgm:pt>
    <dgm:pt modelId="{3A03F68E-FDCD-0F4E-8FEF-AE462563D55B}" type="pres">
      <dgm:prSet presAssocID="{62ADC1E2-74EA-E141-9CCE-593D56F065E6}" presName="Parent" presStyleLbl="revTx" presStyleIdx="1" presStyleCnt="6">
        <dgm:presLayoutVars>
          <dgm:chMax val="1"/>
          <dgm:chPref val="1"/>
          <dgm:bulletEnabled val="1"/>
        </dgm:presLayoutVars>
      </dgm:prSet>
      <dgm:spPr/>
    </dgm:pt>
    <dgm:pt modelId="{19699A43-1FC8-C740-BC26-FF94F0CE8CC5}" type="pres">
      <dgm:prSet presAssocID="{4062B724-C504-3E43-9D4C-4F49BF025F5A}" presName="sibTrans" presStyleCnt="0"/>
      <dgm:spPr/>
    </dgm:pt>
    <dgm:pt modelId="{2DE8EF3E-C706-5543-93D8-8AA27D95BE36}" type="pres">
      <dgm:prSet presAssocID="{20769EF5-D7B2-5647-A003-1BFAFF571BB4}" presName="composite" presStyleCnt="0"/>
      <dgm:spPr/>
    </dgm:pt>
    <dgm:pt modelId="{EED5272A-30E2-FD4F-86D9-3005742EE68B}" type="pres">
      <dgm:prSet presAssocID="{20769EF5-D7B2-5647-A003-1BFAFF571BB4}" presName="BackAccent" presStyleLbl="bgShp" presStyleIdx="1" presStyleCnt="3"/>
      <dgm:spPr/>
    </dgm:pt>
    <dgm:pt modelId="{769B1F97-316F-2842-84DD-CB4B8D0C0655}" type="pres">
      <dgm:prSet presAssocID="{20769EF5-D7B2-5647-A003-1BFAFF571BB4}" presName="Accent" presStyleLbl="alignNode1" presStyleIdx="1" presStyleCnt="3"/>
      <dgm:spPr/>
    </dgm:pt>
    <dgm:pt modelId="{6B7A6832-E83A-3C41-8E4E-78B6DED527B2}" type="pres">
      <dgm:prSet presAssocID="{20769EF5-D7B2-5647-A003-1BFAFF571BB4}" presName="Child" presStyleLbl="revTx" presStyleIdx="2" presStyleCnt="6">
        <dgm:presLayoutVars>
          <dgm:chMax val="0"/>
          <dgm:chPref val="0"/>
          <dgm:bulletEnabled val="1"/>
        </dgm:presLayoutVars>
      </dgm:prSet>
      <dgm:spPr/>
    </dgm:pt>
    <dgm:pt modelId="{98FBC25E-C619-8D47-A02E-C334DB59B747}" type="pres">
      <dgm:prSet presAssocID="{20769EF5-D7B2-5647-A003-1BFAFF571BB4}" presName="Parent" presStyleLbl="revTx" presStyleIdx="3" presStyleCnt="6">
        <dgm:presLayoutVars>
          <dgm:chMax val="1"/>
          <dgm:chPref val="1"/>
          <dgm:bulletEnabled val="1"/>
        </dgm:presLayoutVars>
      </dgm:prSet>
      <dgm:spPr/>
    </dgm:pt>
    <dgm:pt modelId="{6F20B2EA-420B-4D4D-A7A1-28BE41CDD8BA}" type="pres">
      <dgm:prSet presAssocID="{7D864422-09C1-0C44-902A-CAD496C7A4C8}" presName="sibTrans" presStyleCnt="0"/>
      <dgm:spPr/>
    </dgm:pt>
    <dgm:pt modelId="{6875FB81-C9D6-E846-8EE6-51C57A1A826F}" type="pres">
      <dgm:prSet presAssocID="{AAFD542B-EB2D-CB4C-AE9B-953214A7E0B8}" presName="composite" presStyleCnt="0"/>
      <dgm:spPr/>
    </dgm:pt>
    <dgm:pt modelId="{A392846A-B7B2-E44A-ABC4-AFCC68095687}" type="pres">
      <dgm:prSet presAssocID="{AAFD542B-EB2D-CB4C-AE9B-953214A7E0B8}" presName="BackAccent" presStyleLbl="bgShp" presStyleIdx="2" presStyleCnt="3"/>
      <dgm:spPr/>
    </dgm:pt>
    <dgm:pt modelId="{B98109DF-2A10-DA4E-8A48-F1B5F933EB17}" type="pres">
      <dgm:prSet presAssocID="{AAFD542B-EB2D-CB4C-AE9B-953214A7E0B8}" presName="Accent" presStyleLbl="alignNode1" presStyleIdx="2" presStyleCnt="3"/>
      <dgm:spPr/>
    </dgm:pt>
    <dgm:pt modelId="{BE0D7FE2-DD51-7948-BAC1-8F5E7A7632AF}" type="pres">
      <dgm:prSet presAssocID="{AAFD542B-EB2D-CB4C-AE9B-953214A7E0B8}" presName="Child" presStyleLbl="revTx" presStyleIdx="4" presStyleCnt="6">
        <dgm:presLayoutVars>
          <dgm:chMax val="0"/>
          <dgm:chPref val="0"/>
          <dgm:bulletEnabled val="1"/>
        </dgm:presLayoutVars>
      </dgm:prSet>
      <dgm:spPr/>
    </dgm:pt>
    <dgm:pt modelId="{7DB9BE32-C7B9-7A42-80A8-D2C75D7B6512}" type="pres">
      <dgm:prSet presAssocID="{AAFD542B-EB2D-CB4C-AE9B-953214A7E0B8}" presName="Parent" presStyleLbl="revTx" presStyleIdx="5" presStyleCnt="6">
        <dgm:presLayoutVars>
          <dgm:chMax val="1"/>
          <dgm:chPref val="1"/>
          <dgm:bulletEnabled val="1"/>
        </dgm:presLayoutVars>
      </dgm:prSet>
      <dgm:spPr/>
    </dgm:pt>
  </dgm:ptLst>
  <dgm:cxnLst>
    <dgm:cxn modelId="{C533730D-73AB-7C47-8DDB-F369C29CAF6D}" type="presOf" srcId="{7BCCC70D-1103-B242-83F0-EB2BD16BE761}" destId="{220C9F8A-12C8-4949-8094-65B27F03111F}" srcOrd="0" destOrd="0" presId="urn:microsoft.com/office/officeart/2008/layout/IncreasingCircleProcess"/>
    <dgm:cxn modelId="{12EDCD35-6BEC-7445-B2DA-8791DF06A93C}" srcId="{AAFD542B-EB2D-CB4C-AE9B-953214A7E0B8}" destId="{DC414B1F-BAA8-A144-B0DF-E9A6DEABD57F}" srcOrd="0" destOrd="0" parTransId="{2D990C0B-E857-324D-BEB6-87EA13CA3CA9}" sibTransId="{EE8A9AE6-76BF-0747-A3CC-EA2138DB800D}"/>
    <dgm:cxn modelId="{55671084-42A4-D04D-97D3-BE1BC9B20A8C}" type="presOf" srcId="{AAFD542B-EB2D-CB4C-AE9B-953214A7E0B8}" destId="{7DB9BE32-C7B9-7A42-80A8-D2C75D7B6512}" srcOrd="0" destOrd="0" presId="urn:microsoft.com/office/officeart/2008/layout/IncreasingCircleProcess"/>
    <dgm:cxn modelId="{83ABF186-83EC-984E-B691-63F8203943C2}" srcId="{1B3660B5-08A0-1443-AFB1-A31E8D32A377}" destId="{62ADC1E2-74EA-E141-9CCE-593D56F065E6}" srcOrd="0" destOrd="0" parTransId="{6C4C2027-6A91-3044-9E7C-807BFA3B971C}" sibTransId="{4062B724-C504-3E43-9D4C-4F49BF025F5A}"/>
    <dgm:cxn modelId="{0FE8E688-6E44-6A4D-939D-1B415EC50C5A}" srcId="{62ADC1E2-74EA-E141-9CCE-593D56F065E6}" destId="{7BCCC70D-1103-B242-83F0-EB2BD16BE761}" srcOrd="0" destOrd="0" parTransId="{29CCCC3F-A970-DA45-8A83-99CDF95521B0}" sibTransId="{5437348E-B8C6-4F40-9CD5-2BD25CBFCF56}"/>
    <dgm:cxn modelId="{0C3AEFA5-38E9-4041-9822-7C6ADD9BEA4A}" type="presOf" srcId="{6612D762-4247-B44F-975F-B315B570B30A}" destId="{6B7A6832-E83A-3C41-8E4E-78B6DED527B2}" srcOrd="0" destOrd="0" presId="urn:microsoft.com/office/officeart/2008/layout/IncreasingCircleProcess"/>
    <dgm:cxn modelId="{FCBF47BC-C1D0-D84C-92D1-5CAEFC730907}" srcId="{1B3660B5-08A0-1443-AFB1-A31E8D32A377}" destId="{AAFD542B-EB2D-CB4C-AE9B-953214A7E0B8}" srcOrd="2" destOrd="0" parTransId="{16F7FF3F-2198-F24F-84D1-BBE6BC82CF70}" sibTransId="{6E98785A-3963-AE4D-AF1C-332EFEE23E67}"/>
    <dgm:cxn modelId="{21053FC7-B019-CA49-9714-3950F70E7474}" srcId="{1B3660B5-08A0-1443-AFB1-A31E8D32A377}" destId="{20769EF5-D7B2-5647-A003-1BFAFF571BB4}" srcOrd="1" destOrd="0" parTransId="{6C968F93-C1BB-1546-ACE9-A90499F40A02}" sibTransId="{7D864422-09C1-0C44-902A-CAD496C7A4C8}"/>
    <dgm:cxn modelId="{9A7C20D4-B7EA-C342-A117-5240E3A902A6}" type="presOf" srcId="{DC414B1F-BAA8-A144-B0DF-E9A6DEABD57F}" destId="{BE0D7FE2-DD51-7948-BAC1-8F5E7A7632AF}" srcOrd="0" destOrd="0" presId="urn:microsoft.com/office/officeart/2008/layout/IncreasingCircleProcess"/>
    <dgm:cxn modelId="{D6BDCED5-5E50-1B43-9F6F-F7EE721FEE70}" type="presOf" srcId="{62ADC1E2-74EA-E141-9CCE-593D56F065E6}" destId="{3A03F68E-FDCD-0F4E-8FEF-AE462563D55B}" srcOrd="0" destOrd="0" presId="urn:microsoft.com/office/officeart/2008/layout/IncreasingCircleProcess"/>
    <dgm:cxn modelId="{189C61F2-379C-314B-A4F6-7874363504B5}" type="presOf" srcId="{20769EF5-D7B2-5647-A003-1BFAFF571BB4}" destId="{98FBC25E-C619-8D47-A02E-C334DB59B747}" srcOrd="0" destOrd="0" presId="urn:microsoft.com/office/officeart/2008/layout/IncreasingCircleProcess"/>
    <dgm:cxn modelId="{F1B471FA-3465-B846-892B-BD8454DCD3BF}" type="presOf" srcId="{1B3660B5-08A0-1443-AFB1-A31E8D32A377}" destId="{4DC1E883-155C-1747-A718-15684FD7B92A}" srcOrd="0" destOrd="0" presId="urn:microsoft.com/office/officeart/2008/layout/IncreasingCircleProcess"/>
    <dgm:cxn modelId="{FDF399FE-F319-ED43-B1BD-FB79CF3D85A9}" srcId="{20769EF5-D7B2-5647-A003-1BFAFF571BB4}" destId="{6612D762-4247-B44F-975F-B315B570B30A}" srcOrd="0" destOrd="0" parTransId="{D4309207-B0A8-7146-8029-F88A65A059AF}" sibTransId="{7D13201A-B843-134B-B4F4-33870D5EEEA8}"/>
    <dgm:cxn modelId="{7B81B051-EC8C-5747-B16B-AF2F8C9752FD}" type="presParOf" srcId="{4DC1E883-155C-1747-A718-15684FD7B92A}" destId="{DB590C08-0176-6947-8127-14908559D8DD}" srcOrd="0" destOrd="0" presId="urn:microsoft.com/office/officeart/2008/layout/IncreasingCircleProcess"/>
    <dgm:cxn modelId="{1FE55403-D390-0B49-9B93-A9EAE5784B5B}" type="presParOf" srcId="{DB590C08-0176-6947-8127-14908559D8DD}" destId="{49442025-891D-EE45-8B1F-9A6AB992567B}" srcOrd="0" destOrd="0" presId="urn:microsoft.com/office/officeart/2008/layout/IncreasingCircleProcess"/>
    <dgm:cxn modelId="{16EDAE16-6A3A-4C46-A414-6BA2887D8FA1}" type="presParOf" srcId="{DB590C08-0176-6947-8127-14908559D8DD}" destId="{BF0A96F0-6C61-1643-A7A9-2FBD79D77391}" srcOrd="1" destOrd="0" presId="urn:microsoft.com/office/officeart/2008/layout/IncreasingCircleProcess"/>
    <dgm:cxn modelId="{846580FA-5034-3F43-A208-A0EAE2D863A2}" type="presParOf" srcId="{DB590C08-0176-6947-8127-14908559D8DD}" destId="{220C9F8A-12C8-4949-8094-65B27F03111F}" srcOrd="2" destOrd="0" presId="urn:microsoft.com/office/officeart/2008/layout/IncreasingCircleProcess"/>
    <dgm:cxn modelId="{5A4C3340-51DA-2841-A838-7CBC56CC511F}" type="presParOf" srcId="{DB590C08-0176-6947-8127-14908559D8DD}" destId="{3A03F68E-FDCD-0F4E-8FEF-AE462563D55B}" srcOrd="3" destOrd="0" presId="urn:microsoft.com/office/officeart/2008/layout/IncreasingCircleProcess"/>
    <dgm:cxn modelId="{CA73D310-EA82-A547-B3AB-52FFB1E65DBE}" type="presParOf" srcId="{4DC1E883-155C-1747-A718-15684FD7B92A}" destId="{19699A43-1FC8-C740-BC26-FF94F0CE8CC5}" srcOrd="1" destOrd="0" presId="urn:microsoft.com/office/officeart/2008/layout/IncreasingCircleProcess"/>
    <dgm:cxn modelId="{74F3E609-FD6C-A34D-913F-EE2CC50FAE0B}" type="presParOf" srcId="{4DC1E883-155C-1747-A718-15684FD7B92A}" destId="{2DE8EF3E-C706-5543-93D8-8AA27D95BE36}" srcOrd="2" destOrd="0" presId="urn:microsoft.com/office/officeart/2008/layout/IncreasingCircleProcess"/>
    <dgm:cxn modelId="{A2C40E32-0BD0-E64C-8B1E-9DC8DD4204D8}" type="presParOf" srcId="{2DE8EF3E-C706-5543-93D8-8AA27D95BE36}" destId="{EED5272A-30E2-FD4F-86D9-3005742EE68B}" srcOrd="0" destOrd="0" presId="urn:microsoft.com/office/officeart/2008/layout/IncreasingCircleProcess"/>
    <dgm:cxn modelId="{B984CFAD-14E1-7645-83EE-425C0BD4BC4F}" type="presParOf" srcId="{2DE8EF3E-C706-5543-93D8-8AA27D95BE36}" destId="{769B1F97-316F-2842-84DD-CB4B8D0C0655}" srcOrd="1" destOrd="0" presId="urn:microsoft.com/office/officeart/2008/layout/IncreasingCircleProcess"/>
    <dgm:cxn modelId="{45C4A5E9-86DE-DF49-8ED0-5F02AC7D891E}" type="presParOf" srcId="{2DE8EF3E-C706-5543-93D8-8AA27D95BE36}" destId="{6B7A6832-E83A-3C41-8E4E-78B6DED527B2}" srcOrd="2" destOrd="0" presId="urn:microsoft.com/office/officeart/2008/layout/IncreasingCircleProcess"/>
    <dgm:cxn modelId="{F3168C0F-9CEC-A745-A263-E89E0C1A2DA9}" type="presParOf" srcId="{2DE8EF3E-C706-5543-93D8-8AA27D95BE36}" destId="{98FBC25E-C619-8D47-A02E-C334DB59B747}" srcOrd="3" destOrd="0" presId="urn:microsoft.com/office/officeart/2008/layout/IncreasingCircleProcess"/>
    <dgm:cxn modelId="{9C3F6F3E-174C-F843-9F12-583AFF8C7192}" type="presParOf" srcId="{4DC1E883-155C-1747-A718-15684FD7B92A}" destId="{6F20B2EA-420B-4D4D-A7A1-28BE41CDD8BA}" srcOrd="3" destOrd="0" presId="urn:microsoft.com/office/officeart/2008/layout/IncreasingCircleProcess"/>
    <dgm:cxn modelId="{9C3EA336-0267-2747-AF7F-2F36E18890B8}" type="presParOf" srcId="{4DC1E883-155C-1747-A718-15684FD7B92A}" destId="{6875FB81-C9D6-E846-8EE6-51C57A1A826F}" srcOrd="4" destOrd="0" presId="urn:microsoft.com/office/officeart/2008/layout/IncreasingCircleProcess"/>
    <dgm:cxn modelId="{DB7593D4-248A-0842-A417-943204AB3DB7}" type="presParOf" srcId="{6875FB81-C9D6-E846-8EE6-51C57A1A826F}" destId="{A392846A-B7B2-E44A-ABC4-AFCC68095687}" srcOrd="0" destOrd="0" presId="urn:microsoft.com/office/officeart/2008/layout/IncreasingCircleProcess"/>
    <dgm:cxn modelId="{1CB35DD1-6F19-964F-8A67-895B7CDBA877}" type="presParOf" srcId="{6875FB81-C9D6-E846-8EE6-51C57A1A826F}" destId="{B98109DF-2A10-DA4E-8A48-F1B5F933EB17}" srcOrd="1" destOrd="0" presId="urn:microsoft.com/office/officeart/2008/layout/IncreasingCircleProcess"/>
    <dgm:cxn modelId="{A1CE0038-50C1-7242-A571-BFA631C5508F}" type="presParOf" srcId="{6875FB81-C9D6-E846-8EE6-51C57A1A826F}" destId="{BE0D7FE2-DD51-7948-BAC1-8F5E7A7632AF}" srcOrd="2" destOrd="0" presId="urn:microsoft.com/office/officeart/2008/layout/IncreasingCircleProcess"/>
    <dgm:cxn modelId="{EEE9CE9B-A76A-5E4E-82B6-997A621F2121}" type="presParOf" srcId="{6875FB81-C9D6-E846-8EE6-51C57A1A826F}" destId="{7DB9BE32-C7B9-7A42-80A8-D2C75D7B6512}" srcOrd="3" destOrd="0" presId="urn:microsoft.com/office/officeart/2008/layout/IncreasingCircleProces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D5272A-30E2-FD4F-86D9-3005742EE68B}">
      <dsp:nvSpPr>
        <dsp:cNvPr id="0" name=""/>
        <dsp:cNvSpPr/>
      </dsp:nvSpPr>
      <dsp:spPr>
        <a:xfrm>
          <a:off x="925483" y="0"/>
          <a:ext cx="425611" cy="425611"/>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69B1F97-316F-2842-84DD-CB4B8D0C0655}">
      <dsp:nvSpPr>
        <dsp:cNvPr id="0" name=""/>
        <dsp:cNvSpPr/>
      </dsp:nvSpPr>
      <dsp:spPr>
        <a:xfrm>
          <a:off x="968044" y="42561"/>
          <a:ext cx="340489" cy="340489"/>
        </a:xfrm>
        <a:prstGeom prst="chord">
          <a:avLst>
            <a:gd name="adj1" fmla="val 0"/>
            <a:gd name="adj2" fmla="val 108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B7A6832-E83A-3C41-8E4E-78B6DED527B2}">
      <dsp:nvSpPr>
        <dsp:cNvPr id="0" name=""/>
        <dsp:cNvSpPr/>
      </dsp:nvSpPr>
      <dsp:spPr>
        <a:xfrm>
          <a:off x="1439763" y="425611"/>
          <a:ext cx="1259101" cy="17911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3020" tIns="33020" rIns="33020" bIns="33020" numCol="1" spcCol="1270" anchor="t" anchorCtr="0">
          <a:noAutofit/>
        </a:bodyPr>
        <a:lstStyle/>
        <a:p>
          <a:pPr marL="0" lvl="0" indent="0" algn="l" defTabSz="577850">
            <a:lnSpc>
              <a:spcPct val="90000"/>
            </a:lnSpc>
            <a:spcBef>
              <a:spcPct val="0"/>
            </a:spcBef>
            <a:spcAft>
              <a:spcPct val="35000"/>
            </a:spcAft>
            <a:buNone/>
          </a:pPr>
          <a:r>
            <a:rPr lang="en-GB" sz="1300" kern="1200"/>
            <a:t>Prepare template-focusing on baseline information</a:t>
          </a:r>
        </a:p>
      </dsp:txBody>
      <dsp:txXfrm>
        <a:off x="1439763" y="425611"/>
        <a:ext cx="1259101" cy="1791116"/>
      </dsp:txXfrm>
    </dsp:sp>
    <dsp:sp modelId="{98FBC25E-C619-8D47-A02E-C334DB59B747}">
      <dsp:nvSpPr>
        <dsp:cNvPr id="0" name=""/>
        <dsp:cNvSpPr/>
      </dsp:nvSpPr>
      <dsp:spPr>
        <a:xfrm>
          <a:off x="1439763" y="0"/>
          <a:ext cx="1259101" cy="4256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3020" tIns="33020" rIns="33020" bIns="33020" numCol="1" spcCol="1270" anchor="b" anchorCtr="0">
          <a:noAutofit/>
        </a:bodyPr>
        <a:lstStyle/>
        <a:p>
          <a:pPr marL="0" lvl="0" indent="0" algn="l" defTabSz="577850">
            <a:lnSpc>
              <a:spcPct val="90000"/>
            </a:lnSpc>
            <a:spcBef>
              <a:spcPct val="0"/>
            </a:spcBef>
            <a:spcAft>
              <a:spcPct val="35000"/>
            </a:spcAft>
            <a:buNone/>
          </a:pPr>
          <a:r>
            <a:rPr lang="en-GB" sz="1300" b="1" kern="1200"/>
            <a:t>First Meeting</a:t>
          </a:r>
        </a:p>
      </dsp:txBody>
      <dsp:txXfrm>
        <a:off x="1439763" y="0"/>
        <a:ext cx="1259101" cy="425611"/>
      </dsp:txXfrm>
    </dsp:sp>
    <dsp:sp modelId="{A392846A-B7B2-E44A-ABC4-AFCC68095687}">
      <dsp:nvSpPr>
        <dsp:cNvPr id="0" name=""/>
        <dsp:cNvSpPr/>
      </dsp:nvSpPr>
      <dsp:spPr>
        <a:xfrm>
          <a:off x="2787534" y="0"/>
          <a:ext cx="425611" cy="425611"/>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98109DF-2A10-DA4E-8A48-F1B5F933EB17}">
      <dsp:nvSpPr>
        <dsp:cNvPr id="0" name=""/>
        <dsp:cNvSpPr/>
      </dsp:nvSpPr>
      <dsp:spPr>
        <a:xfrm>
          <a:off x="2830095" y="42561"/>
          <a:ext cx="340489" cy="340489"/>
        </a:xfrm>
        <a:prstGeom prst="chord">
          <a:avLst>
            <a:gd name="adj1" fmla="val 16200000"/>
            <a:gd name="adj2" fmla="val 162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0D7FE2-DD51-7948-BAC1-8F5E7A7632AF}">
      <dsp:nvSpPr>
        <dsp:cNvPr id="0" name=""/>
        <dsp:cNvSpPr/>
      </dsp:nvSpPr>
      <dsp:spPr>
        <a:xfrm>
          <a:off x="3301815" y="425611"/>
          <a:ext cx="1259101" cy="17911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3020" tIns="33020" rIns="33020" bIns="33020" numCol="1" spcCol="1270" anchor="t" anchorCtr="0">
          <a:noAutofit/>
        </a:bodyPr>
        <a:lstStyle/>
        <a:p>
          <a:pPr marL="0" lvl="0" indent="0" algn="l" defTabSz="577850">
            <a:lnSpc>
              <a:spcPct val="90000"/>
            </a:lnSpc>
            <a:spcBef>
              <a:spcPct val="0"/>
            </a:spcBef>
            <a:spcAft>
              <a:spcPct val="35000"/>
            </a:spcAft>
            <a:buNone/>
          </a:pPr>
          <a:r>
            <a:rPr lang="en-GB" sz="1300" kern="1200"/>
            <a:t>Finalize template report - submit to online SIS database</a:t>
          </a:r>
        </a:p>
      </dsp:txBody>
      <dsp:txXfrm>
        <a:off x="3301815" y="425611"/>
        <a:ext cx="1259101" cy="1791116"/>
      </dsp:txXfrm>
    </dsp:sp>
    <dsp:sp modelId="{7DB9BE32-C7B9-7A42-80A8-D2C75D7B6512}">
      <dsp:nvSpPr>
        <dsp:cNvPr id="0" name=""/>
        <dsp:cNvSpPr/>
      </dsp:nvSpPr>
      <dsp:spPr>
        <a:xfrm>
          <a:off x="3301815" y="0"/>
          <a:ext cx="1259101" cy="4256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3020" tIns="33020" rIns="33020" bIns="33020" numCol="1" spcCol="1270" anchor="b" anchorCtr="0">
          <a:noAutofit/>
        </a:bodyPr>
        <a:lstStyle/>
        <a:p>
          <a:pPr marL="0" lvl="0" indent="0" algn="l" defTabSz="577850">
            <a:lnSpc>
              <a:spcPct val="90000"/>
            </a:lnSpc>
            <a:spcBef>
              <a:spcPct val="0"/>
            </a:spcBef>
            <a:spcAft>
              <a:spcPct val="35000"/>
            </a:spcAft>
            <a:buNone/>
          </a:pPr>
          <a:r>
            <a:rPr lang="en-GB" sz="1300" b="1" kern="1200"/>
            <a:t>Second Meeting</a:t>
          </a:r>
        </a:p>
      </dsp:txBody>
      <dsp:txXfrm>
        <a:off x="3301815" y="0"/>
        <a:ext cx="1259101" cy="4256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442025-891D-EE45-8B1F-9A6AB992567B}">
      <dsp:nvSpPr>
        <dsp:cNvPr id="0" name=""/>
        <dsp:cNvSpPr/>
      </dsp:nvSpPr>
      <dsp:spPr>
        <a:xfrm>
          <a:off x="2510" y="0"/>
          <a:ext cx="424364" cy="424364"/>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F0A96F0-6C61-1643-A7A9-2FBD79D77391}">
      <dsp:nvSpPr>
        <dsp:cNvPr id="0" name=""/>
        <dsp:cNvSpPr/>
      </dsp:nvSpPr>
      <dsp:spPr>
        <a:xfrm>
          <a:off x="44946" y="42436"/>
          <a:ext cx="339491" cy="339491"/>
        </a:xfrm>
        <a:prstGeom prst="chord">
          <a:avLst>
            <a:gd name="adj1" fmla="val 1168272"/>
            <a:gd name="adj2" fmla="val 9631728"/>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0C9F8A-12C8-4949-8094-65B27F03111F}">
      <dsp:nvSpPr>
        <dsp:cNvPr id="0" name=""/>
        <dsp:cNvSpPr/>
      </dsp:nvSpPr>
      <dsp:spPr>
        <a:xfrm>
          <a:off x="515284" y="424364"/>
          <a:ext cx="1255412" cy="17858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l" defTabSz="488950">
            <a:lnSpc>
              <a:spcPct val="90000"/>
            </a:lnSpc>
            <a:spcBef>
              <a:spcPct val="0"/>
            </a:spcBef>
            <a:spcAft>
              <a:spcPct val="35000"/>
            </a:spcAft>
            <a:buNone/>
          </a:pPr>
          <a:r>
            <a:rPr lang="en-GB" sz="1100" kern="1200"/>
            <a:t>Prepare template-focusing on baseline information</a:t>
          </a:r>
        </a:p>
      </dsp:txBody>
      <dsp:txXfrm>
        <a:off x="515284" y="424364"/>
        <a:ext cx="1255412" cy="1785868"/>
      </dsp:txXfrm>
    </dsp:sp>
    <dsp:sp modelId="{3A03F68E-FDCD-0F4E-8FEF-AE462563D55B}">
      <dsp:nvSpPr>
        <dsp:cNvPr id="0" name=""/>
        <dsp:cNvSpPr/>
      </dsp:nvSpPr>
      <dsp:spPr>
        <a:xfrm>
          <a:off x="515284" y="0"/>
          <a:ext cx="1255412" cy="4243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b" anchorCtr="0">
          <a:noAutofit/>
        </a:bodyPr>
        <a:lstStyle/>
        <a:p>
          <a:pPr marL="0" lvl="0" indent="0" algn="l" defTabSz="488950">
            <a:lnSpc>
              <a:spcPct val="90000"/>
            </a:lnSpc>
            <a:spcBef>
              <a:spcPct val="0"/>
            </a:spcBef>
            <a:spcAft>
              <a:spcPct val="35000"/>
            </a:spcAft>
            <a:buNone/>
          </a:pPr>
          <a:r>
            <a:rPr lang="en-GB" sz="1100" b="1" kern="1200"/>
            <a:t>First Meeting of REDD+ implementor</a:t>
          </a:r>
        </a:p>
      </dsp:txBody>
      <dsp:txXfrm>
        <a:off x="515284" y="0"/>
        <a:ext cx="1255412" cy="424364"/>
      </dsp:txXfrm>
    </dsp:sp>
    <dsp:sp modelId="{EED5272A-30E2-FD4F-86D9-3005742EE68B}">
      <dsp:nvSpPr>
        <dsp:cNvPr id="0" name=""/>
        <dsp:cNvSpPr/>
      </dsp:nvSpPr>
      <dsp:spPr>
        <a:xfrm>
          <a:off x="1859106" y="0"/>
          <a:ext cx="424364" cy="424364"/>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69B1F97-316F-2842-84DD-CB4B8D0C0655}">
      <dsp:nvSpPr>
        <dsp:cNvPr id="0" name=""/>
        <dsp:cNvSpPr/>
      </dsp:nvSpPr>
      <dsp:spPr>
        <a:xfrm>
          <a:off x="1901543" y="42436"/>
          <a:ext cx="339491" cy="339491"/>
        </a:xfrm>
        <a:prstGeom prst="chord">
          <a:avLst>
            <a:gd name="adj1" fmla="val 20431728"/>
            <a:gd name="adj2" fmla="val 11968272"/>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B7A6832-E83A-3C41-8E4E-78B6DED527B2}">
      <dsp:nvSpPr>
        <dsp:cNvPr id="0" name=""/>
        <dsp:cNvSpPr/>
      </dsp:nvSpPr>
      <dsp:spPr>
        <a:xfrm>
          <a:off x="2371880" y="424364"/>
          <a:ext cx="1255412" cy="17858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l" defTabSz="488950">
            <a:lnSpc>
              <a:spcPct val="90000"/>
            </a:lnSpc>
            <a:spcBef>
              <a:spcPct val="0"/>
            </a:spcBef>
            <a:spcAft>
              <a:spcPct val="35000"/>
            </a:spcAft>
            <a:buNone/>
          </a:pPr>
          <a:r>
            <a:rPr lang="en-GB" sz="1100" kern="1200"/>
            <a:t>Update template with additional information collected over last 6 months</a:t>
          </a:r>
        </a:p>
      </dsp:txBody>
      <dsp:txXfrm>
        <a:off x="2371880" y="424364"/>
        <a:ext cx="1255412" cy="1785868"/>
      </dsp:txXfrm>
    </dsp:sp>
    <dsp:sp modelId="{98FBC25E-C619-8D47-A02E-C334DB59B747}">
      <dsp:nvSpPr>
        <dsp:cNvPr id="0" name=""/>
        <dsp:cNvSpPr/>
      </dsp:nvSpPr>
      <dsp:spPr>
        <a:xfrm>
          <a:off x="2371880" y="0"/>
          <a:ext cx="1255412" cy="4243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b" anchorCtr="0">
          <a:noAutofit/>
        </a:bodyPr>
        <a:lstStyle/>
        <a:p>
          <a:pPr marL="0" lvl="0" indent="0" algn="l" defTabSz="488950">
            <a:lnSpc>
              <a:spcPct val="90000"/>
            </a:lnSpc>
            <a:spcBef>
              <a:spcPct val="0"/>
            </a:spcBef>
            <a:spcAft>
              <a:spcPct val="35000"/>
            </a:spcAft>
            <a:buNone/>
          </a:pPr>
          <a:r>
            <a:rPr lang="en-GB" sz="1100" b="1" kern="1200"/>
            <a:t>Second Meeting of REDD+ implementor</a:t>
          </a:r>
        </a:p>
      </dsp:txBody>
      <dsp:txXfrm>
        <a:off x="2371880" y="0"/>
        <a:ext cx="1255412" cy="424364"/>
      </dsp:txXfrm>
    </dsp:sp>
    <dsp:sp modelId="{A392846A-B7B2-E44A-ABC4-AFCC68095687}">
      <dsp:nvSpPr>
        <dsp:cNvPr id="0" name=""/>
        <dsp:cNvSpPr/>
      </dsp:nvSpPr>
      <dsp:spPr>
        <a:xfrm>
          <a:off x="3715702" y="0"/>
          <a:ext cx="424364" cy="424364"/>
        </a:xfrm>
        <a:prstGeom prst="ellipse">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98109DF-2A10-DA4E-8A48-F1B5F933EB17}">
      <dsp:nvSpPr>
        <dsp:cNvPr id="0" name=""/>
        <dsp:cNvSpPr/>
      </dsp:nvSpPr>
      <dsp:spPr>
        <a:xfrm>
          <a:off x="3758139" y="42436"/>
          <a:ext cx="339491" cy="339491"/>
        </a:xfrm>
        <a:prstGeom prst="chord">
          <a:avLst>
            <a:gd name="adj1" fmla="val 16200000"/>
            <a:gd name="adj2" fmla="val 162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0D7FE2-DD51-7948-BAC1-8F5E7A7632AF}">
      <dsp:nvSpPr>
        <dsp:cNvPr id="0" name=""/>
        <dsp:cNvSpPr/>
      </dsp:nvSpPr>
      <dsp:spPr>
        <a:xfrm>
          <a:off x="4228477" y="424364"/>
          <a:ext cx="1255412" cy="17858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l" defTabSz="488950">
            <a:lnSpc>
              <a:spcPct val="90000"/>
            </a:lnSpc>
            <a:spcBef>
              <a:spcPct val="0"/>
            </a:spcBef>
            <a:spcAft>
              <a:spcPct val="35000"/>
            </a:spcAft>
            <a:buNone/>
          </a:pPr>
          <a:r>
            <a:rPr lang="en-GB" sz="1100" kern="1200"/>
            <a:t>Finalize template report with information for the previous 6 months-submit to REDD+ Safeguards TWC</a:t>
          </a:r>
        </a:p>
      </dsp:txBody>
      <dsp:txXfrm>
        <a:off x="4228477" y="424364"/>
        <a:ext cx="1255412" cy="1785868"/>
      </dsp:txXfrm>
    </dsp:sp>
    <dsp:sp modelId="{7DB9BE32-C7B9-7A42-80A8-D2C75D7B6512}">
      <dsp:nvSpPr>
        <dsp:cNvPr id="0" name=""/>
        <dsp:cNvSpPr/>
      </dsp:nvSpPr>
      <dsp:spPr>
        <a:xfrm>
          <a:off x="4228477" y="0"/>
          <a:ext cx="1255412" cy="4243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b" anchorCtr="0">
          <a:noAutofit/>
        </a:bodyPr>
        <a:lstStyle/>
        <a:p>
          <a:pPr marL="0" lvl="0" indent="0" algn="l" defTabSz="488950">
            <a:lnSpc>
              <a:spcPct val="90000"/>
            </a:lnSpc>
            <a:spcBef>
              <a:spcPct val="0"/>
            </a:spcBef>
            <a:spcAft>
              <a:spcPct val="35000"/>
            </a:spcAft>
            <a:buNone/>
          </a:pPr>
          <a:r>
            <a:rPr lang="en-GB" sz="1100" b="1" kern="1200"/>
            <a:t>Third Meeting of REDD+ implementor</a:t>
          </a:r>
        </a:p>
      </dsp:txBody>
      <dsp:txXfrm>
        <a:off x="4228477" y="0"/>
        <a:ext cx="1255412" cy="424364"/>
      </dsp:txXfrm>
    </dsp:sp>
  </dsp:spTree>
</dsp:drawing>
</file>

<file path=word/diagrams/layout1.xml><?xml version="1.0" encoding="utf-8"?>
<dgm:layoutDef xmlns:dgm="http://schemas.openxmlformats.org/drawingml/2006/diagram" xmlns:a="http://schemas.openxmlformats.org/drawingml/2006/main" uniqueId="urn:microsoft.com/office/officeart/2008/layout/IncreasingCircleProcess">
  <dgm:title val=""/>
  <dgm:desc val=""/>
  <dgm:catLst>
    <dgm:cat type="list" pri="8300"/>
    <dgm:cat type="process" pri="43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param type="horzAlign" val="ctr"/>
          <dgm:param type="vertAlign" val="t"/>
        </dgm:alg>
      </dgm:if>
      <dgm:else name="Name3">
        <dgm:alg type="lin">
          <dgm:param type="linDir" val="fromR"/>
          <dgm:param type="horzAlign" val="ctr"/>
          <dgm:param type="vertAlign" val="t"/>
        </dgm:alg>
      </dgm:else>
    </dgm:choose>
    <dgm:shape xmlns:r="http://schemas.openxmlformats.org/officeDocument/2006/relationships" r:blip="">
      <dgm:adjLst/>
    </dgm:shape>
    <dgm:constrLst>
      <dgm:constr type="primFontSz" for="des" forName="Child" val="65"/>
      <dgm:constr type="primFontSz" for="des" forName="Parent" val="65"/>
      <dgm:constr type="primFontSz" for="des" forName="Child" refType="primFontSz" refFor="des" refForName="Parent" op="lte"/>
      <dgm:constr type="w" for="ch" forName="composite" refType="w"/>
      <dgm:constr type="h" for="ch" forName="composite" refType="h"/>
      <dgm:constr type="sp" refType="w" refFor="ch" refForName="composite" op="equ" fact="0.05"/>
      <dgm:constr type="w" for="ch" forName="sibTrans" refType="h" refFor="ch" refForName="composite" op="equ" fact="0.04"/>
    </dgm:constrLst>
    <dgm:forEach name="nodesForEach" axis="ch" ptType="node" cnt="7">
      <dgm:layoutNode name="composite">
        <dgm:alg type="composite">
          <dgm:param type="ar" val="0.8"/>
        </dgm:alg>
        <dgm:choose name="Name4">
          <dgm:if name="Name5" func="var" arg="dir" op="equ" val="norm">
            <dgm:constrLst>
              <dgm:constr type="l" for="ch" forName="Child" refType="w" fact="0.29"/>
              <dgm:constr type="t" for="ch" forName="Child" refType="h" fact="0.192"/>
              <dgm:constr type="w" for="ch" forName="Child" refType="w" fact="0.71"/>
              <dgm:constr type="h" for="ch" forName="Child" refType="h" fact="0.808"/>
              <dgm:constr type="l" for="ch" forName="Parent" refType="w" fact="0.29"/>
              <dgm:constr type="t" for="ch" forName="Parent" refType="h" fact="0"/>
              <dgm:constr type="w" for="ch" forName="Parent" refType="w" fact="0.71"/>
              <dgm:constr type="h" for="ch" forName="Parent" refType="h" fact="0.192"/>
              <dgm:constr type="l" for="ch" forName="BackAccent" refType="w" fact="0"/>
              <dgm:constr type="t" for="ch" forName="BackAccent" refType="h" fact="0"/>
              <dgm:constr type="w" for="ch" forName="BackAccent" refType="w" fact="0.24"/>
              <dgm:constr type="h" for="ch" forName="BackAccent" refType="h" fact="0.192"/>
              <dgm:constr type="l" for="ch" forName="Accent" refType="w" fact="0.024"/>
              <dgm:constr type="t" for="ch" forName="Accent" refType="h" fact="0.0192"/>
              <dgm:constr type="w" for="ch" forName="Accent" refType="w" fact="0.192"/>
              <dgm:constr type="h" for="ch" forName="Accent" refType="h" fact="0.1536"/>
            </dgm:constrLst>
          </dgm:if>
          <dgm:else name="Name6">
            <dgm:constrLst>
              <dgm:constr type="r" for="ch" forName="Child" refType="w" fact="0.71"/>
              <dgm:constr type="t" for="ch" forName="Child" refType="h" fact="0.192"/>
              <dgm:constr type="w" for="ch" forName="Child" refType="w" fact="0.71"/>
              <dgm:constr type="h" for="ch" forName="Child" refType="h" fact="0.808"/>
              <dgm:constr type="r" for="ch" forName="Parent" refType="w" fact="0.71"/>
              <dgm:constr type="t" for="ch" forName="Parent" refType="h" fact="0"/>
              <dgm:constr type="w" for="ch" forName="Parent" refType="w" fact="0.71"/>
              <dgm:constr type="h" for="ch" forName="Parent" refType="h" fact="0.192"/>
              <dgm:constr type="r" for="ch" forName="BackAccent" refType="w"/>
              <dgm:constr type="t" for="ch" forName="BackAccent" refType="h" fact="0"/>
              <dgm:constr type="w" for="ch" forName="BackAccent" refType="w" fact="0.24"/>
              <dgm:constr type="h" for="ch" forName="BackAccent" refType="h" fact="0.192"/>
              <dgm:constr type="r" for="ch" forName="Accent" refType="w" fact="0.976"/>
              <dgm:constr type="t" for="ch" forName="Accent" refType="h" fact="0.0192"/>
              <dgm:constr type="w" for="ch" forName="Accent" refType="w" fact="0.192"/>
              <dgm:constr type="h" for="ch" forName="Accent" refType="h" fact="0.1536"/>
            </dgm:constrLst>
          </dgm:else>
        </dgm:choose>
        <dgm:layoutNode name="BackAccent" styleLbl="bgShp">
          <dgm:alg type="sp"/>
          <dgm:shape xmlns:r="http://schemas.openxmlformats.org/officeDocument/2006/relationships" type="ellipse" r:blip="">
            <dgm:adjLst/>
          </dgm:shape>
          <dgm:presOf/>
        </dgm:layoutNode>
        <dgm:layoutNode name="Accent" styleLbl="alignNode1">
          <dgm:alg type="sp"/>
          <dgm:choose name="Name7">
            <dgm:if name="Name8" axis="precedSib" ptType="node" func="cnt" op="equ" val="0">
              <dgm:choose name="Name9">
                <dgm:if name="Name10" axis="followSib" ptType="node" func="cnt" op="equ" val="0">
                  <dgm:shape xmlns:r="http://schemas.openxmlformats.org/officeDocument/2006/relationships" type="chord" r:blip="">
                    <dgm:adjLst>
                      <dgm:adj idx="1" val="-90"/>
                      <dgm:adj idx="2" val="-90"/>
                    </dgm:adjLst>
                  </dgm:shape>
                </dgm:if>
                <dgm:if name="Name11" axis="followSib" ptType="node" func="cnt" op="equ" val="1">
                  <dgm:shape xmlns:r="http://schemas.openxmlformats.org/officeDocument/2006/relationships" type="chord" r:blip="">
                    <dgm:adjLst>
                      <dgm:adj idx="1" val="0"/>
                      <dgm:adj idx="2" val="180"/>
                    </dgm:adjLst>
                  </dgm:shape>
                </dgm:if>
                <dgm:if name="Name12" axis="followSib" ptType="node" func="cnt" op="equ" val="2">
                  <dgm:shape xmlns:r="http://schemas.openxmlformats.org/officeDocument/2006/relationships" type="chord" r:blip="">
                    <dgm:adjLst>
                      <dgm:adj idx="1" val="19.4712"/>
                      <dgm:adj idx="2" val="160.5288"/>
                    </dgm:adjLst>
                  </dgm:shape>
                </dgm:if>
                <dgm:if name="Name13" axis="followSib" ptType="node" func="cnt" op="equ" val="3">
                  <dgm:shape xmlns:r="http://schemas.openxmlformats.org/officeDocument/2006/relationships" type="chord" r:blip="">
                    <dgm:adjLst>
                      <dgm:adj idx="1" val="30"/>
                      <dgm:adj idx="2" val="150"/>
                    </dgm:adjLst>
                  </dgm:shape>
                </dgm:if>
                <dgm:if name="Name14" axis="followSib" ptType="node" func="cnt" op="equ" val="4">
                  <dgm:shape xmlns:r="http://schemas.openxmlformats.org/officeDocument/2006/relationships" type="chord" r:blip="">
                    <dgm:adjLst>
                      <dgm:adj idx="1" val="38.8699"/>
                      <dgm:adj idx="2" val="143.1301"/>
                    </dgm:adjLst>
                  </dgm:shape>
                </dgm:if>
                <dgm:if name="Name15" axis="followSib" ptType="node" func="cnt" op="equ" val="5">
                  <dgm:shape xmlns:r="http://schemas.openxmlformats.org/officeDocument/2006/relationships" type="chord" r:blip="">
                    <dgm:adjLst>
                      <dgm:adj idx="1" val="41.8103"/>
                      <dgm:adj idx="2" val="138.1897"/>
                    </dgm:adjLst>
                  </dgm:shape>
                </dgm:if>
                <dgm:else name="Name16">
                  <dgm:shape xmlns:r="http://schemas.openxmlformats.org/officeDocument/2006/relationships" type="chord" r:blip="">
                    <dgm:adjLst>
                      <dgm:adj idx="1" val="45.5847"/>
                      <dgm:adj idx="2" val="134.4153"/>
                    </dgm:adjLst>
                  </dgm:shape>
                </dgm:else>
              </dgm:choose>
            </dgm:if>
            <dgm:if name="Name17" axis="precedSib" ptType="node" func="cnt" op="equ" val="1">
              <dgm:choose name="Name18">
                <dgm:if name="Name19" axis="followSib" ptType="node" func="cnt" op="equ" val="0">
                  <dgm:shape xmlns:r="http://schemas.openxmlformats.org/officeDocument/2006/relationships" type="chord" r:blip="">
                    <dgm:adjLst>
                      <dgm:adj idx="1" val="-90"/>
                      <dgm:adj idx="2" val="-90"/>
                    </dgm:adjLst>
                  </dgm:shape>
                </dgm:if>
                <dgm:if name="Name20" axis="followSib" ptType="node" func="cnt" op="equ" val="1">
                  <dgm:shape xmlns:r="http://schemas.openxmlformats.org/officeDocument/2006/relationships" type="chord" r:blip="">
                    <dgm:adjLst>
                      <dgm:adj idx="1" val="-19.4712"/>
                      <dgm:adj idx="2" val="-160.5288"/>
                    </dgm:adjLst>
                  </dgm:shape>
                </dgm:if>
                <dgm:if name="Name21" axis="followSib" ptType="node" func="cnt" op="equ" val="2">
                  <dgm:shape xmlns:r="http://schemas.openxmlformats.org/officeDocument/2006/relationships" type="chord" r:blip="">
                    <dgm:adjLst>
                      <dgm:adj idx="1" val="0"/>
                      <dgm:adj idx="2" val="180"/>
                    </dgm:adjLst>
                  </dgm:shape>
                </dgm:if>
                <dgm:if name="Name22" axis="followSib" ptType="node" func="cnt" op="equ" val="3">
                  <dgm:shape xmlns:r="http://schemas.openxmlformats.org/officeDocument/2006/relationships" type="chord" r:blip="">
                    <dgm:adjLst>
                      <dgm:adj idx="1" val="11.537"/>
                      <dgm:adj idx="2" val="168.463"/>
                    </dgm:adjLst>
                  </dgm:shape>
                </dgm:if>
                <dgm:if name="Name23" axis="followSib" ptType="node" func="cnt" op="equ" val="4">
                  <dgm:shape xmlns:r="http://schemas.openxmlformats.org/officeDocument/2006/relationships" type="chord" r:blip="">
                    <dgm:adjLst>
                      <dgm:adj idx="1" val="19.4712"/>
                      <dgm:adj idx="2" val="160.5288"/>
                    </dgm:adjLst>
                  </dgm:shape>
                </dgm:if>
                <dgm:else name="Name24">
                  <dgm:shape xmlns:r="http://schemas.openxmlformats.org/officeDocument/2006/relationships" type="chord" r:blip="">
                    <dgm:adjLst>
                      <dgm:adj idx="1" val="25.3769"/>
                      <dgm:adj idx="2" val="154.6231"/>
                    </dgm:adjLst>
                  </dgm:shape>
                </dgm:else>
              </dgm:choose>
            </dgm:if>
            <dgm:if name="Name25" axis="precedSib" ptType="node" func="cnt" op="equ" val="2">
              <dgm:choose name="Name26">
                <dgm:if name="Name27" axis="followSib" ptType="node" func="cnt" op="equ" val="0">
                  <dgm:shape xmlns:r="http://schemas.openxmlformats.org/officeDocument/2006/relationships" type="chord" r:blip="">
                    <dgm:adjLst>
                      <dgm:adj idx="1" val="-90"/>
                      <dgm:adj idx="2" val="-90"/>
                    </dgm:adjLst>
                  </dgm:shape>
                </dgm:if>
                <dgm:if name="Name28" axis="followSib" ptType="node" func="cnt" op="equ" val="1">
                  <dgm:shape xmlns:r="http://schemas.openxmlformats.org/officeDocument/2006/relationships" type="chord" r:blip="">
                    <dgm:adjLst>
                      <dgm:adj idx="1" val="-30"/>
                      <dgm:adj idx="2" val="-150"/>
                    </dgm:adjLst>
                  </dgm:shape>
                </dgm:if>
                <dgm:if name="Name29" axis="followSib" ptType="node" func="cnt" op="equ" val="2">
                  <dgm:shape xmlns:r="http://schemas.openxmlformats.org/officeDocument/2006/relationships" type="chord" r:blip="">
                    <dgm:adjLst>
                      <dgm:adj idx="1" val="-11.537"/>
                      <dgm:adj idx="2" val="-168.463"/>
                    </dgm:adjLst>
                  </dgm:shape>
                </dgm:if>
                <dgm:if name="Name30" axis="followSib" ptType="node" func="cnt" op="equ" val="3">
                  <dgm:shape xmlns:r="http://schemas.openxmlformats.org/officeDocument/2006/relationships" type="chord" r:blip="">
                    <dgm:adjLst>
                      <dgm:adj idx="1" val="0"/>
                      <dgm:adj idx="2" val="180"/>
                    </dgm:adjLst>
                  </dgm:shape>
                </dgm:if>
                <dgm:else name="Name31">
                  <dgm:shape xmlns:r="http://schemas.openxmlformats.org/officeDocument/2006/relationships" type="chord" r:blip="">
                    <dgm:adjLst>
                      <dgm:adj idx="1" val="8.2133"/>
                      <dgm:adj idx="2" val="171.7867"/>
                    </dgm:adjLst>
                  </dgm:shape>
                </dgm:else>
              </dgm:choose>
            </dgm:if>
            <dgm:if name="Name32" axis="precedSib" ptType="node" func="cnt" op="equ" val="3">
              <dgm:choose name="Name33">
                <dgm:if name="Name34" axis="followSib" ptType="node" func="cnt" op="equ" val="0">
                  <dgm:shape xmlns:r="http://schemas.openxmlformats.org/officeDocument/2006/relationships" type="chord" r:blip="">
                    <dgm:adjLst>
                      <dgm:adj idx="1" val="-90"/>
                      <dgm:adj idx="2" val="-90"/>
                    </dgm:adjLst>
                  </dgm:shape>
                </dgm:if>
                <dgm:if name="Name35" axis="followSib" ptType="node" func="cnt" op="equ" val="1">
                  <dgm:shape xmlns:r="http://schemas.openxmlformats.org/officeDocument/2006/relationships" type="chord" r:blip="">
                    <dgm:adjLst>
                      <dgm:adj idx="1" val="-38.8699"/>
                      <dgm:adj idx="2" val="-143.1301"/>
                    </dgm:adjLst>
                  </dgm:shape>
                </dgm:if>
                <dgm:if name="Name36" axis="followSib" ptType="node" func="cnt" op="equ" val="2">
                  <dgm:shape xmlns:r="http://schemas.openxmlformats.org/officeDocument/2006/relationships" type="chord" r:blip="">
                    <dgm:adjLst>
                      <dgm:adj idx="1" val="-19.4712"/>
                      <dgm:adj idx="2" val="-160.5288"/>
                    </dgm:adjLst>
                  </dgm:shape>
                </dgm:if>
                <dgm:else name="Name37">
                  <dgm:shape xmlns:r="http://schemas.openxmlformats.org/officeDocument/2006/relationships" type="chord" r:blip="">
                    <dgm:adjLst>
                      <dgm:adj idx="1" val="-8.2133"/>
                      <dgm:adj idx="2" val="-171.7867"/>
                    </dgm:adjLst>
                  </dgm:shape>
                </dgm:else>
              </dgm:choose>
            </dgm:if>
            <dgm:if name="Name38" axis="precedSib" ptType="node" func="cnt" op="equ" val="4">
              <dgm:choose name="Name39">
                <dgm:if name="Name40" axis="followSib" ptType="node" func="cnt" op="equ" val="0">
                  <dgm:shape xmlns:r="http://schemas.openxmlformats.org/officeDocument/2006/relationships" type="chord" r:blip="">
                    <dgm:adjLst>
                      <dgm:adj idx="1" val="-90"/>
                      <dgm:adj idx="2" val="-90"/>
                    </dgm:adjLst>
                  </dgm:shape>
                </dgm:if>
                <dgm:if name="Name41" axis="followSib" ptType="node" func="cnt" op="equ" val="1">
                  <dgm:shape xmlns:r="http://schemas.openxmlformats.org/officeDocument/2006/relationships" type="chord" r:blip="">
                    <dgm:adjLst>
                      <dgm:adj idx="1" val="-41.8103"/>
                      <dgm:adj idx="2" val="-138.1897"/>
                    </dgm:adjLst>
                  </dgm:shape>
                </dgm:if>
                <dgm:else name="Name42">
                  <dgm:shape xmlns:r="http://schemas.openxmlformats.org/officeDocument/2006/relationships" type="chord" r:blip="">
                    <dgm:adjLst>
                      <dgm:adj idx="1" val="-25.3769"/>
                      <dgm:adj idx="2" val="-154.6231"/>
                    </dgm:adjLst>
                  </dgm:shape>
                </dgm:else>
              </dgm:choose>
            </dgm:if>
            <dgm:if name="Name43" axis="precedSib" ptType="node" func="cnt" op="equ" val="5">
              <dgm:choose name="Name44">
                <dgm:if name="Name45" axis="followSib" ptType="node" func="cnt" op="equ" val="0">
                  <dgm:shape xmlns:r="http://schemas.openxmlformats.org/officeDocument/2006/relationships" type="chord" r:blip="">
                    <dgm:adjLst>
                      <dgm:adj idx="1" val="-90"/>
                      <dgm:adj idx="2" val="-90"/>
                    </dgm:adjLst>
                  </dgm:shape>
                </dgm:if>
                <dgm:else name="Name46">
                  <dgm:shape xmlns:r="http://schemas.openxmlformats.org/officeDocument/2006/relationships" type="chord" r:blip="">
                    <dgm:adjLst>
                      <dgm:adj idx="1" val="-45.5847"/>
                      <dgm:adj idx="2" val="-134.4153"/>
                    </dgm:adjLst>
                  </dgm:shape>
                </dgm:else>
              </dgm:choose>
            </dgm:if>
            <dgm:else name="Name47">
              <dgm:shape xmlns:r="http://schemas.openxmlformats.org/officeDocument/2006/relationships" type="chord" r:blip="">
                <dgm:adjLst>
                  <dgm:adj idx="1" val="-90"/>
                  <dgm:adj idx="2" val="-90"/>
                </dgm:adjLst>
              </dgm:shape>
            </dgm:else>
          </dgm:choose>
          <dgm:presOf/>
        </dgm:layoutNode>
        <dgm:layoutNode name="Child" styleLbl="revTx">
          <dgm:varLst>
            <dgm:chMax val="0"/>
            <dgm:chPref val="0"/>
            <dgm:bulletEnabled val="1"/>
          </dgm:varLst>
          <dgm:choose name="Name48">
            <dgm:if name="Name49" func="var" arg="dir" op="equ" val="norm">
              <dgm:alg type="tx">
                <dgm:param type="parTxLTRAlign" val="l"/>
                <dgm:param type="parTxRTLAlign" val="l"/>
                <dgm:param type="txAnchorVert" val="t"/>
              </dgm:alg>
            </dgm:if>
            <dgm:else name="Name50">
              <dgm:alg type="tx">
                <dgm:param type="parTxLTRAlign" val="r"/>
                <dgm:param type="parTxRTLAlign" val="r"/>
                <dgm:param type="txAnchorVert" val="t"/>
              </dgm:alg>
            </dgm:else>
          </dgm:choose>
          <dgm:choose name="Name51">
            <dgm:if name="Name52" axis="ch" ptType="node" func="cnt" op="gte" val="1">
              <dgm:shape xmlns:r="http://schemas.openxmlformats.org/officeDocument/2006/relationships" type="rect" r:blip="">
                <dgm:adjLst/>
              </dgm:shape>
            </dgm:if>
            <dgm:else name="Name53">
              <dgm:shape xmlns:r="http://schemas.openxmlformats.org/officeDocument/2006/relationships" type="rect" r:blip="" hideGeom="1">
                <dgm:adjLst/>
              </dgm:shape>
            </dgm:else>
          </dgm:choose>
          <dgm:choose name="Name54">
            <dgm:if name="Name55" axis="ch" ptType="node" func="cnt" op="gte" val="1">
              <dgm:presOf axis="des" ptType="node"/>
            </dgm:if>
            <dgm:else name="Name56">
              <dgm:presOf/>
            </dgm:else>
          </dgm:choos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revTx">
          <dgm:varLst>
            <dgm:chMax val="1"/>
            <dgm:chPref val="1"/>
            <dgm:bulletEnabled val="1"/>
          </dgm:varLst>
          <dgm:choose name="Name57">
            <dgm:if name="Name58" func="var" arg="dir" op="equ" val="norm">
              <dgm:alg type="tx">
                <dgm:param type="parTxLTRAlign" val="l"/>
                <dgm:param type="parTxRTLAlign" val="l"/>
                <dgm:param type="shpTxLTRAlignCh" val="l"/>
                <dgm:param type="shpTxRTLAlignCh" val="l"/>
                <dgm:param type="txAnchorVert" val="b"/>
                <dgm:param type="txAnchorVertCh" val="b"/>
              </dgm:alg>
            </dgm:if>
            <dgm:else name="Name59">
              <dgm:alg type="tx">
                <dgm:param type="parTxLTRAlign" val="r"/>
                <dgm:param type="parTxRTLAlign" val="r"/>
                <dgm:param type="shpTxLTRAlignCh" val="r"/>
                <dgm:param type="shpTxRTLAlignCh" val="r"/>
                <dgm:param type="txAnchorVert" val="b"/>
                <dgm:param type="txAnchorVertCh" val="b"/>
              </dgm:alg>
            </dgm:else>
          </dgm:choose>
          <dgm:shape xmlns:r="http://schemas.openxmlformats.org/officeDocument/2006/relationships" type="rect" r:blip="">
            <dgm:adjLst/>
          </dgm:shape>
          <dgm:presOf axis="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IncreasingCircleProcess">
  <dgm:title val=""/>
  <dgm:desc val=""/>
  <dgm:catLst>
    <dgm:cat type="list" pri="8300"/>
    <dgm:cat type="process" pri="43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param type="horzAlign" val="ctr"/>
          <dgm:param type="vertAlign" val="t"/>
        </dgm:alg>
      </dgm:if>
      <dgm:else name="Name3">
        <dgm:alg type="lin">
          <dgm:param type="linDir" val="fromR"/>
          <dgm:param type="horzAlign" val="ctr"/>
          <dgm:param type="vertAlign" val="t"/>
        </dgm:alg>
      </dgm:else>
    </dgm:choose>
    <dgm:shape xmlns:r="http://schemas.openxmlformats.org/officeDocument/2006/relationships" r:blip="">
      <dgm:adjLst/>
    </dgm:shape>
    <dgm:constrLst>
      <dgm:constr type="primFontSz" for="des" forName="Child" val="65"/>
      <dgm:constr type="primFontSz" for="des" forName="Parent" val="65"/>
      <dgm:constr type="primFontSz" for="des" forName="Child" refType="primFontSz" refFor="des" refForName="Parent" op="lte"/>
      <dgm:constr type="w" for="ch" forName="composite" refType="w"/>
      <dgm:constr type="h" for="ch" forName="composite" refType="h"/>
      <dgm:constr type="sp" refType="w" refFor="ch" refForName="composite" op="equ" fact="0.05"/>
      <dgm:constr type="w" for="ch" forName="sibTrans" refType="h" refFor="ch" refForName="composite" op="equ" fact="0.04"/>
    </dgm:constrLst>
    <dgm:forEach name="nodesForEach" axis="ch" ptType="node" cnt="7">
      <dgm:layoutNode name="composite">
        <dgm:alg type="composite">
          <dgm:param type="ar" val="0.8"/>
        </dgm:alg>
        <dgm:choose name="Name4">
          <dgm:if name="Name5" func="var" arg="dir" op="equ" val="norm">
            <dgm:constrLst>
              <dgm:constr type="l" for="ch" forName="Child" refType="w" fact="0.29"/>
              <dgm:constr type="t" for="ch" forName="Child" refType="h" fact="0.192"/>
              <dgm:constr type="w" for="ch" forName="Child" refType="w" fact="0.71"/>
              <dgm:constr type="h" for="ch" forName="Child" refType="h" fact="0.808"/>
              <dgm:constr type="l" for="ch" forName="Parent" refType="w" fact="0.29"/>
              <dgm:constr type="t" for="ch" forName="Parent" refType="h" fact="0"/>
              <dgm:constr type="w" for="ch" forName="Parent" refType="w" fact="0.71"/>
              <dgm:constr type="h" for="ch" forName="Parent" refType="h" fact="0.192"/>
              <dgm:constr type="l" for="ch" forName="BackAccent" refType="w" fact="0"/>
              <dgm:constr type="t" for="ch" forName="BackAccent" refType="h" fact="0"/>
              <dgm:constr type="w" for="ch" forName="BackAccent" refType="w" fact="0.24"/>
              <dgm:constr type="h" for="ch" forName="BackAccent" refType="h" fact="0.192"/>
              <dgm:constr type="l" for="ch" forName="Accent" refType="w" fact="0.024"/>
              <dgm:constr type="t" for="ch" forName="Accent" refType="h" fact="0.0192"/>
              <dgm:constr type="w" for="ch" forName="Accent" refType="w" fact="0.192"/>
              <dgm:constr type="h" for="ch" forName="Accent" refType="h" fact="0.1536"/>
            </dgm:constrLst>
          </dgm:if>
          <dgm:else name="Name6">
            <dgm:constrLst>
              <dgm:constr type="r" for="ch" forName="Child" refType="w" fact="0.71"/>
              <dgm:constr type="t" for="ch" forName="Child" refType="h" fact="0.192"/>
              <dgm:constr type="w" for="ch" forName="Child" refType="w" fact="0.71"/>
              <dgm:constr type="h" for="ch" forName="Child" refType="h" fact="0.808"/>
              <dgm:constr type="r" for="ch" forName="Parent" refType="w" fact="0.71"/>
              <dgm:constr type="t" for="ch" forName="Parent" refType="h" fact="0"/>
              <dgm:constr type="w" for="ch" forName="Parent" refType="w" fact="0.71"/>
              <dgm:constr type="h" for="ch" forName="Parent" refType="h" fact="0.192"/>
              <dgm:constr type="r" for="ch" forName="BackAccent" refType="w"/>
              <dgm:constr type="t" for="ch" forName="BackAccent" refType="h" fact="0"/>
              <dgm:constr type="w" for="ch" forName="BackAccent" refType="w" fact="0.24"/>
              <dgm:constr type="h" for="ch" forName="BackAccent" refType="h" fact="0.192"/>
              <dgm:constr type="r" for="ch" forName="Accent" refType="w" fact="0.976"/>
              <dgm:constr type="t" for="ch" forName="Accent" refType="h" fact="0.0192"/>
              <dgm:constr type="w" for="ch" forName="Accent" refType="w" fact="0.192"/>
              <dgm:constr type="h" for="ch" forName="Accent" refType="h" fact="0.1536"/>
            </dgm:constrLst>
          </dgm:else>
        </dgm:choose>
        <dgm:layoutNode name="BackAccent" styleLbl="bgShp">
          <dgm:alg type="sp"/>
          <dgm:shape xmlns:r="http://schemas.openxmlformats.org/officeDocument/2006/relationships" type="ellipse" r:blip="">
            <dgm:adjLst/>
          </dgm:shape>
          <dgm:presOf/>
        </dgm:layoutNode>
        <dgm:layoutNode name="Accent" styleLbl="alignNode1">
          <dgm:alg type="sp"/>
          <dgm:choose name="Name7">
            <dgm:if name="Name8" axis="precedSib" ptType="node" func="cnt" op="equ" val="0">
              <dgm:choose name="Name9">
                <dgm:if name="Name10" axis="followSib" ptType="node" func="cnt" op="equ" val="0">
                  <dgm:shape xmlns:r="http://schemas.openxmlformats.org/officeDocument/2006/relationships" type="chord" r:blip="">
                    <dgm:adjLst>
                      <dgm:adj idx="1" val="-90"/>
                      <dgm:adj idx="2" val="-90"/>
                    </dgm:adjLst>
                  </dgm:shape>
                </dgm:if>
                <dgm:if name="Name11" axis="followSib" ptType="node" func="cnt" op="equ" val="1">
                  <dgm:shape xmlns:r="http://schemas.openxmlformats.org/officeDocument/2006/relationships" type="chord" r:blip="">
                    <dgm:adjLst>
                      <dgm:adj idx="1" val="0"/>
                      <dgm:adj idx="2" val="180"/>
                    </dgm:adjLst>
                  </dgm:shape>
                </dgm:if>
                <dgm:if name="Name12" axis="followSib" ptType="node" func="cnt" op="equ" val="2">
                  <dgm:shape xmlns:r="http://schemas.openxmlformats.org/officeDocument/2006/relationships" type="chord" r:blip="">
                    <dgm:adjLst>
                      <dgm:adj idx="1" val="19.4712"/>
                      <dgm:adj idx="2" val="160.5288"/>
                    </dgm:adjLst>
                  </dgm:shape>
                </dgm:if>
                <dgm:if name="Name13" axis="followSib" ptType="node" func="cnt" op="equ" val="3">
                  <dgm:shape xmlns:r="http://schemas.openxmlformats.org/officeDocument/2006/relationships" type="chord" r:blip="">
                    <dgm:adjLst>
                      <dgm:adj idx="1" val="30"/>
                      <dgm:adj idx="2" val="150"/>
                    </dgm:adjLst>
                  </dgm:shape>
                </dgm:if>
                <dgm:if name="Name14" axis="followSib" ptType="node" func="cnt" op="equ" val="4">
                  <dgm:shape xmlns:r="http://schemas.openxmlformats.org/officeDocument/2006/relationships" type="chord" r:blip="">
                    <dgm:adjLst>
                      <dgm:adj idx="1" val="38.8699"/>
                      <dgm:adj idx="2" val="143.1301"/>
                    </dgm:adjLst>
                  </dgm:shape>
                </dgm:if>
                <dgm:if name="Name15" axis="followSib" ptType="node" func="cnt" op="equ" val="5">
                  <dgm:shape xmlns:r="http://schemas.openxmlformats.org/officeDocument/2006/relationships" type="chord" r:blip="">
                    <dgm:adjLst>
                      <dgm:adj idx="1" val="41.8103"/>
                      <dgm:adj idx="2" val="138.1897"/>
                    </dgm:adjLst>
                  </dgm:shape>
                </dgm:if>
                <dgm:else name="Name16">
                  <dgm:shape xmlns:r="http://schemas.openxmlformats.org/officeDocument/2006/relationships" type="chord" r:blip="">
                    <dgm:adjLst>
                      <dgm:adj idx="1" val="45.5847"/>
                      <dgm:adj idx="2" val="134.4153"/>
                    </dgm:adjLst>
                  </dgm:shape>
                </dgm:else>
              </dgm:choose>
            </dgm:if>
            <dgm:if name="Name17" axis="precedSib" ptType="node" func="cnt" op="equ" val="1">
              <dgm:choose name="Name18">
                <dgm:if name="Name19" axis="followSib" ptType="node" func="cnt" op="equ" val="0">
                  <dgm:shape xmlns:r="http://schemas.openxmlformats.org/officeDocument/2006/relationships" type="chord" r:blip="">
                    <dgm:adjLst>
                      <dgm:adj idx="1" val="-90"/>
                      <dgm:adj idx="2" val="-90"/>
                    </dgm:adjLst>
                  </dgm:shape>
                </dgm:if>
                <dgm:if name="Name20" axis="followSib" ptType="node" func="cnt" op="equ" val="1">
                  <dgm:shape xmlns:r="http://schemas.openxmlformats.org/officeDocument/2006/relationships" type="chord" r:blip="">
                    <dgm:adjLst>
                      <dgm:adj idx="1" val="-19.4712"/>
                      <dgm:adj idx="2" val="-160.5288"/>
                    </dgm:adjLst>
                  </dgm:shape>
                </dgm:if>
                <dgm:if name="Name21" axis="followSib" ptType="node" func="cnt" op="equ" val="2">
                  <dgm:shape xmlns:r="http://schemas.openxmlformats.org/officeDocument/2006/relationships" type="chord" r:blip="">
                    <dgm:adjLst>
                      <dgm:adj idx="1" val="0"/>
                      <dgm:adj idx="2" val="180"/>
                    </dgm:adjLst>
                  </dgm:shape>
                </dgm:if>
                <dgm:if name="Name22" axis="followSib" ptType="node" func="cnt" op="equ" val="3">
                  <dgm:shape xmlns:r="http://schemas.openxmlformats.org/officeDocument/2006/relationships" type="chord" r:blip="">
                    <dgm:adjLst>
                      <dgm:adj idx="1" val="11.537"/>
                      <dgm:adj idx="2" val="168.463"/>
                    </dgm:adjLst>
                  </dgm:shape>
                </dgm:if>
                <dgm:if name="Name23" axis="followSib" ptType="node" func="cnt" op="equ" val="4">
                  <dgm:shape xmlns:r="http://schemas.openxmlformats.org/officeDocument/2006/relationships" type="chord" r:blip="">
                    <dgm:adjLst>
                      <dgm:adj idx="1" val="19.4712"/>
                      <dgm:adj idx="2" val="160.5288"/>
                    </dgm:adjLst>
                  </dgm:shape>
                </dgm:if>
                <dgm:else name="Name24">
                  <dgm:shape xmlns:r="http://schemas.openxmlformats.org/officeDocument/2006/relationships" type="chord" r:blip="">
                    <dgm:adjLst>
                      <dgm:adj idx="1" val="25.3769"/>
                      <dgm:adj idx="2" val="154.6231"/>
                    </dgm:adjLst>
                  </dgm:shape>
                </dgm:else>
              </dgm:choose>
            </dgm:if>
            <dgm:if name="Name25" axis="precedSib" ptType="node" func="cnt" op="equ" val="2">
              <dgm:choose name="Name26">
                <dgm:if name="Name27" axis="followSib" ptType="node" func="cnt" op="equ" val="0">
                  <dgm:shape xmlns:r="http://schemas.openxmlformats.org/officeDocument/2006/relationships" type="chord" r:blip="">
                    <dgm:adjLst>
                      <dgm:adj idx="1" val="-90"/>
                      <dgm:adj idx="2" val="-90"/>
                    </dgm:adjLst>
                  </dgm:shape>
                </dgm:if>
                <dgm:if name="Name28" axis="followSib" ptType="node" func="cnt" op="equ" val="1">
                  <dgm:shape xmlns:r="http://schemas.openxmlformats.org/officeDocument/2006/relationships" type="chord" r:blip="">
                    <dgm:adjLst>
                      <dgm:adj idx="1" val="-30"/>
                      <dgm:adj idx="2" val="-150"/>
                    </dgm:adjLst>
                  </dgm:shape>
                </dgm:if>
                <dgm:if name="Name29" axis="followSib" ptType="node" func="cnt" op="equ" val="2">
                  <dgm:shape xmlns:r="http://schemas.openxmlformats.org/officeDocument/2006/relationships" type="chord" r:blip="">
                    <dgm:adjLst>
                      <dgm:adj idx="1" val="-11.537"/>
                      <dgm:adj idx="2" val="-168.463"/>
                    </dgm:adjLst>
                  </dgm:shape>
                </dgm:if>
                <dgm:if name="Name30" axis="followSib" ptType="node" func="cnt" op="equ" val="3">
                  <dgm:shape xmlns:r="http://schemas.openxmlformats.org/officeDocument/2006/relationships" type="chord" r:blip="">
                    <dgm:adjLst>
                      <dgm:adj idx="1" val="0"/>
                      <dgm:adj idx="2" val="180"/>
                    </dgm:adjLst>
                  </dgm:shape>
                </dgm:if>
                <dgm:else name="Name31">
                  <dgm:shape xmlns:r="http://schemas.openxmlformats.org/officeDocument/2006/relationships" type="chord" r:blip="">
                    <dgm:adjLst>
                      <dgm:adj idx="1" val="8.2133"/>
                      <dgm:adj idx="2" val="171.7867"/>
                    </dgm:adjLst>
                  </dgm:shape>
                </dgm:else>
              </dgm:choose>
            </dgm:if>
            <dgm:if name="Name32" axis="precedSib" ptType="node" func="cnt" op="equ" val="3">
              <dgm:choose name="Name33">
                <dgm:if name="Name34" axis="followSib" ptType="node" func="cnt" op="equ" val="0">
                  <dgm:shape xmlns:r="http://schemas.openxmlformats.org/officeDocument/2006/relationships" type="chord" r:blip="">
                    <dgm:adjLst>
                      <dgm:adj idx="1" val="-90"/>
                      <dgm:adj idx="2" val="-90"/>
                    </dgm:adjLst>
                  </dgm:shape>
                </dgm:if>
                <dgm:if name="Name35" axis="followSib" ptType="node" func="cnt" op="equ" val="1">
                  <dgm:shape xmlns:r="http://schemas.openxmlformats.org/officeDocument/2006/relationships" type="chord" r:blip="">
                    <dgm:adjLst>
                      <dgm:adj idx="1" val="-38.8699"/>
                      <dgm:adj idx="2" val="-143.1301"/>
                    </dgm:adjLst>
                  </dgm:shape>
                </dgm:if>
                <dgm:if name="Name36" axis="followSib" ptType="node" func="cnt" op="equ" val="2">
                  <dgm:shape xmlns:r="http://schemas.openxmlformats.org/officeDocument/2006/relationships" type="chord" r:blip="">
                    <dgm:adjLst>
                      <dgm:adj idx="1" val="-19.4712"/>
                      <dgm:adj idx="2" val="-160.5288"/>
                    </dgm:adjLst>
                  </dgm:shape>
                </dgm:if>
                <dgm:else name="Name37">
                  <dgm:shape xmlns:r="http://schemas.openxmlformats.org/officeDocument/2006/relationships" type="chord" r:blip="">
                    <dgm:adjLst>
                      <dgm:adj idx="1" val="-8.2133"/>
                      <dgm:adj idx="2" val="-171.7867"/>
                    </dgm:adjLst>
                  </dgm:shape>
                </dgm:else>
              </dgm:choose>
            </dgm:if>
            <dgm:if name="Name38" axis="precedSib" ptType="node" func="cnt" op="equ" val="4">
              <dgm:choose name="Name39">
                <dgm:if name="Name40" axis="followSib" ptType="node" func="cnt" op="equ" val="0">
                  <dgm:shape xmlns:r="http://schemas.openxmlformats.org/officeDocument/2006/relationships" type="chord" r:blip="">
                    <dgm:adjLst>
                      <dgm:adj idx="1" val="-90"/>
                      <dgm:adj idx="2" val="-90"/>
                    </dgm:adjLst>
                  </dgm:shape>
                </dgm:if>
                <dgm:if name="Name41" axis="followSib" ptType="node" func="cnt" op="equ" val="1">
                  <dgm:shape xmlns:r="http://schemas.openxmlformats.org/officeDocument/2006/relationships" type="chord" r:blip="">
                    <dgm:adjLst>
                      <dgm:adj idx="1" val="-41.8103"/>
                      <dgm:adj idx="2" val="-138.1897"/>
                    </dgm:adjLst>
                  </dgm:shape>
                </dgm:if>
                <dgm:else name="Name42">
                  <dgm:shape xmlns:r="http://schemas.openxmlformats.org/officeDocument/2006/relationships" type="chord" r:blip="">
                    <dgm:adjLst>
                      <dgm:adj idx="1" val="-25.3769"/>
                      <dgm:adj idx="2" val="-154.6231"/>
                    </dgm:adjLst>
                  </dgm:shape>
                </dgm:else>
              </dgm:choose>
            </dgm:if>
            <dgm:if name="Name43" axis="precedSib" ptType="node" func="cnt" op="equ" val="5">
              <dgm:choose name="Name44">
                <dgm:if name="Name45" axis="followSib" ptType="node" func="cnt" op="equ" val="0">
                  <dgm:shape xmlns:r="http://schemas.openxmlformats.org/officeDocument/2006/relationships" type="chord" r:blip="">
                    <dgm:adjLst>
                      <dgm:adj idx="1" val="-90"/>
                      <dgm:adj idx="2" val="-90"/>
                    </dgm:adjLst>
                  </dgm:shape>
                </dgm:if>
                <dgm:else name="Name46">
                  <dgm:shape xmlns:r="http://schemas.openxmlformats.org/officeDocument/2006/relationships" type="chord" r:blip="">
                    <dgm:adjLst>
                      <dgm:adj idx="1" val="-45.5847"/>
                      <dgm:adj idx="2" val="-134.4153"/>
                    </dgm:adjLst>
                  </dgm:shape>
                </dgm:else>
              </dgm:choose>
            </dgm:if>
            <dgm:else name="Name47">
              <dgm:shape xmlns:r="http://schemas.openxmlformats.org/officeDocument/2006/relationships" type="chord" r:blip="">
                <dgm:adjLst>
                  <dgm:adj idx="1" val="-90"/>
                  <dgm:adj idx="2" val="-90"/>
                </dgm:adjLst>
              </dgm:shape>
            </dgm:else>
          </dgm:choose>
          <dgm:presOf/>
        </dgm:layoutNode>
        <dgm:layoutNode name="Child" styleLbl="revTx">
          <dgm:varLst>
            <dgm:chMax val="0"/>
            <dgm:chPref val="0"/>
            <dgm:bulletEnabled val="1"/>
          </dgm:varLst>
          <dgm:choose name="Name48">
            <dgm:if name="Name49" func="var" arg="dir" op="equ" val="norm">
              <dgm:alg type="tx">
                <dgm:param type="parTxLTRAlign" val="l"/>
                <dgm:param type="parTxRTLAlign" val="l"/>
                <dgm:param type="txAnchorVert" val="t"/>
              </dgm:alg>
            </dgm:if>
            <dgm:else name="Name50">
              <dgm:alg type="tx">
                <dgm:param type="parTxLTRAlign" val="r"/>
                <dgm:param type="parTxRTLAlign" val="r"/>
                <dgm:param type="txAnchorVert" val="t"/>
              </dgm:alg>
            </dgm:else>
          </dgm:choose>
          <dgm:choose name="Name51">
            <dgm:if name="Name52" axis="ch" ptType="node" func="cnt" op="gte" val="1">
              <dgm:shape xmlns:r="http://schemas.openxmlformats.org/officeDocument/2006/relationships" type="rect" r:blip="">
                <dgm:adjLst/>
              </dgm:shape>
            </dgm:if>
            <dgm:else name="Name53">
              <dgm:shape xmlns:r="http://schemas.openxmlformats.org/officeDocument/2006/relationships" type="rect" r:blip="" hideGeom="1">
                <dgm:adjLst/>
              </dgm:shape>
            </dgm:else>
          </dgm:choose>
          <dgm:choose name="Name54">
            <dgm:if name="Name55" axis="ch" ptType="node" func="cnt" op="gte" val="1">
              <dgm:presOf axis="des" ptType="node"/>
            </dgm:if>
            <dgm:else name="Name56">
              <dgm:presOf/>
            </dgm:else>
          </dgm:choos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revTx">
          <dgm:varLst>
            <dgm:chMax val="1"/>
            <dgm:chPref val="1"/>
            <dgm:bulletEnabled val="1"/>
          </dgm:varLst>
          <dgm:choose name="Name57">
            <dgm:if name="Name58" func="var" arg="dir" op="equ" val="norm">
              <dgm:alg type="tx">
                <dgm:param type="parTxLTRAlign" val="l"/>
                <dgm:param type="parTxRTLAlign" val="l"/>
                <dgm:param type="shpTxLTRAlignCh" val="l"/>
                <dgm:param type="shpTxRTLAlignCh" val="l"/>
                <dgm:param type="txAnchorVert" val="b"/>
                <dgm:param type="txAnchorVertCh" val="b"/>
              </dgm:alg>
            </dgm:if>
            <dgm:else name="Name59">
              <dgm:alg type="tx">
                <dgm:param type="parTxLTRAlign" val="r"/>
                <dgm:param type="parTxRTLAlign" val="r"/>
                <dgm:param type="shpTxLTRAlignCh" val="r"/>
                <dgm:param type="shpTxRTLAlignCh" val="r"/>
                <dgm:param type="txAnchorVert" val="b"/>
                <dgm:param type="txAnchorVertCh" val="b"/>
              </dgm:alg>
            </dgm:else>
          </dgm:choose>
          <dgm:shape xmlns:r="http://schemas.openxmlformats.org/officeDocument/2006/relationships" type="rect" r:blip="">
            <dgm:adjLst/>
          </dgm:shape>
          <dgm:presOf axis="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9779E243B60BC4EA7E469616194D6C7" ma:contentTypeVersion="10" ma:contentTypeDescription="Create a new document." ma:contentTypeScope="" ma:versionID="5f8c62c18738d2bb4982294f40aa8db4">
  <xsd:schema xmlns:xsd="http://www.w3.org/2001/XMLSchema" xmlns:xs="http://www.w3.org/2001/XMLSchema" xmlns:p="http://schemas.microsoft.com/office/2006/metadata/properties" xmlns:ns2="0465b000-0192-4f8a-abdb-234d5d8aa4af" targetNamespace="http://schemas.microsoft.com/office/2006/metadata/properties" ma:root="true" ma:fieldsID="7cf8c9d756b338200ccc6e10f50c506a" ns2:_="">
    <xsd:import namespace="0465b000-0192-4f8a-abdb-234d5d8aa4a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65b000-0192-4f8a-abdb-234d5d8aa4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9EC0762-B3F8-4235-B231-00D6ACA827F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F6DB03A-9C09-9A45-AA96-7F4179B82B45}">
  <ds:schemaRefs>
    <ds:schemaRef ds:uri="http://schemas.openxmlformats.org/officeDocument/2006/bibliography"/>
  </ds:schemaRefs>
</ds:datastoreItem>
</file>

<file path=customXml/itemProps3.xml><?xml version="1.0" encoding="utf-8"?>
<ds:datastoreItem xmlns:ds="http://schemas.openxmlformats.org/officeDocument/2006/customXml" ds:itemID="{985E4A3A-9F5A-4734-B820-7C4C3B59EEA5}">
  <ds:schemaRefs>
    <ds:schemaRef ds:uri="http://schemas.microsoft.com/sharepoint/v3/contenttype/forms"/>
  </ds:schemaRefs>
</ds:datastoreItem>
</file>

<file path=customXml/itemProps4.xml><?xml version="1.0" encoding="utf-8"?>
<ds:datastoreItem xmlns:ds="http://schemas.openxmlformats.org/officeDocument/2006/customXml" ds:itemID="{89705E7A-ED66-4F68-AE38-E5DE8BF45B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65b000-0192-4f8a-abdb-234d5d8aa4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15736</Words>
  <Characters>89698</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Rey</dc:creator>
  <cp:keywords/>
  <dc:description/>
  <cp:lastModifiedBy>Maria Garcia-Espinosa</cp:lastModifiedBy>
  <cp:revision>4</cp:revision>
  <dcterms:created xsi:type="dcterms:W3CDTF">2020-12-22T13:14:00Z</dcterms:created>
  <dcterms:modified xsi:type="dcterms:W3CDTF">2020-12-22T13:16:00Z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0x01010099779E243B60BC4EA7E469616194D6C7</vt:lpwstr>
  </property>
</Properties>
</file>