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63DB0" w14:textId="52489BA1" w:rsidR="00D34E97" w:rsidRPr="00716921" w:rsidRDefault="006F2C07">
      <w:pPr>
        <w:tabs>
          <w:tab w:val="center" w:pos="4513"/>
          <w:tab w:val="left" w:pos="6585"/>
        </w:tabs>
        <w:jc w:val="center"/>
      </w:pPr>
      <w:r w:rsidRPr="00716921">
        <w:rPr>
          <w:rFonts w:ascii="Times New Roman" w:hAnsi="Times New Roman"/>
          <w:b/>
          <w:bCs/>
          <w:color w:val="2F5496"/>
          <w:sz w:val="32"/>
          <w:szCs w:val="32"/>
        </w:rPr>
        <w:t>Programme d’</w:t>
      </w:r>
      <w:r w:rsidR="00160F65">
        <w:rPr>
          <w:rFonts w:ascii="Times New Roman" w:hAnsi="Times New Roman"/>
          <w:b/>
          <w:bCs/>
          <w:color w:val="2F5496"/>
          <w:sz w:val="32"/>
          <w:szCs w:val="32"/>
        </w:rPr>
        <w:t>A</w:t>
      </w:r>
      <w:r w:rsidR="0012205C">
        <w:rPr>
          <w:rFonts w:ascii="Times New Roman" w:hAnsi="Times New Roman"/>
          <w:b/>
          <w:bCs/>
          <w:color w:val="2F5496"/>
          <w:sz w:val="32"/>
          <w:szCs w:val="32"/>
        </w:rPr>
        <w:t xml:space="preserve">ppui à l’accès aux </w:t>
      </w:r>
      <w:r w:rsidR="00160F65">
        <w:rPr>
          <w:rFonts w:ascii="Times New Roman" w:hAnsi="Times New Roman"/>
          <w:b/>
          <w:bCs/>
          <w:color w:val="2F5496"/>
          <w:sz w:val="32"/>
          <w:szCs w:val="32"/>
        </w:rPr>
        <w:t>S</w:t>
      </w:r>
      <w:r w:rsidRPr="00716921">
        <w:rPr>
          <w:rFonts w:ascii="Times New Roman" w:hAnsi="Times New Roman"/>
          <w:b/>
          <w:bCs/>
          <w:color w:val="2F5496"/>
          <w:sz w:val="32"/>
          <w:szCs w:val="32"/>
        </w:rPr>
        <w:t xml:space="preserve">ervices </w:t>
      </w:r>
      <w:r w:rsidR="00160F65">
        <w:rPr>
          <w:rFonts w:ascii="Times New Roman" w:hAnsi="Times New Roman"/>
          <w:b/>
          <w:bCs/>
          <w:color w:val="2F5496"/>
          <w:sz w:val="32"/>
          <w:szCs w:val="32"/>
        </w:rPr>
        <w:t>P</w:t>
      </w:r>
      <w:r w:rsidRPr="00716921">
        <w:rPr>
          <w:rFonts w:ascii="Times New Roman" w:hAnsi="Times New Roman"/>
          <w:b/>
          <w:bCs/>
          <w:color w:val="2F5496"/>
          <w:sz w:val="32"/>
          <w:szCs w:val="32"/>
        </w:rPr>
        <w:t>ublics (PASP)</w:t>
      </w:r>
    </w:p>
    <w:p w14:paraId="647959A2" w14:textId="77777777" w:rsidR="00D34E97" w:rsidRPr="00716921" w:rsidRDefault="00D34E97">
      <w:pPr>
        <w:tabs>
          <w:tab w:val="center" w:pos="4513"/>
          <w:tab w:val="left" w:pos="6585"/>
        </w:tabs>
        <w:jc w:val="center"/>
        <w:rPr>
          <w:rFonts w:cs="Calibri"/>
          <w:sz w:val="36"/>
          <w:szCs w:val="36"/>
        </w:rPr>
      </w:pPr>
    </w:p>
    <w:tbl>
      <w:tblPr>
        <w:tblW w:w="10464" w:type="dxa"/>
        <w:jc w:val="center"/>
        <w:tblCellMar>
          <w:left w:w="10" w:type="dxa"/>
          <w:right w:w="10" w:type="dxa"/>
        </w:tblCellMar>
        <w:tblLook w:val="04A0" w:firstRow="1" w:lastRow="0" w:firstColumn="1" w:lastColumn="0" w:noHBand="0" w:noVBand="1"/>
      </w:tblPr>
      <w:tblGrid>
        <w:gridCol w:w="2919"/>
        <w:gridCol w:w="7545"/>
      </w:tblGrid>
      <w:tr w:rsidR="00D34E97" w:rsidRPr="00716921" w14:paraId="4D5E68C0" w14:textId="77777777">
        <w:trPr>
          <w:trHeight w:val="295"/>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1E708DBF"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Pays</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vAlign w:val="center"/>
          </w:tcPr>
          <w:p w14:paraId="5EFA8F75"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Mali</w:t>
            </w:r>
          </w:p>
        </w:tc>
      </w:tr>
      <w:tr w:rsidR="00D34E97" w:rsidRPr="00716921" w14:paraId="596ECAD6" w14:textId="77777777">
        <w:trPr>
          <w:trHeight w:val="295"/>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39E56125"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Titre du projet</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tcPr>
          <w:p w14:paraId="2FCCA8A7" w14:textId="1561AAA0"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Programme d’a</w:t>
            </w:r>
            <w:r w:rsidR="00F3788E">
              <w:rPr>
                <w:rFonts w:ascii="Times New Roman" w:hAnsi="Times New Roman"/>
                <w:sz w:val="24"/>
                <w:szCs w:val="24"/>
              </w:rPr>
              <w:t>mélioration des</w:t>
            </w:r>
            <w:r w:rsidRPr="00716921">
              <w:rPr>
                <w:rFonts w:ascii="Times New Roman" w:hAnsi="Times New Roman"/>
                <w:sz w:val="24"/>
                <w:szCs w:val="24"/>
              </w:rPr>
              <w:t xml:space="preserve"> Services Publics – PASP</w:t>
            </w:r>
          </w:p>
        </w:tc>
      </w:tr>
      <w:tr w:rsidR="00D34E97" w:rsidRPr="00716921" w14:paraId="03DF48B6" w14:textId="77777777">
        <w:trPr>
          <w:trHeight w:val="311"/>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0A68481D"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Effet de l’UNSDCF 2020-2024</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tcPr>
          <w:p w14:paraId="5DA3483D" w14:textId="77777777" w:rsidR="00D34E97" w:rsidRPr="00716921" w:rsidRDefault="006F2C07">
            <w:pPr>
              <w:suppressAutoHyphens w:val="0"/>
              <w:spacing w:line="240" w:lineRule="auto"/>
              <w:jc w:val="both"/>
              <w:textAlignment w:val="auto"/>
              <w:rPr>
                <w:rFonts w:ascii="Times New Roman" w:hAnsi="Times New Roman"/>
                <w:szCs w:val="24"/>
              </w:rPr>
            </w:pPr>
            <w:r w:rsidRPr="00716921">
              <w:rPr>
                <w:rFonts w:ascii="Times New Roman" w:hAnsi="Times New Roman"/>
                <w:szCs w:val="24"/>
              </w:rPr>
              <w:t>D’ici 2024, les populations vivent dans un état de droit, un environnement de paix et de redevabilité grâce à des institutions publiques fortes, des médias et une société civile exerçant leurs rôles et responsabilités pour une gouvernance efficace et inclusive</w:t>
            </w:r>
          </w:p>
          <w:p w14:paraId="5C1745D8" w14:textId="77777777" w:rsidR="00D34E97" w:rsidRPr="00716921" w:rsidRDefault="00D34E97">
            <w:pPr>
              <w:suppressAutoHyphens w:val="0"/>
              <w:spacing w:line="240" w:lineRule="auto"/>
              <w:jc w:val="both"/>
              <w:textAlignment w:val="auto"/>
              <w:rPr>
                <w:rFonts w:ascii="Times New Roman" w:hAnsi="Times New Roman"/>
                <w:sz w:val="24"/>
                <w:szCs w:val="24"/>
              </w:rPr>
            </w:pPr>
          </w:p>
        </w:tc>
      </w:tr>
      <w:tr w:rsidR="00D34E97" w:rsidRPr="00716921" w14:paraId="6089E085" w14:textId="77777777">
        <w:trPr>
          <w:trHeight w:val="311"/>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27F52E68"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Produit du CPD 2020-2024</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tcPr>
          <w:p w14:paraId="04021FC8" w14:textId="77777777" w:rsidR="00D34E97" w:rsidRPr="00716921" w:rsidRDefault="006F2C07">
            <w:pPr>
              <w:suppressAutoHyphens w:val="0"/>
              <w:spacing w:line="240" w:lineRule="auto"/>
              <w:jc w:val="both"/>
              <w:textAlignment w:val="auto"/>
              <w:rPr>
                <w:rFonts w:ascii="Times New Roman" w:hAnsi="Times New Roman"/>
                <w:sz w:val="24"/>
                <w:szCs w:val="24"/>
              </w:rPr>
            </w:pPr>
            <w:r w:rsidRPr="00716921">
              <w:rPr>
                <w:rFonts w:ascii="Times New Roman" w:hAnsi="Times New Roman"/>
                <w:sz w:val="24"/>
                <w:szCs w:val="24"/>
              </w:rPr>
              <w:t>Les populations les plus défavorisées bénéficient de services publics de qualité fournis par des institutions, des structures publiques et des autorités décentralisées locales performantes et responsables</w:t>
            </w:r>
          </w:p>
        </w:tc>
      </w:tr>
      <w:tr w:rsidR="00D34E97" w:rsidRPr="00716921" w14:paraId="29965FBA" w14:textId="77777777">
        <w:trPr>
          <w:trHeight w:val="311"/>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2477363E"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ODD</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vAlign w:val="center"/>
          </w:tcPr>
          <w:p w14:paraId="0C68BFE5" w14:textId="77777777" w:rsidR="00D34E97" w:rsidRPr="00716921" w:rsidRDefault="006F2C07">
            <w:pPr>
              <w:shd w:val="clear" w:color="auto" w:fill="FFFFFF"/>
              <w:spacing w:line="240" w:lineRule="auto"/>
              <w:jc w:val="both"/>
              <w:outlineLvl w:val="0"/>
              <w:rPr>
                <w:rFonts w:ascii="Times New Roman" w:hAnsi="Times New Roman"/>
                <w:sz w:val="24"/>
                <w:szCs w:val="24"/>
              </w:rPr>
            </w:pPr>
            <w:r w:rsidRPr="00716921">
              <w:rPr>
                <w:rFonts w:ascii="Times New Roman" w:hAnsi="Times New Roman"/>
                <w:sz w:val="24"/>
                <w:szCs w:val="24"/>
              </w:rPr>
              <w:t>16</w:t>
            </w:r>
          </w:p>
        </w:tc>
      </w:tr>
      <w:tr w:rsidR="00D34E97" w:rsidRPr="00716921" w14:paraId="3F72A472" w14:textId="77777777">
        <w:trPr>
          <w:trHeight w:val="311"/>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08E32A81"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Effet attendu du projet</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vAlign w:val="center"/>
          </w:tcPr>
          <w:p w14:paraId="0DE258BB"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 xml:space="preserve">Les capacités des structures publiques et des autorités décentralisées locales sont améliorées et les populations bénéficient davantage de services publics de qualité </w:t>
            </w:r>
          </w:p>
        </w:tc>
      </w:tr>
      <w:tr w:rsidR="00D34E97" w:rsidRPr="00716921" w14:paraId="18FD8793" w14:textId="77777777">
        <w:trPr>
          <w:trHeight w:val="269"/>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2C1B9131"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Budget estimatif</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vAlign w:val="center"/>
          </w:tcPr>
          <w:p w14:paraId="389DCE3B" w14:textId="77777777" w:rsidR="00D34E97" w:rsidRPr="00716921" w:rsidRDefault="006F2C07">
            <w:pPr>
              <w:spacing w:before="48" w:after="48" w:line="240" w:lineRule="auto"/>
              <w:jc w:val="both"/>
              <w:rPr>
                <w:rFonts w:ascii="Times New Roman" w:hAnsi="Times New Roman"/>
                <w:sz w:val="24"/>
                <w:szCs w:val="24"/>
              </w:rPr>
            </w:pPr>
            <w:r w:rsidRPr="00716921">
              <w:rPr>
                <w:rFonts w:ascii="Times New Roman" w:hAnsi="Times New Roman"/>
                <w:sz w:val="24"/>
                <w:szCs w:val="24"/>
              </w:rPr>
              <w:t xml:space="preserve">$ 24 237 576 </w:t>
            </w:r>
          </w:p>
        </w:tc>
      </w:tr>
      <w:tr w:rsidR="00D34E97" w:rsidRPr="00716921" w14:paraId="38B2D0C7" w14:textId="77777777">
        <w:trPr>
          <w:trHeight w:val="295"/>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5146D995"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Durée des activités</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vAlign w:val="center"/>
          </w:tcPr>
          <w:p w14:paraId="26161866" w14:textId="77777777" w:rsidR="00D34E97" w:rsidRPr="00716921" w:rsidRDefault="006F2C07">
            <w:pPr>
              <w:spacing w:before="48" w:after="48" w:line="240" w:lineRule="auto"/>
              <w:jc w:val="both"/>
              <w:rPr>
                <w:rFonts w:ascii="Times New Roman" w:hAnsi="Times New Roman"/>
                <w:sz w:val="24"/>
                <w:szCs w:val="24"/>
              </w:rPr>
            </w:pPr>
            <w:r w:rsidRPr="00716921">
              <w:rPr>
                <w:rFonts w:ascii="Times New Roman" w:hAnsi="Times New Roman"/>
                <w:sz w:val="24"/>
                <w:szCs w:val="24"/>
              </w:rPr>
              <w:t>1/01/2021-31/12/2024</w:t>
            </w:r>
          </w:p>
        </w:tc>
      </w:tr>
      <w:tr w:rsidR="00D34E97" w:rsidRPr="00716921" w14:paraId="162F1EB4" w14:textId="77777777">
        <w:trPr>
          <w:trHeight w:val="295"/>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3F004653"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Agence d’exécution</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vAlign w:val="center"/>
          </w:tcPr>
          <w:p w14:paraId="0896A470" w14:textId="77777777" w:rsidR="00D34E97" w:rsidRPr="00716921" w:rsidRDefault="006F2C07">
            <w:pPr>
              <w:spacing w:before="48" w:after="48" w:line="240" w:lineRule="auto"/>
              <w:jc w:val="both"/>
              <w:rPr>
                <w:rFonts w:ascii="Times New Roman" w:hAnsi="Times New Roman"/>
                <w:sz w:val="24"/>
                <w:szCs w:val="24"/>
              </w:rPr>
            </w:pPr>
            <w:r w:rsidRPr="00716921">
              <w:rPr>
                <w:rFonts w:ascii="Times New Roman" w:hAnsi="Times New Roman"/>
                <w:sz w:val="24"/>
                <w:szCs w:val="24"/>
              </w:rPr>
              <w:t>PNUD</w:t>
            </w:r>
          </w:p>
        </w:tc>
      </w:tr>
      <w:tr w:rsidR="00D34E97" w:rsidRPr="00716921" w14:paraId="7ADD377A" w14:textId="77777777">
        <w:trPr>
          <w:trHeight w:val="295"/>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28B993D8"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Partenaires du projet</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vAlign w:val="center"/>
          </w:tcPr>
          <w:p w14:paraId="72697EA3" w14:textId="0E70E5E3" w:rsidR="00D34E97" w:rsidRPr="00716921" w:rsidRDefault="006F2C07">
            <w:pPr>
              <w:numPr>
                <w:ilvl w:val="0"/>
                <w:numId w:val="1"/>
              </w:numPr>
              <w:suppressAutoHyphens w:val="0"/>
              <w:spacing w:line="240" w:lineRule="auto"/>
              <w:ind w:left="357" w:hanging="357"/>
              <w:jc w:val="both"/>
              <w:textAlignment w:val="auto"/>
              <w:rPr>
                <w:rFonts w:ascii="Times New Roman" w:hAnsi="Times New Roman"/>
                <w:sz w:val="24"/>
                <w:szCs w:val="24"/>
              </w:rPr>
            </w:pPr>
            <w:r w:rsidRPr="00716921">
              <w:rPr>
                <w:rFonts w:ascii="Times New Roman" w:hAnsi="Times New Roman"/>
                <w:sz w:val="24"/>
                <w:szCs w:val="24"/>
              </w:rPr>
              <w:t xml:space="preserve">Ministères en charge : de la </w:t>
            </w:r>
            <w:r w:rsidR="004142E9" w:rsidRPr="00716921">
              <w:rPr>
                <w:rFonts w:ascii="Times New Roman" w:hAnsi="Times New Roman"/>
                <w:sz w:val="24"/>
                <w:szCs w:val="24"/>
              </w:rPr>
              <w:t>refondation de l’</w:t>
            </w:r>
            <w:r w:rsidR="00634A7E" w:rsidRPr="00716921">
              <w:rPr>
                <w:rFonts w:ascii="Times New Roman" w:hAnsi="Times New Roman"/>
                <w:sz w:val="24"/>
                <w:szCs w:val="24"/>
              </w:rPr>
              <w:t>É</w:t>
            </w:r>
            <w:r w:rsidR="004142E9" w:rsidRPr="00716921">
              <w:rPr>
                <w:rFonts w:ascii="Times New Roman" w:hAnsi="Times New Roman"/>
                <w:sz w:val="24"/>
                <w:szCs w:val="24"/>
              </w:rPr>
              <w:t>tat</w:t>
            </w:r>
            <w:r w:rsidR="0095623B" w:rsidRPr="00716921">
              <w:rPr>
                <w:rFonts w:ascii="Times New Roman" w:hAnsi="Times New Roman"/>
                <w:sz w:val="24"/>
                <w:szCs w:val="24"/>
              </w:rPr>
              <w:t>, chargé des relations avec les Institutions</w:t>
            </w:r>
            <w:r w:rsidR="004142E9" w:rsidRPr="00716921">
              <w:rPr>
                <w:rFonts w:ascii="Times New Roman" w:hAnsi="Times New Roman"/>
                <w:sz w:val="24"/>
                <w:szCs w:val="24"/>
              </w:rPr>
              <w:t xml:space="preserve"> </w:t>
            </w:r>
            <w:r w:rsidRPr="00716921">
              <w:rPr>
                <w:rFonts w:ascii="Times New Roman" w:hAnsi="Times New Roman"/>
                <w:sz w:val="24"/>
                <w:szCs w:val="24"/>
              </w:rPr>
              <w:t>de l</w:t>
            </w:r>
            <w:r w:rsidR="004925B4" w:rsidRPr="00716921">
              <w:rPr>
                <w:rFonts w:ascii="Times New Roman" w:hAnsi="Times New Roman"/>
                <w:sz w:val="24"/>
                <w:szCs w:val="24"/>
              </w:rPr>
              <w:t>’Administration Territoriale et de l</w:t>
            </w:r>
            <w:r w:rsidRPr="00716921">
              <w:rPr>
                <w:rFonts w:ascii="Times New Roman" w:hAnsi="Times New Roman"/>
                <w:sz w:val="24"/>
                <w:szCs w:val="24"/>
              </w:rPr>
              <w:t xml:space="preserve">a Décentralisation, du Budget, </w:t>
            </w:r>
            <w:r w:rsidR="0095623B" w:rsidRPr="00716921">
              <w:rPr>
                <w:rFonts w:ascii="Times New Roman" w:hAnsi="Times New Roman"/>
                <w:sz w:val="24"/>
                <w:szCs w:val="24"/>
              </w:rPr>
              <w:t xml:space="preserve">du Travail et </w:t>
            </w:r>
            <w:r w:rsidRPr="00716921">
              <w:rPr>
                <w:rFonts w:ascii="Times New Roman" w:hAnsi="Times New Roman"/>
                <w:sz w:val="24"/>
                <w:szCs w:val="24"/>
              </w:rPr>
              <w:t xml:space="preserve">de la Fonction publique, </w:t>
            </w:r>
          </w:p>
          <w:p w14:paraId="542C23C2" w14:textId="77777777" w:rsidR="00D34E97" w:rsidRPr="00716921" w:rsidRDefault="006F2C07">
            <w:pPr>
              <w:numPr>
                <w:ilvl w:val="0"/>
                <w:numId w:val="1"/>
              </w:numPr>
              <w:suppressAutoHyphens w:val="0"/>
              <w:spacing w:line="240" w:lineRule="auto"/>
              <w:ind w:left="357" w:hanging="357"/>
              <w:jc w:val="both"/>
              <w:textAlignment w:val="auto"/>
              <w:rPr>
                <w:rFonts w:ascii="Times New Roman" w:hAnsi="Times New Roman"/>
                <w:sz w:val="24"/>
                <w:szCs w:val="24"/>
              </w:rPr>
            </w:pPr>
            <w:r w:rsidRPr="00716921">
              <w:rPr>
                <w:rFonts w:ascii="Times New Roman" w:hAnsi="Times New Roman"/>
                <w:sz w:val="24"/>
                <w:szCs w:val="24"/>
              </w:rPr>
              <w:t>MINUSMA (DAP), ONUFEMMES, UNICEF</w:t>
            </w:r>
          </w:p>
          <w:p w14:paraId="3C649CB9" w14:textId="07A7D130"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 xml:space="preserve">Autres </w:t>
            </w:r>
            <w:proofErr w:type="spellStart"/>
            <w:r w:rsidRPr="00716921">
              <w:rPr>
                <w:rFonts w:ascii="Times New Roman" w:hAnsi="Times New Roman"/>
                <w:sz w:val="24"/>
                <w:szCs w:val="24"/>
              </w:rPr>
              <w:t>PTFs</w:t>
            </w:r>
            <w:proofErr w:type="spellEnd"/>
            <w:r w:rsidRPr="00716921">
              <w:rPr>
                <w:rFonts w:ascii="Times New Roman" w:hAnsi="Times New Roman"/>
                <w:sz w:val="24"/>
                <w:szCs w:val="24"/>
              </w:rPr>
              <w:t xml:space="preserve"> : Canada, UE, USAID, Danemark, </w:t>
            </w:r>
            <w:r w:rsidR="006B4B45" w:rsidRPr="00716921">
              <w:rPr>
                <w:rFonts w:ascii="Times New Roman" w:hAnsi="Times New Roman"/>
                <w:sz w:val="24"/>
                <w:szCs w:val="24"/>
              </w:rPr>
              <w:t xml:space="preserve">France, </w:t>
            </w:r>
            <w:r w:rsidRPr="00716921">
              <w:rPr>
                <w:rFonts w:ascii="Times New Roman" w:hAnsi="Times New Roman"/>
                <w:sz w:val="24"/>
                <w:szCs w:val="24"/>
              </w:rPr>
              <w:t>Luxembourg, Belgique, USAID, Suède, Pays-Bas</w:t>
            </w:r>
          </w:p>
        </w:tc>
      </w:tr>
      <w:tr w:rsidR="00D34E97" w:rsidRPr="00716921" w14:paraId="4F8C123A" w14:textId="77777777">
        <w:trPr>
          <w:trHeight w:val="295"/>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13A62E19"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Couverture géographique</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vAlign w:val="center"/>
          </w:tcPr>
          <w:p w14:paraId="69432269"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 xml:space="preserve">Nationale </w:t>
            </w:r>
          </w:p>
        </w:tc>
      </w:tr>
      <w:tr w:rsidR="00D34E97" w:rsidRPr="00716921" w14:paraId="3754F830" w14:textId="77777777">
        <w:trPr>
          <w:trHeight w:val="295"/>
          <w:jc w:val="center"/>
        </w:trPr>
        <w:tc>
          <w:tcPr>
            <w:tcW w:w="2919" w:type="dxa"/>
            <w:tcBorders>
              <w:top w:val="single" w:sz="6" w:space="0" w:color="D9D9D9"/>
              <w:left w:val="single" w:sz="6" w:space="0" w:color="D9D9D9"/>
              <w:bottom w:val="single" w:sz="6" w:space="0" w:color="D9D9D9"/>
              <w:right w:val="single" w:sz="6" w:space="0" w:color="D9D9D9"/>
            </w:tcBorders>
            <w:shd w:val="clear" w:color="auto" w:fill="F2F2F2"/>
            <w:tcMar>
              <w:top w:w="0" w:type="dxa"/>
              <w:left w:w="108" w:type="dxa"/>
              <w:bottom w:w="0" w:type="dxa"/>
              <w:right w:w="108" w:type="dxa"/>
            </w:tcMar>
            <w:vAlign w:val="center"/>
          </w:tcPr>
          <w:p w14:paraId="4BA40D1E"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Point focal</w:t>
            </w:r>
          </w:p>
        </w:tc>
        <w:tc>
          <w:tcPr>
            <w:tcW w:w="7545" w:type="dxa"/>
            <w:tcBorders>
              <w:top w:val="single" w:sz="6" w:space="0" w:color="D9D9D9"/>
              <w:left w:val="single" w:sz="6" w:space="0" w:color="D9D9D9"/>
              <w:bottom w:val="single" w:sz="6" w:space="0" w:color="D9D9D9"/>
              <w:right w:val="single" w:sz="6" w:space="0" w:color="D9D9D9"/>
            </w:tcBorders>
            <w:shd w:val="clear" w:color="auto" w:fill="auto"/>
            <w:tcMar>
              <w:top w:w="0" w:type="dxa"/>
              <w:left w:w="108" w:type="dxa"/>
              <w:bottom w:w="0" w:type="dxa"/>
              <w:right w:w="108" w:type="dxa"/>
            </w:tcMar>
            <w:vAlign w:val="center"/>
          </w:tcPr>
          <w:p w14:paraId="6F980DC4" w14:textId="77777777" w:rsidR="00D34E97" w:rsidRPr="00716921" w:rsidRDefault="006F2C07">
            <w:pPr>
              <w:spacing w:line="240" w:lineRule="auto"/>
              <w:jc w:val="both"/>
              <w:rPr>
                <w:rFonts w:ascii="Times New Roman" w:hAnsi="Times New Roman"/>
                <w:sz w:val="24"/>
                <w:szCs w:val="24"/>
              </w:rPr>
            </w:pPr>
            <w:r w:rsidRPr="00716921">
              <w:rPr>
                <w:rFonts w:ascii="Times New Roman" w:hAnsi="Times New Roman"/>
                <w:sz w:val="24"/>
                <w:szCs w:val="24"/>
              </w:rPr>
              <w:t>OSSADE Fatimata Traoré, Team Leader Gouvernance</w:t>
            </w:r>
          </w:p>
        </w:tc>
      </w:tr>
    </w:tbl>
    <w:p w14:paraId="6474F4ED" w14:textId="77777777" w:rsidR="00696898" w:rsidRPr="00716921" w:rsidRDefault="00696898" w:rsidP="00F94FA9">
      <w:pPr>
        <w:widowControl w:val="0"/>
        <w:pBdr>
          <w:top w:val="single" w:sz="4" w:space="1" w:color="D9D9D9"/>
          <w:bottom w:val="single" w:sz="4" w:space="1" w:color="D9D9D9"/>
        </w:pBdr>
        <w:shd w:val="clear" w:color="auto" w:fill="F2F2F2"/>
        <w:suppressAutoHyphens w:val="0"/>
        <w:spacing w:after="0" w:line="240" w:lineRule="auto"/>
        <w:jc w:val="both"/>
        <w:textAlignment w:val="auto"/>
        <w:rPr>
          <w:rFonts w:eastAsia="MS Gothic" w:cs="Calibri"/>
          <w:b/>
          <w:color w:val="002060"/>
          <w:sz w:val="24"/>
          <w:lang w:eastAsia="fr-FR"/>
        </w:rPr>
      </w:pPr>
      <w:r w:rsidRPr="00716921">
        <w:rPr>
          <w:rFonts w:eastAsia="MS Gothic" w:cs="Calibri"/>
          <w:b/>
          <w:color w:val="002060"/>
          <w:sz w:val="24"/>
          <w:lang w:eastAsia="fr-FR"/>
        </w:rPr>
        <w:br w:type="page"/>
      </w:r>
    </w:p>
    <w:p w14:paraId="1DFE816B" w14:textId="1F88F6E8" w:rsidR="00D34E97" w:rsidRPr="00716921" w:rsidRDefault="003F4EC2" w:rsidP="00F94FA9">
      <w:pPr>
        <w:widowControl w:val="0"/>
        <w:pBdr>
          <w:top w:val="single" w:sz="4" w:space="1" w:color="D9D9D9"/>
          <w:bottom w:val="single" w:sz="4" w:space="1" w:color="D9D9D9"/>
        </w:pBdr>
        <w:shd w:val="clear" w:color="auto" w:fill="F2F2F2"/>
        <w:suppressAutoHyphens w:val="0"/>
        <w:spacing w:after="0" w:line="240" w:lineRule="auto"/>
        <w:jc w:val="both"/>
        <w:textAlignment w:val="auto"/>
        <w:rPr>
          <w:rFonts w:eastAsia="MS Gothic" w:cs="Calibri"/>
          <w:b/>
          <w:color w:val="002060"/>
          <w:sz w:val="24"/>
          <w:lang w:eastAsia="fr-FR"/>
        </w:rPr>
      </w:pPr>
      <w:r w:rsidRPr="00716921">
        <w:rPr>
          <w:rFonts w:eastAsia="MS Gothic" w:cs="Calibri"/>
          <w:b/>
          <w:color w:val="002060"/>
          <w:sz w:val="24"/>
          <w:lang w:eastAsia="fr-FR"/>
        </w:rPr>
        <w:lastRenderedPageBreak/>
        <w:t xml:space="preserve">I. </w:t>
      </w:r>
      <w:r w:rsidR="006F2C07" w:rsidRPr="00716921">
        <w:rPr>
          <w:rFonts w:eastAsia="MS Gothic" w:cs="Calibri"/>
          <w:b/>
          <w:color w:val="002060"/>
          <w:sz w:val="24"/>
          <w:lang w:eastAsia="fr-FR"/>
        </w:rPr>
        <w:t>Contexte et justification</w:t>
      </w:r>
    </w:p>
    <w:p w14:paraId="47B7A855" w14:textId="77777777" w:rsidR="00D34E97" w:rsidRPr="00716921" w:rsidRDefault="00D34E97">
      <w:pPr>
        <w:spacing w:line="240" w:lineRule="auto"/>
        <w:jc w:val="both"/>
        <w:rPr>
          <w:rFonts w:ascii="Times New Roman" w:hAnsi="Times New Roman"/>
          <w:color w:val="000000"/>
          <w:sz w:val="24"/>
          <w:szCs w:val="24"/>
        </w:rPr>
      </w:pPr>
    </w:p>
    <w:p w14:paraId="6BC1A323" w14:textId="682FC2D1" w:rsidR="00D34E97" w:rsidRPr="00716921" w:rsidRDefault="006F2C07">
      <w:pPr>
        <w:spacing w:line="240" w:lineRule="auto"/>
        <w:jc w:val="both"/>
      </w:pPr>
      <w:r w:rsidRPr="00716921">
        <w:rPr>
          <w:rFonts w:ascii="Times New Roman" w:hAnsi="Times New Roman"/>
          <w:color w:val="000000"/>
          <w:sz w:val="24"/>
          <w:szCs w:val="24"/>
        </w:rPr>
        <w:t xml:space="preserve">La crise multiforme que traverse le Mali depuis 2012 </w:t>
      </w:r>
      <w:r w:rsidRPr="00716921">
        <w:rPr>
          <w:rFonts w:ascii="Times New Roman" w:hAnsi="Times New Roman"/>
          <w:bCs/>
          <w:color w:val="000000"/>
          <w:sz w:val="24"/>
          <w:szCs w:val="24"/>
          <w:shd w:val="clear" w:color="auto" w:fill="FFFFFF"/>
        </w:rPr>
        <w:t>a ébranlé les fondements de l’État et fragilisé le vivre-ensemble</w:t>
      </w:r>
      <w:r w:rsidRPr="00716921">
        <w:rPr>
          <w:rFonts w:ascii="Times New Roman" w:hAnsi="Times New Roman"/>
          <w:b/>
          <w:bCs/>
          <w:color w:val="000000"/>
          <w:sz w:val="24"/>
          <w:szCs w:val="24"/>
          <w:shd w:val="clear" w:color="auto" w:fill="FFFFFF"/>
        </w:rPr>
        <w:t xml:space="preserve">. </w:t>
      </w:r>
      <w:r w:rsidRPr="00716921">
        <w:rPr>
          <w:rFonts w:ascii="Times New Roman" w:hAnsi="Times New Roman"/>
          <w:sz w:val="24"/>
          <w:szCs w:val="24"/>
        </w:rPr>
        <w:t xml:space="preserve">Près de cinq ans après la signature de l'Accord pour la paix et la réconciliation issu du processus d’Alger, le pays reste confronté à de nombreux défis sécuritaires avec l’apparition de nouvelles menaces asymétriques qui entravent la paix et la stabilité. </w:t>
      </w:r>
      <w:r w:rsidR="007E50B3" w:rsidRPr="00716921">
        <w:rPr>
          <w:rFonts w:ascii="Times New Roman" w:hAnsi="Times New Roman"/>
          <w:sz w:val="24"/>
          <w:szCs w:val="24"/>
        </w:rPr>
        <w:t>Initialement</w:t>
      </w:r>
      <w:r w:rsidRPr="00716921">
        <w:rPr>
          <w:rFonts w:ascii="Times New Roman" w:hAnsi="Times New Roman"/>
          <w:sz w:val="24"/>
          <w:szCs w:val="24"/>
        </w:rPr>
        <w:t xml:space="preserve">, concentrée dans les régions du </w:t>
      </w:r>
      <w:r w:rsidR="007E50B3" w:rsidRPr="00716921">
        <w:rPr>
          <w:rFonts w:ascii="Times New Roman" w:hAnsi="Times New Roman"/>
          <w:sz w:val="24"/>
          <w:szCs w:val="24"/>
        </w:rPr>
        <w:t>N</w:t>
      </w:r>
      <w:r w:rsidRPr="00716921">
        <w:rPr>
          <w:rFonts w:ascii="Times New Roman" w:hAnsi="Times New Roman"/>
          <w:sz w:val="24"/>
          <w:szCs w:val="24"/>
        </w:rPr>
        <w:t xml:space="preserve">ord, l’insécurité s’est </w:t>
      </w:r>
      <w:r w:rsidR="007E50B3" w:rsidRPr="00716921">
        <w:rPr>
          <w:rFonts w:ascii="Times New Roman" w:hAnsi="Times New Roman"/>
          <w:sz w:val="24"/>
          <w:szCs w:val="24"/>
        </w:rPr>
        <w:t xml:space="preserve">progressivement </w:t>
      </w:r>
      <w:r w:rsidRPr="00716921">
        <w:rPr>
          <w:rFonts w:ascii="Times New Roman" w:hAnsi="Times New Roman"/>
          <w:sz w:val="24"/>
          <w:szCs w:val="24"/>
        </w:rPr>
        <w:t xml:space="preserve">étendue au Centre du pays avec l’avènement d’un extrémisme violent et la radicalisation des jeunes. </w:t>
      </w:r>
      <w:r w:rsidR="007E50B3" w:rsidRPr="00716921">
        <w:rPr>
          <w:rFonts w:ascii="Times New Roman" w:hAnsi="Times New Roman"/>
          <w:sz w:val="24"/>
          <w:szCs w:val="24"/>
        </w:rPr>
        <w:t>C</w:t>
      </w:r>
      <w:r w:rsidRPr="00716921">
        <w:rPr>
          <w:rFonts w:ascii="Times New Roman" w:hAnsi="Times New Roman"/>
          <w:sz w:val="24"/>
          <w:szCs w:val="24"/>
        </w:rPr>
        <w:t xml:space="preserve">ette situation a </w:t>
      </w:r>
      <w:r w:rsidR="007E50B3" w:rsidRPr="00716921">
        <w:rPr>
          <w:rFonts w:ascii="Times New Roman" w:hAnsi="Times New Roman"/>
          <w:sz w:val="24"/>
          <w:szCs w:val="24"/>
        </w:rPr>
        <w:t xml:space="preserve">considérablement contribué à </w:t>
      </w:r>
      <w:r w:rsidRPr="00716921">
        <w:rPr>
          <w:rFonts w:ascii="Times New Roman" w:hAnsi="Times New Roman"/>
          <w:sz w:val="24"/>
          <w:szCs w:val="24"/>
        </w:rPr>
        <w:t>rédui</w:t>
      </w:r>
      <w:r w:rsidR="007E50B3" w:rsidRPr="00716921">
        <w:rPr>
          <w:rFonts w:ascii="Times New Roman" w:hAnsi="Times New Roman"/>
          <w:sz w:val="24"/>
          <w:szCs w:val="24"/>
        </w:rPr>
        <w:t xml:space="preserve">re </w:t>
      </w:r>
      <w:r w:rsidR="00154C50" w:rsidRPr="00716921">
        <w:rPr>
          <w:rFonts w:ascii="Times New Roman" w:hAnsi="Times New Roman"/>
          <w:sz w:val="24"/>
          <w:szCs w:val="24"/>
        </w:rPr>
        <w:t>l</w:t>
      </w:r>
      <w:r w:rsidRPr="00716921">
        <w:rPr>
          <w:rFonts w:ascii="Times New Roman" w:hAnsi="Times New Roman"/>
          <w:sz w:val="24"/>
          <w:szCs w:val="24"/>
        </w:rPr>
        <w:t xml:space="preserve">a présence de l'État </w:t>
      </w:r>
      <w:r w:rsidR="007E50B3" w:rsidRPr="00716921">
        <w:rPr>
          <w:rFonts w:ascii="Times New Roman" w:hAnsi="Times New Roman"/>
          <w:sz w:val="24"/>
          <w:szCs w:val="24"/>
        </w:rPr>
        <w:t xml:space="preserve">déjà faible sur le terrain </w:t>
      </w:r>
      <w:r w:rsidRPr="00716921">
        <w:rPr>
          <w:rFonts w:ascii="Times New Roman" w:hAnsi="Times New Roman"/>
          <w:sz w:val="24"/>
          <w:szCs w:val="24"/>
        </w:rPr>
        <w:t xml:space="preserve">et sa capacité à intervenir efficacement, entraînant l’affaiblissement de l’autorité de l’État et plus spécifiquement la confiance dans les institutions. </w:t>
      </w:r>
    </w:p>
    <w:p w14:paraId="7E9C62E2" w14:textId="7A94B4CA" w:rsidR="00D34E97" w:rsidRPr="00716921" w:rsidRDefault="006F2C07">
      <w:pPr>
        <w:spacing w:line="240" w:lineRule="auto"/>
        <w:jc w:val="both"/>
      </w:pPr>
      <w:r w:rsidRPr="00716921">
        <w:rPr>
          <w:rFonts w:ascii="Times New Roman" w:hAnsi="Times New Roman"/>
          <w:sz w:val="24"/>
          <w:szCs w:val="24"/>
        </w:rPr>
        <w:t xml:space="preserve">Plusieurs analyses </w:t>
      </w:r>
      <w:r w:rsidR="0090301B" w:rsidRPr="00716921">
        <w:rPr>
          <w:rFonts w:ascii="Times New Roman" w:hAnsi="Times New Roman"/>
          <w:sz w:val="24"/>
          <w:szCs w:val="24"/>
        </w:rPr>
        <w:t xml:space="preserve">montrent à suffisance que </w:t>
      </w:r>
      <w:r w:rsidR="000D4D37" w:rsidRPr="00716921">
        <w:rPr>
          <w:rFonts w:ascii="Times New Roman" w:hAnsi="Times New Roman"/>
          <w:sz w:val="24"/>
          <w:szCs w:val="24"/>
        </w:rPr>
        <w:t xml:space="preserve">la </w:t>
      </w:r>
      <w:r w:rsidRPr="00716921">
        <w:rPr>
          <w:rFonts w:ascii="Times New Roman" w:hAnsi="Times New Roman"/>
          <w:sz w:val="24"/>
          <w:szCs w:val="24"/>
        </w:rPr>
        <w:t xml:space="preserve">crise </w:t>
      </w:r>
      <w:r w:rsidR="0090301B" w:rsidRPr="00716921">
        <w:rPr>
          <w:rFonts w:ascii="Times New Roman" w:hAnsi="Times New Roman"/>
          <w:sz w:val="24"/>
          <w:szCs w:val="24"/>
        </w:rPr>
        <w:t xml:space="preserve">multidimensionnelle tire sa source d’un </w:t>
      </w:r>
      <w:r w:rsidRPr="00716921">
        <w:rPr>
          <w:rFonts w:ascii="Times New Roman" w:hAnsi="Times New Roman"/>
          <w:sz w:val="24"/>
          <w:szCs w:val="24"/>
        </w:rPr>
        <w:t xml:space="preserve">déficit de gouvernance dans le pays. Autrement dit, </w:t>
      </w:r>
      <w:r w:rsidR="00AA2EBD" w:rsidRPr="00716921">
        <w:rPr>
          <w:rFonts w:ascii="Times New Roman" w:hAnsi="Times New Roman"/>
          <w:sz w:val="24"/>
          <w:szCs w:val="24"/>
        </w:rPr>
        <w:t xml:space="preserve">toutes les </w:t>
      </w:r>
      <w:r w:rsidRPr="00716921">
        <w:rPr>
          <w:rFonts w:ascii="Times New Roman" w:hAnsi="Times New Roman"/>
          <w:sz w:val="24"/>
          <w:szCs w:val="24"/>
        </w:rPr>
        <w:t xml:space="preserve">politiques sectorielles pour </w:t>
      </w:r>
      <w:r w:rsidR="00AA2EBD" w:rsidRPr="00716921">
        <w:rPr>
          <w:rFonts w:ascii="Times New Roman" w:hAnsi="Times New Roman"/>
          <w:sz w:val="24"/>
          <w:szCs w:val="24"/>
        </w:rPr>
        <w:t xml:space="preserve">être efficaces et </w:t>
      </w:r>
      <w:r w:rsidR="00AB3DDF" w:rsidRPr="00716921">
        <w:rPr>
          <w:rFonts w:ascii="Times New Roman" w:hAnsi="Times New Roman"/>
          <w:sz w:val="24"/>
          <w:szCs w:val="24"/>
        </w:rPr>
        <w:t xml:space="preserve">contribuer à </w:t>
      </w:r>
      <w:r w:rsidR="00AA2EBD" w:rsidRPr="00716921">
        <w:rPr>
          <w:rFonts w:ascii="Times New Roman" w:hAnsi="Times New Roman"/>
          <w:sz w:val="24"/>
          <w:szCs w:val="24"/>
        </w:rPr>
        <w:t xml:space="preserve">améliorer les </w:t>
      </w:r>
      <w:r w:rsidRPr="00716921">
        <w:rPr>
          <w:rFonts w:ascii="Times New Roman" w:hAnsi="Times New Roman"/>
          <w:sz w:val="24"/>
          <w:szCs w:val="24"/>
        </w:rPr>
        <w:t xml:space="preserve">conditions de vie des populations </w:t>
      </w:r>
      <w:r w:rsidR="000D4D37" w:rsidRPr="00716921">
        <w:rPr>
          <w:rFonts w:ascii="Times New Roman" w:hAnsi="Times New Roman"/>
          <w:sz w:val="24"/>
          <w:szCs w:val="24"/>
        </w:rPr>
        <w:t xml:space="preserve">requièrent, </w:t>
      </w:r>
      <w:r w:rsidR="00AA2EBD" w:rsidRPr="00716921">
        <w:rPr>
          <w:rFonts w:ascii="Times New Roman" w:hAnsi="Times New Roman"/>
          <w:sz w:val="24"/>
          <w:szCs w:val="24"/>
        </w:rPr>
        <w:t>des</w:t>
      </w:r>
      <w:r w:rsidRPr="00716921">
        <w:rPr>
          <w:rFonts w:ascii="Times New Roman" w:hAnsi="Times New Roman"/>
          <w:sz w:val="24"/>
          <w:szCs w:val="24"/>
        </w:rPr>
        <w:t xml:space="preserve"> préalables relevant pour la plupart de variables de gouvernance</w:t>
      </w:r>
      <w:r w:rsidRPr="00716921">
        <w:rPr>
          <w:rStyle w:val="Appelnotedebasdep"/>
          <w:rFonts w:ascii="Times New Roman" w:hAnsi="Times New Roman"/>
          <w:sz w:val="24"/>
          <w:szCs w:val="24"/>
        </w:rPr>
        <w:footnoteReference w:id="1"/>
      </w:r>
      <w:r w:rsidRPr="00716921">
        <w:rPr>
          <w:rFonts w:ascii="Times New Roman" w:hAnsi="Times New Roman"/>
          <w:sz w:val="24"/>
          <w:szCs w:val="24"/>
        </w:rPr>
        <w:t> . En effet, il convient de noter que le déficit de gouvernance bien qu’ayant été approfondi avec la crise de 2012 apparaît comme structurel au Mali. Depuis</w:t>
      </w:r>
      <w:r w:rsidRPr="00716921">
        <w:rPr>
          <w:rFonts w:ascii="Times New Roman" w:hAnsi="Times New Roman"/>
          <w:color w:val="000000"/>
          <w:sz w:val="24"/>
          <w:szCs w:val="24"/>
        </w:rPr>
        <w:t xml:space="preserve"> son indépendance, les réformes entreprises dans le pays ont été caractérisées par une accumulation de textes législatifs et réglementaires en fonction des besoins et l’efficacité limitée des mesures antérieures. Cette stratégie a abouti à la multiplication des structures</w:t>
      </w:r>
      <w:r w:rsidR="00AC2F4D" w:rsidRPr="00716921">
        <w:rPr>
          <w:rFonts w:ascii="Times New Roman" w:hAnsi="Times New Roman"/>
          <w:color w:val="000000"/>
          <w:sz w:val="24"/>
          <w:szCs w:val="24"/>
        </w:rPr>
        <w:t xml:space="preserve"> ayant souvent</w:t>
      </w:r>
      <w:r w:rsidRPr="00716921">
        <w:rPr>
          <w:rFonts w:ascii="Times New Roman" w:hAnsi="Times New Roman"/>
          <w:color w:val="000000"/>
          <w:sz w:val="24"/>
          <w:szCs w:val="24"/>
        </w:rPr>
        <w:t xml:space="preserve"> des missions </w:t>
      </w:r>
      <w:r w:rsidR="0065102E" w:rsidRPr="00716921">
        <w:rPr>
          <w:rFonts w:ascii="Times New Roman" w:hAnsi="Times New Roman"/>
          <w:color w:val="000000"/>
          <w:sz w:val="24"/>
          <w:szCs w:val="24"/>
        </w:rPr>
        <w:t>redondantes</w:t>
      </w:r>
      <w:r w:rsidRPr="00716921">
        <w:rPr>
          <w:rFonts w:ascii="Times New Roman" w:hAnsi="Times New Roman"/>
          <w:color w:val="000000"/>
          <w:sz w:val="24"/>
          <w:szCs w:val="24"/>
        </w:rPr>
        <w:t xml:space="preserve">. Un phénomène qui a ainsi </w:t>
      </w:r>
      <w:r w:rsidR="007F5F29" w:rsidRPr="00716921">
        <w:rPr>
          <w:rFonts w:ascii="Times New Roman" w:hAnsi="Times New Roman"/>
          <w:color w:val="000000"/>
          <w:sz w:val="24"/>
          <w:szCs w:val="24"/>
        </w:rPr>
        <w:t xml:space="preserve">entravé </w:t>
      </w:r>
      <w:r w:rsidRPr="00716921">
        <w:rPr>
          <w:rFonts w:ascii="Times New Roman" w:hAnsi="Times New Roman"/>
          <w:color w:val="000000"/>
          <w:sz w:val="24"/>
          <w:szCs w:val="24"/>
        </w:rPr>
        <w:t xml:space="preserve">la rationalisation et l’efficacité de l’administration publique.  </w:t>
      </w:r>
    </w:p>
    <w:p w14:paraId="508A6AF7" w14:textId="548873DB" w:rsidR="006070AD" w:rsidRPr="00716921" w:rsidRDefault="006F2C07">
      <w:pPr>
        <w:spacing w:after="120" w:line="240" w:lineRule="auto"/>
        <w:jc w:val="both"/>
        <w:rPr>
          <w:rFonts w:ascii="Times New Roman" w:hAnsi="Times New Roman"/>
          <w:color w:val="000000"/>
          <w:sz w:val="24"/>
          <w:szCs w:val="24"/>
        </w:rPr>
      </w:pPr>
      <w:r w:rsidRPr="00716921">
        <w:rPr>
          <w:rFonts w:ascii="Times New Roman" w:hAnsi="Times New Roman"/>
          <w:color w:val="000000"/>
          <w:sz w:val="24"/>
          <w:szCs w:val="24"/>
        </w:rPr>
        <w:t>La crise actuelle</w:t>
      </w:r>
      <w:r w:rsidRPr="00716921">
        <w:rPr>
          <w:rFonts w:ascii="Times New Roman" w:hAnsi="Times New Roman"/>
          <w:b/>
          <w:bCs/>
          <w:color w:val="000000"/>
          <w:sz w:val="24"/>
          <w:szCs w:val="24"/>
          <w:shd w:val="clear" w:color="auto" w:fill="FFFFFF"/>
        </w:rPr>
        <w:t xml:space="preserve"> </w:t>
      </w:r>
      <w:r w:rsidRPr="00716921">
        <w:rPr>
          <w:rFonts w:ascii="Times New Roman" w:hAnsi="Times New Roman"/>
          <w:color w:val="000000"/>
          <w:sz w:val="24"/>
          <w:szCs w:val="24"/>
        </w:rPr>
        <w:t>appara</w:t>
      </w:r>
      <w:r w:rsidR="00D14B4D" w:rsidRPr="00716921">
        <w:rPr>
          <w:rFonts w:ascii="Times New Roman" w:hAnsi="Times New Roman"/>
          <w:color w:val="000000"/>
          <w:sz w:val="24"/>
          <w:szCs w:val="24"/>
        </w:rPr>
        <w:t>î</w:t>
      </w:r>
      <w:r w:rsidRPr="00716921">
        <w:rPr>
          <w:rFonts w:ascii="Times New Roman" w:hAnsi="Times New Roman"/>
          <w:color w:val="000000"/>
          <w:sz w:val="24"/>
          <w:szCs w:val="24"/>
        </w:rPr>
        <w:t xml:space="preserve">t alors comme une opportunité </w:t>
      </w:r>
      <w:r w:rsidR="000D4D37" w:rsidRPr="00716921">
        <w:rPr>
          <w:rFonts w:ascii="Times New Roman" w:hAnsi="Times New Roman"/>
          <w:color w:val="000000"/>
          <w:sz w:val="24"/>
          <w:szCs w:val="24"/>
        </w:rPr>
        <w:t xml:space="preserve">pour le Mali </w:t>
      </w:r>
      <w:r w:rsidRPr="00716921">
        <w:rPr>
          <w:rFonts w:ascii="Times New Roman" w:hAnsi="Times New Roman"/>
          <w:color w:val="000000"/>
          <w:sz w:val="24"/>
          <w:szCs w:val="24"/>
        </w:rPr>
        <w:t xml:space="preserve">d’ouvrir un vaste chantier de </w:t>
      </w:r>
      <w:r w:rsidR="000D4D37" w:rsidRPr="00716921">
        <w:rPr>
          <w:rFonts w:ascii="Times New Roman" w:hAnsi="Times New Roman"/>
          <w:color w:val="000000"/>
          <w:sz w:val="24"/>
          <w:szCs w:val="24"/>
        </w:rPr>
        <w:t>réforme</w:t>
      </w:r>
      <w:r w:rsidR="00474F47" w:rsidRPr="00716921">
        <w:rPr>
          <w:rFonts w:ascii="Times New Roman" w:hAnsi="Times New Roman"/>
          <w:color w:val="000000"/>
          <w:sz w:val="24"/>
          <w:szCs w:val="24"/>
        </w:rPr>
        <w:t xml:space="preserve"> holistique</w:t>
      </w:r>
      <w:r w:rsidR="000D4D37" w:rsidRPr="00716921">
        <w:rPr>
          <w:rFonts w:ascii="Times New Roman" w:hAnsi="Times New Roman"/>
          <w:color w:val="000000"/>
          <w:sz w:val="24"/>
          <w:szCs w:val="24"/>
        </w:rPr>
        <w:t xml:space="preserve"> de </w:t>
      </w:r>
      <w:r w:rsidRPr="00716921">
        <w:rPr>
          <w:rFonts w:ascii="Times New Roman" w:hAnsi="Times New Roman"/>
          <w:color w:val="000000"/>
          <w:sz w:val="24"/>
          <w:szCs w:val="24"/>
        </w:rPr>
        <w:t xml:space="preserve">l’État </w:t>
      </w:r>
      <w:r w:rsidR="00473E6E" w:rsidRPr="00716921">
        <w:rPr>
          <w:rFonts w:ascii="Times New Roman" w:hAnsi="Times New Roman"/>
          <w:color w:val="000000"/>
          <w:sz w:val="24"/>
          <w:szCs w:val="24"/>
        </w:rPr>
        <w:t>comm</w:t>
      </w:r>
      <w:r w:rsidR="001F238E" w:rsidRPr="00716921">
        <w:rPr>
          <w:rFonts w:ascii="Times New Roman" w:hAnsi="Times New Roman"/>
          <w:color w:val="000000"/>
          <w:sz w:val="24"/>
          <w:szCs w:val="24"/>
        </w:rPr>
        <w:t xml:space="preserve">e recommandé par </w:t>
      </w:r>
      <w:r w:rsidRPr="00716921">
        <w:rPr>
          <w:rFonts w:ascii="Times New Roman" w:hAnsi="Times New Roman"/>
          <w:color w:val="000000"/>
          <w:sz w:val="24"/>
          <w:szCs w:val="24"/>
        </w:rPr>
        <w:t xml:space="preserve">l’Accord pour la paix et la réconciliation nationale. Dans cette perspective, </w:t>
      </w:r>
      <w:r w:rsidR="006070AD" w:rsidRPr="00716921">
        <w:rPr>
          <w:rFonts w:ascii="Times New Roman" w:hAnsi="Times New Roman"/>
          <w:color w:val="000000"/>
          <w:sz w:val="24"/>
          <w:szCs w:val="24"/>
        </w:rPr>
        <w:t>le gouvernement du Mali a adopté les trois documents s</w:t>
      </w:r>
      <w:r w:rsidR="006A350F" w:rsidRPr="00716921">
        <w:rPr>
          <w:rFonts w:ascii="Times New Roman" w:hAnsi="Times New Roman"/>
          <w:color w:val="000000"/>
          <w:sz w:val="24"/>
          <w:szCs w:val="24"/>
        </w:rPr>
        <w:t>tratégiques</w:t>
      </w:r>
      <w:r w:rsidR="006070AD" w:rsidRPr="00716921">
        <w:rPr>
          <w:rFonts w:ascii="Times New Roman" w:hAnsi="Times New Roman"/>
          <w:color w:val="000000"/>
          <w:sz w:val="24"/>
          <w:szCs w:val="24"/>
        </w:rPr>
        <w:t xml:space="preserve"> : </w:t>
      </w:r>
    </w:p>
    <w:p w14:paraId="6936711A" w14:textId="77777777" w:rsidR="00246149" w:rsidRPr="00716921" w:rsidRDefault="006070AD">
      <w:pPr>
        <w:spacing w:after="120" w:line="240" w:lineRule="auto"/>
        <w:jc w:val="both"/>
        <w:rPr>
          <w:rFonts w:ascii="Times New Roman" w:hAnsi="Times New Roman"/>
          <w:color w:val="000000"/>
          <w:sz w:val="24"/>
          <w:szCs w:val="24"/>
        </w:rPr>
      </w:pPr>
      <w:r w:rsidRPr="00716921">
        <w:rPr>
          <w:rFonts w:ascii="Times New Roman" w:hAnsi="Times New Roman"/>
          <w:color w:val="000000"/>
          <w:sz w:val="24"/>
          <w:szCs w:val="24"/>
        </w:rPr>
        <w:t xml:space="preserve">i) </w:t>
      </w:r>
      <w:r w:rsidR="00246149" w:rsidRPr="00716921">
        <w:rPr>
          <w:rFonts w:ascii="Times New Roman" w:hAnsi="Times New Roman"/>
          <w:color w:val="000000"/>
          <w:sz w:val="24"/>
          <w:szCs w:val="24"/>
        </w:rPr>
        <w:t xml:space="preserve">Le </w:t>
      </w:r>
      <w:r w:rsidR="006F2C07" w:rsidRPr="00716921">
        <w:rPr>
          <w:rFonts w:ascii="Times New Roman" w:hAnsi="Times New Roman"/>
          <w:b/>
          <w:color w:val="000000"/>
          <w:sz w:val="24"/>
          <w:szCs w:val="24"/>
        </w:rPr>
        <w:t>Programme de développement institutionnel</w:t>
      </w:r>
      <w:r w:rsidR="006F2C07" w:rsidRPr="00716921">
        <w:rPr>
          <w:rFonts w:ascii="Times New Roman" w:hAnsi="Times New Roman"/>
          <w:color w:val="000000"/>
          <w:sz w:val="24"/>
          <w:szCs w:val="24"/>
        </w:rPr>
        <w:t xml:space="preserve"> (PDI) 2</w:t>
      </w:r>
      <w:r w:rsidR="006F2C07" w:rsidRPr="00716921">
        <w:rPr>
          <w:rFonts w:ascii="Times New Roman" w:hAnsi="Times New Roman"/>
          <w:color w:val="000000"/>
          <w:sz w:val="24"/>
          <w:szCs w:val="24"/>
          <w:vertAlign w:val="superscript"/>
        </w:rPr>
        <w:t>ème</w:t>
      </w:r>
      <w:r w:rsidR="006F2C07" w:rsidRPr="00716921">
        <w:rPr>
          <w:rFonts w:ascii="Times New Roman" w:hAnsi="Times New Roman"/>
          <w:color w:val="000000"/>
          <w:sz w:val="24"/>
          <w:szCs w:val="24"/>
        </w:rPr>
        <w:t xml:space="preserve"> génération pour la période 2017-2027 avec comme objectif général de créer les conditions de modernisation de l’administration, de promotion de la culture de résultats et de l’amélioration des relations entre l’administration et les usagers des services publics. </w:t>
      </w:r>
    </w:p>
    <w:p w14:paraId="689DD772" w14:textId="0171BB30" w:rsidR="00246149" w:rsidRPr="00716921" w:rsidRDefault="00246149">
      <w:pPr>
        <w:spacing w:after="120" w:line="240" w:lineRule="auto"/>
        <w:jc w:val="both"/>
        <w:rPr>
          <w:rFonts w:ascii="Times New Roman" w:hAnsi="Times New Roman"/>
          <w:color w:val="000000"/>
          <w:sz w:val="24"/>
          <w:szCs w:val="24"/>
        </w:rPr>
      </w:pPr>
      <w:r w:rsidRPr="00716921">
        <w:rPr>
          <w:rFonts w:ascii="Times New Roman" w:hAnsi="Times New Roman"/>
          <w:color w:val="000000"/>
          <w:sz w:val="24"/>
          <w:szCs w:val="24"/>
        </w:rPr>
        <w:t xml:space="preserve">ii) </w:t>
      </w:r>
      <w:r w:rsidR="006F2C07" w:rsidRPr="00716921">
        <w:rPr>
          <w:rFonts w:ascii="Times New Roman" w:hAnsi="Times New Roman"/>
          <w:b/>
          <w:color w:val="000000"/>
          <w:sz w:val="24"/>
          <w:szCs w:val="24"/>
        </w:rPr>
        <w:t>Document</w:t>
      </w:r>
      <w:r w:rsidR="007D7871">
        <w:rPr>
          <w:rFonts w:ascii="Times New Roman" w:hAnsi="Times New Roman"/>
          <w:b/>
          <w:color w:val="000000"/>
          <w:sz w:val="24"/>
          <w:szCs w:val="24"/>
        </w:rPr>
        <w:t>-</w:t>
      </w:r>
      <w:r w:rsidR="006F2C07" w:rsidRPr="00716921">
        <w:rPr>
          <w:rFonts w:ascii="Times New Roman" w:hAnsi="Times New Roman"/>
          <w:b/>
          <w:color w:val="000000"/>
          <w:sz w:val="24"/>
          <w:szCs w:val="24"/>
        </w:rPr>
        <w:t>cadre de politique de décentralisation</w:t>
      </w:r>
      <w:r w:rsidR="006F2C07" w:rsidRPr="00716921">
        <w:rPr>
          <w:rFonts w:ascii="Times New Roman" w:hAnsi="Times New Roman"/>
          <w:color w:val="000000"/>
          <w:sz w:val="24"/>
          <w:szCs w:val="24"/>
        </w:rPr>
        <w:t xml:space="preserve"> pour la période 2015-2024 en vue de promouvoir le développement territorial, l’amélioration de la qualité des services rendus par les collectivités aux populations, renforcer l’accompagnement de l’État et la gouvernance inclusive du territoire et améliorer le financement de la décentralisation. </w:t>
      </w:r>
    </w:p>
    <w:p w14:paraId="0A5F2AED" w14:textId="77777777" w:rsidR="00D34E97" w:rsidRPr="00716921" w:rsidRDefault="00246149">
      <w:pPr>
        <w:spacing w:after="120" w:line="240" w:lineRule="auto"/>
        <w:jc w:val="both"/>
      </w:pPr>
      <w:r w:rsidRPr="00716921">
        <w:rPr>
          <w:rFonts w:ascii="Times New Roman" w:hAnsi="Times New Roman"/>
          <w:color w:val="000000"/>
          <w:sz w:val="24"/>
          <w:szCs w:val="24"/>
        </w:rPr>
        <w:t xml:space="preserve">iii) Le </w:t>
      </w:r>
      <w:r w:rsidR="006F2C07" w:rsidRPr="00716921">
        <w:rPr>
          <w:rFonts w:ascii="Times New Roman" w:hAnsi="Times New Roman"/>
          <w:b/>
          <w:color w:val="000000"/>
          <w:sz w:val="24"/>
          <w:szCs w:val="24"/>
        </w:rPr>
        <w:t>Plan de réforme de la gestion des finances publiques</w:t>
      </w:r>
      <w:r w:rsidR="006F2C07" w:rsidRPr="00716921">
        <w:rPr>
          <w:rFonts w:ascii="Times New Roman" w:hAnsi="Times New Roman"/>
          <w:color w:val="000000"/>
          <w:sz w:val="24"/>
          <w:szCs w:val="24"/>
        </w:rPr>
        <w:t xml:space="preserve"> au Mali (PREM) pour la période 2017-2021 dont un axe majeur porte sur le passage en mode budget programme depuis janvier 2018.  </w:t>
      </w:r>
    </w:p>
    <w:p w14:paraId="7FFE78E5" w14:textId="12ACC75F" w:rsidR="00D34E97" w:rsidRPr="00716921" w:rsidRDefault="006F2C07">
      <w:pPr>
        <w:spacing w:after="120" w:line="240" w:lineRule="auto"/>
        <w:jc w:val="both"/>
      </w:pPr>
      <w:r w:rsidRPr="00716921">
        <w:rPr>
          <w:rFonts w:ascii="Times New Roman" w:hAnsi="Times New Roman"/>
          <w:color w:val="000000"/>
          <w:sz w:val="24"/>
          <w:szCs w:val="24"/>
        </w:rPr>
        <w:t xml:space="preserve">Comme on peut le constater, </w:t>
      </w:r>
      <w:r w:rsidR="006250B9" w:rsidRPr="00716921">
        <w:rPr>
          <w:rFonts w:ascii="Times New Roman" w:hAnsi="Times New Roman"/>
          <w:color w:val="000000"/>
          <w:sz w:val="24"/>
          <w:szCs w:val="24"/>
        </w:rPr>
        <w:t xml:space="preserve">malgré ces </w:t>
      </w:r>
      <w:r w:rsidRPr="00716921">
        <w:rPr>
          <w:rFonts w:ascii="Times New Roman" w:hAnsi="Times New Roman"/>
          <w:color w:val="000000"/>
          <w:sz w:val="24"/>
          <w:szCs w:val="24"/>
        </w:rPr>
        <w:t>trois chantiers de réformes majeures</w:t>
      </w:r>
      <w:r w:rsidR="00757912" w:rsidRPr="00716921">
        <w:rPr>
          <w:rFonts w:ascii="Times New Roman" w:hAnsi="Times New Roman"/>
          <w:color w:val="000000"/>
          <w:sz w:val="24"/>
          <w:szCs w:val="24"/>
        </w:rPr>
        <w:t xml:space="preserve">, </w:t>
      </w:r>
      <w:r w:rsidRPr="00716921">
        <w:rPr>
          <w:rFonts w:ascii="Times New Roman" w:hAnsi="Times New Roman"/>
          <w:color w:val="000000"/>
          <w:sz w:val="24"/>
          <w:szCs w:val="24"/>
        </w:rPr>
        <w:t xml:space="preserve">la qualité des services rendus aux citoyens (es) </w:t>
      </w:r>
      <w:r w:rsidR="006250B9" w:rsidRPr="00716921">
        <w:rPr>
          <w:rFonts w:ascii="Times New Roman" w:hAnsi="Times New Roman"/>
          <w:color w:val="000000"/>
          <w:sz w:val="24"/>
          <w:szCs w:val="24"/>
        </w:rPr>
        <w:t xml:space="preserve">reste </w:t>
      </w:r>
      <w:r w:rsidR="007F5053" w:rsidRPr="00716921">
        <w:rPr>
          <w:rFonts w:ascii="Times New Roman" w:hAnsi="Times New Roman"/>
          <w:color w:val="000000"/>
          <w:sz w:val="24"/>
          <w:szCs w:val="24"/>
        </w:rPr>
        <w:t xml:space="preserve">toujours relativement </w:t>
      </w:r>
      <w:r w:rsidR="007850D0" w:rsidRPr="00716921">
        <w:rPr>
          <w:rFonts w:ascii="Times New Roman" w:hAnsi="Times New Roman"/>
          <w:color w:val="000000"/>
          <w:sz w:val="24"/>
          <w:szCs w:val="24"/>
        </w:rPr>
        <w:t xml:space="preserve">faible </w:t>
      </w:r>
      <w:r w:rsidR="006250B9" w:rsidRPr="00716921">
        <w:rPr>
          <w:rFonts w:ascii="Times New Roman" w:hAnsi="Times New Roman"/>
          <w:color w:val="000000"/>
          <w:sz w:val="24"/>
          <w:szCs w:val="24"/>
        </w:rPr>
        <w:t>et en deçà de</w:t>
      </w:r>
      <w:r w:rsidR="007850D0" w:rsidRPr="00716921">
        <w:rPr>
          <w:rFonts w:ascii="Times New Roman" w:hAnsi="Times New Roman"/>
          <w:color w:val="000000"/>
          <w:sz w:val="24"/>
          <w:szCs w:val="24"/>
        </w:rPr>
        <w:t xml:space="preserve"> leur</w:t>
      </w:r>
      <w:r w:rsidR="006250B9" w:rsidRPr="00716921">
        <w:rPr>
          <w:rFonts w:ascii="Times New Roman" w:hAnsi="Times New Roman"/>
          <w:color w:val="000000"/>
          <w:sz w:val="24"/>
          <w:szCs w:val="24"/>
        </w:rPr>
        <w:t>s attentes</w:t>
      </w:r>
      <w:r w:rsidRPr="00716921">
        <w:rPr>
          <w:rFonts w:ascii="Times New Roman" w:hAnsi="Times New Roman"/>
          <w:color w:val="000000"/>
          <w:sz w:val="24"/>
          <w:szCs w:val="24"/>
        </w:rPr>
        <w:t xml:space="preserve">. Par exemple, </w:t>
      </w:r>
      <w:r w:rsidR="008838B0" w:rsidRPr="00716921">
        <w:rPr>
          <w:rFonts w:ascii="Times New Roman" w:hAnsi="Times New Roman"/>
          <w:color w:val="000000"/>
          <w:sz w:val="24"/>
          <w:szCs w:val="24"/>
        </w:rPr>
        <w:t>au cours des trois dernières années (2018-2020)</w:t>
      </w:r>
      <w:r w:rsidRPr="00716921">
        <w:rPr>
          <w:rFonts w:ascii="Times New Roman" w:hAnsi="Times New Roman"/>
          <w:color w:val="000000"/>
          <w:sz w:val="24"/>
          <w:szCs w:val="24"/>
        </w:rPr>
        <w:t xml:space="preserve">, la </w:t>
      </w:r>
      <w:r w:rsidR="008838B0" w:rsidRPr="00716921">
        <w:rPr>
          <w:rFonts w:ascii="Times New Roman" w:hAnsi="Times New Roman"/>
          <w:color w:val="000000"/>
          <w:sz w:val="24"/>
          <w:szCs w:val="24"/>
        </w:rPr>
        <w:t>« </w:t>
      </w:r>
      <w:r w:rsidRPr="00716921">
        <w:rPr>
          <w:rFonts w:ascii="Times New Roman" w:hAnsi="Times New Roman"/>
          <w:color w:val="000000"/>
          <w:sz w:val="24"/>
          <w:szCs w:val="24"/>
        </w:rPr>
        <w:t>qualité de l’administration publique</w:t>
      </w:r>
      <w:r w:rsidR="008838B0" w:rsidRPr="00716921">
        <w:rPr>
          <w:rFonts w:ascii="Times New Roman" w:hAnsi="Times New Roman"/>
          <w:color w:val="000000"/>
          <w:sz w:val="24"/>
          <w:szCs w:val="24"/>
        </w:rPr>
        <w:t> »</w:t>
      </w:r>
      <w:r w:rsidRPr="00716921">
        <w:rPr>
          <w:rFonts w:ascii="Times New Roman" w:hAnsi="Times New Roman"/>
          <w:color w:val="000000"/>
          <w:sz w:val="24"/>
          <w:szCs w:val="24"/>
        </w:rPr>
        <w:t xml:space="preserve"> </w:t>
      </w:r>
      <w:r w:rsidR="00C73C9E" w:rsidRPr="00716921">
        <w:rPr>
          <w:rFonts w:ascii="Times New Roman" w:hAnsi="Times New Roman"/>
          <w:color w:val="000000"/>
          <w:sz w:val="24"/>
          <w:szCs w:val="24"/>
        </w:rPr>
        <w:t xml:space="preserve">se stagne </w:t>
      </w:r>
      <w:r w:rsidR="001021CA" w:rsidRPr="00716921">
        <w:rPr>
          <w:rFonts w:ascii="Times New Roman" w:hAnsi="Times New Roman"/>
          <w:color w:val="000000"/>
          <w:sz w:val="24"/>
          <w:szCs w:val="24"/>
        </w:rPr>
        <w:t>à</w:t>
      </w:r>
      <w:r w:rsidRPr="00716921">
        <w:rPr>
          <w:rFonts w:ascii="Times New Roman" w:hAnsi="Times New Roman"/>
          <w:color w:val="000000"/>
          <w:sz w:val="24"/>
          <w:szCs w:val="24"/>
        </w:rPr>
        <w:t xml:space="preserve"> </w:t>
      </w:r>
      <w:r w:rsidR="00C73C9E" w:rsidRPr="00716921">
        <w:rPr>
          <w:rFonts w:ascii="Times New Roman" w:hAnsi="Times New Roman"/>
          <w:color w:val="000000"/>
          <w:sz w:val="24"/>
          <w:szCs w:val="24"/>
        </w:rPr>
        <w:t>seulement 2,</w:t>
      </w:r>
      <w:r w:rsidR="006C2C6C" w:rsidRPr="00716921">
        <w:rPr>
          <w:rFonts w:ascii="Times New Roman" w:hAnsi="Times New Roman"/>
          <w:color w:val="000000"/>
          <w:sz w:val="24"/>
          <w:szCs w:val="24"/>
        </w:rPr>
        <w:t xml:space="preserve">5 points contre une moyenne de 2,8 à 2,9 </w:t>
      </w:r>
      <w:r w:rsidR="004C44A1" w:rsidRPr="00716921">
        <w:rPr>
          <w:rFonts w:ascii="Times New Roman" w:hAnsi="Times New Roman"/>
          <w:color w:val="000000"/>
          <w:sz w:val="24"/>
          <w:szCs w:val="24"/>
        </w:rPr>
        <w:t xml:space="preserve">pour les pays </w:t>
      </w:r>
      <w:r w:rsidR="008C2103" w:rsidRPr="00716921">
        <w:rPr>
          <w:rFonts w:ascii="Times New Roman" w:hAnsi="Times New Roman"/>
          <w:color w:val="000000"/>
          <w:sz w:val="24"/>
          <w:szCs w:val="24"/>
        </w:rPr>
        <w:t>du même groupe</w:t>
      </w:r>
      <w:r w:rsidRPr="00716921">
        <w:rPr>
          <w:rFonts w:ascii="Times New Roman" w:hAnsi="Times New Roman"/>
          <w:color w:val="000000"/>
          <w:sz w:val="24"/>
          <w:szCs w:val="24"/>
        </w:rPr>
        <w:t xml:space="preserve"> selon la Banque Mondiale</w:t>
      </w:r>
      <w:r w:rsidR="009C4A2D" w:rsidRPr="00716921">
        <w:rPr>
          <w:rStyle w:val="Appelnotedebasdep"/>
          <w:rFonts w:ascii="Times New Roman" w:hAnsi="Times New Roman"/>
          <w:color w:val="000000"/>
          <w:sz w:val="24"/>
          <w:szCs w:val="24"/>
        </w:rPr>
        <w:footnoteReference w:id="2"/>
      </w:r>
      <w:r w:rsidRPr="00716921">
        <w:rPr>
          <w:rFonts w:ascii="Times New Roman" w:hAnsi="Times New Roman"/>
          <w:color w:val="000000"/>
          <w:sz w:val="24"/>
          <w:szCs w:val="24"/>
        </w:rPr>
        <w:t xml:space="preserve">. </w:t>
      </w:r>
      <w:r w:rsidR="003E6F0B" w:rsidRPr="00716921">
        <w:rPr>
          <w:rFonts w:ascii="Times New Roman" w:hAnsi="Times New Roman"/>
          <w:color w:val="000000"/>
          <w:sz w:val="24"/>
          <w:szCs w:val="24"/>
        </w:rPr>
        <w:t xml:space="preserve">Dans </w:t>
      </w:r>
      <w:r w:rsidRPr="00716921">
        <w:rPr>
          <w:rFonts w:ascii="Times New Roman" w:hAnsi="Times New Roman"/>
          <w:color w:val="000000"/>
          <w:sz w:val="24"/>
          <w:szCs w:val="24"/>
        </w:rPr>
        <w:t>l</w:t>
      </w:r>
      <w:r w:rsidR="003E6F0B" w:rsidRPr="00716921">
        <w:rPr>
          <w:rFonts w:ascii="Times New Roman" w:hAnsi="Times New Roman"/>
          <w:color w:val="000000"/>
          <w:sz w:val="24"/>
          <w:szCs w:val="24"/>
        </w:rPr>
        <w:t>e</w:t>
      </w:r>
      <w:r w:rsidRPr="00716921">
        <w:rPr>
          <w:rFonts w:ascii="Times New Roman" w:hAnsi="Times New Roman"/>
          <w:color w:val="000000"/>
          <w:sz w:val="24"/>
          <w:szCs w:val="24"/>
        </w:rPr>
        <w:t xml:space="preserve"> même </w:t>
      </w:r>
      <w:r w:rsidR="003E6F0B" w:rsidRPr="00716921">
        <w:rPr>
          <w:rFonts w:ascii="Times New Roman" w:hAnsi="Times New Roman"/>
          <w:color w:val="000000"/>
          <w:sz w:val="24"/>
          <w:szCs w:val="24"/>
        </w:rPr>
        <w:t>temps</w:t>
      </w:r>
      <w:r w:rsidRPr="00716921">
        <w:rPr>
          <w:rFonts w:ascii="Times New Roman" w:hAnsi="Times New Roman"/>
          <w:color w:val="000000"/>
          <w:sz w:val="24"/>
          <w:szCs w:val="24"/>
        </w:rPr>
        <w:t>, le pays conn</w:t>
      </w:r>
      <w:r w:rsidR="003E6F0B" w:rsidRPr="00716921">
        <w:rPr>
          <w:rFonts w:ascii="Times New Roman" w:hAnsi="Times New Roman"/>
          <w:color w:val="000000"/>
          <w:sz w:val="24"/>
          <w:szCs w:val="24"/>
        </w:rPr>
        <w:t xml:space="preserve">ait </w:t>
      </w:r>
      <w:r w:rsidRPr="00716921">
        <w:rPr>
          <w:rFonts w:ascii="Times New Roman" w:hAnsi="Times New Roman"/>
          <w:color w:val="000000"/>
          <w:sz w:val="24"/>
          <w:szCs w:val="24"/>
        </w:rPr>
        <w:t>un recul au classement de l’index Mo Ibrahim de -4,0 points</w:t>
      </w:r>
      <w:r w:rsidRPr="00716921">
        <w:rPr>
          <w:rStyle w:val="Appelnotedebasdep"/>
          <w:rFonts w:ascii="Times New Roman" w:hAnsi="Times New Roman"/>
          <w:color w:val="000000"/>
          <w:sz w:val="24"/>
          <w:szCs w:val="24"/>
        </w:rPr>
        <w:footnoteReference w:id="3"/>
      </w:r>
      <w:r w:rsidRPr="00716921">
        <w:rPr>
          <w:rFonts w:ascii="Times New Roman" w:hAnsi="Times New Roman"/>
          <w:color w:val="000000"/>
          <w:sz w:val="24"/>
          <w:szCs w:val="24"/>
        </w:rPr>
        <w:t>. Plus spécifiquement, l’enquête Mali-Mètre</w:t>
      </w:r>
      <w:r w:rsidRPr="00716921">
        <w:rPr>
          <w:rStyle w:val="Appelnotedebasdep"/>
          <w:rFonts w:ascii="Times New Roman" w:hAnsi="Times New Roman"/>
          <w:color w:val="000000"/>
          <w:sz w:val="24"/>
          <w:szCs w:val="24"/>
        </w:rPr>
        <w:footnoteReference w:id="4"/>
      </w:r>
      <w:r w:rsidR="001021CA" w:rsidRPr="00716921">
        <w:rPr>
          <w:rFonts w:ascii="Times New Roman" w:hAnsi="Times New Roman"/>
          <w:color w:val="000000"/>
          <w:sz w:val="24"/>
          <w:szCs w:val="24"/>
        </w:rPr>
        <w:t xml:space="preserve"> </w:t>
      </w:r>
      <w:r w:rsidR="00CF686F" w:rsidRPr="00716921">
        <w:rPr>
          <w:rFonts w:ascii="Times New Roman" w:hAnsi="Times New Roman"/>
          <w:color w:val="000000"/>
          <w:sz w:val="24"/>
          <w:szCs w:val="24"/>
        </w:rPr>
        <w:t>de</w:t>
      </w:r>
      <w:r w:rsidR="001021CA" w:rsidRPr="00716921">
        <w:rPr>
          <w:rFonts w:ascii="Times New Roman" w:hAnsi="Times New Roman"/>
          <w:color w:val="000000"/>
          <w:sz w:val="24"/>
          <w:szCs w:val="24"/>
        </w:rPr>
        <w:t xml:space="preserve"> 2019</w:t>
      </w:r>
      <w:r w:rsidR="00CF686F" w:rsidRPr="00716921">
        <w:rPr>
          <w:rFonts w:ascii="Times New Roman" w:hAnsi="Times New Roman"/>
          <w:color w:val="000000"/>
          <w:sz w:val="24"/>
          <w:szCs w:val="24"/>
        </w:rPr>
        <w:t xml:space="preserve"> révélait que</w:t>
      </w:r>
      <w:r w:rsidR="001021CA" w:rsidRPr="00716921">
        <w:rPr>
          <w:rFonts w:ascii="Times New Roman" w:hAnsi="Times New Roman"/>
          <w:color w:val="000000"/>
          <w:sz w:val="24"/>
          <w:szCs w:val="24"/>
        </w:rPr>
        <w:t xml:space="preserve"> 62</w:t>
      </w:r>
      <w:r w:rsidRPr="00716921">
        <w:rPr>
          <w:rFonts w:ascii="Times New Roman" w:hAnsi="Times New Roman"/>
          <w:color w:val="000000"/>
          <w:sz w:val="24"/>
          <w:szCs w:val="24"/>
        </w:rPr>
        <w:t>,7% de</w:t>
      </w:r>
      <w:r w:rsidR="00A93616" w:rsidRPr="00716921">
        <w:rPr>
          <w:rFonts w:ascii="Times New Roman" w:hAnsi="Times New Roman"/>
          <w:color w:val="000000"/>
          <w:sz w:val="24"/>
          <w:szCs w:val="24"/>
        </w:rPr>
        <w:t>s</w:t>
      </w:r>
      <w:r w:rsidRPr="00716921">
        <w:rPr>
          <w:rFonts w:ascii="Times New Roman" w:hAnsi="Times New Roman"/>
          <w:color w:val="000000"/>
          <w:sz w:val="24"/>
          <w:szCs w:val="24"/>
        </w:rPr>
        <w:t xml:space="preserve"> citoyens interrogé(es) </w:t>
      </w:r>
      <w:r w:rsidR="001021CA" w:rsidRPr="00716921">
        <w:rPr>
          <w:rFonts w:ascii="Times New Roman" w:hAnsi="Times New Roman"/>
          <w:color w:val="000000"/>
          <w:sz w:val="24"/>
          <w:szCs w:val="24"/>
        </w:rPr>
        <w:t>étaient</w:t>
      </w:r>
      <w:r w:rsidRPr="00716921">
        <w:rPr>
          <w:rFonts w:ascii="Times New Roman" w:hAnsi="Times New Roman"/>
          <w:color w:val="000000"/>
          <w:sz w:val="24"/>
          <w:szCs w:val="24"/>
        </w:rPr>
        <w:t xml:space="preserve"> très insatisfaits des actions du gouvernement dans la gestion du pays.  </w:t>
      </w:r>
    </w:p>
    <w:p w14:paraId="6796CF59" w14:textId="73D784EE" w:rsidR="00D34E97" w:rsidRPr="00716921" w:rsidRDefault="009250BC" w:rsidP="00466F98">
      <w:pPr>
        <w:spacing w:after="120" w:line="240" w:lineRule="auto"/>
        <w:jc w:val="both"/>
        <w:rPr>
          <w:rFonts w:ascii="Times New Roman" w:hAnsi="Times New Roman"/>
          <w:color w:val="000000"/>
          <w:sz w:val="24"/>
          <w:szCs w:val="24"/>
        </w:rPr>
      </w:pPr>
      <w:r w:rsidRPr="00716921">
        <w:rPr>
          <w:rFonts w:ascii="Times New Roman" w:hAnsi="Times New Roman"/>
          <w:color w:val="000000"/>
          <w:sz w:val="24"/>
          <w:szCs w:val="24"/>
        </w:rPr>
        <w:t xml:space="preserve">Pour contribuer à relever ce </w:t>
      </w:r>
      <w:r w:rsidR="00505FD5" w:rsidRPr="00716921">
        <w:rPr>
          <w:rFonts w:ascii="Times New Roman" w:hAnsi="Times New Roman"/>
          <w:color w:val="000000"/>
          <w:sz w:val="24"/>
          <w:szCs w:val="24"/>
        </w:rPr>
        <w:t>défi</w:t>
      </w:r>
      <w:r w:rsidR="006F2C07" w:rsidRPr="00716921">
        <w:rPr>
          <w:rFonts w:ascii="Times New Roman" w:hAnsi="Times New Roman"/>
          <w:color w:val="000000"/>
          <w:sz w:val="24"/>
          <w:szCs w:val="24"/>
        </w:rPr>
        <w:t xml:space="preserve">, le PNUD en collaboration avec d’autres partenaires au développement envisage </w:t>
      </w:r>
      <w:r w:rsidR="00AA2EBD" w:rsidRPr="00716921">
        <w:rPr>
          <w:rFonts w:ascii="Times New Roman" w:hAnsi="Times New Roman"/>
          <w:color w:val="000000"/>
          <w:sz w:val="24"/>
          <w:szCs w:val="24"/>
        </w:rPr>
        <w:t>d</w:t>
      </w:r>
      <w:r w:rsidR="0048642E" w:rsidRPr="00716921">
        <w:rPr>
          <w:rFonts w:ascii="Times New Roman" w:hAnsi="Times New Roman"/>
          <w:color w:val="000000"/>
          <w:sz w:val="24"/>
          <w:szCs w:val="24"/>
        </w:rPr>
        <w:t xml:space="preserve">’appuyer </w:t>
      </w:r>
      <w:r w:rsidR="00AA2EBD" w:rsidRPr="00716921">
        <w:rPr>
          <w:rFonts w:ascii="Times New Roman" w:hAnsi="Times New Roman"/>
          <w:color w:val="000000"/>
          <w:sz w:val="24"/>
          <w:szCs w:val="24"/>
        </w:rPr>
        <w:t xml:space="preserve">ces réformes administratives à travers </w:t>
      </w:r>
      <w:r w:rsidR="006F2C07" w:rsidRPr="00716921">
        <w:rPr>
          <w:rFonts w:ascii="Times New Roman" w:hAnsi="Times New Roman"/>
          <w:color w:val="000000"/>
          <w:sz w:val="24"/>
          <w:szCs w:val="24"/>
        </w:rPr>
        <w:t>des a</w:t>
      </w:r>
      <w:r w:rsidR="0091513A" w:rsidRPr="00716921">
        <w:rPr>
          <w:rFonts w:ascii="Times New Roman" w:hAnsi="Times New Roman"/>
          <w:color w:val="000000"/>
          <w:sz w:val="24"/>
          <w:szCs w:val="24"/>
        </w:rPr>
        <w:t xml:space="preserve">ctions </w:t>
      </w:r>
      <w:r w:rsidR="006F2C07" w:rsidRPr="00716921">
        <w:rPr>
          <w:rFonts w:ascii="Times New Roman" w:hAnsi="Times New Roman"/>
          <w:color w:val="000000"/>
          <w:sz w:val="24"/>
          <w:szCs w:val="24"/>
        </w:rPr>
        <w:t>ciblé</w:t>
      </w:r>
      <w:r w:rsidR="0091513A" w:rsidRPr="00716921">
        <w:rPr>
          <w:rFonts w:ascii="Times New Roman" w:hAnsi="Times New Roman"/>
          <w:color w:val="000000"/>
          <w:sz w:val="24"/>
          <w:szCs w:val="24"/>
        </w:rPr>
        <w:t>e</w:t>
      </w:r>
      <w:r w:rsidR="006F2C07" w:rsidRPr="00716921">
        <w:rPr>
          <w:rFonts w:ascii="Times New Roman" w:hAnsi="Times New Roman"/>
          <w:color w:val="000000"/>
          <w:sz w:val="24"/>
          <w:szCs w:val="24"/>
        </w:rPr>
        <w:t>s pour promouvoir la fourniture de services publics de qualité aux populations notamment les plus défavorisé</w:t>
      </w:r>
      <w:r w:rsidR="0091513A" w:rsidRPr="00716921">
        <w:rPr>
          <w:rFonts w:ascii="Times New Roman" w:hAnsi="Times New Roman"/>
          <w:color w:val="000000"/>
          <w:sz w:val="24"/>
          <w:szCs w:val="24"/>
        </w:rPr>
        <w:t>e</w:t>
      </w:r>
      <w:r w:rsidR="006F2C07" w:rsidRPr="00716921">
        <w:rPr>
          <w:rFonts w:ascii="Times New Roman" w:hAnsi="Times New Roman"/>
          <w:color w:val="000000"/>
          <w:sz w:val="24"/>
          <w:szCs w:val="24"/>
        </w:rPr>
        <w:t>s</w:t>
      </w:r>
      <w:r w:rsidR="00AA2EBD" w:rsidRPr="00716921">
        <w:rPr>
          <w:rFonts w:ascii="Times New Roman" w:hAnsi="Times New Roman"/>
          <w:color w:val="000000"/>
          <w:sz w:val="24"/>
          <w:szCs w:val="24"/>
        </w:rPr>
        <w:t>,</w:t>
      </w:r>
      <w:r w:rsidR="006F2C07" w:rsidRPr="00716921">
        <w:rPr>
          <w:rFonts w:ascii="Times New Roman" w:hAnsi="Times New Roman"/>
          <w:color w:val="000000"/>
          <w:sz w:val="24"/>
          <w:szCs w:val="24"/>
        </w:rPr>
        <w:t xml:space="preserve"> par des institutions, des structures publiques et des autorités décentralisées locales performantes</w:t>
      </w:r>
      <w:r w:rsidR="00AA2EBD" w:rsidRPr="00716921">
        <w:rPr>
          <w:rFonts w:ascii="Times New Roman" w:hAnsi="Times New Roman"/>
          <w:color w:val="000000"/>
          <w:sz w:val="24"/>
          <w:szCs w:val="24"/>
        </w:rPr>
        <w:t>, adapté</w:t>
      </w:r>
      <w:r w:rsidR="009C047D" w:rsidRPr="00716921">
        <w:rPr>
          <w:rFonts w:ascii="Times New Roman" w:hAnsi="Times New Roman"/>
          <w:color w:val="000000"/>
          <w:sz w:val="24"/>
          <w:szCs w:val="24"/>
        </w:rPr>
        <w:t>e</w:t>
      </w:r>
      <w:r w:rsidR="00AA2EBD" w:rsidRPr="00716921">
        <w:rPr>
          <w:rFonts w:ascii="Times New Roman" w:hAnsi="Times New Roman"/>
          <w:color w:val="000000"/>
          <w:sz w:val="24"/>
          <w:szCs w:val="24"/>
        </w:rPr>
        <w:t xml:space="preserve">s </w:t>
      </w:r>
      <w:r w:rsidR="006F2C07" w:rsidRPr="00716921">
        <w:rPr>
          <w:rFonts w:ascii="Times New Roman" w:hAnsi="Times New Roman"/>
          <w:color w:val="000000"/>
          <w:sz w:val="24"/>
          <w:szCs w:val="24"/>
        </w:rPr>
        <w:t>et responsables. Dans cette perspective, il s’agira tout d’abord d’appuyer</w:t>
      </w:r>
      <w:r w:rsidR="006F2C07" w:rsidRPr="00716921">
        <w:rPr>
          <w:rFonts w:ascii="Times New Roman" w:hAnsi="Times New Roman"/>
          <w:b/>
          <w:color w:val="000000"/>
          <w:sz w:val="24"/>
          <w:szCs w:val="24"/>
        </w:rPr>
        <w:t xml:space="preserve"> </w:t>
      </w:r>
      <w:r w:rsidR="00AA2EBD" w:rsidRPr="00716921">
        <w:rPr>
          <w:rFonts w:ascii="Times New Roman" w:hAnsi="Times New Roman"/>
          <w:b/>
          <w:color w:val="000000"/>
          <w:sz w:val="24"/>
          <w:szCs w:val="24"/>
        </w:rPr>
        <w:t xml:space="preserve">1) </w:t>
      </w:r>
      <w:r w:rsidR="006F2C07" w:rsidRPr="00716921">
        <w:rPr>
          <w:rFonts w:ascii="Times New Roman" w:hAnsi="Times New Roman"/>
          <w:b/>
          <w:color w:val="000000"/>
          <w:sz w:val="24"/>
          <w:szCs w:val="24"/>
        </w:rPr>
        <w:t>la réforme administrative</w:t>
      </w:r>
      <w:r w:rsidR="006F2C07" w:rsidRPr="00716921">
        <w:rPr>
          <w:rFonts w:ascii="Times New Roman" w:hAnsi="Times New Roman"/>
          <w:color w:val="000000"/>
          <w:sz w:val="24"/>
          <w:szCs w:val="24"/>
        </w:rPr>
        <w:t xml:space="preserve"> à travers : </w:t>
      </w:r>
      <w:r w:rsidR="00AA2EBD" w:rsidRPr="00716921">
        <w:rPr>
          <w:rFonts w:ascii="Times New Roman" w:hAnsi="Times New Roman"/>
          <w:color w:val="000000"/>
          <w:sz w:val="24"/>
          <w:szCs w:val="24"/>
        </w:rPr>
        <w:t xml:space="preserve">i) </w:t>
      </w:r>
      <w:r w:rsidR="006F2C07" w:rsidRPr="00716921">
        <w:rPr>
          <w:rFonts w:ascii="Times New Roman" w:hAnsi="Times New Roman"/>
          <w:color w:val="000000"/>
          <w:sz w:val="24"/>
          <w:szCs w:val="24"/>
        </w:rPr>
        <w:t>l’amélioration de l’organisation des structures administratives dans un contexte de gestion budgétaire par programme</w:t>
      </w:r>
      <w:r w:rsidR="00577508" w:rsidRPr="00716921">
        <w:rPr>
          <w:rFonts w:ascii="Times New Roman" w:hAnsi="Times New Roman"/>
          <w:color w:val="000000"/>
          <w:sz w:val="24"/>
          <w:szCs w:val="24"/>
        </w:rPr>
        <w:t xml:space="preserve"> et de décentralisation</w:t>
      </w:r>
      <w:r w:rsidR="006F2C07" w:rsidRPr="00716921">
        <w:rPr>
          <w:rFonts w:ascii="Times New Roman" w:hAnsi="Times New Roman"/>
          <w:color w:val="000000"/>
          <w:sz w:val="24"/>
          <w:szCs w:val="24"/>
        </w:rPr>
        <w:t xml:space="preserve"> ; </w:t>
      </w:r>
      <w:r w:rsidR="00AA2EBD" w:rsidRPr="00716921">
        <w:rPr>
          <w:rFonts w:ascii="Times New Roman" w:hAnsi="Times New Roman"/>
          <w:color w:val="000000"/>
          <w:sz w:val="24"/>
          <w:szCs w:val="24"/>
        </w:rPr>
        <w:t>ii)</w:t>
      </w:r>
      <w:r w:rsidR="00074B1A" w:rsidRPr="00716921">
        <w:rPr>
          <w:rFonts w:ascii="Times New Roman" w:hAnsi="Times New Roman"/>
          <w:color w:val="000000"/>
          <w:sz w:val="24"/>
          <w:szCs w:val="24"/>
        </w:rPr>
        <w:t xml:space="preserve"> </w:t>
      </w:r>
      <w:r w:rsidR="00695C9D" w:rsidRPr="00716921">
        <w:rPr>
          <w:rFonts w:ascii="Times New Roman" w:hAnsi="Times New Roman"/>
          <w:color w:val="000000"/>
          <w:sz w:val="24"/>
          <w:szCs w:val="24"/>
        </w:rPr>
        <w:t>le renforcement des capacités stratégiques de la haute fonction publique</w:t>
      </w:r>
      <w:r w:rsidR="002E5E75" w:rsidRPr="00716921">
        <w:rPr>
          <w:rFonts w:ascii="Times New Roman" w:hAnsi="Times New Roman"/>
          <w:color w:val="000000"/>
          <w:sz w:val="24"/>
          <w:szCs w:val="24"/>
        </w:rPr>
        <w:t xml:space="preserve">, </w:t>
      </w:r>
      <w:r w:rsidR="00566672" w:rsidRPr="00716921">
        <w:rPr>
          <w:rFonts w:ascii="Times New Roman" w:hAnsi="Times New Roman"/>
          <w:color w:val="000000"/>
          <w:sz w:val="24"/>
          <w:szCs w:val="24"/>
        </w:rPr>
        <w:t xml:space="preserve">la promotion </w:t>
      </w:r>
      <w:r w:rsidR="00F2699A" w:rsidRPr="00716921">
        <w:rPr>
          <w:rFonts w:ascii="Times New Roman" w:hAnsi="Times New Roman"/>
          <w:color w:val="000000"/>
          <w:sz w:val="24"/>
          <w:szCs w:val="24"/>
        </w:rPr>
        <w:t xml:space="preserve">des valeurs </w:t>
      </w:r>
      <w:r w:rsidR="00AC1C5C" w:rsidRPr="00716921">
        <w:rPr>
          <w:rFonts w:ascii="Times New Roman" w:hAnsi="Times New Roman"/>
          <w:color w:val="000000"/>
          <w:sz w:val="24"/>
          <w:szCs w:val="24"/>
        </w:rPr>
        <w:t xml:space="preserve">et des principes du service public </w:t>
      </w:r>
      <w:r w:rsidR="005A1C1D" w:rsidRPr="00716921">
        <w:rPr>
          <w:rFonts w:ascii="Times New Roman" w:hAnsi="Times New Roman"/>
          <w:color w:val="000000"/>
          <w:sz w:val="24"/>
          <w:szCs w:val="24"/>
        </w:rPr>
        <w:t>et de l’Administration notamment</w:t>
      </w:r>
      <w:r w:rsidR="00566672" w:rsidRPr="00716921">
        <w:rPr>
          <w:rFonts w:ascii="Times New Roman" w:hAnsi="Times New Roman"/>
          <w:color w:val="000000"/>
          <w:sz w:val="24"/>
          <w:szCs w:val="24"/>
        </w:rPr>
        <w:t xml:space="preserve"> l'intégrité</w:t>
      </w:r>
      <w:r w:rsidR="007D2198" w:rsidRPr="00716921">
        <w:rPr>
          <w:rFonts w:ascii="Times New Roman" w:hAnsi="Times New Roman"/>
          <w:color w:val="000000"/>
          <w:sz w:val="24"/>
          <w:szCs w:val="24"/>
        </w:rPr>
        <w:t xml:space="preserve"> et</w:t>
      </w:r>
      <w:r w:rsidR="00AD1EB5" w:rsidRPr="00716921">
        <w:rPr>
          <w:rFonts w:ascii="Times New Roman" w:hAnsi="Times New Roman"/>
          <w:color w:val="000000"/>
          <w:sz w:val="24"/>
          <w:szCs w:val="24"/>
        </w:rPr>
        <w:t xml:space="preserve"> </w:t>
      </w:r>
      <w:r w:rsidR="00566672" w:rsidRPr="00716921">
        <w:rPr>
          <w:rFonts w:ascii="Times New Roman" w:hAnsi="Times New Roman"/>
          <w:color w:val="000000"/>
          <w:sz w:val="24"/>
          <w:szCs w:val="24"/>
        </w:rPr>
        <w:t>la transparence</w:t>
      </w:r>
      <w:r w:rsidR="004022FB" w:rsidRPr="00716921">
        <w:rPr>
          <w:rFonts w:ascii="Times New Roman" w:hAnsi="Times New Roman"/>
          <w:color w:val="000000"/>
          <w:sz w:val="24"/>
          <w:szCs w:val="24"/>
        </w:rPr>
        <w:t xml:space="preserve"> ; </w:t>
      </w:r>
      <w:r w:rsidR="00974A3C" w:rsidRPr="00716921">
        <w:rPr>
          <w:rFonts w:ascii="Times New Roman" w:hAnsi="Times New Roman"/>
          <w:color w:val="000000"/>
          <w:sz w:val="24"/>
          <w:szCs w:val="24"/>
        </w:rPr>
        <w:t>ii</w:t>
      </w:r>
      <w:r w:rsidR="004632AE" w:rsidRPr="00716921">
        <w:rPr>
          <w:rFonts w:ascii="Times New Roman" w:hAnsi="Times New Roman"/>
          <w:color w:val="000000"/>
          <w:sz w:val="24"/>
          <w:szCs w:val="24"/>
        </w:rPr>
        <w:t>i</w:t>
      </w:r>
      <w:r w:rsidR="00974A3C" w:rsidRPr="00716921">
        <w:rPr>
          <w:rFonts w:ascii="Times New Roman" w:hAnsi="Times New Roman"/>
          <w:color w:val="000000"/>
          <w:sz w:val="24"/>
          <w:szCs w:val="24"/>
        </w:rPr>
        <w:t>) l’amélioration de l’accès des usagers au service public et la dématérialisation des actes et procédures administratives</w:t>
      </w:r>
      <w:r w:rsidR="006F2C07" w:rsidRPr="00716921">
        <w:rPr>
          <w:rFonts w:ascii="Times New Roman" w:hAnsi="Times New Roman"/>
          <w:color w:val="000000"/>
          <w:sz w:val="24"/>
          <w:szCs w:val="24"/>
        </w:rPr>
        <w:t xml:space="preserve">. Ensuite, </w:t>
      </w:r>
      <w:r w:rsidR="009F6094" w:rsidRPr="00716921">
        <w:rPr>
          <w:rFonts w:ascii="Times New Roman" w:hAnsi="Times New Roman"/>
          <w:color w:val="000000"/>
          <w:sz w:val="24"/>
          <w:szCs w:val="24"/>
        </w:rPr>
        <w:t>d</w:t>
      </w:r>
      <w:r w:rsidR="006F2C07" w:rsidRPr="00716921">
        <w:rPr>
          <w:rFonts w:ascii="Times New Roman" w:hAnsi="Times New Roman"/>
          <w:color w:val="000000"/>
          <w:sz w:val="24"/>
          <w:szCs w:val="24"/>
        </w:rPr>
        <w:t>’a</w:t>
      </w:r>
      <w:r w:rsidR="00853129" w:rsidRPr="00716921">
        <w:rPr>
          <w:rFonts w:ascii="Times New Roman" w:hAnsi="Times New Roman"/>
          <w:color w:val="000000"/>
          <w:sz w:val="24"/>
          <w:szCs w:val="24"/>
        </w:rPr>
        <w:t xml:space="preserve">ccompagner </w:t>
      </w:r>
      <w:r w:rsidR="00853129" w:rsidRPr="00716921">
        <w:rPr>
          <w:rFonts w:ascii="Times New Roman" w:hAnsi="Times New Roman"/>
          <w:b/>
          <w:color w:val="000000"/>
          <w:sz w:val="24"/>
          <w:szCs w:val="24"/>
        </w:rPr>
        <w:t>2)</w:t>
      </w:r>
      <w:r w:rsidR="00853129" w:rsidRPr="00716921">
        <w:rPr>
          <w:rFonts w:ascii="Times New Roman" w:hAnsi="Times New Roman"/>
          <w:color w:val="000000"/>
          <w:sz w:val="24"/>
          <w:szCs w:val="24"/>
        </w:rPr>
        <w:t xml:space="preserve"> </w:t>
      </w:r>
      <w:r w:rsidR="006F2C07" w:rsidRPr="00716921">
        <w:rPr>
          <w:rFonts w:ascii="Times New Roman" w:hAnsi="Times New Roman"/>
          <w:b/>
          <w:color w:val="000000"/>
          <w:sz w:val="24"/>
          <w:szCs w:val="24"/>
        </w:rPr>
        <w:t>l’effectivité du processus de décentralisation</w:t>
      </w:r>
      <w:r w:rsidR="006F2C07" w:rsidRPr="00716921">
        <w:rPr>
          <w:rFonts w:ascii="Times New Roman" w:hAnsi="Times New Roman"/>
          <w:color w:val="000000"/>
          <w:sz w:val="24"/>
          <w:szCs w:val="24"/>
        </w:rPr>
        <w:t xml:space="preserve"> à travers</w:t>
      </w:r>
      <w:r w:rsidR="00853129" w:rsidRPr="00716921">
        <w:rPr>
          <w:rFonts w:ascii="Times New Roman" w:hAnsi="Times New Roman"/>
          <w:color w:val="000000"/>
          <w:sz w:val="24"/>
          <w:szCs w:val="24"/>
        </w:rPr>
        <w:t> :</w:t>
      </w:r>
      <w:r w:rsidR="006F2C07" w:rsidRPr="00716921">
        <w:rPr>
          <w:rFonts w:ascii="Times New Roman" w:hAnsi="Times New Roman"/>
          <w:color w:val="000000"/>
          <w:sz w:val="24"/>
          <w:szCs w:val="24"/>
        </w:rPr>
        <w:t xml:space="preserve"> </w:t>
      </w:r>
      <w:r w:rsidR="0043435D" w:rsidRPr="00716921">
        <w:rPr>
          <w:rFonts w:ascii="Times New Roman" w:hAnsi="Times New Roman"/>
          <w:color w:val="000000"/>
          <w:sz w:val="24"/>
          <w:szCs w:val="24"/>
        </w:rPr>
        <w:t xml:space="preserve">l’amélioration de </w:t>
      </w:r>
      <w:r w:rsidR="00A54C09" w:rsidRPr="00716921">
        <w:rPr>
          <w:rFonts w:ascii="Times New Roman" w:hAnsi="Times New Roman"/>
          <w:color w:val="000000"/>
          <w:sz w:val="24"/>
          <w:szCs w:val="24"/>
        </w:rPr>
        <w:t xml:space="preserve">la qualité des services rendus par les collectivités territoriales, </w:t>
      </w:r>
      <w:r w:rsidR="00183A0E" w:rsidRPr="00716921">
        <w:rPr>
          <w:rFonts w:ascii="Times New Roman" w:hAnsi="Times New Roman"/>
          <w:color w:val="000000"/>
          <w:sz w:val="24"/>
          <w:szCs w:val="24"/>
        </w:rPr>
        <w:t xml:space="preserve">le renforcement </w:t>
      </w:r>
      <w:r w:rsidR="009D227D" w:rsidRPr="00716921">
        <w:rPr>
          <w:rFonts w:ascii="Times New Roman" w:hAnsi="Times New Roman"/>
          <w:color w:val="000000"/>
          <w:sz w:val="24"/>
          <w:szCs w:val="24"/>
        </w:rPr>
        <w:t xml:space="preserve">de </w:t>
      </w:r>
      <w:r w:rsidR="00A54C09" w:rsidRPr="00716921">
        <w:rPr>
          <w:rFonts w:ascii="Times New Roman" w:hAnsi="Times New Roman"/>
          <w:color w:val="000000"/>
          <w:sz w:val="24"/>
          <w:szCs w:val="24"/>
        </w:rPr>
        <w:t xml:space="preserve">la gouvernance inclusive du territoire et </w:t>
      </w:r>
      <w:r w:rsidR="009D227D" w:rsidRPr="00716921">
        <w:rPr>
          <w:rFonts w:ascii="Times New Roman" w:hAnsi="Times New Roman"/>
          <w:color w:val="000000"/>
          <w:sz w:val="24"/>
          <w:szCs w:val="24"/>
        </w:rPr>
        <w:t xml:space="preserve">de </w:t>
      </w:r>
      <w:r w:rsidR="00A54C09" w:rsidRPr="00716921">
        <w:rPr>
          <w:rFonts w:ascii="Times New Roman" w:hAnsi="Times New Roman"/>
          <w:color w:val="000000"/>
          <w:sz w:val="24"/>
          <w:szCs w:val="24"/>
        </w:rPr>
        <w:t>l’accompagnement de l’</w:t>
      </w:r>
      <w:r w:rsidR="00634A7E" w:rsidRPr="00716921">
        <w:rPr>
          <w:rFonts w:ascii="Times New Roman" w:hAnsi="Times New Roman"/>
          <w:color w:val="000000"/>
          <w:sz w:val="24"/>
          <w:szCs w:val="24"/>
        </w:rPr>
        <w:t>É</w:t>
      </w:r>
      <w:r w:rsidR="00A54C09" w:rsidRPr="00716921">
        <w:rPr>
          <w:rFonts w:ascii="Times New Roman" w:hAnsi="Times New Roman"/>
          <w:color w:val="000000"/>
          <w:sz w:val="24"/>
          <w:szCs w:val="24"/>
        </w:rPr>
        <w:t>tat</w:t>
      </w:r>
      <w:r w:rsidR="002B6156" w:rsidRPr="00716921">
        <w:rPr>
          <w:rFonts w:ascii="Times New Roman" w:hAnsi="Times New Roman"/>
          <w:color w:val="000000"/>
          <w:sz w:val="24"/>
          <w:szCs w:val="24"/>
        </w:rPr>
        <w:t>.</w:t>
      </w:r>
    </w:p>
    <w:p w14:paraId="6F3C9ECF" w14:textId="77777777" w:rsidR="00466F98" w:rsidRPr="00716921" w:rsidRDefault="00466F98" w:rsidP="00466F98">
      <w:pPr>
        <w:spacing w:after="120" w:line="240" w:lineRule="auto"/>
        <w:jc w:val="both"/>
        <w:rPr>
          <w:rFonts w:ascii="Times New Roman" w:hAnsi="Times New Roman"/>
          <w:color w:val="000000"/>
          <w:sz w:val="24"/>
          <w:szCs w:val="24"/>
        </w:rPr>
      </w:pPr>
    </w:p>
    <w:p w14:paraId="1F9D8185" w14:textId="77777777" w:rsidR="00D34E97" w:rsidRPr="00716921" w:rsidRDefault="006F2C07">
      <w:pPr>
        <w:pStyle w:val="Paragraphedeliste"/>
        <w:widowControl w:val="0"/>
        <w:numPr>
          <w:ilvl w:val="1"/>
          <w:numId w:val="2"/>
        </w:numPr>
        <w:pBdr>
          <w:top w:val="single" w:sz="4" w:space="1" w:color="D9D9D9"/>
          <w:bottom w:val="single" w:sz="4" w:space="1" w:color="D9D9D9"/>
        </w:pBdr>
        <w:shd w:val="clear" w:color="auto" w:fill="F2F2F2"/>
        <w:suppressAutoHyphens w:val="0"/>
        <w:spacing w:after="0" w:line="240" w:lineRule="auto"/>
        <w:ind w:left="357" w:hanging="357"/>
        <w:jc w:val="both"/>
        <w:textAlignment w:val="auto"/>
        <w:rPr>
          <w:rFonts w:eastAsia="MS Gothic" w:cs="Calibri"/>
          <w:b/>
          <w:color w:val="002060"/>
          <w:sz w:val="24"/>
          <w:lang w:val="fr-FR" w:eastAsia="fr-FR"/>
        </w:rPr>
      </w:pPr>
      <w:r w:rsidRPr="00716921">
        <w:rPr>
          <w:rFonts w:eastAsia="MS Gothic" w:cs="Calibri"/>
          <w:b/>
          <w:color w:val="002060"/>
          <w:sz w:val="24"/>
          <w:lang w:val="fr-FR" w:eastAsia="fr-FR"/>
        </w:rPr>
        <w:t>Théorie du changement</w:t>
      </w:r>
    </w:p>
    <w:p w14:paraId="787E8C47" w14:textId="77777777" w:rsidR="00D34E97" w:rsidRPr="00716921" w:rsidRDefault="00D34E97">
      <w:pPr>
        <w:rPr>
          <w:rFonts w:eastAsia="Times New Roman" w:cs="Calibri"/>
          <w:b/>
          <w:sz w:val="24"/>
        </w:rPr>
      </w:pPr>
    </w:p>
    <w:p w14:paraId="29D86C24" w14:textId="77777777" w:rsidR="00D34E97" w:rsidRPr="00716921" w:rsidRDefault="006F2C07">
      <w:pPr>
        <w:spacing w:line="240" w:lineRule="auto"/>
        <w:jc w:val="both"/>
      </w:pPr>
      <w:r w:rsidRPr="00716921">
        <w:rPr>
          <w:rFonts w:ascii="Times New Roman" w:hAnsi="Times New Roman"/>
          <w:b/>
          <w:bCs/>
          <w:sz w:val="24"/>
          <w:szCs w:val="24"/>
        </w:rPr>
        <w:t>Si</w:t>
      </w:r>
      <w:r w:rsidRPr="00716921">
        <w:rPr>
          <w:rFonts w:ascii="Times New Roman" w:hAnsi="Times New Roman"/>
          <w:sz w:val="24"/>
          <w:szCs w:val="24"/>
        </w:rPr>
        <w:t xml:space="preserve"> </w:t>
      </w:r>
    </w:p>
    <w:p w14:paraId="6EB96DBA" w14:textId="031C08EA" w:rsidR="00D34E97" w:rsidRPr="00716921" w:rsidRDefault="006F2C07">
      <w:pPr>
        <w:spacing w:line="240" w:lineRule="auto"/>
        <w:jc w:val="both"/>
        <w:rPr>
          <w:rFonts w:ascii="Times New Roman" w:hAnsi="Times New Roman"/>
          <w:color w:val="000000"/>
          <w:sz w:val="24"/>
          <w:szCs w:val="24"/>
        </w:rPr>
      </w:pPr>
      <w:r w:rsidRPr="00716921">
        <w:rPr>
          <w:rFonts w:ascii="Times New Roman" w:hAnsi="Times New Roman"/>
          <w:color w:val="000000"/>
          <w:sz w:val="24"/>
          <w:szCs w:val="24"/>
        </w:rPr>
        <w:t>- l’organisation des structures administratives est adaptée au contexte de la gestion budgétaire par programme </w:t>
      </w:r>
      <w:r w:rsidR="00577508" w:rsidRPr="00716921">
        <w:rPr>
          <w:rFonts w:ascii="Times New Roman" w:hAnsi="Times New Roman"/>
          <w:color w:val="000000"/>
          <w:sz w:val="24"/>
          <w:szCs w:val="24"/>
        </w:rPr>
        <w:t xml:space="preserve">et de la décentralisation </w:t>
      </w:r>
      <w:r w:rsidRPr="00716921">
        <w:rPr>
          <w:rFonts w:ascii="Times New Roman" w:hAnsi="Times New Roman"/>
          <w:color w:val="000000"/>
          <w:sz w:val="24"/>
          <w:szCs w:val="24"/>
        </w:rPr>
        <w:t xml:space="preserve">; </w:t>
      </w:r>
    </w:p>
    <w:p w14:paraId="58FF45AA" w14:textId="2A17CA44" w:rsidR="008B75DC" w:rsidRPr="00716921" w:rsidRDefault="008B75DC">
      <w:pPr>
        <w:spacing w:line="240" w:lineRule="auto"/>
        <w:jc w:val="both"/>
        <w:rPr>
          <w:rFonts w:ascii="Times New Roman" w:hAnsi="Times New Roman"/>
          <w:color w:val="000000"/>
          <w:sz w:val="24"/>
          <w:szCs w:val="24"/>
        </w:rPr>
      </w:pPr>
      <w:r w:rsidRPr="00716921">
        <w:rPr>
          <w:rFonts w:ascii="Times New Roman" w:hAnsi="Times New Roman"/>
          <w:color w:val="000000"/>
          <w:sz w:val="24"/>
          <w:szCs w:val="24"/>
        </w:rPr>
        <w:t xml:space="preserve">- </w:t>
      </w:r>
      <w:r w:rsidR="00892DA8" w:rsidRPr="00716921">
        <w:rPr>
          <w:rFonts w:ascii="Times New Roman" w:hAnsi="Times New Roman"/>
          <w:color w:val="000000"/>
          <w:sz w:val="24"/>
          <w:szCs w:val="24"/>
        </w:rPr>
        <w:t>l</w:t>
      </w:r>
      <w:r w:rsidR="00EB50A3" w:rsidRPr="00716921">
        <w:rPr>
          <w:rFonts w:ascii="Times New Roman" w:hAnsi="Times New Roman"/>
          <w:color w:val="000000"/>
          <w:sz w:val="24"/>
          <w:szCs w:val="24"/>
        </w:rPr>
        <w:t xml:space="preserve">a </w:t>
      </w:r>
      <w:r w:rsidR="008E3BE9" w:rsidRPr="00716921">
        <w:rPr>
          <w:rFonts w:ascii="Times New Roman" w:hAnsi="Times New Roman"/>
          <w:color w:val="000000"/>
          <w:sz w:val="24"/>
          <w:szCs w:val="24"/>
        </w:rPr>
        <w:t xml:space="preserve">haute fonction publique améliore ses capacités </w:t>
      </w:r>
      <w:r w:rsidR="00964161" w:rsidRPr="00716921">
        <w:rPr>
          <w:rFonts w:ascii="Times New Roman" w:hAnsi="Times New Roman"/>
          <w:color w:val="000000"/>
          <w:sz w:val="24"/>
          <w:szCs w:val="24"/>
        </w:rPr>
        <w:t xml:space="preserve">et </w:t>
      </w:r>
      <w:r w:rsidR="00892DA8" w:rsidRPr="00716921">
        <w:rPr>
          <w:rFonts w:ascii="Times New Roman" w:hAnsi="Times New Roman"/>
          <w:color w:val="000000"/>
          <w:sz w:val="24"/>
          <w:szCs w:val="24"/>
        </w:rPr>
        <w:t xml:space="preserve">ses </w:t>
      </w:r>
      <w:r w:rsidR="00964161" w:rsidRPr="00716921">
        <w:rPr>
          <w:rFonts w:ascii="Times New Roman" w:hAnsi="Times New Roman"/>
          <w:color w:val="000000"/>
          <w:sz w:val="24"/>
          <w:szCs w:val="24"/>
        </w:rPr>
        <w:t>aptitudes</w:t>
      </w:r>
      <w:r w:rsidR="00B4449D" w:rsidRPr="00716921">
        <w:rPr>
          <w:rFonts w:ascii="Times New Roman" w:hAnsi="Times New Roman"/>
          <w:color w:val="000000"/>
          <w:sz w:val="24"/>
          <w:szCs w:val="24"/>
        </w:rPr>
        <w:t xml:space="preserve"> stratégiques et </w:t>
      </w:r>
      <w:r w:rsidR="008A1FA6" w:rsidRPr="00716921">
        <w:rPr>
          <w:rFonts w:ascii="Times New Roman" w:hAnsi="Times New Roman"/>
          <w:color w:val="000000"/>
          <w:sz w:val="24"/>
          <w:szCs w:val="24"/>
        </w:rPr>
        <w:t xml:space="preserve">les valeurs et principes </w:t>
      </w:r>
      <w:r w:rsidR="00E1638A" w:rsidRPr="00716921">
        <w:rPr>
          <w:rFonts w:ascii="Times New Roman" w:hAnsi="Times New Roman"/>
          <w:color w:val="000000"/>
          <w:sz w:val="24"/>
          <w:szCs w:val="24"/>
        </w:rPr>
        <w:t xml:space="preserve">du service public et de l’administration </w:t>
      </w:r>
      <w:r w:rsidR="00667C86" w:rsidRPr="00716921">
        <w:rPr>
          <w:rFonts w:ascii="Times New Roman" w:hAnsi="Times New Roman"/>
          <w:color w:val="000000"/>
          <w:sz w:val="24"/>
          <w:szCs w:val="24"/>
        </w:rPr>
        <w:t>notamment l</w:t>
      </w:r>
      <w:r w:rsidR="008A1FA6" w:rsidRPr="00716921">
        <w:rPr>
          <w:rFonts w:ascii="Times New Roman" w:hAnsi="Times New Roman"/>
          <w:color w:val="000000"/>
          <w:sz w:val="24"/>
          <w:szCs w:val="24"/>
        </w:rPr>
        <w:t xml:space="preserve">’intégrité et </w:t>
      </w:r>
      <w:r w:rsidR="00667C86" w:rsidRPr="00716921">
        <w:rPr>
          <w:rFonts w:ascii="Times New Roman" w:hAnsi="Times New Roman"/>
          <w:color w:val="000000"/>
          <w:sz w:val="24"/>
          <w:szCs w:val="24"/>
        </w:rPr>
        <w:t xml:space="preserve">la </w:t>
      </w:r>
      <w:r w:rsidR="008A1FA6" w:rsidRPr="00716921">
        <w:rPr>
          <w:rFonts w:ascii="Times New Roman" w:hAnsi="Times New Roman"/>
          <w:color w:val="000000"/>
          <w:sz w:val="24"/>
          <w:szCs w:val="24"/>
        </w:rPr>
        <w:t>transparence</w:t>
      </w:r>
      <w:r w:rsidR="00272151" w:rsidRPr="00716921">
        <w:rPr>
          <w:rFonts w:ascii="Times New Roman" w:hAnsi="Times New Roman"/>
          <w:color w:val="000000"/>
          <w:sz w:val="24"/>
          <w:szCs w:val="24"/>
        </w:rPr>
        <w:t xml:space="preserve"> sont appliqués</w:t>
      </w:r>
      <w:r w:rsidR="00B4449D" w:rsidRPr="00716921">
        <w:rPr>
          <w:rFonts w:ascii="Times New Roman" w:hAnsi="Times New Roman"/>
          <w:color w:val="000000"/>
          <w:sz w:val="24"/>
          <w:szCs w:val="24"/>
        </w:rPr>
        <w:t> ;</w:t>
      </w:r>
      <w:r w:rsidR="002679C7" w:rsidRPr="00716921">
        <w:rPr>
          <w:rFonts w:ascii="Times New Roman" w:hAnsi="Times New Roman"/>
          <w:color w:val="000000"/>
          <w:sz w:val="24"/>
          <w:szCs w:val="24"/>
        </w:rPr>
        <w:t xml:space="preserve"> </w:t>
      </w:r>
    </w:p>
    <w:p w14:paraId="5AB371CE" w14:textId="77777777" w:rsidR="00D34E97" w:rsidRPr="00716921" w:rsidRDefault="006F2C07">
      <w:pPr>
        <w:spacing w:line="240" w:lineRule="auto"/>
        <w:jc w:val="both"/>
      </w:pPr>
      <w:r w:rsidRPr="00716921">
        <w:rPr>
          <w:rFonts w:ascii="Times New Roman" w:hAnsi="Times New Roman"/>
          <w:color w:val="000000"/>
          <w:sz w:val="24"/>
          <w:szCs w:val="24"/>
        </w:rPr>
        <w:t>- les actes et les procédures administratives sont dématérialisés et les populations mieux informées sur les différents actes et procédures administratives des services de base </w:t>
      </w:r>
      <w:r w:rsidRPr="00716921">
        <w:rPr>
          <w:rFonts w:ascii="Times New Roman" w:hAnsi="Times New Roman"/>
          <w:sz w:val="24"/>
          <w:szCs w:val="24"/>
        </w:rPr>
        <w:t>;</w:t>
      </w:r>
    </w:p>
    <w:p w14:paraId="7713D63E" w14:textId="3E22DAE4" w:rsidR="00D34E97" w:rsidRPr="00716921" w:rsidRDefault="006F2C07" w:rsidP="0006143C">
      <w:pPr>
        <w:spacing w:after="120" w:line="240" w:lineRule="auto"/>
        <w:jc w:val="both"/>
        <w:rPr>
          <w:rFonts w:ascii="Times New Roman" w:hAnsi="Times New Roman"/>
          <w:color w:val="000000"/>
          <w:sz w:val="24"/>
          <w:szCs w:val="24"/>
        </w:rPr>
      </w:pPr>
      <w:r w:rsidRPr="00716921">
        <w:rPr>
          <w:rFonts w:ascii="Times New Roman" w:hAnsi="Times New Roman"/>
          <w:color w:val="000000"/>
          <w:sz w:val="24"/>
          <w:szCs w:val="24"/>
        </w:rPr>
        <w:t xml:space="preserve">- l’effectivité du processus de décentralisation est améliorée notamment </w:t>
      </w:r>
      <w:r w:rsidR="0006143C" w:rsidRPr="00716921">
        <w:rPr>
          <w:rFonts w:ascii="Times New Roman" w:hAnsi="Times New Roman"/>
          <w:color w:val="000000"/>
          <w:sz w:val="24"/>
          <w:szCs w:val="24"/>
        </w:rPr>
        <w:t xml:space="preserve">la qualité des services rendus par les collectivités territoriales, </w:t>
      </w:r>
      <w:r w:rsidR="007275E4" w:rsidRPr="00716921">
        <w:rPr>
          <w:rFonts w:ascii="Times New Roman" w:hAnsi="Times New Roman"/>
          <w:color w:val="000000"/>
          <w:sz w:val="24"/>
          <w:szCs w:val="24"/>
        </w:rPr>
        <w:t>la gouvernance inclusive</w:t>
      </w:r>
      <w:r w:rsidR="00D21EDC" w:rsidRPr="00716921">
        <w:rPr>
          <w:rFonts w:ascii="Times New Roman" w:hAnsi="Times New Roman"/>
          <w:color w:val="000000"/>
          <w:sz w:val="24"/>
          <w:szCs w:val="24"/>
        </w:rPr>
        <w:t xml:space="preserve"> </w:t>
      </w:r>
      <w:r w:rsidR="00CF05FC" w:rsidRPr="00716921">
        <w:rPr>
          <w:rFonts w:ascii="Times New Roman" w:hAnsi="Times New Roman"/>
          <w:color w:val="000000"/>
          <w:sz w:val="24"/>
          <w:szCs w:val="24"/>
        </w:rPr>
        <w:t xml:space="preserve">du territoire </w:t>
      </w:r>
      <w:r w:rsidR="00D21EDC" w:rsidRPr="00716921">
        <w:rPr>
          <w:rFonts w:ascii="Times New Roman" w:hAnsi="Times New Roman"/>
          <w:color w:val="000000"/>
          <w:sz w:val="24"/>
          <w:szCs w:val="24"/>
        </w:rPr>
        <w:t>et l’accompagnement de l’</w:t>
      </w:r>
      <w:r w:rsidR="00634A7E" w:rsidRPr="00716921">
        <w:rPr>
          <w:rFonts w:ascii="Times New Roman" w:hAnsi="Times New Roman"/>
          <w:color w:val="000000"/>
          <w:sz w:val="24"/>
          <w:szCs w:val="24"/>
        </w:rPr>
        <w:t>É</w:t>
      </w:r>
      <w:r w:rsidR="00D21EDC" w:rsidRPr="00716921">
        <w:rPr>
          <w:rFonts w:ascii="Times New Roman" w:hAnsi="Times New Roman"/>
          <w:color w:val="000000"/>
          <w:sz w:val="24"/>
          <w:szCs w:val="24"/>
        </w:rPr>
        <w:t>tat</w:t>
      </w:r>
      <w:r w:rsidR="00EA5565" w:rsidRPr="00716921">
        <w:rPr>
          <w:rFonts w:ascii="Times New Roman" w:hAnsi="Times New Roman"/>
          <w:color w:val="000000"/>
          <w:sz w:val="24"/>
          <w:szCs w:val="24"/>
        </w:rPr>
        <w:t>.</w:t>
      </w:r>
      <w:r w:rsidRPr="00716921">
        <w:rPr>
          <w:rFonts w:ascii="Times New Roman" w:hAnsi="Times New Roman"/>
          <w:color w:val="000000"/>
          <w:sz w:val="24"/>
          <w:szCs w:val="24"/>
        </w:rPr>
        <w:t xml:space="preserve"> </w:t>
      </w:r>
    </w:p>
    <w:p w14:paraId="4F0EF864" w14:textId="77777777" w:rsidR="00D34E97" w:rsidRPr="00716921" w:rsidRDefault="006F2C07">
      <w:pPr>
        <w:spacing w:line="240" w:lineRule="auto"/>
        <w:jc w:val="both"/>
      </w:pPr>
      <w:r w:rsidRPr="00716921">
        <w:rPr>
          <w:rFonts w:ascii="Times New Roman" w:hAnsi="Times New Roman"/>
          <w:b/>
          <w:bCs/>
          <w:sz w:val="24"/>
          <w:szCs w:val="24"/>
        </w:rPr>
        <w:t>Alors</w:t>
      </w:r>
    </w:p>
    <w:p w14:paraId="3EE66C9F" w14:textId="5C9DE151" w:rsidR="00D34E97" w:rsidRPr="00716921" w:rsidRDefault="006F2C07">
      <w:pPr>
        <w:spacing w:line="240" w:lineRule="auto"/>
        <w:jc w:val="both"/>
        <w:rPr>
          <w:rFonts w:ascii="Times New Roman" w:hAnsi="Times New Roman"/>
          <w:color w:val="000000"/>
          <w:sz w:val="24"/>
          <w:szCs w:val="24"/>
        </w:rPr>
      </w:pPr>
      <w:r w:rsidRPr="00716921">
        <w:rPr>
          <w:rFonts w:ascii="Times New Roman" w:hAnsi="Times New Roman"/>
          <w:color w:val="000000"/>
          <w:sz w:val="24"/>
          <w:szCs w:val="24"/>
        </w:rPr>
        <w:t>Les populations les plus défavorisées bénéficieront de services publics de qualité fournis par des institutions, des structures publiques et des autorités décentralisées locales performantes et responsables.</w:t>
      </w:r>
    </w:p>
    <w:p w14:paraId="28E1D4EC" w14:textId="77777777" w:rsidR="00D34E97" w:rsidRPr="00716921" w:rsidRDefault="006F2C07">
      <w:pPr>
        <w:pStyle w:val="Paragraphedeliste"/>
        <w:widowControl w:val="0"/>
        <w:numPr>
          <w:ilvl w:val="1"/>
          <w:numId w:val="2"/>
        </w:numPr>
        <w:pBdr>
          <w:top w:val="single" w:sz="4" w:space="1" w:color="D9D9D9"/>
          <w:bottom w:val="single" w:sz="4" w:space="1" w:color="D9D9D9"/>
        </w:pBdr>
        <w:shd w:val="clear" w:color="auto" w:fill="F2F2F2"/>
        <w:suppressAutoHyphens w:val="0"/>
        <w:spacing w:after="0" w:line="240" w:lineRule="auto"/>
        <w:ind w:left="357" w:hanging="357"/>
        <w:jc w:val="both"/>
        <w:textAlignment w:val="auto"/>
        <w:rPr>
          <w:rFonts w:eastAsia="MS Gothic" w:cs="Calibri"/>
          <w:b/>
          <w:color w:val="002060"/>
          <w:sz w:val="24"/>
          <w:lang w:val="fr-FR" w:eastAsia="fr-FR"/>
        </w:rPr>
      </w:pPr>
      <w:r w:rsidRPr="00716921">
        <w:rPr>
          <w:rFonts w:eastAsia="MS Gothic" w:cs="Calibri"/>
          <w:b/>
          <w:color w:val="002060"/>
          <w:sz w:val="24"/>
          <w:lang w:val="fr-FR" w:eastAsia="fr-FR"/>
        </w:rPr>
        <w:t>Axes d’intervention</w:t>
      </w:r>
    </w:p>
    <w:p w14:paraId="7AB22E4F" w14:textId="77777777" w:rsidR="00D34E97" w:rsidRPr="00716921" w:rsidRDefault="00D34E97">
      <w:pPr>
        <w:spacing w:line="240" w:lineRule="auto"/>
        <w:jc w:val="both"/>
        <w:rPr>
          <w:rFonts w:ascii="Times New Roman" w:hAnsi="Times New Roman"/>
          <w:color w:val="000000"/>
          <w:sz w:val="24"/>
          <w:szCs w:val="24"/>
        </w:rPr>
      </w:pPr>
    </w:p>
    <w:p w14:paraId="20A77EF8" w14:textId="0F2D94EA" w:rsidR="00D34E97" w:rsidRPr="00716921" w:rsidRDefault="006F2C07" w:rsidP="00FE1698">
      <w:pPr>
        <w:pStyle w:val="Paragraphedeliste"/>
        <w:numPr>
          <w:ilvl w:val="0"/>
          <w:numId w:val="3"/>
        </w:numPr>
        <w:spacing w:line="240" w:lineRule="auto"/>
        <w:jc w:val="both"/>
        <w:rPr>
          <w:rFonts w:ascii="Times New Roman" w:hAnsi="Times New Roman"/>
          <w:color w:val="000000"/>
          <w:sz w:val="24"/>
          <w:szCs w:val="24"/>
          <w:lang w:val="fr-FR"/>
        </w:rPr>
      </w:pPr>
      <w:r w:rsidRPr="00716921">
        <w:rPr>
          <w:rFonts w:ascii="Times New Roman" w:hAnsi="Times New Roman"/>
          <w:b/>
          <w:color w:val="000000"/>
          <w:sz w:val="24"/>
          <w:szCs w:val="24"/>
          <w:lang w:val="fr-FR"/>
        </w:rPr>
        <w:t>L’amélioration de l’organisation des structures administratives</w:t>
      </w:r>
      <w:r w:rsidRPr="00716921">
        <w:rPr>
          <w:rFonts w:ascii="Times New Roman" w:hAnsi="Times New Roman"/>
          <w:color w:val="000000"/>
          <w:sz w:val="24"/>
          <w:szCs w:val="24"/>
          <w:lang w:val="fr-FR"/>
        </w:rPr>
        <w:t xml:space="preserve"> : il s’agit </w:t>
      </w:r>
      <w:r w:rsidR="001A1E00" w:rsidRPr="00716921">
        <w:rPr>
          <w:rFonts w:ascii="Times New Roman" w:hAnsi="Times New Roman"/>
          <w:color w:val="000000"/>
          <w:sz w:val="24"/>
          <w:szCs w:val="24"/>
          <w:lang w:val="fr-FR"/>
        </w:rPr>
        <w:t>tout d’abord</w:t>
      </w:r>
      <w:r w:rsidR="004752A4" w:rsidRPr="00716921">
        <w:rPr>
          <w:rFonts w:ascii="Times New Roman" w:hAnsi="Times New Roman"/>
          <w:color w:val="000000"/>
          <w:sz w:val="24"/>
          <w:szCs w:val="24"/>
          <w:lang w:val="fr-FR"/>
        </w:rPr>
        <w:t xml:space="preserve"> </w:t>
      </w:r>
      <w:r w:rsidRPr="00716921">
        <w:rPr>
          <w:rFonts w:ascii="Times New Roman" w:hAnsi="Times New Roman"/>
          <w:color w:val="000000"/>
          <w:sz w:val="24"/>
          <w:szCs w:val="24"/>
          <w:lang w:val="fr-FR"/>
        </w:rPr>
        <w:t>d’appuyer l’adaptation de l’organisation des services publics dans le contexte</w:t>
      </w:r>
      <w:r w:rsidR="006453F4" w:rsidRPr="00716921">
        <w:rPr>
          <w:rFonts w:ascii="Times New Roman" w:hAnsi="Times New Roman"/>
          <w:color w:val="000000"/>
          <w:sz w:val="24"/>
          <w:szCs w:val="24"/>
          <w:lang w:val="fr-FR"/>
        </w:rPr>
        <w:t xml:space="preserve"> du passage du mode de gestion budgétaire par programme à partir de 2018 </w:t>
      </w:r>
      <w:r w:rsidR="00FB6413" w:rsidRPr="00716921">
        <w:rPr>
          <w:rFonts w:ascii="Times New Roman" w:hAnsi="Times New Roman"/>
          <w:color w:val="000000"/>
          <w:sz w:val="24"/>
          <w:szCs w:val="24"/>
          <w:lang w:val="fr-FR"/>
        </w:rPr>
        <w:t xml:space="preserve">qui </w:t>
      </w:r>
      <w:r w:rsidR="006453F4" w:rsidRPr="00716921">
        <w:rPr>
          <w:rFonts w:ascii="Times New Roman" w:hAnsi="Times New Roman"/>
          <w:color w:val="000000"/>
          <w:sz w:val="24"/>
          <w:szCs w:val="24"/>
          <w:lang w:val="fr-FR"/>
        </w:rPr>
        <w:t>exige une revue institutionnelle des structures administratives afin de les adapter à la nouvelle configuration budgétaire</w:t>
      </w:r>
      <w:r w:rsidR="001A1E00" w:rsidRPr="00716921">
        <w:rPr>
          <w:rFonts w:ascii="Times New Roman" w:hAnsi="Times New Roman"/>
          <w:color w:val="000000"/>
          <w:sz w:val="24"/>
          <w:szCs w:val="24"/>
          <w:lang w:val="fr-FR"/>
        </w:rPr>
        <w:t xml:space="preserve"> autour des responsables de programmes.</w:t>
      </w:r>
      <w:r w:rsidR="004752A4" w:rsidRPr="00716921">
        <w:rPr>
          <w:rFonts w:ascii="Times New Roman" w:hAnsi="Times New Roman"/>
          <w:color w:val="000000"/>
          <w:sz w:val="24"/>
          <w:szCs w:val="24"/>
          <w:lang w:val="fr-FR"/>
        </w:rPr>
        <w:t xml:space="preserve"> </w:t>
      </w:r>
      <w:r w:rsidR="0080134C" w:rsidRPr="00716921">
        <w:rPr>
          <w:rFonts w:ascii="Times New Roman" w:hAnsi="Times New Roman"/>
          <w:color w:val="000000"/>
          <w:sz w:val="24"/>
          <w:szCs w:val="24"/>
          <w:lang w:val="fr-FR"/>
        </w:rPr>
        <w:t>I</w:t>
      </w:r>
      <w:r w:rsidR="0093733C" w:rsidRPr="00716921">
        <w:rPr>
          <w:rFonts w:ascii="Times New Roman" w:hAnsi="Times New Roman"/>
          <w:color w:val="000000"/>
          <w:sz w:val="24"/>
          <w:szCs w:val="24"/>
          <w:lang w:val="fr-FR"/>
        </w:rPr>
        <w:t xml:space="preserve">l </w:t>
      </w:r>
      <w:r w:rsidR="00891F0C" w:rsidRPr="00716921">
        <w:rPr>
          <w:rFonts w:ascii="Times New Roman" w:hAnsi="Times New Roman"/>
          <w:color w:val="000000"/>
          <w:sz w:val="24"/>
          <w:szCs w:val="24"/>
          <w:lang w:val="fr-FR"/>
        </w:rPr>
        <w:t>apparaît</w:t>
      </w:r>
      <w:r w:rsidR="0093733C" w:rsidRPr="00716921">
        <w:rPr>
          <w:rFonts w:ascii="Times New Roman" w:hAnsi="Times New Roman"/>
          <w:color w:val="000000"/>
          <w:sz w:val="24"/>
          <w:szCs w:val="24"/>
          <w:lang w:val="fr-FR"/>
        </w:rPr>
        <w:t xml:space="preserve"> que </w:t>
      </w:r>
      <w:r w:rsidR="00AB612E" w:rsidRPr="00716921">
        <w:rPr>
          <w:rFonts w:ascii="Times New Roman" w:hAnsi="Times New Roman"/>
          <w:color w:val="000000"/>
          <w:sz w:val="24"/>
          <w:szCs w:val="24"/>
          <w:lang w:val="fr-FR"/>
        </w:rPr>
        <w:t xml:space="preserve">l’effectivité des rôles et responsabilités de ces derniers reste </w:t>
      </w:r>
      <w:r w:rsidR="00973983" w:rsidRPr="00716921">
        <w:rPr>
          <w:rFonts w:ascii="Times New Roman" w:hAnsi="Times New Roman"/>
          <w:color w:val="000000"/>
          <w:sz w:val="24"/>
          <w:szCs w:val="24"/>
          <w:lang w:val="fr-FR"/>
        </w:rPr>
        <w:t xml:space="preserve">dépendante </w:t>
      </w:r>
      <w:r w:rsidR="00FE1698" w:rsidRPr="00716921">
        <w:rPr>
          <w:rFonts w:ascii="Times New Roman" w:hAnsi="Times New Roman"/>
          <w:color w:val="000000"/>
          <w:sz w:val="24"/>
          <w:szCs w:val="24"/>
          <w:lang w:val="fr-FR"/>
        </w:rPr>
        <w:t>de</w:t>
      </w:r>
      <w:r w:rsidR="00EE4856" w:rsidRPr="00716921">
        <w:rPr>
          <w:rFonts w:ascii="Times New Roman" w:hAnsi="Times New Roman"/>
          <w:color w:val="000000"/>
          <w:sz w:val="24"/>
          <w:szCs w:val="24"/>
          <w:lang w:val="fr-FR"/>
        </w:rPr>
        <w:t xml:space="preserve"> l</w:t>
      </w:r>
      <w:r w:rsidR="00FE2EC6" w:rsidRPr="00716921">
        <w:rPr>
          <w:rFonts w:ascii="Times New Roman" w:hAnsi="Times New Roman"/>
          <w:color w:val="000000"/>
          <w:sz w:val="24"/>
          <w:szCs w:val="24"/>
          <w:lang w:val="fr-FR"/>
        </w:rPr>
        <w:t xml:space="preserve">a structure organisationnelle des services </w:t>
      </w:r>
      <w:r w:rsidR="00344228" w:rsidRPr="00716921">
        <w:rPr>
          <w:rFonts w:ascii="Times New Roman" w:hAnsi="Times New Roman"/>
          <w:color w:val="000000"/>
          <w:sz w:val="24"/>
          <w:szCs w:val="24"/>
          <w:lang w:val="fr-FR"/>
        </w:rPr>
        <w:t>mise en place avant la réforme</w:t>
      </w:r>
      <w:r w:rsidR="00532669" w:rsidRPr="00716921">
        <w:rPr>
          <w:rStyle w:val="Appelnotedebasdep"/>
          <w:rFonts w:ascii="Times New Roman" w:hAnsi="Times New Roman"/>
          <w:color w:val="000000"/>
          <w:sz w:val="24"/>
          <w:szCs w:val="24"/>
          <w:lang w:val="fr-FR"/>
        </w:rPr>
        <w:footnoteReference w:id="5"/>
      </w:r>
      <w:r w:rsidR="00344228" w:rsidRPr="00716921">
        <w:rPr>
          <w:rFonts w:ascii="Times New Roman" w:hAnsi="Times New Roman"/>
          <w:color w:val="000000"/>
          <w:sz w:val="24"/>
          <w:szCs w:val="24"/>
          <w:lang w:val="fr-FR"/>
        </w:rPr>
        <w:t xml:space="preserve">. </w:t>
      </w:r>
      <w:r w:rsidR="00FE1698" w:rsidRPr="00716921">
        <w:rPr>
          <w:rFonts w:ascii="Times New Roman" w:hAnsi="Times New Roman"/>
          <w:color w:val="000000"/>
          <w:sz w:val="24"/>
          <w:szCs w:val="24"/>
          <w:lang w:val="fr-FR"/>
        </w:rPr>
        <w:t xml:space="preserve">Ainsi, </w:t>
      </w:r>
      <w:r w:rsidR="005058F5" w:rsidRPr="00716921">
        <w:rPr>
          <w:rFonts w:ascii="Times New Roman" w:hAnsi="Times New Roman"/>
          <w:color w:val="000000"/>
          <w:sz w:val="24"/>
          <w:szCs w:val="24"/>
          <w:lang w:val="fr-FR"/>
        </w:rPr>
        <w:t>l’appui cibl</w:t>
      </w:r>
      <w:r w:rsidR="00CA43BD" w:rsidRPr="00716921">
        <w:rPr>
          <w:rFonts w:ascii="Times New Roman" w:hAnsi="Times New Roman"/>
          <w:color w:val="000000"/>
          <w:sz w:val="24"/>
          <w:szCs w:val="24"/>
          <w:lang w:val="fr-FR"/>
        </w:rPr>
        <w:t xml:space="preserve">e </w:t>
      </w:r>
      <w:r w:rsidR="00FE1698" w:rsidRPr="00716921">
        <w:rPr>
          <w:rFonts w:ascii="Times New Roman" w:hAnsi="Times New Roman"/>
          <w:color w:val="000000"/>
          <w:sz w:val="24"/>
          <w:szCs w:val="24"/>
          <w:lang w:val="fr-FR"/>
        </w:rPr>
        <w:t xml:space="preserve">prioritairement </w:t>
      </w:r>
      <w:r w:rsidR="00CA43BD" w:rsidRPr="00716921">
        <w:rPr>
          <w:rFonts w:ascii="Times New Roman" w:hAnsi="Times New Roman"/>
          <w:color w:val="000000"/>
          <w:sz w:val="24"/>
          <w:szCs w:val="24"/>
          <w:lang w:val="fr-FR"/>
        </w:rPr>
        <w:t xml:space="preserve">la </w:t>
      </w:r>
      <w:r w:rsidR="00B07141" w:rsidRPr="00716921">
        <w:rPr>
          <w:rFonts w:ascii="Times New Roman" w:hAnsi="Times New Roman"/>
          <w:color w:val="000000"/>
          <w:sz w:val="24"/>
          <w:szCs w:val="24"/>
          <w:lang w:val="fr-FR"/>
        </w:rPr>
        <w:t xml:space="preserve">réorganisation des services d’appui aux </w:t>
      </w:r>
      <w:r w:rsidR="00CA43BD" w:rsidRPr="00716921">
        <w:rPr>
          <w:rFonts w:ascii="Times New Roman" w:hAnsi="Times New Roman"/>
          <w:color w:val="000000"/>
          <w:sz w:val="24"/>
          <w:szCs w:val="24"/>
          <w:lang w:val="fr-FR"/>
        </w:rPr>
        <w:t>r</w:t>
      </w:r>
      <w:r w:rsidR="00B07141" w:rsidRPr="00716921">
        <w:rPr>
          <w:rFonts w:ascii="Times New Roman" w:hAnsi="Times New Roman"/>
          <w:color w:val="000000"/>
          <w:sz w:val="24"/>
          <w:szCs w:val="24"/>
          <w:lang w:val="fr-FR"/>
        </w:rPr>
        <w:t>esponsables de programme </w:t>
      </w:r>
      <w:r w:rsidR="00CA43BD" w:rsidRPr="00716921">
        <w:rPr>
          <w:rFonts w:ascii="Times New Roman" w:hAnsi="Times New Roman"/>
          <w:color w:val="000000"/>
          <w:sz w:val="24"/>
          <w:szCs w:val="24"/>
          <w:lang w:val="fr-FR"/>
        </w:rPr>
        <w:t xml:space="preserve">notamment </w:t>
      </w:r>
      <w:r w:rsidR="00592A3A" w:rsidRPr="00716921">
        <w:rPr>
          <w:rFonts w:ascii="Times New Roman" w:hAnsi="Times New Roman"/>
          <w:color w:val="000000"/>
          <w:sz w:val="24"/>
          <w:szCs w:val="24"/>
          <w:lang w:val="fr-FR"/>
        </w:rPr>
        <w:t xml:space="preserve">les </w:t>
      </w:r>
      <w:r w:rsidR="00CA43BD" w:rsidRPr="00716921">
        <w:rPr>
          <w:rFonts w:ascii="Times New Roman" w:hAnsi="Times New Roman"/>
          <w:color w:val="000000"/>
          <w:sz w:val="24"/>
          <w:szCs w:val="24"/>
          <w:lang w:val="fr-FR"/>
        </w:rPr>
        <w:t xml:space="preserve">services </w:t>
      </w:r>
      <w:r w:rsidR="00592A3A" w:rsidRPr="00716921">
        <w:rPr>
          <w:rFonts w:ascii="Times New Roman" w:hAnsi="Times New Roman"/>
          <w:color w:val="000000"/>
          <w:sz w:val="24"/>
          <w:szCs w:val="24"/>
          <w:lang w:val="fr-FR"/>
        </w:rPr>
        <w:t xml:space="preserve">de </w:t>
      </w:r>
      <w:r w:rsidR="00CA43BD" w:rsidRPr="00716921">
        <w:rPr>
          <w:rFonts w:ascii="Times New Roman" w:hAnsi="Times New Roman"/>
          <w:color w:val="000000"/>
          <w:sz w:val="24"/>
          <w:szCs w:val="24"/>
          <w:lang w:val="fr-FR"/>
        </w:rPr>
        <w:t>planification</w:t>
      </w:r>
      <w:r w:rsidR="00592A3A" w:rsidRPr="00716921">
        <w:rPr>
          <w:rFonts w:ascii="Times New Roman" w:hAnsi="Times New Roman"/>
          <w:color w:val="000000"/>
          <w:sz w:val="24"/>
          <w:szCs w:val="24"/>
          <w:lang w:val="fr-FR"/>
        </w:rPr>
        <w:t xml:space="preserve">, </w:t>
      </w:r>
      <w:r w:rsidR="00292BCC" w:rsidRPr="00716921">
        <w:rPr>
          <w:rFonts w:ascii="Times New Roman" w:hAnsi="Times New Roman"/>
          <w:color w:val="000000"/>
          <w:sz w:val="24"/>
          <w:szCs w:val="24"/>
          <w:lang w:val="fr-FR"/>
        </w:rPr>
        <w:t>de gestion des Ressources Humaines et financières.</w:t>
      </w:r>
    </w:p>
    <w:p w14:paraId="4DACB276" w14:textId="6928E9B6" w:rsidR="004B0576" w:rsidRPr="00716921" w:rsidRDefault="004B0576" w:rsidP="00FE1698">
      <w:pPr>
        <w:pStyle w:val="Paragraphedeliste"/>
        <w:numPr>
          <w:ilvl w:val="0"/>
          <w:numId w:val="3"/>
        </w:numPr>
        <w:spacing w:line="240" w:lineRule="auto"/>
        <w:jc w:val="both"/>
        <w:rPr>
          <w:rFonts w:ascii="Times New Roman" w:hAnsi="Times New Roman"/>
          <w:color w:val="000000"/>
          <w:sz w:val="24"/>
          <w:szCs w:val="24"/>
          <w:lang w:val="fr-FR"/>
        </w:rPr>
      </w:pPr>
      <w:r w:rsidRPr="00716921">
        <w:rPr>
          <w:rFonts w:ascii="Times New Roman" w:hAnsi="Times New Roman"/>
          <w:b/>
          <w:color w:val="000000"/>
          <w:sz w:val="24"/>
          <w:szCs w:val="24"/>
          <w:lang w:val="fr-FR"/>
        </w:rPr>
        <w:t xml:space="preserve">Le </w:t>
      </w:r>
      <w:r w:rsidR="00195DAD" w:rsidRPr="00716921">
        <w:rPr>
          <w:rFonts w:ascii="Times New Roman" w:hAnsi="Times New Roman"/>
          <w:b/>
          <w:color w:val="000000"/>
          <w:sz w:val="24"/>
          <w:szCs w:val="24"/>
          <w:lang w:val="fr-FR"/>
        </w:rPr>
        <w:t>renforcement des capacités stratégiques de la haute fonction publique, la promotion des valeurs et des principes d</w:t>
      </w:r>
      <w:r w:rsidR="004A657F" w:rsidRPr="00716921">
        <w:rPr>
          <w:rFonts w:ascii="Times New Roman" w:hAnsi="Times New Roman"/>
          <w:b/>
          <w:color w:val="000000"/>
          <w:sz w:val="24"/>
          <w:szCs w:val="24"/>
          <w:lang w:val="fr-FR"/>
        </w:rPr>
        <w:t>u service public et de l’administration </w:t>
      </w:r>
      <w:r w:rsidR="004A657F" w:rsidRPr="00716921">
        <w:rPr>
          <w:rFonts w:ascii="Times New Roman" w:hAnsi="Times New Roman"/>
          <w:color w:val="000000"/>
          <w:sz w:val="24"/>
          <w:szCs w:val="24"/>
          <w:lang w:val="fr-FR"/>
        </w:rPr>
        <w:t xml:space="preserve">: </w:t>
      </w:r>
      <w:r w:rsidR="00C311F0" w:rsidRPr="00716921">
        <w:rPr>
          <w:rFonts w:ascii="Times New Roman" w:hAnsi="Times New Roman"/>
          <w:color w:val="000000"/>
          <w:sz w:val="24"/>
          <w:szCs w:val="24"/>
          <w:lang w:val="fr-FR"/>
        </w:rPr>
        <w:t>l</w:t>
      </w:r>
      <w:r w:rsidR="00717BC6" w:rsidRPr="00716921">
        <w:rPr>
          <w:rFonts w:ascii="Times New Roman" w:hAnsi="Times New Roman"/>
          <w:color w:val="000000"/>
          <w:sz w:val="24"/>
          <w:szCs w:val="24"/>
          <w:lang w:val="fr-FR"/>
        </w:rPr>
        <w:t>a réalisation des</w:t>
      </w:r>
      <w:r w:rsidR="006B2854" w:rsidRPr="00716921">
        <w:rPr>
          <w:rFonts w:ascii="Times New Roman" w:hAnsi="Times New Roman"/>
          <w:color w:val="000000"/>
          <w:sz w:val="24"/>
          <w:szCs w:val="24"/>
          <w:lang w:val="fr-FR"/>
        </w:rPr>
        <w:t xml:space="preserve"> initiatives de </w:t>
      </w:r>
      <w:r w:rsidR="00C311F0" w:rsidRPr="00716921">
        <w:rPr>
          <w:rFonts w:ascii="Times New Roman" w:hAnsi="Times New Roman"/>
          <w:color w:val="000000"/>
          <w:sz w:val="24"/>
          <w:szCs w:val="24"/>
          <w:lang w:val="fr-FR"/>
        </w:rPr>
        <w:t>réforme et de changement</w:t>
      </w:r>
      <w:r w:rsidR="006B2854" w:rsidRPr="00716921">
        <w:rPr>
          <w:rFonts w:ascii="Times New Roman" w:hAnsi="Times New Roman"/>
          <w:color w:val="000000"/>
          <w:sz w:val="24"/>
          <w:szCs w:val="24"/>
          <w:lang w:val="fr-FR"/>
        </w:rPr>
        <w:t xml:space="preserve"> </w:t>
      </w:r>
      <w:r w:rsidR="00717BC6" w:rsidRPr="00716921">
        <w:rPr>
          <w:rFonts w:ascii="Times New Roman" w:hAnsi="Times New Roman"/>
          <w:color w:val="000000"/>
          <w:sz w:val="24"/>
          <w:szCs w:val="24"/>
          <w:lang w:val="fr-FR"/>
        </w:rPr>
        <w:t xml:space="preserve">au sein de l’administration malienne </w:t>
      </w:r>
      <w:r w:rsidR="003C4EBF" w:rsidRPr="00716921">
        <w:rPr>
          <w:rFonts w:ascii="Times New Roman" w:hAnsi="Times New Roman"/>
          <w:color w:val="000000"/>
          <w:sz w:val="24"/>
          <w:szCs w:val="24"/>
          <w:lang w:val="fr-FR"/>
        </w:rPr>
        <w:t xml:space="preserve">est mitigée, certains parlant même </w:t>
      </w:r>
      <w:r w:rsidR="00436611" w:rsidRPr="00716921">
        <w:rPr>
          <w:rFonts w:ascii="Times New Roman" w:hAnsi="Times New Roman"/>
          <w:color w:val="000000"/>
          <w:sz w:val="24"/>
          <w:szCs w:val="24"/>
          <w:lang w:val="fr-FR"/>
        </w:rPr>
        <w:t>d</w:t>
      </w:r>
      <w:proofErr w:type="gramStart"/>
      <w:r w:rsidR="00436611" w:rsidRPr="00716921">
        <w:rPr>
          <w:rFonts w:ascii="Times New Roman" w:hAnsi="Times New Roman"/>
          <w:color w:val="000000"/>
          <w:sz w:val="24"/>
          <w:szCs w:val="24"/>
          <w:lang w:val="fr-FR"/>
        </w:rPr>
        <w:t>’«</w:t>
      </w:r>
      <w:proofErr w:type="gramEnd"/>
      <w:r w:rsidR="00436611" w:rsidRPr="00716921">
        <w:rPr>
          <w:rFonts w:ascii="Times New Roman" w:hAnsi="Times New Roman"/>
          <w:color w:val="000000"/>
          <w:sz w:val="24"/>
          <w:szCs w:val="24"/>
          <w:lang w:val="fr-FR"/>
        </w:rPr>
        <w:t xml:space="preserve"> une série de </w:t>
      </w:r>
      <w:r w:rsidR="003C4EBF" w:rsidRPr="00716921">
        <w:rPr>
          <w:rFonts w:ascii="Times New Roman" w:hAnsi="Times New Roman"/>
          <w:color w:val="000000"/>
          <w:sz w:val="24"/>
          <w:szCs w:val="24"/>
          <w:lang w:val="fr-FR"/>
        </w:rPr>
        <w:t>coup</w:t>
      </w:r>
      <w:r w:rsidR="00436611" w:rsidRPr="00716921">
        <w:rPr>
          <w:rFonts w:ascii="Times New Roman" w:hAnsi="Times New Roman"/>
          <w:color w:val="000000"/>
          <w:sz w:val="24"/>
          <w:szCs w:val="24"/>
          <w:lang w:val="fr-FR"/>
        </w:rPr>
        <w:t>s</w:t>
      </w:r>
      <w:r w:rsidR="003C4EBF" w:rsidRPr="00716921">
        <w:rPr>
          <w:rFonts w:ascii="Times New Roman" w:hAnsi="Times New Roman"/>
          <w:color w:val="000000"/>
          <w:sz w:val="24"/>
          <w:szCs w:val="24"/>
          <w:lang w:val="fr-FR"/>
        </w:rPr>
        <w:t xml:space="preserve"> d’</w:t>
      </w:r>
      <w:r w:rsidR="00B67A89" w:rsidRPr="00716921">
        <w:rPr>
          <w:rFonts w:ascii="Times New Roman" w:hAnsi="Times New Roman"/>
          <w:color w:val="000000"/>
          <w:sz w:val="24"/>
          <w:szCs w:val="24"/>
          <w:lang w:val="fr-FR"/>
        </w:rPr>
        <w:t>épée</w:t>
      </w:r>
      <w:r w:rsidR="003C4EBF" w:rsidRPr="00716921">
        <w:rPr>
          <w:rFonts w:ascii="Times New Roman" w:hAnsi="Times New Roman"/>
          <w:color w:val="000000"/>
          <w:sz w:val="24"/>
          <w:szCs w:val="24"/>
          <w:lang w:val="fr-FR"/>
        </w:rPr>
        <w:t xml:space="preserve"> successif</w:t>
      </w:r>
      <w:r w:rsidR="00436611" w:rsidRPr="00716921">
        <w:rPr>
          <w:rFonts w:ascii="Times New Roman" w:hAnsi="Times New Roman"/>
          <w:color w:val="000000"/>
          <w:sz w:val="24"/>
          <w:szCs w:val="24"/>
          <w:lang w:val="fr-FR"/>
        </w:rPr>
        <w:t>s</w:t>
      </w:r>
      <w:r w:rsidR="003C4EBF" w:rsidRPr="00716921">
        <w:rPr>
          <w:rFonts w:ascii="Times New Roman" w:hAnsi="Times New Roman"/>
          <w:color w:val="000000"/>
          <w:sz w:val="24"/>
          <w:szCs w:val="24"/>
          <w:lang w:val="fr-FR"/>
        </w:rPr>
        <w:t xml:space="preserve"> dans l’eau</w:t>
      </w:r>
      <w:r w:rsidR="00A05E85" w:rsidRPr="00716921">
        <w:rPr>
          <w:rStyle w:val="Appelnotedebasdep"/>
          <w:rFonts w:ascii="Times New Roman" w:hAnsi="Times New Roman"/>
          <w:color w:val="000000"/>
          <w:sz w:val="24"/>
          <w:szCs w:val="24"/>
          <w:lang w:val="fr-FR"/>
        </w:rPr>
        <w:footnoteReference w:id="6"/>
      </w:r>
      <w:r w:rsidR="00B67A89" w:rsidRPr="00716921">
        <w:rPr>
          <w:rFonts w:ascii="Times New Roman" w:hAnsi="Times New Roman"/>
          <w:color w:val="000000"/>
          <w:sz w:val="24"/>
          <w:szCs w:val="24"/>
          <w:lang w:val="fr-FR"/>
        </w:rPr>
        <w:t> ».</w:t>
      </w:r>
      <w:r w:rsidR="00A549DF" w:rsidRPr="00716921">
        <w:rPr>
          <w:rFonts w:ascii="Times New Roman" w:hAnsi="Times New Roman"/>
          <w:color w:val="000000"/>
          <w:sz w:val="24"/>
          <w:szCs w:val="24"/>
          <w:lang w:val="fr-FR"/>
        </w:rPr>
        <w:t xml:space="preserve"> Ce bilan mitigé des réformes serait lié entre autres à l’instabilité </w:t>
      </w:r>
      <w:r w:rsidR="00BF21AB" w:rsidRPr="00716921">
        <w:rPr>
          <w:rFonts w:ascii="Times New Roman" w:hAnsi="Times New Roman"/>
          <w:color w:val="000000"/>
          <w:sz w:val="24"/>
          <w:szCs w:val="24"/>
          <w:lang w:val="fr-FR"/>
        </w:rPr>
        <w:t>dans la haute fonction publique</w:t>
      </w:r>
      <w:r w:rsidR="000635B2" w:rsidRPr="00716921">
        <w:rPr>
          <w:rFonts w:ascii="Times New Roman" w:hAnsi="Times New Roman"/>
          <w:color w:val="000000"/>
          <w:sz w:val="24"/>
          <w:szCs w:val="24"/>
          <w:lang w:val="fr-FR"/>
        </w:rPr>
        <w:t xml:space="preserve">, mais aussi à la faiblesse des capacités </w:t>
      </w:r>
      <w:r w:rsidR="00D71FF2" w:rsidRPr="00716921">
        <w:rPr>
          <w:rFonts w:ascii="Times New Roman" w:hAnsi="Times New Roman"/>
          <w:color w:val="000000"/>
          <w:sz w:val="24"/>
          <w:szCs w:val="24"/>
          <w:lang w:val="fr-FR"/>
        </w:rPr>
        <w:t xml:space="preserve">de pilotage des différents chantiers de réforme et de gestion du changement. </w:t>
      </w:r>
      <w:r w:rsidR="007366D8" w:rsidRPr="00716921">
        <w:rPr>
          <w:rFonts w:ascii="Times New Roman" w:hAnsi="Times New Roman"/>
          <w:color w:val="000000"/>
          <w:sz w:val="24"/>
          <w:szCs w:val="24"/>
          <w:lang w:val="fr-FR"/>
        </w:rPr>
        <w:t xml:space="preserve">Il s’agit donc de </w:t>
      </w:r>
      <w:r w:rsidR="00DE3330" w:rsidRPr="00716921">
        <w:rPr>
          <w:rFonts w:ascii="Times New Roman" w:hAnsi="Times New Roman"/>
          <w:color w:val="000000"/>
          <w:sz w:val="24"/>
          <w:szCs w:val="24"/>
          <w:lang w:val="fr-FR"/>
        </w:rPr>
        <w:t>créer les conditions d</w:t>
      </w:r>
      <w:r w:rsidR="00BD5D47" w:rsidRPr="00716921">
        <w:rPr>
          <w:rFonts w:ascii="Times New Roman" w:hAnsi="Times New Roman"/>
          <w:color w:val="000000"/>
          <w:sz w:val="24"/>
          <w:szCs w:val="24"/>
          <w:lang w:val="fr-FR"/>
        </w:rPr>
        <w:t xml:space="preserve">’un management vertueux des </w:t>
      </w:r>
      <w:r w:rsidR="00D07E80" w:rsidRPr="00716921">
        <w:rPr>
          <w:rFonts w:ascii="Times New Roman" w:hAnsi="Times New Roman"/>
          <w:color w:val="000000"/>
          <w:sz w:val="24"/>
          <w:szCs w:val="24"/>
          <w:lang w:val="fr-FR"/>
        </w:rPr>
        <w:t>chantiers à travers une stratégie de stabilisation de l</w:t>
      </w:r>
      <w:r w:rsidR="00653FDF" w:rsidRPr="00716921">
        <w:rPr>
          <w:rFonts w:ascii="Times New Roman" w:hAnsi="Times New Roman"/>
          <w:color w:val="000000"/>
          <w:sz w:val="24"/>
          <w:szCs w:val="24"/>
          <w:lang w:val="fr-FR"/>
        </w:rPr>
        <w:t xml:space="preserve">a haute fonction publique ; l’élaboration et la mise en œuvre d’un </w:t>
      </w:r>
      <w:r w:rsidR="00C72F15" w:rsidRPr="00716921">
        <w:rPr>
          <w:rFonts w:ascii="Times New Roman" w:hAnsi="Times New Roman"/>
          <w:color w:val="000000"/>
          <w:sz w:val="24"/>
          <w:szCs w:val="24"/>
          <w:lang w:val="fr-FR"/>
        </w:rPr>
        <w:t>programme de formation continue</w:t>
      </w:r>
      <w:r w:rsidR="001C0B7A" w:rsidRPr="00716921">
        <w:rPr>
          <w:rFonts w:ascii="Times New Roman" w:hAnsi="Times New Roman"/>
          <w:color w:val="000000"/>
          <w:sz w:val="24"/>
          <w:szCs w:val="24"/>
          <w:lang w:val="fr-FR"/>
        </w:rPr>
        <w:t xml:space="preserve">. Cette stratégie sera soutenue par la promotion des valeurs et principes du service public et de l‘administration notamment la mise en place d’une infrastructure d’intégrité et de transparence. </w:t>
      </w:r>
      <w:r w:rsidR="00C24675" w:rsidRPr="00716921">
        <w:rPr>
          <w:rFonts w:ascii="Times New Roman" w:hAnsi="Times New Roman"/>
          <w:color w:val="000000"/>
          <w:sz w:val="24"/>
          <w:szCs w:val="24"/>
          <w:lang w:val="fr-FR"/>
        </w:rPr>
        <w:t xml:space="preserve"> </w:t>
      </w:r>
      <w:r w:rsidR="006B2854" w:rsidRPr="00716921">
        <w:rPr>
          <w:rFonts w:ascii="Times New Roman" w:hAnsi="Times New Roman"/>
          <w:color w:val="000000"/>
          <w:sz w:val="24"/>
          <w:szCs w:val="24"/>
          <w:lang w:val="fr-FR"/>
        </w:rPr>
        <w:t xml:space="preserve"> </w:t>
      </w:r>
      <w:r w:rsidR="00C311F0" w:rsidRPr="00716921">
        <w:rPr>
          <w:rFonts w:ascii="Times New Roman" w:hAnsi="Times New Roman"/>
          <w:color w:val="000000"/>
          <w:sz w:val="24"/>
          <w:szCs w:val="24"/>
          <w:lang w:val="fr-FR"/>
        </w:rPr>
        <w:t xml:space="preserve"> </w:t>
      </w:r>
    </w:p>
    <w:p w14:paraId="54BEA3B8" w14:textId="6CE52184" w:rsidR="00D34E97" w:rsidRPr="00716921" w:rsidRDefault="006F2C07">
      <w:pPr>
        <w:pStyle w:val="Paragraphedeliste"/>
        <w:numPr>
          <w:ilvl w:val="0"/>
          <w:numId w:val="3"/>
        </w:numPr>
        <w:spacing w:line="240" w:lineRule="auto"/>
        <w:jc w:val="both"/>
      </w:pPr>
      <w:r w:rsidRPr="00716921">
        <w:rPr>
          <w:rFonts w:ascii="Times New Roman" w:hAnsi="Times New Roman"/>
          <w:b/>
          <w:color w:val="000000"/>
          <w:sz w:val="24"/>
          <w:szCs w:val="24"/>
          <w:lang w:val="fr-FR"/>
        </w:rPr>
        <w:t xml:space="preserve">L’amélioration de l’accessibilité </w:t>
      </w:r>
      <w:r w:rsidR="00C164D9" w:rsidRPr="00716921">
        <w:rPr>
          <w:rFonts w:ascii="Times New Roman" w:hAnsi="Times New Roman"/>
          <w:b/>
          <w:color w:val="000000"/>
          <w:sz w:val="24"/>
          <w:szCs w:val="24"/>
          <w:lang w:val="fr-FR"/>
        </w:rPr>
        <w:t xml:space="preserve">aux </w:t>
      </w:r>
      <w:r w:rsidRPr="00716921">
        <w:rPr>
          <w:rFonts w:ascii="Times New Roman" w:hAnsi="Times New Roman"/>
          <w:b/>
          <w:color w:val="000000"/>
          <w:sz w:val="24"/>
          <w:szCs w:val="24"/>
          <w:lang w:val="fr-FR"/>
        </w:rPr>
        <w:t>services publics de base</w:t>
      </w:r>
      <w:r w:rsidRPr="00716921">
        <w:rPr>
          <w:rFonts w:ascii="Times New Roman" w:hAnsi="Times New Roman"/>
          <w:color w:val="000000"/>
          <w:sz w:val="24"/>
          <w:szCs w:val="24"/>
          <w:lang w:val="fr-FR"/>
        </w:rPr>
        <w:t xml:space="preserve"> : ce volet prévoit d’appuyer la promotion d’une </w:t>
      </w:r>
      <w:r w:rsidRPr="00716921">
        <w:rPr>
          <w:rFonts w:ascii="Times New Roman" w:hAnsi="Times New Roman"/>
          <w:i/>
          <w:color w:val="000000"/>
          <w:sz w:val="24"/>
          <w:szCs w:val="24"/>
          <w:lang w:val="fr-FR"/>
        </w:rPr>
        <w:t>administration électronique</w:t>
      </w:r>
      <w:r w:rsidRPr="00716921">
        <w:rPr>
          <w:rFonts w:ascii="Times New Roman" w:hAnsi="Times New Roman"/>
          <w:color w:val="000000"/>
          <w:sz w:val="24"/>
          <w:szCs w:val="24"/>
          <w:lang w:val="fr-FR"/>
        </w:rPr>
        <w:t xml:space="preserve"> par le développement de mesures qui favorisent l’accomplissement de certains actes et procédures administratives en ligne. Aussi, il vise une amélioration de la connaissance </w:t>
      </w:r>
      <w:r w:rsidR="00A1323C" w:rsidRPr="00716921">
        <w:rPr>
          <w:rFonts w:ascii="Times New Roman" w:hAnsi="Times New Roman"/>
          <w:color w:val="000000"/>
          <w:sz w:val="24"/>
          <w:szCs w:val="24"/>
          <w:lang w:val="fr-FR"/>
        </w:rPr>
        <w:t>par l</w:t>
      </w:r>
      <w:r w:rsidRPr="00716921">
        <w:rPr>
          <w:rFonts w:ascii="Times New Roman" w:hAnsi="Times New Roman"/>
          <w:color w:val="000000"/>
          <w:sz w:val="24"/>
          <w:szCs w:val="24"/>
          <w:lang w:val="fr-FR"/>
        </w:rPr>
        <w:t xml:space="preserve">es populations des actes et procédures administratives nécessaires à l’accès des services publics de base notamment la </w:t>
      </w:r>
      <w:r w:rsidRPr="00716921">
        <w:rPr>
          <w:rFonts w:ascii="Times New Roman" w:hAnsi="Times New Roman"/>
          <w:sz w:val="24"/>
          <w:szCs w:val="24"/>
          <w:lang w:val="fr-FR"/>
        </w:rPr>
        <w:t>loi 92-O18 régissant les relations entre l’Administration et les usagers des services publics et son décret d’application.</w:t>
      </w:r>
    </w:p>
    <w:p w14:paraId="1D9F1DDC" w14:textId="2CDDDCA8" w:rsidR="00D34E97" w:rsidRPr="00716921" w:rsidRDefault="006F2C07" w:rsidP="00082D88">
      <w:pPr>
        <w:pStyle w:val="Paragraphedeliste"/>
        <w:numPr>
          <w:ilvl w:val="0"/>
          <w:numId w:val="3"/>
        </w:numPr>
        <w:spacing w:line="240" w:lineRule="auto"/>
        <w:jc w:val="both"/>
        <w:rPr>
          <w:rFonts w:ascii="Times New Roman" w:hAnsi="Times New Roman"/>
          <w:sz w:val="24"/>
          <w:szCs w:val="24"/>
          <w:lang w:val="fr-FR"/>
        </w:rPr>
      </w:pPr>
      <w:r w:rsidRPr="00716921">
        <w:rPr>
          <w:rFonts w:ascii="Times New Roman" w:hAnsi="Times New Roman"/>
          <w:b/>
          <w:sz w:val="24"/>
          <w:szCs w:val="24"/>
          <w:lang w:val="fr-FR"/>
        </w:rPr>
        <w:t>L’amélioration de l’effectivité du processus de décentralisation</w:t>
      </w:r>
      <w:r w:rsidRPr="00716921">
        <w:rPr>
          <w:rFonts w:ascii="Times New Roman" w:hAnsi="Times New Roman"/>
          <w:sz w:val="24"/>
          <w:szCs w:val="24"/>
          <w:lang w:val="fr-FR"/>
        </w:rPr>
        <w:t xml:space="preserve"> : sous cet axe, il s’agira </w:t>
      </w:r>
      <w:r w:rsidR="00510FF8" w:rsidRPr="00716921">
        <w:rPr>
          <w:rFonts w:ascii="Times New Roman" w:hAnsi="Times New Roman"/>
          <w:sz w:val="24"/>
          <w:szCs w:val="24"/>
          <w:lang w:val="fr-FR"/>
        </w:rPr>
        <w:t>tout d’</w:t>
      </w:r>
      <w:r w:rsidR="00420D4A" w:rsidRPr="00716921">
        <w:rPr>
          <w:rFonts w:ascii="Times New Roman" w:hAnsi="Times New Roman"/>
          <w:sz w:val="24"/>
          <w:szCs w:val="24"/>
          <w:lang w:val="fr-FR"/>
        </w:rPr>
        <w:t xml:space="preserve">abord </w:t>
      </w:r>
      <w:r w:rsidRPr="00716921">
        <w:rPr>
          <w:rFonts w:ascii="Times New Roman" w:hAnsi="Times New Roman"/>
          <w:sz w:val="24"/>
          <w:szCs w:val="24"/>
          <w:lang w:val="fr-FR"/>
        </w:rPr>
        <w:t xml:space="preserve">d’appuyer </w:t>
      </w:r>
      <w:r w:rsidR="00E71181" w:rsidRPr="00716921">
        <w:rPr>
          <w:rFonts w:ascii="Times New Roman" w:hAnsi="Times New Roman"/>
          <w:sz w:val="24"/>
          <w:szCs w:val="24"/>
          <w:lang w:val="fr-FR"/>
        </w:rPr>
        <w:t xml:space="preserve">l’amélioration </w:t>
      </w:r>
      <w:r w:rsidR="00600F3A" w:rsidRPr="00716921">
        <w:rPr>
          <w:rFonts w:ascii="Times New Roman" w:hAnsi="Times New Roman"/>
          <w:sz w:val="24"/>
          <w:szCs w:val="24"/>
          <w:lang w:val="fr-FR"/>
        </w:rPr>
        <w:t>de la qualité</w:t>
      </w:r>
      <w:r w:rsidR="009337EA" w:rsidRPr="00716921">
        <w:rPr>
          <w:rFonts w:ascii="Times New Roman" w:hAnsi="Times New Roman"/>
          <w:sz w:val="24"/>
          <w:szCs w:val="24"/>
          <w:lang w:val="fr-FR"/>
        </w:rPr>
        <w:t xml:space="preserve"> des services rendus par les collectivités territoriales. </w:t>
      </w:r>
      <w:r w:rsidR="00157C90" w:rsidRPr="00716921">
        <w:rPr>
          <w:rFonts w:ascii="Times New Roman" w:hAnsi="Times New Roman"/>
          <w:sz w:val="24"/>
          <w:szCs w:val="24"/>
          <w:lang w:val="fr-FR"/>
        </w:rPr>
        <w:t>Dans le cadre de la mise en œuvre de l’Accord pour la paix</w:t>
      </w:r>
      <w:r w:rsidR="00DE59D7" w:rsidRPr="00716921">
        <w:rPr>
          <w:rFonts w:ascii="Times New Roman" w:hAnsi="Times New Roman"/>
          <w:sz w:val="24"/>
          <w:szCs w:val="24"/>
          <w:lang w:val="fr-FR"/>
        </w:rPr>
        <w:t>, l’</w:t>
      </w:r>
      <w:r w:rsidR="00634A7E" w:rsidRPr="00716921">
        <w:rPr>
          <w:rFonts w:ascii="Times New Roman" w:hAnsi="Times New Roman"/>
          <w:sz w:val="24"/>
          <w:szCs w:val="24"/>
          <w:lang w:val="fr-FR"/>
        </w:rPr>
        <w:t>É</w:t>
      </w:r>
      <w:r w:rsidR="00DE59D7" w:rsidRPr="00716921">
        <w:rPr>
          <w:rFonts w:ascii="Times New Roman" w:hAnsi="Times New Roman"/>
          <w:sz w:val="24"/>
          <w:szCs w:val="24"/>
          <w:lang w:val="fr-FR"/>
        </w:rPr>
        <w:t xml:space="preserve">tat a adopté </w:t>
      </w:r>
      <w:r w:rsidR="00FA12FD" w:rsidRPr="00716921">
        <w:rPr>
          <w:rFonts w:ascii="Times New Roman" w:hAnsi="Times New Roman"/>
          <w:sz w:val="24"/>
          <w:szCs w:val="24"/>
          <w:lang w:val="fr-FR"/>
        </w:rPr>
        <w:t>un d</w:t>
      </w:r>
      <w:r w:rsidR="00AE67AD" w:rsidRPr="00716921">
        <w:rPr>
          <w:rFonts w:ascii="Times New Roman" w:hAnsi="Times New Roman"/>
          <w:sz w:val="24"/>
          <w:szCs w:val="24"/>
          <w:lang w:val="fr-FR"/>
        </w:rPr>
        <w:t>écret</w:t>
      </w:r>
      <w:r w:rsidR="00FA12FD" w:rsidRPr="00716921">
        <w:rPr>
          <w:rFonts w:ascii="Times New Roman" w:hAnsi="Times New Roman"/>
          <w:sz w:val="24"/>
          <w:szCs w:val="24"/>
          <w:lang w:val="fr-FR"/>
        </w:rPr>
        <w:t xml:space="preserve"> déterminant </w:t>
      </w:r>
      <w:r w:rsidR="00EB0CF3" w:rsidRPr="00716921">
        <w:rPr>
          <w:rFonts w:ascii="Times New Roman" w:hAnsi="Times New Roman"/>
          <w:sz w:val="24"/>
          <w:szCs w:val="24"/>
          <w:lang w:val="fr-FR"/>
        </w:rPr>
        <w:t>les modalités de transfert des services déconcentrés de l’</w:t>
      </w:r>
      <w:r w:rsidR="00634A7E" w:rsidRPr="00716921">
        <w:rPr>
          <w:rFonts w:ascii="Times New Roman" w:hAnsi="Times New Roman"/>
          <w:sz w:val="24"/>
          <w:szCs w:val="24"/>
          <w:lang w:val="fr-FR"/>
        </w:rPr>
        <w:t>É</w:t>
      </w:r>
      <w:r w:rsidR="00EB0CF3" w:rsidRPr="00716921">
        <w:rPr>
          <w:rFonts w:ascii="Times New Roman" w:hAnsi="Times New Roman"/>
          <w:sz w:val="24"/>
          <w:szCs w:val="24"/>
          <w:lang w:val="fr-FR"/>
        </w:rPr>
        <w:t xml:space="preserve">tat aux collectivités </w:t>
      </w:r>
      <w:r w:rsidR="00E251ED" w:rsidRPr="00716921">
        <w:rPr>
          <w:rFonts w:ascii="Times New Roman" w:hAnsi="Times New Roman"/>
          <w:sz w:val="24"/>
          <w:szCs w:val="24"/>
          <w:lang w:val="fr-FR"/>
        </w:rPr>
        <w:t>territoriales</w:t>
      </w:r>
      <w:r w:rsidR="00EB0CF3" w:rsidRPr="00716921">
        <w:rPr>
          <w:rFonts w:ascii="Times New Roman" w:hAnsi="Times New Roman"/>
          <w:sz w:val="24"/>
          <w:szCs w:val="24"/>
          <w:lang w:val="fr-FR"/>
        </w:rPr>
        <w:t xml:space="preserve"> </w:t>
      </w:r>
      <w:r w:rsidR="00E251ED" w:rsidRPr="00716921">
        <w:rPr>
          <w:rFonts w:ascii="Times New Roman" w:hAnsi="Times New Roman"/>
          <w:sz w:val="24"/>
          <w:szCs w:val="24"/>
          <w:lang w:val="fr-FR"/>
        </w:rPr>
        <w:t>relevant de leurs domaines de compétences</w:t>
      </w:r>
      <w:r w:rsidR="00E251ED" w:rsidRPr="00716921">
        <w:rPr>
          <w:rStyle w:val="Appelnotedebasdep"/>
          <w:rFonts w:ascii="Times New Roman" w:hAnsi="Times New Roman"/>
          <w:sz w:val="24"/>
          <w:szCs w:val="24"/>
          <w:lang w:val="fr-FR"/>
        </w:rPr>
        <w:footnoteReference w:id="7"/>
      </w:r>
      <w:r w:rsidR="00E251ED" w:rsidRPr="00716921">
        <w:rPr>
          <w:rFonts w:ascii="Times New Roman" w:hAnsi="Times New Roman"/>
          <w:sz w:val="24"/>
          <w:szCs w:val="24"/>
          <w:lang w:val="fr-FR"/>
        </w:rPr>
        <w:t xml:space="preserve">. </w:t>
      </w:r>
      <w:r w:rsidR="004E2A09" w:rsidRPr="00716921">
        <w:rPr>
          <w:rFonts w:ascii="Times New Roman" w:hAnsi="Times New Roman"/>
          <w:sz w:val="24"/>
          <w:szCs w:val="24"/>
          <w:lang w:val="fr-FR"/>
        </w:rPr>
        <w:t>Il s’agira d’accompagner le processus d’opérationnalisation dudit déc</w:t>
      </w:r>
      <w:r w:rsidR="0065748B" w:rsidRPr="00716921">
        <w:rPr>
          <w:rFonts w:ascii="Times New Roman" w:hAnsi="Times New Roman"/>
          <w:sz w:val="24"/>
          <w:szCs w:val="24"/>
          <w:lang w:val="fr-FR"/>
        </w:rPr>
        <w:t>ret au niveau des départements sectoriels</w:t>
      </w:r>
      <w:r w:rsidR="003C5C81" w:rsidRPr="00716921">
        <w:rPr>
          <w:rFonts w:ascii="Times New Roman" w:hAnsi="Times New Roman"/>
          <w:sz w:val="24"/>
          <w:szCs w:val="24"/>
          <w:lang w:val="fr-FR"/>
        </w:rPr>
        <w:t>,</w:t>
      </w:r>
      <w:r w:rsidR="0065748B" w:rsidRPr="00716921">
        <w:rPr>
          <w:rFonts w:ascii="Times New Roman" w:hAnsi="Times New Roman"/>
          <w:sz w:val="24"/>
          <w:szCs w:val="24"/>
          <w:lang w:val="fr-FR"/>
        </w:rPr>
        <w:t xml:space="preserve"> don</w:t>
      </w:r>
      <w:r w:rsidR="00A130E4" w:rsidRPr="00716921">
        <w:rPr>
          <w:rFonts w:ascii="Times New Roman" w:hAnsi="Times New Roman"/>
          <w:sz w:val="24"/>
          <w:szCs w:val="24"/>
          <w:lang w:val="fr-FR"/>
        </w:rPr>
        <w:t>t 11 ciblés</w:t>
      </w:r>
      <w:r w:rsidR="00C37FC0" w:rsidRPr="00716921">
        <w:rPr>
          <w:rFonts w:ascii="Times New Roman" w:hAnsi="Times New Roman"/>
          <w:sz w:val="24"/>
          <w:szCs w:val="24"/>
          <w:lang w:val="fr-FR"/>
        </w:rPr>
        <w:t>,</w:t>
      </w:r>
      <w:r w:rsidR="00F206EE" w:rsidRPr="00716921">
        <w:rPr>
          <w:rFonts w:ascii="Times New Roman" w:hAnsi="Times New Roman"/>
          <w:sz w:val="24"/>
          <w:szCs w:val="24"/>
          <w:lang w:val="fr-FR"/>
        </w:rPr>
        <w:t xml:space="preserve"> à ce jour par le Gouvernement. </w:t>
      </w:r>
      <w:r w:rsidR="00D10B3A" w:rsidRPr="00716921">
        <w:rPr>
          <w:rFonts w:ascii="Times New Roman" w:hAnsi="Times New Roman"/>
          <w:sz w:val="24"/>
          <w:szCs w:val="24"/>
          <w:lang w:val="fr-FR"/>
        </w:rPr>
        <w:t xml:space="preserve">Ensuite, </w:t>
      </w:r>
      <w:r w:rsidR="003A597C" w:rsidRPr="00716921">
        <w:rPr>
          <w:rFonts w:ascii="Times New Roman" w:hAnsi="Times New Roman"/>
          <w:sz w:val="24"/>
          <w:szCs w:val="24"/>
          <w:lang w:val="fr-FR"/>
        </w:rPr>
        <w:t xml:space="preserve">l’axe propose le soutien au </w:t>
      </w:r>
      <w:r w:rsidR="00D10B3A" w:rsidRPr="00716921">
        <w:rPr>
          <w:rFonts w:ascii="Times New Roman" w:hAnsi="Times New Roman"/>
          <w:sz w:val="24"/>
          <w:szCs w:val="24"/>
          <w:lang w:val="fr-FR"/>
        </w:rPr>
        <w:t>renforcement de</w:t>
      </w:r>
      <w:r w:rsidR="00C92186" w:rsidRPr="00716921">
        <w:rPr>
          <w:rFonts w:ascii="Times New Roman" w:hAnsi="Times New Roman"/>
          <w:sz w:val="24"/>
          <w:szCs w:val="24"/>
          <w:lang w:val="fr-FR"/>
        </w:rPr>
        <w:t xml:space="preserve"> la gouvernance inclusive </w:t>
      </w:r>
      <w:r w:rsidR="003A597C" w:rsidRPr="00716921">
        <w:rPr>
          <w:rFonts w:ascii="Times New Roman" w:hAnsi="Times New Roman"/>
          <w:sz w:val="24"/>
          <w:szCs w:val="24"/>
          <w:lang w:val="fr-FR"/>
        </w:rPr>
        <w:t xml:space="preserve">au niveau des collectivités. </w:t>
      </w:r>
      <w:r w:rsidR="0035594B" w:rsidRPr="00716921">
        <w:rPr>
          <w:rFonts w:ascii="Times New Roman" w:hAnsi="Times New Roman"/>
          <w:sz w:val="24"/>
          <w:szCs w:val="24"/>
          <w:lang w:val="fr-FR"/>
        </w:rPr>
        <w:t>Le code des collectivités i</w:t>
      </w:r>
      <w:r w:rsidR="00D027DE" w:rsidRPr="00716921">
        <w:rPr>
          <w:rFonts w:ascii="Times New Roman" w:hAnsi="Times New Roman"/>
          <w:sz w:val="24"/>
          <w:szCs w:val="24"/>
          <w:lang w:val="fr-FR"/>
        </w:rPr>
        <w:t xml:space="preserve">nstitutionnalise </w:t>
      </w:r>
      <w:r w:rsidR="0035594B" w:rsidRPr="00716921">
        <w:rPr>
          <w:rFonts w:ascii="Times New Roman" w:hAnsi="Times New Roman"/>
          <w:sz w:val="24"/>
          <w:szCs w:val="24"/>
          <w:lang w:val="fr-FR"/>
        </w:rPr>
        <w:t xml:space="preserve">un processus de redevabilité au niveau des collectivités </w:t>
      </w:r>
      <w:r w:rsidR="00376577" w:rsidRPr="00716921">
        <w:rPr>
          <w:rFonts w:ascii="Times New Roman" w:hAnsi="Times New Roman"/>
          <w:sz w:val="24"/>
          <w:szCs w:val="24"/>
          <w:lang w:val="fr-FR"/>
        </w:rPr>
        <w:t>à travers la restitution publique.</w:t>
      </w:r>
      <w:r w:rsidR="00B43E20" w:rsidRPr="00716921">
        <w:rPr>
          <w:rFonts w:ascii="Times New Roman" w:hAnsi="Times New Roman"/>
          <w:sz w:val="24"/>
          <w:szCs w:val="24"/>
          <w:lang w:val="fr-FR"/>
        </w:rPr>
        <w:t xml:space="preserve"> Dans ce cadre, cet axe cherche </w:t>
      </w:r>
      <w:r w:rsidR="00C82190" w:rsidRPr="00716921">
        <w:rPr>
          <w:rFonts w:ascii="Times New Roman" w:hAnsi="Times New Roman"/>
          <w:sz w:val="24"/>
          <w:szCs w:val="24"/>
          <w:lang w:val="fr-FR"/>
        </w:rPr>
        <w:t xml:space="preserve">à contribuer à l’effectivité </w:t>
      </w:r>
      <w:r w:rsidR="00F001F7" w:rsidRPr="00716921">
        <w:rPr>
          <w:rFonts w:ascii="Times New Roman" w:hAnsi="Times New Roman"/>
          <w:sz w:val="24"/>
          <w:szCs w:val="24"/>
          <w:lang w:val="fr-FR"/>
        </w:rPr>
        <w:t xml:space="preserve">de </w:t>
      </w:r>
      <w:r w:rsidR="00C82190" w:rsidRPr="00716921">
        <w:rPr>
          <w:rFonts w:ascii="Times New Roman" w:hAnsi="Times New Roman"/>
          <w:sz w:val="24"/>
          <w:szCs w:val="24"/>
          <w:lang w:val="fr-FR"/>
        </w:rPr>
        <w:t xml:space="preserve">cette dynamique dans </w:t>
      </w:r>
      <w:r w:rsidR="0070301C" w:rsidRPr="00716921">
        <w:rPr>
          <w:rFonts w:ascii="Times New Roman" w:hAnsi="Times New Roman"/>
          <w:sz w:val="24"/>
          <w:szCs w:val="24"/>
          <w:lang w:val="fr-FR"/>
        </w:rPr>
        <w:t xml:space="preserve">certaines collectivités. Finalement, </w:t>
      </w:r>
      <w:r w:rsidR="004C0244" w:rsidRPr="00716921">
        <w:rPr>
          <w:rFonts w:ascii="Times New Roman" w:hAnsi="Times New Roman"/>
          <w:sz w:val="24"/>
          <w:szCs w:val="24"/>
          <w:lang w:val="fr-FR"/>
        </w:rPr>
        <w:t>il s’agira d</w:t>
      </w:r>
      <w:r w:rsidR="008B38CE" w:rsidRPr="00716921">
        <w:rPr>
          <w:rFonts w:ascii="Times New Roman" w:hAnsi="Times New Roman"/>
          <w:sz w:val="24"/>
          <w:szCs w:val="24"/>
          <w:lang w:val="fr-FR"/>
        </w:rPr>
        <w:t>e soutenir le renforcement de l’accompagnement de l’</w:t>
      </w:r>
      <w:r w:rsidR="00634A7E" w:rsidRPr="00716921">
        <w:rPr>
          <w:rFonts w:ascii="Times New Roman" w:hAnsi="Times New Roman"/>
          <w:sz w:val="24"/>
          <w:szCs w:val="24"/>
          <w:lang w:val="fr-FR"/>
        </w:rPr>
        <w:t>É</w:t>
      </w:r>
      <w:r w:rsidR="008B38CE" w:rsidRPr="00716921">
        <w:rPr>
          <w:rFonts w:ascii="Times New Roman" w:hAnsi="Times New Roman"/>
          <w:sz w:val="24"/>
          <w:szCs w:val="24"/>
          <w:lang w:val="fr-FR"/>
        </w:rPr>
        <w:t>tat aux collectivités</w:t>
      </w:r>
      <w:r w:rsidR="0020729D" w:rsidRPr="00716921">
        <w:rPr>
          <w:rFonts w:ascii="Times New Roman" w:hAnsi="Times New Roman"/>
          <w:sz w:val="24"/>
          <w:szCs w:val="24"/>
          <w:lang w:val="fr-FR"/>
        </w:rPr>
        <w:t xml:space="preserve"> à travers </w:t>
      </w:r>
      <w:r w:rsidR="00231A4E" w:rsidRPr="00716921">
        <w:rPr>
          <w:rFonts w:ascii="Times New Roman" w:hAnsi="Times New Roman"/>
          <w:sz w:val="24"/>
          <w:szCs w:val="24"/>
          <w:lang w:val="fr-FR"/>
        </w:rPr>
        <w:t xml:space="preserve">l’appui </w:t>
      </w:r>
      <w:r w:rsidR="0067545A" w:rsidRPr="00716921">
        <w:rPr>
          <w:rFonts w:ascii="Times New Roman" w:hAnsi="Times New Roman"/>
          <w:sz w:val="24"/>
          <w:szCs w:val="24"/>
          <w:lang w:val="fr-FR"/>
        </w:rPr>
        <w:t xml:space="preserve">à l’administration territoriale dans le pilotage </w:t>
      </w:r>
      <w:r w:rsidR="00E12218" w:rsidRPr="00716921">
        <w:rPr>
          <w:rFonts w:ascii="Times New Roman" w:hAnsi="Times New Roman"/>
          <w:sz w:val="24"/>
          <w:szCs w:val="24"/>
          <w:lang w:val="fr-FR"/>
        </w:rPr>
        <w:t xml:space="preserve">de la politique nationale de décentralisation </w:t>
      </w:r>
      <w:r w:rsidR="00DF1FDF" w:rsidRPr="00716921">
        <w:rPr>
          <w:rFonts w:ascii="Times New Roman" w:hAnsi="Times New Roman"/>
          <w:sz w:val="24"/>
          <w:szCs w:val="24"/>
          <w:lang w:val="fr-FR"/>
        </w:rPr>
        <w:t xml:space="preserve">et </w:t>
      </w:r>
      <w:r w:rsidR="009D47FA" w:rsidRPr="00716921">
        <w:rPr>
          <w:rFonts w:ascii="Times New Roman" w:hAnsi="Times New Roman"/>
          <w:sz w:val="24"/>
          <w:szCs w:val="24"/>
          <w:lang w:val="fr-FR"/>
        </w:rPr>
        <w:t>de contrôle</w:t>
      </w:r>
      <w:r w:rsidR="00082D88" w:rsidRPr="00716921">
        <w:rPr>
          <w:rFonts w:ascii="Times New Roman" w:hAnsi="Times New Roman"/>
          <w:sz w:val="24"/>
          <w:szCs w:val="24"/>
          <w:lang w:val="fr-FR"/>
        </w:rPr>
        <w:t xml:space="preserve"> et appui-conseil aux collectivités territoriales.</w:t>
      </w:r>
      <w:r w:rsidR="00A75A0F" w:rsidRPr="00716921">
        <w:rPr>
          <w:rFonts w:ascii="Times New Roman" w:hAnsi="Times New Roman"/>
          <w:sz w:val="24"/>
          <w:szCs w:val="24"/>
          <w:lang w:val="fr-FR"/>
        </w:rPr>
        <w:t xml:space="preserve"> </w:t>
      </w:r>
    </w:p>
    <w:p w14:paraId="6ABAC484" w14:textId="77777777" w:rsidR="00082D88" w:rsidRPr="00716921" w:rsidRDefault="00082D88" w:rsidP="00082D88">
      <w:pPr>
        <w:spacing w:line="240" w:lineRule="auto"/>
        <w:jc w:val="both"/>
        <w:rPr>
          <w:rFonts w:ascii="Times New Roman" w:hAnsi="Times New Roman"/>
          <w:sz w:val="24"/>
          <w:szCs w:val="24"/>
        </w:rPr>
      </w:pPr>
    </w:p>
    <w:p w14:paraId="7C4945A1" w14:textId="77777777" w:rsidR="00D34E97" w:rsidRPr="00716921" w:rsidRDefault="006F2C07">
      <w:pPr>
        <w:widowControl w:val="0"/>
        <w:pBdr>
          <w:top w:val="single" w:sz="4" w:space="1" w:color="D9D9D9"/>
          <w:bottom w:val="single" w:sz="4" w:space="1" w:color="D9D9D9"/>
        </w:pBdr>
        <w:shd w:val="clear" w:color="auto" w:fill="F2F2F2"/>
        <w:suppressAutoHyphens w:val="0"/>
        <w:spacing w:after="0" w:line="240" w:lineRule="auto"/>
        <w:jc w:val="both"/>
        <w:textAlignment w:val="auto"/>
        <w:rPr>
          <w:rFonts w:eastAsia="MS Gothic" w:cs="Calibri"/>
          <w:b/>
          <w:color w:val="002060"/>
          <w:sz w:val="24"/>
          <w:lang w:eastAsia="fr-FR"/>
        </w:rPr>
      </w:pPr>
      <w:r w:rsidRPr="00716921">
        <w:rPr>
          <w:rFonts w:eastAsia="MS Gothic" w:cs="Calibri"/>
          <w:b/>
          <w:color w:val="002060"/>
          <w:sz w:val="24"/>
          <w:lang w:eastAsia="fr-FR"/>
        </w:rPr>
        <w:t>IV. Stratégie d’intervention &amp; partenariat</w:t>
      </w:r>
    </w:p>
    <w:p w14:paraId="220120FC" w14:textId="77777777" w:rsidR="00D34E97" w:rsidRPr="00716921" w:rsidRDefault="00D34E97">
      <w:pPr>
        <w:spacing w:line="240" w:lineRule="auto"/>
        <w:jc w:val="both"/>
        <w:rPr>
          <w:rFonts w:ascii="Times New Roman" w:hAnsi="Times New Roman"/>
          <w:sz w:val="24"/>
          <w:szCs w:val="24"/>
        </w:rPr>
      </w:pPr>
    </w:p>
    <w:p w14:paraId="205B21D1" w14:textId="2F9E14C4" w:rsidR="00D34E97" w:rsidRPr="00716921" w:rsidRDefault="006F2C07">
      <w:pPr>
        <w:spacing w:line="240" w:lineRule="auto"/>
        <w:jc w:val="both"/>
        <w:rPr>
          <w:rFonts w:cs="Calibri"/>
          <w:color w:val="000000"/>
          <w:sz w:val="24"/>
          <w:lang w:val="fr-BE"/>
        </w:rPr>
      </w:pPr>
      <w:r w:rsidRPr="00716921">
        <w:rPr>
          <w:rFonts w:ascii="Times New Roman" w:hAnsi="Times New Roman"/>
          <w:color w:val="000000"/>
          <w:sz w:val="24"/>
          <w:szCs w:val="24"/>
        </w:rPr>
        <w:t xml:space="preserve">La mise en œuvre du Programme d’appui à l’accès </w:t>
      </w:r>
      <w:r w:rsidR="00AC188B" w:rsidRPr="00716921">
        <w:rPr>
          <w:rFonts w:ascii="Times New Roman" w:hAnsi="Times New Roman"/>
          <w:color w:val="000000"/>
          <w:sz w:val="24"/>
          <w:szCs w:val="24"/>
        </w:rPr>
        <w:t>aux</w:t>
      </w:r>
      <w:r w:rsidRPr="00716921">
        <w:rPr>
          <w:rFonts w:ascii="Times New Roman" w:hAnsi="Times New Roman"/>
          <w:color w:val="000000"/>
          <w:sz w:val="24"/>
          <w:szCs w:val="24"/>
        </w:rPr>
        <w:t xml:space="preserve"> Services Publics de Base (PASPB) se fonde </w:t>
      </w:r>
      <w:r w:rsidR="002A23BC" w:rsidRPr="00716921">
        <w:rPr>
          <w:rFonts w:ascii="Times New Roman" w:hAnsi="Times New Roman"/>
          <w:color w:val="000000"/>
          <w:sz w:val="24"/>
          <w:szCs w:val="24"/>
        </w:rPr>
        <w:t xml:space="preserve">sur </w:t>
      </w:r>
      <w:r w:rsidRPr="00716921">
        <w:rPr>
          <w:rFonts w:ascii="Times New Roman" w:hAnsi="Times New Roman"/>
          <w:color w:val="000000"/>
          <w:sz w:val="24"/>
          <w:szCs w:val="24"/>
        </w:rPr>
        <w:t xml:space="preserve">une stratégie partenariale </w:t>
      </w:r>
      <w:r w:rsidR="0057235D" w:rsidRPr="00716921">
        <w:rPr>
          <w:rFonts w:ascii="Times New Roman" w:hAnsi="Times New Roman"/>
          <w:color w:val="000000"/>
          <w:sz w:val="24"/>
          <w:szCs w:val="24"/>
        </w:rPr>
        <w:t xml:space="preserve">basée sur une vision partenariale </w:t>
      </w:r>
      <w:r w:rsidRPr="00716921">
        <w:rPr>
          <w:rFonts w:ascii="Times New Roman" w:hAnsi="Times New Roman"/>
          <w:color w:val="000000"/>
          <w:sz w:val="24"/>
          <w:szCs w:val="24"/>
        </w:rPr>
        <w:t xml:space="preserve">entre les agences du SNU et les bailleurs de fonds avec le Gouvernement du Mali. Tout d’abord, dans la perspective de One UN, le programme implique </w:t>
      </w:r>
      <w:r w:rsidR="0071283C" w:rsidRPr="00716921">
        <w:rPr>
          <w:rFonts w:ascii="Times New Roman" w:hAnsi="Times New Roman"/>
          <w:color w:val="000000"/>
          <w:sz w:val="24"/>
          <w:szCs w:val="24"/>
        </w:rPr>
        <w:t xml:space="preserve">l’engagement de </w:t>
      </w:r>
      <w:r w:rsidRPr="00716921">
        <w:rPr>
          <w:rFonts w:ascii="Times New Roman" w:hAnsi="Times New Roman"/>
          <w:color w:val="000000"/>
          <w:sz w:val="24"/>
          <w:szCs w:val="24"/>
        </w:rPr>
        <w:t xml:space="preserve">la MINUSMA notamment la Division des Affaires Politiques (DAP) et certaines Agences dont l’ONUFEMMES et l’UNICEF. </w:t>
      </w:r>
      <w:r w:rsidR="00C164D9" w:rsidRPr="00716921">
        <w:rPr>
          <w:rFonts w:ascii="Times New Roman" w:hAnsi="Times New Roman"/>
          <w:color w:val="000000"/>
          <w:sz w:val="24"/>
          <w:szCs w:val="24"/>
        </w:rPr>
        <w:t xml:space="preserve">Aussi, des synergies seront recherchées avec </w:t>
      </w:r>
      <w:r w:rsidRPr="00716921">
        <w:rPr>
          <w:rFonts w:ascii="Times New Roman" w:hAnsi="Times New Roman"/>
          <w:color w:val="000000"/>
          <w:sz w:val="24"/>
          <w:szCs w:val="24"/>
        </w:rPr>
        <w:t xml:space="preserve">d’autres partenaires techniques et financiers </w:t>
      </w:r>
      <w:r w:rsidR="00C164D9" w:rsidRPr="00716921">
        <w:rPr>
          <w:rFonts w:ascii="Times New Roman" w:hAnsi="Times New Roman"/>
          <w:color w:val="000000"/>
          <w:sz w:val="24"/>
          <w:szCs w:val="24"/>
        </w:rPr>
        <w:t xml:space="preserve">intervenant </w:t>
      </w:r>
      <w:r w:rsidRPr="00716921">
        <w:rPr>
          <w:rFonts w:ascii="Times New Roman" w:hAnsi="Times New Roman"/>
          <w:color w:val="000000"/>
          <w:sz w:val="24"/>
          <w:szCs w:val="24"/>
        </w:rPr>
        <w:t xml:space="preserve">dans le domaine de la réforme des services publics </w:t>
      </w:r>
      <w:r w:rsidR="00C164D9" w:rsidRPr="00716921">
        <w:rPr>
          <w:rFonts w:ascii="Times New Roman" w:hAnsi="Times New Roman"/>
          <w:color w:val="000000"/>
          <w:sz w:val="24"/>
          <w:szCs w:val="24"/>
        </w:rPr>
        <w:t xml:space="preserve">en vue d’une complémentarité dans les actions. </w:t>
      </w:r>
      <w:r w:rsidRPr="00716921">
        <w:rPr>
          <w:rFonts w:ascii="Times New Roman" w:hAnsi="Times New Roman"/>
          <w:color w:val="000000"/>
          <w:sz w:val="24"/>
          <w:szCs w:val="24"/>
        </w:rPr>
        <w:t xml:space="preserve">Il s’agit entre autres </w:t>
      </w:r>
      <w:r w:rsidR="00AC188B" w:rsidRPr="00716921">
        <w:rPr>
          <w:rFonts w:ascii="Times New Roman" w:hAnsi="Times New Roman"/>
          <w:color w:val="000000"/>
          <w:sz w:val="24"/>
          <w:szCs w:val="24"/>
        </w:rPr>
        <w:t xml:space="preserve">de l’UE, </w:t>
      </w:r>
      <w:r w:rsidRPr="00716921">
        <w:rPr>
          <w:rFonts w:ascii="Times New Roman" w:hAnsi="Times New Roman"/>
          <w:color w:val="000000"/>
          <w:sz w:val="24"/>
          <w:szCs w:val="24"/>
        </w:rPr>
        <w:t xml:space="preserve">du Canada, des Pays-Bas, </w:t>
      </w:r>
      <w:r w:rsidR="006D2FA0" w:rsidRPr="00716921">
        <w:rPr>
          <w:rFonts w:ascii="Times New Roman" w:hAnsi="Times New Roman"/>
          <w:color w:val="000000"/>
          <w:sz w:val="24"/>
          <w:szCs w:val="24"/>
        </w:rPr>
        <w:t xml:space="preserve">de </w:t>
      </w:r>
      <w:r w:rsidRPr="00716921">
        <w:rPr>
          <w:rFonts w:ascii="Times New Roman" w:hAnsi="Times New Roman"/>
          <w:color w:val="000000"/>
          <w:sz w:val="24"/>
          <w:szCs w:val="24"/>
        </w:rPr>
        <w:t xml:space="preserve">la Suède, </w:t>
      </w:r>
      <w:r w:rsidR="006D2FA0" w:rsidRPr="00716921">
        <w:rPr>
          <w:rFonts w:ascii="Times New Roman" w:hAnsi="Times New Roman"/>
          <w:color w:val="000000"/>
          <w:sz w:val="24"/>
          <w:szCs w:val="24"/>
        </w:rPr>
        <w:t xml:space="preserve">de </w:t>
      </w:r>
      <w:r w:rsidRPr="00716921">
        <w:rPr>
          <w:rFonts w:ascii="Times New Roman" w:hAnsi="Times New Roman"/>
          <w:color w:val="000000"/>
          <w:sz w:val="24"/>
          <w:szCs w:val="24"/>
        </w:rPr>
        <w:t xml:space="preserve">la Belgique, </w:t>
      </w:r>
      <w:r w:rsidR="006D2FA0" w:rsidRPr="00716921">
        <w:rPr>
          <w:rFonts w:ascii="Times New Roman" w:hAnsi="Times New Roman"/>
          <w:color w:val="000000"/>
          <w:sz w:val="24"/>
          <w:szCs w:val="24"/>
        </w:rPr>
        <w:t>du</w:t>
      </w:r>
      <w:r w:rsidRPr="00716921">
        <w:rPr>
          <w:rFonts w:ascii="Times New Roman" w:hAnsi="Times New Roman"/>
          <w:color w:val="000000"/>
          <w:sz w:val="24"/>
          <w:szCs w:val="24"/>
        </w:rPr>
        <w:t xml:space="preserve"> Danemark, </w:t>
      </w:r>
      <w:r w:rsidR="00D86E46" w:rsidRPr="00716921">
        <w:rPr>
          <w:rFonts w:ascii="Times New Roman" w:hAnsi="Times New Roman"/>
          <w:color w:val="000000"/>
          <w:sz w:val="24"/>
          <w:szCs w:val="24"/>
        </w:rPr>
        <w:t xml:space="preserve">du </w:t>
      </w:r>
      <w:r w:rsidRPr="00716921">
        <w:rPr>
          <w:rFonts w:ascii="Times New Roman" w:hAnsi="Times New Roman"/>
          <w:color w:val="000000"/>
          <w:sz w:val="24"/>
          <w:szCs w:val="24"/>
        </w:rPr>
        <w:t xml:space="preserve">Luxembourg, </w:t>
      </w:r>
      <w:r w:rsidR="00D86E46" w:rsidRPr="00716921">
        <w:rPr>
          <w:rFonts w:ascii="Times New Roman" w:hAnsi="Times New Roman"/>
          <w:color w:val="000000"/>
          <w:sz w:val="24"/>
          <w:szCs w:val="24"/>
        </w:rPr>
        <w:t xml:space="preserve">de </w:t>
      </w:r>
      <w:r w:rsidRPr="00716921">
        <w:rPr>
          <w:rFonts w:ascii="Times New Roman" w:hAnsi="Times New Roman"/>
          <w:color w:val="000000"/>
          <w:sz w:val="24"/>
          <w:szCs w:val="24"/>
        </w:rPr>
        <w:t xml:space="preserve">l’USAID et </w:t>
      </w:r>
      <w:r w:rsidR="00D86E46" w:rsidRPr="00716921">
        <w:rPr>
          <w:rFonts w:ascii="Times New Roman" w:hAnsi="Times New Roman"/>
          <w:color w:val="000000"/>
          <w:sz w:val="24"/>
          <w:szCs w:val="24"/>
        </w:rPr>
        <w:t xml:space="preserve">de </w:t>
      </w:r>
      <w:r w:rsidRPr="00716921">
        <w:rPr>
          <w:rFonts w:ascii="Times New Roman" w:hAnsi="Times New Roman"/>
          <w:color w:val="000000"/>
          <w:sz w:val="24"/>
          <w:szCs w:val="24"/>
        </w:rPr>
        <w:t>l</w:t>
      </w:r>
      <w:r w:rsidR="00B933AC" w:rsidRPr="00716921">
        <w:rPr>
          <w:rFonts w:ascii="Times New Roman" w:hAnsi="Times New Roman"/>
          <w:color w:val="000000"/>
          <w:sz w:val="24"/>
          <w:szCs w:val="24"/>
        </w:rPr>
        <w:t>a France</w:t>
      </w:r>
      <w:r w:rsidRPr="00716921">
        <w:rPr>
          <w:rFonts w:ascii="Times New Roman" w:hAnsi="Times New Roman"/>
          <w:color w:val="000000"/>
          <w:sz w:val="24"/>
          <w:szCs w:val="24"/>
        </w:rPr>
        <w:t>, etc.</w:t>
      </w:r>
      <w:r w:rsidRPr="00716921">
        <w:rPr>
          <w:rFonts w:cs="Calibri"/>
          <w:color w:val="000000"/>
          <w:sz w:val="24"/>
          <w:lang w:val="fr-BE"/>
        </w:rPr>
        <w:t xml:space="preserve">  </w:t>
      </w:r>
    </w:p>
    <w:p w14:paraId="5E8F7E3D" w14:textId="77777777" w:rsidR="00F94FA9" w:rsidRPr="00716921" w:rsidRDefault="00F94FA9">
      <w:pPr>
        <w:spacing w:line="240" w:lineRule="auto"/>
        <w:jc w:val="both"/>
      </w:pPr>
    </w:p>
    <w:p w14:paraId="632D003A" w14:textId="2AD8F5F3" w:rsidR="00D34E97" w:rsidRPr="00716921" w:rsidRDefault="006F2C07">
      <w:pPr>
        <w:spacing w:line="240" w:lineRule="auto"/>
        <w:jc w:val="both"/>
      </w:pPr>
      <w:r w:rsidRPr="00716921">
        <w:rPr>
          <w:rFonts w:ascii="Times New Roman" w:hAnsi="Times New Roman"/>
          <w:color w:val="000000"/>
          <w:sz w:val="24"/>
          <w:szCs w:val="24"/>
        </w:rPr>
        <w:t xml:space="preserve">Par ailleurs, le nouveau programme s’inscrit dans la perspective des différents documents-cadres en </w:t>
      </w:r>
      <w:r w:rsidR="00486D10" w:rsidRPr="00716921">
        <w:rPr>
          <w:rFonts w:ascii="Times New Roman" w:hAnsi="Times New Roman"/>
          <w:color w:val="000000"/>
          <w:sz w:val="24"/>
          <w:szCs w:val="24"/>
        </w:rPr>
        <w:t xml:space="preserve">vigueur </w:t>
      </w:r>
      <w:r w:rsidRPr="00716921">
        <w:rPr>
          <w:rFonts w:ascii="Times New Roman" w:hAnsi="Times New Roman"/>
          <w:color w:val="000000"/>
          <w:sz w:val="24"/>
          <w:szCs w:val="24"/>
        </w:rPr>
        <w:t xml:space="preserve">dans le pays. À cet effet, sur le plan national, le PASPB est en cohérence avec le </w:t>
      </w:r>
      <w:r w:rsidRPr="00716921">
        <w:rPr>
          <w:rFonts w:ascii="Times New Roman" w:hAnsi="Times New Roman"/>
          <w:b/>
          <w:color w:val="000000"/>
          <w:sz w:val="24"/>
          <w:szCs w:val="24"/>
        </w:rPr>
        <w:t>CREDD</w:t>
      </w:r>
      <w:r w:rsidRPr="00716921">
        <w:rPr>
          <w:rFonts w:ascii="Times New Roman" w:hAnsi="Times New Roman"/>
          <w:color w:val="000000"/>
          <w:sz w:val="24"/>
          <w:szCs w:val="24"/>
        </w:rPr>
        <w:t xml:space="preserve"> notamment son objectif spécifique 1.2.1 « moderniser l’administration publique » qui comporte six axes : i) l’amélioration de l’accès des usagers au service public, (ii) la dématérialisation des actes et procédures administratives (iii) la promotion de la culture du résultat (iv) la mise en place d’une gestion des ressources humaines fondée sur les compétences et le mérite, (v) le renforcement des  capacités de formulation, de mise en œuvre et de suivi-évaluation des politiques publiques et (vi) la mise en œuvre diligente de la charte de déconcentration des services de l’État. </w:t>
      </w:r>
    </w:p>
    <w:p w14:paraId="506E9ED7" w14:textId="77777777" w:rsidR="00D34E97" w:rsidRPr="00716921" w:rsidRDefault="006F2C07">
      <w:pPr>
        <w:spacing w:line="240" w:lineRule="auto"/>
        <w:jc w:val="both"/>
        <w:rPr>
          <w:rFonts w:ascii="Times New Roman" w:hAnsi="Times New Roman"/>
          <w:color w:val="000000"/>
          <w:sz w:val="24"/>
          <w:szCs w:val="24"/>
        </w:rPr>
      </w:pPr>
      <w:r w:rsidRPr="00716921">
        <w:rPr>
          <w:rFonts w:ascii="Times New Roman" w:hAnsi="Times New Roman"/>
          <w:color w:val="000000"/>
          <w:sz w:val="24"/>
          <w:szCs w:val="24"/>
        </w:rPr>
        <w:t>En ce sens, le nouveau programme s’inscrit au niveau sectoriel dans le cadre du programme de développement institutionnel 2</w:t>
      </w:r>
      <w:r w:rsidR="00AC188B" w:rsidRPr="00716921">
        <w:rPr>
          <w:rFonts w:ascii="Times New Roman" w:hAnsi="Times New Roman"/>
          <w:color w:val="000000"/>
          <w:sz w:val="24"/>
          <w:szCs w:val="24"/>
          <w:vertAlign w:val="superscript"/>
        </w:rPr>
        <w:t>ème</w:t>
      </w:r>
      <w:r w:rsidR="00AC188B" w:rsidRPr="00716921">
        <w:rPr>
          <w:rFonts w:ascii="Times New Roman" w:hAnsi="Times New Roman"/>
          <w:color w:val="000000"/>
          <w:sz w:val="24"/>
          <w:szCs w:val="24"/>
        </w:rPr>
        <w:t xml:space="preserve"> </w:t>
      </w:r>
      <w:r w:rsidRPr="00716921">
        <w:rPr>
          <w:rFonts w:ascii="Times New Roman" w:hAnsi="Times New Roman"/>
          <w:color w:val="000000"/>
          <w:sz w:val="24"/>
          <w:szCs w:val="24"/>
        </w:rPr>
        <w:t xml:space="preserve">génération (PDI 2017-2027), du document cadre de la politique de décentralisation (DCPND 2015-2024) et du Plan de réforme de la gestion des finances publiques au Mali (PREM 2017-2021). </w:t>
      </w:r>
    </w:p>
    <w:p w14:paraId="3ED07BEB" w14:textId="3242FF6A" w:rsidR="00D34E97" w:rsidRPr="00716921" w:rsidRDefault="006F2C07">
      <w:pPr>
        <w:suppressAutoHyphens w:val="0"/>
        <w:spacing w:before="20" w:after="0" w:line="240" w:lineRule="auto"/>
        <w:jc w:val="both"/>
        <w:textAlignment w:val="auto"/>
        <w:rPr>
          <w:rFonts w:ascii="Times New Roman" w:hAnsi="Times New Roman"/>
          <w:color w:val="000000"/>
          <w:sz w:val="24"/>
          <w:szCs w:val="24"/>
        </w:rPr>
      </w:pPr>
      <w:r w:rsidRPr="00716921">
        <w:rPr>
          <w:rFonts w:ascii="Times New Roman" w:hAnsi="Times New Roman"/>
          <w:color w:val="000000"/>
          <w:sz w:val="24"/>
          <w:szCs w:val="24"/>
        </w:rPr>
        <w:t>Finalement, au niveau du SNU, le P2ASPB contribue à la réalisation des ODD 16 et particulièrement à l’effet</w:t>
      </w:r>
      <w:r w:rsidR="00A003E0" w:rsidRPr="00716921">
        <w:rPr>
          <w:rFonts w:ascii="Times New Roman" w:hAnsi="Times New Roman"/>
          <w:color w:val="000000"/>
          <w:sz w:val="24"/>
          <w:szCs w:val="24"/>
        </w:rPr>
        <w:t xml:space="preserve"> 1</w:t>
      </w:r>
      <w:r w:rsidR="00AC188B" w:rsidRPr="00716921">
        <w:rPr>
          <w:rFonts w:ascii="Times New Roman" w:hAnsi="Times New Roman"/>
          <w:color w:val="000000"/>
          <w:sz w:val="24"/>
          <w:szCs w:val="24"/>
        </w:rPr>
        <w:t xml:space="preserve"> </w:t>
      </w:r>
      <w:r w:rsidRPr="00716921">
        <w:rPr>
          <w:rFonts w:ascii="Times New Roman" w:hAnsi="Times New Roman"/>
          <w:color w:val="000000"/>
          <w:sz w:val="24"/>
          <w:szCs w:val="24"/>
        </w:rPr>
        <w:t>du l’UNSDCF (2020-2024) : « d’ici 2024, les populations vivent dans un état de droit, un environnement de paix et de redevabilité grâce à des institutions publiques fortes, des médias et une société civile exerçant leurs rôles et responsabilités pour une gouvernance efficace et inclusive ». Plus spécifiquement, le programme contribue directement à la priorité 1 du CPD (2020-2024) du PNUD notamment le produit 1 : « les populations les plus défavorisé</w:t>
      </w:r>
      <w:r w:rsidR="006A5417" w:rsidRPr="00716921">
        <w:rPr>
          <w:rFonts w:ascii="Times New Roman" w:hAnsi="Times New Roman"/>
          <w:color w:val="000000"/>
          <w:sz w:val="24"/>
          <w:szCs w:val="24"/>
        </w:rPr>
        <w:t>e</w:t>
      </w:r>
      <w:r w:rsidRPr="00716921">
        <w:rPr>
          <w:rFonts w:ascii="Times New Roman" w:hAnsi="Times New Roman"/>
          <w:color w:val="000000"/>
          <w:sz w:val="24"/>
          <w:szCs w:val="24"/>
        </w:rPr>
        <w:t>s bénéficient de services publics de qualité fournis par des institutions, des structures publiques et des autorités décentralisées locales performantes et responsables. »</w:t>
      </w:r>
    </w:p>
    <w:p w14:paraId="5F2EA9BB" w14:textId="77777777" w:rsidR="00D34E97" w:rsidRPr="00716921" w:rsidRDefault="00D34E97">
      <w:pPr>
        <w:spacing w:line="240" w:lineRule="auto"/>
        <w:jc w:val="both"/>
        <w:rPr>
          <w:rFonts w:ascii="Times New Roman" w:hAnsi="Times New Roman"/>
          <w:color w:val="000000"/>
          <w:sz w:val="24"/>
          <w:szCs w:val="24"/>
        </w:rPr>
      </w:pPr>
    </w:p>
    <w:p w14:paraId="1C325017" w14:textId="77777777" w:rsidR="00D34E97" w:rsidRPr="00716921" w:rsidRDefault="006F2C07">
      <w:pPr>
        <w:pStyle w:val="Paragraphedeliste"/>
        <w:widowControl w:val="0"/>
        <w:numPr>
          <w:ilvl w:val="1"/>
          <w:numId w:val="2"/>
        </w:numPr>
        <w:pBdr>
          <w:top w:val="single" w:sz="4" w:space="1" w:color="D9D9D9"/>
          <w:bottom w:val="single" w:sz="4" w:space="1" w:color="D9D9D9"/>
        </w:pBdr>
        <w:shd w:val="clear" w:color="auto" w:fill="F2F2F2"/>
        <w:suppressAutoHyphens w:val="0"/>
        <w:spacing w:after="0" w:line="240" w:lineRule="auto"/>
        <w:ind w:left="357" w:hanging="357"/>
        <w:jc w:val="both"/>
        <w:textAlignment w:val="auto"/>
        <w:rPr>
          <w:rFonts w:eastAsia="MS Gothic" w:cs="Calibri"/>
          <w:b/>
          <w:color w:val="002060"/>
          <w:sz w:val="24"/>
          <w:lang w:val="fr-FR" w:eastAsia="fr-FR"/>
        </w:rPr>
      </w:pPr>
      <w:r w:rsidRPr="00716921">
        <w:rPr>
          <w:rFonts w:eastAsia="MS Gothic" w:cs="Calibri"/>
          <w:b/>
          <w:color w:val="002060"/>
          <w:sz w:val="24"/>
          <w:lang w:val="fr-FR" w:eastAsia="fr-FR"/>
        </w:rPr>
        <w:t>Couverture géographie</w:t>
      </w:r>
    </w:p>
    <w:p w14:paraId="51373E13" w14:textId="77777777" w:rsidR="00D34E97" w:rsidRPr="00716921" w:rsidRDefault="00D34E97">
      <w:pPr>
        <w:spacing w:line="240" w:lineRule="auto"/>
        <w:jc w:val="both"/>
        <w:rPr>
          <w:rFonts w:ascii="Times New Roman" w:hAnsi="Times New Roman"/>
          <w:color w:val="000000"/>
          <w:sz w:val="24"/>
          <w:szCs w:val="24"/>
        </w:rPr>
      </w:pPr>
    </w:p>
    <w:p w14:paraId="4F552FD3" w14:textId="77777777" w:rsidR="00D34E97" w:rsidRPr="00716921" w:rsidRDefault="006F2C07">
      <w:pPr>
        <w:spacing w:line="240" w:lineRule="auto"/>
        <w:jc w:val="both"/>
        <w:rPr>
          <w:rFonts w:ascii="Times New Roman" w:hAnsi="Times New Roman"/>
          <w:color w:val="000000"/>
          <w:sz w:val="24"/>
          <w:szCs w:val="24"/>
        </w:rPr>
      </w:pPr>
      <w:r w:rsidRPr="00716921">
        <w:rPr>
          <w:rFonts w:ascii="Times New Roman" w:hAnsi="Times New Roman"/>
          <w:color w:val="000000"/>
          <w:sz w:val="24"/>
          <w:szCs w:val="24"/>
        </w:rPr>
        <w:t>L’envergure du programme est nationale, en ce sens qu’il cible les structures nationales et leurs démembrements au niveau national et local d’une part, et les collectivités territoriales d’autre part.</w:t>
      </w:r>
    </w:p>
    <w:p w14:paraId="12189217" w14:textId="77777777" w:rsidR="00D34E97" w:rsidRPr="00716921" w:rsidRDefault="006F2C07">
      <w:pPr>
        <w:spacing w:line="240" w:lineRule="auto"/>
        <w:jc w:val="both"/>
        <w:rPr>
          <w:rFonts w:ascii="Times New Roman" w:hAnsi="Times New Roman"/>
          <w:color w:val="000000"/>
          <w:sz w:val="24"/>
          <w:szCs w:val="24"/>
        </w:rPr>
      </w:pPr>
      <w:r w:rsidRPr="00716921">
        <w:rPr>
          <w:rFonts w:ascii="Times New Roman" w:hAnsi="Times New Roman"/>
          <w:color w:val="000000"/>
          <w:sz w:val="24"/>
          <w:szCs w:val="24"/>
        </w:rPr>
        <w:t>Les activités pilotes vont d’abord adresser le niveau national avant l’élargissement au niveau régional, puis local.</w:t>
      </w:r>
    </w:p>
    <w:p w14:paraId="53A92710" w14:textId="77777777" w:rsidR="00D34E97" w:rsidRPr="00716921" w:rsidRDefault="006F2C07">
      <w:pPr>
        <w:pStyle w:val="Paragraphedeliste"/>
        <w:widowControl w:val="0"/>
        <w:numPr>
          <w:ilvl w:val="1"/>
          <w:numId w:val="2"/>
        </w:numPr>
        <w:pBdr>
          <w:top w:val="single" w:sz="4" w:space="1" w:color="D9D9D9"/>
          <w:bottom w:val="single" w:sz="4" w:space="1" w:color="D9D9D9"/>
        </w:pBdr>
        <w:shd w:val="clear" w:color="auto" w:fill="F2F2F2"/>
        <w:suppressAutoHyphens w:val="0"/>
        <w:spacing w:after="0" w:line="240" w:lineRule="auto"/>
        <w:ind w:left="357" w:hanging="357"/>
        <w:jc w:val="both"/>
        <w:textAlignment w:val="auto"/>
        <w:rPr>
          <w:rFonts w:eastAsia="MS Gothic" w:cs="Calibri"/>
          <w:b/>
          <w:color w:val="002060"/>
          <w:sz w:val="24"/>
          <w:lang w:val="fr-FR" w:eastAsia="fr-FR"/>
        </w:rPr>
      </w:pPr>
      <w:r w:rsidRPr="00716921">
        <w:rPr>
          <w:rFonts w:eastAsia="MS Gothic" w:cs="Calibri"/>
          <w:b/>
          <w:color w:val="002060"/>
          <w:sz w:val="24"/>
          <w:lang w:val="fr-FR" w:eastAsia="fr-FR"/>
        </w:rPr>
        <w:t>Budget estimatif</w:t>
      </w:r>
    </w:p>
    <w:p w14:paraId="1B4C7F2F" w14:textId="77777777" w:rsidR="00D34E97" w:rsidRPr="00716921" w:rsidRDefault="00D34E97">
      <w:pPr>
        <w:rPr>
          <w:rFonts w:cs="Calibri"/>
          <w:sz w:val="24"/>
        </w:rPr>
      </w:pPr>
    </w:p>
    <w:tbl>
      <w:tblPr>
        <w:tblW w:w="10104" w:type="dxa"/>
        <w:jc w:val="center"/>
        <w:tblCellMar>
          <w:left w:w="10" w:type="dxa"/>
          <w:right w:w="10" w:type="dxa"/>
        </w:tblCellMar>
        <w:tblLook w:val="04A0" w:firstRow="1" w:lastRow="0" w:firstColumn="1" w:lastColumn="0" w:noHBand="0" w:noVBand="1"/>
      </w:tblPr>
      <w:tblGrid>
        <w:gridCol w:w="8794"/>
        <w:gridCol w:w="1310"/>
      </w:tblGrid>
      <w:tr w:rsidR="00D34E97" w:rsidRPr="00716921" w14:paraId="5550A06B" w14:textId="77777777">
        <w:trPr>
          <w:trHeight w:val="223"/>
          <w:jc w:val="center"/>
        </w:trPr>
        <w:tc>
          <w:tcPr>
            <w:tcW w:w="8794" w:type="dxa"/>
            <w:tcBorders>
              <w:top w:val="single" w:sz="4" w:space="0" w:color="D9D9D9"/>
              <w:left w:val="single" w:sz="4" w:space="0" w:color="D9D9D9"/>
              <w:bottom w:val="single" w:sz="4" w:space="0" w:color="D9D9D9"/>
              <w:right w:val="single" w:sz="4" w:space="0" w:color="D9D9D9"/>
            </w:tcBorders>
            <w:shd w:val="clear" w:color="auto" w:fill="F2F2F2"/>
            <w:tcMar>
              <w:top w:w="0" w:type="dxa"/>
              <w:left w:w="70" w:type="dxa"/>
              <w:bottom w:w="0" w:type="dxa"/>
              <w:right w:w="70" w:type="dxa"/>
            </w:tcMar>
            <w:vAlign w:val="center"/>
          </w:tcPr>
          <w:p w14:paraId="60B7F6E7" w14:textId="77777777" w:rsidR="00D34E97" w:rsidRPr="00716921" w:rsidRDefault="006F2C07">
            <w:pPr>
              <w:spacing w:before="60" w:after="60"/>
              <w:rPr>
                <w:rFonts w:cs="Calibri"/>
                <w:b/>
                <w:bCs/>
                <w:sz w:val="24"/>
              </w:rPr>
            </w:pPr>
            <w:r w:rsidRPr="00716921">
              <w:rPr>
                <w:rFonts w:cs="Calibri"/>
                <w:b/>
                <w:bCs/>
                <w:sz w:val="24"/>
              </w:rPr>
              <w:t>Principaux axes d’intervention du projet</w:t>
            </w:r>
          </w:p>
        </w:tc>
        <w:tc>
          <w:tcPr>
            <w:tcW w:w="1310" w:type="dxa"/>
            <w:tcBorders>
              <w:top w:val="single" w:sz="4" w:space="0" w:color="D9D9D9"/>
              <w:left w:val="single" w:sz="4" w:space="0" w:color="D9D9D9"/>
              <w:bottom w:val="single" w:sz="4" w:space="0" w:color="D9D9D9"/>
              <w:right w:val="single" w:sz="4" w:space="0" w:color="D9D9D9"/>
            </w:tcBorders>
            <w:shd w:val="clear" w:color="auto" w:fill="F2F2F2"/>
            <w:noWrap/>
            <w:tcMar>
              <w:top w:w="0" w:type="dxa"/>
              <w:left w:w="70" w:type="dxa"/>
              <w:bottom w:w="0" w:type="dxa"/>
              <w:right w:w="70" w:type="dxa"/>
            </w:tcMar>
            <w:vAlign w:val="bottom"/>
          </w:tcPr>
          <w:p w14:paraId="0C87EB0A" w14:textId="77777777" w:rsidR="00D34E97" w:rsidRPr="00716921" w:rsidRDefault="006F2C07">
            <w:pPr>
              <w:spacing w:before="60" w:after="60"/>
              <w:jc w:val="center"/>
              <w:rPr>
                <w:rFonts w:cs="Calibri"/>
                <w:b/>
                <w:bCs/>
                <w:sz w:val="24"/>
              </w:rPr>
            </w:pPr>
            <w:r w:rsidRPr="00716921">
              <w:rPr>
                <w:rFonts w:cs="Calibri"/>
                <w:b/>
                <w:bCs/>
                <w:sz w:val="24"/>
              </w:rPr>
              <w:t>Coût US$</w:t>
            </w:r>
          </w:p>
        </w:tc>
      </w:tr>
      <w:tr w:rsidR="00D34E97" w:rsidRPr="00716921" w14:paraId="25E9CCE1" w14:textId="77777777">
        <w:trPr>
          <w:trHeight w:val="54"/>
          <w:jc w:val="center"/>
        </w:trPr>
        <w:tc>
          <w:tcPr>
            <w:tcW w:w="8794" w:type="dxa"/>
            <w:tcBorders>
              <w:top w:val="single" w:sz="4" w:space="0" w:color="D9D9D9"/>
              <w:left w:val="single" w:sz="4" w:space="0" w:color="D9D9D9"/>
              <w:bottom w:val="single" w:sz="4" w:space="0" w:color="D9D9D9"/>
              <w:right w:val="single" w:sz="4" w:space="0" w:color="D9D9D9"/>
            </w:tcBorders>
            <w:shd w:val="clear" w:color="auto" w:fill="auto"/>
            <w:tcMar>
              <w:top w:w="0" w:type="dxa"/>
              <w:left w:w="70" w:type="dxa"/>
              <w:bottom w:w="0" w:type="dxa"/>
              <w:right w:w="70" w:type="dxa"/>
            </w:tcMar>
            <w:vAlign w:val="center"/>
          </w:tcPr>
          <w:p w14:paraId="11271525" w14:textId="77777777" w:rsidR="00D34E97" w:rsidRPr="00716921" w:rsidRDefault="006F2C07">
            <w:pPr>
              <w:shd w:val="clear" w:color="auto" w:fill="FFFFFF"/>
              <w:spacing w:before="60" w:after="60"/>
            </w:pPr>
            <w:r w:rsidRPr="00716921">
              <w:rPr>
                <w:rFonts w:ascii="Times New Roman" w:hAnsi="Times New Roman"/>
                <w:color w:val="000000"/>
                <w:sz w:val="24"/>
                <w:szCs w:val="24"/>
              </w:rPr>
              <w:t>L’amélioration de l’organisation des structures administratives </w:t>
            </w:r>
          </w:p>
        </w:tc>
        <w:tc>
          <w:tcPr>
            <w:tcW w:w="1310" w:type="dxa"/>
            <w:tcBorders>
              <w:top w:val="single" w:sz="4" w:space="0" w:color="D9D9D9"/>
              <w:left w:val="single" w:sz="4" w:space="0" w:color="D9D9D9"/>
              <w:bottom w:val="single" w:sz="4" w:space="0" w:color="D9D9D9"/>
              <w:right w:val="single" w:sz="4" w:space="0" w:color="D9D9D9"/>
            </w:tcBorders>
            <w:shd w:val="clear" w:color="auto" w:fill="auto"/>
            <w:noWrap/>
            <w:tcMar>
              <w:top w:w="0" w:type="dxa"/>
              <w:left w:w="70" w:type="dxa"/>
              <w:bottom w:w="0" w:type="dxa"/>
              <w:right w:w="70" w:type="dxa"/>
            </w:tcMar>
            <w:vAlign w:val="center"/>
          </w:tcPr>
          <w:p w14:paraId="2362F1FA" w14:textId="77777777" w:rsidR="00D34E97" w:rsidRPr="00716921" w:rsidRDefault="006F2C07">
            <w:pPr>
              <w:jc w:val="center"/>
              <w:rPr>
                <w:rFonts w:cs="Calibri"/>
                <w:sz w:val="24"/>
              </w:rPr>
            </w:pPr>
            <w:r w:rsidRPr="00716921">
              <w:rPr>
                <w:rFonts w:cs="Calibri"/>
                <w:sz w:val="24"/>
              </w:rPr>
              <w:t>7 000 000</w:t>
            </w:r>
          </w:p>
        </w:tc>
      </w:tr>
      <w:tr w:rsidR="00D34E97" w:rsidRPr="00716921" w14:paraId="046F6A7C" w14:textId="77777777">
        <w:trPr>
          <w:trHeight w:val="343"/>
          <w:jc w:val="center"/>
        </w:trPr>
        <w:tc>
          <w:tcPr>
            <w:tcW w:w="8794" w:type="dxa"/>
            <w:tcBorders>
              <w:top w:val="single" w:sz="4" w:space="0" w:color="D9D9D9"/>
              <w:left w:val="single" w:sz="4" w:space="0" w:color="D9D9D9"/>
              <w:bottom w:val="single" w:sz="4" w:space="0" w:color="D9D9D9"/>
              <w:right w:val="single" w:sz="4" w:space="0" w:color="D9D9D9"/>
            </w:tcBorders>
            <w:shd w:val="clear" w:color="auto" w:fill="auto"/>
            <w:tcMar>
              <w:top w:w="0" w:type="dxa"/>
              <w:left w:w="70" w:type="dxa"/>
              <w:bottom w:w="0" w:type="dxa"/>
              <w:right w:w="70" w:type="dxa"/>
            </w:tcMar>
            <w:vAlign w:val="center"/>
          </w:tcPr>
          <w:p w14:paraId="15658B0A" w14:textId="77777777" w:rsidR="00D34E97" w:rsidRPr="00716921" w:rsidRDefault="006F2C07">
            <w:pPr>
              <w:shd w:val="clear" w:color="auto" w:fill="FFFFFF"/>
              <w:spacing w:before="60" w:after="60"/>
            </w:pPr>
            <w:r w:rsidRPr="00716921">
              <w:rPr>
                <w:rFonts w:ascii="Times New Roman" w:hAnsi="Times New Roman"/>
                <w:color w:val="000000"/>
                <w:sz w:val="24"/>
                <w:szCs w:val="24"/>
              </w:rPr>
              <w:t>L’amélioration de l’accessibilité des services publics de base </w:t>
            </w:r>
          </w:p>
        </w:tc>
        <w:tc>
          <w:tcPr>
            <w:tcW w:w="1310" w:type="dxa"/>
            <w:tcBorders>
              <w:top w:val="single" w:sz="4" w:space="0" w:color="D9D9D9"/>
              <w:left w:val="single" w:sz="4" w:space="0" w:color="D9D9D9"/>
              <w:bottom w:val="single" w:sz="4" w:space="0" w:color="D9D9D9"/>
              <w:right w:val="single" w:sz="4" w:space="0" w:color="D9D9D9"/>
            </w:tcBorders>
            <w:shd w:val="clear" w:color="auto" w:fill="auto"/>
            <w:noWrap/>
            <w:tcMar>
              <w:top w:w="0" w:type="dxa"/>
              <w:left w:w="70" w:type="dxa"/>
              <w:bottom w:w="0" w:type="dxa"/>
              <w:right w:w="70" w:type="dxa"/>
            </w:tcMar>
            <w:vAlign w:val="center"/>
          </w:tcPr>
          <w:p w14:paraId="7393B40E" w14:textId="77777777" w:rsidR="00D34E97" w:rsidRPr="00716921" w:rsidRDefault="006F2C07">
            <w:pPr>
              <w:jc w:val="center"/>
              <w:rPr>
                <w:rFonts w:cs="Calibri"/>
                <w:sz w:val="24"/>
              </w:rPr>
            </w:pPr>
            <w:r w:rsidRPr="00716921">
              <w:rPr>
                <w:rFonts w:cs="Calibri"/>
                <w:sz w:val="24"/>
              </w:rPr>
              <w:t>5 000 000</w:t>
            </w:r>
          </w:p>
        </w:tc>
      </w:tr>
      <w:tr w:rsidR="00D34E97" w:rsidRPr="00716921" w14:paraId="0667DB28" w14:textId="77777777">
        <w:trPr>
          <w:trHeight w:val="181"/>
          <w:jc w:val="center"/>
        </w:trPr>
        <w:tc>
          <w:tcPr>
            <w:tcW w:w="8794" w:type="dxa"/>
            <w:tcBorders>
              <w:top w:val="single" w:sz="4" w:space="0" w:color="D9D9D9"/>
              <w:left w:val="single" w:sz="4" w:space="0" w:color="D9D9D9"/>
              <w:bottom w:val="single" w:sz="4" w:space="0" w:color="D9D9D9"/>
              <w:right w:val="single" w:sz="4" w:space="0" w:color="D9D9D9"/>
            </w:tcBorders>
            <w:shd w:val="clear" w:color="auto" w:fill="auto"/>
            <w:tcMar>
              <w:top w:w="0" w:type="dxa"/>
              <w:left w:w="70" w:type="dxa"/>
              <w:bottom w:w="0" w:type="dxa"/>
              <w:right w:w="70" w:type="dxa"/>
            </w:tcMar>
            <w:vAlign w:val="center"/>
          </w:tcPr>
          <w:p w14:paraId="4154D204" w14:textId="58030E52" w:rsidR="00D34E97" w:rsidRPr="00716921" w:rsidRDefault="00371AA1">
            <w:pPr>
              <w:shd w:val="clear" w:color="auto" w:fill="FFFFFF"/>
              <w:spacing w:before="60" w:after="60"/>
              <w:jc w:val="both"/>
            </w:pPr>
            <w:r w:rsidRPr="00716921">
              <w:rPr>
                <w:rFonts w:ascii="Times New Roman" w:hAnsi="Times New Roman"/>
                <w:sz w:val="24"/>
                <w:szCs w:val="24"/>
              </w:rPr>
              <w:t>Le renforcement des capacités stratégiques de la haute fonction publique, la promotion des valeurs et des principes du service public et de l’administration</w:t>
            </w:r>
            <w:r w:rsidRPr="00716921">
              <w:rPr>
                <w:rFonts w:ascii="Times New Roman" w:hAnsi="Times New Roman"/>
                <w:b/>
                <w:color w:val="000000"/>
                <w:sz w:val="24"/>
                <w:szCs w:val="24"/>
              </w:rPr>
              <w:t> </w:t>
            </w:r>
          </w:p>
        </w:tc>
        <w:tc>
          <w:tcPr>
            <w:tcW w:w="1310" w:type="dxa"/>
            <w:tcBorders>
              <w:top w:val="single" w:sz="4" w:space="0" w:color="D9D9D9"/>
              <w:left w:val="single" w:sz="4" w:space="0" w:color="D9D9D9"/>
              <w:bottom w:val="single" w:sz="4" w:space="0" w:color="D9D9D9"/>
              <w:right w:val="single" w:sz="4" w:space="0" w:color="D9D9D9"/>
            </w:tcBorders>
            <w:shd w:val="clear" w:color="auto" w:fill="auto"/>
            <w:noWrap/>
            <w:tcMar>
              <w:top w:w="0" w:type="dxa"/>
              <w:left w:w="70" w:type="dxa"/>
              <w:bottom w:w="0" w:type="dxa"/>
              <w:right w:w="70" w:type="dxa"/>
            </w:tcMar>
            <w:vAlign w:val="center"/>
          </w:tcPr>
          <w:p w14:paraId="6E09BB6B" w14:textId="77777777" w:rsidR="00D34E97" w:rsidRPr="00716921" w:rsidRDefault="006F2C07">
            <w:pPr>
              <w:jc w:val="center"/>
              <w:rPr>
                <w:rFonts w:cs="Calibri"/>
                <w:sz w:val="24"/>
              </w:rPr>
            </w:pPr>
            <w:r w:rsidRPr="00716921">
              <w:rPr>
                <w:rFonts w:cs="Calibri"/>
                <w:sz w:val="24"/>
              </w:rPr>
              <w:t xml:space="preserve"> 4 200 000 </w:t>
            </w:r>
          </w:p>
        </w:tc>
      </w:tr>
      <w:tr w:rsidR="00D34E97" w:rsidRPr="00716921" w14:paraId="00E26799" w14:textId="77777777">
        <w:trPr>
          <w:trHeight w:val="157"/>
          <w:jc w:val="center"/>
        </w:trPr>
        <w:tc>
          <w:tcPr>
            <w:tcW w:w="8794" w:type="dxa"/>
            <w:tcBorders>
              <w:top w:val="single" w:sz="4" w:space="0" w:color="D9D9D9"/>
              <w:left w:val="single" w:sz="4" w:space="0" w:color="D9D9D9"/>
              <w:bottom w:val="single" w:sz="4" w:space="0" w:color="D9D9D9"/>
              <w:right w:val="single" w:sz="4" w:space="0" w:color="D9D9D9"/>
            </w:tcBorders>
            <w:shd w:val="clear" w:color="auto" w:fill="auto"/>
            <w:tcMar>
              <w:top w:w="0" w:type="dxa"/>
              <w:left w:w="70" w:type="dxa"/>
              <w:bottom w:w="0" w:type="dxa"/>
              <w:right w:w="70" w:type="dxa"/>
            </w:tcMar>
            <w:vAlign w:val="center"/>
          </w:tcPr>
          <w:p w14:paraId="594F3491" w14:textId="77777777" w:rsidR="00D34E97" w:rsidRPr="00716921" w:rsidRDefault="006F2C07">
            <w:pPr>
              <w:shd w:val="clear" w:color="auto" w:fill="FFFFFF"/>
              <w:spacing w:before="60" w:after="60"/>
              <w:jc w:val="both"/>
            </w:pPr>
            <w:r w:rsidRPr="00716921">
              <w:rPr>
                <w:rFonts w:ascii="Times New Roman" w:hAnsi="Times New Roman"/>
                <w:sz w:val="24"/>
                <w:szCs w:val="24"/>
              </w:rPr>
              <w:t>L’amélioration de l’effectivité du processus de décentralisation </w:t>
            </w:r>
          </w:p>
        </w:tc>
        <w:tc>
          <w:tcPr>
            <w:tcW w:w="1310" w:type="dxa"/>
            <w:tcBorders>
              <w:top w:val="single" w:sz="4" w:space="0" w:color="D9D9D9"/>
              <w:left w:val="single" w:sz="4" w:space="0" w:color="D9D9D9"/>
              <w:bottom w:val="single" w:sz="4" w:space="0" w:color="D9D9D9"/>
              <w:right w:val="single" w:sz="4" w:space="0" w:color="D9D9D9"/>
            </w:tcBorders>
            <w:shd w:val="clear" w:color="auto" w:fill="auto"/>
            <w:noWrap/>
            <w:tcMar>
              <w:top w:w="0" w:type="dxa"/>
              <w:left w:w="70" w:type="dxa"/>
              <w:bottom w:w="0" w:type="dxa"/>
              <w:right w:w="70" w:type="dxa"/>
            </w:tcMar>
            <w:vAlign w:val="center"/>
          </w:tcPr>
          <w:p w14:paraId="4EA090DE" w14:textId="77777777" w:rsidR="00D34E97" w:rsidRPr="00716921" w:rsidRDefault="006F2C07">
            <w:pPr>
              <w:jc w:val="center"/>
              <w:rPr>
                <w:rFonts w:cs="Calibri"/>
                <w:sz w:val="24"/>
              </w:rPr>
            </w:pPr>
            <w:r w:rsidRPr="00716921">
              <w:rPr>
                <w:rFonts w:cs="Calibri"/>
                <w:sz w:val="24"/>
              </w:rPr>
              <w:t>4 000 000</w:t>
            </w:r>
          </w:p>
        </w:tc>
      </w:tr>
      <w:tr w:rsidR="00D34E97" w:rsidRPr="00716921" w14:paraId="7E8544E3" w14:textId="77777777">
        <w:trPr>
          <w:trHeight w:val="157"/>
          <w:jc w:val="center"/>
        </w:trPr>
        <w:tc>
          <w:tcPr>
            <w:tcW w:w="8794" w:type="dxa"/>
            <w:tcBorders>
              <w:top w:val="single" w:sz="4" w:space="0" w:color="D9D9D9"/>
              <w:left w:val="single" w:sz="4" w:space="0" w:color="D9D9D9"/>
              <w:bottom w:val="single" w:sz="4" w:space="0" w:color="D9D9D9"/>
              <w:right w:val="single" w:sz="4" w:space="0" w:color="D9D9D9"/>
            </w:tcBorders>
            <w:shd w:val="clear" w:color="auto" w:fill="auto"/>
            <w:tcMar>
              <w:top w:w="0" w:type="dxa"/>
              <w:left w:w="70" w:type="dxa"/>
              <w:bottom w:w="0" w:type="dxa"/>
              <w:right w:w="70" w:type="dxa"/>
            </w:tcMar>
            <w:vAlign w:val="center"/>
          </w:tcPr>
          <w:p w14:paraId="08AD0EFC" w14:textId="77777777" w:rsidR="00D34E97" w:rsidRPr="00716921" w:rsidRDefault="006F2C07">
            <w:pPr>
              <w:shd w:val="clear" w:color="auto" w:fill="FFFFFF"/>
              <w:spacing w:before="60" w:after="60"/>
              <w:jc w:val="both"/>
              <w:rPr>
                <w:rFonts w:ascii="Times New Roman" w:hAnsi="Times New Roman"/>
                <w:sz w:val="24"/>
                <w:szCs w:val="24"/>
              </w:rPr>
            </w:pPr>
            <w:r w:rsidRPr="00716921">
              <w:rPr>
                <w:rFonts w:ascii="Times New Roman" w:hAnsi="Times New Roman"/>
                <w:sz w:val="24"/>
                <w:szCs w:val="24"/>
              </w:rPr>
              <w:t xml:space="preserve">Mise en œuvre </w:t>
            </w:r>
          </w:p>
        </w:tc>
        <w:tc>
          <w:tcPr>
            <w:tcW w:w="1310" w:type="dxa"/>
            <w:tcBorders>
              <w:top w:val="single" w:sz="4" w:space="0" w:color="D9D9D9"/>
              <w:left w:val="single" w:sz="4" w:space="0" w:color="D9D9D9"/>
              <w:bottom w:val="single" w:sz="4" w:space="0" w:color="D9D9D9"/>
              <w:right w:val="single" w:sz="4" w:space="0" w:color="D9D9D9"/>
            </w:tcBorders>
            <w:shd w:val="clear" w:color="auto" w:fill="auto"/>
            <w:noWrap/>
            <w:tcMar>
              <w:top w:w="0" w:type="dxa"/>
              <w:left w:w="70" w:type="dxa"/>
              <w:bottom w:w="0" w:type="dxa"/>
              <w:right w:w="70" w:type="dxa"/>
            </w:tcMar>
            <w:vAlign w:val="center"/>
          </w:tcPr>
          <w:p w14:paraId="72248813" w14:textId="77777777" w:rsidR="00D34E97" w:rsidRPr="00716921" w:rsidRDefault="006F2C07">
            <w:pPr>
              <w:jc w:val="center"/>
              <w:rPr>
                <w:rFonts w:cs="Calibri"/>
                <w:sz w:val="24"/>
              </w:rPr>
            </w:pPr>
            <w:r w:rsidRPr="00716921">
              <w:rPr>
                <w:rFonts w:cs="Calibri"/>
                <w:sz w:val="24"/>
              </w:rPr>
              <w:t>2 020 000</w:t>
            </w:r>
          </w:p>
        </w:tc>
      </w:tr>
      <w:tr w:rsidR="00D34E97" w:rsidRPr="00716921" w14:paraId="7499802E" w14:textId="77777777">
        <w:trPr>
          <w:trHeight w:val="157"/>
          <w:jc w:val="center"/>
        </w:trPr>
        <w:tc>
          <w:tcPr>
            <w:tcW w:w="8794" w:type="dxa"/>
            <w:tcBorders>
              <w:top w:val="single" w:sz="4" w:space="0" w:color="D9D9D9"/>
              <w:left w:val="single" w:sz="4" w:space="0" w:color="D9D9D9"/>
              <w:bottom w:val="single" w:sz="4" w:space="0" w:color="D9D9D9"/>
              <w:right w:val="single" w:sz="4" w:space="0" w:color="D9D9D9"/>
            </w:tcBorders>
            <w:shd w:val="clear" w:color="auto" w:fill="auto"/>
            <w:tcMar>
              <w:top w:w="0" w:type="dxa"/>
              <w:left w:w="70" w:type="dxa"/>
              <w:bottom w:w="0" w:type="dxa"/>
              <w:right w:w="70" w:type="dxa"/>
            </w:tcMar>
            <w:vAlign w:val="center"/>
          </w:tcPr>
          <w:p w14:paraId="59B0A3FC" w14:textId="77777777" w:rsidR="00D34E97" w:rsidRPr="00716921" w:rsidRDefault="006F2C07">
            <w:pPr>
              <w:shd w:val="clear" w:color="auto" w:fill="FFFFFF"/>
              <w:spacing w:before="60" w:after="60"/>
              <w:jc w:val="both"/>
              <w:rPr>
                <w:rFonts w:ascii="Times New Roman" w:hAnsi="Times New Roman"/>
                <w:sz w:val="24"/>
                <w:szCs w:val="24"/>
              </w:rPr>
            </w:pPr>
            <w:r w:rsidRPr="00716921">
              <w:rPr>
                <w:rFonts w:ascii="Times New Roman" w:hAnsi="Times New Roman"/>
                <w:sz w:val="24"/>
                <w:szCs w:val="24"/>
              </w:rPr>
              <w:t>GMS</w:t>
            </w:r>
          </w:p>
        </w:tc>
        <w:tc>
          <w:tcPr>
            <w:tcW w:w="1310" w:type="dxa"/>
            <w:tcBorders>
              <w:top w:val="single" w:sz="4" w:space="0" w:color="D9D9D9"/>
              <w:left w:val="single" w:sz="4" w:space="0" w:color="D9D9D9"/>
              <w:bottom w:val="single" w:sz="4" w:space="0" w:color="D9D9D9"/>
              <w:right w:val="single" w:sz="4" w:space="0" w:color="D9D9D9"/>
            </w:tcBorders>
            <w:shd w:val="clear" w:color="auto" w:fill="auto"/>
            <w:noWrap/>
            <w:tcMar>
              <w:top w:w="0" w:type="dxa"/>
              <w:left w:w="70" w:type="dxa"/>
              <w:bottom w:w="0" w:type="dxa"/>
              <w:right w:w="70" w:type="dxa"/>
            </w:tcMar>
            <w:vAlign w:val="center"/>
          </w:tcPr>
          <w:p w14:paraId="688FED8F" w14:textId="77777777" w:rsidR="00D34E97" w:rsidRPr="00716921" w:rsidRDefault="006F2C07">
            <w:pPr>
              <w:jc w:val="center"/>
              <w:rPr>
                <w:rFonts w:cs="Calibri"/>
                <w:sz w:val="24"/>
              </w:rPr>
            </w:pPr>
            <w:r w:rsidRPr="00716921">
              <w:rPr>
                <w:rFonts w:cs="Calibri"/>
                <w:sz w:val="24"/>
              </w:rPr>
              <w:t>1 777 600</w:t>
            </w:r>
          </w:p>
        </w:tc>
      </w:tr>
      <w:tr w:rsidR="00D34E97" w:rsidRPr="00716921" w14:paraId="15321461" w14:textId="77777777">
        <w:trPr>
          <w:trHeight w:val="157"/>
          <w:jc w:val="center"/>
        </w:trPr>
        <w:tc>
          <w:tcPr>
            <w:tcW w:w="8794" w:type="dxa"/>
            <w:tcBorders>
              <w:top w:val="single" w:sz="4" w:space="0" w:color="D9D9D9"/>
              <w:left w:val="single" w:sz="4" w:space="0" w:color="D9D9D9"/>
              <w:bottom w:val="single" w:sz="4" w:space="0" w:color="D9D9D9"/>
              <w:right w:val="single" w:sz="4" w:space="0" w:color="D9D9D9"/>
            </w:tcBorders>
            <w:shd w:val="clear" w:color="auto" w:fill="auto"/>
            <w:tcMar>
              <w:top w:w="0" w:type="dxa"/>
              <w:left w:w="70" w:type="dxa"/>
              <w:bottom w:w="0" w:type="dxa"/>
              <w:right w:w="70" w:type="dxa"/>
            </w:tcMar>
            <w:vAlign w:val="center"/>
          </w:tcPr>
          <w:p w14:paraId="3FD760DE" w14:textId="77777777" w:rsidR="00D34E97" w:rsidRPr="00716921" w:rsidRDefault="006F2C07">
            <w:pPr>
              <w:shd w:val="clear" w:color="auto" w:fill="FFFFFF"/>
              <w:spacing w:before="60" w:after="60"/>
              <w:jc w:val="both"/>
              <w:rPr>
                <w:rFonts w:ascii="Times New Roman" w:hAnsi="Times New Roman"/>
                <w:sz w:val="24"/>
                <w:szCs w:val="24"/>
              </w:rPr>
            </w:pPr>
            <w:r w:rsidRPr="00716921">
              <w:rPr>
                <w:rFonts w:ascii="Times New Roman" w:hAnsi="Times New Roman"/>
                <w:sz w:val="24"/>
                <w:szCs w:val="24"/>
              </w:rPr>
              <w:t>Levy</w:t>
            </w:r>
          </w:p>
        </w:tc>
        <w:tc>
          <w:tcPr>
            <w:tcW w:w="1310" w:type="dxa"/>
            <w:tcBorders>
              <w:top w:val="single" w:sz="4" w:space="0" w:color="D9D9D9"/>
              <w:left w:val="single" w:sz="4" w:space="0" w:color="D9D9D9"/>
              <w:bottom w:val="single" w:sz="4" w:space="0" w:color="D9D9D9"/>
              <w:right w:val="single" w:sz="4" w:space="0" w:color="D9D9D9"/>
            </w:tcBorders>
            <w:shd w:val="clear" w:color="auto" w:fill="auto"/>
            <w:noWrap/>
            <w:tcMar>
              <w:top w:w="0" w:type="dxa"/>
              <w:left w:w="70" w:type="dxa"/>
              <w:bottom w:w="0" w:type="dxa"/>
              <w:right w:w="70" w:type="dxa"/>
            </w:tcMar>
            <w:vAlign w:val="center"/>
          </w:tcPr>
          <w:p w14:paraId="44ABFDBD" w14:textId="77777777" w:rsidR="00D34E97" w:rsidRPr="00716921" w:rsidRDefault="006F2C07">
            <w:pPr>
              <w:jc w:val="center"/>
              <w:rPr>
                <w:rFonts w:cs="Calibri"/>
                <w:sz w:val="24"/>
              </w:rPr>
            </w:pPr>
            <w:r w:rsidRPr="00716921">
              <w:rPr>
                <w:rFonts w:cs="Calibri"/>
                <w:sz w:val="24"/>
              </w:rPr>
              <w:t>239 976</w:t>
            </w:r>
          </w:p>
        </w:tc>
      </w:tr>
      <w:tr w:rsidR="00D34E97" w:rsidRPr="00A003E0" w14:paraId="67FAF40E" w14:textId="77777777">
        <w:trPr>
          <w:trHeight w:val="448"/>
          <w:jc w:val="center"/>
        </w:trPr>
        <w:tc>
          <w:tcPr>
            <w:tcW w:w="8794" w:type="dxa"/>
            <w:tcBorders>
              <w:top w:val="single" w:sz="4" w:space="0" w:color="D9D9D9"/>
              <w:left w:val="single" w:sz="4" w:space="0" w:color="D9D9D9"/>
              <w:bottom w:val="single" w:sz="4" w:space="0" w:color="D9D9D9"/>
              <w:right w:val="single" w:sz="4" w:space="0" w:color="D9D9D9"/>
            </w:tcBorders>
            <w:shd w:val="clear" w:color="auto" w:fill="F2F2F2"/>
            <w:tcMar>
              <w:top w:w="0" w:type="dxa"/>
              <w:left w:w="70" w:type="dxa"/>
              <w:bottom w:w="0" w:type="dxa"/>
              <w:right w:w="70" w:type="dxa"/>
            </w:tcMar>
            <w:vAlign w:val="center"/>
          </w:tcPr>
          <w:p w14:paraId="3D44831D" w14:textId="77777777" w:rsidR="00D34E97" w:rsidRPr="00716921" w:rsidRDefault="006F2C07">
            <w:pPr>
              <w:jc w:val="both"/>
              <w:rPr>
                <w:rFonts w:cs="Calibri"/>
                <w:b/>
                <w:bCs/>
                <w:sz w:val="24"/>
              </w:rPr>
            </w:pPr>
            <w:r w:rsidRPr="00716921">
              <w:rPr>
                <w:rFonts w:cs="Calibri"/>
                <w:b/>
                <w:bCs/>
                <w:sz w:val="24"/>
              </w:rPr>
              <w:t xml:space="preserve">Budget total </w:t>
            </w:r>
          </w:p>
        </w:tc>
        <w:tc>
          <w:tcPr>
            <w:tcW w:w="1310" w:type="dxa"/>
            <w:tcBorders>
              <w:top w:val="single" w:sz="4" w:space="0" w:color="D9D9D9"/>
              <w:left w:val="single" w:sz="4" w:space="0" w:color="D9D9D9"/>
              <w:bottom w:val="single" w:sz="4" w:space="0" w:color="D9D9D9"/>
              <w:right w:val="single" w:sz="4" w:space="0" w:color="D9D9D9"/>
            </w:tcBorders>
            <w:shd w:val="clear" w:color="auto" w:fill="F2F2F2"/>
            <w:noWrap/>
            <w:tcMar>
              <w:top w:w="0" w:type="dxa"/>
              <w:left w:w="70" w:type="dxa"/>
              <w:bottom w:w="0" w:type="dxa"/>
              <w:right w:w="70" w:type="dxa"/>
            </w:tcMar>
            <w:vAlign w:val="center"/>
          </w:tcPr>
          <w:p w14:paraId="0866BA05" w14:textId="77777777" w:rsidR="00D34E97" w:rsidRPr="00AC188B" w:rsidRDefault="00AE1F89">
            <w:pPr>
              <w:jc w:val="center"/>
              <w:rPr>
                <w:rFonts w:asciiTheme="minorHAnsi" w:hAnsiTheme="minorHAnsi" w:cstheme="minorHAnsi"/>
                <w:b/>
                <w:bCs/>
                <w:sz w:val="24"/>
              </w:rPr>
            </w:pPr>
            <w:r w:rsidRPr="00716921">
              <w:rPr>
                <w:rFonts w:asciiTheme="minorHAnsi" w:hAnsiTheme="minorHAnsi" w:cstheme="minorHAnsi"/>
                <w:b/>
                <w:sz w:val="24"/>
                <w:szCs w:val="24"/>
              </w:rPr>
              <w:t>24 237 576</w:t>
            </w:r>
          </w:p>
        </w:tc>
      </w:tr>
    </w:tbl>
    <w:p w14:paraId="2171BDAA" w14:textId="4DF704F6" w:rsidR="00D34E97" w:rsidRDefault="00D34E97">
      <w:pPr>
        <w:rPr>
          <w:rFonts w:cs="Calibri"/>
          <w:szCs w:val="20"/>
        </w:rPr>
      </w:pPr>
    </w:p>
    <w:p w14:paraId="5AF72DEC" w14:textId="77777777" w:rsidR="000F764A" w:rsidRDefault="000F764A">
      <w:pPr>
        <w:rPr>
          <w:rFonts w:cs="Calibri"/>
          <w:szCs w:val="20"/>
        </w:rPr>
        <w:sectPr w:rsidR="000F764A">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titlePg/>
        </w:sectPr>
      </w:pPr>
    </w:p>
    <w:p w14:paraId="1886261D" w14:textId="24952F9F" w:rsidR="000F764A" w:rsidRPr="00833F09" w:rsidRDefault="000F764A" w:rsidP="007B52A6">
      <w:pPr>
        <w:spacing w:line="240" w:lineRule="auto"/>
        <w:jc w:val="center"/>
        <w:rPr>
          <w:rFonts w:ascii="Times New Roman" w:hAnsi="Times New Roman"/>
          <w:b/>
          <w:sz w:val="24"/>
          <w:szCs w:val="24"/>
        </w:rPr>
      </w:pPr>
      <w:r w:rsidRPr="00833F09">
        <w:rPr>
          <w:rFonts w:ascii="Times New Roman" w:hAnsi="Times New Roman"/>
          <w:b/>
          <w:sz w:val="24"/>
          <w:szCs w:val="24"/>
        </w:rPr>
        <w:t xml:space="preserve">Projet de </w:t>
      </w:r>
      <w:proofErr w:type="spellStart"/>
      <w:r w:rsidRPr="00833F09">
        <w:rPr>
          <w:rFonts w:ascii="Times New Roman" w:hAnsi="Times New Roman"/>
          <w:b/>
          <w:sz w:val="24"/>
          <w:szCs w:val="24"/>
        </w:rPr>
        <w:t>work</w:t>
      </w:r>
      <w:proofErr w:type="spellEnd"/>
      <w:r w:rsidRPr="00833F09">
        <w:rPr>
          <w:rFonts w:ascii="Times New Roman" w:hAnsi="Times New Roman"/>
          <w:b/>
          <w:sz w:val="24"/>
          <w:szCs w:val="24"/>
        </w:rPr>
        <w:t xml:space="preserve"> plan</w:t>
      </w:r>
    </w:p>
    <w:tbl>
      <w:tblPr>
        <w:tblStyle w:val="Grilledutableau"/>
        <w:tblW w:w="14596" w:type="dxa"/>
        <w:jc w:val="center"/>
        <w:tblLook w:val="04A0" w:firstRow="1" w:lastRow="0" w:firstColumn="1" w:lastColumn="0" w:noHBand="0" w:noVBand="1"/>
      </w:tblPr>
      <w:tblGrid>
        <w:gridCol w:w="3015"/>
        <w:gridCol w:w="1551"/>
        <w:gridCol w:w="3449"/>
        <w:gridCol w:w="2045"/>
        <w:gridCol w:w="1134"/>
        <w:gridCol w:w="1134"/>
        <w:gridCol w:w="1134"/>
        <w:gridCol w:w="1134"/>
      </w:tblGrid>
      <w:tr w:rsidR="00125E3F" w:rsidRPr="00D76CD3" w14:paraId="73D4B90D" w14:textId="77777777" w:rsidTr="00125E3F">
        <w:trPr>
          <w:jc w:val="center"/>
        </w:trPr>
        <w:tc>
          <w:tcPr>
            <w:tcW w:w="3015" w:type="dxa"/>
          </w:tcPr>
          <w:p w14:paraId="4CF159D8" w14:textId="1294CD7B" w:rsidR="00812C1F" w:rsidRPr="00833F09" w:rsidRDefault="007E59B7" w:rsidP="007B52A6">
            <w:pPr>
              <w:jc w:val="center"/>
              <w:rPr>
                <w:rFonts w:ascii="Times New Roman" w:hAnsi="Times New Roman"/>
                <w:b/>
              </w:rPr>
            </w:pPr>
            <w:proofErr w:type="spellStart"/>
            <w:r w:rsidRPr="00833F09">
              <w:rPr>
                <w:rFonts w:ascii="Times New Roman" w:hAnsi="Times New Roman"/>
                <w:b/>
              </w:rPr>
              <w:t>Ouputs</w:t>
            </w:r>
            <w:proofErr w:type="spellEnd"/>
          </w:p>
        </w:tc>
        <w:tc>
          <w:tcPr>
            <w:tcW w:w="1551" w:type="dxa"/>
          </w:tcPr>
          <w:p w14:paraId="621090D4" w14:textId="75376AF2" w:rsidR="00812C1F" w:rsidRPr="00833F09" w:rsidRDefault="00FB58EF" w:rsidP="007B52A6">
            <w:pPr>
              <w:jc w:val="center"/>
              <w:rPr>
                <w:rFonts w:ascii="Times New Roman" w:hAnsi="Times New Roman"/>
                <w:b/>
              </w:rPr>
            </w:pPr>
            <w:proofErr w:type="spellStart"/>
            <w:r w:rsidRPr="00833F09">
              <w:rPr>
                <w:rFonts w:ascii="Times New Roman" w:hAnsi="Times New Roman"/>
                <w:b/>
              </w:rPr>
              <w:t>Indicators</w:t>
            </w:r>
            <w:proofErr w:type="spellEnd"/>
          </w:p>
        </w:tc>
        <w:tc>
          <w:tcPr>
            <w:tcW w:w="3449" w:type="dxa"/>
          </w:tcPr>
          <w:p w14:paraId="3090FB4B" w14:textId="051FBC10" w:rsidR="00812C1F" w:rsidRPr="00833F09" w:rsidRDefault="00FB58EF" w:rsidP="007B52A6">
            <w:pPr>
              <w:jc w:val="center"/>
              <w:rPr>
                <w:rFonts w:ascii="Times New Roman" w:hAnsi="Times New Roman"/>
                <w:b/>
              </w:rPr>
            </w:pPr>
            <w:proofErr w:type="spellStart"/>
            <w:r w:rsidRPr="00833F09">
              <w:rPr>
                <w:rFonts w:ascii="Times New Roman" w:hAnsi="Times New Roman"/>
                <w:b/>
              </w:rPr>
              <w:t>Activities</w:t>
            </w:r>
            <w:proofErr w:type="spellEnd"/>
          </w:p>
        </w:tc>
        <w:tc>
          <w:tcPr>
            <w:tcW w:w="2045" w:type="dxa"/>
          </w:tcPr>
          <w:p w14:paraId="450543C3" w14:textId="35FAF855" w:rsidR="00812C1F" w:rsidRPr="00833F09" w:rsidRDefault="00FB58EF" w:rsidP="007B52A6">
            <w:pPr>
              <w:jc w:val="center"/>
              <w:rPr>
                <w:rFonts w:ascii="Times New Roman" w:hAnsi="Times New Roman"/>
                <w:b/>
                <w:sz w:val="20"/>
                <w:szCs w:val="20"/>
              </w:rPr>
            </w:pPr>
            <w:r w:rsidRPr="00833F09">
              <w:rPr>
                <w:rFonts w:ascii="Times New Roman" w:hAnsi="Times New Roman"/>
                <w:b/>
                <w:sz w:val="20"/>
                <w:szCs w:val="20"/>
              </w:rPr>
              <w:t>Inputs</w:t>
            </w:r>
          </w:p>
        </w:tc>
        <w:tc>
          <w:tcPr>
            <w:tcW w:w="1134" w:type="dxa"/>
          </w:tcPr>
          <w:p w14:paraId="76056FAC" w14:textId="4981A9D5" w:rsidR="00812C1F" w:rsidRPr="00833F09" w:rsidRDefault="00B3548B" w:rsidP="007B52A6">
            <w:pPr>
              <w:jc w:val="center"/>
              <w:rPr>
                <w:rFonts w:ascii="Times New Roman" w:hAnsi="Times New Roman"/>
                <w:b/>
                <w:sz w:val="20"/>
                <w:szCs w:val="20"/>
              </w:rPr>
            </w:pPr>
            <w:r w:rsidRPr="00833F09">
              <w:rPr>
                <w:rFonts w:ascii="Times New Roman" w:hAnsi="Times New Roman"/>
                <w:b/>
                <w:sz w:val="20"/>
                <w:szCs w:val="20"/>
              </w:rPr>
              <w:t>2021</w:t>
            </w:r>
          </w:p>
        </w:tc>
        <w:tc>
          <w:tcPr>
            <w:tcW w:w="1134" w:type="dxa"/>
          </w:tcPr>
          <w:p w14:paraId="4999FF89" w14:textId="4DF5D6C4" w:rsidR="00812C1F" w:rsidRPr="00833F09" w:rsidRDefault="00B3548B" w:rsidP="007B52A6">
            <w:pPr>
              <w:jc w:val="center"/>
              <w:rPr>
                <w:rFonts w:ascii="Times New Roman" w:hAnsi="Times New Roman"/>
                <w:b/>
                <w:sz w:val="20"/>
                <w:szCs w:val="20"/>
              </w:rPr>
            </w:pPr>
            <w:r w:rsidRPr="00833F09">
              <w:rPr>
                <w:rFonts w:ascii="Times New Roman" w:hAnsi="Times New Roman"/>
                <w:b/>
                <w:sz w:val="20"/>
                <w:szCs w:val="20"/>
              </w:rPr>
              <w:t>2022</w:t>
            </w:r>
          </w:p>
        </w:tc>
        <w:tc>
          <w:tcPr>
            <w:tcW w:w="1134" w:type="dxa"/>
          </w:tcPr>
          <w:p w14:paraId="33ED13E5" w14:textId="42623713" w:rsidR="00812C1F" w:rsidRPr="00833F09" w:rsidRDefault="00B3548B" w:rsidP="007B52A6">
            <w:pPr>
              <w:jc w:val="center"/>
              <w:rPr>
                <w:rFonts w:ascii="Times New Roman" w:hAnsi="Times New Roman"/>
                <w:b/>
                <w:sz w:val="20"/>
                <w:szCs w:val="20"/>
              </w:rPr>
            </w:pPr>
            <w:r w:rsidRPr="00833F09">
              <w:rPr>
                <w:rFonts w:ascii="Times New Roman" w:hAnsi="Times New Roman"/>
                <w:b/>
                <w:sz w:val="20"/>
                <w:szCs w:val="20"/>
              </w:rPr>
              <w:t>2023</w:t>
            </w:r>
          </w:p>
        </w:tc>
        <w:tc>
          <w:tcPr>
            <w:tcW w:w="1134" w:type="dxa"/>
          </w:tcPr>
          <w:p w14:paraId="29210BF7" w14:textId="4173C153" w:rsidR="00812C1F" w:rsidRPr="00833F09" w:rsidRDefault="00B43A30" w:rsidP="007B52A6">
            <w:pPr>
              <w:jc w:val="center"/>
              <w:rPr>
                <w:rFonts w:ascii="Times New Roman" w:hAnsi="Times New Roman"/>
                <w:b/>
                <w:sz w:val="20"/>
                <w:szCs w:val="20"/>
              </w:rPr>
            </w:pPr>
            <w:r w:rsidRPr="00833F09">
              <w:rPr>
                <w:rFonts w:ascii="Times New Roman" w:hAnsi="Times New Roman"/>
                <w:b/>
                <w:sz w:val="20"/>
                <w:szCs w:val="20"/>
              </w:rPr>
              <w:t>2024</w:t>
            </w:r>
          </w:p>
        </w:tc>
      </w:tr>
      <w:tr w:rsidR="00833F09" w:rsidRPr="00D76CD3" w14:paraId="7652DA1C" w14:textId="77777777" w:rsidTr="00125E3F">
        <w:trPr>
          <w:jc w:val="center"/>
        </w:trPr>
        <w:tc>
          <w:tcPr>
            <w:tcW w:w="14596" w:type="dxa"/>
            <w:gridSpan w:val="8"/>
          </w:tcPr>
          <w:p w14:paraId="1735643B" w14:textId="77777777" w:rsidR="00833F09" w:rsidRPr="00D76CD3" w:rsidRDefault="00833F09" w:rsidP="007B52A6">
            <w:pPr>
              <w:jc w:val="center"/>
              <w:rPr>
                <w:rFonts w:ascii="Times New Roman" w:hAnsi="Times New Roman"/>
                <w:sz w:val="20"/>
                <w:szCs w:val="20"/>
              </w:rPr>
            </w:pPr>
          </w:p>
        </w:tc>
      </w:tr>
      <w:tr w:rsidR="00806CC2" w:rsidRPr="001646FC" w14:paraId="2B75D5DD" w14:textId="77777777" w:rsidTr="00125E3F">
        <w:trPr>
          <w:jc w:val="center"/>
        </w:trPr>
        <w:tc>
          <w:tcPr>
            <w:tcW w:w="14596" w:type="dxa"/>
            <w:gridSpan w:val="8"/>
            <w:shd w:val="clear" w:color="auto" w:fill="FFE599" w:themeFill="accent4" w:themeFillTint="66"/>
          </w:tcPr>
          <w:p w14:paraId="2511805A" w14:textId="1452C130" w:rsidR="00806CC2" w:rsidRPr="001646FC" w:rsidRDefault="00806CC2" w:rsidP="007B52A6">
            <w:pPr>
              <w:jc w:val="both"/>
              <w:rPr>
                <w:rFonts w:ascii="Times New Roman" w:hAnsi="Times New Roman"/>
                <w:b/>
                <w:sz w:val="24"/>
                <w:szCs w:val="24"/>
              </w:rPr>
            </w:pPr>
            <w:proofErr w:type="spellStart"/>
            <w:r w:rsidRPr="001646FC">
              <w:rPr>
                <w:rFonts w:ascii="Times New Roman" w:hAnsi="Times New Roman"/>
                <w:b/>
                <w:sz w:val="24"/>
                <w:szCs w:val="24"/>
              </w:rPr>
              <w:t>Outcom</w:t>
            </w:r>
            <w:proofErr w:type="spellEnd"/>
            <w:r w:rsidRPr="001646FC">
              <w:rPr>
                <w:rFonts w:ascii="Times New Roman" w:hAnsi="Times New Roman"/>
                <w:b/>
                <w:sz w:val="24"/>
                <w:szCs w:val="24"/>
              </w:rPr>
              <w:t xml:space="preserve"> 1 : l’organisation des structures administratives est adaptée au contexte de la gestion budgétaire par programme et de la décentralisation</w:t>
            </w:r>
          </w:p>
        </w:tc>
      </w:tr>
      <w:tr w:rsidR="00125E3F" w:rsidRPr="00D76CD3" w14:paraId="3AF51D2A" w14:textId="77777777" w:rsidTr="00125E3F">
        <w:trPr>
          <w:jc w:val="center"/>
        </w:trPr>
        <w:tc>
          <w:tcPr>
            <w:tcW w:w="3015" w:type="dxa"/>
            <w:vMerge w:val="restart"/>
          </w:tcPr>
          <w:p w14:paraId="629A389B" w14:textId="2FB1C4E3" w:rsidR="00B43A30" w:rsidRPr="001646FC" w:rsidRDefault="00B43A30" w:rsidP="00DB7BD2">
            <w:pPr>
              <w:rPr>
                <w:rFonts w:ascii="Times New Roman" w:hAnsi="Times New Roman"/>
              </w:rPr>
            </w:pPr>
            <w:r w:rsidRPr="005B1E05">
              <w:rPr>
                <w:rFonts w:ascii="Times New Roman" w:hAnsi="Times New Roman"/>
                <w:b/>
              </w:rPr>
              <w:t>Output 1.1</w:t>
            </w:r>
            <w:r w:rsidRPr="001646FC">
              <w:rPr>
                <w:rFonts w:ascii="Times New Roman" w:hAnsi="Times New Roman"/>
              </w:rPr>
              <w:t>: Les services d'appui aux responsables de programmes (CPS, DFM, DRH) sont réorganisés avec une revue de leurs missions</w:t>
            </w:r>
          </w:p>
        </w:tc>
        <w:tc>
          <w:tcPr>
            <w:tcW w:w="1551" w:type="dxa"/>
          </w:tcPr>
          <w:p w14:paraId="517A6A6C" w14:textId="77777777" w:rsidR="00B43A30" w:rsidRPr="001646FC" w:rsidRDefault="00B43A30" w:rsidP="00DB7BD2">
            <w:pPr>
              <w:rPr>
                <w:rFonts w:ascii="Times New Roman" w:hAnsi="Times New Roman"/>
              </w:rPr>
            </w:pPr>
          </w:p>
        </w:tc>
        <w:tc>
          <w:tcPr>
            <w:tcW w:w="3449" w:type="dxa"/>
          </w:tcPr>
          <w:p w14:paraId="6051A273" w14:textId="1C20DEEB" w:rsidR="00B43A30" w:rsidRPr="00F12FA1" w:rsidRDefault="00B43A30" w:rsidP="00DB7BD2">
            <w:pPr>
              <w:rPr>
                <w:rFonts w:ascii="Times New Roman" w:hAnsi="Times New Roman"/>
                <w:sz w:val="20"/>
                <w:szCs w:val="20"/>
              </w:rPr>
            </w:pPr>
            <w:r w:rsidRPr="00F12FA1">
              <w:rPr>
                <w:rFonts w:ascii="Times New Roman" w:hAnsi="Times New Roman"/>
                <w:sz w:val="20"/>
                <w:szCs w:val="20"/>
              </w:rPr>
              <w:t>1.1</w:t>
            </w:r>
            <w:r w:rsidR="00A95DEF" w:rsidRPr="00F12FA1">
              <w:rPr>
                <w:rFonts w:ascii="Times New Roman" w:hAnsi="Times New Roman"/>
                <w:sz w:val="20"/>
                <w:szCs w:val="20"/>
              </w:rPr>
              <w:t>.1</w:t>
            </w:r>
            <w:r w:rsidRPr="00F12FA1">
              <w:rPr>
                <w:rFonts w:ascii="Times New Roman" w:hAnsi="Times New Roman"/>
                <w:sz w:val="20"/>
                <w:szCs w:val="20"/>
              </w:rPr>
              <w:t xml:space="preserve"> réaliser une étude sur l'organisation et les missions des CPS, DFM et DRH</w:t>
            </w:r>
          </w:p>
        </w:tc>
        <w:tc>
          <w:tcPr>
            <w:tcW w:w="2045" w:type="dxa"/>
          </w:tcPr>
          <w:p w14:paraId="36D2013A" w14:textId="77777777" w:rsidR="00B43A30" w:rsidRPr="00D76CD3" w:rsidRDefault="00B43A30" w:rsidP="00DB7BD2">
            <w:pPr>
              <w:rPr>
                <w:rFonts w:ascii="Times New Roman" w:hAnsi="Times New Roman"/>
                <w:sz w:val="20"/>
                <w:szCs w:val="20"/>
              </w:rPr>
            </w:pPr>
          </w:p>
        </w:tc>
        <w:tc>
          <w:tcPr>
            <w:tcW w:w="1134" w:type="dxa"/>
          </w:tcPr>
          <w:p w14:paraId="3185D3AE" w14:textId="77777777" w:rsidR="00B43A30" w:rsidRPr="00D76CD3" w:rsidRDefault="00B43A30" w:rsidP="00DB7BD2">
            <w:pPr>
              <w:rPr>
                <w:rFonts w:ascii="Times New Roman" w:hAnsi="Times New Roman"/>
                <w:sz w:val="20"/>
                <w:szCs w:val="20"/>
              </w:rPr>
            </w:pPr>
          </w:p>
        </w:tc>
        <w:tc>
          <w:tcPr>
            <w:tcW w:w="1134" w:type="dxa"/>
          </w:tcPr>
          <w:p w14:paraId="76168A3B" w14:textId="77777777" w:rsidR="00B43A30" w:rsidRPr="00D76CD3" w:rsidRDefault="00B43A30" w:rsidP="00DB7BD2">
            <w:pPr>
              <w:rPr>
                <w:rFonts w:ascii="Times New Roman" w:hAnsi="Times New Roman"/>
                <w:sz w:val="20"/>
                <w:szCs w:val="20"/>
              </w:rPr>
            </w:pPr>
          </w:p>
        </w:tc>
        <w:tc>
          <w:tcPr>
            <w:tcW w:w="1134" w:type="dxa"/>
          </w:tcPr>
          <w:p w14:paraId="59C1F956" w14:textId="77777777" w:rsidR="00B43A30" w:rsidRPr="00D76CD3" w:rsidRDefault="00B43A30" w:rsidP="00DB7BD2">
            <w:pPr>
              <w:rPr>
                <w:rFonts w:ascii="Times New Roman" w:hAnsi="Times New Roman"/>
                <w:sz w:val="20"/>
                <w:szCs w:val="20"/>
              </w:rPr>
            </w:pPr>
          </w:p>
        </w:tc>
        <w:tc>
          <w:tcPr>
            <w:tcW w:w="1134" w:type="dxa"/>
          </w:tcPr>
          <w:p w14:paraId="0187347C" w14:textId="77777777" w:rsidR="00B43A30" w:rsidRPr="00D76CD3" w:rsidRDefault="00B43A30" w:rsidP="00DB7BD2">
            <w:pPr>
              <w:rPr>
                <w:rFonts w:ascii="Times New Roman" w:hAnsi="Times New Roman"/>
                <w:sz w:val="20"/>
                <w:szCs w:val="20"/>
              </w:rPr>
            </w:pPr>
          </w:p>
        </w:tc>
      </w:tr>
      <w:tr w:rsidR="00125E3F" w:rsidRPr="00D76CD3" w14:paraId="53E23DE1" w14:textId="77777777" w:rsidTr="00125E3F">
        <w:trPr>
          <w:jc w:val="center"/>
        </w:trPr>
        <w:tc>
          <w:tcPr>
            <w:tcW w:w="3015" w:type="dxa"/>
            <w:vMerge/>
          </w:tcPr>
          <w:p w14:paraId="686C9CDD" w14:textId="77777777" w:rsidR="00B43A30" w:rsidRPr="001646FC" w:rsidRDefault="00B43A30" w:rsidP="00DB7BD2">
            <w:pPr>
              <w:rPr>
                <w:rFonts w:ascii="Times New Roman" w:hAnsi="Times New Roman"/>
              </w:rPr>
            </w:pPr>
          </w:p>
        </w:tc>
        <w:tc>
          <w:tcPr>
            <w:tcW w:w="1551" w:type="dxa"/>
          </w:tcPr>
          <w:p w14:paraId="29CAAFF7" w14:textId="77777777" w:rsidR="00B43A30" w:rsidRPr="001646FC" w:rsidRDefault="00B43A30" w:rsidP="00DB7BD2">
            <w:pPr>
              <w:rPr>
                <w:rFonts w:ascii="Times New Roman" w:hAnsi="Times New Roman"/>
              </w:rPr>
            </w:pPr>
          </w:p>
        </w:tc>
        <w:tc>
          <w:tcPr>
            <w:tcW w:w="3449" w:type="dxa"/>
          </w:tcPr>
          <w:p w14:paraId="5FCD5CDD" w14:textId="15E5B0E9" w:rsidR="00B43A30" w:rsidRPr="00F12FA1" w:rsidRDefault="00B43A30" w:rsidP="00B43A30">
            <w:pPr>
              <w:rPr>
                <w:rFonts w:ascii="Times New Roman" w:hAnsi="Times New Roman"/>
                <w:sz w:val="20"/>
                <w:szCs w:val="20"/>
              </w:rPr>
            </w:pPr>
            <w:r w:rsidRPr="00F12FA1">
              <w:rPr>
                <w:rFonts w:ascii="Times New Roman" w:hAnsi="Times New Roman"/>
                <w:sz w:val="20"/>
                <w:szCs w:val="20"/>
              </w:rPr>
              <w:t>1.</w:t>
            </w:r>
            <w:r w:rsidR="00A95DEF" w:rsidRPr="00F12FA1">
              <w:rPr>
                <w:rFonts w:ascii="Times New Roman" w:hAnsi="Times New Roman"/>
                <w:sz w:val="20"/>
                <w:szCs w:val="20"/>
              </w:rPr>
              <w:t>1.</w:t>
            </w:r>
            <w:r w:rsidRPr="00F12FA1">
              <w:rPr>
                <w:rFonts w:ascii="Times New Roman" w:hAnsi="Times New Roman"/>
                <w:sz w:val="20"/>
                <w:szCs w:val="20"/>
              </w:rPr>
              <w:t>2 élaborer et faire adopter les textes des nouvelles structures</w:t>
            </w:r>
          </w:p>
        </w:tc>
        <w:tc>
          <w:tcPr>
            <w:tcW w:w="2045" w:type="dxa"/>
          </w:tcPr>
          <w:p w14:paraId="647064B9" w14:textId="77777777" w:rsidR="00B43A30" w:rsidRPr="00D76CD3" w:rsidRDefault="00B43A30" w:rsidP="00DB7BD2">
            <w:pPr>
              <w:rPr>
                <w:rFonts w:ascii="Times New Roman" w:hAnsi="Times New Roman"/>
                <w:sz w:val="20"/>
                <w:szCs w:val="20"/>
              </w:rPr>
            </w:pPr>
          </w:p>
        </w:tc>
        <w:tc>
          <w:tcPr>
            <w:tcW w:w="1134" w:type="dxa"/>
          </w:tcPr>
          <w:p w14:paraId="46D4F043" w14:textId="77777777" w:rsidR="00B43A30" w:rsidRPr="00D76CD3" w:rsidRDefault="00B43A30" w:rsidP="00DB7BD2">
            <w:pPr>
              <w:rPr>
                <w:rFonts w:ascii="Times New Roman" w:hAnsi="Times New Roman"/>
                <w:sz w:val="20"/>
                <w:szCs w:val="20"/>
              </w:rPr>
            </w:pPr>
          </w:p>
        </w:tc>
        <w:tc>
          <w:tcPr>
            <w:tcW w:w="1134" w:type="dxa"/>
          </w:tcPr>
          <w:p w14:paraId="7212191F" w14:textId="77777777" w:rsidR="00B43A30" w:rsidRPr="00D76CD3" w:rsidRDefault="00B43A30" w:rsidP="00DB7BD2">
            <w:pPr>
              <w:rPr>
                <w:rFonts w:ascii="Times New Roman" w:hAnsi="Times New Roman"/>
                <w:sz w:val="20"/>
                <w:szCs w:val="20"/>
              </w:rPr>
            </w:pPr>
          </w:p>
        </w:tc>
        <w:tc>
          <w:tcPr>
            <w:tcW w:w="1134" w:type="dxa"/>
          </w:tcPr>
          <w:p w14:paraId="3B5AB1D9" w14:textId="77777777" w:rsidR="00B43A30" w:rsidRPr="00D76CD3" w:rsidRDefault="00B43A30" w:rsidP="00DB7BD2">
            <w:pPr>
              <w:rPr>
                <w:rFonts w:ascii="Times New Roman" w:hAnsi="Times New Roman"/>
                <w:sz w:val="20"/>
                <w:szCs w:val="20"/>
              </w:rPr>
            </w:pPr>
          </w:p>
        </w:tc>
        <w:tc>
          <w:tcPr>
            <w:tcW w:w="1134" w:type="dxa"/>
          </w:tcPr>
          <w:p w14:paraId="2165A7C7" w14:textId="77777777" w:rsidR="00B43A30" w:rsidRPr="00D76CD3" w:rsidRDefault="00B43A30" w:rsidP="00DB7BD2">
            <w:pPr>
              <w:rPr>
                <w:rFonts w:ascii="Times New Roman" w:hAnsi="Times New Roman"/>
                <w:sz w:val="20"/>
                <w:szCs w:val="20"/>
              </w:rPr>
            </w:pPr>
          </w:p>
        </w:tc>
      </w:tr>
      <w:tr w:rsidR="00125E3F" w:rsidRPr="00D76CD3" w14:paraId="7CFCE410" w14:textId="77777777" w:rsidTr="00125E3F">
        <w:trPr>
          <w:jc w:val="center"/>
        </w:trPr>
        <w:tc>
          <w:tcPr>
            <w:tcW w:w="3015" w:type="dxa"/>
            <w:vMerge/>
          </w:tcPr>
          <w:p w14:paraId="296CD09C" w14:textId="77777777" w:rsidR="00B43A30" w:rsidRPr="001646FC" w:rsidRDefault="00B43A30" w:rsidP="00DB7BD2">
            <w:pPr>
              <w:rPr>
                <w:rFonts w:ascii="Times New Roman" w:hAnsi="Times New Roman"/>
              </w:rPr>
            </w:pPr>
          </w:p>
        </w:tc>
        <w:tc>
          <w:tcPr>
            <w:tcW w:w="1551" w:type="dxa"/>
          </w:tcPr>
          <w:p w14:paraId="4E8BAB6A" w14:textId="77777777" w:rsidR="00B43A30" w:rsidRPr="001646FC" w:rsidRDefault="00B43A30" w:rsidP="00DB7BD2">
            <w:pPr>
              <w:rPr>
                <w:rFonts w:ascii="Times New Roman" w:hAnsi="Times New Roman"/>
              </w:rPr>
            </w:pPr>
          </w:p>
        </w:tc>
        <w:tc>
          <w:tcPr>
            <w:tcW w:w="3449" w:type="dxa"/>
          </w:tcPr>
          <w:p w14:paraId="5F3BEAEE" w14:textId="2160E9B4" w:rsidR="00B43A30" w:rsidRPr="00F12FA1" w:rsidRDefault="00B43A30" w:rsidP="00DB7BD2">
            <w:pPr>
              <w:rPr>
                <w:rFonts w:ascii="Times New Roman" w:hAnsi="Times New Roman"/>
                <w:sz w:val="20"/>
                <w:szCs w:val="20"/>
              </w:rPr>
            </w:pPr>
            <w:r w:rsidRPr="00F12FA1">
              <w:rPr>
                <w:rFonts w:ascii="Times New Roman" w:hAnsi="Times New Roman"/>
                <w:sz w:val="20"/>
                <w:szCs w:val="20"/>
              </w:rPr>
              <w:t>1.</w:t>
            </w:r>
            <w:r w:rsidR="00A95DEF" w:rsidRPr="00F12FA1">
              <w:rPr>
                <w:rFonts w:ascii="Times New Roman" w:hAnsi="Times New Roman"/>
                <w:sz w:val="20"/>
                <w:szCs w:val="20"/>
              </w:rPr>
              <w:t>2.</w:t>
            </w:r>
            <w:r w:rsidRPr="00F12FA1">
              <w:rPr>
                <w:rFonts w:ascii="Times New Roman" w:hAnsi="Times New Roman"/>
                <w:sz w:val="20"/>
                <w:szCs w:val="20"/>
              </w:rPr>
              <w:t xml:space="preserve">3. </w:t>
            </w:r>
            <w:proofErr w:type="gramStart"/>
            <w:r w:rsidRPr="00F12FA1">
              <w:rPr>
                <w:rFonts w:ascii="Times New Roman" w:hAnsi="Times New Roman"/>
                <w:sz w:val="20"/>
                <w:szCs w:val="20"/>
              </w:rPr>
              <w:t>renforcer</w:t>
            </w:r>
            <w:proofErr w:type="gramEnd"/>
            <w:r w:rsidRPr="00F12FA1">
              <w:rPr>
                <w:rFonts w:ascii="Times New Roman" w:hAnsi="Times New Roman"/>
                <w:sz w:val="20"/>
                <w:szCs w:val="20"/>
              </w:rPr>
              <w:t xml:space="preserve"> les capacités des nouvelles structures</w:t>
            </w:r>
          </w:p>
        </w:tc>
        <w:tc>
          <w:tcPr>
            <w:tcW w:w="2045" w:type="dxa"/>
          </w:tcPr>
          <w:p w14:paraId="18B09C1B" w14:textId="77777777" w:rsidR="00B43A30" w:rsidRPr="00D76CD3" w:rsidRDefault="00B43A30" w:rsidP="00DB7BD2">
            <w:pPr>
              <w:rPr>
                <w:rFonts w:ascii="Times New Roman" w:hAnsi="Times New Roman"/>
                <w:sz w:val="20"/>
                <w:szCs w:val="20"/>
              </w:rPr>
            </w:pPr>
          </w:p>
        </w:tc>
        <w:tc>
          <w:tcPr>
            <w:tcW w:w="1134" w:type="dxa"/>
          </w:tcPr>
          <w:p w14:paraId="4A618403" w14:textId="77777777" w:rsidR="00B43A30" w:rsidRPr="00D76CD3" w:rsidRDefault="00B43A30" w:rsidP="00DB7BD2">
            <w:pPr>
              <w:rPr>
                <w:rFonts w:ascii="Times New Roman" w:hAnsi="Times New Roman"/>
                <w:sz w:val="20"/>
                <w:szCs w:val="20"/>
              </w:rPr>
            </w:pPr>
          </w:p>
        </w:tc>
        <w:tc>
          <w:tcPr>
            <w:tcW w:w="1134" w:type="dxa"/>
          </w:tcPr>
          <w:p w14:paraId="1A123684" w14:textId="77777777" w:rsidR="00B43A30" w:rsidRPr="00D76CD3" w:rsidRDefault="00B43A30" w:rsidP="00DB7BD2">
            <w:pPr>
              <w:rPr>
                <w:rFonts w:ascii="Times New Roman" w:hAnsi="Times New Roman"/>
                <w:sz w:val="20"/>
                <w:szCs w:val="20"/>
              </w:rPr>
            </w:pPr>
          </w:p>
        </w:tc>
        <w:tc>
          <w:tcPr>
            <w:tcW w:w="1134" w:type="dxa"/>
          </w:tcPr>
          <w:p w14:paraId="47C22E1C" w14:textId="77777777" w:rsidR="00B43A30" w:rsidRPr="00D76CD3" w:rsidRDefault="00B43A30" w:rsidP="00DB7BD2">
            <w:pPr>
              <w:rPr>
                <w:rFonts w:ascii="Times New Roman" w:hAnsi="Times New Roman"/>
                <w:sz w:val="20"/>
                <w:szCs w:val="20"/>
              </w:rPr>
            </w:pPr>
          </w:p>
        </w:tc>
        <w:tc>
          <w:tcPr>
            <w:tcW w:w="1134" w:type="dxa"/>
          </w:tcPr>
          <w:p w14:paraId="7F6FBEEF" w14:textId="77777777" w:rsidR="00B43A30" w:rsidRPr="00D76CD3" w:rsidRDefault="00B43A30" w:rsidP="00DB7BD2">
            <w:pPr>
              <w:rPr>
                <w:rFonts w:ascii="Times New Roman" w:hAnsi="Times New Roman"/>
                <w:sz w:val="20"/>
                <w:szCs w:val="20"/>
              </w:rPr>
            </w:pPr>
          </w:p>
        </w:tc>
      </w:tr>
      <w:tr w:rsidR="005B1E05" w:rsidRPr="00D76CD3" w14:paraId="17E4726E" w14:textId="77777777" w:rsidTr="00125E3F">
        <w:trPr>
          <w:jc w:val="center"/>
        </w:trPr>
        <w:tc>
          <w:tcPr>
            <w:tcW w:w="3015" w:type="dxa"/>
            <w:vMerge w:val="restart"/>
          </w:tcPr>
          <w:p w14:paraId="0CC622CA" w14:textId="030EA1B1" w:rsidR="005B1E05" w:rsidRPr="00467227" w:rsidRDefault="005B1E05" w:rsidP="00DB7BD2">
            <w:pPr>
              <w:rPr>
                <w:rFonts w:ascii="Times New Roman" w:hAnsi="Times New Roman"/>
              </w:rPr>
            </w:pPr>
            <w:r w:rsidRPr="00833F09">
              <w:rPr>
                <w:rFonts w:ascii="Times New Roman" w:hAnsi="Times New Roman"/>
                <w:b/>
              </w:rPr>
              <w:t>Output 1.2</w:t>
            </w:r>
            <w:r w:rsidR="00833F09">
              <w:rPr>
                <w:rFonts w:ascii="Times New Roman" w:hAnsi="Times New Roman"/>
                <w:b/>
              </w:rPr>
              <w:t xml:space="preserve"> </w:t>
            </w:r>
            <w:r w:rsidRPr="00467227">
              <w:rPr>
                <w:rFonts w:ascii="Times New Roman" w:hAnsi="Times New Roman"/>
              </w:rPr>
              <w:t>: L'organisation et le fonctionnement du CDI sont adaptés pour conduire la réforme de l'</w:t>
            </w:r>
            <w:r w:rsidR="005B00EE">
              <w:rPr>
                <w:rFonts w:ascii="Times New Roman" w:hAnsi="Times New Roman"/>
              </w:rPr>
              <w:t>É</w:t>
            </w:r>
            <w:r w:rsidRPr="00467227">
              <w:rPr>
                <w:rFonts w:ascii="Times New Roman" w:hAnsi="Times New Roman"/>
              </w:rPr>
              <w:t xml:space="preserve">tat  </w:t>
            </w:r>
          </w:p>
        </w:tc>
        <w:tc>
          <w:tcPr>
            <w:tcW w:w="1551" w:type="dxa"/>
          </w:tcPr>
          <w:p w14:paraId="2831654B" w14:textId="77777777" w:rsidR="005B1E05" w:rsidRPr="00D76CD3" w:rsidRDefault="005B1E05" w:rsidP="00DB7BD2">
            <w:pPr>
              <w:rPr>
                <w:rFonts w:ascii="Times New Roman" w:hAnsi="Times New Roman"/>
                <w:sz w:val="20"/>
                <w:szCs w:val="20"/>
              </w:rPr>
            </w:pPr>
          </w:p>
        </w:tc>
        <w:tc>
          <w:tcPr>
            <w:tcW w:w="3449" w:type="dxa"/>
          </w:tcPr>
          <w:p w14:paraId="0A07B3C8" w14:textId="15CA8033" w:rsidR="005B1E05" w:rsidRPr="00F12FA1" w:rsidRDefault="005B1E05" w:rsidP="00DB7BD2">
            <w:pPr>
              <w:rPr>
                <w:rFonts w:ascii="Times New Roman" w:hAnsi="Times New Roman"/>
                <w:sz w:val="20"/>
                <w:szCs w:val="20"/>
              </w:rPr>
            </w:pPr>
            <w:r w:rsidRPr="00F12FA1">
              <w:rPr>
                <w:rFonts w:ascii="Times New Roman" w:hAnsi="Times New Roman"/>
                <w:sz w:val="20"/>
                <w:szCs w:val="20"/>
              </w:rPr>
              <w:t>1.2.1 Réaliser une analyse institutionnelle et organisationnelle du CDI</w:t>
            </w:r>
          </w:p>
        </w:tc>
        <w:tc>
          <w:tcPr>
            <w:tcW w:w="2045" w:type="dxa"/>
          </w:tcPr>
          <w:p w14:paraId="6488C8B6" w14:textId="77777777" w:rsidR="005B1E05" w:rsidRPr="00D76CD3" w:rsidRDefault="005B1E05" w:rsidP="00DB7BD2">
            <w:pPr>
              <w:rPr>
                <w:rFonts w:ascii="Times New Roman" w:hAnsi="Times New Roman"/>
                <w:sz w:val="20"/>
                <w:szCs w:val="20"/>
              </w:rPr>
            </w:pPr>
          </w:p>
        </w:tc>
        <w:tc>
          <w:tcPr>
            <w:tcW w:w="1134" w:type="dxa"/>
          </w:tcPr>
          <w:p w14:paraId="6E88CBC6" w14:textId="77777777" w:rsidR="005B1E05" w:rsidRPr="00D76CD3" w:rsidRDefault="005B1E05" w:rsidP="00DB7BD2">
            <w:pPr>
              <w:rPr>
                <w:rFonts w:ascii="Times New Roman" w:hAnsi="Times New Roman"/>
                <w:sz w:val="20"/>
                <w:szCs w:val="20"/>
              </w:rPr>
            </w:pPr>
          </w:p>
        </w:tc>
        <w:tc>
          <w:tcPr>
            <w:tcW w:w="1134" w:type="dxa"/>
          </w:tcPr>
          <w:p w14:paraId="10FE6D15" w14:textId="77777777" w:rsidR="005B1E05" w:rsidRPr="00D76CD3" w:rsidRDefault="005B1E05" w:rsidP="00DB7BD2">
            <w:pPr>
              <w:rPr>
                <w:rFonts w:ascii="Times New Roman" w:hAnsi="Times New Roman"/>
                <w:sz w:val="20"/>
                <w:szCs w:val="20"/>
              </w:rPr>
            </w:pPr>
          </w:p>
        </w:tc>
        <w:tc>
          <w:tcPr>
            <w:tcW w:w="1134" w:type="dxa"/>
          </w:tcPr>
          <w:p w14:paraId="0BAB85BD" w14:textId="77777777" w:rsidR="005B1E05" w:rsidRPr="00D76CD3" w:rsidRDefault="005B1E05" w:rsidP="00DB7BD2">
            <w:pPr>
              <w:rPr>
                <w:rFonts w:ascii="Times New Roman" w:hAnsi="Times New Roman"/>
                <w:sz w:val="20"/>
                <w:szCs w:val="20"/>
              </w:rPr>
            </w:pPr>
          </w:p>
        </w:tc>
        <w:tc>
          <w:tcPr>
            <w:tcW w:w="1134" w:type="dxa"/>
          </w:tcPr>
          <w:p w14:paraId="4E366599" w14:textId="77777777" w:rsidR="005B1E05" w:rsidRPr="00D76CD3" w:rsidRDefault="005B1E05" w:rsidP="00DB7BD2">
            <w:pPr>
              <w:rPr>
                <w:rFonts w:ascii="Times New Roman" w:hAnsi="Times New Roman"/>
                <w:sz w:val="20"/>
                <w:szCs w:val="20"/>
              </w:rPr>
            </w:pPr>
          </w:p>
        </w:tc>
      </w:tr>
      <w:tr w:rsidR="005B1E05" w:rsidRPr="00D76CD3" w14:paraId="55215B60" w14:textId="77777777" w:rsidTr="00125E3F">
        <w:trPr>
          <w:jc w:val="center"/>
        </w:trPr>
        <w:tc>
          <w:tcPr>
            <w:tcW w:w="3015" w:type="dxa"/>
            <w:vMerge/>
          </w:tcPr>
          <w:p w14:paraId="3206A341" w14:textId="77777777" w:rsidR="005B1E05" w:rsidRPr="00D76CD3" w:rsidRDefault="005B1E05" w:rsidP="00DB7BD2">
            <w:pPr>
              <w:rPr>
                <w:rFonts w:ascii="Times New Roman" w:hAnsi="Times New Roman"/>
                <w:sz w:val="20"/>
                <w:szCs w:val="20"/>
              </w:rPr>
            </w:pPr>
          </w:p>
        </w:tc>
        <w:tc>
          <w:tcPr>
            <w:tcW w:w="1551" w:type="dxa"/>
          </w:tcPr>
          <w:p w14:paraId="43B1BE6B" w14:textId="77777777" w:rsidR="005B1E05" w:rsidRPr="00D76CD3" w:rsidRDefault="005B1E05" w:rsidP="00DB7BD2">
            <w:pPr>
              <w:rPr>
                <w:rFonts w:ascii="Times New Roman" w:hAnsi="Times New Roman"/>
                <w:sz w:val="20"/>
                <w:szCs w:val="20"/>
              </w:rPr>
            </w:pPr>
          </w:p>
        </w:tc>
        <w:tc>
          <w:tcPr>
            <w:tcW w:w="3449" w:type="dxa"/>
          </w:tcPr>
          <w:p w14:paraId="14E2E57E" w14:textId="444B41EB" w:rsidR="005B1E05" w:rsidRPr="00F12FA1" w:rsidRDefault="005B1E05" w:rsidP="00DB7BD2">
            <w:pPr>
              <w:rPr>
                <w:rFonts w:ascii="Times New Roman" w:hAnsi="Times New Roman"/>
                <w:sz w:val="20"/>
                <w:szCs w:val="20"/>
              </w:rPr>
            </w:pPr>
            <w:r w:rsidRPr="00F12FA1">
              <w:rPr>
                <w:rFonts w:ascii="Times New Roman" w:hAnsi="Times New Roman"/>
                <w:sz w:val="20"/>
                <w:szCs w:val="20"/>
              </w:rPr>
              <w:t xml:space="preserve">1.2.2 </w:t>
            </w:r>
            <w:r w:rsidR="00B26ABB">
              <w:rPr>
                <w:rFonts w:ascii="Times New Roman" w:hAnsi="Times New Roman"/>
                <w:sz w:val="20"/>
                <w:szCs w:val="20"/>
              </w:rPr>
              <w:t>É</w:t>
            </w:r>
            <w:r w:rsidRPr="00F12FA1">
              <w:rPr>
                <w:rFonts w:ascii="Times New Roman" w:hAnsi="Times New Roman"/>
                <w:sz w:val="20"/>
                <w:szCs w:val="20"/>
              </w:rPr>
              <w:t>laborer et faire adopter les nouveaux textes d'organisation et de fonctionnement</w:t>
            </w:r>
          </w:p>
        </w:tc>
        <w:tc>
          <w:tcPr>
            <w:tcW w:w="2045" w:type="dxa"/>
          </w:tcPr>
          <w:p w14:paraId="5F8AC559" w14:textId="77777777" w:rsidR="005B1E05" w:rsidRPr="00D76CD3" w:rsidRDefault="005B1E05" w:rsidP="00DB7BD2">
            <w:pPr>
              <w:rPr>
                <w:rFonts w:ascii="Times New Roman" w:hAnsi="Times New Roman"/>
                <w:sz w:val="20"/>
                <w:szCs w:val="20"/>
              </w:rPr>
            </w:pPr>
          </w:p>
        </w:tc>
        <w:tc>
          <w:tcPr>
            <w:tcW w:w="1134" w:type="dxa"/>
          </w:tcPr>
          <w:p w14:paraId="69C1D879" w14:textId="77777777" w:rsidR="005B1E05" w:rsidRPr="00D76CD3" w:rsidRDefault="005B1E05" w:rsidP="00DB7BD2">
            <w:pPr>
              <w:rPr>
                <w:rFonts w:ascii="Times New Roman" w:hAnsi="Times New Roman"/>
                <w:sz w:val="20"/>
                <w:szCs w:val="20"/>
              </w:rPr>
            </w:pPr>
          </w:p>
        </w:tc>
        <w:tc>
          <w:tcPr>
            <w:tcW w:w="1134" w:type="dxa"/>
          </w:tcPr>
          <w:p w14:paraId="4C9A7E6F" w14:textId="77777777" w:rsidR="005B1E05" w:rsidRPr="00D76CD3" w:rsidRDefault="005B1E05" w:rsidP="00DB7BD2">
            <w:pPr>
              <w:rPr>
                <w:rFonts w:ascii="Times New Roman" w:hAnsi="Times New Roman"/>
                <w:sz w:val="20"/>
                <w:szCs w:val="20"/>
              </w:rPr>
            </w:pPr>
          </w:p>
        </w:tc>
        <w:tc>
          <w:tcPr>
            <w:tcW w:w="1134" w:type="dxa"/>
          </w:tcPr>
          <w:p w14:paraId="5DF1586A" w14:textId="77777777" w:rsidR="005B1E05" w:rsidRPr="00D76CD3" w:rsidRDefault="005B1E05" w:rsidP="00DB7BD2">
            <w:pPr>
              <w:rPr>
                <w:rFonts w:ascii="Times New Roman" w:hAnsi="Times New Roman"/>
                <w:sz w:val="20"/>
                <w:szCs w:val="20"/>
              </w:rPr>
            </w:pPr>
          </w:p>
        </w:tc>
        <w:tc>
          <w:tcPr>
            <w:tcW w:w="1134" w:type="dxa"/>
          </w:tcPr>
          <w:p w14:paraId="0ED9D086" w14:textId="77777777" w:rsidR="005B1E05" w:rsidRPr="00D76CD3" w:rsidRDefault="005B1E05" w:rsidP="00DB7BD2">
            <w:pPr>
              <w:rPr>
                <w:rFonts w:ascii="Times New Roman" w:hAnsi="Times New Roman"/>
                <w:sz w:val="20"/>
                <w:szCs w:val="20"/>
              </w:rPr>
            </w:pPr>
          </w:p>
        </w:tc>
      </w:tr>
      <w:tr w:rsidR="005B1E05" w:rsidRPr="00D76CD3" w14:paraId="4976C1EC" w14:textId="77777777" w:rsidTr="00125E3F">
        <w:trPr>
          <w:jc w:val="center"/>
        </w:trPr>
        <w:tc>
          <w:tcPr>
            <w:tcW w:w="3015" w:type="dxa"/>
            <w:vMerge/>
          </w:tcPr>
          <w:p w14:paraId="7BBB62A4" w14:textId="77777777" w:rsidR="005B1E05" w:rsidRPr="00D76CD3" w:rsidRDefault="005B1E05" w:rsidP="00DB7BD2">
            <w:pPr>
              <w:rPr>
                <w:rFonts w:ascii="Times New Roman" w:hAnsi="Times New Roman"/>
                <w:sz w:val="20"/>
                <w:szCs w:val="20"/>
              </w:rPr>
            </w:pPr>
          </w:p>
        </w:tc>
        <w:tc>
          <w:tcPr>
            <w:tcW w:w="1551" w:type="dxa"/>
          </w:tcPr>
          <w:p w14:paraId="5EC41594" w14:textId="77777777" w:rsidR="005B1E05" w:rsidRPr="00D76CD3" w:rsidRDefault="005B1E05" w:rsidP="00DB7BD2">
            <w:pPr>
              <w:rPr>
                <w:rFonts w:ascii="Times New Roman" w:hAnsi="Times New Roman"/>
                <w:sz w:val="20"/>
                <w:szCs w:val="20"/>
              </w:rPr>
            </w:pPr>
          </w:p>
        </w:tc>
        <w:tc>
          <w:tcPr>
            <w:tcW w:w="3449" w:type="dxa"/>
          </w:tcPr>
          <w:p w14:paraId="237CAD1A" w14:textId="007BABED" w:rsidR="005B1E05" w:rsidRPr="00F12FA1" w:rsidRDefault="005B1E05" w:rsidP="00DB7BD2">
            <w:pPr>
              <w:rPr>
                <w:rFonts w:ascii="Times New Roman" w:hAnsi="Times New Roman"/>
                <w:sz w:val="20"/>
                <w:szCs w:val="20"/>
              </w:rPr>
            </w:pPr>
            <w:r w:rsidRPr="00F12FA1">
              <w:rPr>
                <w:rFonts w:ascii="Times New Roman" w:hAnsi="Times New Roman"/>
                <w:sz w:val="20"/>
                <w:szCs w:val="20"/>
              </w:rPr>
              <w:t>1.2.3 Renforcement des capacités de la structure</w:t>
            </w:r>
          </w:p>
        </w:tc>
        <w:tc>
          <w:tcPr>
            <w:tcW w:w="2045" w:type="dxa"/>
          </w:tcPr>
          <w:p w14:paraId="01098C3A" w14:textId="77777777" w:rsidR="005B1E05" w:rsidRPr="00D76CD3" w:rsidRDefault="005B1E05" w:rsidP="00DB7BD2">
            <w:pPr>
              <w:rPr>
                <w:rFonts w:ascii="Times New Roman" w:hAnsi="Times New Roman"/>
                <w:sz w:val="20"/>
                <w:szCs w:val="20"/>
              </w:rPr>
            </w:pPr>
          </w:p>
        </w:tc>
        <w:tc>
          <w:tcPr>
            <w:tcW w:w="1134" w:type="dxa"/>
          </w:tcPr>
          <w:p w14:paraId="66552F03" w14:textId="77777777" w:rsidR="005B1E05" w:rsidRPr="00D76CD3" w:rsidRDefault="005B1E05" w:rsidP="00DB7BD2">
            <w:pPr>
              <w:rPr>
                <w:rFonts w:ascii="Times New Roman" w:hAnsi="Times New Roman"/>
                <w:sz w:val="20"/>
                <w:szCs w:val="20"/>
              </w:rPr>
            </w:pPr>
          </w:p>
        </w:tc>
        <w:tc>
          <w:tcPr>
            <w:tcW w:w="1134" w:type="dxa"/>
          </w:tcPr>
          <w:p w14:paraId="6CF96ACB" w14:textId="77777777" w:rsidR="005B1E05" w:rsidRPr="00D76CD3" w:rsidRDefault="005B1E05" w:rsidP="00DB7BD2">
            <w:pPr>
              <w:rPr>
                <w:rFonts w:ascii="Times New Roman" w:hAnsi="Times New Roman"/>
                <w:sz w:val="20"/>
                <w:szCs w:val="20"/>
              </w:rPr>
            </w:pPr>
          </w:p>
        </w:tc>
        <w:tc>
          <w:tcPr>
            <w:tcW w:w="1134" w:type="dxa"/>
          </w:tcPr>
          <w:p w14:paraId="3782D7D8" w14:textId="77777777" w:rsidR="005B1E05" w:rsidRPr="00D76CD3" w:rsidRDefault="005B1E05" w:rsidP="00DB7BD2">
            <w:pPr>
              <w:rPr>
                <w:rFonts w:ascii="Times New Roman" w:hAnsi="Times New Roman"/>
                <w:sz w:val="20"/>
                <w:szCs w:val="20"/>
              </w:rPr>
            </w:pPr>
          </w:p>
        </w:tc>
        <w:tc>
          <w:tcPr>
            <w:tcW w:w="1134" w:type="dxa"/>
          </w:tcPr>
          <w:p w14:paraId="319F5B1A" w14:textId="77777777" w:rsidR="005B1E05" w:rsidRPr="00D76CD3" w:rsidRDefault="005B1E05" w:rsidP="00DB7BD2">
            <w:pPr>
              <w:rPr>
                <w:rFonts w:ascii="Times New Roman" w:hAnsi="Times New Roman"/>
                <w:sz w:val="20"/>
                <w:szCs w:val="20"/>
              </w:rPr>
            </w:pPr>
          </w:p>
        </w:tc>
      </w:tr>
      <w:tr w:rsidR="00AB5DED" w:rsidRPr="00D76CD3" w14:paraId="304D6860" w14:textId="77777777" w:rsidTr="00125E3F">
        <w:trPr>
          <w:jc w:val="center"/>
        </w:trPr>
        <w:tc>
          <w:tcPr>
            <w:tcW w:w="14596" w:type="dxa"/>
            <w:gridSpan w:val="8"/>
          </w:tcPr>
          <w:p w14:paraId="43B2755E" w14:textId="77777777" w:rsidR="00AB5DED" w:rsidRPr="00D76CD3" w:rsidRDefault="00AB5DED" w:rsidP="00DB7BD2">
            <w:pPr>
              <w:rPr>
                <w:rFonts w:ascii="Times New Roman" w:hAnsi="Times New Roman"/>
                <w:sz w:val="20"/>
                <w:szCs w:val="20"/>
              </w:rPr>
            </w:pPr>
          </w:p>
        </w:tc>
      </w:tr>
      <w:tr w:rsidR="0000305C" w:rsidRPr="00D76CD3" w14:paraId="3AB512FA" w14:textId="77777777" w:rsidTr="00125E3F">
        <w:trPr>
          <w:jc w:val="center"/>
        </w:trPr>
        <w:tc>
          <w:tcPr>
            <w:tcW w:w="14596" w:type="dxa"/>
            <w:gridSpan w:val="8"/>
            <w:shd w:val="clear" w:color="auto" w:fill="FFE599" w:themeFill="accent4" w:themeFillTint="66"/>
          </w:tcPr>
          <w:p w14:paraId="52A5B8F3" w14:textId="0289E8D4" w:rsidR="0000305C" w:rsidRPr="00D76CD3" w:rsidRDefault="0000305C" w:rsidP="0000305C">
            <w:pPr>
              <w:jc w:val="both"/>
              <w:rPr>
                <w:rFonts w:ascii="Times New Roman" w:hAnsi="Times New Roman"/>
                <w:sz w:val="20"/>
                <w:szCs w:val="20"/>
              </w:rPr>
            </w:pPr>
            <w:proofErr w:type="spellStart"/>
            <w:r w:rsidRPr="0000305C">
              <w:rPr>
                <w:rFonts w:ascii="Times New Roman" w:hAnsi="Times New Roman"/>
                <w:b/>
                <w:sz w:val="24"/>
                <w:szCs w:val="24"/>
              </w:rPr>
              <w:t>Outcom</w:t>
            </w:r>
            <w:proofErr w:type="spellEnd"/>
            <w:r w:rsidRPr="0000305C">
              <w:rPr>
                <w:rFonts w:ascii="Times New Roman" w:hAnsi="Times New Roman"/>
                <w:b/>
                <w:sz w:val="24"/>
                <w:szCs w:val="24"/>
              </w:rPr>
              <w:t xml:space="preserve"> 2 : la haute fonction publique améliore ses capacités et ses aptitudes stratégiques et les valeurs et principes du service public et de l’administration notamment l’intégrité et la transparence sont appliqués</w:t>
            </w:r>
          </w:p>
        </w:tc>
      </w:tr>
      <w:tr w:rsidR="00074863" w:rsidRPr="00D76CD3" w14:paraId="69AA7D73" w14:textId="77777777" w:rsidTr="00125E3F">
        <w:trPr>
          <w:jc w:val="center"/>
        </w:trPr>
        <w:tc>
          <w:tcPr>
            <w:tcW w:w="3015" w:type="dxa"/>
            <w:vMerge w:val="restart"/>
          </w:tcPr>
          <w:p w14:paraId="15CEDF57" w14:textId="7FB6A893" w:rsidR="00074863" w:rsidRPr="00467227" w:rsidRDefault="00074863" w:rsidP="00DB7BD2">
            <w:pPr>
              <w:rPr>
                <w:rFonts w:ascii="Times New Roman" w:hAnsi="Times New Roman"/>
              </w:rPr>
            </w:pPr>
            <w:r w:rsidRPr="00833F09">
              <w:rPr>
                <w:rFonts w:ascii="Times New Roman" w:hAnsi="Times New Roman"/>
                <w:b/>
              </w:rPr>
              <w:t>Output 2.1</w:t>
            </w:r>
            <w:r w:rsidRPr="00467227">
              <w:rPr>
                <w:rFonts w:ascii="Times New Roman" w:hAnsi="Times New Roman"/>
              </w:rPr>
              <w:t xml:space="preserve"> : Les capacités stratégiques de la haute fonction publique sont renforcées</w:t>
            </w:r>
          </w:p>
        </w:tc>
        <w:tc>
          <w:tcPr>
            <w:tcW w:w="1551" w:type="dxa"/>
          </w:tcPr>
          <w:p w14:paraId="3C5AC481" w14:textId="77777777" w:rsidR="00074863" w:rsidRPr="00D76CD3" w:rsidRDefault="00074863" w:rsidP="00DB7BD2">
            <w:pPr>
              <w:rPr>
                <w:rFonts w:ascii="Times New Roman" w:hAnsi="Times New Roman"/>
                <w:sz w:val="20"/>
                <w:szCs w:val="20"/>
              </w:rPr>
            </w:pPr>
          </w:p>
        </w:tc>
        <w:tc>
          <w:tcPr>
            <w:tcW w:w="3449" w:type="dxa"/>
          </w:tcPr>
          <w:p w14:paraId="01314FAD" w14:textId="06E1A9A1" w:rsidR="00074863" w:rsidRPr="00B244C6" w:rsidRDefault="00074863" w:rsidP="00DB7BD2">
            <w:pPr>
              <w:rPr>
                <w:rFonts w:ascii="Times New Roman" w:hAnsi="Times New Roman"/>
                <w:sz w:val="20"/>
                <w:szCs w:val="20"/>
              </w:rPr>
            </w:pPr>
            <w:r w:rsidRPr="00C4194C">
              <w:rPr>
                <w:rFonts w:ascii="Times New Roman" w:hAnsi="Times New Roman"/>
                <w:sz w:val="20"/>
                <w:szCs w:val="20"/>
              </w:rPr>
              <w:t>2.1.1 St</w:t>
            </w:r>
            <w:r>
              <w:rPr>
                <w:rFonts w:ascii="Times New Roman" w:hAnsi="Times New Roman"/>
                <w:sz w:val="20"/>
                <w:szCs w:val="20"/>
              </w:rPr>
              <w:t>a</w:t>
            </w:r>
            <w:r w:rsidRPr="00C4194C">
              <w:rPr>
                <w:rFonts w:ascii="Times New Roman" w:hAnsi="Times New Roman"/>
                <w:sz w:val="20"/>
                <w:szCs w:val="20"/>
              </w:rPr>
              <w:t>biliser la haute fonction publique</w:t>
            </w:r>
          </w:p>
        </w:tc>
        <w:tc>
          <w:tcPr>
            <w:tcW w:w="2045" w:type="dxa"/>
          </w:tcPr>
          <w:p w14:paraId="5BCA45E9" w14:textId="77777777" w:rsidR="00074863" w:rsidRPr="00D76CD3" w:rsidRDefault="00074863" w:rsidP="00DB7BD2">
            <w:pPr>
              <w:rPr>
                <w:rFonts w:ascii="Times New Roman" w:hAnsi="Times New Roman"/>
                <w:sz w:val="20"/>
                <w:szCs w:val="20"/>
              </w:rPr>
            </w:pPr>
          </w:p>
        </w:tc>
        <w:tc>
          <w:tcPr>
            <w:tcW w:w="1134" w:type="dxa"/>
          </w:tcPr>
          <w:p w14:paraId="79E8DFF9" w14:textId="77777777" w:rsidR="00074863" w:rsidRPr="00D76CD3" w:rsidRDefault="00074863" w:rsidP="00DB7BD2">
            <w:pPr>
              <w:rPr>
                <w:rFonts w:ascii="Times New Roman" w:hAnsi="Times New Roman"/>
                <w:sz w:val="20"/>
                <w:szCs w:val="20"/>
              </w:rPr>
            </w:pPr>
          </w:p>
        </w:tc>
        <w:tc>
          <w:tcPr>
            <w:tcW w:w="1134" w:type="dxa"/>
          </w:tcPr>
          <w:p w14:paraId="75E54113" w14:textId="77777777" w:rsidR="00074863" w:rsidRPr="00D76CD3" w:rsidRDefault="00074863" w:rsidP="00DB7BD2">
            <w:pPr>
              <w:rPr>
                <w:rFonts w:ascii="Times New Roman" w:hAnsi="Times New Roman"/>
                <w:sz w:val="20"/>
                <w:szCs w:val="20"/>
              </w:rPr>
            </w:pPr>
          </w:p>
        </w:tc>
        <w:tc>
          <w:tcPr>
            <w:tcW w:w="1134" w:type="dxa"/>
          </w:tcPr>
          <w:p w14:paraId="76FE6C36" w14:textId="77777777" w:rsidR="00074863" w:rsidRPr="00D76CD3" w:rsidRDefault="00074863" w:rsidP="00DB7BD2">
            <w:pPr>
              <w:rPr>
                <w:rFonts w:ascii="Times New Roman" w:hAnsi="Times New Roman"/>
                <w:sz w:val="20"/>
                <w:szCs w:val="20"/>
              </w:rPr>
            </w:pPr>
          </w:p>
        </w:tc>
        <w:tc>
          <w:tcPr>
            <w:tcW w:w="1134" w:type="dxa"/>
          </w:tcPr>
          <w:p w14:paraId="198A4CA1" w14:textId="77777777" w:rsidR="00074863" w:rsidRPr="00D76CD3" w:rsidRDefault="00074863" w:rsidP="00DB7BD2">
            <w:pPr>
              <w:rPr>
                <w:rFonts w:ascii="Times New Roman" w:hAnsi="Times New Roman"/>
                <w:sz w:val="20"/>
                <w:szCs w:val="20"/>
              </w:rPr>
            </w:pPr>
          </w:p>
        </w:tc>
      </w:tr>
      <w:tr w:rsidR="00074863" w:rsidRPr="00D76CD3" w14:paraId="2880B10F" w14:textId="77777777" w:rsidTr="00125E3F">
        <w:trPr>
          <w:jc w:val="center"/>
        </w:trPr>
        <w:tc>
          <w:tcPr>
            <w:tcW w:w="3015" w:type="dxa"/>
            <w:vMerge/>
          </w:tcPr>
          <w:p w14:paraId="0EB29E80" w14:textId="77777777" w:rsidR="00074863" w:rsidRPr="00467227" w:rsidRDefault="00074863" w:rsidP="00DB7BD2">
            <w:pPr>
              <w:rPr>
                <w:rFonts w:ascii="Times New Roman" w:hAnsi="Times New Roman"/>
              </w:rPr>
            </w:pPr>
          </w:p>
        </w:tc>
        <w:tc>
          <w:tcPr>
            <w:tcW w:w="1551" w:type="dxa"/>
          </w:tcPr>
          <w:p w14:paraId="757752EA" w14:textId="77777777" w:rsidR="00074863" w:rsidRPr="00D76CD3" w:rsidRDefault="00074863" w:rsidP="00DB7BD2">
            <w:pPr>
              <w:rPr>
                <w:rFonts w:ascii="Times New Roman" w:hAnsi="Times New Roman"/>
                <w:sz w:val="20"/>
                <w:szCs w:val="20"/>
              </w:rPr>
            </w:pPr>
          </w:p>
        </w:tc>
        <w:tc>
          <w:tcPr>
            <w:tcW w:w="3449" w:type="dxa"/>
          </w:tcPr>
          <w:p w14:paraId="7DB4C09B" w14:textId="7B44AE01" w:rsidR="00074863" w:rsidRPr="00B244C6" w:rsidRDefault="00074863" w:rsidP="00DB7BD2">
            <w:pPr>
              <w:rPr>
                <w:rFonts w:ascii="Times New Roman" w:hAnsi="Times New Roman"/>
                <w:sz w:val="20"/>
                <w:szCs w:val="20"/>
              </w:rPr>
            </w:pPr>
            <w:r w:rsidRPr="005F641E">
              <w:rPr>
                <w:rFonts w:ascii="Times New Roman" w:hAnsi="Times New Roman"/>
                <w:sz w:val="20"/>
                <w:szCs w:val="20"/>
              </w:rPr>
              <w:t>2.1.2 élaborer et mettre en œuvre un programme de formation continue pour l’ensemble de l’encadrement supérieur</w:t>
            </w:r>
          </w:p>
        </w:tc>
        <w:tc>
          <w:tcPr>
            <w:tcW w:w="2045" w:type="dxa"/>
          </w:tcPr>
          <w:p w14:paraId="1A4E0634" w14:textId="77777777" w:rsidR="00074863" w:rsidRPr="00D76CD3" w:rsidRDefault="00074863" w:rsidP="00DB7BD2">
            <w:pPr>
              <w:rPr>
                <w:rFonts w:ascii="Times New Roman" w:hAnsi="Times New Roman"/>
                <w:sz w:val="20"/>
                <w:szCs w:val="20"/>
              </w:rPr>
            </w:pPr>
          </w:p>
        </w:tc>
        <w:tc>
          <w:tcPr>
            <w:tcW w:w="1134" w:type="dxa"/>
          </w:tcPr>
          <w:p w14:paraId="3E50B12A" w14:textId="77777777" w:rsidR="00074863" w:rsidRPr="00D76CD3" w:rsidRDefault="00074863" w:rsidP="00DB7BD2">
            <w:pPr>
              <w:rPr>
                <w:rFonts w:ascii="Times New Roman" w:hAnsi="Times New Roman"/>
                <w:sz w:val="20"/>
                <w:szCs w:val="20"/>
              </w:rPr>
            </w:pPr>
          </w:p>
        </w:tc>
        <w:tc>
          <w:tcPr>
            <w:tcW w:w="1134" w:type="dxa"/>
          </w:tcPr>
          <w:p w14:paraId="38A95B8B" w14:textId="77777777" w:rsidR="00074863" w:rsidRPr="00D76CD3" w:rsidRDefault="00074863" w:rsidP="00DB7BD2">
            <w:pPr>
              <w:rPr>
                <w:rFonts w:ascii="Times New Roman" w:hAnsi="Times New Roman"/>
                <w:sz w:val="20"/>
                <w:szCs w:val="20"/>
              </w:rPr>
            </w:pPr>
          </w:p>
        </w:tc>
        <w:tc>
          <w:tcPr>
            <w:tcW w:w="1134" w:type="dxa"/>
          </w:tcPr>
          <w:p w14:paraId="5429C1AE" w14:textId="77777777" w:rsidR="00074863" w:rsidRPr="00D76CD3" w:rsidRDefault="00074863" w:rsidP="00DB7BD2">
            <w:pPr>
              <w:rPr>
                <w:rFonts w:ascii="Times New Roman" w:hAnsi="Times New Roman"/>
                <w:sz w:val="20"/>
                <w:szCs w:val="20"/>
              </w:rPr>
            </w:pPr>
          </w:p>
        </w:tc>
        <w:tc>
          <w:tcPr>
            <w:tcW w:w="1134" w:type="dxa"/>
          </w:tcPr>
          <w:p w14:paraId="60F81669" w14:textId="77777777" w:rsidR="00074863" w:rsidRPr="00D76CD3" w:rsidRDefault="00074863" w:rsidP="00DB7BD2">
            <w:pPr>
              <w:rPr>
                <w:rFonts w:ascii="Times New Roman" w:hAnsi="Times New Roman"/>
                <w:sz w:val="20"/>
                <w:szCs w:val="20"/>
              </w:rPr>
            </w:pPr>
          </w:p>
        </w:tc>
      </w:tr>
      <w:tr w:rsidR="00074863" w:rsidRPr="00D76CD3" w14:paraId="5A71CB3F" w14:textId="77777777" w:rsidTr="00125E3F">
        <w:trPr>
          <w:jc w:val="center"/>
        </w:trPr>
        <w:tc>
          <w:tcPr>
            <w:tcW w:w="3015" w:type="dxa"/>
            <w:vMerge/>
          </w:tcPr>
          <w:p w14:paraId="2E417D2C" w14:textId="77777777" w:rsidR="00074863" w:rsidRPr="00467227" w:rsidRDefault="00074863" w:rsidP="00DB7BD2">
            <w:pPr>
              <w:rPr>
                <w:rFonts w:ascii="Times New Roman" w:hAnsi="Times New Roman"/>
              </w:rPr>
            </w:pPr>
          </w:p>
        </w:tc>
        <w:tc>
          <w:tcPr>
            <w:tcW w:w="1551" w:type="dxa"/>
          </w:tcPr>
          <w:p w14:paraId="216BCBB1" w14:textId="77777777" w:rsidR="00074863" w:rsidRPr="00D76CD3" w:rsidRDefault="00074863" w:rsidP="00DB7BD2">
            <w:pPr>
              <w:rPr>
                <w:rFonts w:ascii="Times New Roman" w:hAnsi="Times New Roman"/>
                <w:sz w:val="20"/>
                <w:szCs w:val="20"/>
              </w:rPr>
            </w:pPr>
          </w:p>
        </w:tc>
        <w:tc>
          <w:tcPr>
            <w:tcW w:w="3449" w:type="dxa"/>
          </w:tcPr>
          <w:p w14:paraId="3F71FC73" w14:textId="1BD27223" w:rsidR="00074863" w:rsidRPr="00B244C6" w:rsidRDefault="00074863" w:rsidP="00DB7BD2">
            <w:pPr>
              <w:rPr>
                <w:rFonts w:ascii="Times New Roman" w:hAnsi="Times New Roman"/>
                <w:sz w:val="20"/>
                <w:szCs w:val="20"/>
              </w:rPr>
            </w:pPr>
            <w:r w:rsidRPr="00074863">
              <w:rPr>
                <w:rFonts w:ascii="Times New Roman" w:hAnsi="Times New Roman"/>
                <w:sz w:val="20"/>
                <w:szCs w:val="20"/>
              </w:rPr>
              <w:t>2.1.3 Préparer une relève de qualité des cadres de la Fonction publique (programme de formation continue des agents de l'</w:t>
            </w:r>
            <w:r w:rsidR="005B00EE">
              <w:rPr>
                <w:rFonts w:ascii="Times New Roman" w:hAnsi="Times New Roman"/>
                <w:sz w:val="20"/>
                <w:szCs w:val="20"/>
              </w:rPr>
              <w:t>É</w:t>
            </w:r>
            <w:r w:rsidRPr="00074863">
              <w:rPr>
                <w:rFonts w:ascii="Times New Roman" w:hAnsi="Times New Roman"/>
                <w:sz w:val="20"/>
                <w:szCs w:val="20"/>
              </w:rPr>
              <w:t>tat)</w:t>
            </w:r>
          </w:p>
        </w:tc>
        <w:tc>
          <w:tcPr>
            <w:tcW w:w="2045" w:type="dxa"/>
          </w:tcPr>
          <w:p w14:paraId="12EE95A2" w14:textId="77777777" w:rsidR="00074863" w:rsidRPr="00D76CD3" w:rsidRDefault="00074863" w:rsidP="00DB7BD2">
            <w:pPr>
              <w:rPr>
                <w:rFonts w:ascii="Times New Roman" w:hAnsi="Times New Roman"/>
                <w:sz w:val="20"/>
                <w:szCs w:val="20"/>
              </w:rPr>
            </w:pPr>
          </w:p>
        </w:tc>
        <w:tc>
          <w:tcPr>
            <w:tcW w:w="1134" w:type="dxa"/>
          </w:tcPr>
          <w:p w14:paraId="65EF10C3" w14:textId="77777777" w:rsidR="00074863" w:rsidRPr="00D76CD3" w:rsidRDefault="00074863" w:rsidP="00DB7BD2">
            <w:pPr>
              <w:rPr>
                <w:rFonts w:ascii="Times New Roman" w:hAnsi="Times New Roman"/>
                <w:sz w:val="20"/>
                <w:szCs w:val="20"/>
              </w:rPr>
            </w:pPr>
          </w:p>
        </w:tc>
        <w:tc>
          <w:tcPr>
            <w:tcW w:w="1134" w:type="dxa"/>
          </w:tcPr>
          <w:p w14:paraId="1F62E96D" w14:textId="77777777" w:rsidR="00074863" w:rsidRPr="00D76CD3" w:rsidRDefault="00074863" w:rsidP="00DB7BD2">
            <w:pPr>
              <w:rPr>
                <w:rFonts w:ascii="Times New Roman" w:hAnsi="Times New Roman"/>
                <w:sz w:val="20"/>
                <w:szCs w:val="20"/>
              </w:rPr>
            </w:pPr>
          </w:p>
        </w:tc>
        <w:tc>
          <w:tcPr>
            <w:tcW w:w="1134" w:type="dxa"/>
          </w:tcPr>
          <w:p w14:paraId="30A1B33F" w14:textId="77777777" w:rsidR="00074863" w:rsidRPr="00D76CD3" w:rsidRDefault="00074863" w:rsidP="00DB7BD2">
            <w:pPr>
              <w:rPr>
                <w:rFonts w:ascii="Times New Roman" w:hAnsi="Times New Roman"/>
                <w:sz w:val="20"/>
                <w:szCs w:val="20"/>
              </w:rPr>
            </w:pPr>
          </w:p>
        </w:tc>
        <w:tc>
          <w:tcPr>
            <w:tcW w:w="1134" w:type="dxa"/>
          </w:tcPr>
          <w:p w14:paraId="466637A7" w14:textId="77777777" w:rsidR="00074863" w:rsidRPr="00D76CD3" w:rsidRDefault="00074863" w:rsidP="00DB7BD2">
            <w:pPr>
              <w:rPr>
                <w:rFonts w:ascii="Times New Roman" w:hAnsi="Times New Roman"/>
                <w:sz w:val="20"/>
                <w:szCs w:val="20"/>
              </w:rPr>
            </w:pPr>
          </w:p>
        </w:tc>
      </w:tr>
      <w:tr w:rsidR="007B286B" w:rsidRPr="00D76CD3" w14:paraId="6BFD5108" w14:textId="77777777" w:rsidTr="00125E3F">
        <w:trPr>
          <w:jc w:val="center"/>
        </w:trPr>
        <w:tc>
          <w:tcPr>
            <w:tcW w:w="3015" w:type="dxa"/>
            <w:vMerge w:val="restart"/>
          </w:tcPr>
          <w:p w14:paraId="3C4A103A" w14:textId="176069A1" w:rsidR="007B286B" w:rsidRPr="00467227" w:rsidRDefault="007B286B" w:rsidP="00DB7BD2">
            <w:pPr>
              <w:rPr>
                <w:rFonts w:ascii="Times New Roman" w:hAnsi="Times New Roman"/>
              </w:rPr>
            </w:pPr>
            <w:r w:rsidRPr="00833F09">
              <w:rPr>
                <w:rFonts w:ascii="Times New Roman" w:hAnsi="Times New Roman"/>
                <w:b/>
              </w:rPr>
              <w:t>Output 2.2</w:t>
            </w:r>
            <w:r w:rsidRPr="00467227">
              <w:rPr>
                <w:rFonts w:ascii="Times New Roman" w:hAnsi="Times New Roman"/>
              </w:rPr>
              <w:t xml:space="preserve"> : Un système de rémunération éthique et plus consensuel est institué et le climat social est apaisé </w:t>
            </w:r>
          </w:p>
        </w:tc>
        <w:tc>
          <w:tcPr>
            <w:tcW w:w="1551" w:type="dxa"/>
          </w:tcPr>
          <w:p w14:paraId="005D5884" w14:textId="77777777" w:rsidR="007B286B" w:rsidRPr="00D76CD3" w:rsidRDefault="007B286B" w:rsidP="00DB7BD2">
            <w:pPr>
              <w:rPr>
                <w:rFonts w:ascii="Times New Roman" w:hAnsi="Times New Roman"/>
                <w:sz w:val="20"/>
                <w:szCs w:val="20"/>
              </w:rPr>
            </w:pPr>
          </w:p>
        </w:tc>
        <w:tc>
          <w:tcPr>
            <w:tcW w:w="3449" w:type="dxa"/>
          </w:tcPr>
          <w:p w14:paraId="13BFDF62" w14:textId="0DAD8E12" w:rsidR="007B286B" w:rsidRPr="005F5289" w:rsidRDefault="007B286B" w:rsidP="005F5289">
            <w:pPr>
              <w:rPr>
                <w:rFonts w:ascii="Times New Roman" w:hAnsi="Times New Roman"/>
                <w:sz w:val="20"/>
                <w:szCs w:val="20"/>
              </w:rPr>
            </w:pPr>
            <w:r w:rsidRPr="005F5289">
              <w:rPr>
                <w:rFonts w:ascii="Times New Roman" w:hAnsi="Times New Roman"/>
                <w:sz w:val="20"/>
                <w:szCs w:val="20"/>
              </w:rPr>
              <w:t>2.2.1 Organiser une conférence sociale</w:t>
            </w:r>
          </w:p>
        </w:tc>
        <w:tc>
          <w:tcPr>
            <w:tcW w:w="2045" w:type="dxa"/>
          </w:tcPr>
          <w:p w14:paraId="2348B651" w14:textId="77777777" w:rsidR="007B286B" w:rsidRPr="00D76CD3" w:rsidRDefault="007B286B" w:rsidP="00DB7BD2">
            <w:pPr>
              <w:rPr>
                <w:rFonts w:ascii="Times New Roman" w:hAnsi="Times New Roman"/>
                <w:sz w:val="20"/>
                <w:szCs w:val="20"/>
              </w:rPr>
            </w:pPr>
          </w:p>
        </w:tc>
        <w:tc>
          <w:tcPr>
            <w:tcW w:w="1134" w:type="dxa"/>
          </w:tcPr>
          <w:p w14:paraId="37871208" w14:textId="77777777" w:rsidR="007B286B" w:rsidRPr="00D76CD3" w:rsidRDefault="007B286B" w:rsidP="00DB7BD2">
            <w:pPr>
              <w:rPr>
                <w:rFonts w:ascii="Times New Roman" w:hAnsi="Times New Roman"/>
                <w:sz w:val="20"/>
                <w:szCs w:val="20"/>
              </w:rPr>
            </w:pPr>
          </w:p>
        </w:tc>
        <w:tc>
          <w:tcPr>
            <w:tcW w:w="1134" w:type="dxa"/>
          </w:tcPr>
          <w:p w14:paraId="53CB8955" w14:textId="77777777" w:rsidR="007B286B" w:rsidRPr="00D76CD3" w:rsidRDefault="007B286B" w:rsidP="00DB7BD2">
            <w:pPr>
              <w:rPr>
                <w:rFonts w:ascii="Times New Roman" w:hAnsi="Times New Roman"/>
                <w:sz w:val="20"/>
                <w:szCs w:val="20"/>
              </w:rPr>
            </w:pPr>
          </w:p>
        </w:tc>
        <w:tc>
          <w:tcPr>
            <w:tcW w:w="1134" w:type="dxa"/>
          </w:tcPr>
          <w:p w14:paraId="42606635" w14:textId="77777777" w:rsidR="007B286B" w:rsidRPr="00D76CD3" w:rsidRDefault="007B286B" w:rsidP="00DB7BD2">
            <w:pPr>
              <w:rPr>
                <w:rFonts w:ascii="Times New Roman" w:hAnsi="Times New Roman"/>
                <w:sz w:val="20"/>
                <w:szCs w:val="20"/>
              </w:rPr>
            </w:pPr>
          </w:p>
        </w:tc>
        <w:tc>
          <w:tcPr>
            <w:tcW w:w="1134" w:type="dxa"/>
          </w:tcPr>
          <w:p w14:paraId="073DE16A" w14:textId="77777777" w:rsidR="007B286B" w:rsidRPr="00D76CD3" w:rsidRDefault="007B286B" w:rsidP="00DB7BD2">
            <w:pPr>
              <w:rPr>
                <w:rFonts w:ascii="Times New Roman" w:hAnsi="Times New Roman"/>
                <w:sz w:val="20"/>
                <w:szCs w:val="20"/>
              </w:rPr>
            </w:pPr>
          </w:p>
        </w:tc>
      </w:tr>
      <w:tr w:rsidR="007B286B" w:rsidRPr="00D76CD3" w14:paraId="72B834B3" w14:textId="77777777" w:rsidTr="00125E3F">
        <w:trPr>
          <w:cantSplit/>
          <w:jc w:val="center"/>
        </w:trPr>
        <w:tc>
          <w:tcPr>
            <w:tcW w:w="3015" w:type="dxa"/>
            <w:vMerge/>
          </w:tcPr>
          <w:p w14:paraId="46A7D024" w14:textId="77777777" w:rsidR="007B286B" w:rsidRPr="00467227" w:rsidRDefault="007B286B" w:rsidP="00DB7BD2">
            <w:pPr>
              <w:rPr>
                <w:rFonts w:ascii="Times New Roman" w:hAnsi="Times New Roman"/>
              </w:rPr>
            </w:pPr>
          </w:p>
        </w:tc>
        <w:tc>
          <w:tcPr>
            <w:tcW w:w="1551" w:type="dxa"/>
          </w:tcPr>
          <w:p w14:paraId="2EE8C87A" w14:textId="77777777" w:rsidR="007B286B" w:rsidRPr="00D76CD3" w:rsidRDefault="007B286B" w:rsidP="00DB7BD2">
            <w:pPr>
              <w:rPr>
                <w:rFonts w:ascii="Times New Roman" w:hAnsi="Times New Roman"/>
                <w:sz w:val="20"/>
                <w:szCs w:val="20"/>
              </w:rPr>
            </w:pPr>
          </w:p>
        </w:tc>
        <w:tc>
          <w:tcPr>
            <w:tcW w:w="3449" w:type="dxa"/>
          </w:tcPr>
          <w:p w14:paraId="335FAA2B" w14:textId="49CB2ECF" w:rsidR="007B286B" w:rsidRPr="00B244C6" w:rsidRDefault="007B286B" w:rsidP="00DB7BD2">
            <w:pPr>
              <w:rPr>
                <w:rFonts w:ascii="Times New Roman" w:hAnsi="Times New Roman"/>
                <w:sz w:val="20"/>
                <w:szCs w:val="20"/>
              </w:rPr>
            </w:pPr>
            <w:r w:rsidRPr="005F5289">
              <w:rPr>
                <w:rFonts w:ascii="Times New Roman" w:hAnsi="Times New Roman"/>
                <w:sz w:val="20"/>
                <w:szCs w:val="20"/>
              </w:rPr>
              <w:t xml:space="preserve">2.2.2 </w:t>
            </w:r>
            <w:r w:rsidR="00B26ABB">
              <w:rPr>
                <w:rFonts w:ascii="Times New Roman" w:hAnsi="Times New Roman"/>
                <w:sz w:val="20"/>
                <w:szCs w:val="20"/>
              </w:rPr>
              <w:t>É</w:t>
            </w:r>
            <w:r w:rsidRPr="005F5289">
              <w:rPr>
                <w:rFonts w:ascii="Times New Roman" w:hAnsi="Times New Roman"/>
                <w:sz w:val="20"/>
                <w:szCs w:val="20"/>
              </w:rPr>
              <w:t>laborer et faire adopter le nouveau système de rémunération sur la base des recommandations de la conférence sociale</w:t>
            </w:r>
          </w:p>
        </w:tc>
        <w:tc>
          <w:tcPr>
            <w:tcW w:w="2045" w:type="dxa"/>
          </w:tcPr>
          <w:p w14:paraId="780FEFC9" w14:textId="77777777" w:rsidR="007B286B" w:rsidRPr="00D76CD3" w:rsidRDefault="007B286B" w:rsidP="00DB7BD2">
            <w:pPr>
              <w:rPr>
                <w:rFonts w:ascii="Times New Roman" w:hAnsi="Times New Roman"/>
                <w:sz w:val="20"/>
                <w:szCs w:val="20"/>
              </w:rPr>
            </w:pPr>
          </w:p>
        </w:tc>
        <w:tc>
          <w:tcPr>
            <w:tcW w:w="1134" w:type="dxa"/>
          </w:tcPr>
          <w:p w14:paraId="166EECC1" w14:textId="77777777" w:rsidR="007B286B" w:rsidRPr="00D76CD3" w:rsidRDefault="007B286B" w:rsidP="00DB7BD2">
            <w:pPr>
              <w:rPr>
                <w:rFonts w:ascii="Times New Roman" w:hAnsi="Times New Roman"/>
                <w:sz w:val="20"/>
                <w:szCs w:val="20"/>
              </w:rPr>
            </w:pPr>
          </w:p>
        </w:tc>
        <w:tc>
          <w:tcPr>
            <w:tcW w:w="1134" w:type="dxa"/>
          </w:tcPr>
          <w:p w14:paraId="387D6FF8" w14:textId="77777777" w:rsidR="007B286B" w:rsidRPr="00D76CD3" w:rsidRDefault="007B286B" w:rsidP="00DB7BD2">
            <w:pPr>
              <w:rPr>
                <w:rFonts w:ascii="Times New Roman" w:hAnsi="Times New Roman"/>
                <w:sz w:val="20"/>
                <w:szCs w:val="20"/>
              </w:rPr>
            </w:pPr>
          </w:p>
        </w:tc>
        <w:tc>
          <w:tcPr>
            <w:tcW w:w="1134" w:type="dxa"/>
          </w:tcPr>
          <w:p w14:paraId="3F3D5E5A" w14:textId="77777777" w:rsidR="007B286B" w:rsidRPr="00D76CD3" w:rsidRDefault="007B286B" w:rsidP="00DB7BD2">
            <w:pPr>
              <w:rPr>
                <w:rFonts w:ascii="Times New Roman" w:hAnsi="Times New Roman"/>
                <w:sz w:val="20"/>
                <w:szCs w:val="20"/>
              </w:rPr>
            </w:pPr>
          </w:p>
        </w:tc>
        <w:tc>
          <w:tcPr>
            <w:tcW w:w="1134" w:type="dxa"/>
          </w:tcPr>
          <w:p w14:paraId="305973B2" w14:textId="77777777" w:rsidR="007B286B" w:rsidRPr="00D76CD3" w:rsidRDefault="007B286B" w:rsidP="00DB7BD2">
            <w:pPr>
              <w:rPr>
                <w:rFonts w:ascii="Times New Roman" w:hAnsi="Times New Roman"/>
                <w:sz w:val="20"/>
                <w:szCs w:val="20"/>
              </w:rPr>
            </w:pPr>
          </w:p>
        </w:tc>
      </w:tr>
      <w:tr w:rsidR="007B286B" w:rsidRPr="00D76CD3" w14:paraId="2B66E815" w14:textId="77777777" w:rsidTr="00125E3F">
        <w:trPr>
          <w:jc w:val="center"/>
        </w:trPr>
        <w:tc>
          <w:tcPr>
            <w:tcW w:w="3015" w:type="dxa"/>
            <w:vMerge/>
          </w:tcPr>
          <w:p w14:paraId="0ED15FFE" w14:textId="77777777" w:rsidR="007B286B" w:rsidRPr="00467227" w:rsidRDefault="007B286B" w:rsidP="00DB7BD2">
            <w:pPr>
              <w:rPr>
                <w:rFonts w:ascii="Times New Roman" w:hAnsi="Times New Roman"/>
              </w:rPr>
            </w:pPr>
          </w:p>
        </w:tc>
        <w:tc>
          <w:tcPr>
            <w:tcW w:w="1551" w:type="dxa"/>
          </w:tcPr>
          <w:p w14:paraId="115C46D4" w14:textId="77777777" w:rsidR="007B286B" w:rsidRPr="00D76CD3" w:rsidRDefault="007B286B" w:rsidP="00DB7BD2">
            <w:pPr>
              <w:rPr>
                <w:rFonts w:ascii="Times New Roman" w:hAnsi="Times New Roman"/>
                <w:sz w:val="20"/>
                <w:szCs w:val="20"/>
              </w:rPr>
            </w:pPr>
          </w:p>
        </w:tc>
        <w:tc>
          <w:tcPr>
            <w:tcW w:w="3449" w:type="dxa"/>
          </w:tcPr>
          <w:p w14:paraId="1A904603" w14:textId="77777777" w:rsidR="007B286B" w:rsidRDefault="007B286B" w:rsidP="00DB7BD2">
            <w:pPr>
              <w:rPr>
                <w:rFonts w:ascii="Times New Roman" w:hAnsi="Times New Roman"/>
                <w:sz w:val="20"/>
                <w:szCs w:val="20"/>
              </w:rPr>
            </w:pPr>
            <w:r w:rsidRPr="007B286B">
              <w:rPr>
                <w:rFonts w:ascii="Times New Roman" w:hAnsi="Times New Roman"/>
                <w:sz w:val="20"/>
                <w:szCs w:val="20"/>
              </w:rPr>
              <w:t>2.2.3 Organiser des élections sociales pour une représentation équitable des centrales syndicales dans les Institutions</w:t>
            </w:r>
          </w:p>
          <w:p w14:paraId="1C15E54C" w14:textId="4772CF87" w:rsidR="00C30C20" w:rsidRPr="00B244C6" w:rsidRDefault="00C30C20" w:rsidP="00DB7BD2">
            <w:pPr>
              <w:rPr>
                <w:rFonts w:ascii="Times New Roman" w:hAnsi="Times New Roman"/>
                <w:sz w:val="20"/>
                <w:szCs w:val="20"/>
              </w:rPr>
            </w:pPr>
          </w:p>
        </w:tc>
        <w:tc>
          <w:tcPr>
            <w:tcW w:w="2045" w:type="dxa"/>
          </w:tcPr>
          <w:p w14:paraId="0F0A4385" w14:textId="77777777" w:rsidR="007B286B" w:rsidRPr="00D76CD3" w:rsidRDefault="007B286B" w:rsidP="00DB7BD2">
            <w:pPr>
              <w:rPr>
                <w:rFonts w:ascii="Times New Roman" w:hAnsi="Times New Roman"/>
                <w:sz w:val="20"/>
                <w:szCs w:val="20"/>
              </w:rPr>
            </w:pPr>
          </w:p>
        </w:tc>
        <w:tc>
          <w:tcPr>
            <w:tcW w:w="1134" w:type="dxa"/>
          </w:tcPr>
          <w:p w14:paraId="17CCED8E" w14:textId="77777777" w:rsidR="007B286B" w:rsidRPr="00D76CD3" w:rsidRDefault="007B286B" w:rsidP="00DB7BD2">
            <w:pPr>
              <w:rPr>
                <w:rFonts w:ascii="Times New Roman" w:hAnsi="Times New Roman"/>
                <w:sz w:val="20"/>
                <w:szCs w:val="20"/>
              </w:rPr>
            </w:pPr>
          </w:p>
        </w:tc>
        <w:tc>
          <w:tcPr>
            <w:tcW w:w="1134" w:type="dxa"/>
          </w:tcPr>
          <w:p w14:paraId="2BC228D2" w14:textId="77777777" w:rsidR="007B286B" w:rsidRPr="00D76CD3" w:rsidRDefault="007B286B" w:rsidP="00DB7BD2">
            <w:pPr>
              <w:rPr>
                <w:rFonts w:ascii="Times New Roman" w:hAnsi="Times New Roman"/>
                <w:sz w:val="20"/>
                <w:szCs w:val="20"/>
              </w:rPr>
            </w:pPr>
          </w:p>
        </w:tc>
        <w:tc>
          <w:tcPr>
            <w:tcW w:w="1134" w:type="dxa"/>
          </w:tcPr>
          <w:p w14:paraId="52A4B7A9" w14:textId="77777777" w:rsidR="007B286B" w:rsidRPr="00D76CD3" w:rsidRDefault="007B286B" w:rsidP="00DB7BD2">
            <w:pPr>
              <w:rPr>
                <w:rFonts w:ascii="Times New Roman" w:hAnsi="Times New Roman"/>
                <w:sz w:val="20"/>
                <w:szCs w:val="20"/>
              </w:rPr>
            </w:pPr>
          </w:p>
        </w:tc>
        <w:tc>
          <w:tcPr>
            <w:tcW w:w="1134" w:type="dxa"/>
          </w:tcPr>
          <w:p w14:paraId="1426B127" w14:textId="77777777" w:rsidR="007B286B" w:rsidRPr="00D76CD3" w:rsidRDefault="007B286B" w:rsidP="00DB7BD2">
            <w:pPr>
              <w:rPr>
                <w:rFonts w:ascii="Times New Roman" w:hAnsi="Times New Roman"/>
                <w:sz w:val="20"/>
                <w:szCs w:val="20"/>
              </w:rPr>
            </w:pPr>
          </w:p>
        </w:tc>
      </w:tr>
      <w:tr w:rsidR="0035371E" w:rsidRPr="00D76CD3" w14:paraId="4C270397" w14:textId="77777777" w:rsidTr="00125E3F">
        <w:trPr>
          <w:jc w:val="center"/>
        </w:trPr>
        <w:tc>
          <w:tcPr>
            <w:tcW w:w="3015" w:type="dxa"/>
            <w:vMerge w:val="restart"/>
          </w:tcPr>
          <w:p w14:paraId="73527CB0" w14:textId="00D52DC3" w:rsidR="0035371E" w:rsidRPr="00467227" w:rsidRDefault="0035371E" w:rsidP="00DB7BD2">
            <w:pPr>
              <w:rPr>
                <w:rFonts w:ascii="Times New Roman" w:hAnsi="Times New Roman"/>
              </w:rPr>
            </w:pPr>
            <w:r w:rsidRPr="00833F09">
              <w:rPr>
                <w:rFonts w:ascii="Times New Roman" w:hAnsi="Times New Roman"/>
                <w:b/>
              </w:rPr>
              <w:t>Output 2.3</w:t>
            </w:r>
            <w:r w:rsidRPr="00467227">
              <w:rPr>
                <w:rFonts w:ascii="Times New Roman" w:hAnsi="Times New Roman"/>
              </w:rPr>
              <w:t xml:space="preserve"> : Les valeurs et principes du service public et de l’administration sont appliqués dans la fonction publique</w:t>
            </w:r>
          </w:p>
        </w:tc>
        <w:tc>
          <w:tcPr>
            <w:tcW w:w="1551" w:type="dxa"/>
          </w:tcPr>
          <w:p w14:paraId="3E866D0A" w14:textId="77777777" w:rsidR="0035371E" w:rsidRPr="00D76CD3" w:rsidRDefault="0035371E" w:rsidP="00DB7BD2">
            <w:pPr>
              <w:rPr>
                <w:rFonts w:ascii="Times New Roman" w:hAnsi="Times New Roman"/>
                <w:sz w:val="20"/>
                <w:szCs w:val="20"/>
              </w:rPr>
            </w:pPr>
          </w:p>
        </w:tc>
        <w:tc>
          <w:tcPr>
            <w:tcW w:w="3449" w:type="dxa"/>
          </w:tcPr>
          <w:p w14:paraId="4611F146" w14:textId="3C7B3D1E" w:rsidR="0035371E" w:rsidRPr="007B286B" w:rsidRDefault="0035371E" w:rsidP="00DB7BD2">
            <w:pPr>
              <w:rPr>
                <w:rFonts w:ascii="Times New Roman" w:hAnsi="Times New Roman"/>
                <w:sz w:val="20"/>
                <w:szCs w:val="20"/>
              </w:rPr>
            </w:pPr>
            <w:r>
              <w:rPr>
                <w:rFonts w:ascii="Times New Roman" w:hAnsi="Times New Roman"/>
                <w:sz w:val="20"/>
                <w:szCs w:val="20"/>
              </w:rPr>
              <w:t>2.</w:t>
            </w:r>
            <w:r w:rsidRPr="00467227">
              <w:rPr>
                <w:rFonts w:ascii="Times New Roman" w:hAnsi="Times New Roman"/>
                <w:sz w:val="20"/>
                <w:szCs w:val="20"/>
              </w:rPr>
              <w:t>3.1 Diffusion de la loi 98-012 relations Administration et usagers et la charte africaine valeurs et principes FP</w:t>
            </w:r>
          </w:p>
        </w:tc>
        <w:tc>
          <w:tcPr>
            <w:tcW w:w="2045" w:type="dxa"/>
          </w:tcPr>
          <w:p w14:paraId="3961DFB3" w14:textId="77777777" w:rsidR="0035371E" w:rsidRPr="00D76CD3" w:rsidRDefault="0035371E" w:rsidP="00DB7BD2">
            <w:pPr>
              <w:rPr>
                <w:rFonts w:ascii="Times New Roman" w:hAnsi="Times New Roman"/>
                <w:sz w:val="20"/>
                <w:szCs w:val="20"/>
              </w:rPr>
            </w:pPr>
          </w:p>
        </w:tc>
        <w:tc>
          <w:tcPr>
            <w:tcW w:w="1134" w:type="dxa"/>
          </w:tcPr>
          <w:p w14:paraId="7ACFA4A0" w14:textId="77777777" w:rsidR="0035371E" w:rsidRPr="00D76CD3" w:rsidRDefault="0035371E" w:rsidP="00DB7BD2">
            <w:pPr>
              <w:rPr>
                <w:rFonts w:ascii="Times New Roman" w:hAnsi="Times New Roman"/>
                <w:sz w:val="20"/>
                <w:szCs w:val="20"/>
              </w:rPr>
            </w:pPr>
          </w:p>
        </w:tc>
        <w:tc>
          <w:tcPr>
            <w:tcW w:w="1134" w:type="dxa"/>
          </w:tcPr>
          <w:p w14:paraId="0AEB7CB9" w14:textId="77777777" w:rsidR="0035371E" w:rsidRPr="00D76CD3" w:rsidRDefault="0035371E" w:rsidP="00DB7BD2">
            <w:pPr>
              <w:rPr>
                <w:rFonts w:ascii="Times New Roman" w:hAnsi="Times New Roman"/>
                <w:sz w:val="20"/>
                <w:szCs w:val="20"/>
              </w:rPr>
            </w:pPr>
          </w:p>
        </w:tc>
        <w:tc>
          <w:tcPr>
            <w:tcW w:w="1134" w:type="dxa"/>
          </w:tcPr>
          <w:p w14:paraId="071C7C95" w14:textId="77777777" w:rsidR="0035371E" w:rsidRPr="00D76CD3" w:rsidRDefault="0035371E" w:rsidP="00DB7BD2">
            <w:pPr>
              <w:rPr>
                <w:rFonts w:ascii="Times New Roman" w:hAnsi="Times New Roman"/>
                <w:sz w:val="20"/>
                <w:szCs w:val="20"/>
              </w:rPr>
            </w:pPr>
          </w:p>
        </w:tc>
        <w:tc>
          <w:tcPr>
            <w:tcW w:w="1134" w:type="dxa"/>
          </w:tcPr>
          <w:p w14:paraId="6AE41C85" w14:textId="77777777" w:rsidR="0035371E" w:rsidRPr="00D76CD3" w:rsidRDefault="0035371E" w:rsidP="00DB7BD2">
            <w:pPr>
              <w:rPr>
                <w:rFonts w:ascii="Times New Roman" w:hAnsi="Times New Roman"/>
                <w:sz w:val="20"/>
                <w:szCs w:val="20"/>
              </w:rPr>
            </w:pPr>
          </w:p>
        </w:tc>
      </w:tr>
      <w:tr w:rsidR="0035371E" w:rsidRPr="00D76CD3" w14:paraId="05AA2B80" w14:textId="77777777" w:rsidTr="00125E3F">
        <w:trPr>
          <w:jc w:val="center"/>
        </w:trPr>
        <w:tc>
          <w:tcPr>
            <w:tcW w:w="3015" w:type="dxa"/>
            <w:vMerge/>
          </w:tcPr>
          <w:p w14:paraId="446D2AEE" w14:textId="77777777" w:rsidR="0035371E" w:rsidRPr="00DD400E" w:rsidRDefault="0035371E" w:rsidP="00DB7BD2">
            <w:pPr>
              <w:rPr>
                <w:rFonts w:ascii="Times New Roman" w:hAnsi="Times New Roman"/>
                <w:b/>
                <w:sz w:val="20"/>
                <w:szCs w:val="20"/>
              </w:rPr>
            </w:pPr>
          </w:p>
        </w:tc>
        <w:tc>
          <w:tcPr>
            <w:tcW w:w="1551" w:type="dxa"/>
          </w:tcPr>
          <w:p w14:paraId="2B14D42A" w14:textId="77777777" w:rsidR="0035371E" w:rsidRPr="00D76CD3" w:rsidRDefault="0035371E" w:rsidP="00DB7BD2">
            <w:pPr>
              <w:rPr>
                <w:rFonts w:ascii="Times New Roman" w:hAnsi="Times New Roman"/>
                <w:sz w:val="20"/>
                <w:szCs w:val="20"/>
              </w:rPr>
            </w:pPr>
          </w:p>
        </w:tc>
        <w:tc>
          <w:tcPr>
            <w:tcW w:w="3449" w:type="dxa"/>
          </w:tcPr>
          <w:p w14:paraId="591C11B8" w14:textId="7D15FB10" w:rsidR="0035371E" w:rsidRPr="007B286B" w:rsidRDefault="0035371E" w:rsidP="00DB7BD2">
            <w:pPr>
              <w:rPr>
                <w:rFonts w:ascii="Times New Roman" w:hAnsi="Times New Roman"/>
                <w:sz w:val="20"/>
                <w:szCs w:val="20"/>
              </w:rPr>
            </w:pPr>
            <w:r>
              <w:rPr>
                <w:rFonts w:ascii="Times New Roman" w:hAnsi="Times New Roman"/>
                <w:sz w:val="20"/>
                <w:szCs w:val="20"/>
              </w:rPr>
              <w:t>2.</w:t>
            </w:r>
            <w:r w:rsidRPr="00D94E2F">
              <w:rPr>
                <w:rFonts w:ascii="Times New Roman" w:hAnsi="Times New Roman"/>
                <w:sz w:val="20"/>
                <w:szCs w:val="20"/>
              </w:rPr>
              <w:t>3.2 Revue des codes de déontologie sectoriels</w:t>
            </w:r>
          </w:p>
        </w:tc>
        <w:tc>
          <w:tcPr>
            <w:tcW w:w="2045" w:type="dxa"/>
          </w:tcPr>
          <w:p w14:paraId="24E09E1B" w14:textId="77777777" w:rsidR="0035371E" w:rsidRPr="00D76CD3" w:rsidRDefault="0035371E" w:rsidP="00DB7BD2">
            <w:pPr>
              <w:rPr>
                <w:rFonts w:ascii="Times New Roman" w:hAnsi="Times New Roman"/>
                <w:sz w:val="20"/>
                <w:szCs w:val="20"/>
              </w:rPr>
            </w:pPr>
          </w:p>
        </w:tc>
        <w:tc>
          <w:tcPr>
            <w:tcW w:w="1134" w:type="dxa"/>
          </w:tcPr>
          <w:p w14:paraId="581E389D" w14:textId="77777777" w:rsidR="0035371E" w:rsidRPr="00D76CD3" w:rsidRDefault="0035371E" w:rsidP="00DB7BD2">
            <w:pPr>
              <w:rPr>
                <w:rFonts w:ascii="Times New Roman" w:hAnsi="Times New Roman"/>
                <w:sz w:val="20"/>
                <w:szCs w:val="20"/>
              </w:rPr>
            </w:pPr>
          </w:p>
        </w:tc>
        <w:tc>
          <w:tcPr>
            <w:tcW w:w="1134" w:type="dxa"/>
          </w:tcPr>
          <w:p w14:paraId="1A6ED1D4" w14:textId="77777777" w:rsidR="0035371E" w:rsidRPr="00D76CD3" w:rsidRDefault="0035371E" w:rsidP="00DB7BD2">
            <w:pPr>
              <w:rPr>
                <w:rFonts w:ascii="Times New Roman" w:hAnsi="Times New Roman"/>
                <w:sz w:val="20"/>
                <w:szCs w:val="20"/>
              </w:rPr>
            </w:pPr>
          </w:p>
        </w:tc>
        <w:tc>
          <w:tcPr>
            <w:tcW w:w="1134" w:type="dxa"/>
          </w:tcPr>
          <w:p w14:paraId="28746FFC" w14:textId="77777777" w:rsidR="0035371E" w:rsidRPr="00D76CD3" w:rsidRDefault="0035371E" w:rsidP="00DB7BD2">
            <w:pPr>
              <w:rPr>
                <w:rFonts w:ascii="Times New Roman" w:hAnsi="Times New Roman"/>
                <w:sz w:val="20"/>
                <w:szCs w:val="20"/>
              </w:rPr>
            </w:pPr>
          </w:p>
        </w:tc>
        <w:tc>
          <w:tcPr>
            <w:tcW w:w="1134" w:type="dxa"/>
          </w:tcPr>
          <w:p w14:paraId="15F8D258" w14:textId="77777777" w:rsidR="0035371E" w:rsidRPr="00D76CD3" w:rsidRDefault="0035371E" w:rsidP="00DB7BD2">
            <w:pPr>
              <w:rPr>
                <w:rFonts w:ascii="Times New Roman" w:hAnsi="Times New Roman"/>
                <w:sz w:val="20"/>
                <w:szCs w:val="20"/>
              </w:rPr>
            </w:pPr>
          </w:p>
        </w:tc>
      </w:tr>
      <w:tr w:rsidR="0035371E" w:rsidRPr="00D76CD3" w14:paraId="05160F92" w14:textId="77777777" w:rsidTr="00125E3F">
        <w:trPr>
          <w:jc w:val="center"/>
        </w:trPr>
        <w:tc>
          <w:tcPr>
            <w:tcW w:w="3015" w:type="dxa"/>
            <w:vMerge/>
          </w:tcPr>
          <w:p w14:paraId="05CA276E" w14:textId="77777777" w:rsidR="0035371E" w:rsidRPr="00DD400E" w:rsidRDefault="0035371E" w:rsidP="00DB7BD2">
            <w:pPr>
              <w:rPr>
                <w:rFonts w:ascii="Times New Roman" w:hAnsi="Times New Roman"/>
                <w:b/>
                <w:sz w:val="20"/>
                <w:szCs w:val="20"/>
              </w:rPr>
            </w:pPr>
          </w:p>
        </w:tc>
        <w:tc>
          <w:tcPr>
            <w:tcW w:w="1551" w:type="dxa"/>
          </w:tcPr>
          <w:p w14:paraId="37575C9C" w14:textId="77777777" w:rsidR="0035371E" w:rsidRPr="00D76CD3" w:rsidRDefault="0035371E" w:rsidP="00DB7BD2">
            <w:pPr>
              <w:rPr>
                <w:rFonts w:ascii="Times New Roman" w:hAnsi="Times New Roman"/>
                <w:sz w:val="20"/>
                <w:szCs w:val="20"/>
              </w:rPr>
            </w:pPr>
          </w:p>
        </w:tc>
        <w:tc>
          <w:tcPr>
            <w:tcW w:w="3449" w:type="dxa"/>
          </w:tcPr>
          <w:p w14:paraId="2D88A89C" w14:textId="59C48D48" w:rsidR="0035371E" w:rsidRPr="007B286B" w:rsidRDefault="0035371E" w:rsidP="00DB7BD2">
            <w:pPr>
              <w:rPr>
                <w:rFonts w:ascii="Times New Roman" w:hAnsi="Times New Roman"/>
                <w:sz w:val="20"/>
                <w:szCs w:val="20"/>
              </w:rPr>
            </w:pPr>
            <w:r w:rsidRPr="00D94E2F">
              <w:rPr>
                <w:rFonts w:ascii="Times New Roman" w:hAnsi="Times New Roman"/>
                <w:sz w:val="20"/>
                <w:szCs w:val="20"/>
              </w:rPr>
              <w:t xml:space="preserve">3.3 Mise en place </w:t>
            </w:r>
            <w:r>
              <w:rPr>
                <w:rFonts w:ascii="Times New Roman" w:hAnsi="Times New Roman"/>
                <w:sz w:val="20"/>
                <w:szCs w:val="20"/>
              </w:rPr>
              <w:t>et r</w:t>
            </w:r>
            <w:r w:rsidRPr="00967E2A">
              <w:rPr>
                <w:rFonts w:ascii="Times New Roman" w:hAnsi="Times New Roman"/>
                <w:sz w:val="20"/>
                <w:szCs w:val="20"/>
              </w:rPr>
              <w:t xml:space="preserve">enforcement des capacités </w:t>
            </w:r>
            <w:r w:rsidRPr="00D94E2F">
              <w:rPr>
                <w:rFonts w:ascii="Times New Roman" w:hAnsi="Times New Roman"/>
                <w:sz w:val="20"/>
                <w:szCs w:val="20"/>
              </w:rPr>
              <w:t>de la structure en charge de l'éthique</w:t>
            </w:r>
            <w:r>
              <w:rPr>
                <w:rFonts w:ascii="Times New Roman" w:hAnsi="Times New Roman"/>
                <w:sz w:val="20"/>
                <w:szCs w:val="20"/>
              </w:rPr>
              <w:t xml:space="preserve"> de l’agent public</w:t>
            </w:r>
          </w:p>
        </w:tc>
        <w:tc>
          <w:tcPr>
            <w:tcW w:w="2045" w:type="dxa"/>
          </w:tcPr>
          <w:p w14:paraId="6EB93DA3" w14:textId="77777777" w:rsidR="0035371E" w:rsidRPr="00D76CD3" w:rsidRDefault="0035371E" w:rsidP="00DB7BD2">
            <w:pPr>
              <w:rPr>
                <w:rFonts w:ascii="Times New Roman" w:hAnsi="Times New Roman"/>
                <w:sz w:val="20"/>
                <w:szCs w:val="20"/>
              </w:rPr>
            </w:pPr>
          </w:p>
        </w:tc>
        <w:tc>
          <w:tcPr>
            <w:tcW w:w="1134" w:type="dxa"/>
          </w:tcPr>
          <w:p w14:paraId="537E95AB" w14:textId="77777777" w:rsidR="0035371E" w:rsidRPr="00D76CD3" w:rsidRDefault="0035371E" w:rsidP="00DB7BD2">
            <w:pPr>
              <w:rPr>
                <w:rFonts w:ascii="Times New Roman" w:hAnsi="Times New Roman"/>
                <w:sz w:val="20"/>
                <w:szCs w:val="20"/>
              </w:rPr>
            </w:pPr>
          </w:p>
        </w:tc>
        <w:tc>
          <w:tcPr>
            <w:tcW w:w="1134" w:type="dxa"/>
          </w:tcPr>
          <w:p w14:paraId="3A4099E9" w14:textId="77777777" w:rsidR="0035371E" w:rsidRPr="00D76CD3" w:rsidRDefault="0035371E" w:rsidP="00DB7BD2">
            <w:pPr>
              <w:rPr>
                <w:rFonts w:ascii="Times New Roman" w:hAnsi="Times New Roman"/>
                <w:sz w:val="20"/>
                <w:szCs w:val="20"/>
              </w:rPr>
            </w:pPr>
          </w:p>
        </w:tc>
        <w:tc>
          <w:tcPr>
            <w:tcW w:w="1134" w:type="dxa"/>
          </w:tcPr>
          <w:p w14:paraId="5B5D62D9" w14:textId="77777777" w:rsidR="0035371E" w:rsidRPr="00D76CD3" w:rsidRDefault="0035371E" w:rsidP="00DB7BD2">
            <w:pPr>
              <w:rPr>
                <w:rFonts w:ascii="Times New Roman" w:hAnsi="Times New Roman"/>
                <w:sz w:val="20"/>
                <w:szCs w:val="20"/>
              </w:rPr>
            </w:pPr>
          </w:p>
        </w:tc>
        <w:tc>
          <w:tcPr>
            <w:tcW w:w="1134" w:type="dxa"/>
          </w:tcPr>
          <w:p w14:paraId="28A60B8E" w14:textId="77777777" w:rsidR="0035371E" w:rsidRPr="00D76CD3" w:rsidRDefault="0035371E" w:rsidP="00DB7BD2">
            <w:pPr>
              <w:rPr>
                <w:rFonts w:ascii="Times New Roman" w:hAnsi="Times New Roman"/>
                <w:sz w:val="20"/>
                <w:szCs w:val="20"/>
              </w:rPr>
            </w:pPr>
          </w:p>
        </w:tc>
      </w:tr>
      <w:tr w:rsidR="0035371E" w:rsidRPr="00D76CD3" w14:paraId="2C070C3B" w14:textId="77777777" w:rsidTr="00125E3F">
        <w:trPr>
          <w:jc w:val="center"/>
        </w:trPr>
        <w:tc>
          <w:tcPr>
            <w:tcW w:w="3015" w:type="dxa"/>
            <w:vMerge/>
          </w:tcPr>
          <w:p w14:paraId="106AE0A7" w14:textId="77777777" w:rsidR="0035371E" w:rsidRPr="00DD400E" w:rsidRDefault="0035371E" w:rsidP="00DB7BD2">
            <w:pPr>
              <w:rPr>
                <w:rFonts w:ascii="Times New Roman" w:hAnsi="Times New Roman"/>
                <w:b/>
                <w:sz w:val="20"/>
                <w:szCs w:val="20"/>
              </w:rPr>
            </w:pPr>
          </w:p>
        </w:tc>
        <w:tc>
          <w:tcPr>
            <w:tcW w:w="1551" w:type="dxa"/>
          </w:tcPr>
          <w:p w14:paraId="6F39248E" w14:textId="77777777" w:rsidR="0035371E" w:rsidRPr="00D76CD3" w:rsidRDefault="0035371E" w:rsidP="00DB7BD2">
            <w:pPr>
              <w:rPr>
                <w:rFonts w:ascii="Times New Roman" w:hAnsi="Times New Roman"/>
                <w:sz w:val="20"/>
                <w:szCs w:val="20"/>
              </w:rPr>
            </w:pPr>
          </w:p>
        </w:tc>
        <w:tc>
          <w:tcPr>
            <w:tcW w:w="3449" w:type="dxa"/>
          </w:tcPr>
          <w:p w14:paraId="7E3C5D22" w14:textId="7AA7B3E7" w:rsidR="0035371E" w:rsidRPr="007B286B" w:rsidRDefault="0035371E" w:rsidP="00DB7BD2">
            <w:pPr>
              <w:rPr>
                <w:rFonts w:ascii="Times New Roman" w:hAnsi="Times New Roman"/>
                <w:sz w:val="20"/>
                <w:szCs w:val="20"/>
              </w:rPr>
            </w:pPr>
            <w:r>
              <w:rPr>
                <w:rFonts w:ascii="Times New Roman" w:hAnsi="Times New Roman"/>
                <w:sz w:val="20"/>
                <w:szCs w:val="20"/>
              </w:rPr>
              <w:t>2.3.4 Institutionnaliser l</w:t>
            </w:r>
            <w:r w:rsidR="00B67139">
              <w:rPr>
                <w:rFonts w:ascii="Times New Roman" w:hAnsi="Times New Roman"/>
                <w:sz w:val="20"/>
                <w:szCs w:val="20"/>
              </w:rPr>
              <w:t xml:space="preserve">es contrats </w:t>
            </w:r>
            <w:r>
              <w:rPr>
                <w:rFonts w:ascii="Times New Roman" w:hAnsi="Times New Roman"/>
                <w:sz w:val="20"/>
                <w:szCs w:val="20"/>
              </w:rPr>
              <w:t>de performance pour l</w:t>
            </w:r>
            <w:r w:rsidR="00893BB3">
              <w:rPr>
                <w:rFonts w:ascii="Times New Roman" w:hAnsi="Times New Roman"/>
                <w:sz w:val="20"/>
                <w:szCs w:val="20"/>
              </w:rPr>
              <w:t>es cadres supérieurs</w:t>
            </w:r>
          </w:p>
        </w:tc>
        <w:tc>
          <w:tcPr>
            <w:tcW w:w="2045" w:type="dxa"/>
          </w:tcPr>
          <w:p w14:paraId="6CCDE3CD" w14:textId="77777777" w:rsidR="0035371E" w:rsidRPr="00D76CD3" w:rsidRDefault="0035371E" w:rsidP="00DB7BD2">
            <w:pPr>
              <w:rPr>
                <w:rFonts w:ascii="Times New Roman" w:hAnsi="Times New Roman"/>
                <w:sz w:val="20"/>
                <w:szCs w:val="20"/>
              </w:rPr>
            </w:pPr>
          </w:p>
        </w:tc>
        <w:tc>
          <w:tcPr>
            <w:tcW w:w="1134" w:type="dxa"/>
          </w:tcPr>
          <w:p w14:paraId="31A91274" w14:textId="77777777" w:rsidR="0035371E" w:rsidRPr="00D76CD3" w:rsidRDefault="0035371E" w:rsidP="00DB7BD2">
            <w:pPr>
              <w:rPr>
                <w:rFonts w:ascii="Times New Roman" w:hAnsi="Times New Roman"/>
                <w:sz w:val="20"/>
                <w:szCs w:val="20"/>
              </w:rPr>
            </w:pPr>
          </w:p>
        </w:tc>
        <w:tc>
          <w:tcPr>
            <w:tcW w:w="1134" w:type="dxa"/>
          </w:tcPr>
          <w:p w14:paraId="3E35C408" w14:textId="77777777" w:rsidR="0035371E" w:rsidRPr="00D76CD3" w:rsidRDefault="0035371E" w:rsidP="00DB7BD2">
            <w:pPr>
              <w:rPr>
                <w:rFonts w:ascii="Times New Roman" w:hAnsi="Times New Roman"/>
                <w:sz w:val="20"/>
                <w:szCs w:val="20"/>
              </w:rPr>
            </w:pPr>
          </w:p>
        </w:tc>
        <w:tc>
          <w:tcPr>
            <w:tcW w:w="1134" w:type="dxa"/>
          </w:tcPr>
          <w:p w14:paraId="2FAE4338" w14:textId="77777777" w:rsidR="0035371E" w:rsidRPr="00D76CD3" w:rsidRDefault="0035371E" w:rsidP="00DB7BD2">
            <w:pPr>
              <w:rPr>
                <w:rFonts w:ascii="Times New Roman" w:hAnsi="Times New Roman"/>
                <w:sz w:val="20"/>
                <w:szCs w:val="20"/>
              </w:rPr>
            </w:pPr>
          </w:p>
        </w:tc>
        <w:tc>
          <w:tcPr>
            <w:tcW w:w="1134" w:type="dxa"/>
          </w:tcPr>
          <w:p w14:paraId="4B558CCA" w14:textId="77777777" w:rsidR="0035371E" w:rsidRPr="00D76CD3" w:rsidRDefault="0035371E" w:rsidP="00DB7BD2">
            <w:pPr>
              <w:rPr>
                <w:rFonts w:ascii="Times New Roman" w:hAnsi="Times New Roman"/>
                <w:sz w:val="20"/>
                <w:szCs w:val="20"/>
              </w:rPr>
            </w:pPr>
          </w:p>
        </w:tc>
      </w:tr>
      <w:tr w:rsidR="0035371E" w:rsidRPr="00D76CD3" w14:paraId="05CDFA79" w14:textId="77777777" w:rsidTr="00125E3F">
        <w:trPr>
          <w:jc w:val="center"/>
        </w:trPr>
        <w:tc>
          <w:tcPr>
            <w:tcW w:w="3015" w:type="dxa"/>
            <w:vMerge/>
          </w:tcPr>
          <w:p w14:paraId="07890169" w14:textId="77777777" w:rsidR="0035371E" w:rsidRPr="00D76CD3" w:rsidRDefault="0035371E" w:rsidP="00DB7BD2">
            <w:pPr>
              <w:rPr>
                <w:rFonts w:ascii="Times New Roman" w:hAnsi="Times New Roman"/>
                <w:sz w:val="20"/>
                <w:szCs w:val="20"/>
              </w:rPr>
            </w:pPr>
          </w:p>
        </w:tc>
        <w:tc>
          <w:tcPr>
            <w:tcW w:w="1551" w:type="dxa"/>
          </w:tcPr>
          <w:p w14:paraId="2E07C4C1" w14:textId="77777777" w:rsidR="0035371E" w:rsidRPr="00D76CD3" w:rsidRDefault="0035371E" w:rsidP="00DB7BD2">
            <w:pPr>
              <w:rPr>
                <w:rFonts w:ascii="Times New Roman" w:hAnsi="Times New Roman"/>
                <w:sz w:val="20"/>
                <w:szCs w:val="20"/>
              </w:rPr>
            </w:pPr>
          </w:p>
        </w:tc>
        <w:tc>
          <w:tcPr>
            <w:tcW w:w="3449" w:type="dxa"/>
          </w:tcPr>
          <w:p w14:paraId="7B13EF02" w14:textId="5F019470" w:rsidR="0035371E" w:rsidRPr="007B286B" w:rsidRDefault="0035371E" w:rsidP="00DB7BD2">
            <w:pPr>
              <w:rPr>
                <w:rFonts w:ascii="Times New Roman" w:hAnsi="Times New Roman"/>
                <w:sz w:val="20"/>
                <w:szCs w:val="20"/>
              </w:rPr>
            </w:pPr>
            <w:r>
              <w:rPr>
                <w:rFonts w:ascii="Times New Roman" w:hAnsi="Times New Roman"/>
                <w:sz w:val="20"/>
                <w:szCs w:val="20"/>
              </w:rPr>
              <w:t>2.</w:t>
            </w:r>
            <w:r w:rsidRPr="0035371E">
              <w:rPr>
                <w:rFonts w:ascii="Times New Roman" w:hAnsi="Times New Roman"/>
                <w:sz w:val="20"/>
                <w:szCs w:val="20"/>
              </w:rPr>
              <w:t>3.5 Appuyer l'implantation de l'application GRH de l'</w:t>
            </w:r>
            <w:r w:rsidR="005B00EE">
              <w:rPr>
                <w:rFonts w:ascii="Times New Roman" w:hAnsi="Times New Roman"/>
                <w:sz w:val="20"/>
                <w:szCs w:val="20"/>
              </w:rPr>
              <w:t>É</w:t>
            </w:r>
            <w:r w:rsidRPr="0035371E">
              <w:rPr>
                <w:rFonts w:ascii="Times New Roman" w:hAnsi="Times New Roman"/>
                <w:sz w:val="20"/>
                <w:szCs w:val="20"/>
              </w:rPr>
              <w:t>tat</w:t>
            </w:r>
          </w:p>
        </w:tc>
        <w:tc>
          <w:tcPr>
            <w:tcW w:w="2045" w:type="dxa"/>
          </w:tcPr>
          <w:p w14:paraId="46C52A32" w14:textId="77777777" w:rsidR="0035371E" w:rsidRPr="00D76CD3" w:rsidRDefault="0035371E" w:rsidP="00DB7BD2">
            <w:pPr>
              <w:rPr>
                <w:rFonts w:ascii="Times New Roman" w:hAnsi="Times New Roman"/>
                <w:sz w:val="20"/>
                <w:szCs w:val="20"/>
              </w:rPr>
            </w:pPr>
          </w:p>
        </w:tc>
        <w:tc>
          <w:tcPr>
            <w:tcW w:w="1134" w:type="dxa"/>
          </w:tcPr>
          <w:p w14:paraId="14F08D6B" w14:textId="77777777" w:rsidR="0035371E" w:rsidRPr="00D76CD3" w:rsidRDefault="0035371E" w:rsidP="00DB7BD2">
            <w:pPr>
              <w:rPr>
                <w:rFonts w:ascii="Times New Roman" w:hAnsi="Times New Roman"/>
                <w:sz w:val="20"/>
                <w:szCs w:val="20"/>
              </w:rPr>
            </w:pPr>
          </w:p>
        </w:tc>
        <w:tc>
          <w:tcPr>
            <w:tcW w:w="1134" w:type="dxa"/>
          </w:tcPr>
          <w:p w14:paraId="6B6DFFC2" w14:textId="77777777" w:rsidR="0035371E" w:rsidRPr="00D76CD3" w:rsidRDefault="0035371E" w:rsidP="00DB7BD2">
            <w:pPr>
              <w:rPr>
                <w:rFonts w:ascii="Times New Roman" w:hAnsi="Times New Roman"/>
                <w:sz w:val="20"/>
                <w:szCs w:val="20"/>
              </w:rPr>
            </w:pPr>
          </w:p>
        </w:tc>
        <w:tc>
          <w:tcPr>
            <w:tcW w:w="1134" w:type="dxa"/>
          </w:tcPr>
          <w:p w14:paraId="75F9B706" w14:textId="77777777" w:rsidR="0035371E" w:rsidRPr="00D76CD3" w:rsidRDefault="0035371E" w:rsidP="00DB7BD2">
            <w:pPr>
              <w:rPr>
                <w:rFonts w:ascii="Times New Roman" w:hAnsi="Times New Roman"/>
                <w:sz w:val="20"/>
                <w:szCs w:val="20"/>
              </w:rPr>
            </w:pPr>
          </w:p>
        </w:tc>
        <w:tc>
          <w:tcPr>
            <w:tcW w:w="1134" w:type="dxa"/>
          </w:tcPr>
          <w:p w14:paraId="07EF63A2" w14:textId="77777777" w:rsidR="0035371E" w:rsidRPr="00D76CD3" w:rsidRDefault="0035371E" w:rsidP="00DB7BD2">
            <w:pPr>
              <w:rPr>
                <w:rFonts w:ascii="Times New Roman" w:hAnsi="Times New Roman"/>
                <w:sz w:val="20"/>
                <w:szCs w:val="20"/>
              </w:rPr>
            </w:pPr>
          </w:p>
        </w:tc>
      </w:tr>
      <w:tr w:rsidR="007B286B" w:rsidRPr="00D76CD3" w14:paraId="0B806BFB" w14:textId="77777777" w:rsidTr="00125E3F">
        <w:trPr>
          <w:jc w:val="center"/>
        </w:trPr>
        <w:tc>
          <w:tcPr>
            <w:tcW w:w="3015" w:type="dxa"/>
          </w:tcPr>
          <w:p w14:paraId="330DF5EA" w14:textId="77777777" w:rsidR="007B286B" w:rsidRPr="00D76CD3" w:rsidRDefault="007B286B" w:rsidP="00DB7BD2">
            <w:pPr>
              <w:rPr>
                <w:rFonts w:ascii="Times New Roman" w:hAnsi="Times New Roman"/>
                <w:sz w:val="20"/>
                <w:szCs w:val="20"/>
              </w:rPr>
            </w:pPr>
          </w:p>
        </w:tc>
        <w:tc>
          <w:tcPr>
            <w:tcW w:w="1551" w:type="dxa"/>
          </w:tcPr>
          <w:p w14:paraId="399FF0F1" w14:textId="77777777" w:rsidR="007B286B" w:rsidRPr="00D76CD3" w:rsidRDefault="007B286B" w:rsidP="00DB7BD2">
            <w:pPr>
              <w:rPr>
                <w:rFonts w:ascii="Times New Roman" w:hAnsi="Times New Roman"/>
                <w:sz w:val="20"/>
                <w:szCs w:val="20"/>
              </w:rPr>
            </w:pPr>
          </w:p>
        </w:tc>
        <w:tc>
          <w:tcPr>
            <w:tcW w:w="3449" w:type="dxa"/>
          </w:tcPr>
          <w:p w14:paraId="47EB2CB6" w14:textId="77777777" w:rsidR="007B286B" w:rsidRPr="007B286B" w:rsidRDefault="007B286B" w:rsidP="00DB7BD2">
            <w:pPr>
              <w:rPr>
                <w:rFonts w:ascii="Times New Roman" w:hAnsi="Times New Roman"/>
                <w:sz w:val="20"/>
                <w:szCs w:val="20"/>
              </w:rPr>
            </w:pPr>
          </w:p>
        </w:tc>
        <w:tc>
          <w:tcPr>
            <w:tcW w:w="2045" w:type="dxa"/>
          </w:tcPr>
          <w:p w14:paraId="241F0FD2" w14:textId="77777777" w:rsidR="007B286B" w:rsidRPr="00D76CD3" w:rsidRDefault="007B286B" w:rsidP="00DB7BD2">
            <w:pPr>
              <w:rPr>
                <w:rFonts w:ascii="Times New Roman" w:hAnsi="Times New Roman"/>
                <w:sz w:val="20"/>
                <w:szCs w:val="20"/>
              </w:rPr>
            </w:pPr>
          </w:p>
        </w:tc>
        <w:tc>
          <w:tcPr>
            <w:tcW w:w="1134" w:type="dxa"/>
          </w:tcPr>
          <w:p w14:paraId="56AEACA0" w14:textId="77777777" w:rsidR="007B286B" w:rsidRPr="00D76CD3" w:rsidRDefault="007B286B" w:rsidP="00DB7BD2">
            <w:pPr>
              <w:rPr>
                <w:rFonts w:ascii="Times New Roman" w:hAnsi="Times New Roman"/>
                <w:sz w:val="20"/>
                <w:szCs w:val="20"/>
              </w:rPr>
            </w:pPr>
          </w:p>
        </w:tc>
        <w:tc>
          <w:tcPr>
            <w:tcW w:w="1134" w:type="dxa"/>
          </w:tcPr>
          <w:p w14:paraId="06215EF4" w14:textId="77777777" w:rsidR="007B286B" w:rsidRPr="00D76CD3" w:rsidRDefault="007B286B" w:rsidP="00DB7BD2">
            <w:pPr>
              <w:rPr>
                <w:rFonts w:ascii="Times New Roman" w:hAnsi="Times New Roman"/>
                <w:sz w:val="20"/>
                <w:szCs w:val="20"/>
              </w:rPr>
            </w:pPr>
          </w:p>
        </w:tc>
        <w:tc>
          <w:tcPr>
            <w:tcW w:w="1134" w:type="dxa"/>
          </w:tcPr>
          <w:p w14:paraId="49446E89" w14:textId="77777777" w:rsidR="007B286B" w:rsidRPr="00D76CD3" w:rsidRDefault="007B286B" w:rsidP="00DB7BD2">
            <w:pPr>
              <w:rPr>
                <w:rFonts w:ascii="Times New Roman" w:hAnsi="Times New Roman"/>
                <w:sz w:val="20"/>
                <w:szCs w:val="20"/>
              </w:rPr>
            </w:pPr>
          </w:p>
        </w:tc>
        <w:tc>
          <w:tcPr>
            <w:tcW w:w="1134" w:type="dxa"/>
          </w:tcPr>
          <w:p w14:paraId="61516AF0" w14:textId="77777777" w:rsidR="007B286B" w:rsidRPr="00D76CD3" w:rsidRDefault="007B286B" w:rsidP="00DB7BD2">
            <w:pPr>
              <w:rPr>
                <w:rFonts w:ascii="Times New Roman" w:hAnsi="Times New Roman"/>
                <w:sz w:val="20"/>
                <w:szCs w:val="20"/>
              </w:rPr>
            </w:pPr>
          </w:p>
        </w:tc>
      </w:tr>
      <w:tr w:rsidR="008A452E" w:rsidRPr="00D76CD3" w14:paraId="561AA359" w14:textId="77777777" w:rsidTr="00125E3F">
        <w:trPr>
          <w:jc w:val="center"/>
        </w:trPr>
        <w:tc>
          <w:tcPr>
            <w:tcW w:w="14596" w:type="dxa"/>
            <w:gridSpan w:val="8"/>
            <w:shd w:val="clear" w:color="auto" w:fill="FFE599" w:themeFill="accent4" w:themeFillTint="66"/>
          </w:tcPr>
          <w:p w14:paraId="4B0D3E44" w14:textId="0F123D88" w:rsidR="008A452E" w:rsidRPr="008A452E" w:rsidRDefault="008A452E" w:rsidP="008A452E">
            <w:pPr>
              <w:jc w:val="both"/>
              <w:rPr>
                <w:rFonts w:ascii="Times New Roman" w:hAnsi="Times New Roman"/>
                <w:b/>
                <w:sz w:val="24"/>
                <w:szCs w:val="24"/>
              </w:rPr>
            </w:pPr>
            <w:proofErr w:type="spellStart"/>
            <w:r w:rsidRPr="008A452E">
              <w:rPr>
                <w:rFonts w:ascii="Times New Roman" w:hAnsi="Times New Roman"/>
                <w:b/>
                <w:sz w:val="24"/>
                <w:szCs w:val="24"/>
              </w:rPr>
              <w:t>Outcom</w:t>
            </w:r>
            <w:proofErr w:type="spellEnd"/>
            <w:r w:rsidRPr="008A452E">
              <w:rPr>
                <w:rFonts w:ascii="Times New Roman" w:hAnsi="Times New Roman"/>
                <w:b/>
                <w:sz w:val="24"/>
                <w:szCs w:val="24"/>
              </w:rPr>
              <w:t xml:space="preserve"> 3 : L’offre de services en ligne est améliorée et la fonction publique est plus redevable</w:t>
            </w:r>
          </w:p>
        </w:tc>
      </w:tr>
      <w:tr w:rsidR="00FE4034" w:rsidRPr="00D76CD3" w14:paraId="5DD5D8E2" w14:textId="77777777" w:rsidTr="00125E3F">
        <w:trPr>
          <w:jc w:val="center"/>
        </w:trPr>
        <w:tc>
          <w:tcPr>
            <w:tcW w:w="3015" w:type="dxa"/>
            <w:vMerge w:val="restart"/>
          </w:tcPr>
          <w:p w14:paraId="111333D1" w14:textId="62EF8664" w:rsidR="00FE4034" w:rsidRPr="00D76CD3" w:rsidRDefault="00FE4034" w:rsidP="00DB7BD2">
            <w:pPr>
              <w:rPr>
                <w:rFonts w:ascii="Times New Roman" w:hAnsi="Times New Roman"/>
                <w:sz w:val="20"/>
                <w:szCs w:val="20"/>
              </w:rPr>
            </w:pPr>
            <w:r w:rsidRPr="00C30C20">
              <w:rPr>
                <w:rFonts w:ascii="Times New Roman" w:hAnsi="Times New Roman"/>
                <w:b/>
              </w:rPr>
              <w:t>Output 3.1</w:t>
            </w:r>
            <w:r w:rsidRPr="00AB5DED">
              <w:rPr>
                <w:rFonts w:ascii="Times New Roman" w:hAnsi="Times New Roman"/>
              </w:rPr>
              <w:t xml:space="preserve"> : Les services publics sont plus proches des usagers (citoyens et entreprises)</w:t>
            </w:r>
          </w:p>
        </w:tc>
        <w:tc>
          <w:tcPr>
            <w:tcW w:w="1551" w:type="dxa"/>
          </w:tcPr>
          <w:p w14:paraId="28B79EC3" w14:textId="77777777" w:rsidR="00FE4034" w:rsidRPr="00D76CD3" w:rsidRDefault="00FE4034" w:rsidP="00DB7BD2">
            <w:pPr>
              <w:rPr>
                <w:rFonts w:ascii="Times New Roman" w:hAnsi="Times New Roman"/>
                <w:sz w:val="20"/>
                <w:szCs w:val="20"/>
              </w:rPr>
            </w:pPr>
          </w:p>
        </w:tc>
        <w:tc>
          <w:tcPr>
            <w:tcW w:w="3449" w:type="dxa"/>
          </w:tcPr>
          <w:p w14:paraId="27525D68" w14:textId="59FFD194" w:rsidR="00FE4034" w:rsidRPr="007B286B" w:rsidRDefault="00FE4034" w:rsidP="00DB7BD2">
            <w:pPr>
              <w:rPr>
                <w:rFonts w:ascii="Times New Roman" w:hAnsi="Times New Roman"/>
                <w:sz w:val="20"/>
                <w:szCs w:val="20"/>
              </w:rPr>
            </w:pPr>
            <w:r w:rsidRPr="00965340">
              <w:rPr>
                <w:rFonts w:ascii="Times New Roman" w:hAnsi="Times New Roman"/>
                <w:sz w:val="20"/>
                <w:szCs w:val="20"/>
              </w:rPr>
              <w:t>3.1.1 Faire un état des lieux de l'offre de service en ligne</w:t>
            </w:r>
          </w:p>
        </w:tc>
        <w:tc>
          <w:tcPr>
            <w:tcW w:w="2045" w:type="dxa"/>
          </w:tcPr>
          <w:p w14:paraId="1DD62BF6" w14:textId="77777777" w:rsidR="00FE4034" w:rsidRPr="00D76CD3" w:rsidRDefault="00FE4034" w:rsidP="00DB7BD2">
            <w:pPr>
              <w:rPr>
                <w:rFonts w:ascii="Times New Roman" w:hAnsi="Times New Roman"/>
                <w:sz w:val="20"/>
                <w:szCs w:val="20"/>
              </w:rPr>
            </w:pPr>
          </w:p>
        </w:tc>
        <w:tc>
          <w:tcPr>
            <w:tcW w:w="1134" w:type="dxa"/>
          </w:tcPr>
          <w:p w14:paraId="3C61334A" w14:textId="77777777" w:rsidR="00FE4034" w:rsidRPr="00D76CD3" w:rsidRDefault="00FE4034" w:rsidP="00DB7BD2">
            <w:pPr>
              <w:rPr>
                <w:rFonts w:ascii="Times New Roman" w:hAnsi="Times New Roman"/>
                <w:sz w:val="20"/>
                <w:szCs w:val="20"/>
              </w:rPr>
            </w:pPr>
          </w:p>
        </w:tc>
        <w:tc>
          <w:tcPr>
            <w:tcW w:w="1134" w:type="dxa"/>
          </w:tcPr>
          <w:p w14:paraId="77F97D30" w14:textId="77777777" w:rsidR="00FE4034" w:rsidRPr="00D76CD3" w:rsidRDefault="00FE4034" w:rsidP="00DB7BD2">
            <w:pPr>
              <w:rPr>
                <w:rFonts w:ascii="Times New Roman" w:hAnsi="Times New Roman"/>
                <w:sz w:val="20"/>
                <w:szCs w:val="20"/>
              </w:rPr>
            </w:pPr>
          </w:p>
        </w:tc>
        <w:tc>
          <w:tcPr>
            <w:tcW w:w="1134" w:type="dxa"/>
          </w:tcPr>
          <w:p w14:paraId="39449C70" w14:textId="77777777" w:rsidR="00FE4034" w:rsidRPr="00D76CD3" w:rsidRDefault="00FE4034" w:rsidP="00DB7BD2">
            <w:pPr>
              <w:rPr>
                <w:rFonts w:ascii="Times New Roman" w:hAnsi="Times New Roman"/>
                <w:sz w:val="20"/>
                <w:szCs w:val="20"/>
              </w:rPr>
            </w:pPr>
          </w:p>
        </w:tc>
        <w:tc>
          <w:tcPr>
            <w:tcW w:w="1134" w:type="dxa"/>
          </w:tcPr>
          <w:p w14:paraId="18325439" w14:textId="77777777" w:rsidR="00FE4034" w:rsidRPr="00D76CD3" w:rsidRDefault="00FE4034" w:rsidP="00DB7BD2">
            <w:pPr>
              <w:rPr>
                <w:rFonts w:ascii="Times New Roman" w:hAnsi="Times New Roman"/>
                <w:sz w:val="20"/>
                <w:szCs w:val="20"/>
              </w:rPr>
            </w:pPr>
          </w:p>
        </w:tc>
      </w:tr>
      <w:tr w:rsidR="00FE4034" w:rsidRPr="00D76CD3" w14:paraId="1C85CE75" w14:textId="77777777" w:rsidTr="00125E3F">
        <w:trPr>
          <w:jc w:val="center"/>
        </w:trPr>
        <w:tc>
          <w:tcPr>
            <w:tcW w:w="3015" w:type="dxa"/>
            <w:vMerge/>
          </w:tcPr>
          <w:p w14:paraId="3BF03C14" w14:textId="77777777" w:rsidR="00FE4034" w:rsidRPr="00D76CD3" w:rsidRDefault="00FE4034" w:rsidP="00DB7BD2">
            <w:pPr>
              <w:rPr>
                <w:rFonts w:ascii="Times New Roman" w:hAnsi="Times New Roman"/>
                <w:sz w:val="20"/>
                <w:szCs w:val="20"/>
              </w:rPr>
            </w:pPr>
          </w:p>
        </w:tc>
        <w:tc>
          <w:tcPr>
            <w:tcW w:w="1551" w:type="dxa"/>
          </w:tcPr>
          <w:p w14:paraId="0A3DA0C3" w14:textId="77777777" w:rsidR="00FE4034" w:rsidRPr="00D76CD3" w:rsidRDefault="00FE4034" w:rsidP="00DB7BD2">
            <w:pPr>
              <w:rPr>
                <w:rFonts w:ascii="Times New Roman" w:hAnsi="Times New Roman"/>
                <w:sz w:val="20"/>
                <w:szCs w:val="20"/>
              </w:rPr>
            </w:pPr>
          </w:p>
        </w:tc>
        <w:tc>
          <w:tcPr>
            <w:tcW w:w="3449" w:type="dxa"/>
          </w:tcPr>
          <w:p w14:paraId="794D15FA" w14:textId="3FE33A53" w:rsidR="00FE4034" w:rsidRPr="007B286B" w:rsidRDefault="00FE4034" w:rsidP="00DB7BD2">
            <w:pPr>
              <w:rPr>
                <w:rFonts w:ascii="Times New Roman" w:hAnsi="Times New Roman"/>
                <w:sz w:val="20"/>
                <w:szCs w:val="20"/>
              </w:rPr>
            </w:pPr>
            <w:r w:rsidRPr="002903BF">
              <w:rPr>
                <w:rFonts w:ascii="Times New Roman" w:hAnsi="Times New Roman"/>
                <w:sz w:val="20"/>
                <w:szCs w:val="20"/>
              </w:rPr>
              <w:t xml:space="preserve">3.1.2 </w:t>
            </w:r>
            <w:r w:rsidR="00B26ABB">
              <w:rPr>
                <w:rFonts w:ascii="Times New Roman" w:hAnsi="Times New Roman"/>
                <w:sz w:val="20"/>
                <w:szCs w:val="20"/>
              </w:rPr>
              <w:t>É</w:t>
            </w:r>
            <w:r w:rsidRPr="002903BF">
              <w:rPr>
                <w:rFonts w:ascii="Times New Roman" w:hAnsi="Times New Roman"/>
                <w:sz w:val="20"/>
                <w:szCs w:val="20"/>
              </w:rPr>
              <w:t>laborer et faire adopter une stratégie de dématérialisation des services publics</w:t>
            </w:r>
          </w:p>
        </w:tc>
        <w:tc>
          <w:tcPr>
            <w:tcW w:w="2045" w:type="dxa"/>
          </w:tcPr>
          <w:p w14:paraId="1D51206B" w14:textId="77777777" w:rsidR="00FE4034" w:rsidRPr="00D76CD3" w:rsidRDefault="00FE4034" w:rsidP="00DB7BD2">
            <w:pPr>
              <w:rPr>
                <w:rFonts w:ascii="Times New Roman" w:hAnsi="Times New Roman"/>
                <w:sz w:val="20"/>
                <w:szCs w:val="20"/>
              </w:rPr>
            </w:pPr>
          </w:p>
        </w:tc>
        <w:tc>
          <w:tcPr>
            <w:tcW w:w="1134" w:type="dxa"/>
          </w:tcPr>
          <w:p w14:paraId="4C556171" w14:textId="77777777" w:rsidR="00FE4034" w:rsidRPr="00D76CD3" w:rsidRDefault="00FE4034" w:rsidP="00DB7BD2">
            <w:pPr>
              <w:rPr>
                <w:rFonts w:ascii="Times New Roman" w:hAnsi="Times New Roman"/>
                <w:sz w:val="20"/>
                <w:szCs w:val="20"/>
              </w:rPr>
            </w:pPr>
          </w:p>
        </w:tc>
        <w:tc>
          <w:tcPr>
            <w:tcW w:w="1134" w:type="dxa"/>
          </w:tcPr>
          <w:p w14:paraId="02880B37" w14:textId="77777777" w:rsidR="00FE4034" w:rsidRPr="00D76CD3" w:rsidRDefault="00FE4034" w:rsidP="00DB7BD2">
            <w:pPr>
              <w:rPr>
                <w:rFonts w:ascii="Times New Roman" w:hAnsi="Times New Roman"/>
                <w:sz w:val="20"/>
                <w:szCs w:val="20"/>
              </w:rPr>
            </w:pPr>
          </w:p>
        </w:tc>
        <w:tc>
          <w:tcPr>
            <w:tcW w:w="1134" w:type="dxa"/>
          </w:tcPr>
          <w:p w14:paraId="3822E452" w14:textId="77777777" w:rsidR="00FE4034" w:rsidRPr="00D76CD3" w:rsidRDefault="00FE4034" w:rsidP="00DB7BD2">
            <w:pPr>
              <w:rPr>
                <w:rFonts w:ascii="Times New Roman" w:hAnsi="Times New Roman"/>
                <w:sz w:val="20"/>
                <w:szCs w:val="20"/>
              </w:rPr>
            </w:pPr>
          </w:p>
        </w:tc>
        <w:tc>
          <w:tcPr>
            <w:tcW w:w="1134" w:type="dxa"/>
          </w:tcPr>
          <w:p w14:paraId="2D9DDF21" w14:textId="77777777" w:rsidR="00FE4034" w:rsidRPr="00D76CD3" w:rsidRDefault="00FE4034" w:rsidP="00DB7BD2">
            <w:pPr>
              <w:rPr>
                <w:rFonts w:ascii="Times New Roman" w:hAnsi="Times New Roman"/>
                <w:sz w:val="20"/>
                <w:szCs w:val="20"/>
              </w:rPr>
            </w:pPr>
          </w:p>
        </w:tc>
      </w:tr>
      <w:tr w:rsidR="00FE4034" w:rsidRPr="00D76CD3" w14:paraId="62822B46" w14:textId="77777777" w:rsidTr="00125E3F">
        <w:trPr>
          <w:jc w:val="center"/>
        </w:trPr>
        <w:tc>
          <w:tcPr>
            <w:tcW w:w="3015" w:type="dxa"/>
            <w:vMerge/>
          </w:tcPr>
          <w:p w14:paraId="3E2E4B43" w14:textId="77777777" w:rsidR="00FE4034" w:rsidRPr="00D76CD3" w:rsidRDefault="00FE4034" w:rsidP="00DB7BD2">
            <w:pPr>
              <w:rPr>
                <w:rFonts w:ascii="Times New Roman" w:hAnsi="Times New Roman"/>
                <w:sz w:val="20"/>
                <w:szCs w:val="20"/>
              </w:rPr>
            </w:pPr>
          </w:p>
        </w:tc>
        <w:tc>
          <w:tcPr>
            <w:tcW w:w="1551" w:type="dxa"/>
          </w:tcPr>
          <w:p w14:paraId="110A286D" w14:textId="77777777" w:rsidR="00FE4034" w:rsidRPr="00D76CD3" w:rsidRDefault="00FE4034" w:rsidP="00DB7BD2">
            <w:pPr>
              <w:rPr>
                <w:rFonts w:ascii="Times New Roman" w:hAnsi="Times New Roman"/>
                <w:sz w:val="20"/>
                <w:szCs w:val="20"/>
              </w:rPr>
            </w:pPr>
          </w:p>
        </w:tc>
        <w:tc>
          <w:tcPr>
            <w:tcW w:w="3449" w:type="dxa"/>
          </w:tcPr>
          <w:p w14:paraId="4DBDA454" w14:textId="1A8D4B7A" w:rsidR="00FE4034" w:rsidRPr="007B286B" w:rsidRDefault="00FE4034" w:rsidP="00DB7BD2">
            <w:pPr>
              <w:rPr>
                <w:rFonts w:ascii="Times New Roman" w:hAnsi="Times New Roman"/>
                <w:sz w:val="20"/>
                <w:szCs w:val="20"/>
              </w:rPr>
            </w:pPr>
            <w:r w:rsidRPr="00FE4034">
              <w:rPr>
                <w:rFonts w:ascii="Times New Roman" w:hAnsi="Times New Roman"/>
                <w:sz w:val="20"/>
                <w:szCs w:val="20"/>
              </w:rPr>
              <w:t>3.1.3 Appuyer la mise en œu</w:t>
            </w:r>
            <w:r>
              <w:rPr>
                <w:rFonts w:ascii="Times New Roman" w:hAnsi="Times New Roman"/>
                <w:sz w:val="20"/>
                <w:szCs w:val="20"/>
              </w:rPr>
              <w:t>v</w:t>
            </w:r>
            <w:r w:rsidRPr="00FE4034">
              <w:rPr>
                <w:rFonts w:ascii="Times New Roman" w:hAnsi="Times New Roman"/>
                <w:sz w:val="20"/>
                <w:szCs w:val="20"/>
              </w:rPr>
              <w:t>re de la nouvelle stratégie</w:t>
            </w:r>
          </w:p>
        </w:tc>
        <w:tc>
          <w:tcPr>
            <w:tcW w:w="2045" w:type="dxa"/>
          </w:tcPr>
          <w:p w14:paraId="7F561655" w14:textId="77777777" w:rsidR="00FE4034" w:rsidRPr="00D76CD3" w:rsidRDefault="00FE4034" w:rsidP="00DB7BD2">
            <w:pPr>
              <w:rPr>
                <w:rFonts w:ascii="Times New Roman" w:hAnsi="Times New Roman"/>
                <w:sz w:val="20"/>
                <w:szCs w:val="20"/>
              </w:rPr>
            </w:pPr>
          </w:p>
        </w:tc>
        <w:tc>
          <w:tcPr>
            <w:tcW w:w="1134" w:type="dxa"/>
          </w:tcPr>
          <w:p w14:paraId="24A3C9B2" w14:textId="77777777" w:rsidR="00FE4034" w:rsidRPr="00D76CD3" w:rsidRDefault="00FE4034" w:rsidP="00DB7BD2">
            <w:pPr>
              <w:rPr>
                <w:rFonts w:ascii="Times New Roman" w:hAnsi="Times New Roman"/>
                <w:sz w:val="20"/>
                <w:szCs w:val="20"/>
              </w:rPr>
            </w:pPr>
          </w:p>
        </w:tc>
        <w:tc>
          <w:tcPr>
            <w:tcW w:w="1134" w:type="dxa"/>
          </w:tcPr>
          <w:p w14:paraId="3A7D6D3C" w14:textId="77777777" w:rsidR="00FE4034" w:rsidRPr="00D76CD3" w:rsidRDefault="00FE4034" w:rsidP="00DB7BD2">
            <w:pPr>
              <w:rPr>
                <w:rFonts w:ascii="Times New Roman" w:hAnsi="Times New Roman"/>
                <w:sz w:val="20"/>
                <w:szCs w:val="20"/>
              </w:rPr>
            </w:pPr>
          </w:p>
        </w:tc>
        <w:tc>
          <w:tcPr>
            <w:tcW w:w="1134" w:type="dxa"/>
          </w:tcPr>
          <w:p w14:paraId="78D459C8" w14:textId="77777777" w:rsidR="00FE4034" w:rsidRPr="00D76CD3" w:rsidRDefault="00FE4034" w:rsidP="00DB7BD2">
            <w:pPr>
              <w:rPr>
                <w:rFonts w:ascii="Times New Roman" w:hAnsi="Times New Roman"/>
                <w:sz w:val="20"/>
                <w:szCs w:val="20"/>
              </w:rPr>
            </w:pPr>
          </w:p>
        </w:tc>
        <w:tc>
          <w:tcPr>
            <w:tcW w:w="1134" w:type="dxa"/>
          </w:tcPr>
          <w:p w14:paraId="05853656" w14:textId="77777777" w:rsidR="00FE4034" w:rsidRPr="00D76CD3" w:rsidRDefault="00FE4034" w:rsidP="00DB7BD2">
            <w:pPr>
              <w:rPr>
                <w:rFonts w:ascii="Times New Roman" w:hAnsi="Times New Roman"/>
                <w:sz w:val="20"/>
                <w:szCs w:val="20"/>
              </w:rPr>
            </w:pPr>
          </w:p>
        </w:tc>
      </w:tr>
      <w:tr w:rsidR="00AB5DED" w:rsidRPr="00D76CD3" w14:paraId="72958191" w14:textId="77777777" w:rsidTr="00125E3F">
        <w:trPr>
          <w:jc w:val="center"/>
        </w:trPr>
        <w:tc>
          <w:tcPr>
            <w:tcW w:w="14596" w:type="dxa"/>
            <w:gridSpan w:val="8"/>
          </w:tcPr>
          <w:p w14:paraId="54B30361" w14:textId="77777777" w:rsidR="00AB5DED" w:rsidRPr="00D76CD3" w:rsidRDefault="00AB5DED" w:rsidP="00DB7BD2">
            <w:pPr>
              <w:rPr>
                <w:rFonts w:ascii="Times New Roman" w:hAnsi="Times New Roman"/>
                <w:sz w:val="20"/>
                <w:szCs w:val="20"/>
              </w:rPr>
            </w:pPr>
          </w:p>
        </w:tc>
      </w:tr>
      <w:tr w:rsidR="00637328" w:rsidRPr="00D76CD3" w14:paraId="378DCDAA" w14:textId="77777777" w:rsidTr="00125E3F">
        <w:trPr>
          <w:jc w:val="center"/>
        </w:trPr>
        <w:tc>
          <w:tcPr>
            <w:tcW w:w="14596" w:type="dxa"/>
            <w:gridSpan w:val="8"/>
            <w:shd w:val="clear" w:color="auto" w:fill="FFE599" w:themeFill="accent4" w:themeFillTint="66"/>
          </w:tcPr>
          <w:p w14:paraId="2F144452" w14:textId="3CBE5946" w:rsidR="00637328" w:rsidRPr="00D76CD3" w:rsidRDefault="00637328" w:rsidP="00637328">
            <w:pPr>
              <w:jc w:val="both"/>
              <w:rPr>
                <w:rFonts w:ascii="Times New Roman" w:hAnsi="Times New Roman"/>
                <w:sz w:val="20"/>
                <w:szCs w:val="20"/>
              </w:rPr>
            </w:pPr>
            <w:proofErr w:type="spellStart"/>
            <w:r w:rsidRPr="00637328">
              <w:rPr>
                <w:rFonts w:ascii="Times New Roman" w:hAnsi="Times New Roman"/>
                <w:b/>
                <w:sz w:val="24"/>
                <w:szCs w:val="24"/>
              </w:rPr>
              <w:t>Outcom</w:t>
            </w:r>
            <w:proofErr w:type="spellEnd"/>
            <w:r w:rsidRPr="00637328">
              <w:rPr>
                <w:rFonts w:ascii="Times New Roman" w:hAnsi="Times New Roman"/>
                <w:b/>
                <w:sz w:val="24"/>
                <w:szCs w:val="24"/>
              </w:rPr>
              <w:t xml:space="preserve"> 4 : l’effectivité du processus de décentralisation est améliorée notamment la qualité des services rendus par les collectivités territoriales, la gouvernance inclusive du territoire et l’accompagnement de l’État</w:t>
            </w:r>
          </w:p>
        </w:tc>
      </w:tr>
      <w:tr w:rsidR="00357A2A" w:rsidRPr="00D76CD3" w14:paraId="792D341F" w14:textId="77777777" w:rsidTr="00125E3F">
        <w:trPr>
          <w:jc w:val="center"/>
        </w:trPr>
        <w:tc>
          <w:tcPr>
            <w:tcW w:w="3015" w:type="dxa"/>
            <w:vMerge w:val="restart"/>
          </w:tcPr>
          <w:p w14:paraId="48D7034A" w14:textId="6521DB60" w:rsidR="00357A2A" w:rsidRPr="00D76CD3" w:rsidRDefault="00357A2A" w:rsidP="00DB7BD2">
            <w:pPr>
              <w:rPr>
                <w:rFonts w:ascii="Times New Roman" w:hAnsi="Times New Roman"/>
                <w:sz w:val="20"/>
                <w:szCs w:val="20"/>
              </w:rPr>
            </w:pPr>
            <w:r w:rsidRPr="00C30C20">
              <w:rPr>
                <w:rFonts w:ascii="Times New Roman" w:hAnsi="Times New Roman"/>
                <w:b/>
              </w:rPr>
              <w:t>Output 4.1</w:t>
            </w:r>
            <w:r w:rsidRPr="00AB5DED">
              <w:rPr>
                <w:rFonts w:ascii="Times New Roman" w:hAnsi="Times New Roman"/>
              </w:rPr>
              <w:t xml:space="preserve"> : la qualité   des services rendus par les collectivités territoriales est améliorée</w:t>
            </w:r>
          </w:p>
        </w:tc>
        <w:tc>
          <w:tcPr>
            <w:tcW w:w="1551" w:type="dxa"/>
          </w:tcPr>
          <w:p w14:paraId="7BA60FF6" w14:textId="77777777" w:rsidR="00357A2A" w:rsidRPr="00D76CD3" w:rsidRDefault="00357A2A" w:rsidP="00DB7BD2">
            <w:pPr>
              <w:rPr>
                <w:rFonts w:ascii="Times New Roman" w:hAnsi="Times New Roman"/>
                <w:sz w:val="20"/>
                <w:szCs w:val="20"/>
              </w:rPr>
            </w:pPr>
          </w:p>
        </w:tc>
        <w:tc>
          <w:tcPr>
            <w:tcW w:w="3449" w:type="dxa"/>
          </w:tcPr>
          <w:p w14:paraId="2CBF47A8" w14:textId="636D8839" w:rsidR="00357A2A" w:rsidRPr="007B286B" w:rsidRDefault="00357A2A" w:rsidP="00DB7BD2">
            <w:pPr>
              <w:rPr>
                <w:rFonts w:ascii="Times New Roman" w:hAnsi="Times New Roman"/>
                <w:sz w:val="20"/>
                <w:szCs w:val="20"/>
              </w:rPr>
            </w:pPr>
            <w:r w:rsidRPr="004458A7">
              <w:rPr>
                <w:rFonts w:ascii="Times New Roman" w:hAnsi="Times New Roman"/>
                <w:sz w:val="20"/>
                <w:szCs w:val="20"/>
              </w:rPr>
              <w:t xml:space="preserve">4.1.1 </w:t>
            </w:r>
            <w:r w:rsidR="00B26ABB">
              <w:rPr>
                <w:rFonts w:ascii="Times New Roman" w:hAnsi="Times New Roman"/>
                <w:sz w:val="20"/>
                <w:szCs w:val="20"/>
              </w:rPr>
              <w:t>É</w:t>
            </w:r>
            <w:r w:rsidRPr="004458A7">
              <w:rPr>
                <w:rFonts w:ascii="Times New Roman" w:hAnsi="Times New Roman"/>
                <w:sz w:val="20"/>
                <w:szCs w:val="20"/>
              </w:rPr>
              <w:t>laboration et mise en œuvre d’un plan de communication sur le transfert des services déconcentrés de l’</w:t>
            </w:r>
            <w:r w:rsidR="005B00EE">
              <w:rPr>
                <w:rFonts w:ascii="Times New Roman" w:hAnsi="Times New Roman"/>
                <w:sz w:val="20"/>
                <w:szCs w:val="20"/>
              </w:rPr>
              <w:t>É</w:t>
            </w:r>
            <w:r w:rsidRPr="004458A7">
              <w:rPr>
                <w:rFonts w:ascii="Times New Roman" w:hAnsi="Times New Roman"/>
                <w:sz w:val="20"/>
                <w:szCs w:val="20"/>
              </w:rPr>
              <w:t>tat aux collectivités territoriales</w:t>
            </w:r>
          </w:p>
        </w:tc>
        <w:tc>
          <w:tcPr>
            <w:tcW w:w="2045" w:type="dxa"/>
          </w:tcPr>
          <w:p w14:paraId="412CB21A" w14:textId="77777777" w:rsidR="00357A2A" w:rsidRPr="00D76CD3" w:rsidRDefault="00357A2A" w:rsidP="00DB7BD2">
            <w:pPr>
              <w:rPr>
                <w:rFonts w:ascii="Times New Roman" w:hAnsi="Times New Roman"/>
                <w:sz w:val="20"/>
                <w:szCs w:val="20"/>
              </w:rPr>
            </w:pPr>
          </w:p>
        </w:tc>
        <w:tc>
          <w:tcPr>
            <w:tcW w:w="1134" w:type="dxa"/>
          </w:tcPr>
          <w:p w14:paraId="6AB96084" w14:textId="77777777" w:rsidR="00357A2A" w:rsidRPr="00D76CD3" w:rsidRDefault="00357A2A" w:rsidP="00DB7BD2">
            <w:pPr>
              <w:rPr>
                <w:rFonts w:ascii="Times New Roman" w:hAnsi="Times New Roman"/>
                <w:sz w:val="20"/>
                <w:szCs w:val="20"/>
              </w:rPr>
            </w:pPr>
          </w:p>
        </w:tc>
        <w:tc>
          <w:tcPr>
            <w:tcW w:w="1134" w:type="dxa"/>
          </w:tcPr>
          <w:p w14:paraId="64B89652" w14:textId="77777777" w:rsidR="00357A2A" w:rsidRPr="00D76CD3" w:rsidRDefault="00357A2A" w:rsidP="00DB7BD2">
            <w:pPr>
              <w:rPr>
                <w:rFonts w:ascii="Times New Roman" w:hAnsi="Times New Roman"/>
                <w:sz w:val="20"/>
                <w:szCs w:val="20"/>
              </w:rPr>
            </w:pPr>
          </w:p>
        </w:tc>
        <w:tc>
          <w:tcPr>
            <w:tcW w:w="1134" w:type="dxa"/>
          </w:tcPr>
          <w:p w14:paraId="186BB6FC" w14:textId="77777777" w:rsidR="00357A2A" w:rsidRPr="00D76CD3" w:rsidRDefault="00357A2A" w:rsidP="00DB7BD2">
            <w:pPr>
              <w:rPr>
                <w:rFonts w:ascii="Times New Roman" w:hAnsi="Times New Roman"/>
                <w:sz w:val="20"/>
                <w:szCs w:val="20"/>
              </w:rPr>
            </w:pPr>
          </w:p>
        </w:tc>
        <w:tc>
          <w:tcPr>
            <w:tcW w:w="1134" w:type="dxa"/>
          </w:tcPr>
          <w:p w14:paraId="7757AA4D" w14:textId="77777777" w:rsidR="00357A2A" w:rsidRPr="00D76CD3" w:rsidRDefault="00357A2A" w:rsidP="00DB7BD2">
            <w:pPr>
              <w:rPr>
                <w:rFonts w:ascii="Times New Roman" w:hAnsi="Times New Roman"/>
                <w:sz w:val="20"/>
                <w:szCs w:val="20"/>
              </w:rPr>
            </w:pPr>
          </w:p>
        </w:tc>
      </w:tr>
      <w:tr w:rsidR="00357A2A" w:rsidRPr="00D76CD3" w14:paraId="79BCE6FD" w14:textId="77777777" w:rsidTr="00125E3F">
        <w:trPr>
          <w:jc w:val="center"/>
        </w:trPr>
        <w:tc>
          <w:tcPr>
            <w:tcW w:w="3015" w:type="dxa"/>
            <w:vMerge/>
          </w:tcPr>
          <w:p w14:paraId="298779CA" w14:textId="77777777" w:rsidR="00357A2A" w:rsidRPr="00D76CD3" w:rsidRDefault="00357A2A" w:rsidP="00DB7BD2">
            <w:pPr>
              <w:rPr>
                <w:rFonts w:ascii="Times New Roman" w:hAnsi="Times New Roman"/>
                <w:sz w:val="20"/>
                <w:szCs w:val="20"/>
              </w:rPr>
            </w:pPr>
          </w:p>
        </w:tc>
        <w:tc>
          <w:tcPr>
            <w:tcW w:w="1551" w:type="dxa"/>
          </w:tcPr>
          <w:p w14:paraId="4D57F919" w14:textId="77777777" w:rsidR="00357A2A" w:rsidRPr="00D76CD3" w:rsidRDefault="00357A2A" w:rsidP="00DB7BD2">
            <w:pPr>
              <w:rPr>
                <w:rFonts w:ascii="Times New Roman" w:hAnsi="Times New Roman"/>
                <w:sz w:val="20"/>
                <w:szCs w:val="20"/>
              </w:rPr>
            </w:pPr>
          </w:p>
        </w:tc>
        <w:tc>
          <w:tcPr>
            <w:tcW w:w="3449" w:type="dxa"/>
          </w:tcPr>
          <w:p w14:paraId="42FC0F32" w14:textId="611B0206" w:rsidR="00357A2A" w:rsidRPr="007B286B" w:rsidRDefault="00357A2A" w:rsidP="00DB7BD2">
            <w:pPr>
              <w:rPr>
                <w:rFonts w:ascii="Times New Roman" w:hAnsi="Times New Roman"/>
                <w:sz w:val="20"/>
                <w:szCs w:val="20"/>
              </w:rPr>
            </w:pPr>
            <w:r w:rsidRPr="00D37013">
              <w:rPr>
                <w:rFonts w:ascii="Times New Roman" w:hAnsi="Times New Roman"/>
                <w:sz w:val="20"/>
                <w:szCs w:val="20"/>
              </w:rPr>
              <w:t>4.1.2 Formation des élus et agents des collectivités territoriales sur les modalités de transfert des services techniques déconcentrés de l’</w:t>
            </w:r>
            <w:r w:rsidR="005B00EE">
              <w:rPr>
                <w:rFonts w:ascii="Times New Roman" w:hAnsi="Times New Roman"/>
                <w:sz w:val="20"/>
                <w:szCs w:val="20"/>
              </w:rPr>
              <w:t>É</w:t>
            </w:r>
            <w:r w:rsidRPr="00D37013">
              <w:rPr>
                <w:rFonts w:ascii="Times New Roman" w:hAnsi="Times New Roman"/>
                <w:sz w:val="20"/>
                <w:szCs w:val="20"/>
              </w:rPr>
              <w:t>tat aux collectivités territoriales</w:t>
            </w:r>
          </w:p>
        </w:tc>
        <w:tc>
          <w:tcPr>
            <w:tcW w:w="2045" w:type="dxa"/>
          </w:tcPr>
          <w:p w14:paraId="5ADFC635" w14:textId="77777777" w:rsidR="00357A2A" w:rsidRPr="00D76CD3" w:rsidRDefault="00357A2A" w:rsidP="00DB7BD2">
            <w:pPr>
              <w:rPr>
                <w:rFonts w:ascii="Times New Roman" w:hAnsi="Times New Roman"/>
                <w:sz w:val="20"/>
                <w:szCs w:val="20"/>
              </w:rPr>
            </w:pPr>
          </w:p>
        </w:tc>
        <w:tc>
          <w:tcPr>
            <w:tcW w:w="1134" w:type="dxa"/>
          </w:tcPr>
          <w:p w14:paraId="55C3BF50" w14:textId="77777777" w:rsidR="00357A2A" w:rsidRPr="00D76CD3" w:rsidRDefault="00357A2A" w:rsidP="00DB7BD2">
            <w:pPr>
              <w:rPr>
                <w:rFonts w:ascii="Times New Roman" w:hAnsi="Times New Roman"/>
                <w:sz w:val="20"/>
                <w:szCs w:val="20"/>
              </w:rPr>
            </w:pPr>
          </w:p>
        </w:tc>
        <w:tc>
          <w:tcPr>
            <w:tcW w:w="1134" w:type="dxa"/>
          </w:tcPr>
          <w:p w14:paraId="518F34A8" w14:textId="77777777" w:rsidR="00357A2A" w:rsidRPr="00D76CD3" w:rsidRDefault="00357A2A" w:rsidP="00DB7BD2">
            <w:pPr>
              <w:rPr>
                <w:rFonts w:ascii="Times New Roman" w:hAnsi="Times New Roman"/>
                <w:sz w:val="20"/>
                <w:szCs w:val="20"/>
              </w:rPr>
            </w:pPr>
          </w:p>
        </w:tc>
        <w:tc>
          <w:tcPr>
            <w:tcW w:w="1134" w:type="dxa"/>
          </w:tcPr>
          <w:p w14:paraId="7DE3EDA4" w14:textId="77777777" w:rsidR="00357A2A" w:rsidRPr="00D76CD3" w:rsidRDefault="00357A2A" w:rsidP="00DB7BD2">
            <w:pPr>
              <w:rPr>
                <w:rFonts w:ascii="Times New Roman" w:hAnsi="Times New Roman"/>
                <w:sz w:val="20"/>
                <w:szCs w:val="20"/>
              </w:rPr>
            </w:pPr>
          </w:p>
        </w:tc>
        <w:tc>
          <w:tcPr>
            <w:tcW w:w="1134" w:type="dxa"/>
          </w:tcPr>
          <w:p w14:paraId="2C2099E6" w14:textId="77777777" w:rsidR="00357A2A" w:rsidRPr="00D76CD3" w:rsidRDefault="00357A2A" w:rsidP="00DB7BD2">
            <w:pPr>
              <w:rPr>
                <w:rFonts w:ascii="Times New Roman" w:hAnsi="Times New Roman"/>
                <w:sz w:val="20"/>
                <w:szCs w:val="20"/>
              </w:rPr>
            </w:pPr>
          </w:p>
        </w:tc>
      </w:tr>
      <w:tr w:rsidR="00357A2A" w:rsidRPr="00D76CD3" w14:paraId="43100B2F" w14:textId="77777777" w:rsidTr="00125E3F">
        <w:trPr>
          <w:jc w:val="center"/>
        </w:trPr>
        <w:tc>
          <w:tcPr>
            <w:tcW w:w="3015" w:type="dxa"/>
            <w:vMerge/>
          </w:tcPr>
          <w:p w14:paraId="1842CB8E" w14:textId="77777777" w:rsidR="00357A2A" w:rsidRPr="00D76CD3" w:rsidRDefault="00357A2A" w:rsidP="00DB7BD2">
            <w:pPr>
              <w:rPr>
                <w:rFonts w:ascii="Times New Roman" w:hAnsi="Times New Roman"/>
                <w:sz w:val="20"/>
                <w:szCs w:val="20"/>
              </w:rPr>
            </w:pPr>
          </w:p>
        </w:tc>
        <w:tc>
          <w:tcPr>
            <w:tcW w:w="1551" w:type="dxa"/>
          </w:tcPr>
          <w:p w14:paraId="5587C839" w14:textId="77777777" w:rsidR="00357A2A" w:rsidRPr="00D76CD3" w:rsidRDefault="00357A2A" w:rsidP="00DB7BD2">
            <w:pPr>
              <w:rPr>
                <w:rFonts w:ascii="Times New Roman" w:hAnsi="Times New Roman"/>
                <w:sz w:val="20"/>
                <w:szCs w:val="20"/>
              </w:rPr>
            </w:pPr>
          </w:p>
        </w:tc>
        <w:tc>
          <w:tcPr>
            <w:tcW w:w="3449" w:type="dxa"/>
          </w:tcPr>
          <w:p w14:paraId="5519110A" w14:textId="140E2E41" w:rsidR="00357A2A" w:rsidRPr="007B286B" w:rsidRDefault="00357A2A" w:rsidP="00DB7BD2">
            <w:pPr>
              <w:rPr>
                <w:rFonts w:ascii="Times New Roman" w:hAnsi="Times New Roman"/>
                <w:sz w:val="20"/>
                <w:szCs w:val="20"/>
              </w:rPr>
            </w:pPr>
            <w:r w:rsidRPr="007C0E13">
              <w:rPr>
                <w:rFonts w:ascii="Times New Roman" w:hAnsi="Times New Roman"/>
                <w:sz w:val="20"/>
                <w:szCs w:val="20"/>
              </w:rPr>
              <w:t>4.1.3 Renforcement des capacités des Représentants de l’</w:t>
            </w:r>
            <w:r w:rsidR="005B00EE">
              <w:rPr>
                <w:rFonts w:ascii="Times New Roman" w:hAnsi="Times New Roman"/>
                <w:sz w:val="20"/>
                <w:szCs w:val="20"/>
              </w:rPr>
              <w:t>É</w:t>
            </w:r>
            <w:r w:rsidRPr="007C0E13">
              <w:rPr>
                <w:rFonts w:ascii="Times New Roman" w:hAnsi="Times New Roman"/>
                <w:sz w:val="20"/>
                <w:szCs w:val="20"/>
              </w:rPr>
              <w:t>tat, chefs des services techniques, les ONG et secteur privé sur les modalités de transfert des services techniques déconcentrés de l’</w:t>
            </w:r>
            <w:r w:rsidR="005B00EE">
              <w:rPr>
                <w:rFonts w:ascii="Times New Roman" w:hAnsi="Times New Roman"/>
                <w:sz w:val="20"/>
                <w:szCs w:val="20"/>
              </w:rPr>
              <w:t>É</w:t>
            </w:r>
            <w:r w:rsidRPr="007C0E13">
              <w:rPr>
                <w:rFonts w:ascii="Times New Roman" w:hAnsi="Times New Roman"/>
                <w:sz w:val="20"/>
                <w:szCs w:val="20"/>
              </w:rPr>
              <w:t>tat aux collectivités territoriales</w:t>
            </w:r>
          </w:p>
        </w:tc>
        <w:tc>
          <w:tcPr>
            <w:tcW w:w="2045" w:type="dxa"/>
          </w:tcPr>
          <w:p w14:paraId="3DAFA0C6" w14:textId="77777777" w:rsidR="00357A2A" w:rsidRPr="00D76CD3" w:rsidRDefault="00357A2A" w:rsidP="00DB7BD2">
            <w:pPr>
              <w:rPr>
                <w:rFonts w:ascii="Times New Roman" w:hAnsi="Times New Roman"/>
                <w:sz w:val="20"/>
                <w:szCs w:val="20"/>
              </w:rPr>
            </w:pPr>
          </w:p>
        </w:tc>
        <w:tc>
          <w:tcPr>
            <w:tcW w:w="1134" w:type="dxa"/>
          </w:tcPr>
          <w:p w14:paraId="15B7943D" w14:textId="77777777" w:rsidR="00357A2A" w:rsidRPr="00D76CD3" w:rsidRDefault="00357A2A" w:rsidP="00DB7BD2">
            <w:pPr>
              <w:rPr>
                <w:rFonts w:ascii="Times New Roman" w:hAnsi="Times New Roman"/>
                <w:sz w:val="20"/>
                <w:szCs w:val="20"/>
              </w:rPr>
            </w:pPr>
          </w:p>
        </w:tc>
        <w:tc>
          <w:tcPr>
            <w:tcW w:w="1134" w:type="dxa"/>
          </w:tcPr>
          <w:p w14:paraId="3EBEA680" w14:textId="77777777" w:rsidR="00357A2A" w:rsidRPr="00D76CD3" w:rsidRDefault="00357A2A" w:rsidP="00DB7BD2">
            <w:pPr>
              <w:rPr>
                <w:rFonts w:ascii="Times New Roman" w:hAnsi="Times New Roman"/>
                <w:sz w:val="20"/>
                <w:szCs w:val="20"/>
              </w:rPr>
            </w:pPr>
          </w:p>
        </w:tc>
        <w:tc>
          <w:tcPr>
            <w:tcW w:w="1134" w:type="dxa"/>
          </w:tcPr>
          <w:p w14:paraId="33065B23" w14:textId="77777777" w:rsidR="00357A2A" w:rsidRPr="00D76CD3" w:rsidRDefault="00357A2A" w:rsidP="00DB7BD2">
            <w:pPr>
              <w:rPr>
                <w:rFonts w:ascii="Times New Roman" w:hAnsi="Times New Roman"/>
                <w:sz w:val="20"/>
                <w:szCs w:val="20"/>
              </w:rPr>
            </w:pPr>
          </w:p>
        </w:tc>
        <w:tc>
          <w:tcPr>
            <w:tcW w:w="1134" w:type="dxa"/>
          </w:tcPr>
          <w:p w14:paraId="15E31101" w14:textId="77777777" w:rsidR="00357A2A" w:rsidRPr="00D76CD3" w:rsidRDefault="00357A2A" w:rsidP="00DB7BD2">
            <w:pPr>
              <w:rPr>
                <w:rFonts w:ascii="Times New Roman" w:hAnsi="Times New Roman"/>
                <w:sz w:val="20"/>
                <w:szCs w:val="20"/>
              </w:rPr>
            </w:pPr>
          </w:p>
        </w:tc>
      </w:tr>
      <w:tr w:rsidR="00593BBE" w:rsidRPr="00D76CD3" w14:paraId="2C7FCD15" w14:textId="77777777" w:rsidTr="00125E3F">
        <w:trPr>
          <w:jc w:val="center"/>
        </w:trPr>
        <w:tc>
          <w:tcPr>
            <w:tcW w:w="3015" w:type="dxa"/>
            <w:vMerge w:val="restart"/>
          </w:tcPr>
          <w:p w14:paraId="5C4ABE3B" w14:textId="0462495C" w:rsidR="00593BBE" w:rsidRPr="00D76CD3" w:rsidRDefault="00593BBE" w:rsidP="00DB7BD2">
            <w:pPr>
              <w:rPr>
                <w:rFonts w:ascii="Times New Roman" w:hAnsi="Times New Roman"/>
                <w:sz w:val="20"/>
                <w:szCs w:val="20"/>
              </w:rPr>
            </w:pPr>
            <w:r w:rsidRPr="00C30C20">
              <w:rPr>
                <w:rFonts w:ascii="Times New Roman" w:hAnsi="Times New Roman"/>
                <w:b/>
              </w:rPr>
              <w:t>Output 4.2</w:t>
            </w:r>
            <w:r w:rsidRPr="00F12FA1">
              <w:rPr>
                <w:rFonts w:ascii="Times New Roman" w:hAnsi="Times New Roman"/>
              </w:rPr>
              <w:t xml:space="preserve"> : la gouvernance au niveau des collectivités est plus inclusive et durable</w:t>
            </w:r>
          </w:p>
        </w:tc>
        <w:tc>
          <w:tcPr>
            <w:tcW w:w="1551" w:type="dxa"/>
          </w:tcPr>
          <w:p w14:paraId="3A70D0AD" w14:textId="77777777" w:rsidR="00593BBE" w:rsidRPr="00D76CD3" w:rsidRDefault="00593BBE" w:rsidP="00DB7BD2">
            <w:pPr>
              <w:rPr>
                <w:rFonts w:ascii="Times New Roman" w:hAnsi="Times New Roman"/>
                <w:sz w:val="20"/>
                <w:szCs w:val="20"/>
              </w:rPr>
            </w:pPr>
          </w:p>
        </w:tc>
        <w:tc>
          <w:tcPr>
            <w:tcW w:w="3449" w:type="dxa"/>
          </w:tcPr>
          <w:p w14:paraId="15023E43" w14:textId="51A7DCEC" w:rsidR="00593BBE" w:rsidRPr="007B286B" w:rsidRDefault="00593BBE" w:rsidP="00DB7BD2">
            <w:pPr>
              <w:rPr>
                <w:rFonts w:ascii="Times New Roman" w:hAnsi="Times New Roman"/>
                <w:sz w:val="20"/>
                <w:szCs w:val="20"/>
              </w:rPr>
            </w:pPr>
            <w:r w:rsidRPr="006B4467">
              <w:rPr>
                <w:rFonts w:ascii="Times New Roman" w:hAnsi="Times New Roman"/>
                <w:sz w:val="20"/>
                <w:szCs w:val="20"/>
              </w:rPr>
              <w:t>4.2.1 Renforcer les capacités des collectivités sur la gouvernance participative (élus, personnels, OSC et services techniques de l'</w:t>
            </w:r>
            <w:r w:rsidR="005B00EE">
              <w:rPr>
                <w:rFonts w:ascii="Times New Roman" w:hAnsi="Times New Roman"/>
                <w:sz w:val="20"/>
                <w:szCs w:val="20"/>
              </w:rPr>
              <w:t>É</w:t>
            </w:r>
            <w:r w:rsidRPr="006B4467">
              <w:rPr>
                <w:rFonts w:ascii="Times New Roman" w:hAnsi="Times New Roman"/>
                <w:sz w:val="20"/>
                <w:szCs w:val="20"/>
              </w:rPr>
              <w:t>tat</w:t>
            </w:r>
          </w:p>
        </w:tc>
        <w:tc>
          <w:tcPr>
            <w:tcW w:w="2045" w:type="dxa"/>
          </w:tcPr>
          <w:p w14:paraId="121B59C6" w14:textId="77777777" w:rsidR="00593BBE" w:rsidRPr="00D76CD3" w:rsidRDefault="00593BBE" w:rsidP="00DB7BD2">
            <w:pPr>
              <w:rPr>
                <w:rFonts w:ascii="Times New Roman" w:hAnsi="Times New Roman"/>
                <w:sz w:val="20"/>
                <w:szCs w:val="20"/>
              </w:rPr>
            </w:pPr>
          </w:p>
        </w:tc>
        <w:tc>
          <w:tcPr>
            <w:tcW w:w="1134" w:type="dxa"/>
          </w:tcPr>
          <w:p w14:paraId="3E4FB4B5" w14:textId="77777777" w:rsidR="00593BBE" w:rsidRPr="00D76CD3" w:rsidRDefault="00593BBE" w:rsidP="00DB7BD2">
            <w:pPr>
              <w:rPr>
                <w:rFonts w:ascii="Times New Roman" w:hAnsi="Times New Roman"/>
                <w:sz w:val="20"/>
                <w:szCs w:val="20"/>
              </w:rPr>
            </w:pPr>
          </w:p>
        </w:tc>
        <w:tc>
          <w:tcPr>
            <w:tcW w:w="1134" w:type="dxa"/>
          </w:tcPr>
          <w:p w14:paraId="12D44AF0" w14:textId="77777777" w:rsidR="00593BBE" w:rsidRPr="00D76CD3" w:rsidRDefault="00593BBE" w:rsidP="00DB7BD2">
            <w:pPr>
              <w:rPr>
                <w:rFonts w:ascii="Times New Roman" w:hAnsi="Times New Roman"/>
                <w:sz w:val="20"/>
                <w:szCs w:val="20"/>
              </w:rPr>
            </w:pPr>
          </w:p>
        </w:tc>
        <w:tc>
          <w:tcPr>
            <w:tcW w:w="1134" w:type="dxa"/>
          </w:tcPr>
          <w:p w14:paraId="754BA217" w14:textId="77777777" w:rsidR="00593BBE" w:rsidRPr="00D76CD3" w:rsidRDefault="00593BBE" w:rsidP="00DB7BD2">
            <w:pPr>
              <w:rPr>
                <w:rFonts w:ascii="Times New Roman" w:hAnsi="Times New Roman"/>
                <w:sz w:val="20"/>
                <w:szCs w:val="20"/>
              </w:rPr>
            </w:pPr>
          </w:p>
        </w:tc>
        <w:tc>
          <w:tcPr>
            <w:tcW w:w="1134" w:type="dxa"/>
          </w:tcPr>
          <w:p w14:paraId="71964271" w14:textId="77777777" w:rsidR="00593BBE" w:rsidRPr="00D76CD3" w:rsidRDefault="00593BBE" w:rsidP="00DB7BD2">
            <w:pPr>
              <w:rPr>
                <w:rFonts w:ascii="Times New Roman" w:hAnsi="Times New Roman"/>
                <w:sz w:val="20"/>
                <w:szCs w:val="20"/>
              </w:rPr>
            </w:pPr>
          </w:p>
        </w:tc>
      </w:tr>
      <w:tr w:rsidR="00593BBE" w:rsidRPr="00D76CD3" w14:paraId="4B1F1E15" w14:textId="77777777" w:rsidTr="00125E3F">
        <w:trPr>
          <w:jc w:val="center"/>
        </w:trPr>
        <w:tc>
          <w:tcPr>
            <w:tcW w:w="3015" w:type="dxa"/>
            <w:vMerge/>
          </w:tcPr>
          <w:p w14:paraId="4F19FB46" w14:textId="77777777" w:rsidR="00593BBE" w:rsidRPr="00D76CD3" w:rsidRDefault="00593BBE" w:rsidP="00DB7BD2">
            <w:pPr>
              <w:rPr>
                <w:rFonts w:ascii="Times New Roman" w:hAnsi="Times New Roman"/>
                <w:sz w:val="20"/>
                <w:szCs w:val="20"/>
              </w:rPr>
            </w:pPr>
          </w:p>
        </w:tc>
        <w:tc>
          <w:tcPr>
            <w:tcW w:w="1551" w:type="dxa"/>
          </w:tcPr>
          <w:p w14:paraId="32C9805A" w14:textId="77777777" w:rsidR="00593BBE" w:rsidRPr="00D76CD3" w:rsidRDefault="00593BBE" w:rsidP="00DB7BD2">
            <w:pPr>
              <w:rPr>
                <w:rFonts w:ascii="Times New Roman" w:hAnsi="Times New Roman"/>
                <w:sz w:val="20"/>
                <w:szCs w:val="20"/>
              </w:rPr>
            </w:pPr>
          </w:p>
        </w:tc>
        <w:tc>
          <w:tcPr>
            <w:tcW w:w="3449" w:type="dxa"/>
          </w:tcPr>
          <w:p w14:paraId="774DC0F4" w14:textId="4798C5F3" w:rsidR="00593BBE" w:rsidRPr="007B286B" w:rsidRDefault="00593BBE" w:rsidP="00DB7BD2">
            <w:pPr>
              <w:rPr>
                <w:rFonts w:ascii="Times New Roman" w:hAnsi="Times New Roman"/>
                <w:sz w:val="20"/>
                <w:szCs w:val="20"/>
              </w:rPr>
            </w:pPr>
            <w:r w:rsidRPr="00593BBE">
              <w:rPr>
                <w:rFonts w:ascii="Times New Roman" w:hAnsi="Times New Roman"/>
                <w:sz w:val="20"/>
                <w:szCs w:val="20"/>
              </w:rPr>
              <w:t>4.2.2 Appuyer les collectivités territoriales à organiser la restitution publique et les journées citoyennes</w:t>
            </w:r>
          </w:p>
        </w:tc>
        <w:tc>
          <w:tcPr>
            <w:tcW w:w="2045" w:type="dxa"/>
          </w:tcPr>
          <w:p w14:paraId="7CF03CAF" w14:textId="77777777" w:rsidR="00593BBE" w:rsidRPr="00D76CD3" w:rsidRDefault="00593BBE" w:rsidP="00DB7BD2">
            <w:pPr>
              <w:rPr>
                <w:rFonts w:ascii="Times New Roman" w:hAnsi="Times New Roman"/>
                <w:sz w:val="20"/>
                <w:szCs w:val="20"/>
              </w:rPr>
            </w:pPr>
          </w:p>
        </w:tc>
        <w:tc>
          <w:tcPr>
            <w:tcW w:w="1134" w:type="dxa"/>
          </w:tcPr>
          <w:p w14:paraId="27550315" w14:textId="77777777" w:rsidR="00593BBE" w:rsidRPr="00D76CD3" w:rsidRDefault="00593BBE" w:rsidP="00DB7BD2">
            <w:pPr>
              <w:rPr>
                <w:rFonts w:ascii="Times New Roman" w:hAnsi="Times New Roman"/>
                <w:sz w:val="20"/>
                <w:szCs w:val="20"/>
              </w:rPr>
            </w:pPr>
          </w:p>
        </w:tc>
        <w:tc>
          <w:tcPr>
            <w:tcW w:w="1134" w:type="dxa"/>
          </w:tcPr>
          <w:p w14:paraId="0363F9B3" w14:textId="77777777" w:rsidR="00593BBE" w:rsidRPr="00D76CD3" w:rsidRDefault="00593BBE" w:rsidP="00DB7BD2">
            <w:pPr>
              <w:rPr>
                <w:rFonts w:ascii="Times New Roman" w:hAnsi="Times New Roman"/>
                <w:sz w:val="20"/>
                <w:szCs w:val="20"/>
              </w:rPr>
            </w:pPr>
          </w:p>
        </w:tc>
        <w:tc>
          <w:tcPr>
            <w:tcW w:w="1134" w:type="dxa"/>
          </w:tcPr>
          <w:p w14:paraId="2D6EFCEE" w14:textId="77777777" w:rsidR="00593BBE" w:rsidRPr="00D76CD3" w:rsidRDefault="00593BBE" w:rsidP="00DB7BD2">
            <w:pPr>
              <w:rPr>
                <w:rFonts w:ascii="Times New Roman" w:hAnsi="Times New Roman"/>
                <w:sz w:val="20"/>
                <w:szCs w:val="20"/>
              </w:rPr>
            </w:pPr>
          </w:p>
        </w:tc>
        <w:tc>
          <w:tcPr>
            <w:tcW w:w="1134" w:type="dxa"/>
          </w:tcPr>
          <w:p w14:paraId="15E9F315" w14:textId="77777777" w:rsidR="00593BBE" w:rsidRPr="00D76CD3" w:rsidRDefault="00593BBE" w:rsidP="00DB7BD2">
            <w:pPr>
              <w:rPr>
                <w:rFonts w:ascii="Times New Roman" w:hAnsi="Times New Roman"/>
                <w:sz w:val="20"/>
                <w:szCs w:val="20"/>
              </w:rPr>
            </w:pPr>
          </w:p>
        </w:tc>
      </w:tr>
      <w:tr w:rsidR="00357A2A" w:rsidRPr="00D76CD3" w14:paraId="6DB11C0F" w14:textId="77777777" w:rsidTr="00125E3F">
        <w:trPr>
          <w:jc w:val="center"/>
        </w:trPr>
        <w:tc>
          <w:tcPr>
            <w:tcW w:w="3015" w:type="dxa"/>
          </w:tcPr>
          <w:p w14:paraId="581FE0C8" w14:textId="77777777" w:rsidR="00357A2A" w:rsidRPr="00D76CD3" w:rsidRDefault="00357A2A" w:rsidP="00DB7BD2">
            <w:pPr>
              <w:rPr>
                <w:rFonts w:ascii="Times New Roman" w:hAnsi="Times New Roman"/>
                <w:sz w:val="20"/>
                <w:szCs w:val="20"/>
              </w:rPr>
            </w:pPr>
          </w:p>
        </w:tc>
        <w:tc>
          <w:tcPr>
            <w:tcW w:w="1551" w:type="dxa"/>
          </w:tcPr>
          <w:p w14:paraId="59FF45C0" w14:textId="77777777" w:rsidR="00357A2A" w:rsidRPr="00D76CD3" w:rsidRDefault="00357A2A" w:rsidP="00DB7BD2">
            <w:pPr>
              <w:rPr>
                <w:rFonts w:ascii="Times New Roman" w:hAnsi="Times New Roman"/>
                <w:sz w:val="20"/>
                <w:szCs w:val="20"/>
              </w:rPr>
            </w:pPr>
          </w:p>
        </w:tc>
        <w:tc>
          <w:tcPr>
            <w:tcW w:w="3449" w:type="dxa"/>
          </w:tcPr>
          <w:p w14:paraId="3123C293" w14:textId="77777777" w:rsidR="00357A2A" w:rsidRPr="007B286B" w:rsidRDefault="00357A2A" w:rsidP="00DB7BD2">
            <w:pPr>
              <w:rPr>
                <w:rFonts w:ascii="Times New Roman" w:hAnsi="Times New Roman"/>
                <w:sz w:val="20"/>
                <w:szCs w:val="20"/>
              </w:rPr>
            </w:pPr>
          </w:p>
        </w:tc>
        <w:tc>
          <w:tcPr>
            <w:tcW w:w="2045" w:type="dxa"/>
          </w:tcPr>
          <w:p w14:paraId="43EC437D" w14:textId="77777777" w:rsidR="00357A2A" w:rsidRPr="00D76CD3" w:rsidRDefault="00357A2A" w:rsidP="00DB7BD2">
            <w:pPr>
              <w:rPr>
                <w:rFonts w:ascii="Times New Roman" w:hAnsi="Times New Roman"/>
                <w:sz w:val="20"/>
                <w:szCs w:val="20"/>
              </w:rPr>
            </w:pPr>
          </w:p>
        </w:tc>
        <w:tc>
          <w:tcPr>
            <w:tcW w:w="1134" w:type="dxa"/>
          </w:tcPr>
          <w:p w14:paraId="59E5F431" w14:textId="77777777" w:rsidR="00357A2A" w:rsidRPr="00D76CD3" w:rsidRDefault="00357A2A" w:rsidP="00DB7BD2">
            <w:pPr>
              <w:rPr>
                <w:rFonts w:ascii="Times New Roman" w:hAnsi="Times New Roman"/>
                <w:sz w:val="20"/>
                <w:szCs w:val="20"/>
              </w:rPr>
            </w:pPr>
          </w:p>
        </w:tc>
        <w:tc>
          <w:tcPr>
            <w:tcW w:w="1134" w:type="dxa"/>
          </w:tcPr>
          <w:p w14:paraId="65D5D736" w14:textId="77777777" w:rsidR="00357A2A" w:rsidRPr="00D76CD3" w:rsidRDefault="00357A2A" w:rsidP="00DB7BD2">
            <w:pPr>
              <w:rPr>
                <w:rFonts w:ascii="Times New Roman" w:hAnsi="Times New Roman"/>
                <w:sz w:val="20"/>
                <w:szCs w:val="20"/>
              </w:rPr>
            </w:pPr>
          </w:p>
        </w:tc>
        <w:tc>
          <w:tcPr>
            <w:tcW w:w="1134" w:type="dxa"/>
          </w:tcPr>
          <w:p w14:paraId="57AE2388" w14:textId="77777777" w:rsidR="00357A2A" w:rsidRPr="00D76CD3" w:rsidRDefault="00357A2A" w:rsidP="00DB7BD2">
            <w:pPr>
              <w:rPr>
                <w:rFonts w:ascii="Times New Roman" w:hAnsi="Times New Roman"/>
                <w:sz w:val="20"/>
                <w:szCs w:val="20"/>
              </w:rPr>
            </w:pPr>
          </w:p>
        </w:tc>
        <w:tc>
          <w:tcPr>
            <w:tcW w:w="1134" w:type="dxa"/>
          </w:tcPr>
          <w:p w14:paraId="4E960E58" w14:textId="77777777" w:rsidR="00357A2A" w:rsidRPr="00D76CD3" w:rsidRDefault="00357A2A" w:rsidP="00DB7BD2">
            <w:pPr>
              <w:rPr>
                <w:rFonts w:ascii="Times New Roman" w:hAnsi="Times New Roman"/>
                <w:sz w:val="20"/>
                <w:szCs w:val="20"/>
              </w:rPr>
            </w:pPr>
          </w:p>
        </w:tc>
      </w:tr>
      <w:tr w:rsidR="00AB5DED" w:rsidRPr="00D76CD3" w14:paraId="6DBCB53C" w14:textId="77777777" w:rsidTr="00125E3F">
        <w:trPr>
          <w:jc w:val="center"/>
        </w:trPr>
        <w:tc>
          <w:tcPr>
            <w:tcW w:w="3015" w:type="dxa"/>
            <w:vMerge w:val="restart"/>
          </w:tcPr>
          <w:p w14:paraId="2B36227E" w14:textId="0D9DD84F" w:rsidR="00AB5DED" w:rsidRPr="00D76CD3" w:rsidRDefault="00AB5DED" w:rsidP="00DB7BD2">
            <w:pPr>
              <w:rPr>
                <w:rFonts w:ascii="Times New Roman" w:hAnsi="Times New Roman"/>
                <w:sz w:val="20"/>
                <w:szCs w:val="20"/>
              </w:rPr>
            </w:pPr>
            <w:r w:rsidRPr="00C30C20">
              <w:rPr>
                <w:rFonts w:ascii="Times New Roman" w:hAnsi="Times New Roman"/>
                <w:b/>
              </w:rPr>
              <w:t>Output 4.3</w:t>
            </w:r>
            <w:r w:rsidRPr="00F12FA1">
              <w:rPr>
                <w:rFonts w:ascii="Times New Roman" w:hAnsi="Times New Roman"/>
              </w:rPr>
              <w:t xml:space="preserve"> : le pilotage de la politique nationale de décentralisation et le suivi des collectivités territoriales sont renforcés</w:t>
            </w:r>
          </w:p>
        </w:tc>
        <w:tc>
          <w:tcPr>
            <w:tcW w:w="1551" w:type="dxa"/>
          </w:tcPr>
          <w:p w14:paraId="56D5F58B" w14:textId="77777777" w:rsidR="00AB5DED" w:rsidRPr="00D76CD3" w:rsidRDefault="00AB5DED" w:rsidP="00DB7BD2">
            <w:pPr>
              <w:rPr>
                <w:rFonts w:ascii="Times New Roman" w:hAnsi="Times New Roman"/>
                <w:sz w:val="20"/>
                <w:szCs w:val="20"/>
              </w:rPr>
            </w:pPr>
          </w:p>
        </w:tc>
        <w:tc>
          <w:tcPr>
            <w:tcW w:w="3449" w:type="dxa"/>
          </w:tcPr>
          <w:p w14:paraId="6939B10E" w14:textId="47C2F07B" w:rsidR="00AB5DED" w:rsidRPr="007B286B" w:rsidRDefault="00AB5DED" w:rsidP="00DB7BD2">
            <w:pPr>
              <w:rPr>
                <w:rFonts w:ascii="Times New Roman" w:hAnsi="Times New Roman"/>
                <w:sz w:val="20"/>
                <w:szCs w:val="20"/>
              </w:rPr>
            </w:pPr>
            <w:r w:rsidRPr="007D1E80">
              <w:rPr>
                <w:rFonts w:ascii="Times New Roman" w:hAnsi="Times New Roman"/>
                <w:sz w:val="20"/>
                <w:szCs w:val="20"/>
              </w:rPr>
              <w:t>4.3.1 Renforcer les capacités de la DGCT et de la DGAT</w:t>
            </w:r>
          </w:p>
        </w:tc>
        <w:tc>
          <w:tcPr>
            <w:tcW w:w="2045" w:type="dxa"/>
          </w:tcPr>
          <w:p w14:paraId="654A64F0" w14:textId="77777777" w:rsidR="00AB5DED" w:rsidRPr="00D76CD3" w:rsidRDefault="00AB5DED" w:rsidP="00DB7BD2">
            <w:pPr>
              <w:rPr>
                <w:rFonts w:ascii="Times New Roman" w:hAnsi="Times New Roman"/>
                <w:sz w:val="20"/>
                <w:szCs w:val="20"/>
              </w:rPr>
            </w:pPr>
          </w:p>
        </w:tc>
        <w:tc>
          <w:tcPr>
            <w:tcW w:w="1134" w:type="dxa"/>
          </w:tcPr>
          <w:p w14:paraId="720F38E1" w14:textId="77777777" w:rsidR="00AB5DED" w:rsidRPr="00D76CD3" w:rsidRDefault="00AB5DED" w:rsidP="00DB7BD2">
            <w:pPr>
              <w:rPr>
                <w:rFonts w:ascii="Times New Roman" w:hAnsi="Times New Roman"/>
                <w:sz w:val="20"/>
                <w:szCs w:val="20"/>
              </w:rPr>
            </w:pPr>
          </w:p>
        </w:tc>
        <w:tc>
          <w:tcPr>
            <w:tcW w:w="1134" w:type="dxa"/>
          </w:tcPr>
          <w:p w14:paraId="4D060CF1" w14:textId="77777777" w:rsidR="00AB5DED" w:rsidRPr="00D76CD3" w:rsidRDefault="00AB5DED" w:rsidP="00DB7BD2">
            <w:pPr>
              <w:rPr>
                <w:rFonts w:ascii="Times New Roman" w:hAnsi="Times New Roman"/>
                <w:sz w:val="20"/>
                <w:szCs w:val="20"/>
              </w:rPr>
            </w:pPr>
          </w:p>
        </w:tc>
        <w:tc>
          <w:tcPr>
            <w:tcW w:w="1134" w:type="dxa"/>
          </w:tcPr>
          <w:p w14:paraId="7C2B6778" w14:textId="77777777" w:rsidR="00AB5DED" w:rsidRPr="00D76CD3" w:rsidRDefault="00AB5DED" w:rsidP="00DB7BD2">
            <w:pPr>
              <w:rPr>
                <w:rFonts w:ascii="Times New Roman" w:hAnsi="Times New Roman"/>
                <w:sz w:val="20"/>
                <w:szCs w:val="20"/>
              </w:rPr>
            </w:pPr>
          </w:p>
        </w:tc>
        <w:tc>
          <w:tcPr>
            <w:tcW w:w="1134" w:type="dxa"/>
          </w:tcPr>
          <w:p w14:paraId="282D5258" w14:textId="77777777" w:rsidR="00AB5DED" w:rsidRPr="00D76CD3" w:rsidRDefault="00AB5DED" w:rsidP="00DB7BD2">
            <w:pPr>
              <w:rPr>
                <w:rFonts w:ascii="Times New Roman" w:hAnsi="Times New Roman"/>
                <w:sz w:val="20"/>
                <w:szCs w:val="20"/>
              </w:rPr>
            </w:pPr>
          </w:p>
        </w:tc>
      </w:tr>
      <w:tr w:rsidR="00AB5DED" w:rsidRPr="00D76CD3" w14:paraId="73FE5A1C" w14:textId="77777777" w:rsidTr="00125E3F">
        <w:trPr>
          <w:jc w:val="center"/>
        </w:trPr>
        <w:tc>
          <w:tcPr>
            <w:tcW w:w="3015" w:type="dxa"/>
            <w:vMerge/>
          </w:tcPr>
          <w:p w14:paraId="691AA038" w14:textId="77777777" w:rsidR="00AB5DED" w:rsidRPr="00D76CD3" w:rsidRDefault="00AB5DED" w:rsidP="00DB7BD2">
            <w:pPr>
              <w:rPr>
                <w:rFonts w:ascii="Times New Roman" w:hAnsi="Times New Roman"/>
                <w:sz w:val="20"/>
                <w:szCs w:val="20"/>
              </w:rPr>
            </w:pPr>
          </w:p>
        </w:tc>
        <w:tc>
          <w:tcPr>
            <w:tcW w:w="1551" w:type="dxa"/>
          </w:tcPr>
          <w:p w14:paraId="3D81690C" w14:textId="77777777" w:rsidR="00AB5DED" w:rsidRPr="00D76CD3" w:rsidRDefault="00AB5DED" w:rsidP="00DB7BD2">
            <w:pPr>
              <w:rPr>
                <w:rFonts w:ascii="Times New Roman" w:hAnsi="Times New Roman"/>
                <w:sz w:val="20"/>
                <w:szCs w:val="20"/>
              </w:rPr>
            </w:pPr>
          </w:p>
        </w:tc>
        <w:tc>
          <w:tcPr>
            <w:tcW w:w="3449" w:type="dxa"/>
          </w:tcPr>
          <w:p w14:paraId="28A7CFFF" w14:textId="51C3932D" w:rsidR="00AB5DED" w:rsidRPr="007B286B" w:rsidRDefault="00AB5DED" w:rsidP="00DB7BD2">
            <w:pPr>
              <w:rPr>
                <w:rFonts w:ascii="Times New Roman" w:hAnsi="Times New Roman"/>
                <w:sz w:val="20"/>
                <w:szCs w:val="20"/>
              </w:rPr>
            </w:pPr>
            <w:r w:rsidRPr="007D1E80">
              <w:rPr>
                <w:rFonts w:ascii="Times New Roman" w:hAnsi="Times New Roman"/>
                <w:sz w:val="20"/>
                <w:szCs w:val="20"/>
              </w:rPr>
              <w:t>4.3.2 Renforcer les capacités des Représentants de l'</w:t>
            </w:r>
            <w:r w:rsidR="005B00EE">
              <w:rPr>
                <w:rFonts w:ascii="Times New Roman" w:hAnsi="Times New Roman"/>
                <w:sz w:val="20"/>
                <w:szCs w:val="20"/>
              </w:rPr>
              <w:t>É</w:t>
            </w:r>
            <w:r w:rsidRPr="007D1E80">
              <w:rPr>
                <w:rFonts w:ascii="Times New Roman" w:hAnsi="Times New Roman"/>
                <w:sz w:val="20"/>
                <w:szCs w:val="20"/>
              </w:rPr>
              <w:t>tat dans le suivi et de l'appui-conseil aux collectivités</w:t>
            </w:r>
          </w:p>
        </w:tc>
        <w:tc>
          <w:tcPr>
            <w:tcW w:w="2045" w:type="dxa"/>
          </w:tcPr>
          <w:p w14:paraId="48E32CEC" w14:textId="77777777" w:rsidR="00AB5DED" w:rsidRPr="00D76CD3" w:rsidRDefault="00AB5DED" w:rsidP="00DB7BD2">
            <w:pPr>
              <w:rPr>
                <w:rFonts w:ascii="Times New Roman" w:hAnsi="Times New Roman"/>
                <w:sz w:val="20"/>
                <w:szCs w:val="20"/>
              </w:rPr>
            </w:pPr>
          </w:p>
        </w:tc>
        <w:tc>
          <w:tcPr>
            <w:tcW w:w="1134" w:type="dxa"/>
          </w:tcPr>
          <w:p w14:paraId="4E3F37EB" w14:textId="77777777" w:rsidR="00AB5DED" w:rsidRPr="00D76CD3" w:rsidRDefault="00AB5DED" w:rsidP="00DB7BD2">
            <w:pPr>
              <w:rPr>
                <w:rFonts w:ascii="Times New Roman" w:hAnsi="Times New Roman"/>
                <w:sz w:val="20"/>
                <w:szCs w:val="20"/>
              </w:rPr>
            </w:pPr>
          </w:p>
        </w:tc>
        <w:tc>
          <w:tcPr>
            <w:tcW w:w="1134" w:type="dxa"/>
          </w:tcPr>
          <w:p w14:paraId="6A511892" w14:textId="77777777" w:rsidR="00AB5DED" w:rsidRPr="00D76CD3" w:rsidRDefault="00AB5DED" w:rsidP="00DB7BD2">
            <w:pPr>
              <w:rPr>
                <w:rFonts w:ascii="Times New Roman" w:hAnsi="Times New Roman"/>
                <w:sz w:val="20"/>
                <w:szCs w:val="20"/>
              </w:rPr>
            </w:pPr>
          </w:p>
        </w:tc>
        <w:tc>
          <w:tcPr>
            <w:tcW w:w="1134" w:type="dxa"/>
          </w:tcPr>
          <w:p w14:paraId="44288FF3" w14:textId="77777777" w:rsidR="00AB5DED" w:rsidRPr="00D76CD3" w:rsidRDefault="00AB5DED" w:rsidP="00DB7BD2">
            <w:pPr>
              <w:rPr>
                <w:rFonts w:ascii="Times New Roman" w:hAnsi="Times New Roman"/>
                <w:sz w:val="20"/>
                <w:szCs w:val="20"/>
              </w:rPr>
            </w:pPr>
          </w:p>
        </w:tc>
        <w:tc>
          <w:tcPr>
            <w:tcW w:w="1134" w:type="dxa"/>
          </w:tcPr>
          <w:p w14:paraId="6327413B" w14:textId="77777777" w:rsidR="00AB5DED" w:rsidRPr="00D76CD3" w:rsidRDefault="00AB5DED" w:rsidP="00DB7BD2">
            <w:pPr>
              <w:rPr>
                <w:rFonts w:ascii="Times New Roman" w:hAnsi="Times New Roman"/>
                <w:sz w:val="20"/>
                <w:szCs w:val="20"/>
              </w:rPr>
            </w:pPr>
          </w:p>
        </w:tc>
      </w:tr>
      <w:tr w:rsidR="00AB5DED" w:rsidRPr="00D76CD3" w14:paraId="4C362992" w14:textId="77777777" w:rsidTr="00125E3F">
        <w:trPr>
          <w:jc w:val="center"/>
        </w:trPr>
        <w:tc>
          <w:tcPr>
            <w:tcW w:w="3015" w:type="dxa"/>
            <w:vMerge/>
          </w:tcPr>
          <w:p w14:paraId="3CA35459" w14:textId="77777777" w:rsidR="00AB5DED" w:rsidRPr="00D76CD3" w:rsidRDefault="00AB5DED" w:rsidP="00DB7BD2">
            <w:pPr>
              <w:rPr>
                <w:rFonts w:ascii="Times New Roman" w:hAnsi="Times New Roman"/>
                <w:sz w:val="20"/>
                <w:szCs w:val="20"/>
              </w:rPr>
            </w:pPr>
          </w:p>
        </w:tc>
        <w:tc>
          <w:tcPr>
            <w:tcW w:w="1551" w:type="dxa"/>
          </w:tcPr>
          <w:p w14:paraId="60E7AACE" w14:textId="77777777" w:rsidR="00AB5DED" w:rsidRPr="00D76CD3" w:rsidRDefault="00AB5DED" w:rsidP="00DB7BD2">
            <w:pPr>
              <w:rPr>
                <w:rFonts w:ascii="Times New Roman" w:hAnsi="Times New Roman"/>
                <w:sz w:val="20"/>
                <w:szCs w:val="20"/>
              </w:rPr>
            </w:pPr>
          </w:p>
        </w:tc>
        <w:tc>
          <w:tcPr>
            <w:tcW w:w="3449" w:type="dxa"/>
          </w:tcPr>
          <w:p w14:paraId="32907DD3" w14:textId="250B46FA" w:rsidR="00AB5DED" w:rsidRPr="007B286B" w:rsidRDefault="00AB5DED" w:rsidP="00DB7BD2">
            <w:pPr>
              <w:rPr>
                <w:rFonts w:ascii="Times New Roman" w:hAnsi="Times New Roman"/>
                <w:sz w:val="20"/>
                <w:szCs w:val="20"/>
              </w:rPr>
            </w:pPr>
            <w:r w:rsidRPr="00AB5DED">
              <w:rPr>
                <w:rFonts w:ascii="Times New Roman" w:hAnsi="Times New Roman"/>
                <w:sz w:val="20"/>
                <w:szCs w:val="20"/>
              </w:rPr>
              <w:t>4.3.3 Appuyer les ADR dans l'appui aux collectivités</w:t>
            </w:r>
          </w:p>
        </w:tc>
        <w:tc>
          <w:tcPr>
            <w:tcW w:w="2045" w:type="dxa"/>
          </w:tcPr>
          <w:p w14:paraId="6C37CB16" w14:textId="77777777" w:rsidR="00AB5DED" w:rsidRPr="00D76CD3" w:rsidRDefault="00AB5DED" w:rsidP="00DB7BD2">
            <w:pPr>
              <w:rPr>
                <w:rFonts w:ascii="Times New Roman" w:hAnsi="Times New Roman"/>
                <w:sz w:val="20"/>
                <w:szCs w:val="20"/>
              </w:rPr>
            </w:pPr>
          </w:p>
        </w:tc>
        <w:tc>
          <w:tcPr>
            <w:tcW w:w="1134" w:type="dxa"/>
          </w:tcPr>
          <w:p w14:paraId="3376F71D" w14:textId="77777777" w:rsidR="00AB5DED" w:rsidRPr="00D76CD3" w:rsidRDefault="00AB5DED" w:rsidP="00DB7BD2">
            <w:pPr>
              <w:rPr>
                <w:rFonts w:ascii="Times New Roman" w:hAnsi="Times New Roman"/>
                <w:sz w:val="20"/>
                <w:szCs w:val="20"/>
              </w:rPr>
            </w:pPr>
          </w:p>
        </w:tc>
        <w:tc>
          <w:tcPr>
            <w:tcW w:w="1134" w:type="dxa"/>
          </w:tcPr>
          <w:p w14:paraId="75F2F191" w14:textId="77777777" w:rsidR="00AB5DED" w:rsidRPr="00D76CD3" w:rsidRDefault="00AB5DED" w:rsidP="00DB7BD2">
            <w:pPr>
              <w:rPr>
                <w:rFonts w:ascii="Times New Roman" w:hAnsi="Times New Roman"/>
                <w:sz w:val="20"/>
                <w:szCs w:val="20"/>
              </w:rPr>
            </w:pPr>
          </w:p>
        </w:tc>
        <w:tc>
          <w:tcPr>
            <w:tcW w:w="1134" w:type="dxa"/>
          </w:tcPr>
          <w:p w14:paraId="042A464F" w14:textId="77777777" w:rsidR="00AB5DED" w:rsidRPr="00D76CD3" w:rsidRDefault="00AB5DED" w:rsidP="00DB7BD2">
            <w:pPr>
              <w:rPr>
                <w:rFonts w:ascii="Times New Roman" w:hAnsi="Times New Roman"/>
                <w:sz w:val="20"/>
                <w:szCs w:val="20"/>
              </w:rPr>
            </w:pPr>
          </w:p>
        </w:tc>
        <w:tc>
          <w:tcPr>
            <w:tcW w:w="1134" w:type="dxa"/>
          </w:tcPr>
          <w:p w14:paraId="64D7F746" w14:textId="77777777" w:rsidR="00AB5DED" w:rsidRPr="00D76CD3" w:rsidRDefault="00AB5DED" w:rsidP="00DB7BD2">
            <w:pPr>
              <w:rPr>
                <w:rFonts w:ascii="Times New Roman" w:hAnsi="Times New Roman"/>
                <w:sz w:val="20"/>
                <w:szCs w:val="20"/>
              </w:rPr>
            </w:pPr>
          </w:p>
        </w:tc>
      </w:tr>
    </w:tbl>
    <w:p w14:paraId="0A50BA76" w14:textId="3520A557" w:rsidR="000F764A" w:rsidRDefault="000F764A" w:rsidP="007B52A6">
      <w:pPr>
        <w:spacing w:line="240" w:lineRule="auto"/>
        <w:jc w:val="both"/>
        <w:rPr>
          <w:rFonts w:ascii="Times New Roman" w:hAnsi="Times New Roman"/>
          <w:sz w:val="20"/>
          <w:szCs w:val="20"/>
        </w:rPr>
      </w:pPr>
    </w:p>
    <w:p w14:paraId="0DC0C067" w14:textId="7DAEE173" w:rsidR="00274486" w:rsidRPr="0059443C" w:rsidRDefault="00274486" w:rsidP="0059443C">
      <w:pPr>
        <w:spacing w:line="240" w:lineRule="auto"/>
        <w:jc w:val="both"/>
        <w:rPr>
          <w:rFonts w:ascii="Times New Roman" w:hAnsi="Times New Roman"/>
          <w:sz w:val="20"/>
          <w:szCs w:val="20"/>
        </w:rPr>
      </w:pPr>
    </w:p>
    <w:sectPr w:rsidR="00274486" w:rsidRPr="0059443C" w:rsidSect="000F764A">
      <w:pgSz w:w="16838" w:h="11906" w:orient="landscape"/>
      <w:pgMar w:top="1077" w:right="1440" w:bottom="107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6732" w14:textId="77777777" w:rsidR="00DC7BB1" w:rsidRDefault="00DC7BB1">
      <w:pPr>
        <w:spacing w:after="0" w:line="240" w:lineRule="auto"/>
      </w:pPr>
      <w:r>
        <w:separator/>
      </w:r>
    </w:p>
  </w:endnote>
  <w:endnote w:type="continuationSeparator" w:id="0">
    <w:p w14:paraId="70046641" w14:textId="77777777" w:rsidR="00DC7BB1" w:rsidRDefault="00DC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9F00D" w14:textId="77777777" w:rsidR="00034521" w:rsidRDefault="000345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38F5" w14:textId="77777777" w:rsidR="000E566F" w:rsidRDefault="000E56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F55E" w14:textId="77777777" w:rsidR="000E566F" w:rsidRDefault="000E56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45CFF" w14:textId="77777777" w:rsidR="00DC7BB1" w:rsidRDefault="00DC7BB1">
      <w:pPr>
        <w:spacing w:after="0" w:line="240" w:lineRule="auto"/>
      </w:pPr>
      <w:r>
        <w:rPr>
          <w:color w:val="000000"/>
        </w:rPr>
        <w:separator/>
      </w:r>
    </w:p>
  </w:footnote>
  <w:footnote w:type="continuationSeparator" w:id="0">
    <w:p w14:paraId="460E7B21" w14:textId="77777777" w:rsidR="00DC7BB1" w:rsidRDefault="00DC7BB1">
      <w:pPr>
        <w:spacing w:after="0" w:line="240" w:lineRule="auto"/>
      </w:pPr>
      <w:r>
        <w:continuationSeparator/>
      </w:r>
    </w:p>
  </w:footnote>
  <w:footnote w:id="1">
    <w:p w14:paraId="52FCD712" w14:textId="77777777" w:rsidR="000E566F" w:rsidRDefault="000E566F">
      <w:pPr>
        <w:pStyle w:val="Notedebasdepage"/>
      </w:pPr>
      <w:r>
        <w:rPr>
          <w:rStyle w:val="Appelnotedebasdep"/>
        </w:rPr>
        <w:footnoteRef/>
      </w:r>
      <w:r>
        <w:rPr>
          <w:rFonts w:ascii="Times New Roman" w:hAnsi="Times New Roman"/>
          <w:sz w:val="16"/>
          <w:szCs w:val="16"/>
        </w:rPr>
        <w:t xml:space="preserve"> </w:t>
      </w:r>
      <w:r>
        <w:rPr>
          <w:rFonts w:ascii="Times New Roman" w:hAnsi="Times New Roman"/>
          <w:sz w:val="16"/>
          <w:szCs w:val="16"/>
          <w:lang w:val="fr-FR"/>
        </w:rPr>
        <w:t xml:space="preserve">CREDD 2019-2022, p.43. </w:t>
      </w:r>
    </w:p>
  </w:footnote>
  <w:footnote w:id="2">
    <w:p w14:paraId="796411C1" w14:textId="2C89D8D7" w:rsidR="009C4A2D" w:rsidRPr="009C4A2D" w:rsidRDefault="009C4A2D">
      <w:pPr>
        <w:pStyle w:val="Notedebasdepage"/>
        <w:rPr>
          <w:lang w:val="fr-FR"/>
        </w:rPr>
      </w:pPr>
      <w:r>
        <w:rPr>
          <w:rStyle w:val="Appelnotedebasdep"/>
        </w:rPr>
        <w:footnoteRef/>
      </w:r>
      <w:r>
        <w:t xml:space="preserve"> </w:t>
      </w:r>
      <w:r>
        <w:rPr>
          <w:rFonts w:ascii="Times New Roman" w:hAnsi="Times New Roman"/>
          <w:sz w:val="16"/>
          <w:szCs w:val="16"/>
          <w:lang w:val="fr-FR"/>
        </w:rPr>
        <w:t>Banque Mondiale. Évaluation des politiques et des institutions nationales (CPIA). Rapports 201</w:t>
      </w:r>
      <w:r w:rsidR="009426B9">
        <w:rPr>
          <w:rFonts w:ascii="Times New Roman" w:hAnsi="Times New Roman"/>
          <w:sz w:val="16"/>
          <w:szCs w:val="16"/>
          <w:lang w:val="fr-FR"/>
        </w:rPr>
        <w:t>8, 2019 et 2020.</w:t>
      </w:r>
      <w:r w:rsidRPr="004A1B1E">
        <w:rPr>
          <w:rStyle w:val="Appelnotedebasdep"/>
          <w:lang w:val="fr-FR"/>
        </w:rPr>
        <w:t xml:space="preserve">   </w:t>
      </w:r>
    </w:p>
  </w:footnote>
  <w:footnote w:id="3">
    <w:p w14:paraId="7BFF1BED" w14:textId="77777777" w:rsidR="000E566F" w:rsidRDefault="000E566F">
      <w:pPr>
        <w:pStyle w:val="Notedebasdepage"/>
      </w:pPr>
      <w:r>
        <w:rPr>
          <w:rStyle w:val="Appelnotedebasdep"/>
        </w:rPr>
        <w:footnoteRef/>
      </w:r>
      <w:r>
        <w:t xml:space="preserve"> </w:t>
      </w:r>
      <w:r>
        <w:rPr>
          <w:rFonts w:ascii="Times New Roman" w:hAnsi="Times New Roman"/>
          <w:sz w:val="16"/>
          <w:szCs w:val="16"/>
          <w:lang w:val="fr-FR"/>
        </w:rPr>
        <w:t xml:space="preserve">2018. Ibrahim index of </w:t>
      </w:r>
      <w:r>
        <w:rPr>
          <w:rFonts w:ascii="Times New Roman" w:hAnsi="Times New Roman"/>
          <w:sz w:val="16"/>
          <w:szCs w:val="16"/>
          <w:lang w:val="fr-FR"/>
        </w:rPr>
        <w:t>African governance.</w:t>
      </w:r>
    </w:p>
  </w:footnote>
  <w:footnote w:id="4">
    <w:p w14:paraId="04DF600B" w14:textId="77777777" w:rsidR="000E566F" w:rsidRDefault="000E566F">
      <w:pPr>
        <w:pStyle w:val="Notedebasdepage"/>
      </w:pPr>
      <w:r>
        <w:rPr>
          <w:rStyle w:val="Appelnotedebasdep"/>
        </w:rPr>
        <w:footnoteRef/>
      </w:r>
      <w:r>
        <w:t xml:space="preserve"> </w:t>
      </w:r>
      <w:r>
        <w:rPr>
          <w:rFonts w:ascii="Times New Roman" w:hAnsi="Times New Roman"/>
          <w:sz w:val="16"/>
          <w:szCs w:val="16"/>
          <w:lang w:val="fr-FR"/>
        </w:rPr>
        <w:t>Friedrich-Ebert-</w:t>
      </w:r>
      <w:r>
        <w:rPr>
          <w:rFonts w:ascii="Times New Roman" w:hAnsi="Times New Roman"/>
          <w:sz w:val="16"/>
          <w:szCs w:val="16"/>
          <w:lang w:val="fr-FR"/>
        </w:rPr>
        <w:t>Stiftung, Mali. 2011. Mali-Mètre n°11, 12 au 26 novembre 2019.</w:t>
      </w:r>
    </w:p>
  </w:footnote>
  <w:footnote w:id="5">
    <w:p w14:paraId="0C0E4D18" w14:textId="44F25C8D" w:rsidR="00532669" w:rsidRPr="00532669" w:rsidRDefault="00532669">
      <w:pPr>
        <w:pStyle w:val="Notedebasdepage"/>
        <w:rPr>
          <w:lang w:val="fr-FR"/>
        </w:rPr>
      </w:pPr>
      <w:r w:rsidRPr="00532669">
        <w:rPr>
          <w:rFonts w:ascii="Times New Roman" w:eastAsia="Calibri" w:hAnsi="Times New Roman"/>
          <w:sz w:val="16"/>
          <w:szCs w:val="16"/>
          <w:lang w:val="fr-FR"/>
        </w:rPr>
        <w:footnoteRef/>
      </w:r>
      <w:r w:rsidRPr="00532669">
        <w:rPr>
          <w:rFonts w:ascii="Times New Roman" w:eastAsia="Calibri" w:hAnsi="Times New Roman"/>
          <w:sz w:val="16"/>
          <w:szCs w:val="16"/>
          <w:lang w:val="fr-FR"/>
        </w:rPr>
        <w:t xml:space="preserve"> CABRI. 2019. Budget-programme : le déploiement d’une réforme complexe en Afrique. Note d’orientation 2019/1.</w:t>
      </w:r>
    </w:p>
  </w:footnote>
  <w:footnote w:id="6">
    <w:p w14:paraId="619AE998" w14:textId="4DA7E251" w:rsidR="00A05E85" w:rsidRPr="00A05E85" w:rsidRDefault="00A05E85">
      <w:pPr>
        <w:pStyle w:val="Notedebasdepage"/>
        <w:rPr>
          <w:lang w:val="fr-FR"/>
        </w:rPr>
      </w:pPr>
      <w:r w:rsidRPr="001C33B0">
        <w:rPr>
          <w:rFonts w:ascii="Times New Roman" w:eastAsia="Calibri" w:hAnsi="Times New Roman"/>
          <w:sz w:val="16"/>
          <w:szCs w:val="16"/>
          <w:lang w:val="fr-FR"/>
        </w:rPr>
        <w:footnoteRef/>
      </w:r>
      <w:r w:rsidRPr="001C33B0">
        <w:rPr>
          <w:rFonts w:ascii="Times New Roman" w:eastAsia="Calibri" w:hAnsi="Times New Roman"/>
          <w:sz w:val="16"/>
          <w:szCs w:val="16"/>
          <w:lang w:val="fr-FR"/>
        </w:rPr>
        <w:t xml:space="preserve"> </w:t>
      </w:r>
      <w:r w:rsidR="005B0FF4" w:rsidRPr="001C33B0">
        <w:rPr>
          <w:rFonts w:ascii="Times New Roman" w:eastAsia="Calibri" w:hAnsi="Times New Roman"/>
          <w:sz w:val="16"/>
          <w:szCs w:val="16"/>
          <w:lang w:val="fr-FR"/>
        </w:rPr>
        <w:t xml:space="preserve">Fofana </w:t>
      </w:r>
      <w:r w:rsidR="005B0FF4" w:rsidRPr="001C33B0">
        <w:rPr>
          <w:rFonts w:ascii="Times New Roman" w:eastAsia="Calibri" w:hAnsi="Times New Roman"/>
          <w:sz w:val="16"/>
          <w:szCs w:val="16"/>
          <w:lang w:val="fr-FR"/>
        </w:rPr>
        <w:t>Wamara et Fodé Coumaré. Le Commissariat à la réforme administrative</w:t>
      </w:r>
      <w:r w:rsidR="001C33B0" w:rsidRPr="001C33B0">
        <w:rPr>
          <w:rFonts w:ascii="Times New Roman" w:eastAsia="Calibri" w:hAnsi="Times New Roman"/>
          <w:sz w:val="16"/>
          <w:szCs w:val="16"/>
          <w:lang w:val="fr-FR"/>
        </w:rPr>
        <w:t>. 20 ans de réforme participative.</w:t>
      </w:r>
      <w:r w:rsidR="005B0FF4">
        <w:rPr>
          <w:lang w:val="fr-FR"/>
        </w:rPr>
        <w:t xml:space="preserve"> </w:t>
      </w:r>
    </w:p>
  </w:footnote>
  <w:footnote w:id="7">
    <w:p w14:paraId="5F7CA568" w14:textId="2D2AE186" w:rsidR="00E251ED" w:rsidRPr="00E251ED" w:rsidRDefault="00E251ED">
      <w:pPr>
        <w:pStyle w:val="Notedebasdepage"/>
        <w:rPr>
          <w:lang w:val="fr-FR"/>
        </w:rPr>
      </w:pPr>
      <w:r w:rsidRPr="008C2355">
        <w:rPr>
          <w:rFonts w:ascii="Times New Roman" w:eastAsia="Calibri" w:hAnsi="Times New Roman"/>
          <w:sz w:val="16"/>
          <w:szCs w:val="16"/>
          <w:lang w:val="fr-FR"/>
        </w:rPr>
        <w:footnoteRef/>
      </w:r>
      <w:r w:rsidRPr="008C2355">
        <w:rPr>
          <w:rFonts w:ascii="Times New Roman" w:eastAsia="Calibri" w:hAnsi="Times New Roman"/>
          <w:sz w:val="16"/>
          <w:szCs w:val="16"/>
          <w:lang w:val="fr-FR"/>
        </w:rPr>
        <w:t xml:space="preserve"> </w:t>
      </w:r>
      <w:r w:rsidR="00DF6DBF" w:rsidRPr="008C2355">
        <w:rPr>
          <w:rFonts w:ascii="Times New Roman" w:eastAsia="Calibri" w:hAnsi="Times New Roman"/>
          <w:sz w:val="16"/>
          <w:szCs w:val="16"/>
          <w:lang w:val="fr-FR"/>
        </w:rPr>
        <w:t>Décret n°</w:t>
      </w:r>
      <w:r w:rsidR="008C2355" w:rsidRPr="008C2355">
        <w:rPr>
          <w:rFonts w:ascii="Times New Roman" w:eastAsia="Calibri" w:hAnsi="Times New Roman"/>
          <w:sz w:val="16"/>
          <w:szCs w:val="16"/>
          <w:lang w:val="fr-FR"/>
        </w:rPr>
        <w:t>2019-0258/P-RM du 27 mars 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E192" w14:textId="77777777" w:rsidR="00034521" w:rsidRDefault="000345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C265" w14:textId="77777777" w:rsidR="000E566F" w:rsidRDefault="000E566F">
    <w:pPr>
      <w:pStyle w:val="En-tte"/>
      <w:jc w:val="right"/>
    </w:pPr>
    <w:r>
      <w:fldChar w:fldCharType="begin"/>
    </w:r>
    <w:r>
      <w:instrText xml:space="preserve"> PAGE </w:instrText>
    </w:r>
    <w:r>
      <w:fldChar w:fldCharType="separate"/>
    </w:r>
    <w:r w:rsidR="006D399D">
      <w:rPr>
        <w:noProof/>
      </w:rPr>
      <w:t>2</w:t>
    </w:r>
    <w:r>
      <w:fldChar w:fldCharType="end"/>
    </w:r>
  </w:p>
  <w:p w14:paraId="380858DC" w14:textId="77777777" w:rsidR="000E566F" w:rsidRDefault="000E56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A59B" w14:textId="77777777" w:rsidR="000E566F" w:rsidRDefault="000E56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E3228"/>
    <w:multiLevelType w:val="multilevel"/>
    <w:tmpl w:val="DDDC00EC"/>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76EE5CCD"/>
    <w:multiLevelType w:val="multilevel"/>
    <w:tmpl w:val="DA92B13C"/>
    <w:lvl w:ilvl="0">
      <w:start w:val="1"/>
      <w:numFmt w:val="decimal"/>
      <w:lvlText w:val="%1."/>
      <w:lvlJc w:val="left"/>
      <w:pPr>
        <w:ind w:left="360" w:hanging="360"/>
      </w:pPr>
      <w:rPr>
        <w:rFonts w:ascii="Calibri" w:eastAsia="Times New Roman" w:hAnsi="Calibri" w:cs="Calibri"/>
      </w:rPr>
    </w:lvl>
    <w:lvl w:ilvl="1">
      <w:start w:val="1"/>
      <w:numFmt w:val="upp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D9001D"/>
    <w:multiLevelType w:val="multilevel"/>
    <w:tmpl w:val="F0E4F416"/>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97"/>
    <w:rsid w:val="0000305C"/>
    <w:rsid w:val="00012808"/>
    <w:rsid w:val="0001340E"/>
    <w:rsid w:val="00034521"/>
    <w:rsid w:val="0006143C"/>
    <w:rsid w:val="00061A01"/>
    <w:rsid w:val="000635B2"/>
    <w:rsid w:val="00074863"/>
    <w:rsid w:val="00074B1A"/>
    <w:rsid w:val="00075AE9"/>
    <w:rsid w:val="00082D88"/>
    <w:rsid w:val="000861EC"/>
    <w:rsid w:val="000A05BC"/>
    <w:rsid w:val="000B1CCB"/>
    <w:rsid w:val="000D4D37"/>
    <w:rsid w:val="000D5054"/>
    <w:rsid w:val="000D6AB4"/>
    <w:rsid w:val="000E566F"/>
    <w:rsid w:val="000E68E4"/>
    <w:rsid w:val="000F54BE"/>
    <w:rsid w:val="000F764A"/>
    <w:rsid w:val="001021CA"/>
    <w:rsid w:val="0012205C"/>
    <w:rsid w:val="00124134"/>
    <w:rsid w:val="00125E3F"/>
    <w:rsid w:val="0013740B"/>
    <w:rsid w:val="00144D3A"/>
    <w:rsid w:val="00154C50"/>
    <w:rsid w:val="00157C90"/>
    <w:rsid w:val="00160F65"/>
    <w:rsid w:val="001627E9"/>
    <w:rsid w:val="001646FC"/>
    <w:rsid w:val="00183A0E"/>
    <w:rsid w:val="00195DAD"/>
    <w:rsid w:val="001A1E00"/>
    <w:rsid w:val="001A7354"/>
    <w:rsid w:val="001C0B7A"/>
    <w:rsid w:val="001C33B0"/>
    <w:rsid w:val="001F238E"/>
    <w:rsid w:val="0020729D"/>
    <w:rsid w:val="00231A4E"/>
    <w:rsid w:val="00236A52"/>
    <w:rsid w:val="00246149"/>
    <w:rsid w:val="002621DE"/>
    <w:rsid w:val="002679C7"/>
    <w:rsid w:val="00272038"/>
    <w:rsid w:val="00272151"/>
    <w:rsid w:val="00274486"/>
    <w:rsid w:val="00282B85"/>
    <w:rsid w:val="002903BF"/>
    <w:rsid w:val="00292BCC"/>
    <w:rsid w:val="002A23BC"/>
    <w:rsid w:val="002A6AEA"/>
    <w:rsid w:val="002B6156"/>
    <w:rsid w:val="002B6699"/>
    <w:rsid w:val="002C0FDB"/>
    <w:rsid w:val="002E5E75"/>
    <w:rsid w:val="003037D4"/>
    <w:rsid w:val="00304606"/>
    <w:rsid w:val="00312AB6"/>
    <w:rsid w:val="00312C0C"/>
    <w:rsid w:val="00320DB7"/>
    <w:rsid w:val="00344228"/>
    <w:rsid w:val="00350C95"/>
    <w:rsid w:val="0035371E"/>
    <w:rsid w:val="0035594B"/>
    <w:rsid w:val="00357A2A"/>
    <w:rsid w:val="00363678"/>
    <w:rsid w:val="00363AF7"/>
    <w:rsid w:val="00371AA1"/>
    <w:rsid w:val="00376577"/>
    <w:rsid w:val="00384F07"/>
    <w:rsid w:val="003A4149"/>
    <w:rsid w:val="003A597C"/>
    <w:rsid w:val="003C4EBF"/>
    <w:rsid w:val="003C5C81"/>
    <w:rsid w:val="003C6B9E"/>
    <w:rsid w:val="003D04EB"/>
    <w:rsid w:val="003D547A"/>
    <w:rsid w:val="003E6C31"/>
    <w:rsid w:val="003E6F0B"/>
    <w:rsid w:val="003F1A61"/>
    <w:rsid w:val="003F4EC2"/>
    <w:rsid w:val="004022FB"/>
    <w:rsid w:val="004142E9"/>
    <w:rsid w:val="00420D4A"/>
    <w:rsid w:val="0043435D"/>
    <w:rsid w:val="004359FD"/>
    <w:rsid w:val="00436611"/>
    <w:rsid w:val="00440F09"/>
    <w:rsid w:val="0044230B"/>
    <w:rsid w:val="00444784"/>
    <w:rsid w:val="004458A7"/>
    <w:rsid w:val="004632AE"/>
    <w:rsid w:val="00466F98"/>
    <w:rsid w:val="00467227"/>
    <w:rsid w:val="00473E6E"/>
    <w:rsid w:val="00474F47"/>
    <w:rsid w:val="004752A4"/>
    <w:rsid w:val="00475FC8"/>
    <w:rsid w:val="00482C94"/>
    <w:rsid w:val="0048642E"/>
    <w:rsid w:val="00486D10"/>
    <w:rsid w:val="004925B4"/>
    <w:rsid w:val="004A657F"/>
    <w:rsid w:val="004B0576"/>
    <w:rsid w:val="004C0244"/>
    <w:rsid w:val="004C44A1"/>
    <w:rsid w:val="004D49AE"/>
    <w:rsid w:val="004E1302"/>
    <w:rsid w:val="004E2A09"/>
    <w:rsid w:val="004E3506"/>
    <w:rsid w:val="004F2FAA"/>
    <w:rsid w:val="0050193B"/>
    <w:rsid w:val="0050582C"/>
    <w:rsid w:val="005058F5"/>
    <w:rsid w:val="00505FD5"/>
    <w:rsid w:val="00510FF8"/>
    <w:rsid w:val="00532669"/>
    <w:rsid w:val="005373DE"/>
    <w:rsid w:val="00551587"/>
    <w:rsid w:val="00566672"/>
    <w:rsid w:val="00570E57"/>
    <w:rsid w:val="00571784"/>
    <w:rsid w:val="0057235D"/>
    <w:rsid w:val="00577508"/>
    <w:rsid w:val="00592340"/>
    <w:rsid w:val="00592A3A"/>
    <w:rsid w:val="00593BBE"/>
    <w:rsid w:val="0059443C"/>
    <w:rsid w:val="005A0ACC"/>
    <w:rsid w:val="005A1C1D"/>
    <w:rsid w:val="005B00EE"/>
    <w:rsid w:val="005B0FF4"/>
    <w:rsid w:val="005B1E05"/>
    <w:rsid w:val="005D4F2E"/>
    <w:rsid w:val="005F0306"/>
    <w:rsid w:val="005F5289"/>
    <w:rsid w:val="005F641E"/>
    <w:rsid w:val="00600F3A"/>
    <w:rsid w:val="006068E1"/>
    <w:rsid w:val="00606963"/>
    <w:rsid w:val="006070AD"/>
    <w:rsid w:val="00611E09"/>
    <w:rsid w:val="006250B9"/>
    <w:rsid w:val="00634A7E"/>
    <w:rsid w:val="0063536C"/>
    <w:rsid w:val="00637328"/>
    <w:rsid w:val="006453F4"/>
    <w:rsid w:val="0065102E"/>
    <w:rsid w:val="00653FDF"/>
    <w:rsid w:val="00655EA0"/>
    <w:rsid w:val="0065748B"/>
    <w:rsid w:val="00667C86"/>
    <w:rsid w:val="0067545A"/>
    <w:rsid w:val="006827CB"/>
    <w:rsid w:val="00683E3F"/>
    <w:rsid w:val="00684231"/>
    <w:rsid w:val="00695C9D"/>
    <w:rsid w:val="00696898"/>
    <w:rsid w:val="006A350F"/>
    <w:rsid w:val="006A5417"/>
    <w:rsid w:val="006A6BFE"/>
    <w:rsid w:val="006A7447"/>
    <w:rsid w:val="006B2854"/>
    <w:rsid w:val="006B4467"/>
    <w:rsid w:val="006B4B45"/>
    <w:rsid w:val="006B4CDA"/>
    <w:rsid w:val="006C2C6C"/>
    <w:rsid w:val="006D2FA0"/>
    <w:rsid w:val="006D399D"/>
    <w:rsid w:val="006F2C07"/>
    <w:rsid w:val="0070301C"/>
    <w:rsid w:val="0071283C"/>
    <w:rsid w:val="00716921"/>
    <w:rsid w:val="00717BC6"/>
    <w:rsid w:val="007275E4"/>
    <w:rsid w:val="00733EEC"/>
    <w:rsid w:val="007366D8"/>
    <w:rsid w:val="007461ED"/>
    <w:rsid w:val="00751375"/>
    <w:rsid w:val="00757912"/>
    <w:rsid w:val="00760344"/>
    <w:rsid w:val="00781476"/>
    <w:rsid w:val="007850D0"/>
    <w:rsid w:val="007A1660"/>
    <w:rsid w:val="007A48EB"/>
    <w:rsid w:val="007A58F0"/>
    <w:rsid w:val="007B286B"/>
    <w:rsid w:val="007B35D0"/>
    <w:rsid w:val="007B52A6"/>
    <w:rsid w:val="007C0E13"/>
    <w:rsid w:val="007C5EB3"/>
    <w:rsid w:val="007D1E80"/>
    <w:rsid w:val="007D2198"/>
    <w:rsid w:val="007D21FE"/>
    <w:rsid w:val="007D7871"/>
    <w:rsid w:val="007E1F5C"/>
    <w:rsid w:val="007E50B3"/>
    <w:rsid w:val="007E59B7"/>
    <w:rsid w:val="007F5053"/>
    <w:rsid w:val="007F5F29"/>
    <w:rsid w:val="007F7A70"/>
    <w:rsid w:val="0080134C"/>
    <w:rsid w:val="00805F57"/>
    <w:rsid w:val="00806CC2"/>
    <w:rsid w:val="00812C1F"/>
    <w:rsid w:val="00824B09"/>
    <w:rsid w:val="00833F09"/>
    <w:rsid w:val="00853129"/>
    <w:rsid w:val="00870301"/>
    <w:rsid w:val="008838B0"/>
    <w:rsid w:val="0088684B"/>
    <w:rsid w:val="00891F0C"/>
    <w:rsid w:val="00892DA8"/>
    <w:rsid w:val="00893BB3"/>
    <w:rsid w:val="00895642"/>
    <w:rsid w:val="008A1FA6"/>
    <w:rsid w:val="008A2E69"/>
    <w:rsid w:val="008A452E"/>
    <w:rsid w:val="008A6694"/>
    <w:rsid w:val="008B38CE"/>
    <w:rsid w:val="008B75DC"/>
    <w:rsid w:val="008C2103"/>
    <w:rsid w:val="008C2355"/>
    <w:rsid w:val="008E3BE9"/>
    <w:rsid w:val="008F7497"/>
    <w:rsid w:val="0090301B"/>
    <w:rsid w:val="0091513A"/>
    <w:rsid w:val="009250BC"/>
    <w:rsid w:val="009337EA"/>
    <w:rsid w:val="0093733C"/>
    <w:rsid w:val="00941BFE"/>
    <w:rsid w:val="009426B9"/>
    <w:rsid w:val="0095623B"/>
    <w:rsid w:val="00964161"/>
    <w:rsid w:val="00965340"/>
    <w:rsid w:val="00967E2A"/>
    <w:rsid w:val="00973983"/>
    <w:rsid w:val="00974A3C"/>
    <w:rsid w:val="0098299C"/>
    <w:rsid w:val="009C047D"/>
    <w:rsid w:val="009C4A2D"/>
    <w:rsid w:val="009D174B"/>
    <w:rsid w:val="009D227D"/>
    <w:rsid w:val="009D47FA"/>
    <w:rsid w:val="009F6094"/>
    <w:rsid w:val="00A003E0"/>
    <w:rsid w:val="00A05E85"/>
    <w:rsid w:val="00A10DAE"/>
    <w:rsid w:val="00A12C3B"/>
    <w:rsid w:val="00A130E4"/>
    <w:rsid w:val="00A1323C"/>
    <w:rsid w:val="00A33B57"/>
    <w:rsid w:val="00A41B2D"/>
    <w:rsid w:val="00A549DF"/>
    <w:rsid w:val="00A54C09"/>
    <w:rsid w:val="00A749DC"/>
    <w:rsid w:val="00A75A0F"/>
    <w:rsid w:val="00A90D49"/>
    <w:rsid w:val="00A90E82"/>
    <w:rsid w:val="00A93616"/>
    <w:rsid w:val="00A95DEF"/>
    <w:rsid w:val="00AA2D42"/>
    <w:rsid w:val="00AA2EBD"/>
    <w:rsid w:val="00AB3DDF"/>
    <w:rsid w:val="00AB5DED"/>
    <w:rsid w:val="00AB612E"/>
    <w:rsid w:val="00AB7204"/>
    <w:rsid w:val="00AC188B"/>
    <w:rsid w:val="00AC1C5C"/>
    <w:rsid w:val="00AC2F4D"/>
    <w:rsid w:val="00AD1EB5"/>
    <w:rsid w:val="00AE1F89"/>
    <w:rsid w:val="00AE67AD"/>
    <w:rsid w:val="00AF0DD0"/>
    <w:rsid w:val="00AF1005"/>
    <w:rsid w:val="00B07141"/>
    <w:rsid w:val="00B1076C"/>
    <w:rsid w:val="00B121C4"/>
    <w:rsid w:val="00B244C6"/>
    <w:rsid w:val="00B26ABB"/>
    <w:rsid w:val="00B3548B"/>
    <w:rsid w:val="00B43A30"/>
    <w:rsid w:val="00B43E20"/>
    <w:rsid w:val="00B4449D"/>
    <w:rsid w:val="00B67139"/>
    <w:rsid w:val="00B67A89"/>
    <w:rsid w:val="00B933AC"/>
    <w:rsid w:val="00BA3504"/>
    <w:rsid w:val="00BB6BAA"/>
    <w:rsid w:val="00BC4BC5"/>
    <w:rsid w:val="00BD5D47"/>
    <w:rsid w:val="00BE01C7"/>
    <w:rsid w:val="00BE33D2"/>
    <w:rsid w:val="00BF21AB"/>
    <w:rsid w:val="00C164D9"/>
    <w:rsid w:val="00C24675"/>
    <w:rsid w:val="00C27669"/>
    <w:rsid w:val="00C30C20"/>
    <w:rsid w:val="00C311F0"/>
    <w:rsid w:val="00C37FC0"/>
    <w:rsid w:val="00C40813"/>
    <w:rsid w:val="00C4194C"/>
    <w:rsid w:val="00C62941"/>
    <w:rsid w:val="00C72F15"/>
    <w:rsid w:val="00C73C9E"/>
    <w:rsid w:val="00C82190"/>
    <w:rsid w:val="00C92186"/>
    <w:rsid w:val="00CA43BD"/>
    <w:rsid w:val="00CA5508"/>
    <w:rsid w:val="00CA747A"/>
    <w:rsid w:val="00CB7DFA"/>
    <w:rsid w:val="00CC37F2"/>
    <w:rsid w:val="00CD5FEA"/>
    <w:rsid w:val="00CF05FC"/>
    <w:rsid w:val="00CF158F"/>
    <w:rsid w:val="00CF686F"/>
    <w:rsid w:val="00D027DE"/>
    <w:rsid w:val="00D07E80"/>
    <w:rsid w:val="00D10B3A"/>
    <w:rsid w:val="00D14B4D"/>
    <w:rsid w:val="00D21EDC"/>
    <w:rsid w:val="00D2327D"/>
    <w:rsid w:val="00D26290"/>
    <w:rsid w:val="00D34E97"/>
    <w:rsid w:val="00D37013"/>
    <w:rsid w:val="00D47EDC"/>
    <w:rsid w:val="00D63460"/>
    <w:rsid w:val="00D63D0D"/>
    <w:rsid w:val="00D71FF2"/>
    <w:rsid w:val="00D75C33"/>
    <w:rsid w:val="00D76CD3"/>
    <w:rsid w:val="00D86E46"/>
    <w:rsid w:val="00D90F42"/>
    <w:rsid w:val="00D94E2F"/>
    <w:rsid w:val="00DB7BD2"/>
    <w:rsid w:val="00DC7BB1"/>
    <w:rsid w:val="00DD2839"/>
    <w:rsid w:val="00DD400E"/>
    <w:rsid w:val="00DE3330"/>
    <w:rsid w:val="00DE59D7"/>
    <w:rsid w:val="00DE5E08"/>
    <w:rsid w:val="00DF1FDF"/>
    <w:rsid w:val="00DF4004"/>
    <w:rsid w:val="00DF6DBF"/>
    <w:rsid w:val="00E01856"/>
    <w:rsid w:val="00E06C41"/>
    <w:rsid w:val="00E12218"/>
    <w:rsid w:val="00E15A27"/>
    <w:rsid w:val="00E1638A"/>
    <w:rsid w:val="00E251ED"/>
    <w:rsid w:val="00E316C6"/>
    <w:rsid w:val="00E319B8"/>
    <w:rsid w:val="00E60230"/>
    <w:rsid w:val="00E6127A"/>
    <w:rsid w:val="00E63BA5"/>
    <w:rsid w:val="00E66852"/>
    <w:rsid w:val="00E71181"/>
    <w:rsid w:val="00E81671"/>
    <w:rsid w:val="00EA414B"/>
    <w:rsid w:val="00EA5565"/>
    <w:rsid w:val="00EB0CF3"/>
    <w:rsid w:val="00EB50A3"/>
    <w:rsid w:val="00EC060C"/>
    <w:rsid w:val="00ED51D9"/>
    <w:rsid w:val="00EE4856"/>
    <w:rsid w:val="00EE78D8"/>
    <w:rsid w:val="00F001F7"/>
    <w:rsid w:val="00F12FA1"/>
    <w:rsid w:val="00F206EE"/>
    <w:rsid w:val="00F2699A"/>
    <w:rsid w:val="00F3212F"/>
    <w:rsid w:val="00F3788E"/>
    <w:rsid w:val="00F774C5"/>
    <w:rsid w:val="00F94206"/>
    <w:rsid w:val="00F94FA9"/>
    <w:rsid w:val="00F97541"/>
    <w:rsid w:val="00FA12FD"/>
    <w:rsid w:val="00FB58EF"/>
    <w:rsid w:val="00FB6413"/>
    <w:rsid w:val="00FD5280"/>
    <w:rsid w:val="00FE028E"/>
    <w:rsid w:val="00FE1698"/>
    <w:rsid w:val="00FE2EC6"/>
    <w:rsid w:val="00FE4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9412"/>
  <w15:docId w15:val="{A0B91B0D-765A-4192-BE18-07FCDC02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uiPriority w:val="9"/>
    <w:qFormat/>
    <w:pPr>
      <w:keepNext/>
      <w:keepLines/>
      <w:spacing w:before="240" w:after="0" w:line="240" w:lineRule="auto"/>
      <w:outlineLvl w:val="0"/>
    </w:pPr>
    <w:rPr>
      <w:rFonts w:ascii="Calibri Light" w:eastAsia="Times New Roman" w:hAnsi="Calibri Light"/>
      <w:color w:val="2E74B5"/>
      <w:sz w:val="32"/>
      <w:szCs w:val="32"/>
    </w:rPr>
  </w:style>
  <w:style w:type="paragraph" w:styleId="Titre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Calibri Light" w:eastAsia="Times New Roman" w:hAnsi="Calibri Light" w:cs="Times New Roman"/>
      <w:color w:val="2E74B5"/>
      <w:sz w:val="32"/>
      <w:szCs w:val="32"/>
    </w:rPr>
  </w:style>
  <w:style w:type="character" w:customStyle="1" w:styleId="Titre2Car">
    <w:name w:val="Titre 2 Car"/>
    <w:basedOn w:val="Policepardfaut"/>
    <w:rPr>
      <w:rFonts w:ascii="Calibri Light" w:eastAsia="Times New Roman" w:hAnsi="Calibri Light" w:cs="Times New Roman"/>
      <w:color w:val="2E74B5"/>
      <w:sz w:val="26"/>
      <w:szCs w:val="26"/>
    </w:rPr>
  </w:style>
  <w:style w:type="character" w:customStyle="1" w:styleId="Titre2Car1">
    <w:name w:val="Titre 2 Car1"/>
    <w:basedOn w:val="Policepardfaut"/>
    <w:rPr>
      <w:rFonts w:ascii="Calibri Light" w:eastAsia="Times New Roman" w:hAnsi="Calibri Light" w:cs="Times New Roman"/>
      <w:color w:val="2F5496"/>
      <w:sz w:val="26"/>
      <w:szCs w:val="26"/>
    </w:rPr>
  </w:style>
  <w:style w:type="paragraph" w:styleId="Paragraphedeliste">
    <w:name w:val="List Paragraph"/>
    <w:basedOn w:val="Normal"/>
    <w:pPr>
      <w:ind w:left="720"/>
    </w:pPr>
    <w:rPr>
      <w:lang w:val="en-US"/>
    </w:rPr>
  </w:style>
  <w:style w:type="paragraph" w:styleId="Notedebasdepage">
    <w:name w:val="footnote text"/>
    <w:basedOn w:val="Normal"/>
    <w:pPr>
      <w:widowControl w:val="0"/>
      <w:suppressAutoHyphens w:val="0"/>
      <w:spacing w:after="60" w:line="240" w:lineRule="auto"/>
      <w:jc w:val="both"/>
      <w:textAlignment w:val="auto"/>
    </w:pPr>
    <w:rPr>
      <w:rFonts w:ascii="Courier" w:eastAsia="Times New Roman" w:hAnsi="Courier"/>
      <w:szCs w:val="20"/>
      <w:lang w:val="en-US"/>
    </w:rPr>
  </w:style>
  <w:style w:type="character" w:customStyle="1" w:styleId="NotedebasdepageCar">
    <w:name w:val="Note de bas de page Car"/>
    <w:basedOn w:val="Policepardfaut"/>
    <w:rPr>
      <w:rFonts w:ascii="Courier" w:eastAsia="Times New Roman" w:hAnsi="Courier"/>
      <w:szCs w:val="20"/>
      <w:lang w:val="en-US"/>
    </w:rPr>
  </w:style>
  <w:style w:type="character" w:styleId="Appelnotedebasdep">
    <w:name w:val="footnote reference"/>
    <w:rPr>
      <w:position w:val="0"/>
      <w:vertAlign w:val="superscript"/>
    </w:rPr>
  </w:style>
  <w:style w:type="paragraph" w:customStyle="1" w:styleId="BVIfnrCarCar1CarCarCharCar1Char">
    <w:name w:val="BVI fnr Car Car1 Car Car Char Car1 Char"/>
    <w:basedOn w:val="Normal"/>
    <w:pPr>
      <w:suppressAutoHyphens w:val="0"/>
      <w:spacing w:line="240" w:lineRule="exact"/>
      <w:textAlignment w:val="auto"/>
    </w:pPr>
    <w:rPr>
      <w:vertAlign w:val="superscript"/>
    </w:rPr>
  </w:style>
  <w:style w:type="character" w:customStyle="1" w:styleId="ParagraphedelisteCar">
    <w:name w:val="Paragraphe de liste Car"/>
    <w:rPr>
      <w:lang w:val="en-US"/>
    </w:rPr>
  </w:style>
  <w:style w:type="paragraph" w:customStyle="1" w:styleId="Default">
    <w:name w:val="Default"/>
    <w:pPr>
      <w:autoSpaceDE w:val="0"/>
      <w:spacing w:after="0" w:line="240" w:lineRule="auto"/>
      <w:textAlignment w:val="auto"/>
    </w:pPr>
    <w:rPr>
      <w:rFonts w:ascii="Courier New" w:hAnsi="Courier New" w:cs="Courier New"/>
      <w:color w:val="000000"/>
      <w:sz w:val="24"/>
      <w:szCs w:val="24"/>
    </w:rPr>
  </w:style>
  <w:style w:type="character" w:customStyle="1" w:styleId="tlid-translation">
    <w:name w:val="tlid-translation"/>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ienhypertexte">
    <w:name w:val="Hyperlink"/>
    <w:basedOn w:val="Policepardfaut"/>
    <w:rPr>
      <w:color w:val="0000FF"/>
      <w:u w:val="single"/>
    </w:rPr>
  </w:style>
  <w:style w:type="character" w:customStyle="1" w:styleId="Policepardfaut1">
    <w:name w:val="Police par défaut1"/>
  </w:style>
  <w:style w:type="character" w:styleId="Marquedecommentaire">
    <w:name w:val="annotation reference"/>
    <w:basedOn w:val="Policepardfaut"/>
    <w:uiPriority w:val="99"/>
    <w:semiHidden/>
    <w:unhideWhenUsed/>
    <w:rsid w:val="00E319B8"/>
    <w:rPr>
      <w:sz w:val="16"/>
      <w:szCs w:val="16"/>
    </w:rPr>
  </w:style>
  <w:style w:type="paragraph" w:styleId="Commentaire">
    <w:name w:val="annotation text"/>
    <w:basedOn w:val="Normal"/>
    <w:link w:val="CommentaireCar"/>
    <w:uiPriority w:val="99"/>
    <w:semiHidden/>
    <w:unhideWhenUsed/>
    <w:rsid w:val="00E319B8"/>
    <w:pPr>
      <w:spacing w:line="240" w:lineRule="auto"/>
    </w:pPr>
    <w:rPr>
      <w:sz w:val="20"/>
      <w:szCs w:val="20"/>
    </w:rPr>
  </w:style>
  <w:style w:type="character" w:customStyle="1" w:styleId="CommentaireCar">
    <w:name w:val="Commentaire Car"/>
    <w:basedOn w:val="Policepardfaut"/>
    <w:link w:val="Commentaire"/>
    <w:uiPriority w:val="99"/>
    <w:semiHidden/>
    <w:rsid w:val="00E319B8"/>
    <w:rPr>
      <w:sz w:val="20"/>
      <w:szCs w:val="20"/>
    </w:rPr>
  </w:style>
  <w:style w:type="paragraph" w:styleId="Objetducommentaire">
    <w:name w:val="annotation subject"/>
    <w:basedOn w:val="Commentaire"/>
    <w:next w:val="Commentaire"/>
    <w:link w:val="ObjetducommentaireCar"/>
    <w:uiPriority w:val="99"/>
    <w:semiHidden/>
    <w:unhideWhenUsed/>
    <w:rsid w:val="00E319B8"/>
    <w:rPr>
      <w:b/>
      <w:bCs/>
    </w:rPr>
  </w:style>
  <w:style w:type="character" w:customStyle="1" w:styleId="ObjetducommentaireCar">
    <w:name w:val="Objet du commentaire Car"/>
    <w:basedOn w:val="CommentaireCar"/>
    <w:link w:val="Objetducommentaire"/>
    <w:uiPriority w:val="99"/>
    <w:semiHidden/>
    <w:rsid w:val="00E319B8"/>
    <w:rPr>
      <w:b/>
      <w:bCs/>
      <w:sz w:val="20"/>
      <w:szCs w:val="20"/>
    </w:rPr>
  </w:style>
  <w:style w:type="paragraph" w:styleId="Textedebulles">
    <w:name w:val="Balloon Text"/>
    <w:basedOn w:val="Normal"/>
    <w:link w:val="TextedebullesCar"/>
    <w:uiPriority w:val="99"/>
    <w:semiHidden/>
    <w:unhideWhenUsed/>
    <w:rsid w:val="00E319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19B8"/>
    <w:rPr>
      <w:rFonts w:ascii="Segoe UI" w:hAnsi="Segoe UI" w:cs="Segoe UI"/>
      <w:sz w:val="18"/>
      <w:szCs w:val="18"/>
    </w:rPr>
  </w:style>
  <w:style w:type="table" w:styleId="Grilledutableau">
    <w:name w:val="Table Grid"/>
    <w:basedOn w:val="TableauNormal"/>
    <w:uiPriority w:val="39"/>
    <w:rsid w:val="0081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64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9F3071DC6C9C44B552A170DC3AAD92" ma:contentTypeVersion="12" ma:contentTypeDescription="Create a new document." ma:contentTypeScope="" ma:versionID="f302974a0b186766047444c2805b2d6f">
  <xsd:schema xmlns:xsd="http://www.w3.org/2001/XMLSchema" xmlns:xs="http://www.w3.org/2001/XMLSchema" xmlns:p="http://schemas.microsoft.com/office/2006/metadata/properties" xmlns:ns3="286980f8-e876-4d37-b975-8732a11f5b22" xmlns:ns4="3286e757-747f-465c-a6ee-f4eca693b856" targetNamespace="http://schemas.microsoft.com/office/2006/metadata/properties" ma:root="true" ma:fieldsID="9643df5dc697468cd109d0cf4d17c074" ns3:_="" ns4:_="">
    <xsd:import namespace="286980f8-e876-4d37-b975-8732a11f5b22"/>
    <xsd:import namespace="3286e757-747f-465c-a6ee-f4eca693b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980f8-e876-4d37-b975-8732a11f5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6e757-747f-465c-a6ee-f4eca693b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25D02-0029-4A93-BBC7-D6EE760DEB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691405-86A5-4C96-B811-41AD1399BF21}">
  <ds:schemaRefs>
    <ds:schemaRef ds:uri="http://schemas.microsoft.com/sharepoint/v3/contenttype/forms"/>
  </ds:schemaRefs>
</ds:datastoreItem>
</file>

<file path=customXml/itemProps3.xml><?xml version="1.0" encoding="utf-8"?>
<ds:datastoreItem xmlns:ds="http://schemas.openxmlformats.org/officeDocument/2006/customXml" ds:itemID="{E46EF5BC-4A9C-4EDC-B43C-B49F9C38CEE3}">
  <ds:schemaRefs>
    <ds:schemaRef ds:uri="http://schemas.openxmlformats.org/officeDocument/2006/bibliography"/>
  </ds:schemaRefs>
</ds:datastoreItem>
</file>

<file path=customXml/itemProps4.xml><?xml version="1.0" encoding="utf-8"?>
<ds:datastoreItem xmlns:ds="http://schemas.openxmlformats.org/officeDocument/2006/customXml" ds:itemID="{B6999D61-118A-482A-92BE-BD4CDF3E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980f8-e876-4d37-b975-8732a11f5b22"/>
    <ds:schemaRef ds:uri="3286e757-747f-465c-a6ee-f4eca693b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2917</Words>
  <Characters>16048</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Issa Ould Ahmed</dc:creator>
  <dc:description/>
  <cp:lastModifiedBy>Safia Guindo</cp:lastModifiedBy>
  <cp:revision>2</cp:revision>
  <dcterms:created xsi:type="dcterms:W3CDTF">2021-12-16T12:07:00Z</dcterms:created>
  <dcterms:modified xsi:type="dcterms:W3CDTF">2021-12-16T12:07:00Z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0x010100009F3071DC6C9C44B552A170DC3AAD92</vt:lpwstr>
  </property>
</Properties>
</file>