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A12E" w14:textId="77777777" w:rsidR="002F76C1" w:rsidRDefault="002F76C1" w:rsidP="002F76C1">
      <w:pPr>
        <w:pStyle w:val="Heading1"/>
        <w:jc w:val="center"/>
        <w:rPr>
          <w:sz w:val="36"/>
          <w:szCs w:val="36"/>
          <w:u w:val="single"/>
        </w:rPr>
      </w:pPr>
      <w:r>
        <w:rPr>
          <w:noProof/>
          <w:lang w:val="en-US"/>
        </w:rPr>
        <w:drawing>
          <wp:anchor distT="0" distB="0" distL="114300" distR="114300" simplePos="0" relativeHeight="251659264" behindDoc="1" locked="0" layoutInCell="1" allowOverlap="1" wp14:anchorId="752A6310" wp14:editId="366EB909">
            <wp:simplePos x="0" y="0"/>
            <wp:positionH relativeFrom="column">
              <wp:posOffset>1432426</wp:posOffset>
            </wp:positionH>
            <wp:positionV relativeFrom="paragraph">
              <wp:posOffset>0</wp:posOffset>
            </wp:positionV>
            <wp:extent cx="2806834" cy="919480"/>
            <wp:effectExtent l="0" t="0" r="0" b="0"/>
            <wp:wrapTight wrapText="bothSides">
              <wp:wrapPolygon edited="0">
                <wp:start x="17300" y="0"/>
                <wp:lineTo x="2932" y="2685"/>
                <wp:lineTo x="733" y="3580"/>
                <wp:lineTo x="586" y="8950"/>
                <wp:lineTo x="1319" y="15215"/>
                <wp:lineTo x="1319" y="17006"/>
                <wp:lineTo x="11729" y="20138"/>
                <wp:lineTo x="16860" y="21033"/>
                <wp:lineTo x="20525" y="21033"/>
                <wp:lineTo x="20232" y="0"/>
                <wp:lineTo x="17300" y="0"/>
              </wp:wrapPolygon>
            </wp:wrapTight>
            <wp:docPr id="5" name="Picture 5" descr="Image result for gef sg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f sg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8040" cy="91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360D6" w14:textId="77777777" w:rsidR="002F76C1" w:rsidRDefault="002F76C1" w:rsidP="002F76C1">
      <w:pPr>
        <w:pStyle w:val="Heading1"/>
        <w:rPr>
          <w:sz w:val="36"/>
          <w:szCs w:val="36"/>
          <w:u w:val="single"/>
        </w:rPr>
      </w:pPr>
    </w:p>
    <w:p w14:paraId="18389B8D" w14:textId="7D1BE787" w:rsidR="00D81D9D" w:rsidRPr="002F76C1" w:rsidRDefault="002F76C1" w:rsidP="002F76C1">
      <w:pPr>
        <w:pStyle w:val="Heading1"/>
        <w:jc w:val="center"/>
        <w:rPr>
          <w:b/>
          <w:bCs/>
          <w:sz w:val="36"/>
          <w:szCs w:val="36"/>
        </w:rPr>
      </w:pPr>
      <w:r w:rsidRPr="002F76C1">
        <w:rPr>
          <w:b/>
          <w:bCs/>
          <w:sz w:val="36"/>
          <w:szCs w:val="36"/>
        </w:rPr>
        <w:t xml:space="preserve">SGP </w:t>
      </w:r>
      <w:r w:rsidR="00D81D9D" w:rsidRPr="002F76C1">
        <w:rPr>
          <w:b/>
          <w:bCs/>
          <w:sz w:val="36"/>
          <w:szCs w:val="36"/>
        </w:rPr>
        <w:t>Private Sector Survey Results and Analysis</w:t>
      </w:r>
      <w:r w:rsidR="00954CC2" w:rsidRPr="002F76C1">
        <w:rPr>
          <w:b/>
          <w:bCs/>
          <w:sz w:val="36"/>
          <w:szCs w:val="36"/>
        </w:rPr>
        <w:t xml:space="preserve"> (2021)</w:t>
      </w:r>
    </w:p>
    <w:p w14:paraId="6088926D" w14:textId="77777777" w:rsidR="0022256E" w:rsidRDefault="0022256E" w:rsidP="0022256E">
      <w:pPr>
        <w:jc w:val="both"/>
      </w:pPr>
    </w:p>
    <w:p w14:paraId="34AF36B2" w14:textId="3D478DE9" w:rsidR="005E7231" w:rsidRDefault="00D81D9D" w:rsidP="0022256E">
      <w:pPr>
        <w:jc w:val="both"/>
      </w:pPr>
      <w:r>
        <w:t>The private sector survey was conducted as a scoping exercise to assess the level of private sector engagement at the SGP Country Programmes.</w:t>
      </w:r>
      <w:r w:rsidR="000F79AD">
        <w:t xml:space="preserve"> The objective of the survey was to collect </w:t>
      </w:r>
      <w:r w:rsidR="00912B07">
        <w:t xml:space="preserve">basic field </w:t>
      </w:r>
      <w:r w:rsidR="000F79AD">
        <w:t>information towards developing a</w:t>
      </w:r>
      <w:r w:rsidR="00912B07">
        <w:t xml:space="preserve">n OP7 </w:t>
      </w:r>
      <w:r w:rsidR="000F79AD">
        <w:t>private sector</w:t>
      </w:r>
      <w:r w:rsidR="00012F68">
        <w:t xml:space="preserve"> guidance note.</w:t>
      </w:r>
    </w:p>
    <w:p w14:paraId="61661F12" w14:textId="7D1053A0" w:rsidR="00D81D9D" w:rsidRDefault="00D81D9D" w:rsidP="0022256E">
      <w:pPr>
        <w:pStyle w:val="Heading2"/>
        <w:jc w:val="both"/>
      </w:pPr>
      <w:r>
        <w:t>Engagement with Private Sector</w:t>
      </w:r>
    </w:p>
    <w:p w14:paraId="32138E43" w14:textId="77777777" w:rsidR="00E45720" w:rsidRDefault="00D81D9D" w:rsidP="00E45720">
      <w:pPr>
        <w:pStyle w:val="ListParagraph"/>
        <w:numPr>
          <w:ilvl w:val="0"/>
          <w:numId w:val="6"/>
        </w:numPr>
        <w:jc w:val="both"/>
      </w:pPr>
      <w:r>
        <w:t>Out of 90</w:t>
      </w:r>
      <w:r w:rsidR="00912B07">
        <w:t xml:space="preserve"> survey </w:t>
      </w:r>
      <w:r>
        <w:t>respondents</w:t>
      </w:r>
      <w:r w:rsidR="00912B07">
        <w:t>,</w:t>
      </w:r>
      <w:r>
        <w:t xml:space="preserve"> 70 indicated that they established partnerships with the private sector while 20 respondents indicated that they have not.</w:t>
      </w:r>
      <w:r w:rsidR="00912B07">
        <w:t xml:space="preserve"> </w:t>
      </w:r>
    </w:p>
    <w:p w14:paraId="308F907F" w14:textId="0623B8E0" w:rsidR="00E45720" w:rsidRDefault="00912B07" w:rsidP="00E45720">
      <w:pPr>
        <w:pStyle w:val="ListParagraph"/>
        <w:numPr>
          <w:ilvl w:val="0"/>
          <w:numId w:val="6"/>
        </w:numPr>
        <w:jc w:val="both"/>
      </w:pPr>
      <w:r>
        <w:t xml:space="preserve">Initial analysis of the </w:t>
      </w:r>
      <w:r w:rsidRPr="00E45720">
        <w:t>qualitative responses</w:t>
      </w:r>
      <w:r>
        <w:t xml:space="preserve"> indicates that most of these engagements occur </w:t>
      </w:r>
      <w:r w:rsidR="005E7231">
        <w:t>at the project level</w:t>
      </w:r>
      <w:r w:rsidR="00E45720">
        <w:t>.</w:t>
      </w:r>
    </w:p>
    <w:p w14:paraId="60879386" w14:textId="22915F8E" w:rsidR="00E45720" w:rsidRDefault="00E45720" w:rsidP="00E45720">
      <w:pPr>
        <w:pStyle w:val="ListParagraph"/>
        <w:numPr>
          <w:ilvl w:val="0"/>
          <w:numId w:val="6"/>
        </w:numPr>
        <w:jc w:val="both"/>
      </w:pPr>
      <w:r>
        <w:t xml:space="preserve">Most engagements are not ‘formalized’ by MOUs/legal agreements with SGP/UNDP/UNOPS etc. (this was not clearly </w:t>
      </w:r>
      <w:r w:rsidR="004F165E">
        <w:t>indicated</w:t>
      </w:r>
      <w:r>
        <w:t xml:space="preserve"> in the survey responses).</w:t>
      </w:r>
    </w:p>
    <w:p w14:paraId="36F9A1D8" w14:textId="39213B33" w:rsidR="00E45720" w:rsidRPr="00D81D9D" w:rsidRDefault="00E45720" w:rsidP="00322DA3">
      <w:pPr>
        <w:pStyle w:val="ListParagraph"/>
        <w:numPr>
          <w:ilvl w:val="0"/>
          <w:numId w:val="6"/>
        </w:numPr>
        <w:jc w:val="both"/>
      </w:pPr>
      <w:r>
        <w:t>In many cases the engagements take place directly between the grantee and the private sector with SGP acting as a facilitator (grant maker+).</w:t>
      </w:r>
    </w:p>
    <w:tbl>
      <w:tblPr>
        <w:tblW w:w="4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782"/>
        <w:gridCol w:w="721"/>
      </w:tblGrid>
      <w:tr w:rsidR="00231BB2" w:rsidRPr="00D81D9D" w14:paraId="3EAC753E" w14:textId="77777777" w:rsidTr="00E45720">
        <w:trPr>
          <w:trHeight w:val="228"/>
          <w:jc w:val="center"/>
        </w:trPr>
        <w:tc>
          <w:tcPr>
            <w:tcW w:w="1860" w:type="dxa"/>
            <w:shd w:val="clear" w:color="auto" w:fill="4472C4" w:themeFill="accent1"/>
            <w:noWrap/>
            <w:vAlign w:val="bottom"/>
            <w:hideMark/>
          </w:tcPr>
          <w:p w14:paraId="2707BD45" w14:textId="77777777" w:rsidR="00D81D9D" w:rsidRPr="00D81D9D" w:rsidRDefault="00D81D9D" w:rsidP="0022256E">
            <w:pPr>
              <w:spacing w:after="0" w:line="240" w:lineRule="auto"/>
              <w:jc w:val="both"/>
              <w:rPr>
                <w:rFonts w:eastAsia="Times New Roman" w:cstheme="minorHAnsi"/>
                <w:b/>
                <w:bCs/>
                <w:color w:val="FFFFFF" w:themeColor="background1"/>
                <w:lang w:val="en-US"/>
              </w:rPr>
            </w:pPr>
            <w:r w:rsidRPr="00D81D9D">
              <w:rPr>
                <w:rFonts w:eastAsia="Times New Roman" w:cstheme="minorHAnsi"/>
                <w:b/>
                <w:bCs/>
                <w:color w:val="FFFFFF" w:themeColor="background1"/>
                <w:lang w:val="en-US"/>
              </w:rPr>
              <w:t>Answer Choices</w:t>
            </w:r>
          </w:p>
        </w:tc>
        <w:tc>
          <w:tcPr>
            <w:tcW w:w="2503" w:type="dxa"/>
            <w:gridSpan w:val="2"/>
            <w:shd w:val="clear" w:color="auto" w:fill="4472C4" w:themeFill="accent1"/>
            <w:noWrap/>
            <w:vAlign w:val="bottom"/>
            <w:hideMark/>
          </w:tcPr>
          <w:p w14:paraId="6EF4C167" w14:textId="77777777" w:rsidR="00D81D9D" w:rsidRPr="00D81D9D" w:rsidRDefault="00D81D9D" w:rsidP="0022256E">
            <w:pPr>
              <w:spacing w:after="0" w:line="240" w:lineRule="auto"/>
              <w:jc w:val="both"/>
              <w:rPr>
                <w:rFonts w:eastAsia="Times New Roman" w:cstheme="minorHAnsi"/>
                <w:b/>
                <w:bCs/>
                <w:color w:val="FFFFFF" w:themeColor="background1"/>
                <w:lang w:val="en-US"/>
              </w:rPr>
            </w:pPr>
            <w:r w:rsidRPr="00D81D9D">
              <w:rPr>
                <w:rFonts w:eastAsia="Times New Roman" w:cstheme="minorHAnsi"/>
                <w:b/>
                <w:bCs/>
                <w:color w:val="FFFFFF" w:themeColor="background1"/>
                <w:lang w:val="en-US"/>
              </w:rPr>
              <w:t>Responses</w:t>
            </w:r>
          </w:p>
        </w:tc>
      </w:tr>
      <w:tr w:rsidR="00231BB2" w:rsidRPr="00D81D9D" w14:paraId="7272AA52" w14:textId="77777777" w:rsidTr="00E45720">
        <w:trPr>
          <w:trHeight w:val="228"/>
          <w:jc w:val="center"/>
        </w:trPr>
        <w:tc>
          <w:tcPr>
            <w:tcW w:w="1860" w:type="dxa"/>
            <w:shd w:val="clear" w:color="auto" w:fill="EDEDED" w:themeFill="accent3" w:themeFillTint="33"/>
            <w:noWrap/>
            <w:vAlign w:val="bottom"/>
            <w:hideMark/>
          </w:tcPr>
          <w:p w14:paraId="791AA9DB" w14:textId="77777777" w:rsidR="00D81D9D" w:rsidRPr="00D81D9D" w:rsidRDefault="00D81D9D" w:rsidP="0022256E">
            <w:pPr>
              <w:spacing w:after="0" w:line="240" w:lineRule="auto"/>
              <w:jc w:val="both"/>
              <w:rPr>
                <w:rFonts w:eastAsia="Times New Roman" w:cstheme="minorHAnsi"/>
                <w:color w:val="333333"/>
                <w:lang w:val="en-US"/>
              </w:rPr>
            </w:pPr>
            <w:r w:rsidRPr="00D81D9D">
              <w:rPr>
                <w:rFonts w:eastAsia="Times New Roman" w:cstheme="minorHAnsi"/>
                <w:color w:val="333333"/>
                <w:lang w:val="en-US"/>
              </w:rPr>
              <w:t>Yes</w:t>
            </w:r>
          </w:p>
        </w:tc>
        <w:tc>
          <w:tcPr>
            <w:tcW w:w="1782" w:type="dxa"/>
            <w:shd w:val="clear" w:color="auto" w:fill="auto"/>
            <w:noWrap/>
            <w:vAlign w:val="bottom"/>
            <w:hideMark/>
          </w:tcPr>
          <w:p w14:paraId="0EF32AB3" w14:textId="3C9D18EA" w:rsidR="00D81D9D" w:rsidRPr="00D81D9D" w:rsidRDefault="00D81D9D" w:rsidP="0022256E">
            <w:pPr>
              <w:spacing w:after="0" w:line="240" w:lineRule="auto"/>
              <w:jc w:val="both"/>
              <w:rPr>
                <w:rFonts w:eastAsia="Times New Roman" w:cstheme="minorHAnsi"/>
                <w:color w:val="333333"/>
                <w:lang w:val="en-US"/>
              </w:rPr>
            </w:pPr>
            <w:r w:rsidRPr="00D81D9D">
              <w:rPr>
                <w:rFonts w:eastAsia="Times New Roman" w:cstheme="minorHAnsi"/>
                <w:color w:val="333333"/>
                <w:lang w:val="en-US"/>
              </w:rPr>
              <w:t>77%</w:t>
            </w:r>
          </w:p>
        </w:tc>
        <w:tc>
          <w:tcPr>
            <w:tcW w:w="720" w:type="dxa"/>
            <w:shd w:val="clear" w:color="auto" w:fill="auto"/>
            <w:noWrap/>
            <w:vAlign w:val="bottom"/>
            <w:hideMark/>
          </w:tcPr>
          <w:p w14:paraId="21B9DD7C" w14:textId="77777777" w:rsidR="00D81D9D" w:rsidRPr="00D81D9D" w:rsidRDefault="00D81D9D" w:rsidP="0022256E">
            <w:pPr>
              <w:spacing w:after="0" w:line="240" w:lineRule="auto"/>
              <w:jc w:val="both"/>
              <w:rPr>
                <w:rFonts w:eastAsia="Times New Roman" w:cstheme="minorHAnsi"/>
                <w:color w:val="333333"/>
                <w:lang w:val="en-US"/>
              </w:rPr>
            </w:pPr>
            <w:r w:rsidRPr="00D81D9D">
              <w:rPr>
                <w:rFonts w:eastAsia="Times New Roman" w:cstheme="minorHAnsi"/>
                <w:color w:val="333333"/>
                <w:lang w:val="en-US"/>
              </w:rPr>
              <w:t>70</w:t>
            </w:r>
          </w:p>
        </w:tc>
      </w:tr>
      <w:tr w:rsidR="00231BB2" w:rsidRPr="00D81D9D" w14:paraId="2C66E820" w14:textId="77777777" w:rsidTr="00E45720">
        <w:trPr>
          <w:trHeight w:val="228"/>
          <w:jc w:val="center"/>
        </w:trPr>
        <w:tc>
          <w:tcPr>
            <w:tcW w:w="1860" w:type="dxa"/>
            <w:shd w:val="clear" w:color="auto" w:fill="EDEDED" w:themeFill="accent3" w:themeFillTint="33"/>
            <w:noWrap/>
            <w:vAlign w:val="bottom"/>
            <w:hideMark/>
          </w:tcPr>
          <w:p w14:paraId="33FD088C" w14:textId="77777777" w:rsidR="00D81D9D" w:rsidRPr="00D81D9D" w:rsidRDefault="00D81D9D" w:rsidP="0022256E">
            <w:pPr>
              <w:spacing w:after="0" w:line="240" w:lineRule="auto"/>
              <w:jc w:val="both"/>
              <w:rPr>
                <w:rFonts w:eastAsia="Times New Roman" w:cstheme="minorHAnsi"/>
                <w:color w:val="333333"/>
                <w:lang w:val="en-US"/>
              </w:rPr>
            </w:pPr>
            <w:r w:rsidRPr="00D81D9D">
              <w:rPr>
                <w:rFonts w:eastAsia="Times New Roman" w:cstheme="minorHAnsi"/>
                <w:color w:val="333333"/>
                <w:lang w:val="en-US"/>
              </w:rPr>
              <w:t>No</w:t>
            </w:r>
          </w:p>
        </w:tc>
        <w:tc>
          <w:tcPr>
            <w:tcW w:w="1782" w:type="dxa"/>
            <w:shd w:val="clear" w:color="auto" w:fill="auto"/>
            <w:noWrap/>
            <w:vAlign w:val="bottom"/>
            <w:hideMark/>
          </w:tcPr>
          <w:p w14:paraId="0D3DA6F9" w14:textId="492F1880" w:rsidR="00D81D9D" w:rsidRPr="00D81D9D" w:rsidRDefault="00D81D9D" w:rsidP="0022256E">
            <w:pPr>
              <w:spacing w:after="0" w:line="240" w:lineRule="auto"/>
              <w:jc w:val="both"/>
              <w:rPr>
                <w:rFonts w:eastAsia="Times New Roman" w:cstheme="minorHAnsi"/>
                <w:color w:val="333333"/>
                <w:lang w:val="en-US"/>
              </w:rPr>
            </w:pPr>
            <w:r w:rsidRPr="00D81D9D">
              <w:rPr>
                <w:rFonts w:eastAsia="Times New Roman" w:cstheme="minorHAnsi"/>
                <w:color w:val="333333"/>
                <w:lang w:val="en-US"/>
              </w:rPr>
              <w:t>22%</w:t>
            </w:r>
          </w:p>
        </w:tc>
        <w:tc>
          <w:tcPr>
            <w:tcW w:w="720" w:type="dxa"/>
            <w:shd w:val="clear" w:color="auto" w:fill="auto"/>
            <w:noWrap/>
            <w:vAlign w:val="bottom"/>
            <w:hideMark/>
          </w:tcPr>
          <w:p w14:paraId="113B5635" w14:textId="77777777" w:rsidR="00D81D9D" w:rsidRPr="00D81D9D" w:rsidRDefault="00D81D9D" w:rsidP="0022256E">
            <w:pPr>
              <w:spacing w:after="0" w:line="240" w:lineRule="auto"/>
              <w:jc w:val="both"/>
              <w:rPr>
                <w:rFonts w:eastAsia="Times New Roman" w:cstheme="minorHAnsi"/>
                <w:color w:val="333333"/>
                <w:lang w:val="en-US"/>
              </w:rPr>
            </w:pPr>
            <w:r w:rsidRPr="00D81D9D">
              <w:rPr>
                <w:rFonts w:eastAsia="Times New Roman" w:cstheme="minorHAnsi"/>
                <w:color w:val="333333"/>
                <w:lang w:val="en-US"/>
              </w:rPr>
              <w:t>20</w:t>
            </w:r>
          </w:p>
        </w:tc>
      </w:tr>
      <w:tr w:rsidR="00CB1ADB" w:rsidRPr="00D81D9D" w14:paraId="18595360" w14:textId="77777777" w:rsidTr="00E45720">
        <w:trPr>
          <w:trHeight w:val="228"/>
          <w:jc w:val="center"/>
        </w:trPr>
        <w:tc>
          <w:tcPr>
            <w:tcW w:w="1860" w:type="dxa"/>
            <w:shd w:val="clear" w:color="auto" w:fill="EDEDED" w:themeFill="accent3" w:themeFillTint="33"/>
            <w:noWrap/>
            <w:vAlign w:val="bottom"/>
          </w:tcPr>
          <w:p w14:paraId="56DC688E" w14:textId="67D6B583" w:rsidR="00CB1ADB" w:rsidRPr="00D81D9D" w:rsidRDefault="00CB1ADB" w:rsidP="0022256E">
            <w:pPr>
              <w:spacing w:after="0" w:line="240" w:lineRule="auto"/>
              <w:jc w:val="both"/>
              <w:rPr>
                <w:rFonts w:eastAsia="Times New Roman" w:cstheme="minorHAnsi"/>
                <w:color w:val="333333"/>
                <w:lang w:val="en-US"/>
              </w:rPr>
            </w:pPr>
            <w:r>
              <w:rPr>
                <w:rFonts w:eastAsia="Times New Roman" w:cstheme="minorHAnsi"/>
                <w:color w:val="333333"/>
                <w:lang w:val="en-US"/>
              </w:rPr>
              <w:t>Total responses</w:t>
            </w:r>
          </w:p>
        </w:tc>
        <w:tc>
          <w:tcPr>
            <w:tcW w:w="1782" w:type="dxa"/>
            <w:shd w:val="clear" w:color="auto" w:fill="auto"/>
            <w:noWrap/>
            <w:vAlign w:val="bottom"/>
          </w:tcPr>
          <w:p w14:paraId="60A3FD5B" w14:textId="77777777" w:rsidR="00CB1ADB" w:rsidRPr="00D81D9D" w:rsidRDefault="00CB1ADB" w:rsidP="0022256E">
            <w:pPr>
              <w:spacing w:after="0" w:line="240" w:lineRule="auto"/>
              <w:jc w:val="both"/>
              <w:rPr>
                <w:rFonts w:eastAsia="Times New Roman" w:cstheme="minorHAnsi"/>
                <w:color w:val="333333"/>
                <w:lang w:val="en-US"/>
              </w:rPr>
            </w:pPr>
          </w:p>
        </w:tc>
        <w:tc>
          <w:tcPr>
            <w:tcW w:w="720" w:type="dxa"/>
            <w:shd w:val="clear" w:color="auto" w:fill="auto"/>
            <w:noWrap/>
            <w:vAlign w:val="bottom"/>
          </w:tcPr>
          <w:p w14:paraId="0E3B69DF" w14:textId="785083D6" w:rsidR="00CB1ADB" w:rsidRPr="00D81D9D" w:rsidRDefault="00CB1ADB" w:rsidP="0022256E">
            <w:pPr>
              <w:spacing w:after="0" w:line="240" w:lineRule="auto"/>
              <w:jc w:val="both"/>
              <w:rPr>
                <w:rFonts w:eastAsia="Times New Roman" w:cstheme="minorHAnsi"/>
                <w:color w:val="333333"/>
                <w:lang w:val="en-US"/>
              </w:rPr>
            </w:pPr>
            <w:r>
              <w:rPr>
                <w:rFonts w:eastAsia="Times New Roman" w:cstheme="minorHAnsi"/>
                <w:color w:val="333333"/>
                <w:lang w:val="en-US"/>
              </w:rPr>
              <w:t>90</w:t>
            </w:r>
          </w:p>
        </w:tc>
      </w:tr>
    </w:tbl>
    <w:p w14:paraId="69326B91" w14:textId="4E5589EB" w:rsidR="00D81D9D" w:rsidRDefault="00D81D9D" w:rsidP="0022256E">
      <w:pPr>
        <w:jc w:val="both"/>
      </w:pPr>
    </w:p>
    <w:p w14:paraId="79C3D2A3" w14:textId="41E5FC77" w:rsidR="00E45720" w:rsidRPr="00E45720" w:rsidRDefault="00794848" w:rsidP="00E45720">
      <w:pPr>
        <w:jc w:val="center"/>
      </w:pPr>
      <w:r>
        <w:rPr>
          <w:noProof/>
        </w:rPr>
        <w:drawing>
          <wp:inline distT="0" distB="0" distL="0" distR="0" wp14:anchorId="65074243" wp14:editId="6975BB5F">
            <wp:extent cx="4718877" cy="28321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8440" cy="2867848"/>
                    </a:xfrm>
                    <a:prstGeom prst="rect">
                      <a:avLst/>
                    </a:prstGeom>
                    <a:noFill/>
                  </pic:spPr>
                </pic:pic>
              </a:graphicData>
            </a:graphic>
          </wp:inline>
        </w:drawing>
      </w:r>
    </w:p>
    <w:p w14:paraId="73FA8B75" w14:textId="0F194C33" w:rsidR="00D81D9D" w:rsidRDefault="00D81D9D" w:rsidP="0022256E">
      <w:pPr>
        <w:pStyle w:val="Heading2"/>
        <w:jc w:val="both"/>
      </w:pPr>
      <w:r>
        <w:lastRenderedPageBreak/>
        <w:t>Types of Partnerships Established</w:t>
      </w:r>
    </w:p>
    <w:p w14:paraId="5953E838" w14:textId="237827A4" w:rsidR="00D074DE" w:rsidRDefault="00D074DE" w:rsidP="0022256E">
      <w:pPr>
        <w:pStyle w:val="ListParagraph"/>
        <w:numPr>
          <w:ilvl w:val="0"/>
          <w:numId w:val="2"/>
        </w:numPr>
        <w:jc w:val="both"/>
      </w:pPr>
      <w:r>
        <w:t>5</w:t>
      </w:r>
      <w:r w:rsidR="00B31AA6">
        <w:t>7</w:t>
      </w:r>
      <w:r>
        <w:t xml:space="preserve">% of </w:t>
      </w:r>
      <w:r w:rsidR="00954CC2">
        <w:t xml:space="preserve">SGP </w:t>
      </w:r>
      <w:r>
        <w:t xml:space="preserve">Country </w:t>
      </w:r>
      <w:r w:rsidR="00954CC2">
        <w:t>Programmes</w:t>
      </w:r>
      <w:r>
        <w:t xml:space="preserve"> indicated that engagement with the private sector was primarily provided via </w:t>
      </w:r>
      <w:r w:rsidRPr="00177A76">
        <w:rPr>
          <w:color w:val="2F5496" w:themeColor="accent1" w:themeShade="BF"/>
        </w:rPr>
        <w:t xml:space="preserve">technical assistance </w:t>
      </w:r>
      <w:r>
        <w:t xml:space="preserve">to programme/project activities at a reduced cost or at no cost. </w:t>
      </w:r>
    </w:p>
    <w:p w14:paraId="6C1B0CCE" w14:textId="682976B3" w:rsidR="00CB1ADB" w:rsidRDefault="00CB1ADB" w:rsidP="0022256E">
      <w:pPr>
        <w:pStyle w:val="ListParagraph"/>
        <w:numPr>
          <w:ilvl w:val="0"/>
          <w:numId w:val="2"/>
        </w:numPr>
        <w:jc w:val="both"/>
      </w:pPr>
      <w:r>
        <w:t xml:space="preserve">This was followed closely by </w:t>
      </w:r>
      <w:r w:rsidRPr="00177A76">
        <w:rPr>
          <w:color w:val="2F5496" w:themeColor="accent1" w:themeShade="BF"/>
        </w:rPr>
        <w:t>capacity development contributions</w:t>
      </w:r>
      <w:r>
        <w:t xml:space="preserve"> to grantees at 4</w:t>
      </w:r>
      <w:r w:rsidR="00B31AA6">
        <w:t>8</w:t>
      </w:r>
      <w:r>
        <w:t>%</w:t>
      </w:r>
      <w:r w:rsidR="00177A76">
        <w:t>,</w:t>
      </w:r>
      <w:r>
        <w:t xml:space="preserve"> and </w:t>
      </w:r>
      <w:r w:rsidRPr="00177A76">
        <w:rPr>
          <w:color w:val="2F5496" w:themeColor="accent1" w:themeShade="BF"/>
        </w:rPr>
        <w:t>in-kind contributions</w:t>
      </w:r>
      <w:r>
        <w:t xml:space="preserve"> </w:t>
      </w:r>
      <w:r w:rsidR="00177A76" w:rsidRPr="00177A76">
        <w:t>at 4</w:t>
      </w:r>
      <w:r w:rsidR="00B31AA6">
        <w:t>7</w:t>
      </w:r>
      <w:r w:rsidR="00177A76" w:rsidRPr="00177A76">
        <w:t>%</w:t>
      </w:r>
      <w:r w:rsidR="00177A76">
        <w:t xml:space="preserve"> </w:t>
      </w:r>
      <w:r>
        <w:t>(venue, food, transport, equipment etc.)</w:t>
      </w:r>
      <w:r w:rsidR="00177A76">
        <w:t>.</w:t>
      </w:r>
    </w:p>
    <w:p w14:paraId="5FE79F19" w14:textId="4EC4CA8A" w:rsidR="00CB1ADB" w:rsidRDefault="00CB1ADB" w:rsidP="0022256E">
      <w:pPr>
        <w:pStyle w:val="ListParagraph"/>
        <w:numPr>
          <w:ilvl w:val="0"/>
          <w:numId w:val="2"/>
        </w:numPr>
        <w:jc w:val="both"/>
      </w:pPr>
      <w:r>
        <w:t>3</w:t>
      </w:r>
      <w:r w:rsidR="00B31AA6">
        <w:t>3</w:t>
      </w:r>
      <w:r>
        <w:t xml:space="preserve">% of private sector engagement accounted for </w:t>
      </w:r>
      <w:r w:rsidRPr="00177A76">
        <w:rPr>
          <w:color w:val="2F5496" w:themeColor="accent1" w:themeShade="BF"/>
        </w:rPr>
        <w:t xml:space="preserve">cash contributions </w:t>
      </w:r>
      <w:r>
        <w:t>(direct/</w:t>
      </w:r>
      <w:r w:rsidR="00177A76">
        <w:t xml:space="preserve"> </w:t>
      </w:r>
      <w:r>
        <w:t>parallel co-financing of SGP grants).</w:t>
      </w:r>
    </w:p>
    <w:p w14:paraId="4F6DA968" w14:textId="77777777" w:rsidR="00FA272A" w:rsidRPr="00D074DE" w:rsidRDefault="00FA272A" w:rsidP="0022256E">
      <w:pPr>
        <w:pStyle w:val="ListParagraph"/>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180"/>
      </w:tblGrid>
      <w:tr w:rsidR="00794848" w:rsidRPr="000F79AD" w14:paraId="40A971B9" w14:textId="7A0C5B7E" w:rsidTr="00794848">
        <w:trPr>
          <w:trHeight w:val="276"/>
        </w:trPr>
        <w:tc>
          <w:tcPr>
            <w:tcW w:w="8275" w:type="dxa"/>
            <w:shd w:val="clear" w:color="auto" w:fill="4472C4" w:themeFill="accent1"/>
            <w:noWrap/>
            <w:vAlign w:val="bottom"/>
            <w:hideMark/>
          </w:tcPr>
          <w:p w14:paraId="58B0AA00" w14:textId="77777777" w:rsidR="00794848" w:rsidRPr="000F79AD" w:rsidRDefault="00794848" w:rsidP="0022256E">
            <w:pPr>
              <w:spacing w:after="0" w:line="240" w:lineRule="auto"/>
              <w:jc w:val="both"/>
              <w:rPr>
                <w:rFonts w:eastAsia="Times New Roman" w:cstheme="minorHAnsi"/>
                <w:b/>
                <w:bCs/>
                <w:color w:val="FFFFFF" w:themeColor="background1"/>
                <w:lang w:val="en-US"/>
              </w:rPr>
            </w:pPr>
            <w:r w:rsidRPr="000F79AD">
              <w:rPr>
                <w:rFonts w:eastAsia="Times New Roman" w:cstheme="minorHAnsi"/>
                <w:b/>
                <w:bCs/>
                <w:color w:val="FFFFFF" w:themeColor="background1"/>
                <w:lang w:val="en-US"/>
              </w:rPr>
              <w:t>Answer Choices</w:t>
            </w:r>
          </w:p>
        </w:tc>
        <w:tc>
          <w:tcPr>
            <w:tcW w:w="1170" w:type="dxa"/>
            <w:shd w:val="clear" w:color="auto" w:fill="4472C4" w:themeFill="accent1"/>
          </w:tcPr>
          <w:p w14:paraId="471EF911" w14:textId="455D798D" w:rsidR="00794848" w:rsidRPr="000F79AD" w:rsidRDefault="00794848" w:rsidP="0022256E">
            <w:pPr>
              <w:spacing w:after="0" w:line="240" w:lineRule="auto"/>
              <w:jc w:val="both"/>
              <w:rPr>
                <w:rFonts w:eastAsia="Times New Roman" w:cstheme="minorHAnsi"/>
                <w:b/>
                <w:bCs/>
                <w:color w:val="FFFFFF" w:themeColor="background1"/>
                <w:lang w:val="en-US"/>
              </w:rPr>
            </w:pPr>
            <w:r>
              <w:rPr>
                <w:rFonts w:eastAsia="Times New Roman" w:cstheme="minorHAnsi"/>
                <w:b/>
                <w:bCs/>
                <w:color w:val="FFFFFF" w:themeColor="background1"/>
                <w:lang w:val="en-US"/>
              </w:rPr>
              <w:t>Responses</w:t>
            </w:r>
          </w:p>
        </w:tc>
      </w:tr>
      <w:tr w:rsidR="00794848" w:rsidRPr="000F79AD" w14:paraId="6D610CCA" w14:textId="77777777" w:rsidTr="00794848">
        <w:trPr>
          <w:trHeight w:val="276"/>
        </w:trPr>
        <w:tc>
          <w:tcPr>
            <w:tcW w:w="8275" w:type="dxa"/>
            <w:shd w:val="clear" w:color="auto" w:fill="EDEDED" w:themeFill="accent3" w:themeFillTint="33"/>
            <w:noWrap/>
            <w:vAlign w:val="bottom"/>
            <w:hideMark/>
          </w:tcPr>
          <w:p w14:paraId="3F7C8EAA" w14:textId="77777777"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In- kind contribution (e.g. providing venue, food, transportation, equipment for meetings/events/activities)</w:t>
            </w:r>
          </w:p>
        </w:tc>
        <w:tc>
          <w:tcPr>
            <w:tcW w:w="1170" w:type="dxa"/>
            <w:shd w:val="clear" w:color="auto" w:fill="auto"/>
            <w:vAlign w:val="bottom"/>
          </w:tcPr>
          <w:p w14:paraId="3745DF3A" w14:textId="798360D2"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47%</w:t>
            </w:r>
          </w:p>
        </w:tc>
      </w:tr>
      <w:tr w:rsidR="00794848" w:rsidRPr="000F79AD" w14:paraId="5E9EB61F" w14:textId="77777777" w:rsidTr="00794848">
        <w:trPr>
          <w:trHeight w:val="276"/>
        </w:trPr>
        <w:tc>
          <w:tcPr>
            <w:tcW w:w="8275" w:type="dxa"/>
            <w:shd w:val="clear" w:color="auto" w:fill="EDEDED" w:themeFill="accent3" w:themeFillTint="33"/>
            <w:noWrap/>
            <w:vAlign w:val="bottom"/>
            <w:hideMark/>
          </w:tcPr>
          <w:p w14:paraId="3F349EE3" w14:textId="77777777"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Cash contribution (e.g. direct or parallel co-financing of SGP grants)</w:t>
            </w:r>
          </w:p>
        </w:tc>
        <w:tc>
          <w:tcPr>
            <w:tcW w:w="1170" w:type="dxa"/>
            <w:shd w:val="clear" w:color="auto" w:fill="auto"/>
            <w:vAlign w:val="bottom"/>
          </w:tcPr>
          <w:p w14:paraId="7EF2CCDA" w14:textId="40265425"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33%</w:t>
            </w:r>
          </w:p>
        </w:tc>
      </w:tr>
      <w:tr w:rsidR="00794848" w:rsidRPr="000F79AD" w14:paraId="04FF27A3" w14:textId="77777777" w:rsidTr="00794848">
        <w:trPr>
          <w:trHeight w:val="276"/>
        </w:trPr>
        <w:tc>
          <w:tcPr>
            <w:tcW w:w="8275" w:type="dxa"/>
            <w:shd w:val="clear" w:color="auto" w:fill="EDEDED" w:themeFill="accent3" w:themeFillTint="33"/>
            <w:noWrap/>
            <w:vAlign w:val="bottom"/>
            <w:hideMark/>
          </w:tcPr>
          <w:p w14:paraId="09BD9B15" w14:textId="77777777"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Technical assistance and capacity development to program/project activities for free or with reduced cost (i.e. business advisory services, etc.)</w:t>
            </w:r>
          </w:p>
        </w:tc>
        <w:tc>
          <w:tcPr>
            <w:tcW w:w="1170" w:type="dxa"/>
            <w:shd w:val="clear" w:color="auto" w:fill="auto"/>
            <w:vAlign w:val="bottom"/>
          </w:tcPr>
          <w:p w14:paraId="60AD0452" w14:textId="1976F306"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57%</w:t>
            </w:r>
          </w:p>
        </w:tc>
      </w:tr>
      <w:tr w:rsidR="00794848" w:rsidRPr="000F79AD" w14:paraId="7651D99D" w14:textId="77777777" w:rsidTr="00794848">
        <w:trPr>
          <w:trHeight w:val="276"/>
        </w:trPr>
        <w:tc>
          <w:tcPr>
            <w:tcW w:w="8275" w:type="dxa"/>
            <w:shd w:val="clear" w:color="auto" w:fill="EDEDED" w:themeFill="accent3" w:themeFillTint="33"/>
            <w:noWrap/>
            <w:vAlign w:val="bottom"/>
            <w:hideMark/>
          </w:tcPr>
          <w:p w14:paraId="4BA04FF6" w14:textId="77777777"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Contribution to capacity development of grantees</w:t>
            </w:r>
          </w:p>
        </w:tc>
        <w:tc>
          <w:tcPr>
            <w:tcW w:w="1170" w:type="dxa"/>
            <w:shd w:val="clear" w:color="auto" w:fill="auto"/>
            <w:vAlign w:val="bottom"/>
          </w:tcPr>
          <w:p w14:paraId="51444AA1" w14:textId="0355F005"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48%</w:t>
            </w:r>
          </w:p>
        </w:tc>
      </w:tr>
      <w:tr w:rsidR="00794848" w:rsidRPr="000F79AD" w14:paraId="6D6F828A" w14:textId="77777777" w:rsidTr="00794848">
        <w:trPr>
          <w:trHeight w:val="276"/>
        </w:trPr>
        <w:tc>
          <w:tcPr>
            <w:tcW w:w="8275" w:type="dxa"/>
            <w:shd w:val="clear" w:color="auto" w:fill="EDEDED" w:themeFill="accent3" w:themeFillTint="33"/>
            <w:noWrap/>
            <w:vAlign w:val="bottom"/>
            <w:hideMark/>
          </w:tcPr>
          <w:p w14:paraId="3D16453C" w14:textId="77777777"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Provision of parallel matchmaking to SGP grants</w:t>
            </w:r>
          </w:p>
        </w:tc>
        <w:tc>
          <w:tcPr>
            <w:tcW w:w="1170" w:type="dxa"/>
            <w:shd w:val="clear" w:color="auto" w:fill="auto"/>
            <w:vAlign w:val="bottom"/>
          </w:tcPr>
          <w:p w14:paraId="65A79FE2" w14:textId="12E5A432"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11%</w:t>
            </w:r>
          </w:p>
        </w:tc>
      </w:tr>
      <w:tr w:rsidR="00794848" w:rsidRPr="000F79AD" w14:paraId="22F03205" w14:textId="77777777" w:rsidTr="00794848">
        <w:trPr>
          <w:trHeight w:val="276"/>
        </w:trPr>
        <w:tc>
          <w:tcPr>
            <w:tcW w:w="8275" w:type="dxa"/>
            <w:shd w:val="clear" w:color="auto" w:fill="EDEDED" w:themeFill="accent3" w:themeFillTint="33"/>
            <w:noWrap/>
            <w:vAlign w:val="bottom"/>
            <w:hideMark/>
          </w:tcPr>
          <w:p w14:paraId="69EFE137" w14:textId="77777777"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Advocacy and marketing of SGP causes</w:t>
            </w:r>
          </w:p>
        </w:tc>
        <w:tc>
          <w:tcPr>
            <w:tcW w:w="1170" w:type="dxa"/>
            <w:shd w:val="clear" w:color="auto" w:fill="auto"/>
            <w:vAlign w:val="bottom"/>
          </w:tcPr>
          <w:p w14:paraId="1D075914" w14:textId="0ED8C45F"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24%</w:t>
            </w:r>
          </w:p>
        </w:tc>
      </w:tr>
      <w:tr w:rsidR="00794848" w:rsidRPr="000F79AD" w14:paraId="29827AA4" w14:textId="77777777" w:rsidTr="00794848">
        <w:trPr>
          <w:trHeight w:val="276"/>
        </w:trPr>
        <w:tc>
          <w:tcPr>
            <w:tcW w:w="8275" w:type="dxa"/>
            <w:shd w:val="clear" w:color="auto" w:fill="EDEDED" w:themeFill="accent3" w:themeFillTint="33"/>
            <w:noWrap/>
            <w:vAlign w:val="bottom"/>
            <w:hideMark/>
          </w:tcPr>
          <w:p w14:paraId="73BBAADA" w14:textId="6017A5B8"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Policy dialogue</w:t>
            </w:r>
          </w:p>
        </w:tc>
        <w:tc>
          <w:tcPr>
            <w:tcW w:w="1170" w:type="dxa"/>
            <w:shd w:val="clear" w:color="auto" w:fill="auto"/>
            <w:vAlign w:val="bottom"/>
          </w:tcPr>
          <w:p w14:paraId="6407A714" w14:textId="2CF21873"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13%</w:t>
            </w:r>
          </w:p>
        </w:tc>
      </w:tr>
      <w:tr w:rsidR="00794848" w:rsidRPr="000F79AD" w14:paraId="3CAADA46" w14:textId="77777777" w:rsidTr="00794848">
        <w:trPr>
          <w:trHeight w:val="276"/>
        </w:trPr>
        <w:tc>
          <w:tcPr>
            <w:tcW w:w="8275" w:type="dxa"/>
            <w:shd w:val="clear" w:color="auto" w:fill="EDEDED" w:themeFill="accent3" w:themeFillTint="33"/>
            <w:noWrap/>
            <w:vAlign w:val="bottom"/>
            <w:hideMark/>
          </w:tcPr>
          <w:p w14:paraId="0DA7A11C" w14:textId="77777777"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Other</w:t>
            </w:r>
          </w:p>
        </w:tc>
        <w:tc>
          <w:tcPr>
            <w:tcW w:w="1170" w:type="dxa"/>
            <w:shd w:val="clear" w:color="auto" w:fill="auto"/>
            <w:vAlign w:val="bottom"/>
          </w:tcPr>
          <w:p w14:paraId="1838393A" w14:textId="5EA0C67F"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22%</w:t>
            </w:r>
          </w:p>
        </w:tc>
      </w:tr>
      <w:tr w:rsidR="00794848" w:rsidRPr="000F79AD" w14:paraId="246E3285" w14:textId="77777777" w:rsidTr="00794848">
        <w:trPr>
          <w:trHeight w:val="276"/>
        </w:trPr>
        <w:tc>
          <w:tcPr>
            <w:tcW w:w="8275" w:type="dxa"/>
            <w:shd w:val="clear" w:color="auto" w:fill="EDEDED" w:themeFill="accent3" w:themeFillTint="33"/>
            <w:noWrap/>
            <w:vAlign w:val="bottom"/>
            <w:hideMark/>
          </w:tcPr>
          <w:p w14:paraId="018496FC" w14:textId="77777777" w:rsidR="00794848" w:rsidRPr="000F79AD" w:rsidRDefault="00794848" w:rsidP="00794848">
            <w:pPr>
              <w:spacing w:after="0" w:line="240" w:lineRule="auto"/>
              <w:jc w:val="both"/>
              <w:rPr>
                <w:rFonts w:eastAsia="Times New Roman" w:cstheme="minorHAnsi"/>
                <w:color w:val="333333"/>
                <w:lang w:val="en-US"/>
              </w:rPr>
            </w:pPr>
            <w:r w:rsidRPr="000F79AD">
              <w:rPr>
                <w:rFonts w:eastAsia="Times New Roman" w:cstheme="minorHAnsi"/>
                <w:color w:val="333333"/>
                <w:lang w:val="en-US"/>
              </w:rPr>
              <w:t>Other (please specify)</w:t>
            </w:r>
          </w:p>
        </w:tc>
        <w:tc>
          <w:tcPr>
            <w:tcW w:w="1170" w:type="dxa"/>
          </w:tcPr>
          <w:p w14:paraId="2D773055" w14:textId="77777777" w:rsidR="00794848" w:rsidRPr="000F79AD" w:rsidRDefault="00794848" w:rsidP="00794848">
            <w:pPr>
              <w:spacing w:after="0" w:line="240" w:lineRule="auto"/>
              <w:jc w:val="both"/>
              <w:rPr>
                <w:rFonts w:eastAsia="Times New Roman" w:cstheme="minorHAnsi"/>
                <w:color w:val="333333"/>
                <w:lang w:val="en-US"/>
              </w:rPr>
            </w:pPr>
          </w:p>
        </w:tc>
      </w:tr>
    </w:tbl>
    <w:p w14:paraId="56647097" w14:textId="66403901" w:rsidR="00D81D9D" w:rsidRDefault="00D81D9D" w:rsidP="0022256E">
      <w:pPr>
        <w:jc w:val="both"/>
      </w:pPr>
    </w:p>
    <w:p w14:paraId="5F0108F6" w14:textId="4E55D58F" w:rsidR="00E45720" w:rsidRDefault="00794848" w:rsidP="004F165E">
      <w:pPr>
        <w:jc w:val="center"/>
      </w:pPr>
      <w:r>
        <w:rPr>
          <w:noProof/>
        </w:rPr>
        <w:drawing>
          <wp:inline distT="0" distB="0" distL="0" distR="0" wp14:anchorId="6D9D2382" wp14:editId="087C8F79">
            <wp:extent cx="5993765" cy="3176615"/>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122" cy="3185284"/>
                    </a:xfrm>
                    <a:prstGeom prst="rect">
                      <a:avLst/>
                    </a:prstGeom>
                    <a:noFill/>
                  </pic:spPr>
                </pic:pic>
              </a:graphicData>
            </a:graphic>
          </wp:inline>
        </w:drawing>
      </w:r>
    </w:p>
    <w:p w14:paraId="58D8414C" w14:textId="2E0CEF9D" w:rsidR="00794848" w:rsidRDefault="00794848" w:rsidP="0022256E">
      <w:pPr>
        <w:pStyle w:val="Heading2"/>
        <w:jc w:val="both"/>
      </w:pPr>
    </w:p>
    <w:p w14:paraId="41512843" w14:textId="77777777" w:rsidR="00794848" w:rsidRPr="00794848" w:rsidRDefault="00794848" w:rsidP="00794848"/>
    <w:p w14:paraId="442DA5E3" w14:textId="2D98C55D" w:rsidR="00E9513D" w:rsidRDefault="00F7660A" w:rsidP="0022256E">
      <w:pPr>
        <w:pStyle w:val="Heading2"/>
        <w:jc w:val="both"/>
      </w:pPr>
      <w:r>
        <w:t xml:space="preserve">Comments of Interest and </w:t>
      </w:r>
      <w:r w:rsidR="00ED232B">
        <w:t xml:space="preserve">Challenges </w:t>
      </w:r>
      <w:r w:rsidR="000C1530">
        <w:t>E</w:t>
      </w:r>
      <w:r>
        <w:t xml:space="preserve">ngaging </w:t>
      </w:r>
      <w:r w:rsidR="00ED232B">
        <w:t xml:space="preserve">with </w:t>
      </w:r>
      <w:r>
        <w:t>the Private Sec</w:t>
      </w:r>
      <w:r w:rsidR="000C1530">
        <w:t>t</w:t>
      </w:r>
      <w:r>
        <w:t>or</w:t>
      </w:r>
    </w:p>
    <w:p w14:paraId="3D73D074" w14:textId="5395963E" w:rsidR="00177A76" w:rsidRPr="00177A76" w:rsidRDefault="00F7660A" w:rsidP="0022256E">
      <w:pPr>
        <w:jc w:val="both"/>
      </w:pPr>
      <w:r>
        <w:t xml:space="preserve">Country </w:t>
      </w:r>
      <w:r w:rsidR="00954CC2">
        <w:t xml:space="preserve">programmes </w:t>
      </w:r>
      <w:r w:rsidR="005E7231">
        <w:t>identified</w:t>
      </w:r>
      <w:r>
        <w:t xml:space="preserve"> a range of challenges and comments of interest when engaging with the private sector including: </w:t>
      </w:r>
    </w:p>
    <w:p w14:paraId="7FB70868" w14:textId="65289274" w:rsidR="00F7660A" w:rsidRDefault="00ED232B" w:rsidP="0022256E">
      <w:pPr>
        <w:pStyle w:val="ListParagraph"/>
        <w:numPr>
          <w:ilvl w:val="0"/>
          <w:numId w:val="3"/>
        </w:numPr>
        <w:jc w:val="both"/>
      </w:pPr>
      <w:r>
        <w:t xml:space="preserve">Some </w:t>
      </w:r>
      <w:r w:rsidR="00F7660A">
        <w:t>private sector companies only</w:t>
      </w:r>
      <w:r>
        <w:t xml:space="preserve"> operate in a certain geographic area</w:t>
      </w:r>
      <w:r w:rsidR="00F7660A">
        <w:t xml:space="preserve"> which may not be aligned to the SGP landscapes/seascapes</w:t>
      </w:r>
      <w:r w:rsidR="00794848">
        <w:t xml:space="preserve"> in the country</w:t>
      </w:r>
      <w:r w:rsidR="00F7660A">
        <w:t>.</w:t>
      </w:r>
    </w:p>
    <w:p w14:paraId="33E200FF" w14:textId="5F73F2BB" w:rsidR="00F7660A" w:rsidRDefault="005E7231" w:rsidP="0022256E">
      <w:pPr>
        <w:pStyle w:val="ListParagraph"/>
        <w:numPr>
          <w:ilvl w:val="0"/>
          <w:numId w:val="3"/>
        </w:numPr>
        <w:jc w:val="both"/>
      </w:pPr>
      <w:r>
        <w:t>Private secto</w:t>
      </w:r>
      <w:r w:rsidR="00F7660A">
        <w:t>r</w:t>
      </w:r>
      <w:r>
        <w:t xml:space="preserve"> b</w:t>
      </w:r>
      <w:r w:rsidR="00954CC2">
        <w:t>r</w:t>
      </w:r>
      <w:r w:rsidR="00F7660A">
        <w:t xml:space="preserve">anding and recognition of </w:t>
      </w:r>
      <w:r>
        <w:t xml:space="preserve">their </w:t>
      </w:r>
      <w:r w:rsidR="00F7660A">
        <w:t>contributions are important factors to discuss when working with the private sector.</w:t>
      </w:r>
    </w:p>
    <w:p w14:paraId="55743D16" w14:textId="461964F6" w:rsidR="00906383" w:rsidRDefault="00ED232B" w:rsidP="0022256E">
      <w:pPr>
        <w:pStyle w:val="ListParagraph"/>
        <w:numPr>
          <w:ilvl w:val="0"/>
          <w:numId w:val="3"/>
        </w:numPr>
        <w:jc w:val="both"/>
      </w:pPr>
      <w:r>
        <w:t>Establishing relationships can be complicated</w:t>
      </w:r>
      <w:r w:rsidR="00F7660A">
        <w:t xml:space="preserve"> and time consuming. </w:t>
      </w:r>
      <w:r w:rsidR="00F7660A" w:rsidRPr="00F7660A">
        <w:t>Partnership</w:t>
      </w:r>
      <w:r w:rsidR="000C1530">
        <w:t>s</w:t>
      </w:r>
      <w:r w:rsidR="00F7660A" w:rsidRPr="00F7660A">
        <w:t xml:space="preserve"> demand time and </w:t>
      </w:r>
      <w:r w:rsidR="000C1530">
        <w:t xml:space="preserve">ongoing </w:t>
      </w:r>
      <w:r w:rsidR="00F7660A" w:rsidRPr="00F7660A">
        <w:t>coordination efforts</w:t>
      </w:r>
      <w:r w:rsidR="000C1530">
        <w:t xml:space="preserve">. </w:t>
      </w:r>
      <w:r w:rsidR="00906383">
        <w:t>Relationship building is a process.</w:t>
      </w:r>
    </w:p>
    <w:p w14:paraId="3730AB3C" w14:textId="77777777" w:rsidR="000C1530" w:rsidRDefault="00ED232B" w:rsidP="0022256E">
      <w:pPr>
        <w:pStyle w:val="ListParagraph"/>
        <w:numPr>
          <w:ilvl w:val="0"/>
          <w:numId w:val="3"/>
        </w:numPr>
        <w:jc w:val="both"/>
      </w:pPr>
      <w:r>
        <w:t xml:space="preserve">Sometimes although a partnership is established </w:t>
      </w:r>
      <w:r w:rsidR="00F7660A">
        <w:t xml:space="preserve">with private sector- </w:t>
      </w:r>
      <w:r>
        <w:t>the grantees may not benefit in the best way, sometimes the private sector has the advantage over the grantee and the agreement. They may offer the grantee lower pr</w:t>
      </w:r>
      <w:r w:rsidR="00F7660A">
        <w:t>ices</w:t>
      </w:r>
      <w:r>
        <w:t xml:space="preserve"> for the products.</w:t>
      </w:r>
      <w:r w:rsidR="00F7660A">
        <w:t xml:space="preserve"> This needs to be carefully understood and managed from early in the partnership.</w:t>
      </w:r>
    </w:p>
    <w:p w14:paraId="5020D6EB" w14:textId="77777777" w:rsidR="000C1530" w:rsidRDefault="000C1530" w:rsidP="0022256E">
      <w:pPr>
        <w:pStyle w:val="ListParagraph"/>
        <w:numPr>
          <w:ilvl w:val="0"/>
          <w:numId w:val="3"/>
        </w:numPr>
        <w:jc w:val="both"/>
      </w:pPr>
      <w:r>
        <w:t xml:space="preserve">In </w:t>
      </w:r>
      <w:r w:rsidR="000A6BE4">
        <w:t>Ecuador</w:t>
      </w:r>
      <w:r>
        <w:t>, i</w:t>
      </w:r>
      <w:r w:rsidR="000A6BE4">
        <w:t>t was difficult for the communities to adapt to the private sector agenda</w:t>
      </w:r>
      <w:r>
        <w:t xml:space="preserve">, </w:t>
      </w:r>
      <w:r w:rsidR="000A6BE4">
        <w:t>focus,</w:t>
      </w:r>
      <w:r>
        <w:t xml:space="preserve"> and way of working. W</w:t>
      </w:r>
      <w:r w:rsidR="000A6BE4">
        <w:t xml:space="preserve">e </w:t>
      </w:r>
      <w:r>
        <w:t>must</w:t>
      </w:r>
      <w:r w:rsidR="000A6BE4">
        <w:t xml:space="preserve"> think about </w:t>
      </w:r>
      <w:r>
        <w:t>‘</w:t>
      </w:r>
      <w:r w:rsidR="000A6BE4">
        <w:t>translating</w:t>
      </w:r>
      <w:r>
        <w:t>’</w:t>
      </w:r>
      <w:r w:rsidR="000A6BE4">
        <w:t xml:space="preserve"> the ideas and strategies for market insertion and commerce. Private enterprise is vital to link </w:t>
      </w:r>
      <w:r>
        <w:t xml:space="preserve">rural </w:t>
      </w:r>
      <w:r w:rsidR="000A6BE4">
        <w:t>communities</w:t>
      </w:r>
      <w:r>
        <w:t xml:space="preserve"> to</w:t>
      </w:r>
      <w:r w:rsidR="000A6BE4">
        <w:t xml:space="preserve"> the urban areas, not only via marketing or commercialization but through social media presence and news. Furthermore, the private sector is more involved each passing year with new and innovative social</w:t>
      </w:r>
      <w:r>
        <w:t xml:space="preserve"> </w:t>
      </w:r>
      <w:r w:rsidR="000A6BE4">
        <w:t>responsibility strategies</w:t>
      </w:r>
      <w:r>
        <w:t>, and this should be explored further.</w:t>
      </w:r>
    </w:p>
    <w:p w14:paraId="7A908337" w14:textId="35B55E45" w:rsidR="000C1530" w:rsidRDefault="006B7375" w:rsidP="0022256E">
      <w:pPr>
        <w:pStyle w:val="ListParagraph"/>
        <w:numPr>
          <w:ilvl w:val="0"/>
          <w:numId w:val="3"/>
        </w:numPr>
        <w:jc w:val="both"/>
      </w:pPr>
      <w:r>
        <w:t>Panama- SGP grantee products (food/health</w:t>
      </w:r>
      <w:r w:rsidR="00FA272A">
        <w:t xml:space="preserve"> related</w:t>
      </w:r>
      <w:r>
        <w:t>) sometime lack ‘health’ certification which prevents private sector from working with them.</w:t>
      </w:r>
    </w:p>
    <w:p w14:paraId="719603F1" w14:textId="63995067" w:rsidR="000C1530" w:rsidRDefault="000C1530" w:rsidP="0022256E">
      <w:pPr>
        <w:pStyle w:val="ListParagraph"/>
        <w:numPr>
          <w:ilvl w:val="0"/>
          <w:numId w:val="3"/>
        </w:numPr>
        <w:jc w:val="both"/>
      </w:pPr>
      <w:r>
        <w:t>Some p</w:t>
      </w:r>
      <w:r w:rsidR="00CF0BF4">
        <w:t>rivate sector</w:t>
      </w:r>
      <w:r>
        <w:t xml:space="preserve"> companies </w:t>
      </w:r>
      <w:r w:rsidR="00CF0BF4">
        <w:t>are not willing to sign an agreement. The lesson is involving the private sector th</w:t>
      </w:r>
      <w:r>
        <w:t xml:space="preserve">roughout the </w:t>
      </w:r>
      <w:r w:rsidR="00CF0BF4">
        <w:t>process</w:t>
      </w:r>
      <w:r w:rsidR="000951F6">
        <w:t xml:space="preserve">. </w:t>
      </w:r>
      <w:r w:rsidR="005E7231">
        <w:t>T</w:t>
      </w:r>
      <w:r w:rsidR="000951F6">
        <w:t>his</w:t>
      </w:r>
      <w:r>
        <w:t xml:space="preserve"> </w:t>
      </w:r>
      <w:r w:rsidR="00CF0BF4">
        <w:t xml:space="preserve">facilitate </w:t>
      </w:r>
      <w:r>
        <w:t xml:space="preserve">understanding and sharing of knowledge. This will </w:t>
      </w:r>
      <w:r w:rsidR="00CF0BF4">
        <w:t xml:space="preserve">encourage them to participate </w:t>
      </w:r>
      <w:r>
        <w:t xml:space="preserve">and </w:t>
      </w:r>
      <w:r w:rsidR="00CF0BF4">
        <w:t>work with the local community.</w:t>
      </w:r>
    </w:p>
    <w:p w14:paraId="705524FC" w14:textId="77777777" w:rsidR="000C1530" w:rsidRDefault="00CF0BF4" w:rsidP="0022256E">
      <w:pPr>
        <w:pStyle w:val="ListParagraph"/>
        <w:numPr>
          <w:ilvl w:val="0"/>
          <w:numId w:val="3"/>
        </w:numPr>
        <w:jc w:val="both"/>
      </w:pPr>
      <w:r>
        <w:t>Private sector motivation is different from community and public sector actors</w:t>
      </w:r>
      <w:r w:rsidR="00266666">
        <w:t>.</w:t>
      </w:r>
      <w:r w:rsidR="000C1530">
        <w:t xml:space="preserve"> Each group has their own interest/motivation.</w:t>
      </w:r>
    </w:p>
    <w:p w14:paraId="410FE3D2" w14:textId="22E4ABFE" w:rsidR="000C1530" w:rsidRDefault="000C1530" w:rsidP="0022256E">
      <w:pPr>
        <w:pStyle w:val="ListParagraph"/>
        <w:numPr>
          <w:ilvl w:val="0"/>
          <w:numId w:val="3"/>
        </w:numPr>
        <w:jc w:val="both"/>
      </w:pPr>
      <w:r>
        <w:t xml:space="preserve">Both </w:t>
      </w:r>
      <w:r w:rsidR="00D45AAD">
        <w:t>Mauritius</w:t>
      </w:r>
      <w:r>
        <w:t xml:space="preserve"> and Nigeria noted that </w:t>
      </w:r>
      <w:r w:rsidR="00266666">
        <w:t>there</w:t>
      </w:r>
      <w:r w:rsidR="000951F6">
        <w:t xml:space="preserve"> is no </w:t>
      </w:r>
      <w:r w:rsidR="00266666">
        <w:t>standard legal template for collaboration between the private sector and SGP. This leads to extra work and delays</w:t>
      </w:r>
      <w:r>
        <w:t>, and further complicates the process.</w:t>
      </w:r>
      <w:r w:rsidRPr="000C1530">
        <w:t xml:space="preserve"> </w:t>
      </w:r>
      <w:r w:rsidR="000951F6">
        <w:t xml:space="preserve">In </w:t>
      </w:r>
      <w:r w:rsidRPr="000C1530">
        <w:t>Nigeria</w:t>
      </w:r>
      <w:r w:rsidR="000951F6">
        <w:t>,</w:t>
      </w:r>
      <w:r w:rsidRPr="000C1530">
        <w:t xml:space="preserve"> </w:t>
      </w:r>
      <w:r>
        <w:t>p</w:t>
      </w:r>
      <w:r w:rsidRPr="000C1530">
        <w:t>ayment of funds to UNDP has not been possible to date because UNDP does</w:t>
      </w:r>
      <w:r>
        <w:t xml:space="preserve"> not</w:t>
      </w:r>
      <w:r w:rsidRPr="000C1530">
        <w:t xml:space="preserve"> have any template or arrangement to accept and disburse the fund from the Foundation</w:t>
      </w:r>
      <w:r>
        <w:t>/private sector</w:t>
      </w:r>
      <w:r w:rsidRPr="000C1530">
        <w:t xml:space="preserve">. </w:t>
      </w:r>
      <w:r w:rsidR="00FA272A">
        <w:t xml:space="preserve">Others </w:t>
      </w:r>
      <w:r w:rsidR="000951F6">
        <w:t xml:space="preserve">NCs </w:t>
      </w:r>
      <w:r w:rsidR="00FA272A">
        <w:t>also noted that t</w:t>
      </w:r>
      <w:r w:rsidR="00FA272A" w:rsidRPr="00FA272A">
        <w:t xml:space="preserve">here is </w:t>
      </w:r>
      <w:r w:rsidR="005E7231">
        <w:t>a</w:t>
      </w:r>
      <w:r w:rsidR="00FA272A" w:rsidRPr="00FA272A">
        <w:t xml:space="preserve"> need for adequate formats, templates, </w:t>
      </w:r>
      <w:proofErr w:type="gramStart"/>
      <w:r w:rsidR="00FA272A" w:rsidRPr="00FA272A">
        <w:t>procedures</w:t>
      </w:r>
      <w:proofErr w:type="gramEnd"/>
      <w:r w:rsidR="00FA272A" w:rsidRPr="00FA272A">
        <w:t xml:space="preserve"> and reports.</w:t>
      </w:r>
    </w:p>
    <w:p w14:paraId="529D813F" w14:textId="7270FB95" w:rsidR="000951F6" w:rsidRDefault="000951F6" w:rsidP="0022256E">
      <w:pPr>
        <w:pStyle w:val="ListParagraph"/>
        <w:numPr>
          <w:ilvl w:val="0"/>
          <w:numId w:val="3"/>
        </w:numPr>
        <w:jc w:val="both"/>
      </w:pPr>
      <w:r w:rsidRPr="000951F6">
        <w:t>In Guatemala, one challenge is the relation between producers and private sector, as many times rural producers do not trust private sector as a partner, so time needs to be invested in gaining trust and providing information about the objectives and results of the project.</w:t>
      </w:r>
    </w:p>
    <w:p w14:paraId="2880DC0D" w14:textId="7BA0B84E" w:rsidR="000C1530" w:rsidRDefault="000C1530" w:rsidP="0022256E">
      <w:pPr>
        <w:pStyle w:val="ListParagraph"/>
        <w:numPr>
          <w:ilvl w:val="0"/>
          <w:numId w:val="3"/>
        </w:numPr>
        <w:jc w:val="both"/>
      </w:pPr>
      <w:r w:rsidRPr="000C1530">
        <w:t xml:space="preserve">Partnership between CSOs, government and </w:t>
      </w:r>
      <w:r w:rsidR="00FA272A">
        <w:t>p</w:t>
      </w:r>
      <w:r w:rsidRPr="000C1530">
        <w:t xml:space="preserve">rivate sector </w:t>
      </w:r>
      <w:r>
        <w:t>strengthens project design, implementation, and impact.</w:t>
      </w:r>
      <w:r w:rsidRPr="000C1530">
        <w:t xml:space="preserve"> It builds trust, transparency, and accountability.</w:t>
      </w:r>
    </w:p>
    <w:p w14:paraId="1BC930AF" w14:textId="03AFC27F" w:rsidR="000C1530" w:rsidRDefault="000C1530" w:rsidP="0022256E">
      <w:pPr>
        <w:pStyle w:val="ListParagraph"/>
        <w:numPr>
          <w:ilvl w:val="0"/>
          <w:numId w:val="3"/>
        </w:numPr>
        <w:jc w:val="both"/>
      </w:pPr>
      <w:r>
        <w:t xml:space="preserve">In some </w:t>
      </w:r>
      <w:r w:rsidR="0022256E">
        <w:t>cases,</w:t>
      </w:r>
      <w:r>
        <w:t xml:space="preserve"> </w:t>
      </w:r>
      <w:r w:rsidR="00D45AAD">
        <w:t xml:space="preserve">interaction </w:t>
      </w:r>
      <w:r>
        <w:t>with</w:t>
      </w:r>
      <w:r w:rsidR="00D45AAD">
        <w:t xml:space="preserve"> the private sector, the state and non-profit organizations was very effective </w:t>
      </w:r>
      <w:r w:rsidR="005E7231">
        <w:t xml:space="preserve">in achieving </w:t>
      </w:r>
      <w:r w:rsidR="00D45AAD">
        <w:t>the project's goals</w:t>
      </w:r>
      <w:r>
        <w:t xml:space="preserve"> and overall sustainability.</w:t>
      </w:r>
    </w:p>
    <w:p w14:paraId="345F5C15" w14:textId="737077F0" w:rsidR="000C1530" w:rsidRDefault="00D45AAD" w:rsidP="0022256E">
      <w:pPr>
        <w:pStyle w:val="ListParagraph"/>
        <w:numPr>
          <w:ilvl w:val="0"/>
          <w:numId w:val="3"/>
        </w:numPr>
        <w:jc w:val="both"/>
      </w:pPr>
      <w:r>
        <w:t>Tajikistan</w:t>
      </w:r>
      <w:r w:rsidR="000C1530">
        <w:t xml:space="preserve"> noted that p</w:t>
      </w:r>
      <w:r>
        <w:t xml:space="preserve">rojects are more financially and institutionally sustainable when </w:t>
      </w:r>
      <w:r w:rsidR="000C1530">
        <w:t xml:space="preserve">they are </w:t>
      </w:r>
      <w:r>
        <w:t>own</w:t>
      </w:r>
      <w:r w:rsidR="000C1530">
        <w:t>ed</w:t>
      </w:r>
      <w:r>
        <w:t xml:space="preserve"> and operate</w:t>
      </w:r>
      <w:r w:rsidR="000C1530">
        <w:t>d</w:t>
      </w:r>
      <w:r>
        <w:t xml:space="preserve"> under </w:t>
      </w:r>
      <w:r w:rsidR="000C1530">
        <w:t>p</w:t>
      </w:r>
      <w:r>
        <w:t xml:space="preserve">rivate </w:t>
      </w:r>
      <w:r w:rsidR="000C1530">
        <w:t>s</w:t>
      </w:r>
      <w:r>
        <w:t>ector leadership and stewardship.</w:t>
      </w:r>
    </w:p>
    <w:p w14:paraId="7906C274" w14:textId="77777777" w:rsidR="000951F6" w:rsidRDefault="000951F6" w:rsidP="0022256E">
      <w:pPr>
        <w:jc w:val="both"/>
      </w:pPr>
    </w:p>
    <w:p w14:paraId="3CB63949" w14:textId="626F3763" w:rsidR="000951F6" w:rsidRDefault="000951F6" w:rsidP="0022256E">
      <w:pPr>
        <w:pStyle w:val="Heading2"/>
        <w:jc w:val="both"/>
      </w:pPr>
      <w:r>
        <w:t xml:space="preserve">Country Examples for </w:t>
      </w:r>
      <w:r w:rsidR="0022256E">
        <w:t>F</w:t>
      </w:r>
      <w:r>
        <w:t xml:space="preserve">urther </w:t>
      </w:r>
      <w:r w:rsidR="0022256E">
        <w:t>F</w:t>
      </w:r>
      <w:r>
        <w:t xml:space="preserve">ollow </w:t>
      </w:r>
      <w:r w:rsidR="00E45720">
        <w:t>U</w:t>
      </w:r>
      <w:r>
        <w:t>p</w:t>
      </w:r>
    </w:p>
    <w:p w14:paraId="2E195022" w14:textId="081A4371" w:rsidR="000951F6" w:rsidRDefault="000951F6" w:rsidP="0022256E">
      <w:pPr>
        <w:jc w:val="both"/>
      </w:pPr>
      <w:r>
        <w:t xml:space="preserve">The following </w:t>
      </w:r>
      <w:r w:rsidR="0022256E">
        <w:t xml:space="preserve">are a few </w:t>
      </w:r>
      <w:r>
        <w:t>countries</w:t>
      </w:r>
      <w:r w:rsidR="0022256E">
        <w:t xml:space="preserve"> that</w:t>
      </w:r>
      <w:r>
        <w:t xml:space="preserve"> </w:t>
      </w:r>
      <w:r w:rsidR="005E7231">
        <w:t>provided</w:t>
      </w:r>
      <w:r>
        <w:t xml:space="preserve"> interesting examples of private sector engagement that can be further explore</w:t>
      </w:r>
      <w:r w:rsidR="0022256E">
        <w:t>d</w:t>
      </w:r>
      <w:r>
        <w:t>.</w:t>
      </w:r>
    </w:p>
    <w:tbl>
      <w:tblPr>
        <w:tblStyle w:val="TableGrid"/>
        <w:tblW w:w="0" w:type="auto"/>
        <w:tblLook w:val="04A0" w:firstRow="1" w:lastRow="0" w:firstColumn="1" w:lastColumn="0" w:noHBand="0" w:noVBand="1"/>
      </w:tblPr>
      <w:tblGrid>
        <w:gridCol w:w="1255"/>
        <w:gridCol w:w="8095"/>
      </w:tblGrid>
      <w:tr w:rsidR="005E7231" w14:paraId="30E698D3" w14:textId="77777777" w:rsidTr="00E45720">
        <w:tc>
          <w:tcPr>
            <w:tcW w:w="1255" w:type="dxa"/>
            <w:shd w:val="clear" w:color="auto" w:fill="4472C4" w:themeFill="accent1"/>
          </w:tcPr>
          <w:p w14:paraId="45D57828" w14:textId="1C7D27AB" w:rsidR="005E7231" w:rsidRPr="005E7231" w:rsidRDefault="005E7231" w:rsidP="0022256E">
            <w:pPr>
              <w:jc w:val="both"/>
              <w:rPr>
                <w:b/>
                <w:bCs/>
                <w:color w:val="FFFFFF" w:themeColor="background1"/>
              </w:rPr>
            </w:pPr>
            <w:r w:rsidRPr="005E7231">
              <w:rPr>
                <w:b/>
                <w:bCs/>
                <w:color w:val="FFFFFF" w:themeColor="background1"/>
              </w:rPr>
              <w:t>Country</w:t>
            </w:r>
          </w:p>
        </w:tc>
        <w:tc>
          <w:tcPr>
            <w:tcW w:w="8095" w:type="dxa"/>
            <w:shd w:val="clear" w:color="auto" w:fill="4472C4" w:themeFill="accent1"/>
          </w:tcPr>
          <w:p w14:paraId="296F60F0" w14:textId="045F96B8" w:rsidR="005E7231" w:rsidRPr="005E7231" w:rsidRDefault="005E7231" w:rsidP="0022256E">
            <w:pPr>
              <w:jc w:val="both"/>
              <w:rPr>
                <w:b/>
                <w:bCs/>
                <w:color w:val="FFFFFF" w:themeColor="background1"/>
              </w:rPr>
            </w:pPr>
            <w:r w:rsidRPr="005E7231">
              <w:rPr>
                <w:b/>
                <w:bCs/>
                <w:color w:val="FFFFFF" w:themeColor="background1"/>
              </w:rPr>
              <w:t>Brief Example</w:t>
            </w:r>
          </w:p>
        </w:tc>
      </w:tr>
      <w:tr w:rsidR="005E7231" w14:paraId="1877F73F" w14:textId="77777777" w:rsidTr="00E45720">
        <w:tc>
          <w:tcPr>
            <w:tcW w:w="1255" w:type="dxa"/>
            <w:shd w:val="clear" w:color="auto" w:fill="D9D9D9" w:themeFill="background1" w:themeFillShade="D9"/>
          </w:tcPr>
          <w:p w14:paraId="1981B4FD" w14:textId="108EABC8" w:rsidR="005E7231" w:rsidRDefault="005E7231" w:rsidP="0022256E">
            <w:pPr>
              <w:jc w:val="both"/>
            </w:pPr>
            <w:r>
              <w:t>China</w:t>
            </w:r>
          </w:p>
        </w:tc>
        <w:tc>
          <w:tcPr>
            <w:tcW w:w="8095" w:type="dxa"/>
          </w:tcPr>
          <w:p w14:paraId="20091BB0" w14:textId="6F4B10A4" w:rsidR="005E7231" w:rsidRDefault="005E7231" w:rsidP="0022256E">
            <w:pPr>
              <w:jc w:val="both"/>
            </w:pPr>
            <w:r>
              <w:t>Solar PV company donated PV equipment to some projects</w:t>
            </w:r>
            <w:r w:rsidR="00B31AA6">
              <w:t>.</w:t>
            </w:r>
          </w:p>
        </w:tc>
      </w:tr>
      <w:tr w:rsidR="005E7231" w14:paraId="23A4900B" w14:textId="77777777" w:rsidTr="00E45720">
        <w:tc>
          <w:tcPr>
            <w:tcW w:w="1255" w:type="dxa"/>
            <w:shd w:val="clear" w:color="auto" w:fill="D9D9D9" w:themeFill="background1" w:themeFillShade="D9"/>
          </w:tcPr>
          <w:p w14:paraId="4D54EA3A" w14:textId="5271B12B" w:rsidR="005E7231" w:rsidRDefault="005E7231" w:rsidP="0022256E">
            <w:pPr>
              <w:jc w:val="both"/>
            </w:pPr>
            <w:r>
              <w:t>Ghana</w:t>
            </w:r>
          </w:p>
        </w:tc>
        <w:tc>
          <w:tcPr>
            <w:tcW w:w="8095" w:type="dxa"/>
          </w:tcPr>
          <w:p w14:paraId="4DAA91B4" w14:textId="45FE886A" w:rsidR="005E7231" w:rsidRDefault="005E7231" w:rsidP="0022256E">
            <w:pPr>
              <w:jc w:val="both"/>
            </w:pPr>
            <w:r w:rsidRPr="005E7231">
              <w:t xml:space="preserve">2 strong examples of private sector partnerships involving </w:t>
            </w:r>
            <w:r>
              <w:t>s</w:t>
            </w:r>
            <w:r w:rsidRPr="005E7231">
              <w:t>hea butter processing - specifically focused on women empowerment, access to markets, fair trade certification, improving processing et</w:t>
            </w:r>
            <w:r w:rsidR="00B31AA6">
              <w:t>c.</w:t>
            </w:r>
          </w:p>
        </w:tc>
      </w:tr>
      <w:tr w:rsidR="005E7231" w14:paraId="3918EF89" w14:textId="77777777" w:rsidTr="00E45720">
        <w:tc>
          <w:tcPr>
            <w:tcW w:w="1255" w:type="dxa"/>
            <w:shd w:val="clear" w:color="auto" w:fill="D9D9D9" w:themeFill="background1" w:themeFillShade="D9"/>
          </w:tcPr>
          <w:p w14:paraId="7B36ADD0" w14:textId="1740774B" w:rsidR="005E7231" w:rsidRDefault="005E7231" w:rsidP="0022256E">
            <w:pPr>
              <w:jc w:val="both"/>
            </w:pPr>
            <w:r>
              <w:t>Armenia</w:t>
            </w:r>
          </w:p>
        </w:tc>
        <w:tc>
          <w:tcPr>
            <w:tcW w:w="8095" w:type="dxa"/>
          </w:tcPr>
          <w:p w14:paraId="7BB71120" w14:textId="3D91069C" w:rsidR="005E7231" w:rsidRDefault="005E7231" w:rsidP="0022256E">
            <w:pPr>
              <w:jc w:val="both"/>
            </w:pPr>
            <w:r w:rsidRPr="005E7231">
              <w:t xml:space="preserve">Partnership was </w:t>
            </w:r>
            <w:r>
              <w:t>established</w:t>
            </w:r>
            <w:r w:rsidRPr="005E7231">
              <w:t xml:space="preserve"> through cooperation</w:t>
            </w:r>
            <w:r>
              <w:t xml:space="preserve"> and</w:t>
            </w:r>
            <w:r w:rsidRPr="005E7231">
              <w:t xml:space="preserve"> agreement of UNDP CO and Coca Cola Foundation in Armenia. </w:t>
            </w:r>
            <w:r w:rsidR="0022256E">
              <w:t>USD</w:t>
            </w:r>
            <w:r w:rsidRPr="005E7231">
              <w:t xml:space="preserve"> cash provided</w:t>
            </w:r>
            <w:r>
              <w:t>. Another p</w:t>
            </w:r>
            <w:r w:rsidRPr="005E7231">
              <w:t xml:space="preserve">artnership </w:t>
            </w:r>
            <w:r>
              <w:t xml:space="preserve">was established </w:t>
            </w:r>
            <w:r w:rsidRPr="005E7231">
              <w:t xml:space="preserve">with </w:t>
            </w:r>
            <w:r>
              <w:t xml:space="preserve">the </w:t>
            </w:r>
            <w:r w:rsidRPr="005E7231">
              <w:t>Global Credit Universal Credit Organization to scale up waste collection project</w:t>
            </w:r>
            <w:r>
              <w:t>.</w:t>
            </w:r>
          </w:p>
        </w:tc>
      </w:tr>
      <w:tr w:rsidR="005E7231" w14:paraId="521B487D" w14:textId="77777777" w:rsidTr="00E45720">
        <w:tc>
          <w:tcPr>
            <w:tcW w:w="1255" w:type="dxa"/>
            <w:shd w:val="clear" w:color="auto" w:fill="D9D9D9" w:themeFill="background1" w:themeFillShade="D9"/>
          </w:tcPr>
          <w:p w14:paraId="0CAA3ECD" w14:textId="10C94A2C" w:rsidR="005E7231" w:rsidRDefault="005E7231" w:rsidP="0022256E">
            <w:pPr>
              <w:jc w:val="both"/>
            </w:pPr>
            <w:r>
              <w:t>Morocco</w:t>
            </w:r>
          </w:p>
        </w:tc>
        <w:tc>
          <w:tcPr>
            <w:tcW w:w="8095" w:type="dxa"/>
          </w:tcPr>
          <w:p w14:paraId="7A3804C1" w14:textId="09EF4E59" w:rsidR="005E7231" w:rsidRDefault="005E7231" w:rsidP="0022256E">
            <w:pPr>
              <w:jc w:val="both"/>
            </w:pPr>
            <w:r w:rsidRPr="005E7231">
              <w:t>Morocco Agricultural Credit Foundation for Sustainable Development provided cash funding, training on good agriculture</w:t>
            </w:r>
            <w:r>
              <w:t xml:space="preserve"> practices</w:t>
            </w:r>
            <w:r w:rsidRPr="005E7231">
              <w:t>, eco certification and access to markets</w:t>
            </w:r>
            <w:r>
              <w:t xml:space="preserve"> for grantees.</w:t>
            </w:r>
          </w:p>
        </w:tc>
      </w:tr>
      <w:tr w:rsidR="005E7231" w14:paraId="58332E98" w14:textId="77777777" w:rsidTr="00E45720">
        <w:tc>
          <w:tcPr>
            <w:tcW w:w="1255" w:type="dxa"/>
            <w:shd w:val="clear" w:color="auto" w:fill="D9D9D9" w:themeFill="background1" w:themeFillShade="D9"/>
          </w:tcPr>
          <w:p w14:paraId="7BB8BE4B" w14:textId="230E5ECB" w:rsidR="005E7231" w:rsidRDefault="005E7231" w:rsidP="0022256E">
            <w:pPr>
              <w:jc w:val="both"/>
            </w:pPr>
            <w:r>
              <w:t>Lesotho</w:t>
            </w:r>
          </w:p>
        </w:tc>
        <w:tc>
          <w:tcPr>
            <w:tcW w:w="8095" w:type="dxa"/>
          </w:tcPr>
          <w:p w14:paraId="7969501C" w14:textId="00DE6811" w:rsidR="005E7231" w:rsidRDefault="005E7231" w:rsidP="0022256E">
            <w:pPr>
              <w:jc w:val="both"/>
            </w:pPr>
            <w:r>
              <w:t>Private sector</w:t>
            </w:r>
            <w:r w:rsidRPr="005E7231">
              <w:t xml:space="preserve"> provided cash and technical support to help scale up a</w:t>
            </w:r>
            <w:r>
              <w:t>n SGP</w:t>
            </w:r>
            <w:r w:rsidRPr="005E7231">
              <w:t xml:space="preserve"> dairy project</w:t>
            </w:r>
            <w:r w:rsidR="00B31AA6">
              <w:t>.</w:t>
            </w:r>
          </w:p>
        </w:tc>
      </w:tr>
      <w:tr w:rsidR="005E7231" w14:paraId="57BC3BD6" w14:textId="77777777" w:rsidTr="00E45720">
        <w:tc>
          <w:tcPr>
            <w:tcW w:w="1255" w:type="dxa"/>
            <w:shd w:val="clear" w:color="auto" w:fill="D9D9D9" w:themeFill="background1" w:themeFillShade="D9"/>
          </w:tcPr>
          <w:p w14:paraId="3E8F50C4" w14:textId="2FC65CA5" w:rsidR="005E7231" w:rsidRDefault="005E7231" w:rsidP="0022256E">
            <w:pPr>
              <w:jc w:val="both"/>
            </w:pPr>
            <w:r>
              <w:t>Vietnam</w:t>
            </w:r>
          </w:p>
        </w:tc>
        <w:tc>
          <w:tcPr>
            <w:tcW w:w="8095" w:type="dxa"/>
          </w:tcPr>
          <w:p w14:paraId="1B1A36FD" w14:textId="50C41E47" w:rsidR="005E7231" w:rsidRDefault="005E7231" w:rsidP="0022256E">
            <w:pPr>
              <w:jc w:val="both"/>
            </w:pPr>
            <w:r>
              <w:t>V</w:t>
            </w:r>
            <w:r w:rsidRPr="005E7231">
              <w:t xml:space="preserve">arious engagements with </w:t>
            </w:r>
            <w:r>
              <w:t>private sector- cash, technical assistance, and capacity development</w:t>
            </w:r>
            <w:r w:rsidRPr="005E7231">
              <w:t>- on medicinal plants, cassava production, LED lights</w:t>
            </w:r>
            <w:r w:rsidR="00B31AA6">
              <w:t>.</w:t>
            </w:r>
          </w:p>
        </w:tc>
      </w:tr>
      <w:tr w:rsidR="005E7231" w14:paraId="24C09345" w14:textId="77777777" w:rsidTr="00E45720">
        <w:tc>
          <w:tcPr>
            <w:tcW w:w="1255" w:type="dxa"/>
            <w:shd w:val="clear" w:color="auto" w:fill="D9D9D9" w:themeFill="background1" w:themeFillShade="D9"/>
          </w:tcPr>
          <w:p w14:paraId="440B4973" w14:textId="734C7A89" w:rsidR="005E7231" w:rsidRDefault="005E7231" w:rsidP="0022256E">
            <w:pPr>
              <w:jc w:val="both"/>
            </w:pPr>
            <w:r>
              <w:t>Belarus</w:t>
            </w:r>
          </w:p>
        </w:tc>
        <w:tc>
          <w:tcPr>
            <w:tcW w:w="8095" w:type="dxa"/>
          </w:tcPr>
          <w:p w14:paraId="000D9959" w14:textId="4FEFB471" w:rsidR="005E7231" w:rsidRDefault="005E7231" w:rsidP="0022256E">
            <w:pPr>
              <w:jc w:val="both"/>
            </w:pPr>
            <w:r w:rsidRPr="005E7231">
              <w:t>23 initiatives were developed and supported with the help of private sector (technical assistance, capacity development, policy dialogue). Established partnerships allowe</w:t>
            </w:r>
            <w:r>
              <w:t>d</w:t>
            </w:r>
            <w:r w:rsidRPr="005E7231">
              <w:t xml:space="preserve"> develop</w:t>
            </w:r>
            <w:r>
              <w:t>ment</w:t>
            </w:r>
            <w:r w:rsidRPr="005E7231">
              <w:t xml:space="preserve"> and test</w:t>
            </w:r>
            <w:r>
              <w:t>ing</w:t>
            </w:r>
            <w:r w:rsidRPr="005E7231">
              <w:t xml:space="preserve"> </w:t>
            </w:r>
            <w:r>
              <w:t xml:space="preserve">of </w:t>
            </w:r>
            <w:r w:rsidRPr="005E7231">
              <w:t xml:space="preserve">mechanism for the collection, preparation, transboundary </w:t>
            </w:r>
            <w:proofErr w:type="gramStart"/>
            <w:r w:rsidRPr="005E7231">
              <w:t>transportation</w:t>
            </w:r>
            <w:proofErr w:type="gramEnd"/>
            <w:r w:rsidRPr="005E7231">
              <w:t xml:space="preserve"> and destruction of POPs - containing wastes outside Belarus. Partnership between more than 16 private and state enterprises together with NGOs/CBOs was created</w:t>
            </w:r>
            <w:r>
              <w:t>.</w:t>
            </w:r>
          </w:p>
        </w:tc>
      </w:tr>
      <w:tr w:rsidR="005E7231" w14:paraId="1B943200" w14:textId="77777777" w:rsidTr="00E45720">
        <w:tc>
          <w:tcPr>
            <w:tcW w:w="1255" w:type="dxa"/>
            <w:shd w:val="clear" w:color="auto" w:fill="D9D9D9" w:themeFill="background1" w:themeFillShade="D9"/>
          </w:tcPr>
          <w:p w14:paraId="10648ED3" w14:textId="19C87B51" w:rsidR="005E7231" w:rsidRDefault="0022256E" w:rsidP="0022256E">
            <w:pPr>
              <w:jc w:val="both"/>
            </w:pPr>
            <w:r>
              <w:t>Kenya</w:t>
            </w:r>
          </w:p>
        </w:tc>
        <w:tc>
          <w:tcPr>
            <w:tcW w:w="8095" w:type="dxa"/>
          </w:tcPr>
          <w:p w14:paraId="7CC7E474" w14:textId="72180B71" w:rsidR="005E7231" w:rsidRDefault="0022256E" w:rsidP="0022256E">
            <w:pPr>
              <w:jc w:val="both"/>
            </w:pPr>
            <w:r>
              <w:t>A</w:t>
            </w:r>
            <w:r w:rsidRPr="0022256E">
              <w:t xml:space="preserve"> private company has co-financed </w:t>
            </w:r>
            <w:r>
              <w:t>a</w:t>
            </w:r>
            <w:r w:rsidRPr="0022256E">
              <w:t xml:space="preserve"> project with USD37,628 in cash for the up-front purchase of 950 solar lamps and USD8,000 in-kind to cater for the accommodation of staff and transport of solar power lamps. The private sector has provided co-financing of USD2,000 towards training community members on the use of the water meters and </w:t>
            </w:r>
            <w:r>
              <w:t>are</w:t>
            </w:r>
            <w:r w:rsidRPr="0022256E">
              <w:t xml:space="preserve"> providing maintenance services.</w:t>
            </w:r>
          </w:p>
        </w:tc>
      </w:tr>
      <w:tr w:rsidR="005E7231" w14:paraId="1B885EC6" w14:textId="77777777" w:rsidTr="00E45720">
        <w:tc>
          <w:tcPr>
            <w:tcW w:w="1255" w:type="dxa"/>
            <w:shd w:val="clear" w:color="auto" w:fill="D9D9D9" w:themeFill="background1" w:themeFillShade="D9"/>
          </w:tcPr>
          <w:p w14:paraId="3F854CBF" w14:textId="18FE62D9" w:rsidR="005E7231" w:rsidRDefault="0022256E" w:rsidP="0022256E">
            <w:pPr>
              <w:jc w:val="both"/>
            </w:pPr>
            <w:r>
              <w:t>Dominica</w:t>
            </w:r>
          </w:p>
        </w:tc>
        <w:tc>
          <w:tcPr>
            <w:tcW w:w="8095" w:type="dxa"/>
          </w:tcPr>
          <w:p w14:paraId="5B5CDC4B" w14:textId="1FB37589" w:rsidR="0022256E" w:rsidRDefault="0022256E" w:rsidP="0022256E">
            <w:pPr>
              <w:jc w:val="both"/>
            </w:pPr>
            <w:r>
              <w:t>Partnership with the Dominica Solid Waste Management Corporation to utilize</w:t>
            </w:r>
          </w:p>
          <w:p w14:paraId="77DE0590" w14:textId="16AF990F" w:rsidR="005E7231" w:rsidRDefault="0022256E" w:rsidP="0022256E">
            <w:pPr>
              <w:jc w:val="both"/>
            </w:pPr>
            <w:r>
              <w:t xml:space="preserve">their collection trucks. The DSWMC worked with the grantees to develop schedules and strengthen the collection system for two pilot communities. Regular waste and recyclable waste are now collected by the DSWMC trucks at no cost to the project. The Corporation also supports the public education and awareness activities. </w:t>
            </w:r>
          </w:p>
        </w:tc>
      </w:tr>
      <w:tr w:rsidR="005E7231" w14:paraId="1A825C0F" w14:textId="77777777" w:rsidTr="00E45720">
        <w:tc>
          <w:tcPr>
            <w:tcW w:w="1255" w:type="dxa"/>
            <w:shd w:val="clear" w:color="auto" w:fill="D9D9D9" w:themeFill="background1" w:themeFillShade="D9"/>
          </w:tcPr>
          <w:p w14:paraId="3D892EEE" w14:textId="24153E62" w:rsidR="005E7231" w:rsidRDefault="0022256E" w:rsidP="0022256E">
            <w:pPr>
              <w:jc w:val="both"/>
            </w:pPr>
            <w:r>
              <w:t>Peru</w:t>
            </w:r>
          </w:p>
        </w:tc>
        <w:tc>
          <w:tcPr>
            <w:tcW w:w="8095" w:type="dxa"/>
          </w:tcPr>
          <w:p w14:paraId="52DA447D" w14:textId="01464E4D" w:rsidR="005E7231" w:rsidRDefault="0022256E" w:rsidP="0022256E">
            <w:pPr>
              <w:jc w:val="both"/>
            </w:pPr>
            <w:r>
              <w:t xml:space="preserve">SGP Peru established a partnership from 2005 to 2010 with </w:t>
            </w:r>
            <w:proofErr w:type="spellStart"/>
            <w:r>
              <w:t>Cementos</w:t>
            </w:r>
            <w:proofErr w:type="spellEnd"/>
            <w:r>
              <w:t xml:space="preserve"> Lima company, through its </w:t>
            </w:r>
            <w:proofErr w:type="gramStart"/>
            <w:r>
              <w:t>social</w:t>
            </w:r>
            <w:proofErr w:type="gramEnd"/>
            <w:r>
              <w:t xml:space="preserve"> responsible association- </w:t>
            </w:r>
            <w:proofErr w:type="spellStart"/>
            <w:r>
              <w:t>Atocongo</w:t>
            </w:r>
            <w:proofErr w:type="spellEnd"/>
            <w:r>
              <w:t xml:space="preserve">. The partnership allowed 1:1 in cash parallel funding with SGP, levering more than USD500,000 from the private sector. The objective was to strengthen local capacities to develop urban agriculture as ecological integral farms, supporting food security of vulnerable sectors, bio-gardens, and commercial articulation of products and services with tourists and by participating in fairs. This took place in a "Lomas" </w:t>
            </w:r>
            <w:proofErr w:type="gramStart"/>
            <w:r>
              <w:t>ecosystem,</w:t>
            </w:r>
            <w:proofErr w:type="gramEnd"/>
            <w:r>
              <w:t xml:space="preserve"> therefore fog catchers were installed to obtain water for agriculture. The local capacities installed by this group of projects helped to acknowledge the importance of the Lomas ecosystem by the citizens and to generate ideas for designing a</w:t>
            </w:r>
            <w:r w:rsidR="00E45720">
              <w:t xml:space="preserve"> </w:t>
            </w:r>
            <w:r>
              <w:t>UNDP GEF 6 project which has been instrumental for the declaration of a Regional Conservation Area that protects the Lomas 10 years after.</w:t>
            </w:r>
          </w:p>
        </w:tc>
      </w:tr>
    </w:tbl>
    <w:p w14:paraId="3E5D62F3" w14:textId="77777777" w:rsidR="005E7231" w:rsidRPr="000951F6" w:rsidRDefault="005E7231" w:rsidP="0022256E">
      <w:pPr>
        <w:jc w:val="both"/>
      </w:pPr>
    </w:p>
    <w:p w14:paraId="71C2C0A6" w14:textId="48011C62" w:rsidR="00FC36A3" w:rsidRDefault="0022256E" w:rsidP="0022256E">
      <w:pPr>
        <w:pStyle w:val="Heading2"/>
      </w:pPr>
      <w:r>
        <w:t>Additional Resources:</w:t>
      </w:r>
    </w:p>
    <w:p w14:paraId="104E5335" w14:textId="474B3F73" w:rsidR="0022256E" w:rsidRDefault="0022256E" w:rsidP="0022256E">
      <w:pPr>
        <w:pStyle w:val="ListParagraph"/>
        <w:numPr>
          <w:ilvl w:val="0"/>
          <w:numId w:val="5"/>
        </w:numPr>
      </w:pPr>
      <w:r>
        <w:t>GEF</w:t>
      </w:r>
      <w:r w:rsidR="00954CC2">
        <w:t xml:space="preserve"> Private Sector Engagement Strategy (2020) </w:t>
      </w:r>
      <w:r>
        <w:t xml:space="preserve"> - </w:t>
      </w:r>
      <w:hyperlink r:id="rId8" w:history="1">
        <w:r>
          <w:rPr>
            <w:rStyle w:val="Hyperlink"/>
          </w:rPr>
          <w:t>https://www.thegef.org/sites/default/files/council-meeting-documents/EN_GEF.C.59.07.Rev_.01_GEFs%20Private%20Sector%20Engagement%20Strategy_.pdf</w:t>
        </w:r>
      </w:hyperlink>
      <w:r w:rsidR="00413D49">
        <w:t xml:space="preserve"> </w:t>
      </w:r>
      <w:r>
        <w:t>(section 5 is particularly relevant with IPs, CSOs, etc link)</w:t>
      </w:r>
    </w:p>
    <w:p w14:paraId="0E56A72A" w14:textId="586B5F45" w:rsidR="0022256E" w:rsidRDefault="0022256E" w:rsidP="0022256E">
      <w:pPr>
        <w:pStyle w:val="ListParagraph"/>
        <w:numPr>
          <w:ilvl w:val="0"/>
          <w:numId w:val="5"/>
        </w:numPr>
      </w:pPr>
      <w:r>
        <w:t xml:space="preserve">UNDP </w:t>
      </w:r>
      <w:r w:rsidR="00954CC2">
        <w:t xml:space="preserve">Private Sector Strategy (2018-2022) </w:t>
      </w:r>
      <w:r>
        <w:t xml:space="preserve">- </w:t>
      </w:r>
      <w:hyperlink r:id="rId9" w:history="1">
        <w:r>
          <w:rPr>
            <w:rStyle w:val="Hyperlink"/>
          </w:rPr>
          <w:t>https://www.undp.org/content/undp/en/home/librarypage/poverty-reduction/private_sector/undp-private-sector-strategy-2018-2022.html</w:t>
        </w:r>
      </w:hyperlink>
    </w:p>
    <w:p w14:paraId="6DAAB789" w14:textId="77777777" w:rsidR="0022256E" w:rsidRDefault="0022256E" w:rsidP="0022256E">
      <w:pPr>
        <w:jc w:val="both"/>
      </w:pPr>
    </w:p>
    <w:sectPr w:rsidR="0022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AA9"/>
    <w:multiLevelType w:val="hybridMultilevel"/>
    <w:tmpl w:val="F0F20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557C4"/>
    <w:multiLevelType w:val="hybridMultilevel"/>
    <w:tmpl w:val="65A4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91005"/>
    <w:multiLevelType w:val="hybridMultilevel"/>
    <w:tmpl w:val="8FDA2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E015E"/>
    <w:multiLevelType w:val="hybridMultilevel"/>
    <w:tmpl w:val="460C8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357AB"/>
    <w:multiLevelType w:val="hybridMultilevel"/>
    <w:tmpl w:val="FDB4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D3AB0"/>
    <w:multiLevelType w:val="hybridMultilevel"/>
    <w:tmpl w:val="49164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2B"/>
    <w:rsid w:val="00012F68"/>
    <w:rsid w:val="00043C20"/>
    <w:rsid w:val="000951F6"/>
    <w:rsid w:val="000A5F5A"/>
    <w:rsid w:val="000A6BE4"/>
    <w:rsid w:val="000C1530"/>
    <w:rsid w:val="000F79AD"/>
    <w:rsid w:val="00177A76"/>
    <w:rsid w:val="0022256E"/>
    <w:rsid w:val="00231BB2"/>
    <w:rsid w:val="00266666"/>
    <w:rsid w:val="002F76C1"/>
    <w:rsid w:val="00322DA3"/>
    <w:rsid w:val="003F08B1"/>
    <w:rsid w:val="00413D49"/>
    <w:rsid w:val="004F165E"/>
    <w:rsid w:val="005E7231"/>
    <w:rsid w:val="006B7375"/>
    <w:rsid w:val="00794848"/>
    <w:rsid w:val="008120E8"/>
    <w:rsid w:val="00906383"/>
    <w:rsid w:val="00912B07"/>
    <w:rsid w:val="00954CC2"/>
    <w:rsid w:val="00A06CDA"/>
    <w:rsid w:val="00B31AA6"/>
    <w:rsid w:val="00CB1ADB"/>
    <w:rsid w:val="00CF0BF4"/>
    <w:rsid w:val="00D074DE"/>
    <w:rsid w:val="00D31DFF"/>
    <w:rsid w:val="00D45AAD"/>
    <w:rsid w:val="00D81D9D"/>
    <w:rsid w:val="00E45720"/>
    <w:rsid w:val="00E9513D"/>
    <w:rsid w:val="00ED232B"/>
    <w:rsid w:val="00EF53EF"/>
    <w:rsid w:val="00F454C0"/>
    <w:rsid w:val="00F7660A"/>
    <w:rsid w:val="00FA272A"/>
    <w:rsid w:val="00FA5A7B"/>
    <w:rsid w:val="00FC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B60B"/>
  <w15:chartTrackingRefBased/>
  <w15:docId w15:val="{DB4D829A-9039-4421-AEA4-55F45A98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B7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37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81D9D"/>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CB1ADB"/>
    <w:pPr>
      <w:ind w:left="720"/>
      <w:contextualSpacing/>
    </w:pPr>
  </w:style>
  <w:style w:type="paragraph" w:styleId="BalloonText">
    <w:name w:val="Balloon Text"/>
    <w:basedOn w:val="Normal"/>
    <w:link w:val="BalloonTextChar"/>
    <w:uiPriority w:val="99"/>
    <w:semiHidden/>
    <w:unhideWhenUsed/>
    <w:rsid w:val="00912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B07"/>
    <w:rPr>
      <w:rFonts w:ascii="Segoe UI" w:hAnsi="Segoe UI" w:cs="Segoe UI"/>
      <w:sz w:val="18"/>
      <w:szCs w:val="18"/>
      <w:lang w:val="en-GB"/>
    </w:rPr>
  </w:style>
  <w:style w:type="table" w:styleId="TableGrid">
    <w:name w:val="Table Grid"/>
    <w:basedOn w:val="TableNormal"/>
    <w:uiPriority w:val="39"/>
    <w:rsid w:val="0009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256E"/>
    <w:rPr>
      <w:color w:val="0563C1"/>
      <w:u w:val="single"/>
    </w:rPr>
  </w:style>
  <w:style w:type="character" w:styleId="FollowedHyperlink">
    <w:name w:val="FollowedHyperlink"/>
    <w:basedOn w:val="DefaultParagraphFont"/>
    <w:uiPriority w:val="99"/>
    <w:semiHidden/>
    <w:unhideWhenUsed/>
    <w:rsid w:val="00954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52902">
      <w:bodyDiv w:val="1"/>
      <w:marLeft w:val="0"/>
      <w:marRight w:val="0"/>
      <w:marTop w:val="0"/>
      <w:marBottom w:val="0"/>
      <w:divBdr>
        <w:top w:val="none" w:sz="0" w:space="0" w:color="auto"/>
        <w:left w:val="none" w:sz="0" w:space="0" w:color="auto"/>
        <w:bottom w:val="none" w:sz="0" w:space="0" w:color="auto"/>
        <w:right w:val="none" w:sz="0" w:space="0" w:color="auto"/>
      </w:divBdr>
    </w:div>
    <w:div w:id="4590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thegef.org%2Fsites%2Fdefault%2Ffiles%2Fcouncil-meeting-documents%2FEN_GEF.C.59.07.Rev_.01_GEFs%2520Private%2520Sector%2520Engagement%2520Strategy_.pdf&amp;data=04%7C01%7Crissa.edoo%40undp.org%7Cb986956d46474829c93608d8c16b5726%7Cb3e5db5e2944483799f57488ace54319%7C0%7C0%7C637472014052610178%7CUnknown%7CTWFpbGZsb3d8eyJWIjoiMC4wLjAwMDAiLCJQIjoiV2luMzIiLCJBTiI6Ik1haWwiLCJXVCI6Mn0%3D%7C1000&amp;sdata=a0MVa%2BYN0hVO4mSZj0h7zBqa%2B8F7oYOKGyju4l9awlQ%3D&amp;reserved=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s%3A%2F%2Fwww.undp.org%2Fcontent%2Fundp%2Fen%2Fhome%2Flibrarypage%2Fpoverty-reduction%2Fprivate_sector%2Fundp-private-sector-strategy-2018-2022.html&amp;data=04%7C01%7Crissa.edoo%40undp.org%7Cb986956d46474829c93608d8c16b5726%7Cb3e5db5e2944483799f57488ace54319%7C0%7C0%7C637472014052620177%7CUnknown%7CTWFpbGZsb3d8eyJWIjoiMC4wLjAwMDAiLCJQIjoiV2luMzIiLCJBTiI6Ik1haWwiLCJXVCI6Mn0%3D%7C1000&amp;sdata=rXnqJEKc7UV7vweFWM9x7xyjFUQJdn%2F2TTKA6dzMefk%3D&amp;reserved=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9E60180108E4288CC530D616DEA23" ma:contentTypeVersion="11" ma:contentTypeDescription="Create a new document." ma:contentTypeScope="" ma:versionID="2cbb53e81026dc1f04a6f6426bec8d4f">
  <xsd:schema xmlns:xsd="http://www.w3.org/2001/XMLSchema" xmlns:xs="http://www.w3.org/2001/XMLSchema" xmlns:p="http://schemas.microsoft.com/office/2006/metadata/properties" xmlns:ns2="c51046eb-fdbe-41e8-8460-24c14e6e94bd" xmlns:ns3="8cbab8fd-ad19-439f-a626-b07c96a07641" targetNamespace="http://schemas.microsoft.com/office/2006/metadata/properties" ma:root="true" ma:fieldsID="92761f6c85dee04bed9645713adb170c" ns2:_="" ns3:_="">
    <xsd:import namespace="c51046eb-fdbe-41e8-8460-24c14e6e94bd"/>
    <xsd:import namespace="8cbab8fd-ad19-439f-a626-b07c96a07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46eb-fdbe-41e8-8460-24c14e6e9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ab8fd-ad19-439f-a626-b07c96a076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95FDA-FAC8-4F38-81A1-8374668DB505}"/>
</file>

<file path=customXml/itemProps2.xml><?xml version="1.0" encoding="utf-8"?>
<ds:datastoreItem xmlns:ds="http://schemas.openxmlformats.org/officeDocument/2006/customXml" ds:itemID="{F7C15525-01DA-4CFE-A2E4-C509F5ED8258}"/>
</file>

<file path=customXml/itemProps3.xml><?xml version="1.0" encoding="utf-8"?>
<ds:datastoreItem xmlns:ds="http://schemas.openxmlformats.org/officeDocument/2006/customXml" ds:itemID="{20C5F2AE-CB72-4E86-9C26-9EF226E01695}"/>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 Edoo</dc:creator>
  <cp:keywords/>
  <dc:description/>
  <cp:lastModifiedBy>Radha Singla</cp:lastModifiedBy>
  <cp:revision>2</cp:revision>
  <dcterms:created xsi:type="dcterms:W3CDTF">2021-12-21T05:10:00Z</dcterms:created>
  <dcterms:modified xsi:type="dcterms:W3CDTF">2021-12-21T05:10:00Z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0x0101008349E60180108E4288CC530D616DEA23</vt:lpwstr>
  </property>
</Properties>
</file>