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14" w:rsidRDefault="00A81914" w:rsidP="00A81914">
      <w:pPr>
        <w:rPr>
          <w:rFonts w:ascii="Myriad Pro" w:hAnsi="Myriad Pro"/>
          <w:b/>
          <w:bCs/>
          <w:i/>
          <w:iCs/>
          <w:color w:val="000000" w:themeColor="text1"/>
          <w:sz w:val="22"/>
          <w:szCs w:val="22"/>
        </w:rPr>
      </w:pPr>
    </w:p>
    <w:p w:rsidR="00997785" w:rsidRPr="000252F7" w:rsidRDefault="00305168" w:rsidP="000252F7">
      <w:pPr>
        <w:jc w:val="right"/>
        <w:rPr>
          <w:rFonts w:ascii="Myriad Pro" w:hAnsi="Myriad Pro"/>
          <w:b/>
          <w:bCs/>
          <w:i/>
          <w:iCs/>
          <w:color w:val="000000" w:themeColor="text1"/>
          <w:sz w:val="22"/>
          <w:szCs w:val="22"/>
        </w:rPr>
      </w:pPr>
      <w:r w:rsidRPr="000252F7">
        <w:rPr>
          <w:rFonts w:ascii="Myriad Pro" w:hAnsi="Myriad Pro"/>
          <w:b/>
          <w:bCs/>
          <w:i/>
          <w:iCs/>
          <w:color w:val="000000" w:themeColor="text1"/>
          <w:sz w:val="22"/>
          <w:szCs w:val="22"/>
        </w:rPr>
        <w:t xml:space="preserve">Draft </w:t>
      </w:r>
      <w:r w:rsidR="000252F7">
        <w:rPr>
          <w:rFonts w:ascii="Myriad Pro" w:hAnsi="Myriad Pro"/>
          <w:b/>
          <w:bCs/>
          <w:i/>
          <w:iCs/>
          <w:color w:val="000000" w:themeColor="text1"/>
          <w:sz w:val="22"/>
          <w:szCs w:val="22"/>
        </w:rPr>
        <w:t>1 April</w:t>
      </w:r>
      <w:r w:rsidRPr="000252F7">
        <w:rPr>
          <w:rFonts w:ascii="Myriad Pro" w:hAnsi="Myriad Pro"/>
          <w:b/>
          <w:bCs/>
          <w:i/>
          <w:iCs/>
          <w:color w:val="000000" w:themeColor="text1"/>
          <w:sz w:val="22"/>
          <w:szCs w:val="22"/>
        </w:rPr>
        <w:t xml:space="preserve"> 2018</w:t>
      </w:r>
    </w:p>
    <w:p w:rsidR="00A81914" w:rsidRDefault="00A81914" w:rsidP="000252F7">
      <w:pPr>
        <w:ind w:left="360"/>
        <w:jc w:val="center"/>
        <w:rPr>
          <w:rFonts w:ascii="Myriad Pro" w:hAnsi="Myriad Pro"/>
          <w:b/>
          <w:bCs/>
          <w:sz w:val="22"/>
          <w:szCs w:val="22"/>
        </w:rPr>
      </w:pPr>
    </w:p>
    <w:p w:rsidR="00997785" w:rsidRDefault="00997785" w:rsidP="000252F7">
      <w:pPr>
        <w:ind w:left="360"/>
        <w:jc w:val="center"/>
        <w:rPr>
          <w:rFonts w:ascii="Myriad Pro" w:hAnsi="Myriad Pro"/>
          <w:b/>
          <w:bCs/>
          <w:sz w:val="22"/>
          <w:szCs w:val="22"/>
        </w:rPr>
      </w:pPr>
      <w:r w:rsidRPr="000252F7">
        <w:rPr>
          <w:rFonts w:ascii="Myriad Pro" w:hAnsi="Myriad Pro"/>
          <w:b/>
          <w:bCs/>
          <w:sz w:val="22"/>
          <w:szCs w:val="22"/>
        </w:rPr>
        <w:t>T</w:t>
      </w:r>
      <w:r w:rsidR="00A81914">
        <w:rPr>
          <w:rFonts w:ascii="Myriad Pro" w:hAnsi="Myriad Pro"/>
          <w:b/>
          <w:bCs/>
          <w:sz w:val="22"/>
          <w:szCs w:val="22"/>
        </w:rPr>
        <w:t xml:space="preserve">erms for </w:t>
      </w:r>
      <w:r w:rsidRPr="000252F7">
        <w:rPr>
          <w:rFonts w:ascii="Myriad Pro" w:hAnsi="Myriad Pro"/>
          <w:b/>
          <w:bCs/>
          <w:sz w:val="22"/>
          <w:szCs w:val="22"/>
        </w:rPr>
        <w:t>R</w:t>
      </w:r>
      <w:r w:rsidR="00A81914">
        <w:rPr>
          <w:rFonts w:ascii="Myriad Pro" w:hAnsi="Myriad Pro"/>
          <w:b/>
          <w:bCs/>
          <w:sz w:val="22"/>
          <w:szCs w:val="22"/>
        </w:rPr>
        <w:t>eference</w:t>
      </w:r>
      <w:r w:rsidRPr="000252F7">
        <w:rPr>
          <w:rFonts w:ascii="Myriad Pro" w:hAnsi="Myriad Pro"/>
          <w:b/>
          <w:bCs/>
          <w:sz w:val="22"/>
          <w:szCs w:val="22"/>
        </w:rPr>
        <w:t xml:space="preserve"> </w:t>
      </w:r>
      <w:r w:rsidR="00331129" w:rsidRPr="000252F7">
        <w:rPr>
          <w:rFonts w:ascii="Myriad Pro" w:hAnsi="Myriad Pro"/>
          <w:b/>
          <w:bCs/>
          <w:sz w:val="22"/>
          <w:szCs w:val="22"/>
        </w:rPr>
        <w:t>for Thematic</w:t>
      </w:r>
      <w:r w:rsidRPr="000252F7">
        <w:rPr>
          <w:rFonts w:ascii="Myriad Pro" w:hAnsi="Myriad Pro"/>
          <w:b/>
          <w:bCs/>
          <w:sz w:val="22"/>
          <w:szCs w:val="22"/>
        </w:rPr>
        <w:t xml:space="preserve"> Group (TG)</w:t>
      </w:r>
    </w:p>
    <w:p w:rsidR="000252F7" w:rsidRPr="000252F7" w:rsidRDefault="000252F7" w:rsidP="000252F7">
      <w:pPr>
        <w:ind w:left="360"/>
        <w:jc w:val="center"/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Education Sector in East Jerusalem</w:t>
      </w:r>
    </w:p>
    <w:p w:rsidR="00997785" w:rsidRPr="000252F7" w:rsidRDefault="00997785" w:rsidP="00A1750F">
      <w:pPr>
        <w:rPr>
          <w:rFonts w:ascii="Myriad Pro" w:hAnsi="Myriad Pro"/>
          <w:b/>
          <w:bCs/>
          <w:sz w:val="22"/>
          <w:szCs w:val="22"/>
        </w:rPr>
      </w:pPr>
    </w:p>
    <w:p w:rsidR="00997785" w:rsidRPr="000252F7" w:rsidRDefault="00997785" w:rsidP="00AE6B76">
      <w:pPr>
        <w:jc w:val="both"/>
        <w:rPr>
          <w:rFonts w:ascii="Myriad Pro" w:hAnsi="Myriad Pro"/>
          <w:sz w:val="22"/>
          <w:szCs w:val="22"/>
        </w:rPr>
      </w:pPr>
    </w:p>
    <w:p w:rsidR="00997785" w:rsidRPr="000252F7" w:rsidRDefault="00997785" w:rsidP="00E06CC9">
      <w:pPr>
        <w:autoSpaceDE w:val="0"/>
        <w:autoSpaceDN w:val="0"/>
        <w:adjustRightInd w:val="0"/>
        <w:jc w:val="both"/>
        <w:rPr>
          <w:rFonts w:ascii="Myriad Pro" w:hAnsi="Myriad Pro"/>
          <w:b/>
          <w:iCs/>
          <w:color w:val="FF0000"/>
          <w:sz w:val="22"/>
          <w:szCs w:val="22"/>
        </w:rPr>
      </w:pPr>
    </w:p>
    <w:p w:rsidR="00997785" w:rsidRPr="000252F7" w:rsidRDefault="00997785" w:rsidP="00E06CC9">
      <w:pPr>
        <w:autoSpaceDE w:val="0"/>
        <w:autoSpaceDN w:val="0"/>
        <w:adjustRightInd w:val="0"/>
        <w:jc w:val="both"/>
        <w:rPr>
          <w:rFonts w:ascii="Myriad Pro" w:hAnsi="Myriad Pro"/>
          <w:b/>
          <w:iCs/>
          <w:sz w:val="22"/>
          <w:szCs w:val="22"/>
        </w:rPr>
      </w:pPr>
      <w:r w:rsidRPr="000252F7">
        <w:rPr>
          <w:rFonts w:ascii="Myriad Pro" w:hAnsi="Myriad Pro"/>
          <w:b/>
          <w:iCs/>
          <w:sz w:val="22"/>
          <w:szCs w:val="22"/>
        </w:rPr>
        <w:t>Purpose:</w:t>
      </w:r>
    </w:p>
    <w:p w:rsidR="000252F7" w:rsidRDefault="000252F7" w:rsidP="00BF25C5">
      <w:pPr>
        <w:jc w:val="both"/>
        <w:rPr>
          <w:rFonts w:ascii="Myriad Pro" w:hAnsi="Myriad Pro"/>
          <w:b/>
          <w:iCs/>
          <w:sz w:val="22"/>
          <w:szCs w:val="22"/>
        </w:rPr>
      </w:pPr>
    </w:p>
    <w:p w:rsidR="0055676E" w:rsidRDefault="000252F7" w:rsidP="00CD00C2">
      <w:pPr>
        <w:jc w:val="both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Education in East Jerusalem </w:t>
      </w:r>
      <w:r w:rsidR="00997785" w:rsidRPr="000252F7">
        <w:rPr>
          <w:rFonts w:ascii="Myriad Pro" w:hAnsi="Myriad Pro"/>
          <w:sz w:val="22"/>
          <w:szCs w:val="22"/>
        </w:rPr>
        <w:t xml:space="preserve">Thematic group </w:t>
      </w:r>
      <w:r>
        <w:rPr>
          <w:rFonts w:ascii="Myriad Pro" w:hAnsi="Myriad Pro"/>
          <w:sz w:val="22"/>
          <w:szCs w:val="22"/>
        </w:rPr>
        <w:t>(</w:t>
      </w:r>
      <w:r w:rsidR="0055676E">
        <w:rPr>
          <w:rFonts w:ascii="Myriad Pro" w:hAnsi="Myriad Pro"/>
          <w:sz w:val="22"/>
          <w:szCs w:val="22"/>
        </w:rPr>
        <w:t>EEJ</w:t>
      </w:r>
      <w:r>
        <w:rPr>
          <w:rFonts w:ascii="Myriad Pro" w:hAnsi="Myriad Pro"/>
          <w:sz w:val="22"/>
          <w:szCs w:val="22"/>
        </w:rPr>
        <w:t>TG</w:t>
      </w:r>
      <w:r w:rsidR="00392EAB" w:rsidRPr="000252F7">
        <w:rPr>
          <w:rFonts w:ascii="Myriad Pro" w:hAnsi="Myriad Pro"/>
          <w:sz w:val="22"/>
          <w:szCs w:val="22"/>
        </w:rPr>
        <w:t>)</w:t>
      </w:r>
      <w:r>
        <w:rPr>
          <w:rFonts w:ascii="Myriad Pro" w:hAnsi="Myriad Pro"/>
          <w:sz w:val="22"/>
          <w:szCs w:val="22"/>
        </w:rPr>
        <w:t xml:space="preserve"> </w:t>
      </w:r>
      <w:r w:rsidR="004A33C5" w:rsidRPr="000252F7">
        <w:rPr>
          <w:rFonts w:ascii="Myriad Pro" w:hAnsi="Myriad Pro"/>
          <w:sz w:val="22"/>
          <w:szCs w:val="22"/>
        </w:rPr>
        <w:t>will be</w:t>
      </w:r>
      <w:r w:rsidR="00997785" w:rsidRPr="000252F7">
        <w:rPr>
          <w:rFonts w:ascii="Myriad Pro" w:hAnsi="Myriad Pro"/>
          <w:sz w:val="22"/>
          <w:szCs w:val="22"/>
        </w:rPr>
        <w:t xml:space="preserve"> established based </w:t>
      </w:r>
      <w:r w:rsidR="004A33C5" w:rsidRPr="000252F7">
        <w:rPr>
          <w:rFonts w:ascii="Myriad Pro" w:hAnsi="Myriad Pro"/>
          <w:sz w:val="22"/>
          <w:szCs w:val="22"/>
        </w:rPr>
        <w:t>on the decision of the</w:t>
      </w:r>
      <w:r w:rsidR="00BF25C5" w:rsidRPr="000252F7">
        <w:rPr>
          <w:rFonts w:ascii="Myriad Pro" w:hAnsi="Myriad Pro"/>
          <w:sz w:val="22"/>
          <w:szCs w:val="22"/>
        </w:rPr>
        <w:t xml:space="preserve"> </w:t>
      </w:r>
      <w:r w:rsidR="004A33C5" w:rsidRPr="000252F7">
        <w:rPr>
          <w:rFonts w:ascii="Myriad Pro" w:hAnsi="Myriad Pro"/>
          <w:sz w:val="22"/>
          <w:szCs w:val="22"/>
        </w:rPr>
        <w:t>Chair</w:t>
      </w:r>
      <w:r w:rsidR="00997785" w:rsidRPr="000252F7">
        <w:rPr>
          <w:rFonts w:ascii="Myriad Pro" w:hAnsi="Myriad Pro"/>
          <w:sz w:val="22"/>
          <w:szCs w:val="22"/>
        </w:rPr>
        <w:t xml:space="preserve"> of the</w:t>
      </w:r>
      <w:r w:rsidR="004A33C5" w:rsidRPr="000252F7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Education</w:t>
      </w:r>
      <w:r w:rsidR="004A33C5" w:rsidRPr="000252F7">
        <w:rPr>
          <w:rFonts w:ascii="Myriad Pro" w:hAnsi="Myriad Pro"/>
          <w:sz w:val="22"/>
          <w:szCs w:val="22"/>
        </w:rPr>
        <w:t xml:space="preserve"> Sector Working Group</w:t>
      </w:r>
      <w:r w:rsidR="00997785" w:rsidRPr="000252F7">
        <w:rPr>
          <w:rFonts w:ascii="Myriad Pro" w:hAnsi="Myriad Pro"/>
          <w:color w:val="000000"/>
          <w:sz w:val="22"/>
          <w:szCs w:val="22"/>
        </w:rPr>
        <w:t xml:space="preserve"> </w:t>
      </w:r>
      <w:r>
        <w:rPr>
          <w:rFonts w:ascii="Myriad Pro" w:hAnsi="Myriad Pro"/>
          <w:color w:val="000000"/>
          <w:sz w:val="22"/>
          <w:szCs w:val="22"/>
        </w:rPr>
        <w:t>( ESWG)</w:t>
      </w:r>
      <w:r w:rsidR="0055676E">
        <w:rPr>
          <w:rFonts w:ascii="Myriad Pro" w:hAnsi="Myriad Pro"/>
          <w:color w:val="000000"/>
          <w:sz w:val="22"/>
          <w:szCs w:val="22"/>
        </w:rPr>
        <w:t>,</w:t>
      </w:r>
      <w:r>
        <w:rPr>
          <w:rFonts w:ascii="Myriad Pro" w:hAnsi="Myriad Pro"/>
          <w:color w:val="000000"/>
          <w:sz w:val="22"/>
          <w:szCs w:val="22"/>
        </w:rPr>
        <w:t xml:space="preserve"> </w:t>
      </w:r>
      <w:r w:rsidR="00997785" w:rsidRPr="000252F7">
        <w:rPr>
          <w:rFonts w:ascii="Myriad Pro" w:hAnsi="Myriad Pro"/>
          <w:color w:val="000000"/>
          <w:sz w:val="22"/>
          <w:szCs w:val="22"/>
        </w:rPr>
        <w:t xml:space="preserve">for the purpose of </w:t>
      </w:r>
      <w:r w:rsidR="00392EAB" w:rsidRPr="000252F7">
        <w:rPr>
          <w:rFonts w:ascii="Myriad Pro" w:hAnsi="Myriad Pro"/>
          <w:color w:val="000000"/>
          <w:sz w:val="22"/>
          <w:szCs w:val="22"/>
        </w:rPr>
        <w:t xml:space="preserve">enhancing policy dialogue, </w:t>
      </w:r>
      <w:r w:rsidR="00997785" w:rsidRPr="000252F7">
        <w:rPr>
          <w:rFonts w:ascii="Myriad Pro" w:hAnsi="Myriad Pro"/>
          <w:color w:val="000000"/>
          <w:sz w:val="22"/>
          <w:szCs w:val="22"/>
        </w:rPr>
        <w:t xml:space="preserve">improving </w:t>
      </w:r>
      <w:r w:rsidR="00997785" w:rsidRPr="000252F7">
        <w:rPr>
          <w:rFonts w:ascii="Myriad Pro" w:hAnsi="Myriad Pro"/>
          <w:sz w:val="22"/>
          <w:szCs w:val="22"/>
        </w:rPr>
        <w:t>coordination and harmonization</w:t>
      </w:r>
      <w:r>
        <w:rPr>
          <w:rFonts w:ascii="Myriad Pro" w:hAnsi="Myriad Pro"/>
          <w:sz w:val="22"/>
          <w:szCs w:val="22"/>
        </w:rPr>
        <w:t xml:space="preserve"> efforts between the Government of State of Palestine</w:t>
      </w:r>
      <w:r w:rsidR="00997785" w:rsidRPr="000252F7">
        <w:rPr>
          <w:rFonts w:ascii="Myriad Pro" w:hAnsi="Myriad Pro"/>
          <w:sz w:val="22"/>
          <w:szCs w:val="22"/>
        </w:rPr>
        <w:t xml:space="preserve">, </w:t>
      </w:r>
      <w:r>
        <w:rPr>
          <w:rFonts w:ascii="Myriad Pro" w:hAnsi="Myriad Pro"/>
          <w:sz w:val="22"/>
          <w:szCs w:val="22"/>
        </w:rPr>
        <w:t xml:space="preserve">Awqaf General Department, </w:t>
      </w:r>
      <w:r w:rsidR="00392EAB" w:rsidRPr="000252F7">
        <w:rPr>
          <w:rFonts w:ascii="Myriad Pro" w:hAnsi="Myriad Pro"/>
          <w:sz w:val="22"/>
          <w:szCs w:val="22"/>
        </w:rPr>
        <w:t>civil society</w:t>
      </w:r>
      <w:r>
        <w:rPr>
          <w:rFonts w:ascii="Myriad Pro" w:hAnsi="Myriad Pro"/>
          <w:sz w:val="22"/>
          <w:szCs w:val="22"/>
        </w:rPr>
        <w:t xml:space="preserve">, active implementation </w:t>
      </w:r>
      <w:r w:rsidR="00CD00C2">
        <w:rPr>
          <w:rFonts w:ascii="Myriad Pro" w:hAnsi="Myriad Pro"/>
          <w:sz w:val="22"/>
          <w:szCs w:val="22"/>
        </w:rPr>
        <w:t>institutions</w:t>
      </w:r>
      <w:r>
        <w:rPr>
          <w:rFonts w:ascii="Myriad Pro" w:hAnsi="Myriad Pro"/>
          <w:sz w:val="22"/>
          <w:szCs w:val="22"/>
        </w:rPr>
        <w:t>, private sector</w:t>
      </w:r>
      <w:r w:rsidR="00CD00C2">
        <w:rPr>
          <w:rFonts w:ascii="Myriad Pro" w:hAnsi="Myriad Pro"/>
          <w:sz w:val="22"/>
          <w:szCs w:val="22"/>
        </w:rPr>
        <w:t xml:space="preserve"> (schools)</w:t>
      </w:r>
      <w:r w:rsidR="00997785" w:rsidRPr="000252F7">
        <w:rPr>
          <w:rFonts w:ascii="Myriad Pro" w:hAnsi="Myriad Pro"/>
          <w:sz w:val="22"/>
          <w:szCs w:val="22"/>
        </w:rPr>
        <w:t xml:space="preserve"> and international development partners</w:t>
      </w:r>
      <w:r>
        <w:rPr>
          <w:rFonts w:ascii="Myriad Pro" w:hAnsi="Myriad Pro"/>
          <w:sz w:val="22"/>
          <w:szCs w:val="22"/>
        </w:rPr>
        <w:t>, notably,</w:t>
      </w:r>
      <w:r w:rsidR="00997785" w:rsidRPr="000252F7">
        <w:rPr>
          <w:rFonts w:ascii="Myriad Pro" w:hAnsi="Myriad Pro"/>
          <w:sz w:val="22"/>
          <w:szCs w:val="22"/>
        </w:rPr>
        <w:t xml:space="preserve"> in relation to the</w:t>
      </w:r>
      <w:r w:rsidR="00997785" w:rsidRPr="000252F7">
        <w:rPr>
          <w:rFonts w:ascii="Myriad Pro" w:hAnsi="Myriad Pro"/>
          <w:color w:val="000000"/>
          <w:sz w:val="22"/>
          <w:szCs w:val="22"/>
        </w:rPr>
        <w:t xml:space="preserve"> development and implementation of the </w:t>
      </w:r>
      <w:r>
        <w:rPr>
          <w:rFonts w:ascii="Myriad Pro" w:hAnsi="Myriad Pro"/>
          <w:color w:val="000000"/>
          <w:sz w:val="22"/>
          <w:szCs w:val="22"/>
        </w:rPr>
        <w:t xml:space="preserve">Education </w:t>
      </w:r>
      <w:r w:rsidR="004A33C5" w:rsidRPr="000252F7">
        <w:rPr>
          <w:rFonts w:ascii="Myriad Pro" w:hAnsi="Myriad Pro"/>
          <w:color w:val="000000"/>
          <w:sz w:val="22"/>
          <w:szCs w:val="22"/>
        </w:rPr>
        <w:t>Sector Stra</w:t>
      </w:r>
      <w:r w:rsidR="00392EAB" w:rsidRPr="000252F7">
        <w:rPr>
          <w:rFonts w:ascii="Myriad Pro" w:hAnsi="Myriad Pro"/>
          <w:color w:val="000000"/>
          <w:sz w:val="22"/>
          <w:szCs w:val="22"/>
        </w:rPr>
        <w:t>te</w:t>
      </w:r>
      <w:r w:rsidR="004A33C5" w:rsidRPr="000252F7">
        <w:rPr>
          <w:rFonts w:ascii="Myriad Pro" w:hAnsi="Myriad Pro"/>
          <w:color w:val="000000"/>
          <w:sz w:val="22"/>
          <w:szCs w:val="22"/>
        </w:rPr>
        <w:t>gy</w:t>
      </w:r>
      <w:r w:rsidR="00A81914">
        <w:rPr>
          <w:rFonts w:ascii="Myriad Pro" w:hAnsi="Myriad Pro"/>
          <w:color w:val="000000"/>
          <w:sz w:val="22"/>
          <w:szCs w:val="22"/>
        </w:rPr>
        <w:t xml:space="preserve"> in East Jerusalem</w:t>
      </w:r>
      <w:r w:rsidR="00997785" w:rsidRPr="000252F7">
        <w:rPr>
          <w:rFonts w:ascii="Myriad Pro" w:hAnsi="Myriad Pro"/>
          <w:color w:val="000000"/>
          <w:sz w:val="22"/>
          <w:szCs w:val="22"/>
        </w:rPr>
        <w:t xml:space="preserve">. </w:t>
      </w:r>
    </w:p>
    <w:p w:rsidR="0055676E" w:rsidRDefault="0055676E" w:rsidP="000252F7">
      <w:pPr>
        <w:jc w:val="both"/>
        <w:rPr>
          <w:rFonts w:ascii="Myriad Pro" w:hAnsi="Myriad Pro"/>
          <w:color w:val="000000"/>
          <w:sz w:val="22"/>
          <w:szCs w:val="22"/>
        </w:rPr>
      </w:pPr>
    </w:p>
    <w:p w:rsidR="00997785" w:rsidRPr="000252F7" w:rsidRDefault="0055676E" w:rsidP="000252F7">
      <w:pPr>
        <w:jc w:val="both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>EEJTG</w:t>
      </w:r>
      <w:r w:rsidR="00997785" w:rsidRPr="000252F7">
        <w:rPr>
          <w:rFonts w:ascii="Myriad Pro" w:hAnsi="Myriad Pro"/>
          <w:color w:val="000000"/>
          <w:sz w:val="22"/>
          <w:szCs w:val="22"/>
        </w:rPr>
        <w:t xml:space="preserve"> is a technical arm of the SWG to which it provides the appropriate scientific, evidence-based, professional expertise in support to strategic planning and policy making. Its membership is based on technical competence</w:t>
      </w:r>
      <w:r w:rsidR="005C3926" w:rsidRPr="000252F7">
        <w:rPr>
          <w:rFonts w:ascii="Myriad Pro" w:hAnsi="Myriad Pro"/>
          <w:color w:val="000000"/>
          <w:sz w:val="22"/>
          <w:szCs w:val="22"/>
        </w:rPr>
        <w:t>.</w:t>
      </w:r>
      <w:r w:rsidR="00997785" w:rsidRPr="000252F7">
        <w:rPr>
          <w:rFonts w:ascii="Myriad Pro" w:hAnsi="Myriad Pro"/>
          <w:color w:val="000000"/>
          <w:sz w:val="22"/>
          <w:szCs w:val="22"/>
        </w:rPr>
        <w:t xml:space="preserve"> </w:t>
      </w:r>
    </w:p>
    <w:p w:rsidR="00997785" w:rsidRPr="000252F7" w:rsidRDefault="00997785" w:rsidP="000D79A8">
      <w:pPr>
        <w:jc w:val="both"/>
        <w:rPr>
          <w:rFonts w:ascii="Myriad Pro" w:hAnsi="Myriad Pro"/>
          <w:b/>
          <w:bCs/>
          <w:sz w:val="22"/>
          <w:szCs w:val="22"/>
        </w:rPr>
      </w:pPr>
    </w:p>
    <w:p w:rsidR="00997785" w:rsidRPr="000252F7" w:rsidRDefault="00997785" w:rsidP="000D79A8">
      <w:pPr>
        <w:jc w:val="both"/>
        <w:rPr>
          <w:rFonts w:ascii="Myriad Pro" w:hAnsi="Myriad Pro"/>
          <w:b/>
          <w:bCs/>
          <w:sz w:val="22"/>
          <w:szCs w:val="22"/>
        </w:rPr>
      </w:pPr>
      <w:r w:rsidRPr="000252F7">
        <w:rPr>
          <w:rFonts w:ascii="Myriad Pro" w:hAnsi="Myriad Pro"/>
          <w:b/>
          <w:bCs/>
          <w:sz w:val="22"/>
          <w:szCs w:val="22"/>
        </w:rPr>
        <w:t xml:space="preserve">Structure: </w:t>
      </w:r>
    </w:p>
    <w:p w:rsidR="00997785" w:rsidRPr="000252F7" w:rsidRDefault="00997785" w:rsidP="000D79A8">
      <w:pPr>
        <w:jc w:val="both"/>
        <w:rPr>
          <w:rFonts w:ascii="Myriad Pro" w:hAnsi="Myriad Pro"/>
          <w:b/>
          <w:bCs/>
          <w:color w:val="FF0000"/>
          <w:sz w:val="22"/>
          <w:szCs w:val="22"/>
        </w:rPr>
      </w:pPr>
      <w:r w:rsidRPr="000252F7">
        <w:rPr>
          <w:rFonts w:ascii="Myriad Pro" w:hAnsi="Myriad Pro"/>
          <w:b/>
          <w:bCs/>
          <w:color w:val="FF0000"/>
          <w:sz w:val="22"/>
          <w:szCs w:val="22"/>
        </w:rPr>
        <w:t xml:space="preserve"> </w:t>
      </w:r>
    </w:p>
    <w:p w:rsidR="00997785" w:rsidRPr="000252F7" w:rsidRDefault="00997785" w:rsidP="004625D4">
      <w:pPr>
        <w:jc w:val="both"/>
        <w:rPr>
          <w:rFonts w:ascii="Myriad Pro" w:hAnsi="Myriad Pro"/>
          <w:b/>
          <w:bCs/>
          <w:sz w:val="22"/>
          <w:szCs w:val="22"/>
        </w:rPr>
      </w:pPr>
      <w:r w:rsidRPr="000252F7">
        <w:rPr>
          <w:rFonts w:ascii="Myriad Pro" w:hAnsi="Myriad Pro"/>
          <w:b/>
          <w:bCs/>
          <w:sz w:val="22"/>
          <w:szCs w:val="22"/>
        </w:rPr>
        <w:t>A Thematic Group comprises:</w:t>
      </w:r>
    </w:p>
    <w:p w:rsidR="00997785" w:rsidRPr="000252F7" w:rsidRDefault="00997785" w:rsidP="004625D4">
      <w:pPr>
        <w:jc w:val="both"/>
        <w:rPr>
          <w:rFonts w:ascii="Myriad Pro" w:hAnsi="Myriad Pro"/>
          <w:b/>
          <w:bCs/>
          <w:sz w:val="22"/>
          <w:szCs w:val="22"/>
        </w:rPr>
      </w:pPr>
    </w:p>
    <w:p w:rsidR="00997785" w:rsidRPr="000252F7" w:rsidRDefault="00997785" w:rsidP="000252F7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PA Co-Chair:  </w:t>
      </w:r>
      <w:r w:rsidR="000252F7">
        <w:rPr>
          <w:rFonts w:ascii="Myriad Pro" w:hAnsi="Myriad Pro"/>
          <w:sz w:val="22"/>
          <w:szCs w:val="22"/>
        </w:rPr>
        <w:t>Ministry of Education and Higher Education</w:t>
      </w:r>
      <w:r w:rsidR="00A81914">
        <w:rPr>
          <w:rFonts w:ascii="Myriad Pro" w:hAnsi="Myriad Pro"/>
          <w:sz w:val="22"/>
          <w:szCs w:val="22"/>
        </w:rPr>
        <w:t xml:space="preserve"> MoEHE</w:t>
      </w:r>
    </w:p>
    <w:p w:rsidR="00997785" w:rsidRPr="000252F7" w:rsidRDefault="00997785" w:rsidP="00A81914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A donor Co-Chair: </w:t>
      </w:r>
      <w:r w:rsidR="00A81914">
        <w:rPr>
          <w:rFonts w:ascii="Myriad Pro" w:hAnsi="Myriad Pro"/>
          <w:sz w:val="22"/>
          <w:szCs w:val="22"/>
        </w:rPr>
        <w:t>Norway Representative Office- NRO</w:t>
      </w:r>
    </w:p>
    <w:p w:rsidR="00997785" w:rsidRPr="000252F7" w:rsidRDefault="00A81914" w:rsidP="00A81914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 Technical Advisor: UNDP/PAPP</w:t>
      </w:r>
    </w:p>
    <w:p w:rsidR="00997785" w:rsidRPr="000252F7" w:rsidRDefault="00997785" w:rsidP="0028519E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>Members: Names of institutions and representatives that provides technical advice and analyses of development assistance in the relevant TG.</w:t>
      </w:r>
    </w:p>
    <w:p w:rsidR="00171BB6" w:rsidRPr="000252F7" w:rsidRDefault="00171BB6" w:rsidP="00171BB6">
      <w:pPr>
        <w:jc w:val="both"/>
        <w:rPr>
          <w:rFonts w:ascii="Myriad Pro" w:hAnsi="Myriad Pro"/>
          <w:sz w:val="22"/>
          <w:szCs w:val="22"/>
        </w:rPr>
      </w:pPr>
    </w:p>
    <w:p w:rsidR="00171BB6" w:rsidRPr="000252F7" w:rsidRDefault="00171BB6" w:rsidP="00970A1B">
      <w:pPr>
        <w:pStyle w:val="ListParagraph"/>
        <w:ind w:left="1080"/>
        <w:jc w:val="both"/>
        <w:rPr>
          <w:rFonts w:ascii="Myriad Pro" w:hAnsi="Myriad Pro"/>
          <w:b/>
          <w:bCs/>
          <w:sz w:val="22"/>
          <w:szCs w:val="22"/>
        </w:rPr>
      </w:pPr>
    </w:p>
    <w:p w:rsidR="00997785" w:rsidRPr="000252F7" w:rsidRDefault="00997785" w:rsidP="007A1AD7">
      <w:p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b/>
          <w:bCs/>
          <w:sz w:val="22"/>
          <w:szCs w:val="22"/>
        </w:rPr>
        <w:t>Tasks and responsibilities (</w:t>
      </w:r>
      <w:r w:rsidR="0055676E">
        <w:rPr>
          <w:rFonts w:ascii="Myriad Pro" w:hAnsi="Myriad Pro"/>
          <w:b/>
          <w:bCs/>
          <w:sz w:val="22"/>
          <w:szCs w:val="22"/>
        </w:rPr>
        <w:t xml:space="preserve">proposed, however, </w:t>
      </w:r>
      <w:r w:rsidRPr="000252F7">
        <w:rPr>
          <w:rFonts w:ascii="Myriad Pro" w:hAnsi="Myriad Pro"/>
          <w:b/>
          <w:bCs/>
          <w:sz w:val="22"/>
          <w:szCs w:val="22"/>
        </w:rPr>
        <w:t xml:space="preserve">this could vary depending on the TG):  </w:t>
      </w:r>
    </w:p>
    <w:p w:rsidR="0055676E" w:rsidRDefault="0055676E" w:rsidP="0055676E">
      <w:pPr>
        <w:jc w:val="both"/>
        <w:rPr>
          <w:rFonts w:ascii="Myriad Pro" w:hAnsi="Myriad Pro"/>
          <w:sz w:val="22"/>
          <w:szCs w:val="22"/>
        </w:rPr>
      </w:pPr>
    </w:p>
    <w:p w:rsidR="00997785" w:rsidRPr="000252F7" w:rsidRDefault="00997785" w:rsidP="0055676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Provide technical advice and recommendations for decision makers on the development </w:t>
      </w:r>
      <w:r w:rsidR="00392EAB" w:rsidRPr="000252F7">
        <w:rPr>
          <w:rFonts w:ascii="Myriad Pro" w:hAnsi="Myriad Pro"/>
          <w:sz w:val="22"/>
          <w:szCs w:val="22"/>
        </w:rPr>
        <w:t>within the TG thematic area in relation to the N</w:t>
      </w:r>
      <w:r w:rsidRPr="000252F7">
        <w:rPr>
          <w:rFonts w:ascii="Myriad Pro" w:hAnsi="Myriad Pro"/>
          <w:sz w:val="22"/>
          <w:szCs w:val="22"/>
        </w:rPr>
        <w:t xml:space="preserve">ational </w:t>
      </w:r>
      <w:r w:rsidR="00392EAB" w:rsidRPr="000252F7">
        <w:rPr>
          <w:rFonts w:ascii="Myriad Pro" w:hAnsi="Myriad Pro"/>
          <w:sz w:val="22"/>
          <w:szCs w:val="22"/>
        </w:rPr>
        <w:t>P</w:t>
      </w:r>
      <w:r w:rsidRPr="000252F7">
        <w:rPr>
          <w:rFonts w:ascii="Myriad Pro" w:hAnsi="Myriad Pro"/>
          <w:sz w:val="22"/>
          <w:szCs w:val="22"/>
        </w:rPr>
        <w:t xml:space="preserve">olicy </w:t>
      </w:r>
      <w:r w:rsidR="00392EAB" w:rsidRPr="000252F7">
        <w:rPr>
          <w:rFonts w:ascii="Myriad Pro" w:hAnsi="Myriad Pro"/>
          <w:sz w:val="22"/>
          <w:szCs w:val="22"/>
        </w:rPr>
        <w:t xml:space="preserve">Agenda </w:t>
      </w:r>
      <w:r w:rsidR="00CD00C2">
        <w:rPr>
          <w:rFonts w:ascii="Myriad Pro" w:hAnsi="Myriad Pro"/>
          <w:sz w:val="22"/>
          <w:szCs w:val="22"/>
        </w:rPr>
        <w:t>( NPA)</w:t>
      </w:r>
      <w:r w:rsidRPr="000252F7">
        <w:rPr>
          <w:rFonts w:ascii="Myriad Pro" w:hAnsi="Myriad Pro"/>
          <w:sz w:val="22"/>
          <w:szCs w:val="22"/>
        </w:rPr>
        <w:t xml:space="preserve">and </w:t>
      </w:r>
      <w:r w:rsidR="0055676E">
        <w:rPr>
          <w:rFonts w:ascii="Myriad Pro" w:hAnsi="Myriad Pro"/>
          <w:sz w:val="22"/>
          <w:szCs w:val="22"/>
        </w:rPr>
        <w:t>Education</w:t>
      </w:r>
      <w:r w:rsidR="00392EAB" w:rsidRPr="000252F7">
        <w:rPr>
          <w:rFonts w:ascii="Myriad Pro" w:hAnsi="Myriad Pro"/>
          <w:sz w:val="22"/>
          <w:szCs w:val="22"/>
        </w:rPr>
        <w:t xml:space="preserve"> Sector strategy ;</w:t>
      </w:r>
    </w:p>
    <w:p w:rsidR="00997785" w:rsidRPr="000252F7" w:rsidRDefault="003B18F9" w:rsidP="003B18F9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Provide support in developing and formulating an </w:t>
      </w:r>
      <w:r w:rsidR="00997785" w:rsidRPr="000252F7">
        <w:rPr>
          <w:rFonts w:ascii="Myriad Pro" w:hAnsi="Myriad Pro"/>
          <w:sz w:val="22"/>
          <w:szCs w:val="22"/>
        </w:rPr>
        <w:t xml:space="preserve">appropriate action plan for implementing the </w:t>
      </w:r>
      <w:r w:rsidR="0055676E">
        <w:rPr>
          <w:rFonts w:ascii="Myriad Pro" w:hAnsi="Myriad Pro"/>
          <w:sz w:val="22"/>
          <w:szCs w:val="22"/>
        </w:rPr>
        <w:t>Education</w:t>
      </w:r>
      <w:r w:rsidR="00392EAB" w:rsidRPr="000252F7">
        <w:rPr>
          <w:rFonts w:ascii="Myriad Pro" w:hAnsi="Myriad Pro"/>
          <w:sz w:val="22"/>
          <w:szCs w:val="22"/>
        </w:rPr>
        <w:t xml:space="preserve"> Strategic plan </w:t>
      </w:r>
      <w:r w:rsidR="008A1E43" w:rsidRPr="000252F7">
        <w:rPr>
          <w:rFonts w:ascii="Myriad Pro" w:hAnsi="Myriad Pro"/>
          <w:sz w:val="22"/>
          <w:szCs w:val="22"/>
        </w:rPr>
        <w:t xml:space="preserve">within the </w:t>
      </w:r>
      <w:r w:rsidR="00392EAB" w:rsidRPr="000252F7">
        <w:rPr>
          <w:rFonts w:ascii="Myriad Pro" w:hAnsi="Myriad Pro"/>
          <w:sz w:val="22"/>
          <w:szCs w:val="22"/>
        </w:rPr>
        <w:t>thematic focus of the TG</w:t>
      </w:r>
      <w:r w:rsidR="00997785" w:rsidRPr="000252F7">
        <w:rPr>
          <w:rFonts w:ascii="Myriad Pro" w:hAnsi="Myriad Pro"/>
          <w:sz w:val="22"/>
          <w:szCs w:val="22"/>
        </w:rPr>
        <w:t xml:space="preserve">;  </w:t>
      </w:r>
    </w:p>
    <w:p w:rsidR="00CD00C2" w:rsidRDefault="00997785" w:rsidP="00CD00C2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>Assess and analyze emerging issues related to “TG”;</w:t>
      </w:r>
      <w:r w:rsidR="00CD00C2" w:rsidRPr="00CD00C2">
        <w:rPr>
          <w:rFonts w:ascii="Myriad Pro" w:hAnsi="Myriad Pro"/>
          <w:sz w:val="22"/>
          <w:szCs w:val="22"/>
        </w:rPr>
        <w:t xml:space="preserve"> </w:t>
      </w:r>
      <w:r w:rsidR="00CD00C2" w:rsidRPr="0055676E">
        <w:rPr>
          <w:rFonts w:ascii="Myriad Pro" w:hAnsi="Myriad Pro"/>
          <w:sz w:val="22"/>
          <w:szCs w:val="22"/>
        </w:rPr>
        <w:t xml:space="preserve">Assist </w:t>
      </w:r>
      <w:r w:rsidR="00CD00C2">
        <w:rPr>
          <w:rFonts w:ascii="Myriad Pro" w:hAnsi="Myriad Pro"/>
          <w:sz w:val="22"/>
          <w:szCs w:val="22"/>
        </w:rPr>
        <w:t>MoEHE</w:t>
      </w:r>
      <w:r w:rsidR="00CD00C2" w:rsidRPr="0055676E">
        <w:rPr>
          <w:rFonts w:ascii="Myriad Pro" w:hAnsi="Myriad Pro"/>
          <w:sz w:val="22"/>
          <w:szCs w:val="22"/>
        </w:rPr>
        <w:t xml:space="preserve"> to identify areas where greater policy guidance is needed to facilitate improved program alignment and harmonization. It is expected that these areas will be identified as part of ongoing </w:t>
      </w:r>
      <w:r w:rsidR="00CD00C2">
        <w:rPr>
          <w:rFonts w:ascii="Myriad Pro" w:hAnsi="Myriad Pro"/>
          <w:sz w:val="22"/>
          <w:szCs w:val="22"/>
        </w:rPr>
        <w:t>techn</w:t>
      </w:r>
      <w:bookmarkStart w:id="0" w:name="_GoBack"/>
      <w:bookmarkEnd w:id="0"/>
      <w:r w:rsidR="00CD00C2">
        <w:rPr>
          <w:rFonts w:ascii="Myriad Pro" w:hAnsi="Myriad Pro"/>
          <w:sz w:val="22"/>
          <w:szCs w:val="22"/>
        </w:rPr>
        <w:t>ical coordination efforts.</w:t>
      </w:r>
    </w:p>
    <w:p w:rsidR="00997785" w:rsidRPr="00CD00C2" w:rsidRDefault="00CD00C2" w:rsidP="003B18F9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CD00C2">
        <w:rPr>
          <w:rFonts w:ascii="Myriad Pro" w:hAnsi="Myriad Pro"/>
          <w:sz w:val="22"/>
          <w:szCs w:val="22"/>
        </w:rPr>
        <w:t>Improving t</w:t>
      </w:r>
      <w:r>
        <w:rPr>
          <w:rFonts w:ascii="Myriad Pro" w:hAnsi="Myriad Pro"/>
          <w:sz w:val="22"/>
          <w:szCs w:val="22"/>
        </w:rPr>
        <w:t xml:space="preserve">he quality of the strategic, </w:t>
      </w:r>
      <w:r w:rsidRPr="00CD00C2">
        <w:rPr>
          <w:rFonts w:ascii="Myriad Pro" w:hAnsi="Myriad Pro"/>
          <w:sz w:val="22"/>
          <w:szCs w:val="22"/>
        </w:rPr>
        <w:t>implementat</w:t>
      </w:r>
      <w:r>
        <w:rPr>
          <w:rFonts w:ascii="Myriad Pro" w:hAnsi="Myriad Pro"/>
          <w:sz w:val="22"/>
          <w:szCs w:val="22"/>
        </w:rPr>
        <w:t xml:space="preserve">ion plans and national </w:t>
      </w:r>
      <w:r w:rsidRPr="00CD00C2">
        <w:rPr>
          <w:rFonts w:ascii="Myriad Pro" w:hAnsi="Myriad Pro"/>
          <w:sz w:val="22"/>
          <w:szCs w:val="22"/>
        </w:rPr>
        <w:t xml:space="preserve">policies </w:t>
      </w:r>
      <w:r>
        <w:rPr>
          <w:rFonts w:ascii="Myriad Pro" w:hAnsi="Myriad Pro"/>
          <w:sz w:val="22"/>
          <w:szCs w:val="22"/>
        </w:rPr>
        <w:t>through effective engagement of TG stakeholders.</w:t>
      </w:r>
      <w:r w:rsidR="003B18F9">
        <w:rPr>
          <w:rFonts w:ascii="Myriad Pro" w:hAnsi="Myriad Pro"/>
          <w:sz w:val="22"/>
          <w:szCs w:val="22"/>
        </w:rPr>
        <w:t xml:space="preserve"> Explore effective and innovative ways for supporting the development and implementation of response actions, especially, within the existing complicated geo-political settings.</w:t>
      </w:r>
    </w:p>
    <w:p w:rsidR="00997785" w:rsidRPr="000252F7" w:rsidRDefault="00997785" w:rsidP="0055676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Strengthen </w:t>
      </w:r>
      <w:r w:rsidR="0055676E">
        <w:rPr>
          <w:rFonts w:ascii="Myriad Pro" w:hAnsi="Myriad Pro"/>
          <w:sz w:val="22"/>
          <w:szCs w:val="22"/>
        </w:rPr>
        <w:t>data sharing and maximize the joint efforts for enhancing</w:t>
      </w:r>
      <w:r w:rsidRPr="000252F7">
        <w:rPr>
          <w:rFonts w:ascii="Myriad Pro" w:hAnsi="Myriad Pro"/>
          <w:sz w:val="22"/>
          <w:szCs w:val="22"/>
        </w:rPr>
        <w:t xml:space="preserve"> </w:t>
      </w:r>
      <w:r w:rsidR="0055676E">
        <w:rPr>
          <w:rFonts w:ascii="Myriad Pro" w:hAnsi="Myriad Pro"/>
          <w:sz w:val="22"/>
          <w:szCs w:val="22"/>
        </w:rPr>
        <w:t xml:space="preserve">Education </w:t>
      </w:r>
      <w:r w:rsidR="0043489F" w:rsidRPr="000252F7">
        <w:rPr>
          <w:rFonts w:ascii="Myriad Pro" w:hAnsi="Myriad Pro"/>
          <w:sz w:val="22"/>
          <w:szCs w:val="22"/>
        </w:rPr>
        <w:t>Sector</w:t>
      </w:r>
      <w:r w:rsidRPr="000252F7">
        <w:rPr>
          <w:rFonts w:ascii="Myriad Pro" w:hAnsi="Myriad Pro"/>
          <w:sz w:val="22"/>
          <w:szCs w:val="22"/>
        </w:rPr>
        <w:t xml:space="preserve"> information system for “TG”;</w:t>
      </w:r>
    </w:p>
    <w:p w:rsidR="00997785" w:rsidRPr="000252F7" w:rsidRDefault="00997785" w:rsidP="0055676E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Support </w:t>
      </w:r>
      <w:r w:rsidR="0055676E">
        <w:rPr>
          <w:rFonts w:ascii="Myriad Pro" w:hAnsi="Myriad Pro"/>
          <w:sz w:val="22"/>
          <w:szCs w:val="22"/>
        </w:rPr>
        <w:t>MoEHE</w:t>
      </w:r>
      <w:r w:rsidRPr="000252F7">
        <w:rPr>
          <w:rFonts w:ascii="Myriad Pro" w:hAnsi="Myriad Pro"/>
          <w:sz w:val="22"/>
          <w:szCs w:val="22"/>
        </w:rPr>
        <w:t xml:space="preserve"> in monitoring and evaluating the implementation of the TG action plan. </w:t>
      </w:r>
    </w:p>
    <w:p w:rsidR="00CD00C2" w:rsidRPr="00CD00C2" w:rsidRDefault="00997785" w:rsidP="00CD00C2">
      <w:pPr>
        <w:numPr>
          <w:ilvl w:val="0"/>
          <w:numId w:val="10"/>
        </w:num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>Strengthen collaboration and cooperation among stakeholders.</w:t>
      </w:r>
    </w:p>
    <w:p w:rsidR="00997785" w:rsidRPr="000252F7" w:rsidRDefault="00997785" w:rsidP="007A1AD7">
      <w:pPr>
        <w:jc w:val="both"/>
        <w:rPr>
          <w:rFonts w:ascii="Myriad Pro" w:hAnsi="Myriad Pro"/>
          <w:b/>
          <w:bCs/>
          <w:sz w:val="22"/>
          <w:szCs w:val="22"/>
        </w:rPr>
      </w:pPr>
    </w:p>
    <w:p w:rsidR="003B18F9" w:rsidRDefault="003B18F9" w:rsidP="00BF25C5">
      <w:pPr>
        <w:jc w:val="both"/>
        <w:rPr>
          <w:rFonts w:ascii="Myriad Pro" w:hAnsi="Myriad Pro"/>
          <w:b/>
          <w:bCs/>
          <w:sz w:val="22"/>
          <w:szCs w:val="22"/>
        </w:rPr>
      </w:pPr>
    </w:p>
    <w:p w:rsidR="00997785" w:rsidRPr="000252F7" w:rsidRDefault="00997785" w:rsidP="00BF25C5">
      <w:pPr>
        <w:jc w:val="both"/>
        <w:rPr>
          <w:rFonts w:ascii="Myriad Pro" w:hAnsi="Myriad Pro"/>
          <w:b/>
          <w:bCs/>
          <w:sz w:val="22"/>
          <w:szCs w:val="22"/>
        </w:rPr>
      </w:pPr>
      <w:r w:rsidRPr="000252F7">
        <w:rPr>
          <w:rFonts w:ascii="Myriad Pro" w:hAnsi="Myriad Pro"/>
          <w:b/>
          <w:bCs/>
          <w:sz w:val="22"/>
          <w:szCs w:val="22"/>
        </w:rPr>
        <w:lastRenderedPageBreak/>
        <w:t xml:space="preserve">Other specific tasks for the </w:t>
      </w:r>
      <w:r w:rsidR="00BF25C5" w:rsidRPr="000252F7">
        <w:rPr>
          <w:rFonts w:ascii="Myriad Pro" w:hAnsi="Myriad Pro"/>
          <w:b/>
          <w:bCs/>
          <w:sz w:val="22"/>
          <w:szCs w:val="22"/>
        </w:rPr>
        <w:t>Chair</w:t>
      </w:r>
      <w:r w:rsidRPr="000252F7">
        <w:rPr>
          <w:rFonts w:ascii="Myriad Pro" w:hAnsi="Myriad Pro"/>
          <w:b/>
          <w:bCs/>
          <w:sz w:val="22"/>
          <w:szCs w:val="22"/>
        </w:rPr>
        <w:t xml:space="preserve">: </w:t>
      </w:r>
    </w:p>
    <w:p w:rsidR="00997785" w:rsidRPr="000252F7" w:rsidRDefault="00305168" w:rsidP="007A1AD7">
      <w:pPr>
        <w:jc w:val="both"/>
        <w:rPr>
          <w:rFonts w:ascii="Myriad Pro" w:hAnsi="Myriad Pro"/>
          <w:b/>
          <w:bCs/>
          <w:sz w:val="22"/>
          <w:szCs w:val="22"/>
        </w:rPr>
      </w:pPr>
      <w:r w:rsidRPr="000252F7">
        <w:rPr>
          <w:rFonts w:ascii="Myriad Pro" w:hAnsi="Myriad Pro"/>
          <w:b/>
          <w:bCs/>
          <w:sz w:val="22"/>
          <w:szCs w:val="22"/>
        </w:rPr>
        <w:t xml:space="preserve"> </w:t>
      </w:r>
    </w:p>
    <w:p w:rsidR="00997785" w:rsidRPr="000252F7" w:rsidRDefault="00997785" w:rsidP="00CD00C2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Formally call for </w:t>
      </w:r>
      <w:r w:rsidR="00CD00C2">
        <w:rPr>
          <w:rFonts w:ascii="Myriad Pro" w:hAnsi="Myriad Pro"/>
          <w:sz w:val="22"/>
          <w:szCs w:val="22"/>
        </w:rPr>
        <w:t>TG</w:t>
      </w:r>
      <w:r w:rsidRPr="000252F7">
        <w:rPr>
          <w:rFonts w:ascii="Myriad Pro" w:hAnsi="Myriad Pro"/>
          <w:sz w:val="22"/>
          <w:szCs w:val="22"/>
        </w:rPr>
        <w:t xml:space="preserve"> meetings, prepare the agenda and disseminate to the group members in advance;</w:t>
      </w:r>
    </w:p>
    <w:p w:rsidR="00997785" w:rsidRPr="000252F7" w:rsidRDefault="00997785" w:rsidP="00EB2127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>Provide venues for meetings;</w:t>
      </w:r>
    </w:p>
    <w:p w:rsidR="00997785" w:rsidRPr="000252F7" w:rsidRDefault="00997785" w:rsidP="00EB2127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Distribute the minutes in time and obtain comments and finalize to be ready before the next meeting </w:t>
      </w:r>
    </w:p>
    <w:p w:rsidR="00997785" w:rsidRPr="000252F7" w:rsidRDefault="00997785" w:rsidP="00D43993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eastAsia="Batang" w:hAnsi="Myriad Pro"/>
          <w:color w:val="000000"/>
          <w:sz w:val="22"/>
          <w:szCs w:val="22"/>
          <w:lang w:eastAsia="ko-KR"/>
        </w:rPr>
        <w:t>Invite relevant experts and officials as appropriate to participate in meetings</w:t>
      </w:r>
    </w:p>
    <w:p w:rsidR="00997785" w:rsidRPr="000252F7" w:rsidRDefault="00997785" w:rsidP="007A1AD7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>Initiate and maintain coordination, communication and support for TG members.</w:t>
      </w:r>
    </w:p>
    <w:p w:rsidR="00997785" w:rsidRPr="000252F7" w:rsidRDefault="00997785" w:rsidP="007A1AD7">
      <w:pPr>
        <w:numPr>
          <w:ilvl w:val="0"/>
          <w:numId w:val="5"/>
        </w:numPr>
        <w:tabs>
          <w:tab w:val="clear" w:pos="720"/>
          <w:tab w:val="num" w:pos="709"/>
        </w:tabs>
        <w:ind w:left="1080" w:hanging="654"/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Follow up as appropriate on all decisions </w:t>
      </w:r>
      <w:r w:rsidR="00A81914">
        <w:rPr>
          <w:rFonts w:ascii="Myriad Pro" w:hAnsi="Myriad Pro"/>
          <w:sz w:val="22"/>
          <w:szCs w:val="22"/>
        </w:rPr>
        <w:t xml:space="preserve">and recommendations </w:t>
      </w:r>
      <w:r w:rsidR="00CD00C2">
        <w:rPr>
          <w:rFonts w:ascii="Myriad Pro" w:hAnsi="Myriad Pro"/>
          <w:sz w:val="22"/>
          <w:szCs w:val="22"/>
        </w:rPr>
        <w:t xml:space="preserve">taken by the </w:t>
      </w:r>
      <w:r w:rsidRPr="000252F7">
        <w:rPr>
          <w:rFonts w:ascii="Myriad Pro" w:hAnsi="Myriad Pro"/>
          <w:sz w:val="22"/>
          <w:szCs w:val="22"/>
        </w:rPr>
        <w:t>group.</w:t>
      </w:r>
    </w:p>
    <w:p w:rsidR="00997785" w:rsidRPr="000252F7" w:rsidRDefault="00997785" w:rsidP="0043489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Prepare progress reports as appropriate and submit the </w:t>
      </w:r>
      <w:r w:rsidR="0043489F" w:rsidRPr="000252F7">
        <w:rPr>
          <w:rFonts w:ascii="Myriad Pro" w:hAnsi="Myriad Pro"/>
          <w:sz w:val="22"/>
          <w:szCs w:val="22"/>
        </w:rPr>
        <w:t>ESWG</w:t>
      </w:r>
      <w:r w:rsidRPr="000252F7">
        <w:rPr>
          <w:rFonts w:ascii="Myriad Pro" w:hAnsi="Myriad Pro"/>
          <w:sz w:val="22"/>
          <w:szCs w:val="22"/>
        </w:rPr>
        <w:t xml:space="preserve"> core group.</w:t>
      </w:r>
    </w:p>
    <w:p w:rsidR="00997785" w:rsidRPr="000252F7" w:rsidRDefault="00997785" w:rsidP="001077BD">
      <w:pPr>
        <w:jc w:val="both"/>
        <w:rPr>
          <w:rFonts w:ascii="Myriad Pro" w:hAnsi="Myriad Pro"/>
          <w:sz w:val="22"/>
          <w:szCs w:val="22"/>
        </w:rPr>
      </w:pPr>
    </w:p>
    <w:p w:rsidR="00997785" w:rsidRPr="000252F7" w:rsidRDefault="00997785" w:rsidP="00EB2127">
      <w:pPr>
        <w:jc w:val="both"/>
        <w:rPr>
          <w:rFonts w:ascii="Myriad Pro" w:hAnsi="Myriad Pro"/>
          <w:b/>
          <w:iCs/>
          <w:sz w:val="22"/>
          <w:szCs w:val="22"/>
        </w:rPr>
      </w:pPr>
      <w:r w:rsidRPr="000252F7">
        <w:rPr>
          <w:rFonts w:ascii="Myriad Pro" w:hAnsi="Myriad Pro"/>
          <w:b/>
          <w:iCs/>
          <w:sz w:val="22"/>
          <w:szCs w:val="22"/>
        </w:rPr>
        <w:t>Frequency of meetings:</w:t>
      </w:r>
    </w:p>
    <w:p w:rsidR="00997785" w:rsidRPr="000252F7" w:rsidRDefault="00997785" w:rsidP="001077BD">
      <w:pPr>
        <w:jc w:val="both"/>
        <w:rPr>
          <w:rFonts w:ascii="Myriad Pro" w:hAnsi="Myriad Pro"/>
          <w:b/>
          <w:i/>
          <w:sz w:val="22"/>
          <w:szCs w:val="22"/>
        </w:rPr>
      </w:pPr>
    </w:p>
    <w:p w:rsidR="00997785" w:rsidRPr="000252F7" w:rsidRDefault="00997785" w:rsidP="00A81914">
      <w:pPr>
        <w:jc w:val="both"/>
        <w:rPr>
          <w:rFonts w:ascii="Myriad Pro" w:hAnsi="Myriad Pro"/>
          <w:sz w:val="22"/>
          <w:szCs w:val="22"/>
        </w:rPr>
      </w:pPr>
      <w:r w:rsidRPr="000252F7">
        <w:rPr>
          <w:rFonts w:ascii="Myriad Pro" w:hAnsi="Myriad Pro"/>
          <w:sz w:val="22"/>
          <w:szCs w:val="22"/>
        </w:rPr>
        <w:t xml:space="preserve">The Thematic Group will convene </w:t>
      </w:r>
      <w:r w:rsidR="00A81914">
        <w:rPr>
          <w:rFonts w:ascii="Myriad Pro" w:hAnsi="Myriad Pro"/>
          <w:sz w:val="22"/>
          <w:szCs w:val="22"/>
        </w:rPr>
        <w:t xml:space="preserve">on a quarterly basis </w:t>
      </w:r>
      <w:r w:rsidRPr="000252F7">
        <w:rPr>
          <w:rFonts w:ascii="Myriad Pro" w:hAnsi="Myriad Pro"/>
          <w:sz w:val="22"/>
          <w:szCs w:val="22"/>
        </w:rPr>
        <w:t xml:space="preserve">and report to the </w:t>
      </w:r>
      <w:r w:rsidR="0043489F" w:rsidRPr="000252F7">
        <w:rPr>
          <w:rFonts w:ascii="Myriad Pro" w:hAnsi="Myriad Pro"/>
          <w:sz w:val="22"/>
          <w:szCs w:val="22"/>
        </w:rPr>
        <w:t>ESWG</w:t>
      </w:r>
      <w:r w:rsidRPr="000252F7">
        <w:rPr>
          <w:rFonts w:ascii="Myriad Pro" w:hAnsi="Myriad Pro"/>
          <w:sz w:val="22"/>
          <w:szCs w:val="22"/>
        </w:rPr>
        <w:t xml:space="preserve"> core group on a </w:t>
      </w:r>
      <w:r w:rsidR="00A81914">
        <w:rPr>
          <w:rFonts w:ascii="Myriad Pro" w:hAnsi="Myriad Pro"/>
          <w:sz w:val="22"/>
          <w:szCs w:val="22"/>
        </w:rPr>
        <w:t>semi-annual</w:t>
      </w:r>
      <w:r w:rsidRPr="000252F7">
        <w:rPr>
          <w:rFonts w:ascii="Myriad Pro" w:hAnsi="Myriad Pro"/>
          <w:sz w:val="22"/>
          <w:szCs w:val="22"/>
        </w:rPr>
        <w:t xml:space="preserve"> basis.</w:t>
      </w:r>
    </w:p>
    <w:p w:rsidR="000252F7" w:rsidRPr="000252F7" w:rsidRDefault="000252F7" w:rsidP="00A711BA">
      <w:pPr>
        <w:jc w:val="both"/>
        <w:rPr>
          <w:rFonts w:ascii="Myriad Pro" w:hAnsi="Myriad Pro"/>
          <w:sz w:val="22"/>
          <w:szCs w:val="22"/>
        </w:rPr>
      </w:pPr>
    </w:p>
    <w:sectPr w:rsidR="000252F7" w:rsidRPr="000252F7" w:rsidSect="00837B9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FA" w:rsidRDefault="002F74FA">
      <w:r>
        <w:separator/>
      </w:r>
    </w:p>
  </w:endnote>
  <w:endnote w:type="continuationSeparator" w:id="0">
    <w:p w:rsidR="002F74FA" w:rsidRDefault="002F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85" w:rsidRDefault="00B743F1" w:rsidP="00897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7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785" w:rsidRDefault="00997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85" w:rsidRDefault="00B743F1" w:rsidP="00897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7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41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7785" w:rsidRDefault="00997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FA" w:rsidRDefault="002F74FA">
      <w:r>
        <w:separator/>
      </w:r>
    </w:p>
  </w:footnote>
  <w:footnote w:type="continuationSeparator" w:id="0">
    <w:p w:rsidR="002F74FA" w:rsidRDefault="002F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85" w:rsidRDefault="00506416">
    <w:pPr>
      <w:pStyle w:val="Header"/>
    </w:pPr>
    <w:r>
      <w:rPr>
        <w:noProof/>
      </w:rPr>
      <w:pict w14:anchorId="08987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5E1"/>
    <w:multiLevelType w:val="hybridMultilevel"/>
    <w:tmpl w:val="2AC8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F567E"/>
    <w:multiLevelType w:val="hybridMultilevel"/>
    <w:tmpl w:val="B406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10C3"/>
    <w:multiLevelType w:val="hybridMultilevel"/>
    <w:tmpl w:val="CECE3710"/>
    <w:lvl w:ilvl="0" w:tplc="2DF0A7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A14176"/>
    <w:multiLevelType w:val="hybridMultilevel"/>
    <w:tmpl w:val="F8CC4898"/>
    <w:lvl w:ilvl="0" w:tplc="9C4823D2">
      <w:numFmt w:val="bullet"/>
      <w:lvlText w:val="–"/>
      <w:lvlJc w:val="left"/>
      <w:pPr>
        <w:tabs>
          <w:tab w:val="num" w:pos="1116"/>
        </w:tabs>
        <w:ind w:left="1116" w:hanging="216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BB20FE"/>
    <w:multiLevelType w:val="hybridMultilevel"/>
    <w:tmpl w:val="2DA0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258BE"/>
    <w:multiLevelType w:val="hybridMultilevel"/>
    <w:tmpl w:val="58B82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B3496"/>
    <w:multiLevelType w:val="hybridMultilevel"/>
    <w:tmpl w:val="4CEEDD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9D54A3"/>
    <w:multiLevelType w:val="hybridMultilevel"/>
    <w:tmpl w:val="95764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62B55"/>
    <w:multiLevelType w:val="hybridMultilevel"/>
    <w:tmpl w:val="FA48505E"/>
    <w:lvl w:ilvl="0" w:tplc="76E25D9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6647F"/>
    <w:multiLevelType w:val="hybridMultilevel"/>
    <w:tmpl w:val="E17E1C9E"/>
    <w:lvl w:ilvl="0" w:tplc="2A52E58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5C71686"/>
    <w:multiLevelType w:val="hybridMultilevel"/>
    <w:tmpl w:val="495EF468"/>
    <w:lvl w:ilvl="0" w:tplc="D11E277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C125AB"/>
    <w:multiLevelType w:val="hybridMultilevel"/>
    <w:tmpl w:val="AE5A1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1C"/>
    <w:rsid w:val="00001A37"/>
    <w:rsid w:val="000252F7"/>
    <w:rsid w:val="00043CE4"/>
    <w:rsid w:val="00046E84"/>
    <w:rsid w:val="00062122"/>
    <w:rsid w:val="0008347F"/>
    <w:rsid w:val="00086832"/>
    <w:rsid w:val="00090AB9"/>
    <w:rsid w:val="00093B1F"/>
    <w:rsid w:val="00097AFD"/>
    <w:rsid w:val="000D14B0"/>
    <w:rsid w:val="000D5A27"/>
    <w:rsid w:val="000D79A8"/>
    <w:rsid w:val="0010352D"/>
    <w:rsid w:val="001077BD"/>
    <w:rsid w:val="00114B09"/>
    <w:rsid w:val="00146148"/>
    <w:rsid w:val="00166BEC"/>
    <w:rsid w:val="00171BB6"/>
    <w:rsid w:val="00171CB1"/>
    <w:rsid w:val="001752B1"/>
    <w:rsid w:val="001C301C"/>
    <w:rsid w:val="001E7850"/>
    <w:rsid w:val="001F3697"/>
    <w:rsid w:val="00211542"/>
    <w:rsid w:val="0021649C"/>
    <w:rsid w:val="00216647"/>
    <w:rsid w:val="002167C8"/>
    <w:rsid w:val="002213A6"/>
    <w:rsid w:val="00221466"/>
    <w:rsid w:val="00222380"/>
    <w:rsid w:val="0022576F"/>
    <w:rsid w:val="002262A4"/>
    <w:rsid w:val="00240FCC"/>
    <w:rsid w:val="00253657"/>
    <w:rsid w:val="00264F9B"/>
    <w:rsid w:val="00267F11"/>
    <w:rsid w:val="0028519E"/>
    <w:rsid w:val="002D3EE9"/>
    <w:rsid w:val="002D59F0"/>
    <w:rsid w:val="002E45C2"/>
    <w:rsid w:val="002E556F"/>
    <w:rsid w:val="002E7D37"/>
    <w:rsid w:val="002F74FA"/>
    <w:rsid w:val="00303A77"/>
    <w:rsid w:val="00304E3E"/>
    <w:rsid w:val="00305168"/>
    <w:rsid w:val="00316FBE"/>
    <w:rsid w:val="00322852"/>
    <w:rsid w:val="00324BDB"/>
    <w:rsid w:val="00331129"/>
    <w:rsid w:val="00353A60"/>
    <w:rsid w:val="00377DE0"/>
    <w:rsid w:val="00392EAB"/>
    <w:rsid w:val="003A76BE"/>
    <w:rsid w:val="003B18F9"/>
    <w:rsid w:val="003B52D8"/>
    <w:rsid w:val="003C0CDC"/>
    <w:rsid w:val="003C5DC0"/>
    <w:rsid w:val="003D442F"/>
    <w:rsid w:val="003D4575"/>
    <w:rsid w:val="003E4DA7"/>
    <w:rsid w:val="003F7E48"/>
    <w:rsid w:val="004041DA"/>
    <w:rsid w:val="00426204"/>
    <w:rsid w:val="0043489F"/>
    <w:rsid w:val="00434F2A"/>
    <w:rsid w:val="004570C7"/>
    <w:rsid w:val="004625D4"/>
    <w:rsid w:val="00464937"/>
    <w:rsid w:val="004877C9"/>
    <w:rsid w:val="004A33C5"/>
    <w:rsid w:val="004A4841"/>
    <w:rsid w:val="004A79AD"/>
    <w:rsid w:val="004B3AE9"/>
    <w:rsid w:val="004B67CF"/>
    <w:rsid w:val="004D4333"/>
    <w:rsid w:val="004D4DA6"/>
    <w:rsid w:val="004D4EE8"/>
    <w:rsid w:val="00506416"/>
    <w:rsid w:val="005326DD"/>
    <w:rsid w:val="005409A7"/>
    <w:rsid w:val="0055517C"/>
    <w:rsid w:val="0055676E"/>
    <w:rsid w:val="00567BB1"/>
    <w:rsid w:val="005704E9"/>
    <w:rsid w:val="00572BC9"/>
    <w:rsid w:val="005771C9"/>
    <w:rsid w:val="00590378"/>
    <w:rsid w:val="0059351C"/>
    <w:rsid w:val="005A056C"/>
    <w:rsid w:val="005B1A6D"/>
    <w:rsid w:val="005C3926"/>
    <w:rsid w:val="005E289C"/>
    <w:rsid w:val="005E4292"/>
    <w:rsid w:val="00614612"/>
    <w:rsid w:val="00617E29"/>
    <w:rsid w:val="006207CE"/>
    <w:rsid w:val="00622AA7"/>
    <w:rsid w:val="00623F5D"/>
    <w:rsid w:val="0063019A"/>
    <w:rsid w:val="00631154"/>
    <w:rsid w:val="0063395D"/>
    <w:rsid w:val="00643622"/>
    <w:rsid w:val="006725DE"/>
    <w:rsid w:val="00676555"/>
    <w:rsid w:val="006770FC"/>
    <w:rsid w:val="00685BD9"/>
    <w:rsid w:val="006C0954"/>
    <w:rsid w:val="006C155E"/>
    <w:rsid w:val="006C521F"/>
    <w:rsid w:val="006E1CFD"/>
    <w:rsid w:val="006F0DB3"/>
    <w:rsid w:val="006F35B2"/>
    <w:rsid w:val="007055D9"/>
    <w:rsid w:val="007100FE"/>
    <w:rsid w:val="00727973"/>
    <w:rsid w:val="00730876"/>
    <w:rsid w:val="00730E3A"/>
    <w:rsid w:val="0073326E"/>
    <w:rsid w:val="0073568B"/>
    <w:rsid w:val="00754164"/>
    <w:rsid w:val="00754EAD"/>
    <w:rsid w:val="00755F25"/>
    <w:rsid w:val="00767F0A"/>
    <w:rsid w:val="00777825"/>
    <w:rsid w:val="007910B5"/>
    <w:rsid w:val="007A1AD7"/>
    <w:rsid w:val="007B3323"/>
    <w:rsid w:val="007C0B29"/>
    <w:rsid w:val="007D18AD"/>
    <w:rsid w:val="007E0076"/>
    <w:rsid w:val="00803190"/>
    <w:rsid w:val="00820E5E"/>
    <w:rsid w:val="0083074C"/>
    <w:rsid w:val="00837B9B"/>
    <w:rsid w:val="00842D65"/>
    <w:rsid w:val="00856679"/>
    <w:rsid w:val="00864A41"/>
    <w:rsid w:val="00875BA3"/>
    <w:rsid w:val="00887167"/>
    <w:rsid w:val="00891B75"/>
    <w:rsid w:val="00897E8B"/>
    <w:rsid w:val="008A1E43"/>
    <w:rsid w:val="008A2EAF"/>
    <w:rsid w:val="008B5870"/>
    <w:rsid w:val="008C7AE6"/>
    <w:rsid w:val="008E196B"/>
    <w:rsid w:val="008F64FF"/>
    <w:rsid w:val="008F72B5"/>
    <w:rsid w:val="00915B51"/>
    <w:rsid w:val="00935795"/>
    <w:rsid w:val="009366FF"/>
    <w:rsid w:val="00941993"/>
    <w:rsid w:val="00970A1B"/>
    <w:rsid w:val="0097471B"/>
    <w:rsid w:val="00995348"/>
    <w:rsid w:val="00997785"/>
    <w:rsid w:val="009E575D"/>
    <w:rsid w:val="009F5626"/>
    <w:rsid w:val="00A12493"/>
    <w:rsid w:val="00A13DD9"/>
    <w:rsid w:val="00A1488E"/>
    <w:rsid w:val="00A1750F"/>
    <w:rsid w:val="00A345E2"/>
    <w:rsid w:val="00A414A8"/>
    <w:rsid w:val="00A43052"/>
    <w:rsid w:val="00A70F87"/>
    <w:rsid w:val="00A711BA"/>
    <w:rsid w:val="00A73D28"/>
    <w:rsid w:val="00A81914"/>
    <w:rsid w:val="00A94108"/>
    <w:rsid w:val="00A97666"/>
    <w:rsid w:val="00AA69FF"/>
    <w:rsid w:val="00AD4979"/>
    <w:rsid w:val="00AD5E6E"/>
    <w:rsid w:val="00AE4076"/>
    <w:rsid w:val="00AE6B76"/>
    <w:rsid w:val="00AE7B4A"/>
    <w:rsid w:val="00B06E8D"/>
    <w:rsid w:val="00B155BB"/>
    <w:rsid w:val="00B16DDE"/>
    <w:rsid w:val="00B34E3C"/>
    <w:rsid w:val="00B62BB8"/>
    <w:rsid w:val="00B72392"/>
    <w:rsid w:val="00B743F1"/>
    <w:rsid w:val="00BA5FE3"/>
    <w:rsid w:val="00BD117E"/>
    <w:rsid w:val="00BF25C5"/>
    <w:rsid w:val="00C015FC"/>
    <w:rsid w:val="00C417A6"/>
    <w:rsid w:val="00C506E7"/>
    <w:rsid w:val="00C53BAB"/>
    <w:rsid w:val="00C8311C"/>
    <w:rsid w:val="00C8482B"/>
    <w:rsid w:val="00C97B1E"/>
    <w:rsid w:val="00CB513B"/>
    <w:rsid w:val="00CC6159"/>
    <w:rsid w:val="00CD00C2"/>
    <w:rsid w:val="00D032A4"/>
    <w:rsid w:val="00D0710E"/>
    <w:rsid w:val="00D07DB4"/>
    <w:rsid w:val="00D1195A"/>
    <w:rsid w:val="00D30CA8"/>
    <w:rsid w:val="00D43993"/>
    <w:rsid w:val="00D657FD"/>
    <w:rsid w:val="00D67E72"/>
    <w:rsid w:val="00D67F68"/>
    <w:rsid w:val="00D878C5"/>
    <w:rsid w:val="00D932D3"/>
    <w:rsid w:val="00DD2BA4"/>
    <w:rsid w:val="00E01179"/>
    <w:rsid w:val="00E018FB"/>
    <w:rsid w:val="00E06CC9"/>
    <w:rsid w:val="00E21EAA"/>
    <w:rsid w:val="00E33830"/>
    <w:rsid w:val="00E56A14"/>
    <w:rsid w:val="00E570A4"/>
    <w:rsid w:val="00E7348A"/>
    <w:rsid w:val="00E927C4"/>
    <w:rsid w:val="00EB2127"/>
    <w:rsid w:val="00ED4289"/>
    <w:rsid w:val="00EE7107"/>
    <w:rsid w:val="00F01389"/>
    <w:rsid w:val="00F04BB5"/>
    <w:rsid w:val="00F14C4A"/>
    <w:rsid w:val="00F26900"/>
    <w:rsid w:val="00F40EBF"/>
    <w:rsid w:val="00F544DA"/>
    <w:rsid w:val="00F61F64"/>
    <w:rsid w:val="00F70998"/>
    <w:rsid w:val="00F72016"/>
    <w:rsid w:val="00F9577D"/>
    <w:rsid w:val="00FB0794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5DDD094-C02D-4663-BFA7-8C6C1E63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1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1AD7"/>
    <w:pPr>
      <w:keepNext/>
      <w:spacing w:before="200" w:after="120"/>
      <w:outlineLvl w:val="0"/>
    </w:pPr>
    <w:rPr>
      <w:rFonts w:ascii="Gill Sans MT" w:hAnsi="Gill Sans MT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AD7"/>
    <w:rPr>
      <w:rFonts w:ascii="Gill Sans MT" w:hAnsi="Gill Sans MT"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9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F6"/>
    <w:rPr>
      <w:rFonts w:ascii="Times New Roman" w:eastAsia="Times New Roman" w:hAnsi="Times New Roman" w:cs="Times New Roman"/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043CE4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0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3CE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43C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3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0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0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17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0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1750F"/>
    <w:rPr>
      <w:rFonts w:cs="Times New Roman"/>
    </w:rPr>
  </w:style>
  <w:style w:type="table" w:styleId="TableGrid">
    <w:name w:val="Table Grid"/>
    <w:basedOn w:val="TableNormal"/>
    <w:uiPriority w:val="99"/>
    <w:rsid w:val="004570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10B5"/>
    <w:pPr>
      <w:ind w:left="720"/>
      <w:contextualSpacing/>
    </w:pPr>
  </w:style>
  <w:style w:type="paragraph" w:styleId="BodyText">
    <w:name w:val="Body Text"/>
    <w:basedOn w:val="Normal"/>
    <w:link w:val="BodyTextChar"/>
    <w:autoRedefine/>
    <w:uiPriority w:val="99"/>
    <w:rsid w:val="007A1AD7"/>
    <w:pPr>
      <w:spacing w:after="120" w:line="264" w:lineRule="auto"/>
      <w:jc w:val="both"/>
    </w:pPr>
    <w:rPr>
      <w:rFonts w:ascii="Gill Sans MT" w:hAnsi="Gill Sans MT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1AD7"/>
    <w:rPr>
      <w:rFonts w:ascii="Gill Sans MT" w:hAnsi="Gill Sans MT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rsid w:val="002E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55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32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HP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user1</dc:creator>
  <cp:lastModifiedBy>muna.araj</cp:lastModifiedBy>
  <cp:revision>2</cp:revision>
  <cp:lastPrinted>2016-02-08T07:48:00Z</cp:lastPrinted>
  <dcterms:created xsi:type="dcterms:W3CDTF">2018-04-10T11:22:00Z</dcterms:created>
  <dcterms:modified xsi:type="dcterms:W3CDTF">2018-04-10T11:22:00Z</dcterms:modified>
</cp:coreProperties>
</file>