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76" w:rsidRPr="00A63EC3" w:rsidRDefault="0025526D" w:rsidP="00A63EC3">
      <w:pPr>
        <w:jc w:val="center"/>
        <w:rPr>
          <w:b/>
          <w:sz w:val="24"/>
          <w:u w:val="single"/>
        </w:rPr>
      </w:pPr>
      <w:r w:rsidRPr="00A63EC3">
        <w:rPr>
          <w:b/>
          <w:sz w:val="24"/>
          <w:u w:val="single"/>
        </w:rPr>
        <w:t xml:space="preserve">Management </w:t>
      </w:r>
      <w:proofErr w:type="spellStart"/>
      <w:r w:rsidRPr="00A63EC3">
        <w:rPr>
          <w:b/>
          <w:sz w:val="24"/>
          <w:u w:val="single"/>
        </w:rPr>
        <w:t>response</w:t>
      </w:r>
      <w:proofErr w:type="spellEnd"/>
      <w:r w:rsidRPr="00A63EC3">
        <w:rPr>
          <w:b/>
          <w:sz w:val="24"/>
          <w:u w:val="single"/>
        </w:rPr>
        <w:t xml:space="preserve"> o the </w:t>
      </w:r>
      <w:proofErr w:type="spellStart"/>
      <w:r w:rsidRPr="00A63EC3">
        <w:rPr>
          <w:b/>
          <w:sz w:val="24"/>
          <w:u w:val="single"/>
        </w:rPr>
        <w:t>recommendations</w:t>
      </w:r>
      <w:proofErr w:type="spellEnd"/>
      <w:r w:rsidRPr="00A63EC3">
        <w:rPr>
          <w:b/>
          <w:sz w:val="24"/>
          <w:u w:val="single"/>
        </w:rPr>
        <w:t xml:space="preserve"> of the terminal </w:t>
      </w:r>
      <w:proofErr w:type="spellStart"/>
      <w:r w:rsidRPr="00A63EC3">
        <w:rPr>
          <w:b/>
          <w:sz w:val="24"/>
          <w:u w:val="single"/>
        </w:rPr>
        <w:t>evaluation</w:t>
      </w:r>
      <w:proofErr w:type="spellEnd"/>
      <w:r w:rsidRPr="00A63EC3">
        <w:rPr>
          <w:b/>
          <w:sz w:val="24"/>
          <w:u w:val="single"/>
        </w:rPr>
        <w:t xml:space="preserve"> report</w:t>
      </w:r>
      <w:r w:rsidR="00A63EC3" w:rsidRPr="00A63EC3">
        <w:rPr>
          <w:b/>
          <w:sz w:val="24"/>
          <w:u w:val="single"/>
        </w:rPr>
        <w:t xml:space="preserve"> – GEF Project 4491 CCCD_EMIS (00088559)</w:t>
      </w:r>
    </w:p>
    <w:p w:rsidR="0025526D" w:rsidRDefault="0025526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2"/>
        <w:gridCol w:w="4281"/>
        <w:gridCol w:w="4761"/>
      </w:tblGrid>
      <w:tr w:rsidR="0025526D" w:rsidRPr="00A63EC3" w:rsidTr="0025526D">
        <w:tc>
          <w:tcPr>
            <w:tcW w:w="4952" w:type="dxa"/>
          </w:tcPr>
          <w:p w:rsidR="0025526D" w:rsidRPr="00A63EC3" w:rsidRDefault="0025526D" w:rsidP="00A63EC3">
            <w:pPr>
              <w:jc w:val="center"/>
              <w:rPr>
                <w:b/>
              </w:rPr>
            </w:pPr>
            <w:proofErr w:type="spellStart"/>
            <w:r w:rsidRPr="00A63EC3">
              <w:rPr>
                <w:b/>
              </w:rPr>
              <w:t>Recommendations</w:t>
            </w:r>
            <w:proofErr w:type="spellEnd"/>
          </w:p>
        </w:tc>
        <w:tc>
          <w:tcPr>
            <w:tcW w:w="4281" w:type="dxa"/>
          </w:tcPr>
          <w:p w:rsidR="0025526D" w:rsidRPr="00A63EC3" w:rsidRDefault="00A63EC3" w:rsidP="00A63EC3">
            <w:pPr>
              <w:jc w:val="center"/>
              <w:rPr>
                <w:b/>
              </w:rPr>
            </w:pPr>
            <w:r>
              <w:rPr>
                <w:b/>
              </w:rPr>
              <w:t xml:space="preserve">Actions </w:t>
            </w:r>
            <w:proofErr w:type="spellStart"/>
            <w:r>
              <w:rPr>
                <w:b/>
              </w:rPr>
              <w:t>initiated</w:t>
            </w:r>
            <w:proofErr w:type="spellEnd"/>
          </w:p>
        </w:tc>
        <w:tc>
          <w:tcPr>
            <w:tcW w:w="4761" w:type="dxa"/>
          </w:tcPr>
          <w:p w:rsidR="0025526D" w:rsidRPr="00A63EC3" w:rsidRDefault="00644ED0" w:rsidP="00A63EC3">
            <w:pPr>
              <w:jc w:val="center"/>
              <w:rPr>
                <w:b/>
              </w:rPr>
            </w:pPr>
            <w:proofErr w:type="spellStart"/>
            <w:r w:rsidRPr="00A63EC3">
              <w:rPr>
                <w:b/>
              </w:rPr>
              <w:t>Responsible</w:t>
            </w:r>
            <w:r w:rsidR="00A63EC3">
              <w:rPr>
                <w:b/>
              </w:rPr>
              <w:t>s</w:t>
            </w:r>
            <w:proofErr w:type="spellEnd"/>
          </w:p>
        </w:tc>
      </w:tr>
      <w:tr w:rsidR="00FF3D4D" w:rsidTr="00FF3D4D">
        <w:tc>
          <w:tcPr>
            <w:tcW w:w="13994" w:type="dxa"/>
            <w:gridSpan w:val="3"/>
            <w:shd w:val="clear" w:color="auto" w:fill="BFBFBF" w:themeFill="background1" w:themeFillShade="BF"/>
          </w:tcPr>
          <w:p w:rsidR="00FF3D4D" w:rsidRDefault="00FF3D4D">
            <w:r w:rsidRPr="00FF3D4D">
              <w:rPr>
                <w:i/>
              </w:rPr>
              <w:t xml:space="preserve">To the Ministry of </w:t>
            </w:r>
            <w:proofErr w:type="spellStart"/>
            <w:r w:rsidRPr="00FF3D4D">
              <w:rPr>
                <w:i/>
              </w:rPr>
              <w:t>Environment</w:t>
            </w:r>
            <w:proofErr w:type="spellEnd"/>
          </w:p>
        </w:tc>
      </w:tr>
      <w:tr w:rsidR="0025526D" w:rsidRPr="00A63EC3" w:rsidTr="0025526D">
        <w:tc>
          <w:tcPr>
            <w:tcW w:w="4952" w:type="dxa"/>
          </w:tcPr>
          <w:p w:rsidR="0025526D" w:rsidRPr="00E0613B" w:rsidRDefault="0025526D" w:rsidP="00A63E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First of all, the Ministry of Environment, Urban Sanitation and Sustainable Development should hol</w:t>
            </w:r>
            <w:r w:rsidR="00A918E7">
              <w:rPr>
                <w:rFonts w:ascii="Times New Roman" w:hAnsi="Times New Roman"/>
                <w:sz w:val="24"/>
                <w:szCs w:val="24"/>
                <w:lang w:val="en"/>
              </w:rPr>
              <w:t xml:space="preserve">d a </w:t>
            </w:r>
            <w:proofErr w:type="gramStart"/>
            <w:r w:rsidR="00A918E7">
              <w:rPr>
                <w:rFonts w:ascii="Times New Roman" w:hAnsi="Times New Roman"/>
                <w:sz w:val="24"/>
                <w:szCs w:val="24"/>
                <w:lang w:val="en"/>
              </w:rPr>
              <w:t xml:space="preserve">high </w:t>
            </w: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level</w:t>
            </w:r>
            <w:proofErr w:type="gramEnd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 meeting 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of </w:t>
            </w: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EMIS project restitution chaired by the Minister, in the presence of the UNDP representative so as to advocate for the consolidation of the project and its implementation.</w:t>
            </w:r>
          </w:p>
          <w:p w:rsidR="0025526D" w:rsidRPr="00A63EC3" w:rsidRDefault="0025526D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4281" w:type="dxa"/>
          </w:tcPr>
          <w:p w:rsidR="0025526D" w:rsidRPr="00A63EC3" w:rsidRDefault="00FF3D4D" w:rsidP="00A63E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A presentation of the EMIS achievement was held</w:t>
            </w:r>
            <w:r w:rsidR="00644ED0" w:rsidRPr="00A63EC3">
              <w:rPr>
                <w:rFonts w:ascii="Times New Roman" w:hAnsi="Times New Roman"/>
                <w:sz w:val="24"/>
                <w:szCs w:val="24"/>
                <w:lang w:val="en"/>
              </w:rPr>
              <w:t xml:space="preserve"> on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March 13</w:t>
            </w:r>
            <w:r w:rsidRPr="00FF3D4D">
              <w:rPr>
                <w:rFonts w:ascii="Times New Roman" w:hAnsi="Times New Roman"/>
                <w:sz w:val="24"/>
                <w:szCs w:val="24"/>
                <w:vertAlign w:val="superscript"/>
                <w:lang w:val="en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, 2017, during the cabinet meeting of the ministry of environment. </w:t>
            </w:r>
            <w:r w:rsidR="00EE43C8">
              <w:rPr>
                <w:rFonts w:ascii="Times New Roman" w:hAnsi="Times New Roman"/>
                <w:sz w:val="24"/>
                <w:szCs w:val="24"/>
                <w:lang w:val="en"/>
              </w:rPr>
              <w:t>The consolidation of the EMIS achievements was discussed and budget line was set</w:t>
            </w:r>
            <w:r w:rsidR="00B72523">
              <w:rPr>
                <w:rFonts w:ascii="Times New Roman" w:hAnsi="Times New Roman"/>
                <w:sz w:val="24"/>
                <w:szCs w:val="24"/>
                <w:lang w:val="en"/>
              </w:rPr>
              <w:t>-</w:t>
            </w:r>
            <w:r w:rsidR="00EE43C8">
              <w:rPr>
                <w:rFonts w:ascii="Times New Roman" w:hAnsi="Times New Roman"/>
                <w:sz w:val="24"/>
                <w:szCs w:val="24"/>
                <w:lang w:val="en"/>
              </w:rPr>
              <w:t xml:space="preserve">up for this purpose. </w:t>
            </w:r>
            <w:r w:rsidR="00644ED0" w:rsidRPr="00A63EC3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761" w:type="dxa"/>
          </w:tcPr>
          <w:p w:rsidR="0025526D" w:rsidRPr="00A63EC3" w:rsidRDefault="00B72523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Ministry of Environment</w:t>
            </w:r>
            <w:r w:rsidR="00D62AE5">
              <w:rPr>
                <w:rFonts w:ascii="Times New Roman" w:hAnsi="Times New Roman"/>
                <w:sz w:val="24"/>
                <w:szCs w:val="24"/>
                <w:lang w:val="en"/>
              </w:rPr>
              <w:t xml:space="preserve"> and project team</w:t>
            </w:r>
          </w:p>
        </w:tc>
      </w:tr>
      <w:tr w:rsidR="0025526D" w:rsidRPr="00A63EC3" w:rsidTr="0025526D">
        <w:tc>
          <w:tcPr>
            <w:tcW w:w="4952" w:type="dxa"/>
          </w:tcPr>
          <w:p w:rsidR="0025526D" w:rsidRPr="00A63EC3" w:rsidRDefault="0025526D" w:rsidP="00A63E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Secondly, in the perspective of improving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environmental management </w:t>
            </w: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and implement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ing</w:t>
            </w: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 the provisions of the Rio Convention, the government 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should </w:t>
            </w: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take greater ownership of these provisions in synergy with the training </w:t>
            </w:r>
            <w:proofErr w:type="spellStart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programmes</w:t>
            </w:r>
            <w:proofErr w:type="spellEnd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 of the following universities: </w:t>
            </w:r>
            <w:proofErr w:type="spellStart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Nangui</w:t>
            </w:r>
            <w:proofErr w:type="spellEnd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Abrogoua</w:t>
            </w:r>
            <w:proofErr w:type="spellEnd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Houphouët</w:t>
            </w:r>
            <w:proofErr w:type="spellEnd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Boigny</w:t>
            </w:r>
            <w:proofErr w:type="spellEnd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 of Abidjan and San Pedro.</w:t>
            </w:r>
          </w:p>
          <w:p w:rsidR="0025526D" w:rsidRPr="00A63EC3" w:rsidRDefault="0025526D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4281" w:type="dxa"/>
          </w:tcPr>
          <w:p w:rsidR="0025526D" w:rsidRPr="00A63EC3" w:rsidRDefault="00D62AE5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The Ministry signed a MoU with both Universities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Nangui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Abrogoua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and Félix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Houphouet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Boigny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University to work closely with these entities in the framework of the implementation of Rio conventions implementation. (</w:t>
            </w:r>
            <w:r w:rsidRPr="00D62AE5">
              <w:rPr>
                <w:rFonts w:ascii="Times New Roman" w:hAnsi="Times New Roman"/>
                <w:i/>
                <w:sz w:val="24"/>
                <w:szCs w:val="24"/>
                <w:lang w:val="en"/>
              </w:rPr>
              <w:t>evidence: MoU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4761" w:type="dxa"/>
          </w:tcPr>
          <w:p w:rsidR="0025526D" w:rsidRPr="00A63EC3" w:rsidRDefault="00D62AE5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Ministry of environment and Project team</w:t>
            </w:r>
          </w:p>
        </w:tc>
      </w:tr>
      <w:tr w:rsidR="00A63EC3" w:rsidRPr="00FF3D4D" w:rsidTr="0025526D">
        <w:tc>
          <w:tcPr>
            <w:tcW w:w="4952" w:type="dxa"/>
          </w:tcPr>
          <w:p w:rsidR="00A63EC3" w:rsidRPr="00FF3D4D" w:rsidRDefault="00A63EC3" w:rsidP="00FF3D4D">
            <w:pPr>
              <w:rPr>
                <w:i/>
              </w:rPr>
            </w:pPr>
            <w:r w:rsidRPr="00FF3D4D">
              <w:rPr>
                <w:i/>
              </w:rPr>
              <w:t>To project coordination team</w:t>
            </w:r>
          </w:p>
        </w:tc>
        <w:tc>
          <w:tcPr>
            <w:tcW w:w="4281" w:type="dxa"/>
          </w:tcPr>
          <w:p w:rsidR="00A63EC3" w:rsidRPr="00FF3D4D" w:rsidRDefault="00A63EC3" w:rsidP="00FF3D4D">
            <w:pPr>
              <w:rPr>
                <w:i/>
              </w:rPr>
            </w:pPr>
          </w:p>
        </w:tc>
        <w:tc>
          <w:tcPr>
            <w:tcW w:w="4761" w:type="dxa"/>
          </w:tcPr>
          <w:p w:rsidR="00A63EC3" w:rsidRPr="00FF3D4D" w:rsidRDefault="00A63EC3" w:rsidP="00FF3D4D">
            <w:pPr>
              <w:rPr>
                <w:i/>
              </w:rPr>
            </w:pPr>
          </w:p>
        </w:tc>
      </w:tr>
      <w:tr w:rsidR="0025526D" w:rsidRPr="00A63EC3" w:rsidTr="0025526D">
        <w:tc>
          <w:tcPr>
            <w:tcW w:w="4952" w:type="dxa"/>
          </w:tcPr>
          <w:p w:rsidR="0025526D" w:rsidRPr="00A63EC3" w:rsidRDefault="0025526D" w:rsidP="00A63E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The coordination of EMIS project should ensure the centralization and sustainability of project data and results and share them in the form of CD-ROM with the technical departments of concerned universities: UCRAT, PE2D, ITG.</w:t>
            </w:r>
          </w:p>
          <w:p w:rsidR="0025526D" w:rsidRPr="00A63EC3" w:rsidRDefault="0025526D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4281" w:type="dxa"/>
          </w:tcPr>
          <w:p w:rsidR="0025526D" w:rsidRPr="00A63EC3" w:rsidRDefault="00644ED0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63EC3">
              <w:rPr>
                <w:rFonts w:ascii="Times New Roman" w:hAnsi="Times New Roman"/>
                <w:sz w:val="24"/>
                <w:szCs w:val="24"/>
                <w:lang w:val="en"/>
              </w:rPr>
              <w:t>The data and results ha</w:t>
            </w:r>
            <w:r w:rsidR="000A17D2" w:rsidRPr="00A63EC3">
              <w:rPr>
                <w:rFonts w:ascii="Times New Roman" w:hAnsi="Times New Roman"/>
                <w:sz w:val="24"/>
                <w:szCs w:val="24"/>
                <w:lang w:val="en"/>
              </w:rPr>
              <w:t>ve been shared with UCRAT, PE2D and</w:t>
            </w:r>
            <w:r w:rsidRPr="00A63EC3">
              <w:rPr>
                <w:rFonts w:ascii="Times New Roman" w:hAnsi="Times New Roman"/>
                <w:sz w:val="24"/>
                <w:szCs w:val="24"/>
                <w:lang w:val="en"/>
              </w:rPr>
              <w:t xml:space="preserve"> ITG through the focal points of these institutions. </w:t>
            </w:r>
          </w:p>
        </w:tc>
        <w:tc>
          <w:tcPr>
            <w:tcW w:w="4761" w:type="dxa"/>
          </w:tcPr>
          <w:p w:rsidR="0025526D" w:rsidRPr="00A63EC3" w:rsidRDefault="00D2308F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Project team</w:t>
            </w:r>
          </w:p>
        </w:tc>
      </w:tr>
      <w:tr w:rsidR="00A63EC3" w:rsidRPr="00FF3D4D" w:rsidTr="0025526D">
        <w:tc>
          <w:tcPr>
            <w:tcW w:w="4952" w:type="dxa"/>
          </w:tcPr>
          <w:p w:rsidR="00A63EC3" w:rsidRPr="00FF3D4D" w:rsidRDefault="00A63EC3" w:rsidP="00FF3D4D">
            <w:pPr>
              <w:rPr>
                <w:i/>
              </w:rPr>
            </w:pPr>
            <w:r w:rsidRPr="00FF3D4D">
              <w:rPr>
                <w:i/>
              </w:rPr>
              <w:lastRenderedPageBreak/>
              <w:t>To Ministry of Environment and UNDP</w:t>
            </w:r>
          </w:p>
        </w:tc>
        <w:tc>
          <w:tcPr>
            <w:tcW w:w="4281" w:type="dxa"/>
          </w:tcPr>
          <w:p w:rsidR="00A63EC3" w:rsidRPr="00FF3D4D" w:rsidRDefault="00A63EC3" w:rsidP="00FF3D4D">
            <w:pPr>
              <w:rPr>
                <w:i/>
              </w:rPr>
            </w:pPr>
          </w:p>
        </w:tc>
        <w:tc>
          <w:tcPr>
            <w:tcW w:w="4761" w:type="dxa"/>
          </w:tcPr>
          <w:p w:rsidR="00A63EC3" w:rsidRPr="00FF3D4D" w:rsidRDefault="00A63EC3" w:rsidP="00FF3D4D">
            <w:pPr>
              <w:rPr>
                <w:i/>
              </w:rPr>
            </w:pPr>
          </w:p>
        </w:tc>
      </w:tr>
      <w:tr w:rsidR="0025526D" w:rsidRPr="00A63EC3" w:rsidTr="0025526D">
        <w:tc>
          <w:tcPr>
            <w:tcW w:w="4952" w:type="dxa"/>
          </w:tcPr>
          <w:p w:rsidR="0025526D" w:rsidRPr="00E0613B" w:rsidRDefault="0025526D" w:rsidP="00A63E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The Government and UNDP should formulate, as soon as possible, an EMIS II scale-up </w:t>
            </w:r>
            <w:proofErr w:type="spellStart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programme</w:t>
            </w:r>
            <w:proofErr w:type="spellEnd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 in other favorable zones of the coastline. This would be achieved by consolidating the achievements of EMIS I and by integrating other problems, urban management, industrial waste management, Sustainable management of forests on the 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coast</w:t>
            </w: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, preparation and monitoring of local agenda 21, and taking into account the provisions of the Rio Convention in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"/>
              </w:rPr>
              <w:t>communes</w:t>
            </w:r>
            <w:proofErr w:type="gramEnd"/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 development policies.</w:t>
            </w:r>
          </w:p>
          <w:p w:rsidR="0025526D" w:rsidRPr="00A63EC3" w:rsidRDefault="0025526D" w:rsidP="00A63E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Then, the Government and UNDP should organize a restitution workshop of this new program by inviting the concerned technical and financial partners as well as the local actors.</w:t>
            </w:r>
          </w:p>
          <w:p w:rsidR="0025526D" w:rsidRPr="00A63EC3" w:rsidRDefault="0025526D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4281" w:type="dxa"/>
          </w:tcPr>
          <w:p w:rsidR="0025526D" w:rsidRPr="00A63EC3" w:rsidRDefault="000A17D2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63EC3">
              <w:rPr>
                <w:rFonts w:ascii="Times New Roman" w:hAnsi="Times New Roman"/>
                <w:sz w:val="24"/>
                <w:szCs w:val="24"/>
                <w:lang w:val="en"/>
              </w:rPr>
              <w:t>A proje</w:t>
            </w:r>
            <w:r w:rsidR="00D2308F">
              <w:rPr>
                <w:rFonts w:ascii="Times New Roman" w:hAnsi="Times New Roman"/>
                <w:sz w:val="24"/>
                <w:szCs w:val="24"/>
                <w:lang w:val="en"/>
              </w:rPr>
              <w:t>ct proposal on Early warning syst</w:t>
            </w:r>
            <w:r w:rsidRPr="00A63EC3">
              <w:rPr>
                <w:rFonts w:ascii="Times New Roman" w:hAnsi="Times New Roman"/>
                <w:sz w:val="24"/>
                <w:szCs w:val="24"/>
                <w:lang w:val="en"/>
              </w:rPr>
              <w:t>em has been elaborated in collaboration with the Ministry of Environment, to be submitted to GEF 7. The national selection committee of GEF project is scheduled to be held in 2018.</w:t>
            </w:r>
          </w:p>
        </w:tc>
        <w:tc>
          <w:tcPr>
            <w:tcW w:w="4761" w:type="dxa"/>
          </w:tcPr>
          <w:p w:rsidR="0025526D" w:rsidRPr="00A63EC3" w:rsidRDefault="00D2308F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Ministry of Environment and UNDP</w:t>
            </w:r>
          </w:p>
        </w:tc>
      </w:tr>
      <w:tr w:rsidR="00A63EC3" w:rsidRPr="00FF3D4D" w:rsidTr="0025526D">
        <w:tc>
          <w:tcPr>
            <w:tcW w:w="4952" w:type="dxa"/>
          </w:tcPr>
          <w:p w:rsidR="00A63EC3" w:rsidRPr="00FF3D4D" w:rsidRDefault="00A63EC3" w:rsidP="00FF3D4D">
            <w:pPr>
              <w:rPr>
                <w:i/>
              </w:rPr>
            </w:pPr>
            <w:r w:rsidRPr="00FF3D4D">
              <w:rPr>
                <w:i/>
              </w:rPr>
              <w:t>To the four pilot communes</w:t>
            </w:r>
          </w:p>
        </w:tc>
        <w:tc>
          <w:tcPr>
            <w:tcW w:w="4281" w:type="dxa"/>
          </w:tcPr>
          <w:p w:rsidR="00A63EC3" w:rsidRPr="00FF3D4D" w:rsidRDefault="00A63EC3" w:rsidP="00FF3D4D">
            <w:pPr>
              <w:rPr>
                <w:i/>
              </w:rPr>
            </w:pPr>
          </w:p>
        </w:tc>
        <w:tc>
          <w:tcPr>
            <w:tcW w:w="4761" w:type="dxa"/>
          </w:tcPr>
          <w:p w:rsidR="00A63EC3" w:rsidRPr="00FF3D4D" w:rsidRDefault="00A63EC3" w:rsidP="00FF3D4D">
            <w:pPr>
              <w:rPr>
                <w:i/>
              </w:rPr>
            </w:pPr>
          </w:p>
        </w:tc>
      </w:tr>
      <w:tr w:rsidR="0025526D" w:rsidRPr="00A63EC3" w:rsidTr="0025526D">
        <w:tc>
          <w:tcPr>
            <w:tcW w:w="4952" w:type="dxa"/>
          </w:tcPr>
          <w:p w:rsidR="0025526D" w:rsidRPr="00A63EC3" w:rsidRDefault="0025526D" w:rsidP="00A63E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The 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communes </w:t>
            </w: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>concerned with EMIS should have ownership of EMIS results within their perimeters and integrate environmental issues into their development and decentralized cooperation strategy where there is a significant potential.</w:t>
            </w:r>
          </w:p>
          <w:p w:rsidR="0025526D" w:rsidRPr="00A63EC3" w:rsidRDefault="0025526D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4281" w:type="dxa"/>
          </w:tcPr>
          <w:p w:rsidR="0025526D" w:rsidRPr="00A63EC3" w:rsidRDefault="000A17D2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A63EC3">
              <w:rPr>
                <w:rFonts w:ascii="Times New Roman" w:hAnsi="Times New Roman"/>
                <w:sz w:val="24"/>
                <w:szCs w:val="24"/>
                <w:lang w:val="en"/>
              </w:rPr>
              <w:t xml:space="preserve">The communes </w:t>
            </w:r>
            <w:r w:rsidR="00D2308F" w:rsidRPr="00A63EC3">
              <w:rPr>
                <w:rFonts w:ascii="Times New Roman" w:hAnsi="Times New Roman"/>
                <w:sz w:val="24"/>
                <w:szCs w:val="24"/>
                <w:lang w:val="en"/>
              </w:rPr>
              <w:t>involved</w:t>
            </w:r>
            <w:r w:rsidRPr="00A63EC3">
              <w:rPr>
                <w:rFonts w:ascii="Times New Roman" w:hAnsi="Times New Roman"/>
                <w:sz w:val="24"/>
                <w:szCs w:val="24"/>
                <w:lang w:val="en"/>
              </w:rPr>
              <w:t xml:space="preserve"> in the project have their technical staff who contribute to feed the EMIS with local data. The 4 communes (San-Pedro, Grand-</w:t>
            </w:r>
            <w:proofErr w:type="spellStart"/>
            <w:r w:rsidRPr="00A63EC3">
              <w:rPr>
                <w:rFonts w:ascii="Times New Roman" w:hAnsi="Times New Roman"/>
                <w:sz w:val="24"/>
                <w:szCs w:val="24"/>
                <w:lang w:val="en"/>
              </w:rPr>
              <w:t>Lahou</w:t>
            </w:r>
            <w:proofErr w:type="spellEnd"/>
            <w:r w:rsidRPr="00A63EC3">
              <w:rPr>
                <w:rFonts w:ascii="Times New Roman" w:hAnsi="Times New Roman"/>
                <w:sz w:val="24"/>
                <w:szCs w:val="24"/>
                <w:lang w:val="en"/>
              </w:rPr>
              <w:t>, Port-</w:t>
            </w:r>
            <w:proofErr w:type="spellStart"/>
            <w:r w:rsidRPr="00A63EC3">
              <w:rPr>
                <w:rFonts w:ascii="Times New Roman" w:hAnsi="Times New Roman"/>
                <w:sz w:val="24"/>
                <w:szCs w:val="24"/>
                <w:lang w:val="en"/>
              </w:rPr>
              <w:t>Bouet</w:t>
            </w:r>
            <w:proofErr w:type="spellEnd"/>
            <w:r w:rsidRPr="00A63EC3">
              <w:rPr>
                <w:rFonts w:ascii="Times New Roman" w:hAnsi="Times New Roman"/>
                <w:sz w:val="24"/>
                <w:szCs w:val="24"/>
                <w:lang w:val="en"/>
              </w:rPr>
              <w:t xml:space="preserve"> and Grand-Bassam) have integrated the environmental issues in the development strategies through the</w:t>
            </w:r>
            <w:r w:rsidR="005C4645" w:rsidRPr="00A63EC3">
              <w:rPr>
                <w:rFonts w:ascii="Times New Roman" w:hAnsi="Times New Roman"/>
                <w:sz w:val="24"/>
                <w:szCs w:val="24"/>
                <w:lang w:val="en"/>
              </w:rPr>
              <w:t>ir local Agenda 21.</w:t>
            </w:r>
          </w:p>
        </w:tc>
        <w:tc>
          <w:tcPr>
            <w:tcW w:w="4761" w:type="dxa"/>
          </w:tcPr>
          <w:p w:rsidR="0025526D" w:rsidRPr="00A63EC3" w:rsidRDefault="00D2308F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Pilot communes</w:t>
            </w:r>
          </w:p>
        </w:tc>
      </w:tr>
      <w:tr w:rsidR="00A63EC3" w:rsidRPr="00FF3D4D" w:rsidTr="0025526D">
        <w:tc>
          <w:tcPr>
            <w:tcW w:w="4952" w:type="dxa"/>
          </w:tcPr>
          <w:p w:rsidR="00A63EC3" w:rsidRPr="00FF3D4D" w:rsidRDefault="00A63EC3" w:rsidP="00FF3D4D">
            <w:pPr>
              <w:rPr>
                <w:i/>
              </w:rPr>
            </w:pPr>
            <w:r w:rsidRPr="00FF3D4D">
              <w:rPr>
                <w:i/>
              </w:rPr>
              <w:t>To Universities</w:t>
            </w:r>
          </w:p>
        </w:tc>
        <w:tc>
          <w:tcPr>
            <w:tcW w:w="4281" w:type="dxa"/>
          </w:tcPr>
          <w:p w:rsidR="00A63EC3" w:rsidRPr="00FF3D4D" w:rsidRDefault="00A63EC3" w:rsidP="00FF3D4D">
            <w:pPr>
              <w:rPr>
                <w:i/>
              </w:rPr>
            </w:pPr>
          </w:p>
        </w:tc>
        <w:tc>
          <w:tcPr>
            <w:tcW w:w="4761" w:type="dxa"/>
          </w:tcPr>
          <w:p w:rsidR="00A63EC3" w:rsidRPr="00FF3D4D" w:rsidRDefault="00A63EC3" w:rsidP="00FF3D4D">
            <w:pPr>
              <w:rPr>
                <w:i/>
              </w:rPr>
            </w:pPr>
          </w:p>
        </w:tc>
      </w:tr>
      <w:tr w:rsidR="0025526D" w:rsidRPr="00A63EC3" w:rsidTr="0025526D">
        <w:tc>
          <w:tcPr>
            <w:tcW w:w="4952" w:type="dxa"/>
          </w:tcPr>
          <w:p w:rsidR="0025526D" w:rsidRPr="00E0613B" w:rsidRDefault="0025526D" w:rsidP="00A63EC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t xml:space="preserve">Universities should promote academic training in various areas of EMIS in line with the needs of </w:t>
            </w:r>
            <w:r w:rsidRPr="00E0613B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potential users and act as an interface with regional projects such as WACA management programs.</w:t>
            </w:r>
          </w:p>
          <w:p w:rsidR="0025526D" w:rsidRPr="00A63EC3" w:rsidRDefault="0025526D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</w:p>
        </w:tc>
        <w:tc>
          <w:tcPr>
            <w:tcW w:w="4281" w:type="dxa"/>
          </w:tcPr>
          <w:p w:rsidR="0025526D" w:rsidRPr="00A63EC3" w:rsidRDefault="00D2308F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Two training session on the EMIS have been organized within the two Universities (</w:t>
            </w:r>
            <w:r w:rsidRPr="00D2308F">
              <w:rPr>
                <w:rFonts w:ascii="Times New Roman" w:hAnsi="Times New Roman"/>
                <w:i/>
                <w:sz w:val="24"/>
                <w:szCs w:val="24"/>
                <w:lang w:val="en"/>
              </w:rPr>
              <w:t>report of the training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 xml:space="preserve"> </w:t>
            </w:r>
            <w:r w:rsidRPr="00D2308F">
              <w:rPr>
                <w:rFonts w:ascii="Times New Roman" w:hAnsi="Times New Roman"/>
                <w:i/>
                <w:sz w:val="24"/>
                <w:szCs w:val="24"/>
                <w:lang w:val="en"/>
              </w:rPr>
              <w:t>session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).</w:t>
            </w:r>
          </w:p>
        </w:tc>
        <w:tc>
          <w:tcPr>
            <w:tcW w:w="4761" w:type="dxa"/>
          </w:tcPr>
          <w:p w:rsidR="0025526D" w:rsidRPr="00A63EC3" w:rsidRDefault="00D2308F" w:rsidP="00A63EC3">
            <w:pPr>
              <w:jc w:val="both"/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Project team and University</w:t>
            </w:r>
          </w:p>
        </w:tc>
      </w:tr>
    </w:tbl>
    <w:p w:rsidR="0025526D" w:rsidRPr="00A63EC3" w:rsidRDefault="0025526D" w:rsidP="00A63EC3">
      <w:pPr>
        <w:jc w:val="both"/>
        <w:rPr>
          <w:rFonts w:ascii="Times New Roman" w:hAnsi="Times New Roman"/>
          <w:sz w:val="24"/>
          <w:szCs w:val="24"/>
          <w:lang w:val="en"/>
        </w:rPr>
      </w:pPr>
    </w:p>
    <w:sectPr w:rsidR="0025526D" w:rsidRPr="00A63EC3" w:rsidSect="002552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6D"/>
    <w:rsid w:val="000A17D2"/>
    <w:rsid w:val="000B3DC3"/>
    <w:rsid w:val="0025526D"/>
    <w:rsid w:val="003A31CD"/>
    <w:rsid w:val="00541576"/>
    <w:rsid w:val="005C4645"/>
    <w:rsid w:val="00644ED0"/>
    <w:rsid w:val="00A63EC3"/>
    <w:rsid w:val="00A918E7"/>
    <w:rsid w:val="00B72523"/>
    <w:rsid w:val="00D2308F"/>
    <w:rsid w:val="00D62AE5"/>
    <w:rsid w:val="00DF27F5"/>
    <w:rsid w:val="00EE43C8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7009"/>
  <w15:chartTrackingRefBased/>
  <w15:docId w15:val="{98CBE9F6-2BDF-45C5-A955-D86017C4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526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25526D"/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Brou</dc:creator>
  <cp:keywords/>
  <dc:description/>
  <cp:lastModifiedBy>Bernard Brou</cp:lastModifiedBy>
  <cp:revision>5</cp:revision>
  <dcterms:created xsi:type="dcterms:W3CDTF">2017-11-27T04:02:00Z</dcterms:created>
  <dcterms:modified xsi:type="dcterms:W3CDTF">2017-12-06T18:38:00Z</dcterms:modified>
</cp:coreProperties>
</file>